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F7EC2">
      <w:pPr>
        <w:numPr>
          <w:ilvl w:val="0"/>
          <w:numId w:val="0"/>
        </w:numPr>
        <w:adjustRightInd w:val="0"/>
        <w:snapToGrid w:val="0"/>
        <w:spacing w:line="360" w:lineRule="auto"/>
        <w:jc w:val="center"/>
        <w:rPr>
          <w:rFonts w:ascii="方正小标宋简体" w:eastAsia="方正小标宋简体" w:hAnsiTheme="minorEastAsia"/>
          <w:color w:val="auto"/>
          <w:sz w:val="32"/>
          <w:szCs w:val="21"/>
          <w:highlight w:val="none"/>
        </w:rPr>
      </w:pPr>
      <w:bookmarkStart w:id="2" w:name="_GoBack"/>
      <w:r>
        <w:rPr>
          <w:rFonts w:hint="eastAsia" w:ascii="方正小标宋简体" w:eastAsia="方正小标宋简体" w:hAnsiTheme="minorEastAsia"/>
          <w:color w:val="auto"/>
          <w:sz w:val="32"/>
          <w:szCs w:val="21"/>
          <w:highlight w:val="none"/>
        </w:rPr>
        <w:t>上海大学</w:t>
      </w:r>
      <w:r>
        <w:rPr>
          <w:rFonts w:hint="eastAsia" w:ascii="方正小标宋简体" w:eastAsia="方正小标宋简体" w:hAnsiTheme="minorEastAsia"/>
          <w:color w:val="auto"/>
          <w:sz w:val="32"/>
          <w:szCs w:val="21"/>
          <w:highlight w:val="none"/>
          <w:lang w:val="en-US" w:eastAsia="zh-CN"/>
        </w:rPr>
        <w:t>嘉定</w:t>
      </w:r>
      <w:r>
        <w:rPr>
          <w:rFonts w:hint="eastAsia" w:ascii="方正小标宋简体" w:eastAsia="方正小标宋简体" w:hAnsiTheme="minorEastAsia"/>
          <w:color w:val="auto"/>
          <w:sz w:val="32"/>
          <w:szCs w:val="21"/>
          <w:highlight w:val="none"/>
        </w:rPr>
        <w:t>校区物业服务（</w:t>
      </w:r>
      <w:r>
        <w:rPr>
          <w:rFonts w:hint="eastAsia" w:ascii="方正小标宋简体" w:eastAsia="方正小标宋简体" w:hAnsiTheme="minorEastAsia"/>
          <w:color w:val="auto"/>
          <w:sz w:val="32"/>
          <w:szCs w:val="21"/>
          <w:highlight w:val="none"/>
          <w:lang w:val="en-US" w:eastAsia="zh-CN"/>
        </w:rPr>
        <w:t>绿化养护和保洁</w:t>
      </w:r>
      <w:r>
        <w:rPr>
          <w:rFonts w:hint="eastAsia" w:ascii="方正小标宋简体" w:eastAsia="方正小标宋简体" w:hAnsiTheme="minorEastAsia"/>
          <w:color w:val="auto"/>
          <w:sz w:val="32"/>
          <w:szCs w:val="21"/>
          <w:highlight w:val="none"/>
        </w:rPr>
        <w:t>）采购需求</w:t>
      </w:r>
    </w:p>
    <w:p w14:paraId="793437A5">
      <w:pPr>
        <w:numPr>
          <w:ilvl w:val="0"/>
          <w:numId w:val="1"/>
        </w:numPr>
        <w:adjustRightInd w:val="0"/>
        <w:snapToGrid w:val="0"/>
        <w:spacing w:line="360" w:lineRule="auto"/>
        <w:ind w:firstLine="420" w:firstLineChars="200"/>
        <w:jc w:val="left"/>
        <w:rPr>
          <w:rFonts w:hint="eastAsia" w:ascii="宋体" w:hAnsi="宋体"/>
          <w:b/>
          <w:color w:val="auto"/>
          <w:szCs w:val="21"/>
          <w:highlight w:val="none"/>
        </w:rPr>
      </w:pPr>
      <w:r>
        <w:rPr>
          <w:rFonts w:hint="eastAsia" w:ascii="宋体" w:hAnsi="宋体"/>
          <w:b/>
          <w:color w:val="auto"/>
          <w:szCs w:val="21"/>
          <w:highlight w:val="none"/>
        </w:rPr>
        <w:t>委托管理服务的概况</w:t>
      </w:r>
    </w:p>
    <w:p w14:paraId="66B3A538">
      <w:pPr>
        <w:numPr>
          <w:ilvl w:val="0"/>
          <w:numId w:val="2"/>
        </w:num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bCs/>
          <w:color w:val="auto"/>
          <w:szCs w:val="21"/>
          <w:highlight w:val="none"/>
        </w:rPr>
        <w:t>基本情况：</w:t>
      </w:r>
      <w:r>
        <w:rPr>
          <w:rFonts w:hint="eastAsia" w:ascii="宋体" w:hAnsi="宋体" w:eastAsia="宋体" w:cs="宋体"/>
          <w:color w:val="auto"/>
          <w:kern w:val="0"/>
          <w:szCs w:val="21"/>
          <w:highlight w:val="none"/>
          <w:lang w:val="en-US" w:eastAsia="zh-CN"/>
        </w:rPr>
        <w:t>嘉定</w:t>
      </w:r>
      <w:r>
        <w:rPr>
          <w:rFonts w:hint="eastAsia" w:ascii="宋体" w:hAnsi="宋体" w:eastAsia="宋体" w:cs="宋体"/>
          <w:color w:val="auto"/>
          <w:kern w:val="0"/>
          <w:szCs w:val="21"/>
          <w:highlight w:val="none"/>
        </w:rPr>
        <w:t>校区</w:t>
      </w:r>
      <w:r>
        <w:rPr>
          <w:rFonts w:hint="eastAsia" w:ascii="宋体" w:hAnsi="宋体" w:eastAsia="宋体" w:cs="宋体"/>
          <w:color w:val="auto"/>
          <w:kern w:val="0"/>
          <w:szCs w:val="21"/>
          <w:highlight w:val="none"/>
          <w:lang w:val="en-US" w:eastAsia="zh-CN"/>
        </w:rPr>
        <w:t>绿化养护和保洁服务。</w:t>
      </w:r>
    </w:p>
    <w:p w14:paraId="36AA797B">
      <w:pPr>
        <w:numPr>
          <w:ilvl w:val="0"/>
          <w:numId w:val="0"/>
        </w:num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建议本服务项目投入人员不少于</w:t>
      </w:r>
      <w:r>
        <w:rPr>
          <w:rFonts w:hint="eastAsia" w:ascii="宋体" w:hAnsi="宋体" w:eastAsia="宋体" w:cs="宋体"/>
          <w:color w:val="auto"/>
          <w:kern w:val="0"/>
          <w:szCs w:val="21"/>
          <w:highlight w:val="none"/>
          <w:lang w:val="en-US" w:eastAsia="zh-CN"/>
        </w:rPr>
        <w:t>72</w:t>
      </w:r>
      <w:r>
        <w:rPr>
          <w:rFonts w:hint="eastAsia" w:ascii="宋体" w:hAnsi="宋体" w:eastAsia="宋体" w:cs="宋体"/>
          <w:color w:val="auto"/>
          <w:kern w:val="0"/>
          <w:szCs w:val="21"/>
          <w:highlight w:val="none"/>
        </w:rPr>
        <w:t>人，以避免有恶意低价，并保证不违反法规允许的安全风险。</w:t>
      </w:r>
    </w:p>
    <w:p w14:paraId="180AD6CD">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default" w:ascii="宋体" w:hAnsi="宋体" w:eastAsia="宋体" w:cs="宋体"/>
          <w:bCs/>
          <w:color w:val="auto"/>
          <w:szCs w:val="21"/>
          <w:highlight w:val="none"/>
          <w:lang w:val="en-US"/>
        </w:rPr>
        <w:t>地址:嘉定区城中路20号</w:t>
      </w:r>
    </w:p>
    <w:p w14:paraId="26779781">
      <w:pPr>
        <w:numPr>
          <w:ilvl w:val="0"/>
          <w:numId w:val="0"/>
        </w:numPr>
        <w:adjustRightInd w:val="0"/>
        <w:snapToGrid w:val="0"/>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r>
        <w:rPr>
          <w:rFonts w:hint="eastAsia" w:ascii="宋体" w:hAnsi="宋体"/>
          <w:bCs/>
          <w:color w:val="auto"/>
          <w:szCs w:val="21"/>
          <w:highlight w:val="none"/>
        </w:rPr>
        <w:t>各</w:t>
      </w:r>
      <w:r>
        <w:rPr>
          <w:rFonts w:hint="eastAsia" w:ascii="宋体" w:hAnsi="宋体"/>
          <w:bCs/>
          <w:color w:val="auto"/>
          <w:szCs w:val="21"/>
          <w:highlight w:val="none"/>
          <w:lang w:val="en-US" w:eastAsia="zh-CN"/>
        </w:rPr>
        <w:t>区域细化</w:t>
      </w:r>
      <w:r>
        <w:rPr>
          <w:rFonts w:hint="eastAsia" w:ascii="宋体" w:hAnsi="宋体"/>
          <w:bCs/>
          <w:color w:val="auto"/>
          <w:szCs w:val="21"/>
          <w:highlight w:val="none"/>
        </w:rPr>
        <w:t>功能分布情况</w:t>
      </w:r>
    </w:p>
    <w:p w14:paraId="05E0B925">
      <w:pPr>
        <w:adjustRightInd w:val="0"/>
        <w:snapToGrid w:val="0"/>
        <w:spacing w:line="360" w:lineRule="auto"/>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①：</w:t>
      </w:r>
      <w:r>
        <w:rPr>
          <w:rFonts w:hint="eastAsia" w:ascii="宋体" w:hAnsi="宋体" w:eastAsia="宋体" w:cs="宋体"/>
          <w:bCs/>
          <w:color w:val="auto"/>
          <w:szCs w:val="21"/>
          <w:highlight w:val="none"/>
          <w:lang w:val="en-US" w:eastAsia="zh-CN"/>
        </w:rPr>
        <w:t>上海大学嘉定</w:t>
      </w:r>
      <w:r>
        <w:rPr>
          <w:rFonts w:hint="eastAsia" w:ascii="宋体" w:hAnsi="宋体" w:eastAsia="宋体" w:cs="宋体"/>
          <w:bCs/>
          <w:color w:val="auto"/>
          <w:szCs w:val="21"/>
          <w:highlight w:val="none"/>
        </w:rPr>
        <w:t>校区</w:t>
      </w:r>
      <w:r>
        <w:rPr>
          <w:rFonts w:hint="eastAsia" w:ascii="宋体" w:hAnsi="宋体" w:eastAsia="宋体" w:cs="宋体"/>
          <w:color w:val="auto"/>
          <w:kern w:val="0"/>
          <w:szCs w:val="21"/>
          <w:highlight w:val="none"/>
          <w:lang w:val="en-US" w:eastAsia="zh-CN"/>
        </w:rPr>
        <w:t>绿化养护服务面积约</w:t>
      </w:r>
      <w:r>
        <w:rPr>
          <w:rFonts w:hint="eastAsia" w:ascii="宋体" w:hAnsi="宋体" w:eastAsia="宋体" w:cs="宋体"/>
          <w:color w:val="auto"/>
          <w:kern w:val="0"/>
          <w:szCs w:val="21"/>
          <w:highlight w:val="none"/>
          <w:lang w:val="en-US" w:eastAsia="zh-CN"/>
        </w:rPr>
        <w:t>89105</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含</w:t>
      </w:r>
      <w:r>
        <w:rPr>
          <w:rFonts w:hint="eastAsia" w:ascii="宋体" w:hAnsi="宋体" w:eastAsia="宋体" w:cs="宋体"/>
          <w:bCs/>
          <w:color w:val="auto"/>
          <w:kern w:val="0"/>
          <w:szCs w:val="21"/>
          <w:highlight w:val="none"/>
          <w:lang w:eastAsia="zh-CN"/>
        </w:rPr>
        <w:t>绿地内的园林建筑小品和学习休憩场所设施</w:t>
      </w:r>
      <w:r>
        <w:rPr>
          <w:rFonts w:hint="eastAsia" w:ascii="宋体" w:hAnsi="宋体" w:eastAsia="宋体" w:cs="宋体"/>
          <w:bCs/>
          <w:color w:val="auto"/>
          <w:kern w:val="0"/>
          <w:szCs w:val="21"/>
          <w:highlight w:val="none"/>
          <w:lang w:val="en-US" w:eastAsia="zh-CN"/>
        </w:rPr>
        <w:t>等</w:t>
      </w:r>
      <w:r>
        <w:rPr>
          <w:rFonts w:hint="eastAsia" w:ascii="宋体" w:hAnsi="宋体" w:eastAsia="宋体" w:cs="宋体"/>
          <w:bCs/>
          <w:color w:val="auto"/>
          <w:kern w:val="0"/>
          <w:szCs w:val="21"/>
          <w:highlight w:val="none"/>
          <w:lang w:eastAsia="zh-CN"/>
        </w:rPr>
        <w:t>。</w:t>
      </w:r>
    </w:p>
    <w:p w14:paraId="05FA3AE4">
      <w:pPr>
        <w:adjustRightInd w:val="0"/>
        <w:snapToGrid w:val="0"/>
        <w:spacing w:line="360" w:lineRule="auto"/>
        <w:ind w:firstLine="420" w:firstLineChars="200"/>
        <w:rPr>
          <w:rFonts w:hint="eastAsia" w:ascii="宋体" w:hAnsi="宋体" w:eastAsia="宋体" w:cs="宋体"/>
          <w:bCs/>
          <w:strike/>
          <w:dstrike w:val="0"/>
          <w:color w:val="auto"/>
          <w:szCs w:val="21"/>
          <w:highlight w:val="none"/>
          <w:lang w:val="en-US" w:eastAsia="zh-CN"/>
        </w:rPr>
      </w:pPr>
      <w:r>
        <w:rPr>
          <w:rFonts w:hint="eastAsia" w:ascii="宋体" w:hAnsi="宋体" w:eastAsia="宋体" w:cs="宋体"/>
          <w:bCs/>
          <w:color w:val="auto"/>
          <w:szCs w:val="21"/>
          <w:highlight w:val="none"/>
        </w:rPr>
        <w:t>②：</w:t>
      </w:r>
      <w:r>
        <w:rPr>
          <w:rFonts w:hint="eastAsia" w:ascii="宋体" w:hAnsi="宋体" w:eastAsia="宋体" w:cs="宋体"/>
          <w:bCs/>
          <w:color w:val="auto"/>
          <w:szCs w:val="21"/>
          <w:highlight w:val="none"/>
          <w:lang w:val="en-US" w:eastAsia="zh-CN"/>
        </w:rPr>
        <w:t>上海大学嘉定</w:t>
      </w:r>
      <w:r>
        <w:rPr>
          <w:rFonts w:hint="eastAsia" w:ascii="宋体" w:hAnsi="宋体" w:eastAsia="宋体" w:cs="宋体"/>
          <w:bCs/>
          <w:color w:val="auto"/>
          <w:szCs w:val="21"/>
          <w:highlight w:val="none"/>
        </w:rPr>
        <w:t>校区教学办公区</w:t>
      </w:r>
      <w:r>
        <w:rPr>
          <w:rFonts w:hint="eastAsia" w:ascii="宋体" w:hAnsi="宋体" w:eastAsia="宋体" w:cs="宋体"/>
          <w:bCs/>
          <w:color w:val="auto"/>
          <w:szCs w:val="21"/>
          <w:highlight w:val="none"/>
          <w:lang w:val="en-US" w:eastAsia="zh-CN"/>
        </w:rPr>
        <w:t>保洁服务</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负责</w:t>
      </w:r>
      <w:r>
        <w:rPr>
          <w:rFonts w:hint="eastAsia" w:ascii="宋体" w:hAnsi="宋体" w:eastAsia="宋体" w:cs="Times New Roman"/>
          <w:bCs/>
          <w:color w:val="auto"/>
          <w:szCs w:val="21"/>
          <w:highlight w:val="none"/>
        </w:rPr>
        <w:t>室内</w:t>
      </w:r>
      <w:r>
        <w:rPr>
          <w:rFonts w:hint="eastAsia" w:ascii="宋体" w:hAnsi="宋体" w:eastAsia="宋体" w:cs="Times New Roman"/>
          <w:bCs/>
          <w:color w:val="auto"/>
          <w:szCs w:val="21"/>
          <w:highlight w:val="none"/>
          <w:lang w:val="en-US" w:eastAsia="zh-CN"/>
        </w:rPr>
        <w:t>地上地下总建筑面积约</w:t>
      </w:r>
      <w:r>
        <w:rPr>
          <w:rFonts w:hint="eastAsia" w:ascii="宋体" w:hAnsi="宋体" w:eastAsia="宋体" w:cs="Times New Roman"/>
          <w:bCs/>
          <w:color w:val="auto"/>
          <w:szCs w:val="21"/>
          <w:highlight w:val="none"/>
          <w:lang w:val="en-US" w:eastAsia="zh-CN"/>
        </w:rPr>
        <w:t>63431</w:t>
      </w:r>
      <w:r>
        <w:rPr>
          <w:rFonts w:hint="eastAsia" w:ascii="宋体" w:hAnsi="宋体" w:eastAsia="宋体" w:cs="宋体"/>
          <w:bCs/>
          <w:color w:val="auto"/>
          <w:kern w:val="0"/>
          <w:szCs w:val="21"/>
          <w:highlight w:val="none"/>
        </w:rPr>
        <w:t>㎡</w:t>
      </w:r>
      <w:r>
        <w:rPr>
          <w:rFonts w:hint="eastAsia" w:ascii="宋体" w:hAnsi="宋体" w:eastAsia="宋体" w:cs="Times New Roman"/>
          <w:bCs/>
          <w:color w:val="auto"/>
          <w:szCs w:val="21"/>
          <w:highlight w:val="none"/>
        </w:rPr>
        <w:t>，</w:t>
      </w:r>
      <w:r>
        <w:rPr>
          <w:rFonts w:hint="eastAsia" w:ascii="宋体" w:hAnsi="宋体" w:eastAsia="宋体" w:cs="宋体"/>
          <w:bCs/>
          <w:color w:val="auto"/>
          <w:szCs w:val="21"/>
          <w:highlight w:val="none"/>
          <w:lang w:val="en-US" w:eastAsia="zh-CN"/>
        </w:rPr>
        <w:t>包括嘉定校区一教、二教、化学楼、微电子A、B楼、文达楼、综合楼、射线所、</w:t>
      </w:r>
      <w:r>
        <w:rPr>
          <w:rFonts w:hint="eastAsia" w:ascii="宋体" w:hAnsi="宋体" w:eastAsia="宋体" w:cs="宋体"/>
          <w:bCs/>
          <w:color w:val="auto"/>
          <w:szCs w:val="21"/>
          <w:highlight w:val="none"/>
          <w:lang w:val="en-US" w:eastAsia="zh-CN"/>
        </w:rPr>
        <w:t>校原行政楼（一教内）、</w:t>
      </w:r>
      <w:r>
        <w:rPr>
          <w:rFonts w:hint="eastAsia" w:ascii="宋体" w:hAnsi="宋体" w:eastAsia="宋体" w:cs="宋体"/>
          <w:bCs/>
          <w:color w:val="auto"/>
          <w:szCs w:val="21"/>
          <w:highlight w:val="none"/>
          <w:lang w:val="en-US" w:eastAsia="zh-CN"/>
        </w:rPr>
        <w:t>校医院、保卫处、一食堂北边厕所、总务楼、光纤所及微电子C楼（内外场）、</w:t>
      </w:r>
      <w:r>
        <w:rPr>
          <w:rFonts w:hint="eastAsia" w:ascii="宋体" w:hAnsi="宋体" w:eastAsia="宋体" w:cs="宋体"/>
          <w:bCs/>
          <w:color w:val="auto"/>
          <w:szCs w:val="21"/>
          <w:highlight w:val="none"/>
          <w:lang w:val="en-US" w:eastAsia="zh-CN"/>
        </w:rPr>
        <w:t>红一楼</w:t>
      </w:r>
      <w:r>
        <w:rPr>
          <w:rFonts w:hint="eastAsia" w:ascii="宋体" w:hAnsi="宋体" w:eastAsia="宋体" w:cs="宋体"/>
          <w:bCs/>
          <w:color w:val="auto"/>
          <w:szCs w:val="21"/>
          <w:highlight w:val="none"/>
          <w:lang w:val="en-US" w:eastAsia="zh-CN"/>
        </w:rPr>
        <w:t>（内外场）等</w:t>
      </w:r>
      <w:r>
        <w:rPr>
          <w:rFonts w:hint="eastAsia" w:ascii="宋体" w:hAnsi="宋体" w:eastAsia="宋体" w:cs="宋体"/>
          <w:bCs/>
          <w:color w:val="auto"/>
          <w:szCs w:val="21"/>
          <w:highlight w:val="none"/>
        </w:rPr>
        <w:t>的教室、厕所、走廊、楼梯等室内公共</w:t>
      </w:r>
      <w:r>
        <w:rPr>
          <w:rFonts w:hint="eastAsia" w:ascii="宋体" w:hAnsi="宋体" w:eastAsia="宋体" w:cs="宋体"/>
          <w:bCs/>
          <w:color w:val="auto"/>
          <w:szCs w:val="21"/>
          <w:highlight w:val="none"/>
          <w:lang w:val="en-US" w:eastAsia="zh-CN"/>
        </w:rPr>
        <w:t>区域</w:t>
      </w:r>
      <w:r>
        <w:rPr>
          <w:rFonts w:hint="eastAsia" w:ascii="宋体" w:hAnsi="宋体" w:eastAsia="宋体" w:cs="宋体"/>
          <w:bCs/>
          <w:color w:val="auto"/>
          <w:szCs w:val="21"/>
          <w:highlight w:val="none"/>
        </w:rPr>
        <w:t>以</w:t>
      </w:r>
      <w:r>
        <w:rPr>
          <w:rFonts w:hint="eastAsia" w:ascii="宋体" w:hAnsi="宋体" w:eastAsia="宋体" w:cs="宋体"/>
          <w:bCs/>
          <w:color w:val="auto"/>
          <w:szCs w:val="21"/>
          <w:highlight w:val="none"/>
        </w:rPr>
        <w:t>及连廊、车库保洁</w:t>
      </w:r>
      <w:r>
        <w:rPr>
          <w:rFonts w:hint="eastAsia" w:ascii="宋体" w:hAnsi="宋体" w:eastAsia="宋体" w:cs="宋体"/>
          <w:bCs/>
          <w:color w:val="auto"/>
          <w:szCs w:val="21"/>
          <w:highlight w:val="none"/>
          <w:lang w:eastAsia="zh-CN"/>
        </w:rPr>
        <w:t>。</w:t>
      </w:r>
    </w:p>
    <w:p w14:paraId="2301F21F">
      <w:pPr>
        <w:adjustRightInd w:val="0"/>
        <w:snapToGrid w:val="0"/>
        <w:spacing w:line="360" w:lineRule="auto"/>
        <w:ind w:firstLine="420" w:firstLineChars="200"/>
        <w:rPr>
          <w:rFonts w:hint="eastAsia" w:ascii="宋体" w:hAnsi="宋体" w:eastAsia="宋体" w:cs="Times New Roman"/>
          <w:bCs/>
          <w:color w:val="auto"/>
          <w:szCs w:val="21"/>
          <w:highlight w:val="none"/>
          <w:lang w:eastAsia="zh-CN"/>
        </w:rPr>
      </w:pPr>
      <w:r>
        <w:rPr>
          <w:rFonts w:hint="eastAsia" w:ascii="宋体" w:hAnsi="宋体" w:eastAsia="宋体" w:cs="宋体"/>
          <w:bCs/>
          <w:color w:val="auto"/>
          <w:szCs w:val="21"/>
          <w:highlight w:val="none"/>
        </w:rPr>
        <w:t>③：</w:t>
      </w:r>
      <w:r>
        <w:rPr>
          <w:rFonts w:hint="eastAsia" w:ascii="宋体" w:hAnsi="宋体" w:eastAsia="宋体" w:cs="宋体"/>
          <w:bCs/>
          <w:color w:val="auto"/>
          <w:szCs w:val="21"/>
          <w:highlight w:val="none"/>
          <w:lang w:val="en-US" w:eastAsia="zh-CN"/>
        </w:rPr>
        <w:t>上海大学嘉定</w:t>
      </w:r>
      <w:r>
        <w:rPr>
          <w:rFonts w:hint="eastAsia" w:ascii="宋体" w:hAnsi="宋体" w:eastAsia="宋体" w:cs="宋体"/>
          <w:bCs/>
          <w:color w:val="auto"/>
          <w:szCs w:val="21"/>
          <w:highlight w:val="none"/>
        </w:rPr>
        <w:t>校区</w:t>
      </w:r>
      <w:r>
        <w:rPr>
          <w:rFonts w:hint="eastAsia" w:ascii="宋体" w:hAnsi="宋体" w:eastAsia="宋体" w:cs="宋体"/>
          <w:bCs/>
          <w:color w:val="auto"/>
          <w:szCs w:val="21"/>
          <w:highlight w:val="none"/>
          <w:lang w:val="en-US" w:eastAsia="zh-CN"/>
        </w:rPr>
        <w:t>公寓区(含学生公寓、教师公寓及留学生公寓</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保洁服务，负责</w:t>
      </w:r>
      <w:r>
        <w:rPr>
          <w:rFonts w:hint="eastAsia" w:ascii="宋体" w:hAnsi="宋体" w:eastAsia="宋体" w:cs="Times New Roman"/>
          <w:bCs/>
          <w:color w:val="auto"/>
          <w:szCs w:val="21"/>
          <w:highlight w:val="none"/>
        </w:rPr>
        <w:t>室内</w:t>
      </w:r>
      <w:r>
        <w:rPr>
          <w:rFonts w:hint="eastAsia" w:ascii="宋体" w:hAnsi="宋体" w:eastAsia="宋体" w:cs="Times New Roman"/>
          <w:bCs/>
          <w:color w:val="auto"/>
          <w:szCs w:val="21"/>
          <w:highlight w:val="none"/>
          <w:lang w:val="en-US" w:eastAsia="zh-CN"/>
        </w:rPr>
        <w:t>地上地下总建筑面积约</w:t>
      </w:r>
      <w:r>
        <w:rPr>
          <w:rFonts w:hint="eastAsia" w:ascii="宋体" w:hAnsi="宋体" w:eastAsia="宋体" w:cs="Times New Roman"/>
          <w:bCs/>
          <w:color w:val="auto"/>
          <w:szCs w:val="21"/>
          <w:highlight w:val="none"/>
          <w:lang w:val="en-US" w:eastAsia="zh-CN"/>
        </w:rPr>
        <w:t>71753</w:t>
      </w:r>
      <w:r>
        <w:rPr>
          <w:rFonts w:hint="eastAsia" w:ascii="宋体" w:hAnsi="宋体" w:eastAsia="宋体" w:cs="宋体"/>
          <w:bCs/>
          <w:color w:val="auto"/>
          <w:kern w:val="0"/>
          <w:szCs w:val="21"/>
          <w:highlight w:val="none"/>
        </w:rPr>
        <w:t>㎡</w:t>
      </w:r>
      <w:r>
        <w:rPr>
          <w:rFonts w:hint="eastAsia" w:ascii="宋体" w:hAnsi="宋体" w:eastAsia="宋体" w:cs="Times New Roman"/>
          <w:bCs/>
          <w:color w:val="auto"/>
          <w:szCs w:val="21"/>
          <w:highlight w:val="none"/>
        </w:rPr>
        <w:t>，</w:t>
      </w:r>
      <w:r>
        <w:rPr>
          <w:rFonts w:hint="eastAsia" w:ascii="宋体" w:hAnsi="宋体" w:eastAsia="宋体" w:cs="宋体"/>
          <w:bCs/>
          <w:color w:val="auto"/>
          <w:szCs w:val="21"/>
          <w:highlight w:val="none"/>
          <w:lang w:val="en-US" w:eastAsia="zh-CN"/>
        </w:rPr>
        <w:t>包括1-9号、C、D、E、F等学生公寓楼，</w:t>
      </w:r>
      <w:r>
        <w:rPr>
          <w:rFonts w:hint="eastAsia" w:ascii="宋体" w:hAnsi="宋体" w:eastAsia="宋体" w:cs="宋体"/>
          <w:bCs/>
          <w:color w:val="auto"/>
          <w:szCs w:val="21"/>
          <w:highlight w:val="none"/>
          <w:lang w:val="en-US" w:eastAsia="zh-CN"/>
        </w:rPr>
        <w:t>A、B教师公寓楼及谊园</w:t>
      </w:r>
      <w:r>
        <w:rPr>
          <w:rFonts w:hint="eastAsia" w:ascii="宋体" w:hAnsi="宋体" w:eastAsia="宋体" w:cs="Times New Roman"/>
          <w:bCs/>
          <w:color w:val="auto"/>
          <w:szCs w:val="21"/>
          <w:highlight w:val="none"/>
          <w:lang w:val="en-US" w:eastAsia="zh-CN"/>
        </w:rPr>
        <w:t>的室内</w:t>
      </w:r>
      <w:r>
        <w:rPr>
          <w:rFonts w:hint="eastAsia" w:ascii="宋体" w:hAnsi="宋体" w:eastAsia="宋体" w:cs="Times New Roman"/>
          <w:bCs/>
          <w:color w:val="auto"/>
          <w:szCs w:val="21"/>
          <w:highlight w:val="none"/>
        </w:rPr>
        <w:t>公共</w:t>
      </w:r>
      <w:r>
        <w:rPr>
          <w:rFonts w:hint="eastAsia" w:ascii="宋体" w:hAnsi="宋体" w:eastAsia="宋体" w:cs="Times New Roman"/>
          <w:bCs/>
          <w:color w:val="auto"/>
          <w:szCs w:val="21"/>
          <w:highlight w:val="none"/>
          <w:lang w:val="en-US" w:eastAsia="zh-CN"/>
        </w:rPr>
        <w:t>区域</w:t>
      </w:r>
      <w:r>
        <w:rPr>
          <w:rFonts w:hint="eastAsia" w:ascii="宋体" w:hAnsi="宋体" w:eastAsia="宋体" w:cs="Times New Roman"/>
          <w:bCs/>
          <w:color w:val="auto"/>
          <w:szCs w:val="21"/>
          <w:highlight w:val="none"/>
        </w:rPr>
        <w:t>保洁</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lang w:val="en-US" w:eastAsia="zh-CN"/>
        </w:rPr>
        <w:t>共16幢。谊园</w:t>
      </w:r>
      <w:r>
        <w:rPr>
          <w:rFonts w:hint="eastAsia" w:ascii="宋体" w:hAnsi="宋体" w:eastAsia="宋体" w:cs="宋体"/>
          <w:bCs/>
          <w:color w:val="auto"/>
          <w:szCs w:val="21"/>
          <w:highlight w:val="none"/>
          <w:lang w:val="en-US" w:eastAsia="zh-CN"/>
        </w:rPr>
        <w:t>保洁</w:t>
      </w:r>
      <w:r>
        <w:rPr>
          <w:rFonts w:hint="eastAsia" w:ascii="宋体" w:hAnsi="宋体" w:eastAsia="宋体" w:cs="Times New Roman"/>
          <w:bCs/>
          <w:color w:val="auto"/>
          <w:szCs w:val="21"/>
          <w:highlight w:val="none"/>
          <w:lang w:eastAsia="zh-CN"/>
        </w:rPr>
        <w:t>每月</w:t>
      </w:r>
      <w:r>
        <w:rPr>
          <w:rFonts w:hint="eastAsia" w:ascii="宋体" w:hAnsi="宋体" w:eastAsia="宋体" w:cs="Times New Roman"/>
          <w:bCs/>
          <w:color w:val="auto"/>
          <w:szCs w:val="21"/>
          <w:highlight w:val="none"/>
          <w:lang w:val="en-US" w:eastAsia="zh-CN"/>
        </w:rPr>
        <w:t>固定</w:t>
      </w:r>
      <w:r>
        <w:rPr>
          <w:rFonts w:hint="eastAsia" w:ascii="宋体" w:hAnsi="宋体" w:eastAsia="宋体" w:cs="Times New Roman"/>
          <w:bCs/>
          <w:color w:val="auto"/>
          <w:szCs w:val="21"/>
          <w:highlight w:val="none"/>
          <w:lang w:eastAsia="zh-CN"/>
        </w:rPr>
        <w:t>换1-2次床单、</w:t>
      </w:r>
      <w:r>
        <w:rPr>
          <w:rFonts w:hint="eastAsia" w:ascii="宋体" w:hAnsi="宋体" w:eastAsia="宋体" w:cs="Times New Roman"/>
          <w:bCs/>
          <w:color w:val="auto"/>
          <w:szCs w:val="21"/>
          <w:highlight w:val="none"/>
          <w:lang w:val="en-US" w:eastAsia="zh-CN"/>
        </w:rPr>
        <w:t>根据人员退宿情况随时</w:t>
      </w:r>
      <w:r>
        <w:rPr>
          <w:rFonts w:hint="eastAsia" w:ascii="宋体" w:hAnsi="宋体" w:eastAsia="宋体" w:cs="Times New Roman"/>
          <w:bCs/>
          <w:color w:val="auto"/>
          <w:szCs w:val="21"/>
          <w:highlight w:val="none"/>
          <w:lang w:eastAsia="zh-CN"/>
        </w:rPr>
        <w:t>更换床单、每天清理厨房间、冰箱等服务。</w:t>
      </w:r>
    </w:p>
    <w:p w14:paraId="5683D597">
      <w:pPr>
        <w:adjustRightInd w:val="0"/>
        <w:snapToGrid w:val="0"/>
        <w:spacing w:line="360" w:lineRule="auto"/>
        <w:ind w:firstLine="420" w:firstLineChars="200"/>
        <w:rPr>
          <w:rFonts w:hint="default" w:ascii="宋体" w:hAnsi="宋体" w:eastAsia="宋体" w:cs="宋体"/>
          <w:bCs/>
          <w:color w:val="auto"/>
          <w:szCs w:val="21"/>
          <w:highlight w:val="none"/>
          <w:lang w:val="en-US"/>
        </w:rPr>
      </w:pPr>
      <w:r>
        <w:rPr>
          <w:rFonts w:hint="eastAsia" w:ascii="微软雅黑" w:hAnsi="微软雅黑" w:eastAsia="微软雅黑" w:cs="微软雅黑"/>
          <w:bCs/>
          <w:color w:val="auto"/>
          <w:szCs w:val="21"/>
          <w:highlight w:val="none"/>
        </w:rPr>
        <w:t>④</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上海大学</w:t>
      </w:r>
      <w:r>
        <w:rPr>
          <w:rFonts w:hint="default" w:ascii="宋体" w:hAnsi="宋体" w:eastAsia="宋体" w:cs="宋体"/>
          <w:bCs/>
          <w:color w:val="auto"/>
          <w:szCs w:val="21"/>
          <w:highlight w:val="none"/>
          <w:lang w:val="en-US"/>
        </w:rPr>
        <w:t>嘉定校区图书馆</w:t>
      </w:r>
      <w:r>
        <w:rPr>
          <w:rFonts w:hint="eastAsia" w:ascii="宋体" w:hAnsi="宋体" w:eastAsia="宋体" w:cs="Times New Roman"/>
          <w:bCs/>
          <w:color w:val="auto"/>
          <w:szCs w:val="21"/>
          <w:highlight w:val="none"/>
        </w:rPr>
        <w:t>室内</w:t>
      </w:r>
      <w:r>
        <w:rPr>
          <w:rFonts w:hint="eastAsia" w:ascii="宋体" w:hAnsi="宋体" w:eastAsia="宋体" w:cs="Times New Roman"/>
          <w:bCs/>
          <w:color w:val="auto"/>
          <w:szCs w:val="21"/>
          <w:highlight w:val="none"/>
          <w:lang w:val="en-US" w:eastAsia="zh-CN"/>
        </w:rPr>
        <w:t>地上地下总建筑面积约</w:t>
      </w:r>
      <w:r>
        <w:rPr>
          <w:rFonts w:hint="eastAsia" w:ascii="宋体" w:hAnsi="宋体" w:eastAsia="宋体" w:cs="Times New Roman"/>
          <w:bCs/>
          <w:color w:val="auto"/>
          <w:szCs w:val="21"/>
          <w:highlight w:val="none"/>
          <w:lang w:val="en-US" w:eastAsia="zh-CN"/>
        </w:rPr>
        <w:t>9313</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的</w:t>
      </w:r>
      <w:r>
        <w:rPr>
          <w:rFonts w:hint="default" w:ascii="宋体" w:hAnsi="宋体" w:eastAsia="宋体" w:cs="宋体"/>
          <w:bCs/>
          <w:color w:val="auto"/>
          <w:szCs w:val="21"/>
          <w:highlight w:val="none"/>
          <w:lang w:val="en-US"/>
        </w:rPr>
        <w:t>室内公共区域、厕所、阅览室、流通等场所</w:t>
      </w:r>
      <w:r>
        <w:rPr>
          <w:rFonts w:hint="default" w:ascii="宋体" w:hAnsi="宋体" w:eastAsia="宋体" w:cs="宋体"/>
          <w:bCs/>
          <w:strike w:val="0"/>
          <w:dstrike w:val="0"/>
          <w:color w:val="auto"/>
          <w:szCs w:val="21"/>
          <w:highlight w:val="none"/>
          <w:lang w:val="en-US"/>
        </w:rPr>
        <w:t>保洁</w:t>
      </w:r>
      <w:r>
        <w:rPr>
          <w:rFonts w:hint="default" w:ascii="宋体" w:hAnsi="宋体" w:eastAsia="宋体" w:cs="宋体"/>
          <w:bCs/>
          <w:color w:val="auto"/>
          <w:szCs w:val="21"/>
          <w:highlight w:val="none"/>
          <w:lang w:val="en-US"/>
        </w:rPr>
        <w:t>，图书馆开馆时间为周一至周日的8:00-22:00。</w:t>
      </w:r>
    </w:p>
    <w:p w14:paraId="213761E0">
      <w:pPr>
        <w:adjustRightInd w:val="0"/>
        <w:snapToGrid w:val="0"/>
        <w:spacing w:line="360" w:lineRule="auto"/>
        <w:ind w:firstLine="420" w:firstLineChars="200"/>
        <w:rPr>
          <w:rFonts w:hint="eastAsia" w:ascii="宋体" w:hAnsi="宋体" w:eastAsia="宋体" w:cs="宋体"/>
          <w:bCs/>
          <w:color w:val="auto"/>
          <w:szCs w:val="21"/>
          <w:highlight w:val="none"/>
          <w:lang w:val="en-US" w:eastAsia="zh-CN"/>
        </w:rPr>
      </w:pPr>
      <w:r>
        <w:rPr>
          <w:rFonts w:hint="eastAsia" w:ascii="微软雅黑" w:hAnsi="微软雅黑" w:eastAsia="微软雅黑" w:cs="微软雅黑"/>
          <w:bCs/>
          <w:color w:val="auto"/>
          <w:szCs w:val="21"/>
          <w:highlight w:val="none"/>
        </w:rPr>
        <w:t>⑤</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上海大学嘉定校区</w:t>
      </w:r>
      <w:r>
        <w:rPr>
          <w:rFonts w:hint="eastAsia" w:ascii="宋体" w:hAnsi="宋体" w:eastAsia="宋体" w:cs="宋体"/>
          <w:bCs/>
          <w:color w:val="auto"/>
          <w:szCs w:val="21"/>
          <w:highlight w:val="none"/>
          <w:lang w:val="en-US" w:eastAsia="zh-CN"/>
        </w:rPr>
        <w:t>室外道路</w:t>
      </w:r>
      <w:r>
        <w:rPr>
          <w:rFonts w:hint="eastAsia" w:ascii="宋体" w:hAnsi="宋体" w:eastAsia="宋体" w:cs="宋体"/>
          <w:bCs/>
          <w:color w:val="auto"/>
          <w:szCs w:val="21"/>
          <w:highlight w:val="none"/>
          <w:lang w:val="en-US" w:eastAsia="zh-CN"/>
        </w:rPr>
        <w:t>保洁服务，面积约</w:t>
      </w:r>
      <w:r>
        <w:rPr>
          <w:rFonts w:hint="eastAsia" w:ascii="宋体" w:hAnsi="宋体" w:eastAsia="宋体" w:cs="宋体"/>
          <w:bCs/>
          <w:color w:val="auto"/>
          <w:szCs w:val="21"/>
          <w:highlight w:val="none"/>
          <w:lang w:val="en-US" w:eastAsia="zh-CN"/>
        </w:rPr>
        <w:t>37791</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bCs/>
          <w:color w:val="auto"/>
          <w:szCs w:val="21"/>
          <w:highlight w:val="none"/>
          <w:lang w:val="en-US" w:eastAsia="zh-CN"/>
        </w:rPr>
        <w:t>负责嘉定校区校内所有公共道路（主次干道）、广场及公共停车场的保洁；负责所有公共道路及广场的附属环境设施：校车站点、</w:t>
      </w:r>
      <w:r>
        <w:rPr>
          <w:rFonts w:hint="eastAsia" w:ascii="宋体" w:hAnsi="宋体" w:eastAsia="宋体" w:cs="宋体"/>
          <w:bCs/>
          <w:color w:val="auto"/>
          <w:kern w:val="0"/>
          <w:szCs w:val="21"/>
          <w:highlight w:val="none"/>
          <w:lang w:eastAsia="zh-CN"/>
        </w:rPr>
        <w:t>学习休憩场所</w:t>
      </w:r>
      <w:r>
        <w:rPr>
          <w:rFonts w:hint="eastAsia" w:ascii="宋体" w:hAnsi="宋体" w:eastAsia="宋体" w:cs="宋体"/>
          <w:bCs/>
          <w:color w:val="auto"/>
          <w:szCs w:val="21"/>
          <w:highlight w:val="none"/>
          <w:lang w:val="en-US" w:eastAsia="zh-CN"/>
        </w:rPr>
        <w:t>桌椅等设施、校园标识指示牌等的日常保洁，垃圾桶的倾倒和保洁。</w:t>
      </w:r>
    </w:p>
    <w:p w14:paraId="6C6B1814">
      <w:pPr>
        <w:adjustRightInd w:val="0"/>
        <w:snapToGrid w:val="0"/>
        <w:spacing w:line="360" w:lineRule="auto"/>
        <w:ind w:firstLine="420" w:firstLineChars="200"/>
        <w:rPr>
          <w:rFonts w:hint="default" w:ascii="宋体" w:hAnsi="宋体" w:eastAsia="宋体" w:cs="宋体"/>
          <w:bCs/>
          <w:color w:val="auto"/>
          <w:szCs w:val="21"/>
          <w:highlight w:val="none"/>
          <w:lang w:val="en-US" w:eastAsia="zh-CN"/>
        </w:rPr>
      </w:pPr>
      <w:r>
        <w:rPr>
          <w:rFonts w:hint="eastAsia" w:ascii="微软雅黑" w:hAnsi="微软雅黑" w:eastAsia="微软雅黑" w:cs="微软雅黑"/>
          <w:bCs/>
          <w:color w:val="auto"/>
          <w:szCs w:val="21"/>
          <w:highlight w:val="none"/>
        </w:rPr>
        <w:t>⑥</w:t>
      </w:r>
      <w:r>
        <w:rPr>
          <w:rFonts w:hint="eastAsia" w:ascii="宋体" w:hAnsi="宋体" w:eastAsia="宋体" w:cs="宋体"/>
          <w:bCs/>
          <w:color w:val="auto"/>
          <w:szCs w:val="21"/>
          <w:highlight w:val="none"/>
          <w:lang w:val="en-US" w:eastAsia="zh-CN"/>
        </w:rPr>
        <w:t>上海大学嘉定校区</w:t>
      </w:r>
      <w:r>
        <w:rPr>
          <w:rFonts w:ascii="Times New Roman" w:hAnsi="Times New Roman" w:cs="Times New Roman"/>
          <w:color w:val="auto"/>
          <w:sz w:val="21"/>
          <w:szCs w:val="21"/>
          <w:highlight w:val="none"/>
        </w:rPr>
        <w:t>区域内定期清理、清扫</w:t>
      </w:r>
      <w:r>
        <w:rPr>
          <w:rFonts w:hint="eastAsia" w:ascii="Times New Roman" w:hAnsi="Times New Roman" w:cs="Times New Roman"/>
          <w:color w:val="auto"/>
          <w:sz w:val="21"/>
          <w:szCs w:val="21"/>
          <w:highlight w:val="none"/>
          <w:lang w:val="en-US" w:eastAsia="zh-CN"/>
        </w:rPr>
        <w:t>屋顶、</w:t>
      </w:r>
      <w:r>
        <w:rPr>
          <w:rFonts w:ascii="Times New Roman" w:hAnsi="Times New Roman" w:cs="Times New Roman"/>
          <w:color w:val="auto"/>
          <w:sz w:val="21"/>
          <w:szCs w:val="21"/>
          <w:highlight w:val="none"/>
        </w:rPr>
        <w:t>明沟、</w:t>
      </w:r>
      <w:r>
        <w:rPr>
          <w:rFonts w:hint="eastAsia" w:ascii="Times New Roman" w:hAnsi="Times New Roman" w:cs="Times New Roman"/>
          <w:color w:val="auto"/>
          <w:sz w:val="21"/>
          <w:szCs w:val="21"/>
          <w:highlight w:val="none"/>
        </w:rPr>
        <w:t>撒水坡</w:t>
      </w: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窨井、</w:t>
      </w:r>
      <w:r>
        <w:rPr>
          <w:rFonts w:hint="eastAsia" w:ascii="Times New Roman" w:hAnsi="Times New Roman" w:cs="Times New Roman"/>
          <w:color w:val="auto"/>
          <w:sz w:val="21"/>
          <w:szCs w:val="21"/>
          <w:highlight w:val="none"/>
          <w:lang w:val="en-US" w:eastAsia="zh-CN"/>
        </w:rPr>
        <w:t>道路排水隔栏井</w:t>
      </w:r>
      <w:r>
        <w:rPr>
          <w:rFonts w:ascii="Times New Roman" w:hAnsi="Times New Roman" w:cs="Times New Roman"/>
          <w:color w:val="auto"/>
          <w:sz w:val="21"/>
          <w:szCs w:val="21"/>
          <w:highlight w:val="none"/>
        </w:rPr>
        <w:t>，及时疏通</w:t>
      </w:r>
      <w:r>
        <w:rPr>
          <w:rFonts w:hint="eastAsia" w:ascii="Times New Roman" w:hAnsi="Times New Roman" w:cs="Times New Roman"/>
          <w:color w:val="auto"/>
          <w:sz w:val="21"/>
          <w:szCs w:val="21"/>
          <w:highlight w:val="none"/>
          <w:lang w:val="en-US" w:eastAsia="zh-CN"/>
        </w:rPr>
        <w:t>室内外</w:t>
      </w:r>
      <w:r>
        <w:rPr>
          <w:rFonts w:ascii="Times New Roman" w:hAnsi="Times New Roman" w:cs="Times New Roman"/>
          <w:color w:val="auto"/>
          <w:sz w:val="21"/>
          <w:szCs w:val="21"/>
          <w:highlight w:val="none"/>
        </w:rPr>
        <w:t>管道，</w:t>
      </w:r>
      <w:r>
        <w:rPr>
          <w:rFonts w:hint="eastAsia" w:ascii="Times New Roman" w:hAnsi="Times New Roman" w:cs="Times New Roman"/>
          <w:color w:val="auto"/>
          <w:sz w:val="21"/>
          <w:szCs w:val="21"/>
          <w:highlight w:val="none"/>
          <w:lang w:val="en-US" w:eastAsia="zh-CN"/>
        </w:rPr>
        <w:t>排除疏通故障，</w:t>
      </w:r>
      <w:r>
        <w:rPr>
          <w:rFonts w:ascii="Times New Roman" w:hAnsi="Times New Roman" w:cs="Times New Roman"/>
          <w:color w:val="auto"/>
          <w:sz w:val="21"/>
          <w:szCs w:val="21"/>
          <w:highlight w:val="none"/>
        </w:rPr>
        <w:t>保持雨污水管道通畅</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食堂内外管道的应急疏通</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做好防汛防台时期的防涝工作。</w:t>
      </w:r>
    </w:p>
    <w:p w14:paraId="53B3DDBE">
      <w:pPr>
        <w:adjustRightInd w:val="0"/>
        <w:snapToGrid w:val="0"/>
        <w:spacing w:line="360" w:lineRule="auto"/>
        <w:ind w:firstLine="420" w:firstLineChars="200"/>
        <w:rPr>
          <w:rFonts w:hint="eastAsia" w:ascii="宋体" w:hAnsi="宋体" w:eastAsia="宋体" w:cs="宋体"/>
          <w:bCs/>
          <w:color w:val="auto"/>
          <w:kern w:val="0"/>
          <w:szCs w:val="21"/>
          <w:highlight w:val="none"/>
          <w:lang w:eastAsia="zh-CN"/>
        </w:rPr>
      </w:pPr>
      <w:r>
        <w:rPr>
          <w:rFonts w:hint="eastAsia" w:ascii="微软雅黑" w:hAnsi="微软雅黑" w:eastAsia="微软雅黑" w:cs="微软雅黑"/>
          <w:bCs/>
          <w:color w:val="auto"/>
          <w:szCs w:val="21"/>
          <w:highlight w:val="none"/>
        </w:rPr>
        <w:t>⑦</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上海大学嘉定校区</w:t>
      </w:r>
      <w:r>
        <w:rPr>
          <w:rFonts w:ascii="Times New Roman" w:hAnsi="Times New Roman" w:cs="Times New Roman"/>
          <w:color w:val="auto"/>
          <w:sz w:val="21"/>
          <w:szCs w:val="21"/>
          <w:highlight w:val="none"/>
        </w:rPr>
        <w:t>区域内</w:t>
      </w:r>
      <w:r>
        <w:rPr>
          <w:rFonts w:hint="eastAsia" w:ascii="宋体" w:hAnsi="宋体" w:eastAsia="宋体" w:cs="宋体"/>
          <w:bCs/>
          <w:color w:val="auto"/>
          <w:szCs w:val="21"/>
          <w:highlight w:val="none"/>
          <w:lang w:val="en-US" w:eastAsia="zh-CN"/>
        </w:rPr>
        <w:t>垃圾分类工作。</w:t>
      </w:r>
      <w:r>
        <w:rPr>
          <w:rFonts w:hint="eastAsia" w:ascii="宋体" w:hAnsi="宋体" w:eastAsia="宋体" w:cs="宋体"/>
          <w:bCs/>
          <w:color w:val="auto"/>
          <w:kern w:val="0"/>
          <w:szCs w:val="21"/>
          <w:highlight w:val="none"/>
        </w:rPr>
        <w:t>负责</w:t>
      </w:r>
      <w:r>
        <w:rPr>
          <w:rFonts w:hint="eastAsia" w:ascii="宋体" w:hAnsi="宋体" w:eastAsia="宋体" w:cs="宋体"/>
          <w:bCs/>
          <w:color w:val="auto"/>
          <w:kern w:val="0"/>
          <w:szCs w:val="21"/>
          <w:highlight w:val="none"/>
          <w:lang w:val="en-US" w:eastAsia="zh-CN"/>
        </w:rPr>
        <w:t>区域范围内</w:t>
      </w:r>
      <w:r>
        <w:rPr>
          <w:rFonts w:hint="eastAsia" w:ascii="宋体" w:hAnsi="宋体" w:eastAsia="宋体" w:cs="宋体"/>
          <w:bCs/>
          <w:color w:val="auto"/>
          <w:kern w:val="0"/>
          <w:szCs w:val="21"/>
          <w:highlight w:val="none"/>
        </w:rPr>
        <w:t>垃圾房和垃圾分类投放</w:t>
      </w:r>
      <w:r>
        <w:rPr>
          <w:rFonts w:hint="eastAsia" w:ascii="宋体" w:hAnsi="宋体" w:eastAsia="宋体" w:cs="宋体"/>
          <w:bCs/>
          <w:color w:val="auto"/>
          <w:kern w:val="0"/>
          <w:szCs w:val="21"/>
          <w:highlight w:val="none"/>
          <w:lang w:val="en-US" w:eastAsia="zh-CN"/>
        </w:rPr>
        <w:t>点</w:t>
      </w:r>
      <w:r>
        <w:rPr>
          <w:rFonts w:hint="eastAsia" w:ascii="宋体" w:hAnsi="宋体" w:eastAsia="宋体" w:cs="宋体"/>
          <w:bCs/>
          <w:color w:val="auto"/>
          <w:kern w:val="0"/>
          <w:szCs w:val="21"/>
          <w:highlight w:val="none"/>
        </w:rPr>
        <w:t>的日常保洁、师生垃圾分类与定时定点投放管理与监督，必要的二次分拣工作；负责</w:t>
      </w:r>
      <w:r>
        <w:rPr>
          <w:rFonts w:hint="eastAsia" w:ascii="宋体" w:hAnsi="宋体" w:eastAsia="宋体" w:cs="宋体"/>
          <w:bCs/>
          <w:color w:val="auto"/>
          <w:kern w:val="0"/>
          <w:szCs w:val="21"/>
          <w:highlight w:val="none"/>
          <w:lang w:val="en-US" w:eastAsia="zh-CN"/>
        </w:rPr>
        <w:t>区域范围</w:t>
      </w:r>
      <w:r>
        <w:rPr>
          <w:rFonts w:hint="eastAsia" w:ascii="宋体" w:hAnsi="宋体" w:eastAsia="宋体" w:cs="宋体"/>
          <w:bCs/>
          <w:color w:val="auto"/>
          <w:kern w:val="0"/>
          <w:szCs w:val="21"/>
          <w:highlight w:val="none"/>
        </w:rPr>
        <w:t>内全部生活垃圾</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绿化垃圾、无主建筑垃圾</w:t>
      </w:r>
      <w:r>
        <w:rPr>
          <w:rFonts w:hint="eastAsia" w:ascii="宋体" w:hAnsi="宋体" w:eastAsia="宋体" w:cs="宋体"/>
          <w:bCs/>
          <w:color w:val="auto"/>
          <w:kern w:val="0"/>
          <w:szCs w:val="21"/>
          <w:highlight w:val="none"/>
        </w:rPr>
        <w:t>的集中收运工作，并将收运的垃圾转运到</w:t>
      </w:r>
      <w:r>
        <w:rPr>
          <w:rFonts w:hint="eastAsia" w:ascii="宋体" w:hAnsi="宋体" w:eastAsia="宋体" w:cs="宋体"/>
          <w:bCs/>
          <w:color w:val="auto"/>
          <w:kern w:val="0"/>
          <w:szCs w:val="21"/>
          <w:highlight w:val="none"/>
          <w:lang w:val="en-US" w:eastAsia="zh-CN"/>
        </w:rPr>
        <w:t>指定</w:t>
      </w:r>
      <w:r>
        <w:rPr>
          <w:rFonts w:hint="eastAsia" w:ascii="宋体" w:hAnsi="宋体" w:eastAsia="宋体" w:cs="宋体"/>
          <w:bCs/>
          <w:color w:val="auto"/>
          <w:kern w:val="0"/>
          <w:szCs w:val="21"/>
          <w:highlight w:val="none"/>
        </w:rPr>
        <w:t>垃圾压缩站或指定放置地点；</w:t>
      </w:r>
      <w:r>
        <w:rPr>
          <w:rFonts w:hint="eastAsia" w:ascii="宋体" w:hAnsi="宋体" w:eastAsia="宋体" w:cs="宋体"/>
          <w:bCs/>
          <w:color w:val="auto"/>
          <w:kern w:val="0"/>
          <w:szCs w:val="21"/>
          <w:highlight w:val="none"/>
          <w:lang w:val="en-US" w:eastAsia="zh-CN"/>
        </w:rPr>
        <w:t>负责绿化树枝的外运工作并承担相应费用；</w:t>
      </w:r>
      <w:r>
        <w:rPr>
          <w:rFonts w:hint="eastAsia" w:ascii="宋体" w:hAnsi="宋体" w:eastAsia="宋体" w:cs="宋体"/>
          <w:bCs/>
          <w:color w:val="auto"/>
          <w:kern w:val="0"/>
          <w:szCs w:val="21"/>
          <w:highlight w:val="none"/>
        </w:rPr>
        <w:t>负责</w:t>
      </w:r>
      <w:r>
        <w:rPr>
          <w:rFonts w:hint="eastAsia" w:ascii="宋体" w:hAnsi="宋体" w:eastAsia="宋体" w:cs="宋体"/>
          <w:bCs/>
          <w:color w:val="auto"/>
          <w:kern w:val="0"/>
          <w:szCs w:val="21"/>
          <w:highlight w:val="none"/>
          <w:lang w:val="en-US" w:eastAsia="zh-CN"/>
        </w:rPr>
        <w:t>区域内</w:t>
      </w:r>
      <w:r>
        <w:rPr>
          <w:rFonts w:hint="eastAsia" w:ascii="宋体" w:hAnsi="宋体" w:eastAsia="宋体" w:cs="宋体"/>
          <w:bCs/>
          <w:color w:val="auto"/>
          <w:kern w:val="0"/>
          <w:szCs w:val="21"/>
          <w:highlight w:val="none"/>
        </w:rPr>
        <w:t>垃圾压缩站内的设备设施管理、日常保洁和运营工作；负责</w:t>
      </w:r>
      <w:r>
        <w:rPr>
          <w:rFonts w:hint="eastAsia" w:ascii="宋体" w:hAnsi="宋体" w:eastAsia="宋体" w:cs="宋体"/>
          <w:bCs/>
          <w:color w:val="auto"/>
          <w:kern w:val="0"/>
          <w:szCs w:val="21"/>
          <w:highlight w:val="none"/>
          <w:lang w:val="en-US" w:eastAsia="zh-CN"/>
        </w:rPr>
        <w:t>区域内</w:t>
      </w:r>
      <w:r>
        <w:rPr>
          <w:rFonts w:hint="eastAsia" w:ascii="宋体" w:hAnsi="宋体" w:eastAsia="宋体" w:cs="宋体"/>
          <w:bCs/>
          <w:color w:val="auto"/>
          <w:kern w:val="0"/>
          <w:szCs w:val="21"/>
          <w:highlight w:val="none"/>
        </w:rPr>
        <w:t>所有垃圾房</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垃圾分类投放</w:t>
      </w:r>
      <w:r>
        <w:rPr>
          <w:rFonts w:hint="eastAsia" w:ascii="宋体" w:hAnsi="宋体" w:eastAsia="宋体" w:cs="宋体"/>
          <w:bCs/>
          <w:color w:val="auto"/>
          <w:kern w:val="0"/>
          <w:szCs w:val="21"/>
          <w:highlight w:val="none"/>
          <w:lang w:val="en-US" w:eastAsia="zh-CN"/>
        </w:rPr>
        <w:t>点、垃圾压缩站的</w:t>
      </w:r>
      <w:r>
        <w:rPr>
          <w:rFonts w:hint="eastAsia" w:ascii="宋体" w:hAnsi="宋体" w:eastAsia="宋体" w:cs="宋体"/>
          <w:bCs/>
          <w:color w:val="auto"/>
          <w:kern w:val="0"/>
          <w:szCs w:val="21"/>
          <w:highlight w:val="none"/>
        </w:rPr>
        <w:t>设施、设备的日常维护、保洁、清洗、消毒等管理工作，负责垃圾收运工作相关设备、设施的维护，维护用品自备；本次服务包括相关作业车辆及与作业车辆相关的充电设备</w:t>
      </w:r>
      <w:r>
        <w:rPr>
          <w:rFonts w:hint="eastAsia" w:ascii="宋体" w:hAnsi="宋体" w:eastAsia="宋体" w:cs="宋体"/>
          <w:bCs/>
          <w:color w:val="auto"/>
          <w:kern w:val="0"/>
          <w:szCs w:val="21"/>
          <w:highlight w:val="none"/>
          <w:lang w:eastAsia="zh-CN"/>
        </w:rPr>
        <w:t>。</w:t>
      </w:r>
    </w:p>
    <w:p w14:paraId="05A94FC9">
      <w:pPr>
        <w:adjustRightInd w:val="0"/>
        <w:snapToGrid w:val="0"/>
        <w:spacing w:line="360" w:lineRule="auto"/>
        <w:ind w:firstLine="420" w:firstLineChars="200"/>
        <w:rPr>
          <w:rFonts w:hint="eastAsia" w:ascii="宋体" w:hAnsi="宋体"/>
          <w:bCs/>
          <w:color w:val="auto"/>
          <w:szCs w:val="21"/>
          <w:highlight w:val="none"/>
          <w:lang w:eastAsia="zh-CN"/>
        </w:rPr>
      </w:pPr>
      <w:r>
        <w:rPr>
          <w:rFonts w:hint="eastAsia" w:ascii="宋体" w:hAnsi="宋体" w:eastAsia="宋体" w:cs="宋体"/>
          <w:bCs/>
          <w:color w:val="auto"/>
          <w:kern w:val="0"/>
          <w:szCs w:val="21"/>
          <w:highlight w:val="none"/>
          <w:lang w:val="en-US" w:eastAsia="zh-CN"/>
        </w:rPr>
        <w:t>3.</w:t>
      </w:r>
      <w:r>
        <w:rPr>
          <w:rFonts w:hint="eastAsia" w:ascii="宋体" w:hAnsi="宋体"/>
          <w:bCs/>
          <w:color w:val="auto"/>
          <w:szCs w:val="21"/>
          <w:highlight w:val="none"/>
        </w:rPr>
        <w:t>采购人为中标人</w:t>
      </w:r>
      <w:r>
        <w:rPr>
          <w:rFonts w:hint="eastAsia" w:ascii="宋体" w:hAnsi="宋体"/>
          <w:bCs/>
          <w:strike w:val="0"/>
          <w:dstrike w:val="0"/>
          <w:color w:val="auto"/>
          <w:szCs w:val="21"/>
          <w:highlight w:val="none"/>
          <w:lang w:val="en-US" w:eastAsia="zh-CN"/>
        </w:rPr>
        <w:t>提供</w:t>
      </w:r>
      <w:r>
        <w:rPr>
          <w:rFonts w:hint="eastAsia" w:ascii="宋体" w:hAnsi="宋体"/>
          <w:bCs/>
          <w:color w:val="auto"/>
          <w:szCs w:val="21"/>
          <w:highlight w:val="none"/>
        </w:rPr>
        <w:t>的保洁服务用房情况</w:t>
      </w:r>
    </w:p>
    <w:p w14:paraId="212F23B9">
      <w:pPr>
        <w:numPr>
          <w:ilvl w:val="0"/>
          <w:numId w:val="0"/>
        </w:numPr>
        <w:adjustRightInd w:val="0"/>
        <w:snapToGrid w:val="0"/>
        <w:spacing w:line="360" w:lineRule="auto"/>
        <w:ind w:firstLine="420" w:firstLineChars="200"/>
        <w:rPr>
          <w:rFonts w:hint="eastAsia" w:ascii="宋体" w:hAnsi="宋体"/>
          <w:bCs/>
          <w:color w:val="auto"/>
          <w:szCs w:val="21"/>
          <w:highlight w:val="none"/>
          <w:lang w:eastAsia="zh-CN"/>
        </w:rPr>
      </w:pPr>
      <w:r>
        <w:rPr>
          <w:rFonts w:hint="eastAsia" w:ascii="宋体" w:hAnsi="宋体"/>
          <w:bCs/>
          <w:color w:val="auto"/>
          <w:szCs w:val="21"/>
          <w:highlight w:val="none"/>
          <w:lang w:eastAsia="zh-CN"/>
        </w:rPr>
        <w:t>嘉定校区一教底楼132保洁办公室</w:t>
      </w:r>
      <w:r>
        <w:rPr>
          <w:rFonts w:hint="eastAsia" w:ascii="宋体" w:hAnsi="宋体"/>
          <w:bCs/>
          <w:color w:val="auto"/>
          <w:szCs w:val="21"/>
          <w:highlight w:val="none"/>
          <w:lang w:val="en-US" w:eastAsia="zh-CN"/>
        </w:rPr>
        <w:t>约</w:t>
      </w:r>
      <w:r>
        <w:rPr>
          <w:rFonts w:hint="eastAsia" w:ascii="宋体" w:hAnsi="宋体"/>
          <w:bCs/>
          <w:color w:val="auto"/>
          <w:szCs w:val="21"/>
          <w:highlight w:val="none"/>
          <w:lang w:eastAsia="zh-CN"/>
        </w:rPr>
        <w:t>16平方米，</w:t>
      </w:r>
      <w:r>
        <w:rPr>
          <w:rFonts w:hint="eastAsia" w:ascii="宋体" w:hAnsi="宋体"/>
          <w:bCs/>
          <w:color w:val="auto"/>
          <w:szCs w:val="21"/>
          <w:highlight w:val="none"/>
          <w:lang w:val="en-US" w:eastAsia="zh-CN"/>
        </w:rPr>
        <w:t>二教内3间休息室各约23</w:t>
      </w:r>
      <w:r>
        <w:rPr>
          <w:rFonts w:hint="eastAsia" w:ascii="宋体" w:hAnsi="宋体"/>
          <w:bCs/>
          <w:color w:val="auto"/>
          <w:szCs w:val="21"/>
          <w:highlight w:val="none"/>
          <w:lang w:eastAsia="zh-CN"/>
        </w:rPr>
        <w:t>平方，二教</w:t>
      </w:r>
      <w:r>
        <w:rPr>
          <w:rFonts w:hint="eastAsia" w:ascii="宋体" w:hAnsi="宋体"/>
          <w:bCs/>
          <w:color w:val="auto"/>
          <w:szCs w:val="21"/>
          <w:highlight w:val="none"/>
          <w:lang w:val="en-US" w:eastAsia="zh-CN"/>
        </w:rPr>
        <w:t>底楼休息室8平方，</w:t>
      </w:r>
      <w:r>
        <w:rPr>
          <w:rFonts w:hint="eastAsia" w:ascii="宋体" w:hAnsi="宋体"/>
          <w:bCs/>
          <w:color w:val="auto"/>
          <w:szCs w:val="21"/>
          <w:highlight w:val="none"/>
          <w:lang w:eastAsia="zh-CN"/>
        </w:rPr>
        <w:t>二教内仓库20平方。</w:t>
      </w:r>
    </w:p>
    <w:p w14:paraId="0834502F">
      <w:pPr>
        <w:numPr>
          <w:ilvl w:val="0"/>
          <w:numId w:val="0"/>
        </w:numPr>
        <w:adjustRightInd w:val="0"/>
        <w:snapToGrid w:val="0"/>
        <w:spacing w:line="360" w:lineRule="auto"/>
        <w:ind w:firstLine="420" w:firstLineChars="200"/>
        <w:rPr>
          <w:rFonts w:hint="eastAsia" w:ascii="宋体" w:hAnsi="宋体"/>
          <w:bCs/>
          <w:color w:val="auto"/>
          <w:szCs w:val="21"/>
          <w:highlight w:val="none"/>
          <w:lang w:eastAsia="zh-CN"/>
        </w:rPr>
      </w:pPr>
    </w:p>
    <w:p w14:paraId="031C9FA0">
      <w:pPr>
        <w:pStyle w:val="2"/>
        <w:adjustRightInd w:val="0"/>
        <w:snapToGrid w:val="0"/>
        <w:spacing w:line="360" w:lineRule="auto"/>
        <w:ind w:firstLine="420" w:firstLineChars="200"/>
        <w:rPr>
          <w:rFonts w:hAnsi="宋体"/>
          <w:b/>
          <w:color w:val="auto"/>
          <w:szCs w:val="21"/>
          <w:highlight w:val="none"/>
        </w:rPr>
      </w:pPr>
      <w:r>
        <w:rPr>
          <w:rFonts w:hint="eastAsia" w:hAnsi="宋体"/>
          <w:b/>
          <w:color w:val="auto"/>
          <w:szCs w:val="21"/>
          <w:highlight w:val="none"/>
        </w:rPr>
        <w:t xml:space="preserve">二、绿化养护项目内容及要求 </w:t>
      </w:r>
    </w:p>
    <w:p w14:paraId="31F581D8">
      <w:pPr>
        <w:adjustRightInd w:val="0"/>
        <w:snapToGrid w:val="0"/>
        <w:spacing w:line="360" w:lineRule="auto"/>
        <w:ind w:firstLine="422" w:firstLineChars="201"/>
        <w:rPr>
          <w:rFonts w:ascii="宋体" w:hAnsi="宋体"/>
          <w:b/>
          <w:bCs w:val="0"/>
          <w:color w:val="auto"/>
          <w:szCs w:val="21"/>
          <w:highlight w:val="none"/>
        </w:rPr>
      </w:pPr>
      <w:r>
        <w:rPr>
          <w:rFonts w:hint="eastAsia" w:ascii="宋体" w:hAnsi="宋体"/>
          <w:b/>
          <w:bCs w:val="0"/>
          <w:color w:val="auto"/>
          <w:szCs w:val="21"/>
          <w:highlight w:val="none"/>
        </w:rPr>
        <w:t xml:space="preserve">（一）委托绿化养护内容  </w:t>
      </w:r>
    </w:p>
    <w:p w14:paraId="37D6A271">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专业的绿化管理，行使正常的绿化养护和管理工作。即：绿化养护范围内的中耕除草、松土施肥、修剪整枝、草坪割草、病虫害防治、防汛抗台、抗旱防涝；养护绿地内确保绿化带清洁、整齐，无垃圾、杂物、杂草，无死树、无枯枝，无缺</w:t>
      </w:r>
      <w:r>
        <w:rPr>
          <w:rFonts w:hint="eastAsia" w:ascii="宋体" w:hAnsi="宋体"/>
          <w:bCs/>
          <w:color w:val="auto"/>
          <w:szCs w:val="21"/>
          <w:highlight w:val="none"/>
        </w:rPr>
        <w:t>株；绿地养护范围内缺株及时补栽，需调整、新种、换种的苗木，</w:t>
      </w:r>
      <w:r>
        <w:rPr>
          <w:rFonts w:hint="eastAsia" w:ascii="宋体" w:hAnsi="宋体"/>
          <w:bCs/>
          <w:color w:val="auto"/>
          <w:szCs w:val="21"/>
          <w:highlight w:val="none"/>
          <w:lang w:val="en-US" w:eastAsia="zh-CN"/>
        </w:rPr>
        <w:t>中标供应商</w:t>
      </w:r>
      <w:r>
        <w:rPr>
          <w:rFonts w:hint="eastAsia" w:ascii="宋体" w:hAnsi="宋体"/>
          <w:bCs/>
          <w:color w:val="auto"/>
          <w:szCs w:val="21"/>
          <w:highlight w:val="none"/>
        </w:rPr>
        <w:t>提出后由</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决定，并由</w:t>
      </w:r>
      <w:r>
        <w:rPr>
          <w:rFonts w:hint="eastAsia" w:ascii="宋体" w:hAnsi="宋体"/>
          <w:bCs/>
          <w:color w:val="auto"/>
          <w:szCs w:val="21"/>
          <w:highlight w:val="none"/>
          <w:lang w:val="en-US" w:eastAsia="zh-CN"/>
        </w:rPr>
        <w:t>中标供应商</w:t>
      </w:r>
      <w:r>
        <w:rPr>
          <w:rFonts w:hint="eastAsia" w:ascii="宋体" w:hAnsi="宋体"/>
          <w:bCs/>
          <w:color w:val="auto"/>
          <w:szCs w:val="21"/>
          <w:highlight w:val="none"/>
        </w:rPr>
        <w:t>实施；应积极完成</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交办的其他突击性任务和指令性任务；绿地养护范围内各种附属设施应确保完好无损，完好率达到100%；应配备养护管理范围内所需的各种绿化养护工具、器具和物品，各种肥料、农药，以及器具的燃料和维修费等；承担绿化所产生的所有垃圾清运；未涉及内容按上海市绿化养护标准执行。养护具体内容是：</w:t>
      </w:r>
    </w:p>
    <w:p w14:paraId="0A763114">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1、</w:t>
      </w:r>
      <w:r>
        <w:rPr>
          <w:color w:val="auto"/>
          <w:highlight w:val="none"/>
        </w:rPr>
        <w:fldChar w:fldCharType="begin"/>
      </w:r>
      <w:r>
        <w:rPr>
          <w:color w:val="auto"/>
          <w:highlight w:val="none"/>
        </w:rPr>
        <w:instrText xml:space="preserve"> HYPERLINK "http://testjx004.anyp.com/product.aspx" </w:instrText>
      </w:r>
      <w:r>
        <w:rPr>
          <w:color w:val="auto"/>
          <w:highlight w:val="none"/>
        </w:rPr>
        <w:fldChar w:fldCharType="separate"/>
      </w:r>
      <w:r>
        <w:rPr>
          <w:rFonts w:hint="eastAsia" w:ascii="宋体" w:hAnsi="宋体"/>
          <w:bCs/>
          <w:color w:val="auto"/>
          <w:szCs w:val="21"/>
          <w:highlight w:val="none"/>
        </w:rPr>
        <w:t>乔木</w:t>
      </w:r>
      <w:r>
        <w:rPr>
          <w:rFonts w:hint="eastAsia" w:ascii="宋体" w:hAnsi="宋体"/>
          <w:bCs/>
          <w:color w:val="auto"/>
          <w:szCs w:val="21"/>
          <w:highlight w:val="none"/>
        </w:rPr>
        <w:fldChar w:fldCharType="end"/>
      </w:r>
      <w:r>
        <w:rPr>
          <w:rFonts w:hint="eastAsia" w:ascii="宋体" w:hAnsi="宋体"/>
          <w:bCs/>
          <w:color w:val="auto"/>
          <w:szCs w:val="21"/>
          <w:highlight w:val="none"/>
        </w:rPr>
        <w:t>：采用穴施、及喷洒、水肥等进行施肥，及时防治病虫害，保持树木自然生长状态（或造型修剪），及时剪除黄枝、病虫枝、荫蔽徒长枝及阻碍车辆通行的下垂枝，及时清理干净修剪物，确保无杂草。</w:t>
      </w:r>
    </w:p>
    <w:p w14:paraId="07B0D049">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2、</w:t>
      </w:r>
      <w:r>
        <w:rPr>
          <w:color w:val="auto"/>
          <w:highlight w:val="none"/>
        </w:rPr>
        <w:fldChar w:fldCharType="begin"/>
      </w:r>
      <w:r>
        <w:rPr>
          <w:color w:val="auto"/>
          <w:highlight w:val="none"/>
        </w:rPr>
        <w:instrText xml:space="preserve"> HYPERLINK "http://testjx004.anyp.com/product.aspx" </w:instrText>
      </w:r>
      <w:r>
        <w:rPr>
          <w:color w:val="auto"/>
          <w:highlight w:val="none"/>
        </w:rPr>
        <w:fldChar w:fldCharType="separate"/>
      </w:r>
      <w:r>
        <w:rPr>
          <w:rFonts w:hint="eastAsia" w:ascii="宋体" w:hAnsi="宋体"/>
          <w:bCs/>
          <w:color w:val="auto"/>
          <w:szCs w:val="21"/>
          <w:highlight w:val="none"/>
        </w:rPr>
        <w:t>灌木</w:t>
      </w:r>
      <w:r>
        <w:rPr>
          <w:rFonts w:hint="eastAsia" w:ascii="宋体" w:hAnsi="宋体"/>
          <w:bCs/>
          <w:color w:val="auto"/>
          <w:szCs w:val="21"/>
          <w:highlight w:val="none"/>
        </w:rPr>
        <w:fldChar w:fldCharType="end"/>
      </w:r>
      <w:r>
        <w:rPr>
          <w:rFonts w:hint="eastAsia" w:ascii="宋体" w:hAnsi="宋体"/>
          <w:bCs/>
          <w:color w:val="auto"/>
          <w:szCs w:val="21"/>
          <w:highlight w:val="none"/>
        </w:rPr>
        <w:t>、绿篱：按季节施肥，及时防治病虫害，修剪成圆形、方行或锥行的，每周小修一次，每月大修一次，剪口平滑、美观，及时清除修剪物，及时剪除枯枝、病虫枝，及时清理老、病死植株、及杂草。</w:t>
      </w:r>
    </w:p>
    <w:p w14:paraId="169383BE">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3、草本类：按季节施肥，及时防治病虫害，每周剪除残</w:t>
      </w:r>
      <w:r>
        <w:rPr>
          <w:color w:val="auto"/>
          <w:highlight w:val="none"/>
        </w:rPr>
        <w:fldChar w:fldCharType="begin"/>
      </w:r>
      <w:r>
        <w:rPr>
          <w:color w:val="auto"/>
          <w:highlight w:val="none"/>
        </w:rPr>
        <w:instrText xml:space="preserve"> HYPERLINK "http://testjx004.anyp.com/product/index.aspx" </w:instrText>
      </w:r>
      <w:r>
        <w:rPr>
          <w:color w:val="auto"/>
          <w:highlight w:val="none"/>
        </w:rPr>
        <w:fldChar w:fldCharType="separate"/>
      </w:r>
      <w:r>
        <w:rPr>
          <w:rFonts w:hint="eastAsia" w:ascii="宋体" w:hAnsi="宋体"/>
          <w:bCs/>
          <w:color w:val="auto"/>
          <w:szCs w:val="21"/>
          <w:highlight w:val="none"/>
        </w:rPr>
        <w:t>花</w:t>
      </w:r>
      <w:r>
        <w:rPr>
          <w:rFonts w:hint="eastAsia" w:ascii="宋体" w:hAnsi="宋体"/>
          <w:bCs/>
          <w:color w:val="auto"/>
          <w:szCs w:val="21"/>
          <w:highlight w:val="none"/>
        </w:rPr>
        <w:fldChar w:fldCharType="end"/>
      </w:r>
      <w:r>
        <w:rPr>
          <w:rFonts w:hint="eastAsia" w:ascii="宋体" w:hAnsi="宋体"/>
          <w:bCs/>
          <w:color w:val="auto"/>
          <w:szCs w:val="21"/>
          <w:highlight w:val="none"/>
        </w:rPr>
        <w:t>一次、清除杂草一次，及时剪除枯枝、黄枝。</w:t>
      </w:r>
    </w:p>
    <w:p w14:paraId="5C42C0E0">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4、草坪及地被：按不同季节施肥，施肥均匀、淋水透彻，及时防治病虫和补种萎死残缺部分，覆盖率达98%以上，每月修剪1-2次。</w:t>
      </w:r>
    </w:p>
    <w:p w14:paraId="4C8B71A0">
      <w:pPr>
        <w:adjustRightInd w:val="0"/>
        <w:snapToGrid w:val="0"/>
        <w:spacing w:line="360" w:lineRule="auto"/>
        <w:ind w:firstLine="422" w:firstLineChars="201"/>
        <w:rPr>
          <w:rFonts w:hint="eastAsia" w:ascii="宋体" w:hAnsi="宋体"/>
          <w:bCs/>
          <w:color w:val="auto"/>
          <w:szCs w:val="21"/>
          <w:highlight w:val="none"/>
        </w:rPr>
      </w:pPr>
      <w:r>
        <w:rPr>
          <w:rFonts w:hint="eastAsia" w:ascii="宋体" w:hAnsi="宋体"/>
          <w:bCs/>
          <w:color w:val="auto"/>
          <w:szCs w:val="21"/>
          <w:highlight w:val="none"/>
          <w:lang w:val="en-US" w:eastAsia="zh-CN"/>
        </w:rPr>
        <w:t>5</w:t>
      </w:r>
      <w:r>
        <w:rPr>
          <w:rFonts w:hint="eastAsia" w:ascii="宋体" w:hAnsi="宋体"/>
          <w:bCs/>
          <w:color w:val="auto"/>
          <w:szCs w:val="21"/>
          <w:highlight w:val="none"/>
        </w:rPr>
        <w:t>、花坛类：按照</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要求，及时更换花坛内草花，</w:t>
      </w:r>
      <w:r>
        <w:rPr>
          <w:rFonts w:hint="eastAsia" w:ascii="宋体" w:hAnsi="宋体"/>
          <w:bCs/>
          <w:color w:val="auto"/>
          <w:szCs w:val="21"/>
          <w:highlight w:val="none"/>
          <w:lang w:val="en-US" w:eastAsia="zh-CN"/>
        </w:rPr>
        <w:t>中标供应商</w:t>
      </w:r>
      <w:r>
        <w:rPr>
          <w:rFonts w:hint="eastAsia" w:ascii="宋体" w:hAnsi="宋体"/>
          <w:bCs/>
          <w:color w:val="auto"/>
          <w:szCs w:val="21"/>
          <w:highlight w:val="none"/>
        </w:rPr>
        <w:t>设计草花建植式样，报部门审核通过后种植。</w:t>
      </w:r>
    </w:p>
    <w:p w14:paraId="22B91CBB">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lang w:val="en-US" w:eastAsia="zh-CN"/>
        </w:rPr>
        <w:t>6</w:t>
      </w:r>
      <w:r>
        <w:rPr>
          <w:rFonts w:hint="eastAsia" w:ascii="宋体" w:hAnsi="宋体"/>
          <w:bCs/>
          <w:color w:val="auto"/>
          <w:szCs w:val="21"/>
          <w:highlight w:val="none"/>
        </w:rPr>
        <w:t>、根据</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要求，做好绿化植物本底数据排摸，及时动态调整树木数据，做好绿化养护内容、方式等信息化转型。</w:t>
      </w:r>
    </w:p>
    <w:p w14:paraId="7D273DF8">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lang w:val="en-US" w:eastAsia="zh-CN"/>
        </w:rPr>
        <w:t>7</w:t>
      </w:r>
      <w:r>
        <w:rPr>
          <w:rFonts w:hint="eastAsia" w:ascii="宋体" w:hAnsi="宋体"/>
          <w:bCs/>
          <w:color w:val="auto"/>
          <w:szCs w:val="21"/>
          <w:highlight w:val="none"/>
        </w:rPr>
        <w:t>、配合</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做好各项工程施工范围内需校内移植苗木的选址工作。配合</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做好工程养护期满后绿化养护移交工作。</w:t>
      </w:r>
    </w:p>
    <w:p w14:paraId="389A05CA">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lang w:val="en-US" w:eastAsia="zh-CN"/>
        </w:rPr>
        <w:t>8</w:t>
      </w:r>
      <w:r>
        <w:rPr>
          <w:rFonts w:hint="eastAsia" w:ascii="宋体" w:hAnsi="宋体"/>
          <w:bCs/>
          <w:color w:val="auto"/>
          <w:szCs w:val="21"/>
          <w:highlight w:val="none"/>
        </w:rPr>
        <w:t>、鼓励使用新技术、新方法、新设备做好绿化养护工作。</w:t>
      </w:r>
    </w:p>
    <w:p w14:paraId="10AA89C4">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lang w:val="en-US" w:eastAsia="zh-CN"/>
        </w:rPr>
        <w:t>9</w:t>
      </w:r>
      <w:r>
        <w:rPr>
          <w:rFonts w:hint="eastAsia" w:ascii="宋体" w:hAnsi="宋体"/>
          <w:bCs/>
          <w:color w:val="auto"/>
          <w:szCs w:val="21"/>
          <w:highlight w:val="none"/>
        </w:rPr>
        <w:t>、配合</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做好小节点的植物配置和优化。</w:t>
      </w:r>
    </w:p>
    <w:p w14:paraId="0096D8E6">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0</w:t>
      </w:r>
      <w:r>
        <w:rPr>
          <w:rFonts w:hint="eastAsia" w:ascii="宋体" w:hAnsi="宋体"/>
          <w:bCs/>
          <w:color w:val="auto"/>
          <w:szCs w:val="21"/>
          <w:highlight w:val="none"/>
        </w:rPr>
        <w:t>、对绿化农药、肥料等摆放标准化，危险品管理使用规范。</w:t>
      </w:r>
    </w:p>
    <w:p w14:paraId="3C8B0B07">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1</w:t>
      </w:r>
      <w:r>
        <w:rPr>
          <w:rFonts w:hint="eastAsia" w:ascii="宋体" w:hAnsi="宋体"/>
          <w:bCs/>
          <w:color w:val="auto"/>
          <w:szCs w:val="21"/>
          <w:highlight w:val="none"/>
        </w:rPr>
        <w:t>、绿化工具摆放及使用规范。</w:t>
      </w:r>
    </w:p>
    <w:p w14:paraId="0B6B34DF">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2</w:t>
      </w:r>
      <w:r>
        <w:rPr>
          <w:rFonts w:hint="eastAsia" w:ascii="宋体" w:hAnsi="宋体"/>
          <w:bCs/>
          <w:color w:val="auto"/>
          <w:szCs w:val="21"/>
          <w:highlight w:val="none"/>
        </w:rPr>
        <w:t>、做好防汛防台时期的相应保障服务。</w:t>
      </w:r>
    </w:p>
    <w:p w14:paraId="382267B2">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3</w:t>
      </w:r>
      <w:r>
        <w:rPr>
          <w:rFonts w:hint="eastAsia" w:ascii="宋体" w:hAnsi="宋体"/>
          <w:bCs/>
          <w:color w:val="auto"/>
          <w:szCs w:val="21"/>
          <w:highlight w:val="none"/>
        </w:rPr>
        <w:t>、在日常工作中，接到重大活动、节日和各类参观、检查任务时，及时做出响应，做好突击性绿化服务工作。</w:t>
      </w:r>
    </w:p>
    <w:p w14:paraId="19E54A90">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4</w:t>
      </w:r>
      <w:r>
        <w:rPr>
          <w:rFonts w:hint="eastAsia" w:ascii="宋体" w:hAnsi="宋体"/>
          <w:bCs/>
          <w:color w:val="auto"/>
          <w:szCs w:val="21"/>
          <w:highlight w:val="none"/>
        </w:rPr>
        <w:t>、配合</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做好每年涉及跨校区的菊花展布展相关工作。</w:t>
      </w:r>
    </w:p>
    <w:p w14:paraId="1A6943EE">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5</w:t>
      </w:r>
      <w:r>
        <w:rPr>
          <w:rFonts w:hint="eastAsia" w:ascii="宋体" w:hAnsi="宋体"/>
          <w:bCs/>
          <w:color w:val="auto"/>
          <w:szCs w:val="21"/>
          <w:highlight w:val="none"/>
        </w:rPr>
        <w:t>、配合</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做好“全国绿化模范单位”、“上海市花园单位”、“上海市绿色校园”等相关荣誉的复验工作。</w:t>
      </w:r>
    </w:p>
    <w:p w14:paraId="27E4935D">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6</w:t>
      </w:r>
      <w:r>
        <w:rPr>
          <w:rFonts w:hint="eastAsia" w:ascii="宋体" w:hAnsi="宋体"/>
          <w:bCs/>
          <w:color w:val="auto"/>
          <w:szCs w:val="21"/>
          <w:highlight w:val="none"/>
        </w:rPr>
        <w:t>、配合</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做好垃圾分类相关工作且达标。</w:t>
      </w:r>
    </w:p>
    <w:p w14:paraId="24BF24AF">
      <w:pPr>
        <w:adjustRightInd w:val="0"/>
        <w:snapToGrid w:val="0"/>
        <w:spacing w:line="360" w:lineRule="auto"/>
        <w:ind w:firstLine="422" w:firstLineChars="201"/>
        <w:rPr>
          <w:rFonts w:ascii="宋体" w:hAnsi="宋体"/>
          <w:b/>
          <w:bCs w:val="0"/>
          <w:color w:val="auto"/>
          <w:szCs w:val="21"/>
          <w:highlight w:val="none"/>
        </w:rPr>
      </w:pPr>
      <w:r>
        <w:rPr>
          <w:rFonts w:hint="eastAsia" w:ascii="宋体" w:hAnsi="宋体"/>
          <w:b/>
          <w:bCs w:val="0"/>
          <w:color w:val="auto"/>
          <w:szCs w:val="21"/>
          <w:highlight w:val="none"/>
        </w:rPr>
        <w:t>（二）委托绿化养护质量要求</w:t>
      </w:r>
    </w:p>
    <w:p w14:paraId="2403A224">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1、</w:t>
      </w:r>
      <w:r>
        <w:rPr>
          <w:color w:val="auto"/>
          <w:highlight w:val="none"/>
        </w:rPr>
        <w:fldChar w:fldCharType="begin"/>
      </w:r>
      <w:r>
        <w:rPr>
          <w:color w:val="auto"/>
          <w:highlight w:val="none"/>
        </w:rPr>
        <w:instrText xml:space="preserve"> HYPERLINK "http://www.gdtyf.com/index.aspx" </w:instrText>
      </w:r>
      <w:r>
        <w:rPr>
          <w:color w:val="auto"/>
          <w:highlight w:val="none"/>
        </w:rPr>
        <w:fldChar w:fldCharType="separate"/>
      </w:r>
      <w:r>
        <w:rPr>
          <w:rFonts w:hint="eastAsia" w:ascii="宋体" w:hAnsi="宋体"/>
          <w:bCs/>
          <w:color w:val="auto"/>
          <w:szCs w:val="21"/>
          <w:highlight w:val="none"/>
        </w:rPr>
        <w:t>绿化</w:t>
      </w:r>
      <w:r>
        <w:rPr>
          <w:rFonts w:hint="eastAsia" w:ascii="宋体" w:hAnsi="宋体"/>
          <w:bCs/>
          <w:color w:val="auto"/>
          <w:szCs w:val="21"/>
          <w:highlight w:val="none"/>
        </w:rPr>
        <w:fldChar w:fldCharType="end"/>
      </w:r>
      <w:r>
        <w:rPr>
          <w:rFonts w:hint="eastAsia" w:ascii="宋体" w:hAnsi="宋体"/>
          <w:bCs/>
          <w:color w:val="auto"/>
          <w:szCs w:val="21"/>
          <w:highlight w:val="none"/>
        </w:rPr>
        <w:t>充分，</w:t>
      </w:r>
      <w:r>
        <w:rPr>
          <w:color w:val="auto"/>
          <w:highlight w:val="none"/>
        </w:rPr>
        <w:fldChar w:fldCharType="begin"/>
      </w:r>
      <w:r>
        <w:rPr>
          <w:color w:val="auto"/>
          <w:highlight w:val="none"/>
        </w:rPr>
        <w:instrText xml:space="preserve"> HYPERLINK "http://www.gdtyf.com/index.aspx" </w:instrText>
      </w:r>
      <w:r>
        <w:rPr>
          <w:color w:val="auto"/>
          <w:highlight w:val="none"/>
        </w:rPr>
        <w:fldChar w:fldCharType="separate"/>
      </w:r>
      <w:r>
        <w:rPr>
          <w:rFonts w:hint="eastAsia" w:ascii="宋体" w:hAnsi="宋体"/>
          <w:bCs/>
          <w:color w:val="auto"/>
          <w:szCs w:val="21"/>
          <w:highlight w:val="none"/>
        </w:rPr>
        <w:t>植物</w:t>
      </w:r>
      <w:r>
        <w:rPr>
          <w:rFonts w:hint="eastAsia" w:ascii="宋体" w:hAnsi="宋体"/>
          <w:bCs/>
          <w:color w:val="auto"/>
          <w:szCs w:val="21"/>
          <w:highlight w:val="none"/>
        </w:rPr>
        <w:fldChar w:fldCharType="end"/>
      </w:r>
      <w:r>
        <w:rPr>
          <w:rFonts w:hint="eastAsia" w:ascii="宋体" w:hAnsi="宋体"/>
          <w:bCs/>
          <w:color w:val="auto"/>
          <w:szCs w:val="21"/>
          <w:highlight w:val="none"/>
        </w:rPr>
        <w:t>配置合理，达到黄土不外露。</w:t>
      </w:r>
    </w:p>
    <w:p w14:paraId="3297D6E2">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2、绿化</w:t>
      </w:r>
      <w:r>
        <w:rPr>
          <w:color w:val="auto"/>
          <w:highlight w:val="none"/>
        </w:rPr>
        <w:fldChar w:fldCharType="begin"/>
      </w:r>
      <w:r>
        <w:rPr>
          <w:color w:val="auto"/>
          <w:highlight w:val="none"/>
        </w:rPr>
        <w:instrText xml:space="preserve"> HYPERLINK "http://www.gdtyf.com/index.aspx" </w:instrText>
      </w:r>
      <w:r>
        <w:rPr>
          <w:color w:val="auto"/>
          <w:highlight w:val="none"/>
        </w:rPr>
        <w:fldChar w:fldCharType="separate"/>
      </w:r>
      <w:r>
        <w:rPr>
          <w:rFonts w:hint="eastAsia" w:ascii="宋体" w:hAnsi="宋体"/>
          <w:bCs/>
          <w:color w:val="auto"/>
          <w:szCs w:val="21"/>
          <w:highlight w:val="none"/>
        </w:rPr>
        <w:t>植物</w:t>
      </w:r>
      <w:r>
        <w:rPr>
          <w:rFonts w:hint="eastAsia" w:ascii="宋体" w:hAnsi="宋体"/>
          <w:bCs/>
          <w:color w:val="auto"/>
          <w:szCs w:val="21"/>
          <w:highlight w:val="none"/>
        </w:rPr>
        <w:fldChar w:fldCharType="end"/>
      </w:r>
      <w:r>
        <w:rPr>
          <w:rFonts w:hint="eastAsia" w:ascii="宋体" w:hAnsi="宋体"/>
          <w:bCs/>
          <w:color w:val="auto"/>
          <w:szCs w:val="21"/>
          <w:highlight w:val="none"/>
        </w:rPr>
        <w:t>达到：</w:t>
      </w:r>
    </w:p>
    <w:p w14:paraId="6A3E9C77">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①生长势好。叶子健壮：叶色正常，叶大而肥厚，在正常的条件下不黄叶，不焦叶、不卷叶、不落叶；被啃咬的叶片最严重的每株在5％以下(含5％)。</w:t>
      </w:r>
    </w:p>
    <w:p w14:paraId="38DBA48E">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②枝、干健壮：无明显枯枝、死枝，枝条粗壮；无蛀干害虫的活卵活虫；介壳虫最严重处主枝干上100平方厘米1头活虫以下，较细的枝条每尺长的一段上在5头活虫以下(含5头)；株数都在2％以下(含2％)；树冠完整，分支点合适，主侧枝分布均称和数量适宜、内膛不乱、通风透光。</w:t>
      </w:r>
    </w:p>
    <w:p w14:paraId="6739BBAB">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③树木有群体、个体特色效果，树木修剪合理，树形美观，无缺株、死树，植株生长健壮，树冠丰满完整，不倾斜，无断桩、坏桩。无徒长枝、病虫枝、过密枝、并生枝、枯死枝、伤损枝、下垂枝。基本无病虫害危害迹象，蛀干性害虫危害率不超过3%。树干每年涂白，高度一致。树干上无钉栓刻画的现象，树穴2米范围内无堆物、堆料、搭棚设摊、围栏等影响树木生长的现象。</w:t>
      </w:r>
    </w:p>
    <w:p w14:paraId="0A1647E6">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④草坪覆盖率应基本达到100％；草坪内杂草控制在10％以内；生长茂盛颜色正常，不枯黄。</w:t>
      </w:r>
    </w:p>
    <w:p w14:paraId="343328D8">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3、行道树需及时解决树木与电线、建筑物、交通等之间的矛盾，不影响车辆通行和高压线、路灯、交通指示牌。补栽树木应与原有行道树规格、品种保持一致。树穴有平整盖板或种植地被植物并长势茂盛黄土不裸露。</w:t>
      </w:r>
    </w:p>
    <w:p w14:paraId="7B93ACB3">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4、栏杆、园路、桌椅、井盖和牌饰等园林设施完整，做到及时维护和油饰。</w:t>
      </w:r>
    </w:p>
    <w:p w14:paraId="5B0DE486">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5、无明显的人为损坏，绿地、草坪内无堆物堆料、搭棚或侵占等。</w:t>
      </w:r>
    </w:p>
    <w:p w14:paraId="5DD95539">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6、植保。提倡生化物防治、人工防治，使用农药必须以不伤害人体健康为前提，尽量使用高效低毒的农药。在确保周边环境安全前提下（生活区需提前告知），使用农药必须做好操作人员的防护措施，必须在晴朗无风的天气一次完成，喷药后4小时内下雨的，则待天晴后重喷。使用小型喷雾器或手动喷雾器，避免药液扩散，影响他人健康。</w:t>
      </w:r>
    </w:p>
    <w:p w14:paraId="2847D6F8">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7、</w:t>
      </w:r>
      <w:r>
        <w:rPr>
          <w:color w:val="auto"/>
          <w:highlight w:val="none"/>
        </w:rPr>
        <w:fldChar w:fldCharType="begin"/>
      </w:r>
      <w:r>
        <w:rPr>
          <w:color w:val="auto"/>
          <w:highlight w:val="none"/>
        </w:rPr>
        <w:instrText xml:space="preserve"> HYPERLINK "http://www.gdtyf.com/index.aspx" </w:instrText>
      </w:r>
      <w:r>
        <w:rPr>
          <w:color w:val="auto"/>
          <w:highlight w:val="none"/>
        </w:rPr>
        <w:fldChar w:fldCharType="separate"/>
      </w:r>
      <w:r>
        <w:rPr>
          <w:rFonts w:hint="eastAsia" w:ascii="宋体" w:hAnsi="宋体"/>
          <w:bCs/>
          <w:color w:val="auto"/>
          <w:szCs w:val="21"/>
          <w:highlight w:val="none"/>
        </w:rPr>
        <w:t>绿化</w:t>
      </w:r>
      <w:r>
        <w:rPr>
          <w:rFonts w:hint="eastAsia" w:ascii="宋体" w:hAnsi="宋体"/>
          <w:bCs/>
          <w:color w:val="auto"/>
          <w:szCs w:val="21"/>
          <w:highlight w:val="none"/>
        </w:rPr>
        <w:fldChar w:fldCharType="end"/>
      </w:r>
      <w:r>
        <w:rPr>
          <w:rFonts w:hint="eastAsia" w:ascii="宋体" w:hAnsi="宋体"/>
          <w:bCs/>
          <w:color w:val="auto"/>
          <w:szCs w:val="21"/>
          <w:highlight w:val="none"/>
        </w:rPr>
        <w:t>生产垃圾(如：树枝、树叶、草沫等)重点地区路段能做到随产随清，其它地区和路段做到日产日清；绿地整洁，无砖石瓦块、纸屑、果皮、筐和塑料袋等废弃物，并做到经常保洁。所产生的绿化垃圾一并由</w:t>
      </w:r>
      <w:r>
        <w:rPr>
          <w:rFonts w:hint="eastAsia" w:ascii="宋体" w:hAnsi="宋体"/>
          <w:bCs/>
          <w:color w:val="auto"/>
          <w:szCs w:val="21"/>
          <w:highlight w:val="none"/>
          <w:lang w:val="en-US" w:eastAsia="zh-CN"/>
        </w:rPr>
        <w:t>中标供应商</w:t>
      </w:r>
      <w:r>
        <w:rPr>
          <w:rFonts w:hint="eastAsia" w:ascii="宋体" w:hAnsi="宋体"/>
          <w:bCs/>
          <w:color w:val="auto"/>
          <w:szCs w:val="21"/>
          <w:highlight w:val="none"/>
        </w:rPr>
        <w:t>负责清运、处理。</w:t>
      </w:r>
    </w:p>
    <w:p w14:paraId="48CA0ED3">
      <w:pPr>
        <w:adjustRightInd w:val="0"/>
        <w:snapToGrid w:val="0"/>
        <w:spacing w:line="360" w:lineRule="auto"/>
        <w:ind w:firstLine="420" w:firstLineChars="200"/>
        <w:rPr>
          <w:rFonts w:ascii="宋体" w:hAnsi="宋体"/>
          <w:bCs/>
          <w:color w:val="auto"/>
          <w:szCs w:val="21"/>
          <w:highlight w:val="none"/>
        </w:rPr>
      </w:pPr>
      <w:bookmarkStart w:id="0" w:name="_Hlk215729590"/>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三</w:t>
      </w:r>
      <w:r>
        <w:rPr>
          <w:rFonts w:hint="eastAsia" w:ascii="宋体" w:hAnsi="宋体"/>
          <w:b/>
          <w:color w:val="auto"/>
          <w:szCs w:val="21"/>
          <w:highlight w:val="none"/>
          <w:lang w:eastAsia="zh-CN"/>
        </w:rPr>
        <w:t>）</w:t>
      </w:r>
      <w:r>
        <w:rPr>
          <w:rFonts w:hint="eastAsia" w:ascii="宋体" w:hAnsi="宋体"/>
          <w:b/>
          <w:color w:val="auto"/>
          <w:szCs w:val="21"/>
          <w:highlight w:val="none"/>
        </w:rPr>
        <w:t>项目实施的依据和标准</w:t>
      </w:r>
    </w:p>
    <w:p w14:paraId="6A478217">
      <w:pPr>
        <w:adjustRightInd w:val="0"/>
        <w:snapToGrid w:val="0"/>
        <w:spacing w:line="360" w:lineRule="auto"/>
        <w:ind w:firstLine="420" w:firstLineChars="200"/>
        <w:rPr>
          <w:rFonts w:ascii="宋体" w:hAnsi="宋体"/>
          <w:b/>
          <w:color w:val="auto"/>
          <w:szCs w:val="21"/>
          <w:highlight w:val="none"/>
        </w:rPr>
      </w:pPr>
      <w:r>
        <w:rPr>
          <w:rFonts w:hint="eastAsia" w:ascii="宋体" w:hAnsi="宋体"/>
          <w:bCs/>
          <w:color w:val="auto"/>
          <w:szCs w:val="21"/>
          <w:highlight w:val="none"/>
          <w:lang w:val="en-US" w:eastAsia="zh-CN"/>
        </w:rPr>
        <w:t>1、</w:t>
      </w:r>
      <w:r>
        <w:rPr>
          <w:rFonts w:hint="eastAsia" w:ascii="宋体" w:hAnsi="宋体"/>
          <w:b/>
          <w:color w:val="auto"/>
          <w:szCs w:val="21"/>
          <w:highlight w:val="none"/>
        </w:rPr>
        <w:t>实施依据</w:t>
      </w:r>
    </w:p>
    <w:p w14:paraId="3DBD97E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本招标文件明确的服务范围、服务内容和管理要求、服务等级、质量标准与考核要求等。</w:t>
      </w:r>
    </w:p>
    <w:p w14:paraId="4AF0A943">
      <w:pPr>
        <w:adjustRightInd w:val="0"/>
        <w:snapToGrid w:val="0"/>
        <w:spacing w:line="360" w:lineRule="auto"/>
        <w:ind w:firstLine="420" w:firstLineChars="200"/>
        <w:rPr>
          <w:rFonts w:ascii="宋体" w:hAnsi="宋体"/>
          <w:b/>
          <w:color w:val="auto"/>
          <w:szCs w:val="21"/>
          <w:highlight w:val="none"/>
        </w:rPr>
      </w:pPr>
      <w:r>
        <w:rPr>
          <w:rFonts w:hint="eastAsia" w:ascii="宋体" w:hAnsi="宋体"/>
          <w:bCs/>
          <w:color w:val="auto"/>
          <w:szCs w:val="21"/>
          <w:highlight w:val="none"/>
          <w:lang w:val="en-US" w:eastAsia="zh-CN"/>
        </w:rPr>
        <w:t>2、</w:t>
      </w:r>
      <w:r>
        <w:rPr>
          <w:rFonts w:hint="eastAsia" w:ascii="宋体" w:hAnsi="宋体"/>
          <w:b/>
          <w:color w:val="auto"/>
          <w:szCs w:val="21"/>
          <w:highlight w:val="none"/>
        </w:rPr>
        <w:t>执行标准</w:t>
      </w:r>
    </w:p>
    <w:p w14:paraId="2A2AE8E6">
      <w:pPr>
        <w:pStyle w:val="2"/>
        <w:adjustRightInd w:val="0"/>
        <w:snapToGrid w:val="0"/>
        <w:spacing w:line="360" w:lineRule="auto"/>
        <w:ind w:firstLine="411" w:firstLineChars="196"/>
        <w:outlineLvl w:val="0"/>
        <w:rPr>
          <w:rFonts w:hAnsi="宋体"/>
          <w:bCs/>
          <w:color w:val="auto"/>
          <w:szCs w:val="21"/>
          <w:highlight w:val="none"/>
        </w:rPr>
      </w:pPr>
      <w:r>
        <w:rPr>
          <w:rFonts w:hint="eastAsia" w:hAnsi="宋体"/>
          <w:color w:val="auto"/>
          <w:szCs w:val="21"/>
          <w:highlight w:val="none"/>
        </w:rPr>
        <w:t>国家和本市颁发的适用于本项目的现行法律、法规、规章、规范性文件和标准。</w:t>
      </w:r>
    </w:p>
    <w:p w14:paraId="5652FACF">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lang w:val="en-US" w:eastAsia="zh-CN"/>
        </w:rPr>
        <w:t>3、</w:t>
      </w:r>
      <w:r>
        <w:rPr>
          <w:rFonts w:hint="eastAsia" w:ascii="宋体" w:hAnsi="宋体"/>
          <w:bCs/>
          <w:color w:val="auto"/>
          <w:szCs w:val="21"/>
          <w:highlight w:val="none"/>
        </w:rPr>
        <w:t>参照《上海市花园单位考核标准》、市《园林植物养护技术规程》和《园林绿化养护技术等级标准》执行。绿化养护服务标准不低于《高等学校物业服务费用测算规范》（T/JYHQ0016-2023）中二级标准相关内容。绿地设施及硬质景观完好无损。植物群落完整，层次丰富，黄土不外露，有整体的观赏效果。有专业或资质要求的工作岗位，其从业人员必须符合国家与上海市相关要求。</w:t>
      </w:r>
    </w:p>
    <w:p w14:paraId="287385B1">
      <w:pPr>
        <w:numPr>
          <w:ilvl w:val="0"/>
          <w:numId w:val="3"/>
        </w:numPr>
        <w:adjustRightInd w:val="0"/>
        <w:snapToGrid w:val="0"/>
        <w:spacing w:line="360" w:lineRule="auto"/>
        <w:ind w:left="0" w:leftChars="0" w:firstLine="420" w:firstLineChars="200"/>
        <w:rPr>
          <w:rFonts w:ascii="宋体" w:hAnsi="宋体"/>
          <w:bCs/>
          <w:color w:val="auto"/>
          <w:szCs w:val="21"/>
          <w:highlight w:val="none"/>
        </w:rPr>
      </w:pPr>
      <w:r>
        <w:rPr>
          <w:color w:val="auto"/>
          <w:highlight w:val="none"/>
        </w:rPr>
        <w:fldChar w:fldCharType="begin"/>
      </w:r>
      <w:r>
        <w:rPr>
          <w:color w:val="auto"/>
          <w:highlight w:val="none"/>
        </w:rPr>
        <w:instrText xml:space="preserve"> HYPERLINK "http://www.gdtyf.com/c7435" </w:instrText>
      </w:r>
      <w:r>
        <w:rPr>
          <w:color w:val="auto"/>
          <w:highlight w:val="none"/>
        </w:rPr>
        <w:fldChar w:fldCharType="separate"/>
      </w:r>
      <w:r>
        <w:rPr>
          <w:rFonts w:hint="eastAsia" w:ascii="宋体" w:hAnsi="宋体"/>
          <w:bCs/>
          <w:color w:val="auto"/>
          <w:szCs w:val="21"/>
          <w:highlight w:val="none"/>
        </w:rPr>
        <w:t>植物</w:t>
      </w:r>
      <w:r>
        <w:rPr>
          <w:rFonts w:hint="eastAsia" w:ascii="宋体" w:hAnsi="宋体"/>
          <w:bCs/>
          <w:color w:val="auto"/>
          <w:szCs w:val="21"/>
          <w:highlight w:val="none"/>
        </w:rPr>
        <w:fldChar w:fldCharType="end"/>
      </w:r>
      <w:r>
        <w:rPr>
          <w:rFonts w:hint="eastAsia" w:ascii="宋体" w:hAnsi="宋体"/>
          <w:bCs/>
          <w:color w:val="auto"/>
          <w:szCs w:val="21"/>
          <w:highlight w:val="none"/>
        </w:rPr>
        <w:t>配置合理。乔、灌、花、草搭配适当，能凸显各区域绿化特色；</w:t>
      </w:r>
      <w:r>
        <w:rPr>
          <w:color w:val="auto"/>
          <w:highlight w:val="none"/>
        </w:rPr>
        <w:fldChar w:fldCharType="begin"/>
      </w:r>
      <w:r>
        <w:rPr>
          <w:color w:val="auto"/>
          <w:highlight w:val="none"/>
        </w:rPr>
        <w:instrText xml:space="preserve"> HYPERLINK "http://www.gdtyf.com/index.aspx" </w:instrText>
      </w:r>
      <w:r>
        <w:rPr>
          <w:color w:val="auto"/>
          <w:highlight w:val="none"/>
        </w:rPr>
        <w:fldChar w:fldCharType="separate"/>
      </w:r>
      <w:r>
        <w:rPr>
          <w:rFonts w:hint="eastAsia" w:ascii="宋体" w:hAnsi="宋体"/>
          <w:bCs/>
          <w:color w:val="auto"/>
          <w:szCs w:val="21"/>
          <w:highlight w:val="none"/>
        </w:rPr>
        <w:t>绿化</w:t>
      </w:r>
      <w:r>
        <w:rPr>
          <w:rFonts w:hint="eastAsia" w:ascii="宋体" w:hAnsi="宋体"/>
          <w:bCs/>
          <w:color w:val="auto"/>
          <w:szCs w:val="21"/>
          <w:highlight w:val="none"/>
        </w:rPr>
        <w:fldChar w:fldCharType="end"/>
      </w:r>
      <w:r>
        <w:rPr>
          <w:rFonts w:hint="eastAsia" w:ascii="宋体" w:hAnsi="宋体"/>
          <w:bCs/>
          <w:color w:val="auto"/>
          <w:szCs w:val="21"/>
          <w:highlight w:val="none"/>
        </w:rPr>
        <w:t>充分，无裸露土地。</w:t>
      </w:r>
    </w:p>
    <w:p w14:paraId="28480FDF">
      <w:pPr>
        <w:numPr>
          <w:ilvl w:val="0"/>
          <w:numId w:val="3"/>
        </w:numPr>
        <w:adjustRightInd w:val="0"/>
        <w:snapToGrid w:val="0"/>
        <w:spacing w:line="360" w:lineRule="auto"/>
        <w:ind w:left="0" w:leftChars="0" w:firstLine="420" w:firstLineChars="200"/>
        <w:rPr>
          <w:rFonts w:ascii="宋体" w:hAnsi="宋体"/>
          <w:bCs/>
          <w:color w:val="auto"/>
          <w:szCs w:val="21"/>
          <w:highlight w:val="none"/>
        </w:rPr>
      </w:pPr>
      <w:r>
        <w:rPr>
          <w:rFonts w:hint="eastAsia" w:ascii="宋体" w:hAnsi="宋体"/>
          <w:bCs/>
          <w:color w:val="auto"/>
          <w:szCs w:val="21"/>
          <w:highlight w:val="none"/>
        </w:rPr>
        <w:t>花草树木生长正常，修剪及时，具有光泽，无积尘，元枯枝败叶，无病虫害，无杂草。室外绿化养护应达到绿地及花坛内各种植物存活率100％。树木生长健状，树冠完整、美观，修剪适当，主侧枝分布匀称，内膛不乱，通风透光；在正常条件下，不黄叶、不焦叶、不卷叶、不落叶；被啃咬的叶片最严重的每株在5%以下；无蛀干害虫的活卵、活虫；介壳虫为害不明显；树木缺株在2%以下；树木无钉栓、捆绑现象；植物季相分明，生长茂盛；乔木修剪科学合理，剪口光滑整齐，树冠完整美观，无徒长枝、下垂枝、枯枝，内膛不乱，通风透光；花灌木花后修剪及时，无残花。</w:t>
      </w:r>
    </w:p>
    <w:p w14:paraId="117749AA">
      <w:pPr>
        <w:numPr>
          <w:ilvl w:val="0"/>
          <w:numId w:val="3"/>
        </w:numPr>
        <w:adjustRightInd w:val="0"/>
        <w:snapToGrid w:val="0"/>
        <w:spacing w:line="360" w:lineRule="auto"/>
        <w:ind w:left="0" w:leftChars="0" w:firstLine="420" w:firstLineChars="200"/>
        <w:rPr>
          <w:rFonts w:ascii="宋体" w:hAnsi="宋体"/>
          <w:bCs/>
          <w:color w:val="auto"/>
          <w:szCs w:val="21"/>
          <w:highlight w:val="none"/>
        </w:rPr>
      </w:pPr>
      <w:r>
        <w:rPr>
          <w:rFonts w:hint="eastAsia" w:ascii="宋体" w:hAnsi="宋体"/>
          <w:bCs/>
          <w:color w:val="auto"/>
          <w:szCs w:val="21"/>
          <w:highlight w:val="none"/>
        </w:rPr>
        <w:t>绿篱、色块、球类生长健壮，叶色正常，修剪造型美观，无死株和干枯枝，有虫株率在2%以下。绿篱修剪整齐有型，保持观赏面枝叶丰满。</w:t>
      </w:r>
    </w:p>
    <w:p w14:paraId="1B06A371">
      <w:pPr>
        <w:numPr>
          <w:ilvl w:val="0"/>
          <w:numId w:val="3"/>
        </w:numPr>
        <w:adjustRightInd w:val="0"/>
        <w:snapToGrid w:val="0"/>
        <w:spacing w:line="360" w:lineRule="auto"/>
        <w:ind w:left="0" w:leftChars="0" w:firstLine="420" w:firstLineChars="200"/>
        <w:rPr>
          <w:rFonts w:ascii="宋体" w:hAnsi="宋体"/>
          <w:bCs/>
          <w:color w:val="auto"/>
          <w:szCs w:val="21"/>
          <w:highlight w:val="none"/>
        </w:rPr>
      </w:pPr>
      <w:r>
        <w:rPr>
          <w:rFonts w:hint="eastAsia" w:ascii="宋体" w:hAnsi="宋体"/>
          <w:bCs/>
          <w:color w:val="auto"/>
          <w:szCs w:val="21"/>
          <w:highlight w:val="none"/>
        </w:rPr>
        <w:t>草坪保持平整，高度≯5㎝（冷季草坪高度≯7㎝），无病虫害，草屑及时清理，覆盖率达到95%以上，修剪及时整齐美观，叶色正常，无杂草。</w:t>
      </w:r>
    </w:p>
    <w:p w14:paraId="7FDF8C95">
      <w:pPr>
        <w:numPr>
          <w:ilvl w:val="0"/>
          <w:numId w:val="3"/>
        </w:numPr>
        <w:adjustRightInd w:val="0"/>
        <w:snapToGrid w:val="0"/>
        <w:spacing w:line="360" w:lineRule="auto"/>
        <w:ind w:left="0" w:leftChars="0" w:firstLine="420" w:firstLineChars="200"/>
        <w:rPr>
          <w:rFonts w:ascii="宋体" w:hAnsi="宋体"/>
          <w:bCs/>
          <w:color w:val="auto"/>
          <w:szCs w:val="21"/>
          <w:highlight w:val="none"/>
        </w:rPr>
      </w:pPr>
      <w:r>
        <w:rPr>
          <w:rFonts w:hint="eastAsia" w:ascii="宋体" w:hAnsi="宋体"/>
          <w:bCs/>
          <w:color w:val="auto"/>
          <w:szCs w:val="21"/>
          <w:highlight w:val="none"/>
        </w:rPr>
        <w:t>花坛草花及时更换，种植株行距适宜、均匀、整齐，图案色彩搭配合理。宿根</w:t>
      </w:r>
      <w:r>
        <w:rPr>
          <w:color w:val="auto"/>
          <w:highlight w:val="none"/>
        </w:rPr>
        <w:fldChar w:fldCharType="begin"/>
      </w:r>
      <w:r>
        <w:rPr>
          <w:color w:val="auto"/>
          <w:highlight w:val="none"/>
        </w:rPr>
        <w:instrText xml:space="preserve"> HYPERLINK "http://testjx004.anyp.com/product/index.aspx" </w:instrText>
      </w:r>
      <w:r>
        <w:rPr>
          <w:color w:val="auto"/>
          <w:highlight w:val="none"/>
        </w:rPr>
        <w:fldChar w:fldCharType="separate"/>
      </w:r>
      <w:r>
        <w:rPr>
          <w:rFonts w:hint="eastAsia" w:ascii="宋体" w:hAnsi="宋体"/>
          <w:bCs/>
          <w:color w:val="auto"/>
          <w:szCs w:val="21"/>
          <w:highlight w:val="none"/>
        </w:rPr>
        <w:t>花卉</w:t>
      </w:r>
      <w:r>
        <w:rPr>
          <w:rFonts w:hint="eastAsia" w:ascii="宋体" w:hAnsi="宋体"/>
          <w:bCs/>
          <w:color w:val="auto"/>
          <w:szCs w:val="21"/>
          <w:highlight w:val="none"/>
        </w:rPr>
        <w:fldChar w:fldCharType="end"/>
      </w:r>
      <w:r>
        <w:rPr>
          <w:rFonts w:hint="eastAsia" w:ascii="宋体" w:hAnsi="宋体"/>
          <w:bCs/>
          <w:color w:val="auto"/>
          <w:szCs w:val="21"/>
          <w:highlight w:val="none"/>
        </w:rPr>
        <w:t>管理及时，花期长，花色正，无明显缺株。</w:t>
      </w:r>
    </w:p>
    <w:p w14:paraId="4B71210C">
      <w:pPr>
        <w:numPr>
          <w:ilvl w:val="0"/>
          <w:numId w:val="3"/>
        </w:numPr>
        <w:adjustRightInd w:val="0"/>
        <w:snapToGrid w:val="0"/>
        <w:spacing w:line="360" w:lineRule="auto"/>
        <w:ind w:left="0" w:leftChars="0" w:firstLine="420" w:firstLineChars="200"/>
        <w:rPr>
          <w:rFonts w:ascii="宋体" w:hAnsi="宋体"/>
          <w:bCs/>
          <w:color w:val="auto"/>
          <w:szCs w:val="21"/>
          <w:highlight w:val="none"/>
        </w:rPr>
      </w:pPr>
      <w:r>
        <w:rPr>
          <w:rFonts w:hint="eastAsia" w:ascii="宋体" w:hAnsi="宋体"/>
          <w:bCs/>
          <w:color w:val="auto"/>
          <w:szCs w:val="21"/>
          <w:highlight w:val="none"/>
        </w:rPr>
        <w:t>绿地内立视应无明显杂草，土壤疏松通透；草皮无病斑，植物枝叶无虫害咬口、排泄物、无悬挂或依附在植物上的虫茧、休眠虫体及越冬虫蛹；绿地内无垃圾，乔木无树挂；绿地无破坏、践踏及随意占用现象；绿地整洁，无杂树，无堆物堆料、搭棚、侵占等现象；设施完好，无人为损坏，对违法行为能及时发现和处理。</w:t>
      </w:r>
    </w:p>
    <w:p w14:paraId="2F28CA82">
      <w:pPr>
        <w:numPr>
          <w:ilvl w:val="0"/>
          <w:numId w:val="3"/>
        </w:numPr>
        <w:adjustRightInd w:val="0"/>
        <w:snapToGrid w:val="0"/>
        <w:spacing w:line="360" w:lineRule="auto"/>
        <w:ind w:left="0" w:leftChars="0" w:firstLine="420" w:firstLineChars="200"/>
        <w:rPr>
          <w:rFonts w:ascii="宋体" w:hAnsi="宋体"/>
          <w:bCs/>
          <w:color w:val="auto"/>
          <w:szCs w:val="21"/>
          <w:highlight w:val="none"/>
        </w:rPr>
      </w:pPr>
      <w:r>
        <w:rPr>
          <w:color w:val="auto"/>
          <w:highlight w:val="none"/>
        </w:rPr>
        <w:fldChar w:fldCharType="begin"/>
      </w:r>
      <w:r>
        <w:rPr>
          <w:color w:val="auto"/>
          <w:highlight w:val="none"/>
        </w:rPr>
        <w:instrText xml:space="preserve"> HYPERLINK "http://www.gdtyf.com/index.aspx" </w:instrText>
      </w:r>
      <w:r>
        <w:rPr>
          <w:color w:val="auto"/>
          <w:highlight w:val="none"/>
        </w:rPr>
        <w:fldChar w:fldCharType="separate"/>
      </w:r>
      <w:r>
        <w:rPr>
          <w:rFonts w:hint="eastAsia" w:ascii="宋体" w:hAnsi="宋体"/>
          <w:bCs/>
          <w:color w:val="auto"/>
          <w:szCs w:val="21"/>
          <w:highlight w:val="none"/>
        </w:rPr>
        <w:t>绿化</w:t>
      </w:r>
      <w:r>
        <w:rPr>
          <w:rFonts w:hint="eastAsia" w:ascii="宋体" w:hAnsi="宋体"/>
          <w:bCs/>
          <w:color w:val="auto"/>
          <w:szCs w:val="21"/>
          <w:highlight w:val="none"/>
        </w:rPr>
        <w:fldChar w:fldCharType="end"/>
      </w:r>
      <w:r>
        <w:rPr>
          <w:rFonts w:hint="eastAsia" w:ascii="宋体" w:hAnsi="宋体"/>
          <w:bCs/>
          <w:color w:val="auto"/>
          <w:szCs w:val="21"/>
          <w:highlight w:val="none"/>
        </w:rPr>
        <w:t>生产垃圾及时清运，承担绿化垃圾的清运。</w:t>
      </w:r>
    </w:p>
    <w:p w14:paraId="4B3D694E">
      <w:pPr>
        <w:adjustRightInd w:val="0"/>
        <w:snapToGrid w:val="0"/>
        <w:spacing w:line="360" w:lineRule="auto"/>
        <w:rPr>
          <w:rFonts w:hint="eastAsia" w:ascii="宋体" w:hAnsi="宋体"/>
          <w:bCs/>
          <w:color w:val="auto"/>
          <w:szCs w:val="21"/>
          <w:highlight w:val="none"/>
        </w:rPr>
      </w:pPr>
    </w:p>
    <w:p w14:paraId="13AEDBBD">
      <w:pPr>
        <w:pStyle w:val="2"/>
        <w:numPr>
          <w:ilvl w:val="0"/>
          <w:numId w:val="0"/>
        </w:numPr>
        <w:adjustRightInd w:val="0"/>
        <w:snapToGrid w:val="0"/>
        <w:spacing w:line="360" w:lineRule="auto"/>
        <w:ind w:leftChars="200"/>
        <w:rPr>
          <w:rFonts w:hint="eastAsia" w:hAnsi="宋体"/>
          <w:b/>
          <w:color w:val="auto"/>
          <w:szCs w:val="21"/>
          <w:highlight w:val="none"/>
        </w:rPr>
      </w:pPr>
      <w:r>
        <w:rPr>
          <w:rFonts w:hint="eastAsia" w:hAnsi="宋体"/>
          <w:b/>
          <w:color w:val="auto"/>
          <w:szCs w:val="21"/>
          <w:highlight w:val="none"/>
          <w:lang w:val="en-US" w:eastAsia="zh-CN"/>
        </w:rPr>
        <w:t>三、保洁</w:t>
      </w:r>
      <w:r>
        <w:rPr>
          <w:rFonts w:hint="eastAsia" w:hAnsi="宋体"/>
          <w:b/>
          <w:color w:val="auto"/>
          <w:szCs w:val="21"/>
          <w:highlight w:val="none"/>
        </w:rPr>
        <w:t xml:space="preserve">项目内容及要求 </w:t>
      </w:r>
    </w:p>
    <w:p w14:paraId="27DFBCB4">
      <w:pPr>
        <w:adjustRightInd w:val="0"/>
        <w:snapToGrid w:val="0"/>
        <w:spacing w:line="360" w:lineRule="auto"/>
        <w:ind w:firstLine="420" w:firstLineChars="200"/>
        <w:rPr>
          <w:rFonts w:hint="eastAsia" w:ascii="宋体" w:hAnsi="宋体"/>
          <w:b/>
          <w:color w:val="auto"/>
          <w:szCs w:val="21"/>
          <w:highlight w:val="none"/>
          <w:lang w:eastAsia="zh-CN"/>
        </w:rPr>
      </w:pPr>
      <w:r>
        <w:rPr>
          <w:rFonts w:hint="eastAsia" w:ascii="宋体" w:hAnsi="宋体"/>
          <w:b/>
          <w:color w:val="auto"/>
          <w:szCs w:val="21"/>
          <w:highlight w:val="none"/>
          <w:lang w:eastAsia="zh-CN"/>
        </w:rPr>
        <w:t>（一）委托环境卫生与保洁管理要求</w:t>
      </w:r>
    </w:p>
    <w:bookmarkEnd w:id="0"/>
    <w:p w14:paraId="300B7F86">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1、请专业清洁人员组建公共卫生清洁队伍，每天打扫保洁区域，做到杂物、废弃物立即清理。</w:t>
      </w:r>
    </w:p>
    <w:p w14:paraId="5BB5CAF7">
      <w:pPr>
        <w:spacing w:line="360" w:lineRule="auto"/>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    2、区域内生活垃圾按照上海市生活垃圾分类标准进行收集和投放（干垃圾、湿垃圾、可回收物、有害垃圾），由清洁工清运、处理，并集中回收至垃圾投放点。</w:t>
      </w:r>
    </w:p>
    <w:p w14:paraId="6507CFE5">
      <w:pPr>
        <w:spacing w:line="360" w:lineRule="auto"/>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    3、及时清扫区域内地面积水、垃圾、烟头等，使地面保持干净、无杂物、无积水等。</w:t>
      </w:r>
    </w:p>
    <w:p w14:paraId="23E90937">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4、对设备、设施的表面进行清洁、抹净处理，保持洁净。</w:t>
      </w:r>
    </w:p>
    <w:p w14:paraId="577832B1">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5、定期对设施、设备各类金属表层或表面使用专用保洁剂或防锈处理，保持光亮洁净。</w:t>
      </w:r>
    </w:p>
    <w:p w14:paraId="14BCB7A6">
      <w:pPr>
        <w:spacing w:line="360" w:lineRule="auto"/>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    6、对楼内公共设施进行擦抹保洁。</w:t>
      </w:r>
    </w:p>
    <w:p w14:paraId="46F282F6">
      <w:pPr>
        <w:spacing w:line="360" w:lineRule="auto"/>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    7、对人员出人频繁之地，进行不间断的走动保洁。</w:t>
      </w:r>
    </w:p>
    <w:p w14:paraId="54520FCC">
      <w:pPr>
        <w:spacing w:line="360" w:lineRule="auto"/>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    8．清扫、拖洗属于公共区域室内外的地面。</w:t>
      </w:r>
    </w:p>
    <w:p w14:paraId="5247FAE6">
      <w:pPr>
        <w:spacing w:line="360" w:lineRule="auto"/>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    9、擦净、抹净各楼层内教室等的桌、椅台面、橱柜等家具。</w:t>
      </w:r>
    </w:p>
    <w:p w14:paraId="18CCD811">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10、清扫保洁区域各大楼房顶、天台，保持雨水管通畅</w:t>
      </w:r>
      <w:r>
        <w:rPr>
          <w:rFonts w:hint="eastAsia" w:ascii="Times New Roman" w:hAnsi="Times New Roman" w:cs="Times New Roman"/>
          <w:color w:val="auto"/>
          <w:szCs w:val="21"/>
          <w:highlight w:val="none"/>
        </w:rPr>
        <w:t>，并做好防汛防台时期的应急清理等相应保障服务。</w:t>
      </w:r>
    </w:p>
    <w:p w14:paraId="78BC3AA5">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11、保洁</w:t>
      </w:r>
      <w:r>
        <w:rPr>
          <w:rFonts w:hint="eastAsia" w:ascii="Times New Roman" w:hAnsi="Times New Roman" w:cs="Times New Roman"/>
          <w:color w:val="auto"/>
          <w:szCs w:val="21"/>
          <w:highlight w:val="none"/>
        </w:rPr>
        <w:t>服务</w:t>
      </w:r>
      <w:r>
        <w:rPr>
          <w:rFonts w:ascii="Times New Roman" w:hAnsi="Times New Roman" w:cs="Times New Roman"/>
          <w:color w:val="auto"/>
          <w:szCs w:val="21"/>
          <w:highlight w:val="none"/>
        </w:rPr>
        <w:t>区域内定期清理、清扫明沟、</w:t>
      </w:r>
      <w:r>
        <w:rPr>
          <w:rFonts w:hint="eastAsia" w:ascii="Times New Roman" w:hAnsi="Times New Roman" w:cs="Times New Roman"/>
          <w:color w:val="auto"/>
          <w:szCs w:val="21"/>
          <w:highlight w:val="none"/>
        </w:rPr>
        <w:t>撒水坡、</w:t>
      </w:r>
      <w:r>
        <w:rPr>
          <w:rFonts w:ascii="Times New Roman" w:hAnsi="Times New Roman" w:cs="Times New Roman"/>
          <w:color w:val="auto"/>
          <w:szCs w:val="21"/>
          <w:highlight w:val="none"/>
        </w:rPr>
        <w:t>窨井</w:t>
      </w:r>
      <w:r>
        <w:rPr>
          <w:rFonts w:hint="eastAsia" w:ascii="Times New Roman" w:hAnsi="Times New Roman" w:cs="Times New Roman"/>
          <w:color w:val="auto"/>
          <w:szCs w:val="21"/>
          <w:highlight w:val="none"/>
        </w:rPr>
        <w:t>，一年两次清捞疏通道路排水隔栏井，</w:t>
      </w:r>
      <w:r>
        <w:rPr>
          <w:rFonts w:ascii="Times New Roman" w:hAnsi="Times New Roman" w:cs="Times New Roman"/>
          <w:color w:val="auto"/>
          <w:szCs w:val="21"/>
          <w:highlight w:val="none"/>
        </w:rPr>
        <w:t>及时疏通管道，保持雨污水管道通畅。</w:t>
      </w:r>
      <w:r>
        <w:rPr>
          <w:rFonts w:hint="eastAsia" w:ascii="Times New Roman" w:hAnsi="Times New Roman" w:cs="Times New Roman"/>
          <w:color w:val="auto"/>
          <w:szCs w:val="21"/>
          <w:highlight w:val="none"/>
        </w:rPr>
        <w:t>做好防汛防台时期的防涝工作。</w:t>
      </w:r>
    </w:p>
    <w:p w14:paraId="03824250">
      <w:pPr>
        <w:spacing w:line="360" w:lineRule="auto"/>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    12、清洗及保洁各楼层的</w:t>
      </w:r>
      <w:r>
        <w:rPr>
          <w:rFonts w:hint="eastAsia" w:ascii="Times New Roman" w:hAnsi="Times New Roman" w:cs="Times New Roman"/>
          <w:color w:val="auto"/>
          <w:szCs w:val="21"/>
          <w:highlight w:val="none"/>
        </w:rPr>
        <w:t>卫生间、盥洗室、淋浴房</w:t>
      </w:r>
      <w:r>
        <w:rPr>
          <w:rFonts w:ascii="Times New Roman" w:hAnsi="Times New Roman" w:cs="Times New Roman"/>
          <w:color w:val="auto"/>
          <w:szCs w:val="21"/>
          <w:highlight w:val="none"/>
        </w:rPr>
        <w:t>，抹净各类洁具等。</w:t>
      </w:r>
    </w:p>
    <w:p w14:paraId="2F53B03A">
      <w:pPr>
        <w:spacing w:line="360" w:lineRule="auto"/>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    13、按时收集各楼层内的生活垃圾，并更换垃圾袋，定期清洁垃圾</w:t>
      </w:r>
      <w:r>
        <w:rPr>
          <w:rFonts w:hint="eastAsia" w:ascii="Times New Roman" w:hAnsi="Times New Roman" w:cs="Times New Roman"/>
          <w:color w:val="auto"/>
          <w:szCs w:val="21"/>
          <w:highlight w:val="none"/>
        </w:rPr>
        <w:t>桶</w:t>
      </w:r>
      <w:r>
        <w:rPr>
          <w:rFonts w:ascii="Times New Roman" w:hAnsi="Times New Roman" w:cs="Times New Roman"/>
          <w:color w:val="auto"/>
          <w:szCs w:val="21"/>
          <w:highlight w:val="none"/>
        </w:rPr>
        <w:t>等，保持洁净。</w:t>
      </w:r>
    </w:p>
    <w:p w14:paraId="03CCD917">
      <w:pPr>
        <w:spacing w:line="360" w:lineRule="auto"/>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    14、每天擦洗室内、外垃圾箱，清洗</w:t>
      </w:r>
      <w:r>
        <w:rPr>
          <w:rFonts w:hint="eastAsia" w:ascii="Times New Roman" w:hAnsi="Times New Roman" w:cs="Times New Roman"/>
          <w:color w:val="auto"/>
          <w:szCs w:val="21"/>
          <w:highlight w:val="none"/>
        </w:rPr>
        <w:t>垃圾分类投放点</w:t>
      </w:r>
      <w:r>
        <w:rPr>
          <w:rFonts w:ascii="Times New Roman" w:hAnsi="Times New Roman" w:cs="Times New Roman"/>
          <w:color w:val="auto"/>
          <w:szCs w:val="21"/>
          <w:highlight w:val="none"/>
        </w:rPr>
        <w:t>内外壁及地面。</w:t>
      </w:r>
    </w:p>
    <w:p w14:paraId="3BE73C9F">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15、保持大楼原有的建筑风貌，定期清洗保洁区域内的室内外门窗</w:t>
      </w: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玻璃</w:t>
      </w:r>
      <w:r>
        <w:rPr>
          <w:rFonts w:hint="eastAsia" w:ascii="Times New Roman" w:hAnsi="Times New Roman" w:cs="Times New Roman"/>
          <w:color w:val="auto"/>
          <w:szCs w:val="21"/>
          <w:highlight w:val="none"/>
        </w:rPr>
        <w:t>、台阶、无障碍通道、车库等</w:t>
      </w:r>
      <w:r>
        <w:rPr>
          <w:rFonts w:ascii="Times New Roman" w:hAnsi="Times New Roman" w:cs="Times New Roman"/>
          <w:color w:val="auto"/>
          <w:szCs w:val="21"/>
          <w:highlight w:val="none"/>
        </w:rPr>
        <w:t>。</w:t>
      </w:r>
    </w:p>
    <w:p w14:paraId="0DECFF90">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16、对保洁区域内损坏的设施及时上报</w:t>
      </w:r>
      <w:r>
        <w:rPr>
          <w:rFonts w:hint="eastAsia" w:ascii="Times New Roman" w:hAnsi="Times New Roman" w:cs="Times New Roman"/>
          <w:color w:val="auto"/>
          <w:szCs w:val="21"/>
          <w:highlight w:val="none"/>
          <w:lang w:val="en-US" w:eastAsia="zh-CN"/>
        </w:rPr>
        <w:t>采购人</w:t>
      </w:r>
      <w:r>
        <w:rPr>
          <w:rFonts w:ascii="Times New Roman" w:hAnsi="Times New Roman" w:cs="Times New Roman"/>
          <w:color w:val="auto"/>
          <w:szCs w:val="21"/>
          <w:highlight w:val="none"/>
        </w:rPr>
        <w:t>，以便及时维修。</w:t>
      </w:r>
    </w:p>
    <w:p w14:paraId="088CA58E">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17、保洁工具标准化，做到分类分色管理，保洁工具定期更换。</w:t>
      </w:r>
    </w:p>
    <w:p w14:paraId="226E3063">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18、保洁试剂使用及摆放管理规范。</w:t>
      </w:r>
    </w:p>
    <w:p w14:paraId="7692C16F">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19、</w:t>
      </w:r>
      <w:r>
        <w:rPr>
          <w:rFonts w:ascii="Times New Roman" w:hAnsi="Times New Roman" w:cs="Times New Roman"/>
          <w:color w:val="auto"/>
          <w:szCs w:val="21"/>
          <w:highlight w:val="none"/>
        </w:rPr>
        <w:t>寒暑假保洁要求，</w:t>
      </w:r>
      <w:r>
        <w:rPr>
          <w:rFonts w:hint="eastAsia" w:ascii="Times New Roman" w:hAnsi="Times New Roman" w:cs="Times New Roman"/>
          <w:color w:val="auto"/>
          <w:szCs w:val="21"/>
          <w:highlight w:val="none"/>
        </w:rPr>
        <w:t>如有</w:t>
      </w:r>
      <w:r>
        <w:rPr>
          <w:rFonts w:ascii="Times New Roman" w:hAnsi="Times New Roman" w:cs="Times New Roman"/>
          <w:color w:val="auto"/>
          <w:szCs w:val="21"/>
          <w:highlight w:val="none"/>
        </w:rPr>
        <w:t>外场</w:t>
      </w:r>
      <w:r>
        <w:rPr>
          <w:rFonts w:hint="eastAsia" w:ascii="Times New Roman" w:hAnsi="Times New Roman" w:cs="Times New Roman"/>
          <w:color w:val="auto"/>
          <w:szCs w:val="21"/>
          <w:highlight w:val="none"/>
        </w:rPr>
        <w:t>，外场</w:t>
      </w:r>
      <w:r>
        <w:rPr>
          <w:rFonts w:ascii="Times New Roman" w:hAnsi="Times New Roman" w:cs="Times New Roman"/>
          <w:color w:val="auto"/>
          <w:szCs w:val="21"/>
          <w:highlight w:val="none"/>
        </w:rPr>
        <w:t>保持道路整洁无垃圾；内场地面光洁，厕所保持整洁无异味。</w:t>
      </w:r>
    </w:p>
    <w:p w14:paraId="2E1E5A56">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20</w:t>
      </w:r>
      <w:r>
        <w:rPr>
          <w:rFonts w:ascii="Times New Roman" w:hAnsi="Times New Roman" w:cs="Times New Roman"/>
          <w:color w:val="auto"/>
          <w:szCs w:val="21"/>
          <w:highlight w:val="none"/>
        </w:rPr>
        <w:t>、</w:t>
      </w:r>
      <w:r>
        <w:rPr>
          <w:rFonts w:hint="eastAsia" w:ascii="宋体" w:hAnsi="宋体" w:eastAsia="宋体" w:cs="宋体"/>
          <w:color w:val="auto"/>
          <w:szCs w:val="21"/>
          <w:highlight w:val="none"/>
          <w:shd w:val="clear" w:color="auto" w:fill="FFFFFF"/>
        </w:rPr>
        <w:t>在日常工作中，接到重大活动、节日和各类参观、检查任务时，及时做出响应，做好突击性保洁服务工作。</w:t>
      </w:r>
    </w:p>
    <w:p w14:paraId="65990DB5">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21</w:t>
      </w:r>
      <w:r>
        <w:rPr>
          <w:rFonts w:ascii="Times New Roman" w:hAnsi="Times New Roman" w:cs="Times New Roman"/>
          <w:color w:val="auto"/>
          <w:szCs w:val="21"/>
          <w:highlight w:val="none"/>
        </w:rPr>
        <w:t>、响应</w:t>
      </w:r>
      <w:r>
        <w:rPr>
          <w:rFonts w:hint="eastAsia" w:ascii="Times New Roman" w:hAnsi="Times New Roman" w:cs="Times New Roman"/>
          <w:color w:val="auto"/>
          <w:szCs w:val="21"/>
          <w:highlight w:val="none"/>
          <w:lang w:val="en-US" w:eastAsia="zh-CN"/>
        </w:rPr>
        <w:t>采购人</w:t>
      </w:r>
      <w:r>
        <w:rPr>
          <w:rFonts w:ascii="Times New Roman" w:hAnsi="Times New Roman" w:cs="Times New Roman"/>
          <w:color w:val="auto"/>
          <w:szCs w:val="21"/>
          <w:highlight w:val="none"/>
        </w:rPr>
        <w:t>对突发事件的处置（如配合完成公共卫生事件相应工作的处理）。</w:t>
      </w:r>
    </w:p>
    <w:p w14:paraId="6C795DB3">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22、如项目服务范围涉及学生公寓</w:t>
      </w:r>
      <w:r>
        <w:rPr>
          <w:rFonts w:ascii="Times New Roman" w:hAnsi="Times New Roman" w:cs="Times New Roman"/>
          <w:color w:val="auto"/>
          <w:szCs w:val="21"/>
          <w:highlight w:val="none"/>
        </w:rPr>
        <w:t>保洁</w:t>
      </w:r>
      <w:r>
        <w:rPr>
          <w:rFonts w:hint="eastAsia" w:ascii="Times New Roman" w:hAnsi="Times New Roman" w:cs="Times New Roman"/>
          <w:color w:val="auto"/>
          <w:szCs w:val="21"/>
          <w:highlight w:val="none"/>
        </w:rPr>
        <w:t>的，需</w:t>
      </w:r>
      <w:r>
        <w:rPr>
          <w:rFonts w:ascii="Times New Roman" w:hAnsi="Times New Roman" w:cs="Times New Roman"/>
          <w:color w:val="auto"/>
          <w:szCs w:val="21"/>
          <w:highlight w:val="none"/>
        </w:rPr>
        <w:t>在</w:t>
      </w:r>
      <w:r>
        <w:rPr>
          <w:rFonts w:hint="eastAsia" w:ascii="Times New Roman" w:hAnsi="Times New Roman" w:cs="Times New Roman"/>
          <w:color w:val="auto"/>
          <w:szCs w:val="21"/>
          <w:highlight w:val="none"/>
        </w:rPr>
        <w:t>新建、大修、</w:t>
      </w:r>
      <w:r>
        <w:rPr>
          <w:rFonts w:ascii="Times New Roman" w:hAnsi="Times New Roman" w:cs="Times New Roman"/>
          <w:color w:val="auto"/>
          <w:szCs w:val="21"/>
          <w:highlight w:val="none"/>
        </w:rPr>
        <w:t>学生</w:t>
      </w:r>
      <w:r>
        <w:rPr>
          <w:rFonts w:hint="eastAsia" w:ascii="Times New Roman" w:hAnsi="Times New Roman" w:cs="Times New Roman"/>
          <w:color w:val="auto"/>
          <w:szCs w:val="21"/>
          <w:highlight w:val="none"/>
        </w:rPr>
        <w:t>宿舍</w:t>
      </w:r>
      <w:r>
        <w:rPr>
          <w:rFonts w:ascii="Times New Roman" w:hAnsi="Times New Roman" w:cs="Times New Roman"/>
          <w:color w:val="auto"/>
          <w:szCs w:val="21"/>
          <w:highlight w:val="none"/>
        </w:rPr>
        <w:t>搬迁等时间段进行寝室清理工作，并服从</w:t>
      </w:r>
      <w:r>
        <w:rPr>
          <w:rFonts w:hint="eastAsia" w:ascii="Times New Roman" w:hAnsi="Times New Roman" w:cs="Times New Roman"/>
          <w:color w:val="auto"/>
          <w:szCs w:val="21"/>
          <w:highlight w:val="none"/>
        </w:rPr>
        <w:t>宿舍</w:t>
      </w:r>
      <w:r>
        <w:rPr>
          <w:rFonts w:ascii="Times New Roman" w:hAnsi="Times New Roman" w:cs="Times New Roman"/>
          <w:color w:val="auto"/>
          <w:szCs w:val="21"/>
          <w:highlight w:val="none"/>
        </w:rPr>
        <w:t>管理人员管理。</w:t>
      </w:r>
    </w:p>
    <w:p w14:paraId="7E1FDFC6">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23、根据</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要求，配合学校做好每年涉及跨校区的菊花展布展相关工作。</w:t>
      </w:r>
    </w:p>
    <w:p w14:paraId="3DA8FAFC">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24、配合</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做好除四害工作，落实蚊蝇鼠蟑等虫害的病媒生物防制措施。</w:t>
      </w:r>
    </w:p>
    <w:p w14:paraId="259F5AC2">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 w:val="21"/>
          <w:szCs w:val="21"/>
          <w:highlight w:val="none"/>
          <w:lang w:val="en-US" w:eastAsia="zh-CN"/>
        </w:rPr>
        <w:t>25、做好嘉定校区环护城河步道区域的保洁。</w:t>
      </w:r>
    </w:p>
    <w:p w14:paraId="6CA025BE">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6</w:t>
      </w:r>
      <w:r>
        <w:rPr>
          <w:rFonts w:hint="eastAsia" w:ascii="宋体" w:hAnsi="宋体"/>
          <w:bCs/>
          <w:color w:val="auto"/>
          <w:szCs w:val="21"/>
          <w:highlight w:val="none"/>
        </w:rPr>
        <w:t>、按照上海市生活垃圾分类标准，做好垃圾分类相关工作且达标。</w:t>
      </w:r>
    </w:p>
    <w:p w14:paraId="0E3AB116">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7</w:t>
      </w:r>
      <w:r>
        <w:rPr>
          <w:rFonts w:hint="eastAsia" w:ascii="宋体" w:hAnsi="宋体"/>
          <w:bCs/>
          <w:color w:val="auto"/>
          <w:szCs w:val="21"/>
          <w:highlight w:val="none"/>
        </w:rPr>
        <w:t>、配合</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做好劳动育人相关工作。</w:t>
      </w:r>
    </w:p>
    <w:p w14:paraId="0DFFF9B3">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8</w:t>
      </w:r>
      <w:r>
        <w:rPr>
          <w:rFonts w:hint="eastAsia" w:ascii="宋体" w:hAnsi="宋体"/>
          <w:bCs/>
          <w:color w:val="auto"/>
          <w:szCs w:val="21"/>
          <w:highlight w:val="none"/>
        </w:rPr>
        <w:t>、根据</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要求，做好保洁服务内容、考核等信息化转型。</w:t>
      </w:r>
    </w:p>
    <w:p w14:paraId="72DCEA58">
      <w:pPr>
        <w:adjustRightInd w:val="0"/>
        <w:snapToGrid w:val="0"/>
        <w:spacing w:line="360" w:lineRule="auto"/>
        <w:ind w:firstLine="420" w:firstLineChars="200"/>
        <w:rPr>
          <w:rFonts w:ascii="宋体" w:hAnsi="宋体"/>
          <w:b/>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9</w:t>
      </w:r>
      <w:r>
        <w:rPr>
          <w:rFonts w:hint="eastAsia" w:ascii="宋体" w:hAnsi="宋体"/>
          <w:bCs/>
          <w:color w:val="auto"/>
          <w:szCs w:val="21"/>
          <w:highlight w:val="none"/>
        </w:rPr>
        <w:t>、鼓励使用新技术、新方法、新设备做好服务保障。</w:t>
      </w:r>
    </w:p>
    <w:p w14:paraId="6669B2A9">
      <w:pPr>
        <w:adjustRightInd w:val="0"/>
        <w:snapToGrid w:val="0"/>
        <w:spacing w:line="360" w:lineRule="auto"/>
        <w:ind w:firstLine="420" w:firstLineChars="200"/>
        <w:rPr>
          <w:rFonts w:hint="eastAsia" w:ascii="宋体" w:hAnsi="宋体"/>
          <w:b/>
          <w:color w:val="auto"/>
          <w:szCs w:val="21"/>
          <w:highlight w:val="none"/>
          <w:lang w:eastAsia="zh-CN"/>
        </w:rPr>
      </w:pP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二</w:t>
      </w:r>
      <w:r>
        <w:rPr>
          <w:rFonts w:hint="eastAsia" w:ascii="宋体" w:hAnsi="宋体"/>
          <w:b/>
          <w:color w:val="auto"/>
          <w:szCs w:val="21"/>
          <w:highlight w:val="none"/>
          <w:lang w:eastAsia="zh-CN"/>
        </w:rPr>
        <w:t>）项目实施的依据和标准</w:t>
      </w:r>
    </w:p>
    <w:p w14:paraId="7E826F57">
      <w:pPr>
        <w:numPr>
          <w:ilvl w:val="0"/>
          <w:numId w:val="0"/>
        </w:num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建立保洁区域环境管理制度并认真落实，实行标准化清扫保洁，由专人负责检查监督，清洁率100%。</w:t>
      </w:r>
      <w:r>
        <w:rPr>
          <w:rFonts w:hint="eastAsia" w:ascii="Times New Roman" w:hAnsi="Times New Roman" w:cs="Times New Roman"/>
          <w:color w:val="auto"/>
          <w:szCs w:val="21"/>
          <w:highlight w:val="none"/>
        </w:rPr>
        <w:t>保洁服务标准不低于《高等学校物业服务费用测算规范》（T/JYHQ0016-2023）中二级标准相关内容。</w:t>
      </w:r>
      <w:r>
        <w:rPr>
          <w:rFonts w:ascii="Times New Roman" w:hAnsi="Times New Roman" w:cs="Times New Roman"/>
          <w:color w:val="auto"/>
          <w:szCs w:val="21"/>
          <w:highlight w:val="none"/>
        </w:rPr>
        <w:t>具体区域标准要求如下：</w:t>
      </w:r>
    </w:p>
    <w:p w14:paraId="6B86D80D">
      <w:pPr>
        <w:spacing w:line="360" w:lineRule="auto"/>
        <w:ind w:firstLine="420" w:firstLineChars="200"/>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1、外围及周边道路地面干净无杂物、无积水，无明显污迹、油渍；明沟、窨井内无杂物、无异味；各种标示标牌表面干净无积尘、无水印；路灯表面干净无污渍。</w:t>
      </w:r>
    </w:p>
    <w:p w14:paraId="5FD8F6BF">
      <w:pPr>
        <w:spacing w:line="360" w:lineRule="auto"/>
        <w:ind w:firstLine="420" w:firstLineChars="200"/>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2、大厅、楼内，公共通道地面干净、无污渍，有光泽，保持地面材质原貌（定期使用尘推油），每天清扫不少于4次；门厅玻璃保洁高度不少于3.5米；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墙面干净无积尘，各种指示牌、宣传牌等表面干净有光泽。</w:t>
      </w:r>
    </w:p>
    <w:p w14:paraId="1E3CCB17">
      <w:pPr>
        <w:spacing w:line="360" w:lineRule="auto"/>
        <w:ind w:firstLine="420" w:firstLineChars="200"/>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3、楼梯及楼梯间梯步表面干净无污渍，防滑条(缝)干净，扶手栏杆表面干净无灰尘，防火门及闭门器表面干净无污渍，墙面、天花板无积尘、蛛网。</w:t>
      </w:r>
    </w:p>
    <w:p w14:paraId="7BC7388E">
      <w:pPr>
        <w:spacing w:line="360" w:lineRule="auto"/>
        <w:ind w:firstLine="420" w:firstLineChars="200"/>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4、公共卫生间地面干净，无污渍、无积水，大小便器表面干净，无污渍，有光泽；各种隔断表面干净，无乱写乱画，金属饰件表面干净，无污迹，有金属光泽；墙壁表面干净；顶部各种管网、灯具表面干净无积尘、蛛网；每天清扫、冲洗和巡查不少于5次；各种指示牌表面干净有光泽。</w:t>
      </w:r>
    </w:p>
    <w:p w14:paraId="1EC098CD">
      <w:pPr>
        <w:spacing w:line="360" w:lineRule="auto"/>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    5、开水间及清洁间地面干净，无杂物、无积水，地垫摆放整齐干净，天花板干净无蛛网，灯罩表面无积尘、蛛网，墙面干净无污渍，各种物品表面干净无渍，</w:t>
      </w:r>
      <w:r>
        <w:rPr>
          <w:rFonts w:hint="eastAsia" w:ascii="Times New Roman" w:hAnsi="Times New Roman" w:cs="Times New Roman"/>
          <w:color w:val="auto"/>
          <w:szCs w:val="21"/>
          <w:highlight w:val="none"/>
        </w:rPr>
        <w:t>保洁</w:t>
      </w:r>
      <w:r>
        <w:rPr>
          <w:rFonts w:ascii="Times New Roman" w:hAnsi="Times New Roman" w:cs="Times New Roman"/>
          <w:color w:val="auto"/>
          <w:szCs w:val="21"/>
          <w:highlight w:val="none"/>
        </w:rPr>
        <w:t>工具</w:t>
      </w:r>
      <w:r>
        <w:rPr>
          <w:rFonts w:hint="eastAsia" w:ascii="Times New Roman" w:hAnsi="Times New Roman" w:cs="Times New Roman"/>
          <w:color w:val="auto"/>
          <w:szCs w:val="21"/>
          <w:highlight w:val="none"/>
        </w:rPr>
        <w:t>及保洁试剂</w:t>
      </w:r>
      <w:r>
        <w:rPr>
          <w:rFonts w:ascii="Times New Roman" w:hAnsi="Times New Roman" w:cs="Times New Roman"/>
          <w:color w:val="auto"/>
          <w:szCs w:val="21"/>
          <w:highlight w:val="none"/>
        </w:rPr>
        <w:t>摆放</w:t>
      </w:r>
      <w:r>
        <w:rPr>
          <w:rFonts w:hint="eastAsia" w:ascii="Times New Roman" w:hAnsi="Times New Roman" w:cs="Times New Roman"/>
          <w:color w:val="auto"/>
          <w:szCs w:val="21"/>
          <w:highlight w:val="none"/>
        </w:rPr>
        <w:t>标准化，</w:t>
      </w:r>
      <w:r>
        <w:rPr>
          <w:rFonts w:ascii="Times New Roman" w:hAnsi="Times New Roman" w:cs="Times New Roman"/>
          <w:color w:val="auto"/>
          <w:szCs w:val="21"/>
          <w:highlight w:val="none"/>
        </w:rPr>
        <w:t>整齐有序，室内无明显异味。</w:t>
      </w:r>
    </w:p>
    <w:p w14:paraId="2F6FAB53">
      <w:pPr>
        <w:spacing w:line="360" w:lineRule="auto"/>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    6、电梯及电梯厅电梯轿厢四壁光洁明亮，操作面板无污迹、无灰尘、无印迹，地面干净，空气清新、无异味；电梯凹槽内无垃圾无杂物，按钮表面干净无印迹；厅内地面干净有光泽。</w:t>
      </w:r>
    </w:p>
    <w:p w14:paraId="017286FE">
      <w:pPr>
        <w:spacing w:line="360" w:lineRule="auto"/>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    7、电器设施灯泡、灯管、灯罩无积尘、无污迹。装饰件无积尘、无污迹；开关、插座、配电箱无积尘、无明显污迹。</w:t>
      </w:r>
    </w:p>
    <w:p w14:paraId="4A0184AE">
      <w:pPr>
        <w:spacing w:line="360" w:lineRule="auto"/>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    8、垃圾桶及果皮箱、桶按指定位置摆放，桶身表面干净无污渍无痰迹；垃圾不应超过2／3，内胆应定期清洁、消毒。</w:t>
      </w:r>
    </w:p>
    <w:p w14:paraId="3B65EE89">
      <w:pPr>
        <w:spacing w:line="360" w:lineRule="auto"/>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    9、消防栓、消防箱等消防器材，公共设施保持表面干净，摆放整齐，无灰尘、无污渍。消防栓外表面光亮、无印迹、无积尘。   </w:t>
      </w:r>
    </w:p>
    <w:p w14:paraId="0975F8F7">
      <w:pPr>
        <w:spacing w:line="360" w:lineRule="auto"/>
        <w:ind w:firstLine="420" w:firstLineChars="200"/>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10、</w:t>
      </w:r>
      <w:r>
        <w:rPr>
          <w:rFonts w:hint="eastAsia" w:ascii="Times New Roman" w:hAnsi="Times New Roman" w:cs="Times New Roman"/>
          <w:color w:val="auto"/>
          <w:szCs w:val="21"/>
          <w:highlight w:val="none"/>
        </w:rPr>
        <w:t>垃圾分类投放点</w:t>
      </w:r>
      <w:r>
        <w:rPr>
          <w:rFonts w:ascii="Times New Roman" w:hAnsi="Times New Roman" w:cs="Times New Roman"/>
          <w:color w:val="auto"/>
          <w:szCs w:val="21"/>
          <w:highlight w:val="none"/>
        </w:rPr>
        <w:t>内外及房内放置的垃圾方桶，地面无明显垃圾，无污水外溢，房内应无明显异味，定期清洗垃圾方桶。</w:t>
      </w:r>
    </w:p>
    <w:p w14:paraId="05B61502">
      <w:pPr>
        <w:spacing w:line="360" w:lineRule="auto"/>
        <w:ind w:firstLine="420" w:firstLineChars="200"/>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11、保洁区域房屋地面、墙台面及吊顶、门窗、楼梯、通风道等发现损坏及时报修。节约用水，防止冒、滴、漏，大面积跑水事故的发生，为保证供水系统的正常运转，发现损坏及时报修。建筑物内严禁焚烧物品。建筑物内的走道、楼梯、出口等部位，保持畅通，严禁堆放物品。</w:t>
      </w:r>
    </w:p>
    <w:p w14:paraId="125EB8D5">
      <w:pPr>
        <w:spacing w:line="360" w:lineRule="auto"/>
        <w:ind w:firstLine="420" w:firstLineChars="200"/>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12、清扫保洁区域内房顶、天台，清理、清扫窨井、明沟、</w:t>
      </w:r>
      <w:r>
        <w:rPr>
          <w:rFonts w:hint="eastAsia" w:ascii="Times New Roman" w:hAnsi="Times New Roman" w:cs="Times New Roman"/>
          <w:color w:val="auto"/>
          <w:szCs w:val="21"/>
          <w:highlight w:val="none"/>
        </w:rPr>
        <w:t>撒水坡</w:t>
      </w:r>
      <w:r>
        <w:rPr>
          <w:rFonts w:ascii="Times New Roman" w:hAnsi="Times New Roman" w:cs="Times New Roman"/>
          <w:color w:val="auto"/>
          <w:szCs w:val="21"/>
          <w:highlight w:val="none"/>
        </w:rPr>
        <w:t>，及时疏通阻塞的雨污水管道，保持雨污水管道通畅。</w:t>
      </w:r>
      <w:r>
        <w:rPr>
          <w:rFonts w:hint="eastAsia" w:ascii="Times New Roman" w:hAnsi="Times New Roman" w:cs="Times New Roman"/>
          <w:color w:val="auto"/>
          <w:szCs w:val="21"/>
          <w:highlight w:val="none"/>
        </w:rPr>
        <w:t>屋顶应定期清扫，在汛期到来之前，应按照实际情况增加清扫频次，遇暴雨、冰雪等情况对屋顶、天台及其它下水沟渠、管道通畅情况进行巡视，及时排除积水、积雪。</w:t>
      </w:r>
    </w:p>
    <w:p w14:paraId="5F18BABD">
      <w:pPr>
        <w:spacing w:line="360" w:lineRule="auto"/>
        <w:ind w:firstLine="420" w:firstLineChars="200"/>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13、</w:t>
      </w:r>
      <w:r>
        <w:rPr>
          <w:rFonts w:ascii="Times New Roman" w:hAnsi="Times New Roman" w:cs="Times New Roman"/>
          <w:color w:val="auto"/>
          <w:szCs w:val="21"/>
          <w:highlight w:val="none"/>
        </w:rPr>
        <w:t>垃圾清运、处理分为：生活垃圾（干垃圾、湿垃圾、可回收物、有害垃圾）清运处理，督促装修队伍</w:t>
      </w:r>
      <w:r>
        <w:rPr>
          <w:rFonts w:hint="eastAsia" w:ascii="Times New Roman" w:hAnsi="Times New Roman" w:cs="Times New Roman"/>
          <w:color w:val="auto"/>
          <w:szCs w:val="21"/>
          <w:highlight w:val="none"/>
        </w:rPr>
        <w:t>将</w:t>
      </w:r>
      <w:r>
        <w:rPr>
          <w:rFonts w:ascii="Times New Roman" w:hAnsi="Times New Roman" w:cs="Times New Roman"/>
          <w:color w:val="auto"/>
          <w:szCs w:val="21"/>
          <w:highlight w:val="none"/>
        </w:rPr>
        <w:t>装修垃圾清运处理</w:t>
      </w:r>
      <w:r>
        <w:rPr>
          <w:rFonts w:hint="eastAsia" w:ascii="Times New Roman" w:hAnsi="Times New Roman" w:cs="Times New Roman"/>
          <w:color w:val="auto"/>
          <w:szCs w:val="21"/>
          <w:highlight w:val="none"/>
        </w:rPr>
        <w:t>，对无主建筑垃圾清运处理</w:t>
      </w:r>
      <w:r>
        <w:rPr>
          <w:rFonts w:ascii="Times New Roman" w:hAnsi="Times New Roman" w:cs="Times New Roman"/>
          <w:color w:val="auto"/>
          <w:szCs w:val="21"/>
          <w:highlight w:val="none"/>
        </w:rPr>
        <w:t>。</w:t>
      </w:r>
    </w:p>
    <w:p w14:paraId="73598618">
      <w:pPr>
        <w:spacing w:line="360" w:lineRule="auto"/>
        <w:ind w:firstLine="420" w:firstLineChars="200"/>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14、需各种制作名牌、标牌、告示牌、警示牌等指示牌时，</w:t>
      </w:r>
      <w:r>
        <w:rPr>
          <w:rFonts w:ascii="Times New Roman" w:hAnsi="Times New Roman" w:cs="Times New Roman"/>
          <w:color w:val="auto"/>
          <w:szCs w:val="21"/>
          <w:highlight w:val="none"/>
        </w:rPr>
        <w:t>应选择材质好、外观美的且与区域整体设计相呼应的指示牌。</w:t>
      </w:r>
    </w:p>
    <w:p w14:paraId="76200591">
      <w:pPr>
        <w:spacing w:line="360" w:lineRule="auto"/>
        <w:ind w:firstLine="420" w:firstLineChars="200"/>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15、保洁公司提供员工统一着装，上班期间应着工作服。</w:t>
      </w:r>
    </w:p>
    <w:p w14:paraId="5AB07AD7">
      <w:pPr>
        <w:adjustRightInd w:val="0"/>
        <w:snapToGrid w:val="0"/>
        <w:spacing w:line="360" w:lineRule="auto"/>
        <w:ind w:firstLine="422" w:firstLineChars="201"/>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16、做好服务范围内所有场所动态保洁工作。</w:t>
      </w:r>
    </w:p>
    <w:p w14:paraId="3498B6C6">
      <w:pPr>
        <w:adjustRightInd w:val="0"/>
        <w:snapToGrid w:val="0"/>
        <w:spacing w:line="360" w:lineRule="auto"/>
        <w:ind w:firstLine="422" w:firstLineChars="201"/>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此外，保洁服务标准应不低于《高等学校物业服务费用测算规范》（T/JYHQ0016-2023）中二级标准相关内容，具体标准如下：</w:t>
      </w:r>
    </w:p>
    <w:p w14:paraId="5D90616A">
      <w:pPr>
        <w:adjustRightInd w:val="0"/>
        <w:snapToGrid w:val="0"/>
        <w:spacing w:line="360" w:lineRule="auto"/>
        <w:ind w:firstLine="422" w:firstLineChars="201"/>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1、广场、道路全面清扫每天不少于2次；广场、道路公共设施（路灯、宣传栏、指示牌、扶手栏杆、公共座椅等）每2天擦拭不少于1次；</w:t>
      </w:r>
    </w:p>
    <w:p w14:paraId="03A8A4AB">
      <w:pPr>
        <w:adjustRightInd w:val="0"/>
        <w:snapToGrid w:val="0"/>
        <w:spacing w:line="360" w:lineRule="auto"/>
        <w:ind w:firstLine="422" w:firstLineChars="201"/>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 xml:space="preserve">2、垃圾分类点每天早晚不少于2次垃圾清运； </w:t>
      </w:r>
    </w:p>
    <w:p w14:paraId="7F4A15B1">
      <w:pPr>
        <w:adjustRightInd w:val="0"/>
        <w:snapToGrid w:val="0"/>
        <w:spacing w:line="360" w:lineRule="auto"/>
        <w:ind w:firstLine="422" w:firstLineChars="201"/>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3、室外每 2 周不少于 1 次将雨水井盖打开，用铁铲将雨水井内树叶、纸屑等垃圾铲出，排水通畅无堵塞；</w:t>
      </w:r>
    </w:p>
    <w:p w14:paraId="114C05B8">
      <w:pPr>
        <w:adjustRightInd w:val="0"/>
        <w:snapToGrid w:val="0"/>
        <w:spacing w:line="360" w:lineRule="auto"/>
        <w:ind w:firstLine="422" w:firstLineChars="201"/>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4、教学办公区电梯轿厢、电梯门及门套、指示板、厢壁、每天保洁不少于2次，学生公寓区不少于1次；</w:t>
      </w:r>
    </w:p>
    <w:p w14:paraId="0704737F">
      <w:pPr>
        <w:adjustRightInd w:val="0"/>
        <w:snapToGrid w:val="0"/>
        <w:spacing w:line="360" w:lineRule="auto"/>
        <w:ind w:firstLine="422" w:firstLineChars="201"/>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5、教学办公区及学生公寓区地面、台阶、宣传窗、垃圾桶、装饰品等每天保洁不少于2次；玻璃幕墙（2米以下）、装饰门及门套、踢脚线等4天保洁不少于1次；墙面、天棚、消防设施、灯具每2周保洁不少于1次；地砖或水磨石地面每3个月彻底刷洗不少于1次；</w:t>
      </w:r>
    </w:p>
    <w:p w14:paraId="282D37D3">
      <w:pPr>
        <w:adjustRightInd w:val="0"/>
        <w:snapToGrid w:val="0"/>
        <w:spacing w:line="360" w:lineRule="auto"/>
        <w:ind w:firstLine="422" w:firstLineChars="201"/>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6、教学办公区及学生公寓区每天不少于2次对卫生间全面保洁，且循环保洁；</w:t>
      </w:r>
    </w:p>
    <w:p w14:paraId="3F6C9B41">
      <w:pPr>
        <w:adjustRightInd w:val="0"/>
        <w:snapToGrid w:val="0"/>
        <w:spacing w:line="360" w:lineRule="auto"/>
        <w:ind w:firstLine="422" w:firstLineChars="201"/>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7、教学办公区教室桌椅、地面、 窗台、门楣、门套、墙面、墙角每日不少于2次，黑板早晚每天擦洗不少于1次；</w:t>
      </w:r>
    </w:p>
    <w:p w14:paraId="453DCF47">
      <w:pPr>
        <w:adjustRightInd w:val="0"/>
        <w:snapToGrid w:val="0"/>
        <w:spacing w:line="360" w:lineRule="auto"/>
        <w:ind w:firstLine="422" w:firstLineChars="201"/>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8、学生公寓区洗衣房、洗浴房、盥洗间每天不少于2次保洁；</w:t>
      </w:r>
    </w:p>
    <w:p w14:paraId="6BE9B121">
      <w:pPr>
        <w:adjustRightInd w:val="0"/>
        <w:snapToGrid w:val="0"/>
        <w:spacing w:line="360" w:lineRule="auto"/>
        <w:ind w:firstLine="422" w:firstLineChars="201"/>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9、图书馆楼宇大门、大堂、楼道等公共部位的清洁每天不少于2次，大堂地面抛光打蜡或晶面研磨每2月不少于1次；图书馆会议室/接待室每天不少于1次保洁，会议结束及时保洁；</w:t>
      </w:r>
    </w:p>
    <w:p w14:paraId="1EB5E7FE">
      <w:pPr>
        <w:adjustRightInd w:val="0"/>
        <w:snapToGrid w:val="0"/>
        <w:spacing w:line="360" w:lineRule="auto"/>
        <w:ind w:firstLine="422" w:firstLineChars="201"/>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10、图书馆电梯轿厢、操作板、地面等清洁保养每天不少于2次；电梯门壁打蜡上光每2月不少于1次；</w:t>
      </w:r>
    </w:p>
    <w:p w14:paraId="1220F1BE">
      <w:pPr>
        <w:adjustRightInd w:val="0"/>
        <w:snapToGrid w:val="0"/>
        <w:spacing w:line="360" w:lineRule="auto"/>
        <w:ind w:firstLine="422" w:firstLineChars="201"/>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11、图书馆公共卫生间每天2次全面保洁，每天不少于2次巡回保洁；大理石每5个月抛光不少于1次，地砖或水磨石地面每5个月彻底刷洗不少于1次；标识标牌擦拭每2天不少于1次；公共卫生事件：根据防疫要求，每天不少于2次对公共设施消毒；</w:t>
      </w:r>
    </w:p>
    <w:p w14:paraId="179BE0CC">
      <w:pPr>
        <w:adjustRightInd w:val="0"/>
        <w:snapToGrid w:val="0"/>
        <w:spacing w:line="360" w:lineRule="auto"/>
        <w:ind w:firstLine="422" w:firstLineChars="201"/>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12、楼顶保洁每2周不少于1次。</w:t>
      </w:r>
    </w:p>
    <w:p w14:paraId="266FFA34">
      <w:pPr>
        <w:adjustRightInd w:val="0"/>
        <w:snapToGrid w:val="0"/>
        <w:spacing w:line="360" w:lineRule="auto"/>
        <w:ind w:firstLine="422" w:firstLineChars="201"/>
        <w:rPr>
          <w:rFonts w:hint="eastAsia"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rPr>
        <w:t>（三）实施依据</w:t>
      </w:r>
    </w:p>
    <w:p w14:paraId="19BF20D3">
      <w:pPr>
        <w:adjustRightInd w:val="0"/>
        <w:snapToGrid w:val="0"/>
        <w:spacing w:line="360" w:lineRule="auto"/>
        <w:ind w:firstLine="422" w:firstLineChars="201"/>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本招标文件明确的服务范围、服务内容和管理要求、服务等级、质量标准与考核要求等。</w:t>
      </w:r>
    </w:p>
    <w:p w14:paraId="16289C09">
      <w:pPr>
        <w:adjustRightInd w:val="0"/>
        <w:snapToGrid w:val="0"/>
        <w:spacing w:line="360" w:lineRule="auto"/>
        <w:ind w:firstLine="422" w:firstLineChars="201"/>
        <w:rPr>
          <w:rFonts w:hint="eastAsia"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rPr>
        <w:t>（四）执行标准</w:t>
      </w:r>
    </w:p>
    <w:p w14:paraId="2F9B6650">
      <w:pPr>
        <w:adjustRightInd w:val="0"/>
        <w:snapToGrid w:val="0"/>
        <w:spacing w:line="360" w:lineRule="auto"/>
        <w:ind w:firstLine="422" w:firstLineChars="201"/>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国家和本市颁发的适用于本项目的现行法律、法规、规章、规范性文件和标准。</w:t>
      </w:r>
    </w:p>
    <w:p w14:paraId="243AFC57">
      <w:pPr>
        <w:adjustRightInd w:val="0"/>
        <w:snapToGrid w:val="0"/>
        <w:spacing w:line="360" w:lineRule="auto"/>
        <w:ind w:firstLine="422" w:firstLineChars="201"/>
        <w:rPr>
          <w:rFonts w:ascii="Times New Roman" w:hAnsi="Times New Roman" w:cs="Times New Roman"/>
          <w:color w:val="auto"/>
          <w:szCs w:val="21"/>
          <w:highlight w:val="none"/>
        </w:rPr>
      </w:pPr>
    </w:p>
    <w:p w14:paraId="76D8EBA8">
      <w:pPr>
        <w:pStyle w:val="2"/>
        <w:adjustRightInd w:val="0"/>
        <w:snapToGrid w:val="0"/>
        <w:spacing w:line="360" w:lineRule="auto"/>
        <w:ind w:firstLine="420" w:firstLineChars="200"/>
        <w:outlineLvl w:val="0"/>
        <w:rPr>
          <w:rFonts w:hAnsi="宋体"/>
          <w:b/>
          <w:color w:val="auto"/>
          <w:szCs w:val="21"/>
          <w:highlight w:val="none"/>
        </w:rPr>
      </w:pPr>
      <w:r>
        <w:rPr>
          <w:rFonts w:hint="eastAsia" w:hAnsi="宋体"/>
          <w:b/>
          <w:color w:val="auto"/>
          <w:szCs w:val="21"/>
          <w:highlight w:val="none"/>
        </w:rPr>
        <w:t>四、项目服务与管理要求</w:t>
      </w:r>
    </w:p>
    <w:p w14:paraId="17098A1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1.本项目投标人中标后应按照本项目招标需求所要求的服务范围、内容及目标要求提供服务。</w:t>
      </w:r>
    </w:p>
    <w:p w14:paraId="38EB77AE">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应具备上海市或有关行业管理部门规定的在上海市场实施本项目服务所需的资质（包括国家和本市各类专业工种持证上岗要求）、资格和一切手续（如有的话），由此引起的所有有关事宜及费用由投标人自行负责。</w:t>
      </w:r>
    </w:p>
    <w:p w14:paraId="12EA7C9C">
      <w:pPr>
        <w:pStyle w:val="2"/>
        <w:adjustRightInd w:val="0"/>
        <w:snapToGrid w:val="0"/>
        <w:spacing w:line="360" w:lineRule="auto"/>
        <w:ind w:firstLine="420" w:firstLineChars="200"/>
        <w:jc w:val="left"/>
        <w:outlineLvl w:val="0"/>
        <w:rPr>
          <w:rFonts w:hAnsi="宋体"/>
          <w:color w:val="auto"/>
          <w:szCs w:val="21"/>
          <w:highlight w:val="none"/>
        </w:rPr>
      </w:pPr>
      <w:r>
        <w:rPr>
          <w:rFonts w:hint="eastAsia" w:hAnsi="宋体"/>
          <w:color w:val="auto"/>
          <w:szCs w:val="21"/>
          <w:highlight w:val="none"/>
        </w:rPr>
        <w:t>3.服务管理</w:t>
      </w:r>
    </w:p>
    <w:p w14:paraId="360480B1">
      <w:pPr>
        <w:pStyle w:val="2"/>
        <w:adjustRightInd w:val="0"/>
        <w:snapToGrid w:val="0"/>
        <w:spacing w:line="360" w:lineRule="auto"/>
        <w:ind w:firstLine="420" w:firstLineChars="200"/>
        <w:jc w:val="left"/>
        <w:outlineLvl w:val="0"/>
        <w:rPr>
          <w:rFonts w:hAnsi="宋体"/>
          <w:color w:val="auto"/>
          <w:szCs w:val="21"/>
          <w:highlight w:val="none"/>
        </w:rPr>
      </w:pPr>
      <w:r>
        <w:rPr>
          <w:rFonts w:hint="eastAsia" w:hAnsi="宋体"/>
          <w:color w:val="auto"/>
          <w:szCs w:val="21"/>
          <w:highlight w:val="none"/>
        </w:rPr>
        <w:t>3.1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14:paraId="5B65995D">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3.2项目物业经理应为中标人在职人员且应是该项目实施服务的实际管理者。应具有类似本项目的服务管理经验。物业经理如有不尽其职或虚名挂靠，采购人有权要求撤换，直至要求终止合同，由此造成的责任由中标人负责。</w:t>
      </w:r>
    </w:p>
    <w:p w14:paraId="30ED52FA">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3.3项目组人员的数量应足够满足本项目服务需要，人员配置及年龄层次应合理，具有良好的职业道德和严谨的工作作风。</w:t>
      </w:r>
    </w:p>
    <w:p w14:paraId="132C67FF">
      <w:pPr>
        <w:widowControl/>
        <w:adjustRightInd w:val="0"/>
        <w:snapToGrid w:val="0"/>
        <w:spacing w:line="360" w:lineRule="auto"/>
        <w:ind w:firstLine="424" w:firstLineChars="202"/>
        <w:rPr>
          <w:rFonts w:ascii="宋体" w:hAnsi="宋体"/>
          <w:color w:val="auto"/>
          <w:highlight w:val="none"/>
        </w:rPr>
      </w:pPr>
      <w:r>
        <w:rPr>
          <w:rFonts w:hint="eastAsia" w:ascii="宋体" w:hAnsi="宋体"/>
          <w:color w:val="auto"/>
          <w:highlight w:val="none"/>
        </w:rPr>
        <w:t>3.4中标人在组织项目服务实施期间，应按采购人实际服务需求落实所对应提供的服务工作，中标人在项目服务实施期间应做好相关管理记录，保证满足采购人服务需求。</w:t>
      </w:r>
    </w:p>
    <w:p w14:paraId="6C91E395">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highlight w:val="none"/>
        </w:rPr>
        <w:t>3.5经采购人确认的</w:t>
      </w:r>
      <w:r>
        <w:rPr>
          <w:rFonts w:hint="eastAsia" w:ascii="宋体" w:hAnsi="宋体"/>
          <w:color w:val="auto"/>
          <w:highlight w:val="none"/>
          <w:lang w:eastAsia="zh-CN"/>
        </w:rPr>
        <w:t>物业经理</w:t>
      </w:r>
      <w:r>
        <w:rPr>
          <w:rFonts w:hint="eastAsia" w:ascii="宋体" w:hAnsi="宋体"/>
          <w:color w:val="auto"/>
          <w:highlight w:val="none"/>
        </w:rPr>
        <w:t>和项目组人员及数量，未经采购人书面批准不得随意调换或撤离，若自行更换或撤离，按照合同违约处理。如采购人认为有必要，可要求中标人对上述人员中的部分人员作出更好的调整。</w:t>
      </w:r>
    </w:p>
    <w:p w14:paraId="203CDBA7">
      <w:pPr>
        <w:widowControl/>
        <w:adjustRightInd w:val="0"/>
        <w:snapToGrid w:val="0"/>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3.6各投标人在投标文件中要结合本项目的特点和采购人上述的具体要求制定相应的服务管理措施。同时应适当考虑投保足够份额的雇主责任险、公众责任险，并在报价（其他费用）中列支必须的费用清单。</w:t>
      </w:r>
    </w:p>
    <w:p w14:paraId="4D9FAC3D">
      <w:pPr>
        <w:widowControl/>
        <w:adjustRightInd w:val="0"/>
        <w:snapToGrid w:val="0"/>
        <w:spacing w:line="360" w:lineRule="auto"/>
        <w:ind w:firstLine="424" w:firstLineChars="202"/>
        <w:rPr>
          <w:rFonts w:hint="eastAsia" w:ascii="宋体" w:hAnsi="宋体"/>
          <w:color w:val="auto"/>
          <w:szCs w:val="21"/>
          <w:highlight w:val="none"/>
        </w:rPr>
      </w:pPr>
      <w:r>
        <w:rPr>
          <w:rFonts w:hint="eastAsia"/>
          <w:color w:val="auto"/>
          <w:highlight w:val="none"/>
          <w:vertAlign w:val="baseline"/>
          <w:lang w:val="en-US" w:eastAsia="zh-CN"/>
        </w:rPr>
        <w:t>3.7</w:t>
      </w:r>
      <w:r>
        <w:rPr>
          <w:rFonts w:hint="eastAsia"/>
          <w:color w:val="auto"/>
          <w:highlight w:val="none"/>
          <w:vertAlign w:val="baseline"/>
          <w:lang w:eastAsia="zh-CN"/>
        </w:rPr>
        <w:t>投标人具有质量管理体系认证证书（GB/T 19001认证）、环境管理体系认证证书（GB/T 24001认证）、职业健康安全管理体系认证证书（GB/T 45001认证）。</w:t>
      </w:r>
    </w:p>
    <w:p w14:paraId="6AC5FDEB">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4.人员要求：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174"/>
        <w:gridCol w:w="1802"/>
        <w:gridCol w:w="2268"/>
        <w:gridCol w:w="2177"/>
      </w:tblGrid>
      <w:tr w14:paraId="4CF5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CF71083">
            <w:pPr>
              <w:adjustRightInd w:val="0"/>
              <w:snapToGrid w:val="0"/>
              <w:spacing w:line="360" w:lineRule="auto"/>
              <w:jc w:val="center"/>
              <w:rPr>
                <w:rFonts w:ascii="宋体" w:hAnsi="宋体"/>
                <w:color w:val="auto"/>
                <w:szCs w:val="21"/>
                <w:highlight w:val="none"/>
              </w:rPr>
            </w:pPr>
            <w:r>
              <w:rPr>
                <w:rFonts w:hint="eastAsia" w:ascii="宋体" w:cs="宋体"/>
                <w:color w:val="auto"/>
                <w:kern w:val="0"/>
                <w:szCs w:val="21"/>
                <w:highlight w:val="none"/>
                <w:lang w:bidi="ar"/>
              </w:rPr>
              <w:t>部门</w:t>
            </w:r>
          </w:p>
        </w:tc>
        <w:tc>
          <w:tcPr>
            <w:tcW w:w="1174" w:type="dxa"/>
            <w:vAlign w:val="center"/>
          </w:tcPr>
          <w:p w14:paraId="411F850A">
            <w:pPr>
              <w:adjustRightInd w:val="0"/>
              <w:snapToGrid w:val="0"/>
              <w:spacing w:line="360" w:lineRule="auto"/>
              <w:jc w:val="center"/>
              <w:rPr>
                <w:rFonts w:ascii="宋体" w:hAnsi="宋体"/>
                <w:color w:val="auto"/>
                <w:szCs w:val="21"/>
                <w:highlight w:val="none"/>
              </w:rPr>
            </w:pPr>
            <w:r>
              <w:rPr>
                <w:rFonts w:hint="eastAsia" w:ascii="宋体" w:cs="宋体"/>
                <w:color w:val="auto"/>
                <w:kern w:val="0"/>
                <w:szCs w:val="21"/>
                <w:highlight w:val="none"/>
                <w:lang w:bidi="ar"/>
              </w:rPr>
              <w:t>岗位</w:t>
            </w:r>
          </w:p>
        </w:tc>
        <w:tc>
          <w:tcPr>
            <w:tcW w:w="1802" w:type="dxa"/>
            <w:vAlign w:val="center"/>
          </w:tcPr>
          <w:p w14:paraId="6B3CEA39">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岗位编制（该岗位同一时段内需要在岗人数）</w:t>
            </w:r>
          </w:p>
        </w:tc>
        <w:tc>
          <w:tcPr>
            <w:tcW w:w="2268" w:type="dxa"/>
            <w:vAlign w:val="center"/>
          </w:tcPr>
          <w:p w14:paraId="17D1BF46">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岗位人力配置数量（根据服务时长及岗位编制要求，配置的人数）</w:t>
            </w:r>
          </w:p>
        </w:tc>
        <w:tc>
          <w:tcPr>
            <w:tcW w:w="2177" w:type="dxa"/>
            <w:vAlign w:val="center"/>
          </w:tcPr>
          <w:p w14:paraId="319E13B1">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备注（岗位所需服务时长或时段、需具备的上岗资格证等）</w:t>
            </w:r>
          </w:p>
        </w:tc>
      </w:tr>
      <w:tr w14:paraId="3260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vAlign w:val="center"/>
          </w:tcPr>
          <w:p w14:paraId="743235CF">
            <w:pPr>
              <w:adjustRightInd w:val="0"/>
              <w:snapToGrid w:val="0"/>
              <w:spacing w:line="360" w:lineRule="auto"/>
              <w:jc w:val="center"/>
              <w:rPr>
                <w:rFonts w:ascii="宋体" w:hAnsi="宋体"/>
                <w:color w:val="auto"/>
                <w:szCs w:val="21"/>
                <w:highlight w:val="none"/>
              </w:rPr>
            </w:pPr>
          </w:p>
          <w:p w14:paraId="70C45FED">
            <w:pPr>
              <w:adjustRightInd w:val="0"/>
              <w:snapToGrid w:val="0"/>
              <w:spacing w:line="360" w:lineRule="auto"/>
              <w:jc w:val="center"/>
              <w:rPr>
                <w:rFonts w:ascii="宋体" w:hAnsi="宋体"/>
                <w:color w:val="auto"/>
                <w:szCs w:val="21"/>
                <w:highlight w:val="none"/>
              </w:rPr>
            </w:pPr>
          </w:p>
          <w:p w14:paraId="471B3F85">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绿化保洁</w:t>
            </w:r>
          </w:p>
        </w:tc>
        <w:tc>
          <w:tcPr>
            <w:tcW w:w="1174" w:type="dxa"/>
            <w:vAlign w:val="center"/>
          </w:tcPr>
          <w:p w14:paraId="14B7263C">
            <w:pPr>
              <w:adjustRightInd w:val="0"/>
              <w:snapToGrid w:val="0"/>
              <w:spacing w:line="360" w:lineRule="auto"/>
              <w:jc w:val="center"/>
              <w:rPr>
                <w:rFonts w:hint="default" w:ascii="宋体" w:cs="宋体" w:eastAsiaTheme="minorEastAsia"/>
                <w:color w:val="auto"/>
                <w:kern w:val="0"/>
                <w:szCs w:val="21"/>
                <w:highlight w:val="none"/>
                <w:lang w:val="en-US" w:eastAsia="zh-CN" w:bidi="ar"/>
              </w:rPr>
            </w:pPr>
            <w:r>
              <w:rPr>
                <w:rFonts w:hint="eastAsia" w:ascii="宋体" w:cs="宋体"/>
                <w:color w:val="auto"/>
                <w:kern w:val="0"/>
                <w:szCs w:val="21"/>
                <w:highlight w:val="none"/>
                <w:lang w:val="en-US" w:eastAsia="zh-CN" w:bidi="ar"/>
              </w:rPr>
              <w:t>物业经理</w:t>
            </w:r>
          </w:p>
        </w:tc>
        <w:tc>
          <w:tcPr>
            <w:tcW w:w="1802" w:type="dxa"/>
            <w:vAlign w:val="center"/>
          </w:tcPr>
          <w:p w14:paraId="305EAED5">
            <w:pPr>
              <w:adjustRightInd w:val="0"/>
              <w:snapToGrid w:val="0"/>
              <w:spacing w:line="360" w:lineRule="auto"/>
              <w:jc w:val="center"/>
              <w:rPr>
                <w:rFonts w:ascii="宋体" w:hAnsi="宋体"/>
                <w:color w:val="auto"/>
                <w:szCs w:val="21"/>
                <w:highlight w:val="none"/>
              </w:rPr>
            </w:pPr>
          </w:p>
        </w:tc>
        <w:tc>
          <w:tcPr>
            <w:tcW w:w="2268" w:type="dxa"/>
            <w:vAlign w:val="center"/>
          </w:tcPr>
          <w:p w14:paraId="6CDBD1FD">
            <w:pPr>
              <w:adjustRightInd w:val="0"/>
              <w:snapToGrid w:val="0"/>
              <w:spacing w:line="360" w:lineRule="auto"/>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w:t>
            </w:r>
          </w:p>
        </w:tc>
        <w:tc>
          <w:tcPr>
            <w:tcW w:w="2177" w:type="dxa"/>
            <w:vAlign w:val="center"/>
          </w:tcPr>
          <w:p w14:paraId="34976682">
            <w:pPr>
              <w:adjustRightInd w:val="0"/>
              <w:snapToGrid w:val="0"/>
              <w:spacing w:line="360" w:lineRule="auto"/>
              <w:jc w:val="center"/>
              <w:rPr>
                <w:rFonts w:hint="default" w:ascii="宋体" w:hAnsi="宋体"/>
                <w:color w:val="auto"/>
                <w:szCs w:val="21"/>
                <w:highlight w:val="none"/>
                <w:lang w:val="en-US" w:eastAsia="zh-CN"/>
              </w:rPr>
            </w:pPr>
            <w:r>
              <w:rPr>
                <w:rFonts w:hint="eastAsia"/>
                <w:color w:val="auto"/>
                <w:highlight w:val="none"/>
              </w:rPr>
              <w:t>中级</w:t>
            </w:r>
            <w:r>
              <w:rPr>
                <w:rFonts w:hint="eastAsia"/>
                <w:color w:val="auto"/>
                <w:highlight w:val="none"/>
                <w:lang w:eastAsia="zh-CN"/>
              </w:rPr>
              <w:t>物业经理（或三级物业管理师</w:t>
            </w:r>
            <w:r>
              <w:rPr>
                <w:rFonts w:hint="eastAsia" w:ascii="宋体" w:hAnsi="宋体" w:cs="宋体"/>
                <w:color w:val="auto"/>
                <w:kern w:val="0"/>
                <w:sz w:val="21"/>
                <w:szCs w:val="21"/>
                <w:highlight w:val="none"/>
                <w:vertAlign w:val="baseline"/>
                <w:lang w:eastAsia="zh-CN" w:bidi="ar"/>
              </w:rPr>
              <w:t>职业能力等级</w:t>
            </w:r>
            <w:r>
              <w:rPr>
                <w:rFonts w:hint="eastAsia"/>
                <w:color w:val="auto"/>
                <w:highlight w:val="none"/>
                <w:lang w:eastAsia="zh-CN"/>
              </w:rPr>
              <w:t>）及</w:t>
            </w:r>
            <w:r>
              <w:rPr>
                <w:rFonts w:hint="eastAsia"/>
                <w:color w:val="auto"/>
                <w:highlight w:val="none"/>
              </w:rPr>
              <w:t>以上</w:t>
            </w:r>
          </w:p>
        </w:tc>
      </w:tr>
      <w:tr w14:paraId="5193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14:paraId="5E53BAED">
            <w:pPr>
              <w:adjustRightInd w:val="0"/>
              <w:snapToGrid w:val="0"/>
              <w:spacing w:line="360" w:lineRule="auto"/>
              <w:jc w:val="center"/>
              <w:rPr>
                <w:rFonts w:ascii="宋体" w:hAnsi="宋体"/>
                <w:color w:val="auto"/>
                <w:szCs w:val="21"/>
                <w:highlight w:val="none"/>
              </w:rPr>
            </w:pPr>
          </w:p>
        </w:tc>
        <w:tc>
          <w:tcPr>
            <w:tcW w:w="1174" w:type="dxa"/>
            <w:vAlign w:val="center"/>
          </w:tcPr>
          <w:p w14:paraId="1BACA7AD">
            <w:pPr>
              <w:adjustRightInd w:val="0"/>
              <w:snapToGrid w:val="0"/>
              <w:spacing w:line="360" w:lineRule="auto"/>
              <w:jc w:val="center"/>
              <w:rPr>
                <w:rFonts w:hint="eastAsia" w:ascii="宋体" w:cs="宋体"/>
                <w:color w:val="auto"/>
                <w:kern w:val="0"/>
                <w:szCs w:val="21"/>
                <w:highlight w:val="none"/>
                <w:lang w:bidi="ar"/>
              </w:rPr>
            </w:pPr>
            <w:r>
              <w:rPr>
                <w:rFonts w:hint="eastAsia" w:ascii="宋体" w:cs="宋体"/>
                <w:color w:val="auto"/>
                <w:kern w:val="0"/>
                <w:szCs w:val="21"/>
                <w:highlight w:val="none"/>
                <w:lang w:val="en-US" w:eastAsia="zh-CN" w:bidi="ar"/>
              </w:rPr>
              <w:t>绿化</w:t>
            </w:r>
            <w:r>
              <w:rPr>
                <w:rFonts w:hint="eastAsia" w:ascii="宋体" w:cs="宋体"/>
                <w:color w:val="auto"/>
                <w:kern w:val="0"/>
                <w:szCs w:val="21"/>
                <w:highlight w:val="none"/>
                <w:lang w:bidi="ar"/>
              </w:rPr>
              <w:t>主管</w:t>
            </w:r>
          </w:p>
        </w:tc>
        <w:tc>
          <w:tcPr>
            <w:tcW w:w="1802" w:type="dxa"/>
            <w:vAlign w:val="center"/>
          </w:tcPr>
          <w:p w14:paraId="30EC727D">
            <w:pPr>
              <w:adjustRightInd w:val="0"/>
              <w:snapToGrid w:val="0"/>
              <w:spacing w:line="360" w:lineRule="auto"/>
              <w:jc w:val="center"/>
              <w:rPr>
                <w:rFonts w:ascii="宋体" w:hAnsi="宋体"/>
                <w:color w:val="auto"/>
                <w:szCs w:val="21"/>
                <w:highlight w:val="none"/>
              </w:rPr>
            </w:pPr>
          </w:p>
        </w:tc>
        <w:tc>
          <w:tcPr>
            <w:tcW w:w="2268" w:type="dxa"/>
            <w:vAlign w:val="center"/>
          </w:tcPr>
          <w:p w14:paraId="29F84ABB">
            <w:pPr>
              <w:adjustRightInd w:val="0"/>
              <w:snapToGrid w:val="0"/>
              <w:spacing w:line="360" w:lineRule="auto"/>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lang w:val="en-US" w:eastAsia="zh-CN"/>
              </w:rPr>
              <w:t>1</w:t>
            </w:r>
          </w:p>
        </w:tc>
        <w:tc>
          <w:tcPr>
            <w:tcW w:w="2177" w:type="dxa"/>
            <w:vAlign w:val="center"/>
          </w:tcPr>
          <w:p w14:paraId="5B2EAC26">
            <w:pPr>
              <w:adjustRightInd w:val="0"/>
              <w:snapToGrid w:val="0"/>
              <w:spacing w:line="360" w:lineRule="auto"/>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职业技能等级中级/四级及以上</w:t>
            </w:r>
          </w:p>
        </w:tc>
      </w:tr>
      <w:tr w14:paraId="273A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vAlign w:val="center"/>
          </w:tcPr>
          <w:p w14:paraId="25F78917">
            <w:pPr>
              <w:adjustRightInd w:val="0"/>
              <w:snapToGrid w:val="0"/>
              <w:spacing w:line="360" w:lineRule="auto"/>
              <w:jc w:val="center"/>
              <w:rPr>
                <w:rFonts w:ascii="宋体" w:hAnsi="宋体"/>
                <w:color w:val="auto"/>
                <w:szCs w:val="21"/>
                <w:highlight w:val="none"/>
              </w:rPr>
            </w:pPr>
          </w:p>
        </w:tc>
        <w:tc>
          <w:tcPr>
            <w:tcW w:w="1174" w:type="dxa"/>
            <w:vAlign w:val="center"/>
          </w:tcPr>
          <w:p w14:paraId="168069AF">
            <w:pPr>
              <w:adjustRightInd w:val="0"/>
              <w:snapToGrid w:val="0"/>
              <w:spacing w:line="360" w:lineRule="auto"/>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保洁主管</w:t>
            </w:r>
          </w:p>
        </w:tc>
        <w:tc>
          <w:tcPr>
            <w:tcW w:w="1802" w:type="dxa"/>
            <w:vAlign w:val="center"/>
          </w:tcPr>
          <w:p w14:paraId="5FFB8B01">
            <w:pPr>
              <w:adjustRightInd w:val="0"/>
              <w:snapToGrid w:val="0"/>
              <w:spacing w:line="360" w:lineRule="auto"/>
              <w:jc w:val="center"/>
              <w:rPr>
                <w:rFonts w:ascii="宋体" w:hAnsi="宋体"/>
                <w:color w:val="auto"/>
                <w:szCs w:val="21"/>
                <w:highlight w:val="none"/>
              </w:rPr>
            </w:pPr>
          </w:p>
        </w:tc>
        <w:tc>
          <w:tcPr>
            <w:tcW w:w="2268" w:type="dxa"/>
            <w:vAlign w:val="center"/>
          </w:tcPr>
          <w:p w14:paraId="000D5DFE">
            <w:pPr>
              <w:adjustRightInd w:val="0"/>
              <w:snapToGrid w:val="0"/>
              <w:spacing w:line="360" w:lineRule="auto"/>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w:t>
            </w:r>
          </w:p>
        </w:tc>
        <w:tc>
          <w:tcPr>
            <w:tcW w:w="2177" w:type="dxa"/>
            <w:vAlign w:val="center"/>
          </w:tcPr>
          <w:p w14:paraId="64E71F4A">
            <w:pPr>
              <w:adjustRightInd w:val="0"/>
              <w:snapToGrid w:val="0"/>
              <w:spacing w:line="360" w:lineRule="auto"/>
              <w:jc w:val="center"/>
              <w:rPr>
                <w:rFonts w:hint="default" w:ascii="宋体" w:hAnsi="宋体" w:eastAsiaTheme="minorEastAsia"/>
                <w:color w:val="auto"/>
                <w:szCs w:val="21"/>
                <w:highlight w:val="none"/>
                <w:lang w:val="en-US" w:eastAsia="zh-CN"/>
              </w:rPr>
            </w:pPr>
          </w:p>
        </w:tc>
      </w:tr>
      <w:tr w14:paraId="106A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14:paraId="05BC2211">
            <w:pPr>
              <w:adjustRightInd w:val="0"/>
              <w:snapToGrid w:val="0"/>
              <w:spacing w:line="360" w:lineRule="auto"/>
              <w:jc w:val="center"/>
              <w:rPr>
                <w:rFonts w:ascii="宋体" w:hAnsi="宋体"/>
                <w:color w:val="auto"/>
                <w:szCs w:val="21"/>
                <w:highlight w:val="none"/>
              </w:rPr>
            </w:pPr>
          </w:p>
        </w:tc>
        <w:tc>
          <w:tcPr>
            <w:tcW w:w="1174" w:type="dxa"/>
            <w:vAlign w:val="center"/>
          </w:tcPr>
          <w:p w14:paraId="2A34F6B9">
            <w:pPr>
              <w:adjustRightInd w:val="0"/>
              <w:snapToGrid w:val="0"/>
              <w:spacing w:line="360" w:lineRule="auto"/>
              <w:jc w:val="center"/>
              <w:rPr>
                <w:rFonts w:ascii="宋体" w:hAnsi="宋体"/>
                <w:color w:val="auto"/>
                <w:szCs w:val="21"/>
                <w:highlight w:val="none"/>
              </w:rPr>
            </w:pPr>
            <w:r>
              <w:rPr>
                <w:rFonts w:hint="eastAsia" w:ascii="宋体" w:cs="宋体"/>
                <w:color w:val="auto"/>
                <w:kern w:val="0"/>
                <w:szCs w:val="21"/>
                <w:highlight w:val="none"/>
                <w:lang w:bidi="ar"/>
              </w:rPr>
              <w:t>绿化工</w:t>
            </w:r>
          </w:p>
        </w:tc>
        <w:tc>
          <w:tcPr>
            <w:tcW w:w="1802" w:type="dxa"/>
            <w:vAlign w:val="center"/>
          </w:tcPr>
          <w:p w14:paraId="36B8354D">
            <w:pPr>
              <w:adjustRightInd w:val="0"/>
              <w:snapToGrid w:val="0"/>
              <w:spacing w:line="360" w:lineRule="auto"/>
              <w:jc w:val="center"/>
              <w:rPr>
                <w:rFonts w:ascii="宋体" w:hAnsi="宋体"/>
                <w:color w:val="auto"/>
                <w:szCs w:val="21"/>
                <w:highlight w:val="none"/>
              </w:rPr>
            </w:pPr>
          </w:p>
        </w:tc>
        <w:tc>
          <w:tcPr>
            <w:tcW w:w="2268" w:type="dxa"/>
            <w:vAlign w:val="center"/>
          </w:tcPr>
          <w:p w14:paraId="45471A2B">
            <w:pPr>
              <w:adjustRightInd w:val="0"/>
              <w:snapToGrid w:val="0"/>
              <w:spacing w:line="360" w:lineRule="auto"/>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lang w:val="en-US" w:eastAsia="zh-CN"/>
              </w:rPr>
              <w:t>5</w:t>
            </w:r>
          </w:p>
        </w:tc>
        <w:tc>
          <w:tcPr>
            <w:tcW w:w="2177" w:type="dxa"/>
            <w:vAlign w:val="center"/>
          </w:tcPr>
          <w:p w14:paraId="5E604931">
            <w:pPr>
              <w:adjustRightInd w:val="0"/>
              <w:snapToGrid w:val="0"/>
              <w:spacing w:line="360" w:lineRule="auto"/>
              <w:jc w:val="center"/>
              <w:rPr>
                <w:rFonts w:ascii="宋体" w:hAnsi="宋体"/>
                <w:color w:val="auto"/>
                <w:szCs w:val="21"/>
                <w:highlight w:val="none"/>
              </w:rPr>
            </w:pPr>
          </w:p>
        </w:tc>
      </w:tr>
      <w:tr w14:paraId="6EC4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14:paraId="61B7F2C0">
            <w:pPr>
              <w:adjustRightInd w:val="0"/>
              <w:snapToGrid w:val="0"/>
              <w:spacing w:line="360" w:lineRule="auto"/>
              <w:jc w:val="center"/>
              <w:rPr>
                <w:rFonts w:ascii="宋体" w:hAnsi="宋体"/>
                <w:color w:val="auto"/>
                <w:szCs w:val="21"/>
                <w:highlight w:val="none"/>
              </w:rPr>
            </w:pPr>
          </w:p>
        </w:tc>
        <w:tc>
          <w:tcPr>
            <w:tcW w:w="1174" w:type="dxa"/>
            <w:vAlign w:val="center"/>
          </w:tcPr>
          <w:p w14:paraId="23CE54AE">
            <w:pPr>
              <w:adjustRightInd w:val="0"/>
              <w:snapToGrid w:val="0"/>
              <w:spacing w:line="360" w:lineRule="auto"/>
              <w:jc w:val="center"/>
              <w:rPr>
                <w:rFonts w:ascii="宋体" w:cs="宋体"/>
                <w:color w:val="auto"/>
                <w:kern w:val="0"/>
                <w:szCs w:val="21"/>
                <w:highlight w:val="none"/>
                <w:lang w:bidi="ar"/>
              </w:rPr>
            </w:pPr>
            <w:r>
              <w:rPr>
                <w:rFonts w:hint="eastAsia" w:ascii="宋体" w:cs="宋体"/>
                <w:color w:val="auto"/>
                <w:kern w:val="0"/>
                <w:szCs w:val="21"/>
                <w:highlight w:val="none"/>
                <w:lang w:bidi="ar"/>
              </w:rPr>
              <w:t>保洁员</w:t>
            </w:r>
          </w:p>
        </w:tc>
        <w:tc>
          <w:tcPr>
            <w:tcW w:w="1802" w:type="dxa"/>
            <w:vAlign w:val="center"/>
          </w:tcPr>
          <w:p w14:paraId="57AEE903">
            <w:pPr>
              <w:adjustRightInd w:val="0"/>
              <w:snapToGrid w:val="0"/>
              <w:spacing w:line="360" w:lineRule="auto"/>
              <w:jc w:val="center"/>
              <w:rPr>
                <w:rFonts w:ascii="宋体" w:hAnsi="宋体"/>
                <w:color w:val="auto"/>
                <w:szCs w:val="21"/>
                <w:highlight w:val="none"/>
              </w:rPr>
            </w:pPr>
          </w:p>
        </w:tc>
        <w:tc>
          <w:tcPr>
            <w:tcW w:w="2268" w:type="dxa"/>
            <w:vAlign w:val="center"/>
          </w:tcPr>
          <w:p w14:paraId="7919EBC6">
            <w:pPr>
              <w:adjustRightInd w:val="0"/>
              <w:snapToGrid w:val="0"/>
              <w:spacing w:line="360" w:lineRule="auto"/>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rPr>
              <w:t>6</w:t>
            </w:r>
            <w:r>
              <w:rPr>
                <w:rFonts w:hint="eastAsia" w:ascii="宋体" w:hAnsi="宋体"/>
                <w:color w:val="auto"/>
                <w:szCs w:val="21"/>
                <w:highlight w:val="none"/>
                <w:lang w:val="en-US" w:eastAsia="zh-CN"/>
              </w:rPr>
              <w:t>4</w:t>
            </w:r>
          </w:p>
        </w:tc>
        <w:tc>
          <w:tcPr>
            <w:tcW w:w="2177" w:type="dxa"/>
            <w:vAlign w:val="center"/>
          </w:tcPr>
          <w:p w14:paraId="65A9B8F5">
            <w:pPr>
              <w:adjustRightInd w:val="0"/>
              <w:snapToGrid w:val="0"/>
              <w:spacing w:line="360" w:lineRule="auto"/>
              <w:jc w:val="center"/>
              <w:rPr>
                <w:rFonts w:ascii="宋体" w:hAnsi="宋体"/>
                <w:color w:val="auto"/>
                <w:szCs w:val="21"/>
                <w:highlight w:val="none"/>
              </w:rPr>
            </w:pPr>
          </w:p>
        </w:tc>
      </w:tr>
    </w:tbl>
    <w:p w14:paraId="316A69D7">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投标人必须对拟投入本项目的人员严格把关，对违反采购需求要求所可能出现的后果承担一切责任。</w:t>
      </w:r>
    </w:p>
    <w:p w14:paraId="5895FB48">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物业经理</w:t>
      </w:r>
      <w:r>
        <w:rPr>
          <w:rFonts w:hint="eastAsia" w:ascii="宋体" w:hAnsi="宋体"/>
          <w:color w:val="auto"/>
          <w:szCs w:val="21"/>
          <w:highlight w:val="none"/>
        </w:rPr>
        <w:t>应具备大专以上学历，</w:t>
      </w:r>
      <w:r>
        <w:rPr>
          <w:rFonts w:hint="eastAsia"/>
          <w:color w:val="auto"/>
          <w:highlight w:val="none"/>
        </w:rPr>
        <w:t>中级</w:t>
      </w:r>
      <w:r>
        <w:rPr>
          <w:rFonts w:hint="eastAsia"/>
          <w:color w:val="auto"/>
          <w:highlight w:val="none"/>
          <w:lang w:eastAsia="zh-CN"/>
        </w:rPr>
        <w:t>物业经理（或三级物业管理师</w:t>
      </w:r>
      <w:r>
        <w:rPr>
          <w:rFonts w:hint="eastAsia" w:ascii="宋体" w:hAnsi="宋体" w:cs="宋体"/>
          <w:color w:val="auto"/>
          <w:kern w:val="0"/>
          <w:sz w:val="21"/>
          <w:szCs w:val="21"/>
          <w:highlight w:val="none"/>
          <w:vertAlign w:val="baseline"/>
          <w:lang w:eastAsia="zh-CN" w:bidi="ar"/>
        </w:rPr>
        <w:t>职业能力等级</w:t>
      </w:r>
      <w:r>
        <w:rPr>
          <w:rFonts w:hint="eastAsia"/>
          <w:color w:val="auto"/>
          <w:highlight w:val="none"/>
          <w:lang w:eastAsia="zh-CN"/>
        </w:rPr>
        <w:t>）及</w:t>
      </w:r>
      <w:r>
        <w:rPr>
          <w:rFonts w:hint="eastAsia"/>
          <w:color w:val="auto"/>
          <w:highlight w:val="none"/>
        </w:rPr>
        <w:t>以上</w:t>
      </w:r>
      <w:r>
        <w:rPr>
          <w:rFonts w:hint="eastAsia" w:ascii="宋体" w:hAnsi="宋体"/>
          <w:color w:val="auto"/>
          <w:szCs w:val="21"/>
          <w:highlight w:val="none"/>
        </w:rPr>
        <w:t>，</w:t>
      </w:r>
      <w:r>
        <w:rPr>
          <w:rFonts w:hint="eastAsia" w:ascii="宋体" w:hAnsi="宋体"/>
          <w:color w:val="auto"/>
          <w:szCs w:val="21"/>
          <w:highlight w:val="none"/>
          <w:lang w:eastAsia="zh-CN"/>
        </w:rPr>
        <w:t>具有</w:t>
      </w:r>
      <w:r>
        <w:rPr>
          <w:rFonts w:hint="eastAsia" w:ascii="宋体" w:hAnsi="宋体"/>
          <w:color w:val="auto"/>
          <w:szCs w:val="21"/>
          <w:highlight w:val="none"/>
          <w:lang w:val="en-US" w:eastAsia="zh-CN"/>
        </w:rPr>
        <w:t>3</w:t>
      </w:r>
      <w:r>
        <w:rPr>
          <w:rFonts w:hint="eastAsia" w:ascii="宋体" w:hAnsi="宋体"/>
          <w:color w:val="auto"/>
          <w:szCs w:val="21"/>
          <w:highlight w:val="none"/>
        </w:rPr>
        <w:t>年以上绿化保洁服务管理经验</w:t>
      </w:r>
      <w:r>
        <w:rPr>
          <w:rFonts w:hint="eastAsia" w:ascii="宋体" w:hAnsi="宋体"/>
          <w:color w:val="auto"/>
          <w:szCs w:val="21"/>
          <w:highlight w:val="none"/>
          <w:lang w:eastAsia="zh-CN"/>
        </w:rPr>
        <w:t>或</w:t>
      </w:r>
      <w:r>
        <w:rPr>
          <w:rFonts w:hint="eastAsia" w:ascii="宋体" w:hAnsi="宋体"/>
          <w:color w:val="auto"/>
          <w:szCs w:val="21"/>
          <w:highlight w:val="none"/>
        </w:rPr>
        <w:t>学校绿化保洁服务管理经验</w:t>
      </w:r>
      <w:r>
        <w:rPr>
          <w:rFonts w:hint="eastAsia" w:ascii="宋体" w:hAnsi="宋体"/>
          <w:color w:val="auto"/>
          <w:szCs w:val="21"/>
          <w:highlight w:val="none"/>
          <w:lang w:eastAsia="zh-CN"/>
        </w:rPr>
        <w:t>，</w:t>
      </w:r>
      <w:r>
        <w:rPr>
          <w:rFonts w:hint="eastAsia" w:ascii="宋体" w:hAnsi="宋体"/>
          <w:color w:val="auto"/>
          <w:szCs w:val="21"/>
          <w:highlight w:val="none"/>
        </w:rPr>
        <w:t>提供其具备的与履行工作相关的其他证书或者荣誉证明材料。</w:t>
      </w:r>
    </w:p>
    <w:p w14:paraId="454CE36D">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5.物业管理服务费用明细</w:t>
      </w:r>
    </w:p>
    <w:p w14:paraId="6BCE753C">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.1</w:t>
      </w:r>
      <w:r>
        <w:rPr>
          <w:rFonts w:hint="eastAsia" w:ascii="宋体" w:hAnsi="宋体"/>
          <w:color w:val="auto"/>
          <w:szCs w:val="21"/>
          <w:highlight w:val="none"/>
        </w:rPr>
        <w:t>物业管理服务费内容包括：</w:t>
      </w:r>
    </w:p>
    <w:p w14:paraId="201B9DC2">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（1）员工人工工资</w:t>
      </w:r>
    </w:p>
    <w:p w14:paraId="63471D94">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（2）员工社保基金、福利费用</w:t>
      </w:r>
    </w:p>
    <w:p w14:paraId="0AE08DCD">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（3）年终奖金</w:t>
      </w:r>
    </w:p>
    <w:p w14:paraId="3D3E6273">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（4）固定加班费</w:t>
      </w:r>
    </w:p>
    <w:p w14:paraId="685B18A4">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（5）离职补偿金</w:t>
      </w:r>
    </w:p>
    <w:p w14:paraId="1E96435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（6）服装费</w:t>
      </w:r>
    </w:p>
    <w:p w14:paraId="42CDA04C">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（7）教育培训费</w:t>
      </w:r>
    </w:p>
    <w:p w14:paraId="406D9976">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（8）办公费用</w:t>
      </w:r>
    </w:p>
    <w:p w14:paraId="10E9E585">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（9）保险费</w:t>
      </w:r>
    </w:p>
    <w:p w14:paraId="3D88BC9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）公司管理费及酬金</w:t>
      </w:r>
    </w:p>
    <w:p w14:paraId="1BDFB9DB">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）税金</w:t>
      </w:r>
    </w:p>
    <w:p w14:paraId="7748014F">
      <w:pPr>
        <w:adjustRightInd w:val="0"/>
        <w:snapToGrid w:val="0"/>
        <w:spacing w:line="360" w:lineRule="auto"/>
        <w:ind w:firstLine="420" w:firstLineChars="200"/>
        <w:rPr>
          <w:rFonts w:ascii="宋体" w:hAnsi="宋体"/>
          <w:color w:val="auto"/>
          <w:highlight w:val="none"/>
        </w:rPr>
      </w:pPr>
      <w:bookmarkStart w:id="1" w:name="_Hlk215147194"/>
      <w:r>
        <w:rPr>
          <w:rFonts w:hint="eastAsia" w:ascii="宋体" w:hAnsi="宋体"/>
          <w:color w:val="auto"/>
          <w:highlight w:val="none"/>
        </w:rPr>
        <w:t>5</w:t>
      </w:r>
      <w:r>
        <w:rPr>
          <w:rFonts w:ascii="宋体" w:hAnsi="宋体"/>
          <w:color w:val="auto"/>
          <w:highlight w:val="none"/>
        </w:rPr>
        <w:t>.2</w:t>
      </w:r>
      <w:r>
        <w:rPr>
          <w:rFonts w:hint="eastAsia" w:ascii="宋体" w:hAnsi="宋体"/>
          <w:color w:val="auto"/>
          <w:highlight w:val="none"/>
        </w:rPr>
        <w:t>采购单位自理费用项目：</w:t>
      </w:r>
    </w:p>
    <w:p w14:paraId="273A3A67">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（1）水、电、煤等能源消耗费。</w:t>
      </w:r>
    </w:p>
    <w:p w14:paraId="534A177A">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专用设备、设施、变配电设备、给排水设备、污水处理设备、消防设施、中央空调、分体空调、电梯、机械车库、监控安全技防设施、计算机房、通讯设备、安检设备、移动门等维护、维修、配件费用，委托专业公司维护保养或维修费用。</w:t>
      </w:r>
    </w:p>
    <w:p w14:paraId="604C247C">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）特种设备年检费、高压电试检测费用。</w:t>
      </w:r>
    </w:p>
    <w:p w14:paraId="0751C906">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）日常维修中更换配件所需材料，由中标方向采购方申领。</w:t>
      </w:r>
    </w:p>
    <w:p w14:paraId="18297D10">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）干、湿、有害垃圾清运费。</w:t>
      </w:r>
    </w:p>
    <w:bookmarkEnd w:id="1"/>
    <w:p w14:paraId="71595AE6">
      <w:pPr>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6</w:t>
      </w:r>
      <w:r>
        <w:rPr>
          <w:rFonts w:hint="eastAsia" w:ascii="宋体" w:hAnsi="宋体"/>
          <w:color w:val="auto"/>
          <w:highlight w:val="none"/>
        </w:rPr>
        <w:t xml:space="preserve">.转包与分包： </w:t>
      </w:r>
    </w:p>
    <w:p w14:paraId="46AFE9B6">
      <w:pPr>
        <w:widowControl/>
        <w:adjustRightInd w:val="0"/>
        <w:snapToGrid w:val="0"/>
        <w:spacing w:line="360" w:lineRule="auto"/>
        <w:ind w:firstLine="424" w:firstLineChars="202"/>
        <w:rPr>
          <w:rFonts w:ascii="宋体" w:hAnsi="宋体"/>
          <w:color w:val="auto"/>
          <w:highlight w:val="none"/>
        </w:rPr>
      </w:pPr>
      <w:r>
        <w:rPr>
          <w:rFonts w:hint="eastAsia" w:ascii="宋体" w:hAnsi="宋体"/>
          <w:color w:val="auto"/>
          <w:highlight w:val="none"/>
        </w:rPr>
        <w:t>本项目合同不得转让、不得分包。</w:t>
      </w:r>
    </w:p>
    <w:p w14:paraId="47920830">
      <w:pPr>
        <w:widowControl/>
        <w:adjustRightInd w:val="0"/>
        <w:snapToGrid w:val="0"/>
        <w:spacing w:line="360" w:lineRule="auto"/>
        <w:ind w:firstLine="420" w:firstLineChars="200"/>
        <w:jc w:val="left"/>
        <w:rPr>
          <w:rFonts w:ascii="宋体" w:hAnsi="宋体"/>
          <w:color w:val="auto"/>
          <w:highlight w:val="none"/>
        </w:rPr>
      </w:pPr>
      <w:r>
        <w:rPr>
          <w:rFonts w:ascii="宋体" w:hAnsi="宋体"/>
          <w:color w:val="auto"/>
          <w:highlight w:val="none"/>
        </w:rPr>
        <w:t>7</w:t>
      </w:r>
      <w:r>
        <w:rPr>
          <w:rFonts w:hint="eastAsia" w:ascii="宋体" w:hAnsi="宋体"/>
          <w:color w:val="auto"/>
          <w:highlight w:val="none"/>
        </w:rPr>
        <w:t>.年度考核办法</w:t>
      </w:r>
    </w:p>
    <w:p w14:paraId="34B5CF1A">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为加强对绿化保洁公司监管，不断提升为师生服务的水平，营造绿色、文明、优美校园环境。特制定本办法：</w:t>
      </w:r>
    </w:p>
    <w:p w14:paraId="06FDAD2C">
      <w:pPr>
        <w:widowControl/>
        <w:adjustRightInd w:val="0"/>
        <w:snapToGrid w:val="0"/>
        <w:spacing w:line="360" w:lineRule="auto"/>
        <w:ind w:firstLine="424" w:firstLineChars="202"/>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.1考核的主要内容</w:t>
      </w:r>
      <w:r>
        <w:rPr>
          <w:rFonts w:hint="eastAsia" w:ascii="宋体" w:hAnsi="宋体"/>
          <w:color w:val="auto"/>
          <w:szCs w:val="21"/>
          <w:highlight w:val="none"/>
        </w:rPr>
        <w:t>：</w:t>
      </w:r>
    </w:p>
    <w:p w14:paraId="5505A4BF">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（1）服务对象的满意度：采用问卷调查的方式对校园室内外绿化保洁满意度进行测评（每年1~2次）。</w:t>
      </w:r>
    </w:p>
    <w:p w14:paraId="018EB7EA">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（2）每月检查：以校区检查为依据（全年6-8次）。</w:t>
      </w:r>
    </w:p>
    <w:p w14:paraId="6D59C461">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（3）季度考核：以物业管理中心季度考核为依据</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详见附件</w:t>
      </w:r>
      <w:r>
        <w:rPr>
          <w:rFonts w:hint="eastAsia" w:ascii="宋体" w:hAnsi="宋体"/>
          <w:color w:val="auto"/>
          <w:szCs w:val="21"/>
          <w:highlight w:val="none"/>
          <w:lang w:eastAsia="zh-CN"/>
        </w:rPr>
        <w:t>）</w:t>
      </w:r>
      <w:r>
        <w:rPr>
          <w:rFonts w:hint="eastAsia" w:ascii="宋体" w:hAnsi="宋体"/>
          <w:color w:val="auto"/>
          <w:szCs w:val="21"/>
          <w:highlight w:val="none"/>
        </w:rPr>
        <w:t>。</w:t>
      </w:r>
    </w:p>
    <w:p w14:paraId="23CF202E">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（4）落实其他工作的情况。以年终工作总结汇报为基础，结合绿化保洁日常工作、重要工作、安全工作等方面，由物业管理中心给予综合考评。</w:t>
      </w:r>
    </w:p>
    <w:p w14:paraId="34DE7635">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（5）技术比武获奖：对于积极组织员工参加各类各级技术比武并获得奖项者给予加分。</w:t>
      </w:r>
    </w:p>
    <w:p w14:paraId="7C427794">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（6）各类处罚：有效投诉、被给予书面整改通知书以及发生安全事故的给予减分。</w:t>
      </w:r>
    </w:p>
    <w:p w14:paraId="3AAB451A">
      <w:pPr>
        <w:widowControl/>
        <w:adjustRightInd w:val="0"/>
        <w:snapToGrid w:val="0"/>
        <w:spacing w:line="360" w:lineRule="auto"/>
        <w:ind w:firstLine="424" w:firstLineChars="202"/>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.2 考核量化标准：</w:t>
      </w:r>
    </w:p>
    <w:p w14:paraId="31924BE7">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（1）满意度测评：占比40%，即全年满意度测评分的平均分*40%为此项分值。</w:t>
      </w:r>
    </w:p>
    <w:p w14:paraId="2A48F1B6">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（2）每月检查：占比10%,即全年检查评分的平均分*10%为此项分值。</w:t>
      </w:r>
    </w:p>
    <w:p w14:paraId="4C2F2315">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（3）季度考核：占比40%，即全年考核评分的平均分*40%为此项分值。</w:t>
      </w:r>
    </w:p>
    <w:p w14:paraId="46DFA35E">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（4）落实其他工作情况：占比10%，此项为绿保对公司全年工作的综合评分，将考核公司全年工作执行、特色工作开创、重点工作保障等情况，以及绿保日常检查和对绿保工作支持等情况。</w:t>
      </w:r>
    </w:p>
    <w:p w14:paraId="4CA82E34">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5）此为加分项，获得绿保技术比武优胜奖的加1分，获得校级技术比武前三名的加3分，获得市级比赛前三名的和国家级比赛前十名的加5分。（同一公司员工参加不同级别技术比武获奖的分数不可累加，采取就高原则。）</w:t>
      </w:r>
    </w:p>
    <w:p w14:paraId="605E6506">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（6）各类处罚，此为减分项，凡是收到有效投诉或被给予书面处罚通知者、以及发生安全事故者，每次扣1分，下不封底。</w:t>
      </w:r>
    </w:p>
    <w:p w14:paraId="59976CD3">
      <w:pPr>
        <w:widowControl/>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.3 考评人员及考评方式</w:t>
      </w:r>
    </w:p>
    <w:p w14:paraId="7706901A">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（1）服务对象：学校师生通过填写满意度问卷对绿化保洁工作进行不计名打分。</w:t>
      </w:r>
    </w:p>
    <w:p w14:paraId="1443DCC5">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（2）校级督查者：爱卫会卫生专项督查员、校精神文明督导队，通过不定期对绿化保洁进行抽查，提出整改要求。</w:t>
      </w:r>
    </w:p>
    <w:p w14:paraId="0CB2537C">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（3）上级管理者：绿保科委会，通过召开年终汇报会，对绿化保洁日常工作的开展情况、对中心各项工作的落实情况以及各项特色创新工作，给予综合考评。</w:t>
      </w:r>
    </w:p>
    <w:p w14:paraId="3A1AFDF8">
      <w:pPr>
        <w:widowControl/>
        <w:adjustRightInd w:val="0"/>
        <w:snapToGrid w:val="0"/>
        <w:spacing w:line="360" w:lineRule="auto"/>
        <w:ind w:firstLine="424" w:firstLineChars="202"/>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.4 考评的等级及处理</w:t>
      </w:r>
    </w:p>
    <w:p w14:paraId="324CBEAC">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（1）季度考核分高于（等于）90分，即为考核合格，全额发放相应费用；</w:t>
      </w:r>
    </w:p>
    <w:p w14:paraId="7BF082C3">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（2）季度考核分低于90分的发整改通知书，接通知后在14天内完成整改要求且经校区检查合格的，全额发放相应费用；</w:t>
      </w:r>
    </w:p>
    <w:p w14:paraId="1BEA9607">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（3）低于80分的视为考核一般，停放当季度费用，待半月后再次复查达标的，补发前季度经费；</w:t>
      </w:r>
    </w:p>
    <w:p w14:paraId="3E00DFE3">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（4）年度内考核连续2次低于80分的，除按照要求整改到位外，且不与其续签下年度合同；</w:t>
      </w:r>
    </w:p>
    <w:p w14:paraId="53932F72">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（5）凡发生重大安全生产事故被查实的视为考核不及格，将不与其续签下年度合同。</w:t>
      </w:r>
    </w:p>
    <w:p w14:paraId="403900A9">
      <w:pPr>
        <w:adjustRightInd w:val="0"/>
        <w:snapToGrid w:val="0"/>
        <w:spacing w:line="360" w:lineRule="auto"/>
        <w:ind w:firstLine="422" w:firstLineChars="201"/>
        <w:rPr>
          <w:rFonts w:ascii="Times New Roman" w:hAnsi="Times New Roman" w:cs="Times New Roman"/>
          <w:color w:val="auto"/>
          <w:szCs w:val="21"/>
          <w:highlight w:val="none"/>
        </w:rPr>
      </w:pPr>
    </w:p>
    <w:p w14:paraId="655DBDAA">
      <w:pPr>
        <w:rPr>
          <w:rFonts w:hint="default" w:ascii="宋体" w:hAnsi="宋体"/>
          <w:bCs/>
          <w:color w:val="auto"/>
          <w:szCs w:val="21"/>
          <w:highlight w:val="none"/>
          <w:lang w:val="en-US" w:eastAsia="zh-CN"/>
        </w:rPr>
      </w:pPr>
      <w:r>
        <w:rPr>
          <w:rFonts w:hint="default" w:ascii="宋体" w:hAnsi="宋体"/>
          <w:bCs/>
          <w:color w:val="auto"/>
          <w:szCs w:val="21"/>
          <w:highlight w:val="none"/>
          <w:lang w:val="en-US" w:eastAsia="zh-CN"/>
        </w:rPr>
        <w:br w:type="page"/>
      </w:r>
    </w:p>
    <w:p w14:paraId="7825DB3D">
      <w:pPr>
        <w:widowControl/>
        <w:adjustRightInd w:val="0"/>
        <w:snapToGrid w:val="0"/>
        <w:spacing w:line="360" w:lineRule="auto"/>
        <w:ind w:firstLine="484" w:firstLineChars="202"/>
        <w:jc w:val="left"/>
        <w:rPr>
          <w:rFonts w:hint="default" w:ascii="Times New Roman" w:hAnsi="Times New Roman" w:cs="Times New Roman" w:eastAsiaTheme="minorEastAsia"/>
          <w:b w:val="0"/>
          <w:color w:val="auto"/>
          <w:sz w:val="24"/>
          <w:szCs w:val="24"/>
          <w:highlight w:val="none"/>
          <w:lang w:val="en-US" w:eastAsia="zh-CN"/>
        </w:rPr>
      </w:pPr>
      <w:r>
        <w:rPr>
          <w:rFonts w:hint="default" w:ascii="Times New Roman" w:hAnsi="Times New Roman" w:cs="Times New Roman"/>
          <w:b w:val="0"/>
          <w:color w:val="auto"/>
          <w:sz w:val="24"/>
          <w:szCs w:val="24"/>
          <w:highlight w:val="none"/>
          <w:lang w:val="en-US" w:eastAsia="zh-CN"/>
        </w:rPr>
        <w:t>附件：</w:t>
      </w:r>
    </w:p>
    <w:p w14:paraId="2F0AC516">
      <w:pPr>
        <w:jc w:val="center"/>
        <w:rPr>
          <w:rFonts w:hint="eastAsia" w:eastAsia="宋体"/>
          <w:b/>
          <w:color w:val="auto"/>
          <w:sz w:val="32"/>
          <w:szCs w:val="32"/>
          <w:highlight w:val="none"/>
          <w:lang w:eastAsia="zh-CN"/>
        </w:rPr>
      </w:pPr>
      <w:r>
        <w:rPr>
          <w:rFonts w:hint="eastAsia"/>
          <w:b/>
          <w:color w:val="auto"/>
          <w:sz w:val="32"/>
          <w:szCs w:val="32"/>
          <w:highlight w:val="none"/>
          <w:lang w:val="en-US" w:eastAsia="zh-CN"/>
        </w:rPr>
        <w:t>物业管理中心</w:t>
      </w:r>
      <w:r>
        <w:rPr>
          <w:rFonts w:hint="eastAsia"/>
          <w:b/>
          <w:color w:val="auto"/>
          <w:sz w:val="32"/>
          <w:szCs w:val="32"/>
          <w:highlight w:val="none"/>
        </w:rPr>
        <w:t>保洁</w:t>
      </w:r>
      <w:r>
        <w:rPr>
          <w:rFonts w:hint="eastAsia"/>
          <w:b/>
          <w:color w:val="auto"/>
          <w:sz w:val="32"/>
          <w:szCs w:val="32"/>
          <w:highlight w:val="none"/>
          <w:lang w:eastAsia="zh-CN"/>
        </w:rPr>
        <w:t>第</w:t>
      </w:r>
      <w:r>
        <w:rPr>
          <w:rFonts w:hint="eastAsia"/>
          <w:b/>
          <w:color w:val="auto"/>
          <w:sz w:val="32"/>
          <w:szCs w:val="32"/>
          <w:highlight w:val="none"/>
          <w:u w:val="single"/>
          <w:lang w:val="en-US" w:eastAsia="zh-CN"/>
        </w:rPr>
        <w:t xml:space="preserve">   </w:t>
      </w:r>
      <w:r>
        <w:rPr>
          <w:rFonts w:hint="eastAsia"/>
          <w:b/>
          <w:color w:val="auto"/>
          <w:sz w:val="32"/>
          <w:szCs w:val="32"/>
          <w:highlight w:val="none"/>
          <w:lang w:val="en-US" w:eastAsia="zh-CN"/>
        </w:rPr>
        <w:t>季度</w:t>
      </w:r>
      <w:r>
        <w:rPr>
          <w:rFonts w:hint="eastAsia"/>
          <w:b/>
          <w:color w:val="auto"/>
          <w:sz w:val="32"/>
          <w:szCs w:val="32"/>
          <w:highlight w:val="none"/>
        </w:rPr>
        <w:t>考核表</w:t>
      </w:r>
    </w:p>
    <w:p w14:paraId="472F586D">
      <w:pPr>
        <w:spacing w:line="360" w:lineRule="exact"/>
        <w:jc w:val="left"/>
        <w:rPr>
          <w:rFonts w:hint="eastAsia"/>
          <w:color w:val="auto"/>
          <w:sz w:val="44"/>
          <w:szCs w:val="44"/>
          <w:highlight w:val="none"/>
        </w:rPr>
      </w:pPr>
      <w:r>
        <w:rPr>
          <w:rFonts w:hint="eastAsia"/>
          <w:color w:val="auto"/>
          <w:sz w:val="28"/>
          <w:szCs w:val="28"/>
          <w:highlight w:val="none"/>
        </w:rPr>
        <w:t>校区</w:t>
      </w:r>
      <w:r>
        <w:rPr>
          <w:rFonts w:hint="eastAsia"/>
          <w:color w:val="auto"/>
          <w:sz w:val="28"/>
          <w:szCs w:val="28"/>
          <w:highlight w:val="none"/>
          <w:lang w:eastAsia="zh-CN"/>
        </w:rPr>
        <w:t>（</w:t>
      </w:r>
      <w:r>
        <w:rPr>
          <w:rFonts w:hint="eastAsia"/>
          <w:color w:val="auto"/>
          <w:sz w:val="28"/>
          <w:szCs w:val="28"/>
          <w:highlight w:val="none"/>
          <w:lang w:val="en-US" w:eastAsia="zh-CN"/>
        </w:rPr>
        <w:t>内场</w:t>
      </w:r>
      <w:r>
        <w:rPr>
          <w:rFonts w:hint="eastAsia"/>
          <w:color w:val="auto"/>
          <w:sz w:val="28"/>
          <w:szCs w:val="28"/>
          <w:highlight w:val="none"/>
          <w:lang w:eastAsia="zh-CN"/>
        </w:rPr>
        <w:t>）</w:t>
      </w:r>
      <w:r>
        <w:rPr>
          <w:rFonts w:hint="eastAsia"/>
          <w:color w:val="auto"/>
          <w:sz w:val="44"/>
          <w:szCs w:val="44"/>
          <w:highlight w:val="none"/>
        </w:rPr>
        <w:t>：</w:t>
      </w:r>
      <w:r>
        <w:rPr>
          <w:rFonts w:hint="eastAsia"/>
          <w:color w:val="auto"/>
          <w:sz w:val="28"/>
          <w:szCs w:val="28"/>
          <w:highlight w:val="none"/>
        </w:rPr>
        <w:t xml:space="preserve"> </w:t>
      </w:r>
      <w:r>
        <w:rPr>
          <w:rFonts w:hint="eastAsia"/>
          <w:color w:val="auto"/>
          <w:sz w:val="28"/>
          <w:szCs w:val="28"/>
          <w:highlight w:val="none"/>
          <w:lang w:val="en-US" w:eastAsia="zh-CN"/>
        </w:rPr>
        <w:t xml:space="preserve">                                         </w:t>
      </w:r>
    </w:p>
    <w:tbl>
      <w:tblPr>
        <w:tblStyle w:val="3"/>
        <w:tblpPr w:leftFromText="180" w:rightFromText="180" w:vertAnchor="text" w:horzAnchor="page" w:tblpX="417" w:tblpY="121"/>
        <w:tblOverlap w:val="never"/>
        <w:tblW w:w="11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528"/>
        <w:gridCol w:w="5340"/>
        <w:gridCol w:w="653"/>
        <w:gridCol w:w="437"/>
        <w:gridCol w:w="437"/>
        <w:gridCol w:w="1"/>
        <w:gridCol w:w="436"/>
        <w:gridCol w:w="437"/>
        <w:gridCol w:w="437"/>
        <w:gridCol w:w="437"/>
        <w:gridCol w:w="437"/>
        <w:gridCol w:w="438"/>
        <w:gridCol w:w="734"/>
      </w:tblGrid>
      <w:tr w14:paraId="675E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8" w:hRule="atLeast"/>
        </w:trPr>
        <w:tc>
          <w:tcPr>
            <w:tcW w:w="6420" w:type="dxa"/>
            <w:gridSpan w:val="3"/>
            <w:noWrap w:val="0"/>
            <w:vAlign w:val="center"/>
          </w:tcPr>
          <w:p w14:paraId="3AE310B8">
            <w:pPr>
              <w:spacing w:line="360" w:lineRule="exact"/>
              <w:jc w:val="center"/>
              <w:rPr>
                <w:rFonts w:hint="eastAsia"/>
                <w:color w:val="auto"/>
                <w:sz w:val="28"/>
                <w:szCs w:val="28"/>
                <w:highlight w:val="none"/>
              </w:rPr>
            </w:pPr>
          </w:p>
          <w:p w14:paraId="2AD99719">
            <w:pPr>
              <w:spacing w:line="360" w:lineRule="exact"/>
              <w:jc w:val="center"/>
              <w:rPr>
                <w:rFonts w:hint="eastAsia"/>
                <w:color w:val="auto"/>
                <w:sz w:val="28"/>
                <w:szCs w:val="28"/>
                <w:highlight w:val="none"/>
              </w:rPr>
            </w:pPr>
          </w:p>
          <w:p w14:paraId="4A66BF3F">
            <w:pPr>
              <w:spacing w:line="360" w:lineRule="exact"/>
              <w:jc w:val="center"/>
              <w:rPr>
                <w:rFonts w:hint="eastAsia"/>
                <w:color w:val="auto"/>
                <w:sz w:val="28"/>
                <w:szCs w:val="28"/>
                <w:highlight w:val="none"/>
              </w:rPr>
            </w:pPr>
            <w:r>
              <w:rPr>
                <w:rFonts w:hint="eastAsia"/>
                <w:color w:val="auto"/>
                <w:sz w:val="28"/>
                <w:szCs w:val="28"/>
                <w:highlight w:val="none"/>
                <w:u w:val="single"/>
                <w:lang w:val="en-US" w:eastAsia="zh-CN"/>
              </w:rPr>
              <w:t xml:space="preserve">            </w:t>
            </w:r>
            <w:r>
              <w:rPr>
                <w:rFonts w:hint="eastAsia"/>
                <w:color w:val="auto"/>
                <w:sz w:val="28"/>
                <w:szCs w:val="28"/>
                <w:highlight w:val="none"/>
                <w:u w:val="none"/>
                <w:lang w:val="en-US" w:eastAsia="zh-CN"/>
              </w:rPr>
              <w:t>楼</w:t>
            </w:r>
            <w:r>
              <w:rPr>
                <w:rFonts w:hint="eastAsia"/>
                <w:color w:val="auto"/>
                <w:sz w:val="28"/>
                <w:szCs w:val="28"/>
                <w:highlight w:val="none"/>
              </w:rPr>
              <w:t>检查情况</w:t>
            </w:r>
          </w:p>
          <w:p w14:paraId="6E2AD275">
            <w:pPr>
              <w:spacing w:line="360" w:lineRule="exact"/>
              <w:jc w:val="both"/>
              <w:rPr>
                <w:rFonts w:hint="default"/>
                <w:color w:val="auto"/>
                <w:sz w:val="28"/>
                <w:szCs w:val="28"/>
                <w:highlight w:val="none"/>
                <w:lang w:val="en-US"/>
              </w:rPr>
            </w:pPr>
          </w:p>
        </w:tc>
        <w:tc>
          <w:tcPr>
            <w:tcW w:w="653" w:type="dxa"/>
            <w:vMerge w:val="restart"/>
            <w:noWrap w:val="0"/>
            <w:vAlign w:val="center"/>
          </w:tcPr>
          <w:p w14:paraId="7E385061">
            <w:pPr>
              <w:spacing w:line="360" w:lineRule="exact"/>
              <w:jc w:val="left"/>
              <w:rPr>
                <w:rFonts w:hint="eastAsia"/>
                <w:color w:val="auto"/>
                <w:sz w:val="28"/>
                <w:szCs w:val="28"/>
                <w:highlight w:val="none"/>
              </w:rPr>
            </w:pPr>
            <w:r>
              <w:rPr>
                <w:color w:val="auto"/>
                <w:sz w:val="28"/>
                <w:highlight w:val="none"/>
              </w:rPr>
              <mc:AlternateContent>
                <mc:Choice Requires="wps">
                  <w:drawing>
                    <wp:anchor distT="0" distB="0" distL="114300" distR="114300" simplePos="0" relativeHeight="251661312" behindDoc="0" locked="0" layoutInCell="1" allowOverlap="1">
                      <wp:simplePos x="0" y="0"/>
                      <wp:positionH relativeFrom="column">
                        <wp:posOffset>-48260</wp:posOffset>
                      </wp:positionH>
                      <wp:positionV relativeFrom="paragraph">
                        <wp:posOffset>215900</wp:posOffset>
                      </wp:positionV>
                      <wp:extent cx="514985" cy="2857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14985" cy="285750"/>
                              </a:xfrm>
                              <a:prstGeom prst="rect">
                                <a:avLst/>
                              </a:prstGeom>
                              <a:noFill/>
                              <a:ln>
                                <a:noFill/>
                              </a:ln>
                            </wps:spPr>
                            <wps:txbx>
                              <w:txbxContent>
                                <w:p w14:paraId="588A90C8">
                                  <w:pPr>
                                    <w:rPr>
                                      <w:rFonts w:hint="eastAsia" w:eastAsia="宋体"/>
                                      <w:lang w:eastAsia="zh-CN"/>
                                    </w:rPr>
                                  </w:pPr>
                                  <w:r>
                                    <w:rPr>
                                      <w:rFonts w:hint="eastAsia"/>
                                      <w:sz w:val="22"/>
                                      <w:szCs w:val="28"/>
                                      <w:lang w:eastAsia="zh-CN"/>
                                    </w:rPr>
                                    <w:t>点位</w:t>
                                  </w:r>
                                </w:p>
                              </w:txbxContent>
                            </wps:txbx>
                            <wps:bodyPr upright="1"/>
                          </wps:wsp>
                        </a:graphicData>
                      </a:graphic>
                    </wp:anchor>
                  </w:drawing>
                </mc:Choice>
                <mc:Fallback>
                  <w:pict>
                    <v:shape id="_x0000_s1026" o:spid="_x0000_s1026" o:spt="202" type="#_x0000_t202" style="position:absolute;left:0pt;margin-left:-3.8pt;margin-top:17pt;height:22.5pt;width:40.55pt;z-index:251661312;mso-width-relative:page;mso-height-relative:page;" filled="f" stroked="f" coordsize="21600,21600" o:gfxdata="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WEt7NUAAAAH&#10;AQAADwAAAAAAAAABACAAAAAiAAAAZHJzL2Rvd25yZXYueG1sUEsBAhQAFAAAAAgAh07iQGTZdbqt&#10;AQAATQMAAA4AAAAAAAAAAQAgAAAAJAEAAGRycy9lMm9Eb2MueG1sUEsFBgAAAAAGAAYAWQEAAEMF&#10;AAAAAA==&#10;">
                      <v:fill on="f" focussize="0,0"/>
                      <v:stroke on="f"/>
                      <v:imagedata o:title=""/>
                      <o:lock v:ext="edit" aspectratio="f"/>
                      <v:textbox>
                        <w:txbxContent>
                          <w:p w14:paraId="588A90C8">
                            <w:pPr>
                              <w:rPr>
                                <w:rFonts w:hint="eastAsia" w:eastAsia="宋体"/>
                                <w:lang w:eastAsia="zh-CN"/>
                              </w:rPr>
                            </w:pPr>
                            <w:r>
                              <w:rPr>
                                <w:rFonts w:hint="eastAsia"/>
                                <w:sz w:val="22"/>
                                <w:szCs w:val="28"/>
                                <w:lang w:eastAsia="zh-CN"/>
                              </w:rPr>
                              <w:t>点位</w:t>
                            </w:r>
                          </w:p>
                        </w:txbxContent>
                      </v:textbox>
                    </v:shape>
                  </w:pict>
                </mc:Fallback>
              </mc:AlternateContent>
            </w:r>
            <w:r>
              <w:rPr>
                <w:color w:val="auto"/>
                <w:sz w:val="28"/>
                <w:highlight w:val="none"/>
              </w:rPr>
              <mc:AlternateContent>
                <mc:Choice Requires="wps">
                  <w:drawing>
                    <wp:anchor distT="0" distB="0" distL="114300" distR="114300" simplePos="0" relativeHeight="251660288" behindDoc="0" locked="0" layoutInCell="1" allowOverlap="1">
                      <wp:simplePos x="0" y="0"/>
                      <wp:positionH relativeFrom="column">
                        <wp:posOffset>-64135</wp:posOffset>
                      </wp:positionH>
                      <wp:positionV relativeFrom="paragraph">
                        <wp:posOffset>18415</wp:posOffset>
                      </wp:positionV>
                      <wp:extent cx="405765" cy="1762760"/>
                      <wp:effectExtent l="4445" t="1270" r="8890" b="7620"/>
                      <wp:wrapNone/>
                      <wp:docPr id="3" name="直接连接符 3"/>
                      <wp:cNvGraphicFramePr/>
                      <a:graphic xmlns:a="http://schemas.openxmlformats.org/drawingml/2006/main">
                        <a:graphicData uri="http://schemas.microsoft.com/office/word/2010/wordprocessingShape">
                          <wps:wsp>
                            <wps:cNvCnPr/>
                            <wps:spPr>
                              <a:xfrm>
                                <a:off x="0" y="0"/>
                                <a:ext cx="405765" cy="1762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05pt;margin-top:1.45pt;height:138.8pt;width:31.95pt;z-index:251660288;mso-width-relative:page;mso-height-relative:page;" filled="f" stroked="t" coordsize="21600,21600" o:gfxdata="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RWS7WAAAACAEAAA8AAAAAAAAAAQAgAAAAIgAAAGRycy9kb3ducmV2Lnht&#10;bFBLAQIUABQAAAAIAIdO4kBDBOnp+wEAAOkDAAAOAAAAAAAAAAEAIAAAACUBAABkcnMvZTJvRG9j&#10;LnhtbFBLBQYAAAAABgAGAFkBAACSBQAAAAA=&#10;">
                      <v:fill on="f" focussize="0,0"/>
                      <v:stroke color="#000000" joinstyle="round"/>
                      <v:imagedata o:title=""/>
                      <o:lock v:ext="edit" aspectratio="f"/>
                    </v:line>
                  </w:pict>
                </mc:Fallback>
              </mc:AlternateContent>
            </w:r>
          </w:p>
          <w:p w14:paraId="1DFEC8CA">
            <w:pPr>
              <w:spacing w:line="360" w:lineRule="exact"/>
              <w:jc w:val="left"/>
              <w:rPr>
                <w:rFonts w:hint="eastAsia"/>
                <w:color w:val="auto"/>
                <w:sz w:val="28"/>
                <w:szCs w:val="28"/>
                <w:highlight w:val="none"/>
              </w:rPr>
            </w:pPr>
          </w:p>
          <w:p w14:paraId="7BABF4FF">
            <w:pPr>
              <w:spacing w:line="360" w:lineRule="exact"/>
              <w:jc w:val="left"/>
              <w:rPr>
                <w:rFonts w:hint="eastAsia"/>
                <w:color w:val="auto"/>
                <w:sz w:val="28"/>
                <w:szCs w:val="28"/>
                <w:highlight w:val="none"/>
              </w:rPr>
            </w:pPr>
          </w:p>
        </w:tc>
        <w:tc>
          <w:tcPr>
            <w:tcW w:w="437" w:type="dxa"/>
            <w:vMerge w:val="restart"/>
            <w:noWrap w:val="0"/>
            <w:vAlign w:val="center"/>
          </w:tcPr>
          <w:p w14:paraId="603A8A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sym w:font="Wingdings 2" w:char="00A3"/>
            </w:r>
          </w:p>
          <w:p w14:paraId="3DB61ED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教室</w:t>
            </w:r>
          </w:p>
          <w:p w14:paraId="6C0D3651">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p w14:paraId="1ABDB82F">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p w14:paraId="5292CF5C">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p w14:paraId="38DA5684">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p w14:paraId="14914DA7">
            <w:pPr>
              <w:keepNext w:val="0"/>
              <w:keepLines w:val="0"/>
              <w:widowControl/>
              <w:suppressLineNumbers w:val="0"/>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p w14:paraId="779B0AA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2</w:t>
            </w:r>
          </w:p>
        </w:tc>
        <w:tc>
          <w:tcPr>
            <w:tcW w:w="437" w:type="dxa"/>
            <w:vMerge w:val="restart"/>
            <w:noWrap w:val="0"/>
            <w:vAlign w:val="center"/>
          </w:tcPr>
          <w:p w14:paraId="78904C7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sym w:font="Wingdings 2" w:char="00A3"/>
            </w:r>
          </w:p>
          <w:p w14:paraId="0BFCEA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开水房</w:t>
            </w:r>
          </w:p>
          <w:p w14:paraId="0AC4F78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p w14:paraId="59C7167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p w14:paraId="1932384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p w14:paraId="1D5CFD73">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p w14:paraId="1EF97DF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2</w:t>
            </w:r>
          </w:p>
        </w:tc>
        <w:tc>
          <w:tcPr>
            <w:tcW w:w="437" w:type="dxa"/>
            <w:gridSpan w:val="2"/>
            <w:vMerge w:val="restart"/>
            <w:noWrap w:val="0"/>
            <w:vAlign w:val="center"/>
          </w:tcPr>
          <w:p w14:paraId="771F11C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p w14:paraId="649C973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厕所/盥洗室</w:t>
            </w:r>
          </w:p>
          <w:p w14:paraId="6CD60290">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p w14:paraId="3548BCA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4</w:t>
            </w:r>
          </w:p>
        </w:tc>
        <w:tc>
          <w:tcPr>
            <w:tcW w:w="437" w:type="dxa"/>
            <w:vMerge w:val="restart"/>
            <w:noWrap w:val="0"/>
            <w:vAlign w:val="center"/>
          </w:tcPr>
          <w:p w14:paraId="05B68C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p w14:paraId="7B008C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大厅/走廊</w:t>
            </w:r>
          </w:p>
          <w:p w14:paraId="7CEB15FD">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p w14:paraId="50D39BEA">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p w14:paraId="7CFD69B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2</w:t>
            </w:r>
          </w:p>
        </w:tc>
        <w:tc>
          <w:tcPr>
            <w:tcW w:w="437" w:type="dxa"/>
            <w:vMerge w:val="restart"/>
            <w:noWrap w:val="0"/>
            <w:vAlign w:val="center"/>
          </w:tcPr>
          <w:p w14:paraId="5FD3DC0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p w14:paraId="56613F2A">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楼梯/楼梯下×</w:t>
            </w:r>
          </w:p>
          <w:p w14:paraId="66789F6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2</w:t>
            </w:r>
          </w:p>
        </w:tc>
        <w:tc>
          <w:tcPr>
            <w:tcW w:w="437" w:type="dxa"/>
            <w:vMerge w:val="restart"/>
            <w:noWrap w:val="0"/>
            <w:vAlign w:val="center"/>
          </w:tcPr>
          <w:p w14:paraId="7B1B9E6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sym w:font="Wingdings 2" w:char="00A3"/>
            </w:r>
          </w:p>
          <w:p w14:paraId="00E09C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阅览室/书库</w:t>
            </w:r>
          </w:p>
          <w:p w14:paraId="3509CBF5">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p w14:paraId="6B1C135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3</w:t>
            </w:r>
          </w:p>
        </w:tc>
        <w:tc>
          <w:tcPr>
            <w:tcW w:w="437" w:type="dxa"/>
            <w:vMerge w:val="restart"/>
            <w:noWrap w:val="0"/>
            <w:vAlign w:val="center"/>
          </w:tcPr>
          <w:p w14:paraId="1B44AA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p w14:paraId="2BF50A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楼周围明沟等</w:t>
            </w:r>
          </w:p>
          <w:p w14:paraId="7E73FA57">
            <w:pPr>
              <w:keepNext w:val="0"/>
              <w:keepLines w:val="0"/>
              <w:widowControl/>
              <w:suppressLineNumbers w:val="0"/>
              <w:jc w:val="both"/>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p w14:paraId="1B90926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1</w:t>
            </w:r>
          </w:p>
        </w:tc>
        <w:tc>
          <w:tcPr>
            <w:tcW w:w="438" w:type="dxa"/>
            <w:vMerge w:val="restart"/>
            <w:noWrap w:val="0"/>
            <w:vAlign w:val="center"/>
          </w:tcPr>
          <w:p w14:paraId="52D914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p w14:paraId="6048986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连廊/车库</w:t>
            </w:r>
          </w:p>
          <w:p w14:paraId="1AEE54F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p w14:paraId="4504609A">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p w14:paraId="016D0F8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1</w:t>
            </w:r>
          </w:p>
        </w:tc>
        <w:tc>
          <w:tcPr>
            <w:tcW w:w="734" w:type="dxa"/>
            <w:vMerge w:val="restart"/>
            <w:noWrap w:val="0"/>
            <w:vAlign w:val="center"/>
          </w:tcPr>
          <w:p w14:paraId="26168A6A">
            <w:pPr>
              <w:spacing w:line="360" w:lineRule="exact"/>
              <w:jc w:val="center"/>
              <w:rPr>
                <w:rFonts w:hint="eastAsia"/>
                <w:color w:val="auto"/>
                <w:sz w:val="28"/>
                <w:szCs w:val="28"/>
                <w:highlight w:val="none"/>
              </w:rPr>
            </w:pPr>
            <w:r>
              <w:rPr>
                <w:rFonts w:hint="eastAsia"/>
                <w:color w:val="auto"/>
                <w:sz w:val="28"/>
                <w:szCs w:val="28"/>
                <w:highlight w:val="none"/>
              </w:rPr>
              <w:t>考</w:t>
            </w:r>
          </w:p>
          <w:p w14:paraId="011A824F">
            <w:pPr>
              <w:spacing w:line="360" w:lineRule="exact"/>
              <w:jc w:val="center"/>
              <w:rPr>
                <w:rFonts w:hint="eastAsia"/>
                <w:color w:val="auto"/>
                <w:sz w:val="28"/>
                <w:szCs w:val="28"/>
                <w:highlight w:val="none"/>
              </w:rPr>
            </w:pPr>
            <w:r>
              <w:rPr>
                <w:rFonts w:hint="eastAsia"/>
                <w:color w:val="auto"/>
                <w:sz w:val="28"/>
                <w:szCs w:val="28"/>
                <w:highlight w:val="none"/>
              </w:rPr>
              <w:t>核</w:t>
            </w:r>
          </w:p>
          <w:p w14:paraId="05ED62EC">
            <w:pPr>
              <w:spacing w:line="360" w:lineRule="exact"/>
              <w:jc w:val="center"/>
              <w:rPr>
                <w:rFonts w:hint="eastAsia"/>
                <w:color w:val="auto"/>
                <w:sz w:val="28"/>
                <w:szCs w:val="28"/>
                <w:highlight w:val="none"/>
              </w:rPr>
            </w:pPr>
            <w:r>
              <w:rPr>
                <w:rFonts w:hint="eastAsia"/>
                <w:color w:val="auto"/>
                <w:sz w:val="28"/>
                <w:szCs w:val="28"/>
                <w:highlight w:val="none"/>
              </w:rPr>
              <w:t>均</w:t>
            </w:r>
          </w:p>
          <w:p w14:paraId="23DAA26D">
            <w:pPr>
              <w:spacing w:line="360" w:lineRule="exact"/>
              <w:jc w:val="center"/>
              <w:rPr>
                <w:rFonts w:hint="eastAsia"/>
                <w:color w:val="auto"/>
                <w:sz w:val="28"/>
                <w:szCs w:val="28"/>
                <w:highlight w:val="none"/>
              </w:rPr>
            </w:pPr>
            <w:r>
              <w:rPr>
                <w:rFonts w:hint="eastAsia"/>
                <w:color w:val="auto"/>
                <w:sz w:val="28"/>
                <w:szCs w:val="28"/>
                <w:highlight w:val="none"/>
              </w:rPr>
              <w:t>分</w:t>
            </w:r>
          </w:p>
        </w:tc>
      </w:tr>
      <w:tr w14:paraId="2C10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6420" w:type="dxa"/>
            <w:gridSpan w:val="3"/>
            <w:noWrap w:val="0"/>
            <w:vAlign w:val="center"/>
          </w:tcPr>
          <w:p w14:paraId="5A709DAD">
            <w:pPr>
              <w:spacing w:line="360" w:lineRule="exact"/>
              <w:jc w:val="center"/>
              <w:rPr>
                <w:rFonts w:hint="eastAsia"/>
                <w:color w:val="auto"/>
                <w:sz w:val="28"/>
                <w:szCs w:val="28"/>
                <w:highlight w:val="none"/>
              </w:rPr>
            </w:pPr>
            <w:r>
              <w:rPr>
                <w:color w:val="auto"/>
                <w:sz w:val="28"/>
                <w:highlight w:val="none"/>
              </w:rPr>
              <mc:AlternateContent>
                <mc:Choice Requires="wps">
                  <w:drawing>
                    <wp:anchor distT="0" distB="0" distL="114300" distR="114300" simplePos="0" relativeHeight="251659264" behindDoc="0" locked="0" layoutInCell="1" allowOverlap="1">
                      <wp:simplePos x="0" y="0"/>
                      <wp:positionH relativeFrom="column">
                        <wp:posOffset>3910330</wp:posOffset>
                      </wp:positionH>
                      <wp:positionV relativeFrom="paragraph">
                        <wp:posOffset>607060</wp:posOffset>
                      </wp:positionV>
                      <wp:extent cx="673100" cy="2857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73100" cy="285750"/>
                              </a:xfrm>
                              <a:prstGeom prst="rect">
                                <a:avLst/>
                              </a:prstGeom>
                              <a:noFill/>
                              <a:ln>
                                <a:noFill/>
                              </a:ln>
                            </wps:spPr>
                            <wps:txbx>
                              <w:txbxContent>
                                <w:p w14:paraId="15A890F8">
                                  <w:pPr>
                                    <w:rPr>
                                      <w:rFonts w:hint="eastAsia" w:eastAsia="宋体"/>
                                      <w:sz w:val="22"/>
                                      <w:szCs w:val="28"/>
                                      <w:lang w:eastAsia="zh-CN"/>
                                    </w:rPr>
                                  </w:pPr>
                                  <w:r>
                                    <w:rPr>
                                      <w:rFonts w:hint="eastAsia"/>
                                      <w:sz w:val="22"/>
                                      <w:szCs w:val="28"/>
                                      <w:lang w:eastAsia="zh-CN"/>
                                    </w:rPr>
                                    <w:t>单项分</w:t>
                                  </w:r>
                                </w:p>
                              </w:txbxContent>
                            </wps:txbx>
                            <wps:bodyPr upright="1"/>
                          </wps:wsp>
                        </a:graphicData>
                      </a:graphic>
                    </wp:anchor>
                  </w:drawing>
                </mc:Choice>
                <mc:Fallback>
                  <w:pict>
                    <v:shape id="_x0000_s1026" o:spid="_x0000_s1026" o:spt="202" type="#_x0000_t202" style="position:absolute;left:0pt;margin-left:307.9pt;margin-top:47.8pt;height:22.5pt;width:53pt;z-index:251659264;mso-width-relative:page;mso-height-relative:page;" filled="f" stroked="f" coordsize="21600,21600" o:gfxdata="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N8/921wAA&#10;AAoBAAAPAAAAAAAAAAEAIAAAACIAAABkcnMvZG93bnJldi54bWxQSwECFAAUAAAACACHTuJAP/dT&#10;W60BAABNAwAADgAAAAAAAAABACAAAAAmAQAAZHJzL2Uyb0RvYy54bWxQSwUGAAAAAAYABgBZAQAA&#10;RQUAAAAA&#10;">
                      <v:fill on="f" focussize="0,0"/>
                      <v:stroke on="f"/>
                      <v:imagedata o:title=""/>
                      <o:lock v:ext="edit" aspectratio="f"/>
                      <v:textbox>
                        <w:txbxContent>
                          <w:p w14:paraId="15A890F8">
                            <w:pPr>
                              <w:rPr>
                                <w:rFonts w:hint="eastAsia" w:eastAsia="宋体"/>
                                <w:sz w:val="22"/>
                                <w:szCs w:val="28"/>
                                <w:lang w:eastAsia="zh-CN"/>
                              </w:rPr>
                            </w:pPr>
                            <w:r>
                              <w:rPr>
                                <w:rFonts w:hint="eastAsia"/>
                                <w:sz w:val="22"/>
                                <w:szCs w:val="28"/>
                                <w:lang w:eastAsia="zh-CN"/>
                              </w:rPr>
                              <w:t>单项分</w:t>
                            </w:r>
                          </w:p>
                        </w:txbxContent>
                      </v:textbox>
                    </v:shape>
                  </w:pict>
                </mc:Fallback>
              </mc:AlternateContent>
            </w:r>
            <w:r>
              <w:rPr>
                <w:color w:val="auto"/>
                <w:sz w:val="28"/>
                <w:highlight w:val="none"/>
              </w:rPr>
              <mc:AlternateContent>
                <mc:Choice Requires="wps">
                  <w:drawing>
                    <wp:anchor distT="0" distB="0" distL="114300" distR="114300" simplePos="0" relativeHeight="251662336" behindDoc="0" locked="0" layoutInCell="1" allowOverlap="1">
                      <wp:simplePos x="0" y="0"/>
                      <wp:positionH relativeFrom="column">
                        <wp:posOffset>1470660</wp:posOffset>
                      </wp:positionH>
                      <wp:positionV relativeFrom="paragraph">
                        <wp:posOffset>262890</wp:posOffset>
                      </wp:positionV>
                      <wp:extent cx="1082040" cy="3810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82040" cy="381000"/>
                              </a:xfrm>
                              <a:prstGeom prst="rect">
                                <a:avLst/>
                              </a:prstGeom>
                              <a:noFill/>
                              <a:ln>
                                <a:noFill/>
                              </a:ln>
                            </wps:spPr>
                            <wps:txbx>
                              <w:txbxContent>
                                <w:p w14:paraId="1F09A587">
                                  <w:pPr>
                                    <w:spacing w:line="360" w:lineRule="exact"/>
                                    <w:jc w:val="center"/>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项目要求</w:t>
                                  </w:r>
                                </w:p>
                              </w:txbxContent>
                            </wps:txbx>
                            <wps:bodyPr upright="1"/>
                          </wps:wsp>
                        </a:graphicData>
                      </a:graphic>
                    </wp:anchor>
                  </w:drawing>
                </mc:Choice>
                <mc:Fallback>
                  <w:pict>
                    <v:shape id="_x0000_s1026" o:spid="_x0000_s1026" o:spt="202" type="#_x0000_t202" style="position:absolute;left:0pt;margin-left:115.8pt;margin-top:20.7pt;height:30pt;width:85.2pt;z-index:251662336;mso-width-relative:page;mso-height-relative:page;" filled="f" stroked="f" coordsize="21600,21600" o:gfxdata="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vdq/i1QAAAAoB&#10;AAAPAAAAAAAAAAEAIAAAACIAAABkcnMvZG93bnJldi54bWxQSwECFAAUAAAACACHTuJAUo6KBKwB&#10;AABOAwAADgAAAAAAAAABACAAAAAkAQAAZHJzL2Uyb0RvYy54bWxQSwUGAAAAAAYABgBZAQAAQgUA&#10;AAAA&#10;">
                      <v:fill on="f" focussize="0,0"/>
                      <v:stroke on="f"/>
                      <v:imagedata o:title=""/>
                      <o:lock v:ext="edit" aspectratio="f"/>
                      <v:textbox>
                        <w:txbxContent>
                          <w:p w14:paraId="1F09A587">
                            <w:pPr>
                              <w:spacing w:line="360" w:lineRule="exact"/>
                              <w:jc w:val="center"/>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项目要求</w:t>
                            </w:r>
                          </w:p>
                        </w:txbxContent>
                      </v:textbox>
                    </v:shape>
                  </w:pict>
                </mc:Fallback>
              </mc:AlternateContent>
            </w:r>
          </w:p>
        </w:tc>
        <w:tc>
          <w:tcPr>
            <w:tcW w:w="653" w:type="dxa"/>
            <w:vMerge w:val="continue"/>
            <w:noWrap w:val="0"/>
            <w:vAlign w:val="top"/>
          </w:tcPr>
          <w:p w14:paraId="01DF67AF">
            <w:pPr>
              <w:spacing w:line="360" w:lineRule="exact"/>
              <w:jc w:val="left"/>
              <w:rPr>
                <w:rFonts w:hint="eastAsia"/>
                <w:color w:val="auto"/>
                <w:sz w:val="28"/>
                <w:szCs w:val="28"/>
                <w:highlight w:val="none"/>
              </w:rPr>
            </w:pPr>
          </w:p>
        </w:tc>
        <w:tc>
          <w:tcPr>
            <w:tcW w:w="437" w:type="dxa"/>
            <w:vMerge w:val="continue"/>
            <w:noWrap w:val="0"/>
            <w:vAlign w:val="top"/>
          </w:tcPr>
          <w:p w14:paraId="4A3735C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438" w:type="dxa"/>
            <w:gridSpan w:val="2"/>
            <w:vMerge w:val="continue"/>
            <w:noWrap w:val="0"/>
            <w:vAlign w:val="top"/>
          </w:tcPr>
          <w:p w14:paraId="050875C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436" w:type="dxa"/>
            <w:vMerge w:val="continue"/>
            <w:noWrap w:val="0"/>
            <w:vAlign w:val="top"/>
          </w:tcPr>
          <w:p w14:paraId="45C95DF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437" w:type="dxa"/>
            <w:vMerge w:val="continue"/>
            <w:noWrap w:val="0"/>
            <w:vAlign w:val="top"/>
          </w:tcPr>
          <w:p w14:paraId="18160E3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437" w:type="dxa"/>
            <w:vMerge w:val="continue"/>
            <w:noWrap w:val="0"/>
            <w:vAlign w:val="top"/>
          </w:tcPr>
          <w:p w14:paraId="1B3C929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437" w:type="dxa"/>
            <w:vMerge w:val="continue"/>
            <w:noWrap w:val="0"/>
            <w:vAlign w:val="top"/>
          </w:tcPr>
          <w:p w14:paraId="208FC0B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437" w:type="dxa"/>
            <w:vMerge w:val="continue"/>
            <w:noWrap w:val="0"/>
            <w:vAlign w:val="top"/>
          </w:tcPr>
          <w:p w14:paraId="3ECECB6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438" w:type="dxa"/>
            <w:vMerge w:val="continue"/>
            <w:noWrap w:val="0"/>
            <w:vAlign w:val="top"/>
          </w:tcPr>
          <w:p w14:paraId="35E0237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734" w:type="dxa"/>
            <w:vMerge w:val="continue"/>
            <w:noWrap w:val="0"/>
            <w:vAlign w:val="top"/>
          </w:tcPr>
          <w:p w14:paraId="700B4843">
            <w:pPr>
              <w:spacing w:line="360" w:lineRule="exact"/>
              <w:jc w:val="center"/>
              <w:rPr>
                <w:rFonts w:hint="eastAsia"/>
                <w:color w:val="auto"/>
                <w:sz w:val="28"/>
                <w:szCs w:val="28"/>
                <w:highlight w:val="none"/>
              </w:rPr>
            </w:pPr>
          </w:p>
        </w:tc>
      </w:tr>
      <w:tr w14:paraId="29CD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0" w:type="dxa"/>
            <w:gridSpan w:val="2"/>
            <w:vMerge w:val="restart"/>
            <w:noWrap w:val="0"/>
            <w:vAlign w:val="center"/>
          </w:tcPr>
          <w:p w14:paraId="2C500AE4">
            <w:pPr>
              <w:spacing w:line="360" w:lineRule="exact"/>
              <w:jc w:val="center"/>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管</w:t>
            </w:r>
          </w:p>
          <w:p w14:paraId="76BFA87E">
            <w:pPr>
              <w:spacing w:line="360" w:lineRule="exact"/>
              <w:jc w:val="center"/>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理</w:t>
            </w:r>
          </w:p>
          <w:p w14:paraId="07B126A0">
            <w:pPr>
              <w:spacing w:line="360" w:lineRule="exact"/>
              <w:jc w:val="center"/>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制</w:t>
            </w:r>
          </w:p>
          <w:p w14:paraId="4EAF41FA">
            <w:pPr>
              <w:spacing w:line="360" w:lineRule="exact"/>
              <w:jc w:val="center"/>
              <w:rPr>
                <w:rFonts w:hint="eastAsia"/>
                <w:color w:val="auto"/>
                <w:sz w:val="28"/>
                <w:szCs w:val="28"/>
                <w:highlight w:val="none"/>
              </w:rPr>
            </w:pPr>
            <w:r>
              <w:rPr>
                <w:rFonts w:hint="eastAsia" w:ascii="Times New Roman" w:hAnsi="Times New Roman" w:eastAsia="宋体" w:cs="Times New Roman"/>
                <w:color w:val="auto"/>
                <w:sz w:val="28"/>
                <w:szCs w:val="28"/>
                <w:highlight w:val="none"/>
                <w:lang w:val="en-US" w:eastAsia="zh-CN"/>
              </w:rPr>
              <w:t>度</w:t>
            </w:r>
          </w:p>
        </w:tc>
        <w:tc>
          <w:tcPr>
            <w:tcW w:w="5340" w:type="dxa"/>
            <w:noWrap w:val="0"/>
            <w:vAlign w:val="center"/>
          </w:tcPr>
          <w:p w14:paraId="5C9B2820">
            <w:pPr>
              <w:spacing w:line="300" w:lineRule="exac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培训：定期开展保洁培训</w:t>
            </w:r>
          </w:p>
        </w:tc>
        <w:tc>
          <w:tcPr>
            <w:tcW w:w="653" w:type="dxa"/>
            <w:noWrap w:val="0"/>
            <w:vAlign w:val="center"/>
          </w:tcPr>
          <w:p w14:paraId="49C7F542">
            <w:pPr>
              <w:spacing w:line="3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3497" w:type="dxa"/>
            <w:gridSpan w:val="9"/>
            <w:noWrap w:val="0"/>
            <w:vAlign w:val="center"/>
          </w:tcPr>
          <w:p w14:paraId="4E578B9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734" w:type="dxa"/>
            <w:noWrap w:val="0"/>
            <w:vAlign w:val="center"/>
          </w:tcPr>
          <w:p w14:paraId="0768885D">
            <w:pPr>
              <w:spacing w:line="360" w:lineRule="exact"/>
              <w:jc w:val="center"/>
              <w:rPr>
                <w:rFonts w:hint="eastAsia"/>
                <w:color w:val="auto"/>
                <w:sz w:val="28"/>
                <w:szCs w:val="28"/>
                <w:highlight w:val="none"/>
              </w:rPr>
            </w:pPr>
          </w:p>
        </w:tc>
      </w:tr>
      <w:tr w14:paraId="0874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080" w:type="dxa"/>
            <w:gridSpan w:val="2"/>
            <w:vMerge w:val="continue"/>
            <w:noWrap w:val="0"/>
            <w:vAlign w:val="top"/>
          </w:tcPr>
          <w:p w14:paraId="4AC9FF54">
            <w:pPr>
              <w:spacing w:line="360" w:lineRule="exact"/>
              <w:jc w:val="center"/>
              <w:rPr>
                <w:rFonts w:hint="eastAsia"/>
                <w:color w:val="auto"/>
                <w:sz w:val="28"/>
                <w:szCs w:val="28"/>
                <w:highlight w:val="none"/>
              </w:rPr>
            </w:pPr>
          </w:p>
        </w:tc>
        <w:tc>
          <w:tcPr>
            <w:tcW w:w="5340" w:type="dxa"/>
            <w:noWrap w:val="0"/>
            <w:vAlign w:val="center"/>
          </w:tcPr>
          <w:p w14:paraId="2E8FC265">
            <w:pPr>
              <w:spacing w:line="300" w:lineRule="exac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工作流程：按照保洁标准SOP规范操作</w:t>
            </w:r>
          </w:p>
        </w:tc>
        <w:tc>
          <w:tcPr>
            <w:tcW w:w="653" w:type="dxa"/>
            <w:noWrap w:val="0"/>
            <w:vAlign w:val="center"/>
          </w:tcPr>
          <w:p w14:paraId="7212A5A3">
            <w:pPr>
              <w:spacing w:line="3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3497" w:type="dxa"/>
            <w:gridSpan w:val="9"/>
            <w:noWrap w:val="0"/>
            <w:vAlign w:val="center"/>
          </w:tcPr>
          <w:p w14:paraId="461B675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734" w:type="dxa"/>
            <w:noWrap w:val="0"/>
            <w:vAlign w:val="center"/>
          </w:tcPr>
          <w:p w14:paraId="6956C04F">
            <w:pPr>
              <w:spacing w:line="360" w:lineRule="exact"/>
              <w:jc w:val="center"/>
              <w:rPr>
                <w:rFonts w:hint="eastAsia"/>
                <w:color w:val="auto"/>
                <w:sz w:val="28"/>
                <w:szCs w:val="28"/>
                <w:highlight w:val="none"/>
              </w:rPr>
            </w:pPr>
          </w:p>
        </w:tc>
      </w:tr>
      <w:tr w14:paraId="27FA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0" w:type="dxa"/>
            <w:gridSpan w:val="2"/>
            <w:vMerge w:val="continue"/>
            <w:noWrap w:val="0"/>
            <w:vAlign w:val="top"/>
          </w:tcPr>
          <w:p w14:paraId="16B8773D">
            <w:pPr>
              <w:spacing w:line="360" w:lineRule="exact"/>
              <w:jc w:val="center"/>
              <w:rPr>
                <w:rFonts w:hint="eastAsia"/>
                <w:color w:val="auto"/>
                <w:sz w:val="28"/>
                <w:szCs w:val="28"/>
                <w:highlight w:val="none"/>
              </w:rPr>
            </w:pPr>
          </w:p>
        </w:tc>
        <w:tc>
          <w:tcPr>
            <w:tcW w:w="5340" w:type="dxa"/>
            <w:noWrap w:val="0"/>
            <w:vAlign w:val="center"/>
          </w:tcPr>
          <w:p w14:paraId="65BA6D38">
            <w:pPr>
              <w:spacing w:line="300" w:lineRule="exac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工具及试剂：保洁工具规范化落实到位、保洁试剂存放及使用规范</w:t>
            </w:r>
          </w:p>
        </w:tc>
        <w:tc>
          <w:tcPr>
            <w:tcW w:w="653" w:type="dxa"/>
            <w:noWrap w:val="0"/>
            <w:vAlign w:val="center"/>
          </w:tcPr>
          <w:p w14:paraId="6E3C8056">
            <w:pPr>
              <w:spacing w:line="3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3497" w:type="dxa"/>
            <w:gridSpan w:val="9"/>
            <w:noWrap w:val="0"/>
            <w:vAlign w:val="center"/>
          </w:tcPr>
          <w:p w14:paraId="50E3DFF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734" w:type="dxa"/>
            <w:noWrap w:val="0"/>
            <w:vAlign w:val="center"/>
          </w:tcPr>
          <w:p w14:paraId="17CD1FE4">
            <w:pPr>
              <w:spacing w:line="360" w:lineRule="exact"/>
              <w:jc w:val="center"/>
              <w:rPr>
                <w:rFonts w:hint="eastAsia"/>
                <w:color w:val="auto"/>
                <w:sz w:val="28"/>
                <w:szCs w:val="28"/>
                <w:highlight w:val="none"/>
              </w:rPr>
            </w:pPr>
          </w:p>
        </w:tc>
      </w:tr>
      <w:tr w14:paraId="4B64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0" w:type="dxa"/>
            <w:gridSpan w:val="2"/>
            <w:vMerge w:val="continue"/>
            <w:noWrap w:val="0"/>
            <w:vAlign w:val="top"/>
          </w:tcPr>
          <w:p w14:paraId="7E2ED883">
            <w:pPr>
              <w:spacing w:line="360" w:lineRule="exact"/>
              <w:jc w:val="center"/>
              <w:rPr>
                <w:rFonts w:hint="eastAsia"/>
                <w:color w:val="auto"/>
                <w:sz w:val="28"/>
                <w:szCs w:val="28"/>
                <w:highlight w:val="none"/>
              </w:rPr>
            </w:pPr>
          </w:p>
        </w:tc>
        <w:tc>
          <w:tcPr>
            <w:tcW w:w="5340" w:type="dxa"/>
            <w:noWrap w:val="0"/>
            <w:vAlign w:val="center"/>
          </w:tcPr>
          <w:p w14:paraId="597B402F">
            <w:pPr>
              <w:spacing w:line="300" w:lineRule="exac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沟通响应度：针对日常检查问题的整改落实到位</w:t>
            </w:r>
          </w:p>
        </w:tc>
        <w:tc>
          <w:tcPr>
            <w:tcW w:w="653" w:type="dxa"/>
            <w:noWrap w:val="0"/>
            <w:vAlign w:val="center"/>
          </w:tcPr>
          <w:p w14:paraId="48D3D924">
            <w:pPr>
              <w:spacing w:line="3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3497" w:type="dxa"/>
            <w:gridSpan w:val="9"/>
            <w:noWrap w:val="0"/>
            <w:vAlign w:val="center"/>
          </w:tcPr>
          <w:p w14:paraId="1FA3C0C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734" w:type="dxa"/>
            <w:noWrap w:val="0"/>
            <w:vAlign w:val="center"/>
          </w:tcPr>
          <w:p w14:paraId="45329411">
            <w:pPr>
              <w:spacing w:line="360" w:lineRule="exact"/>
              <w:jc w:val="center"/>
              <w:rPr>
                <w:rFonts w:hint="eastAsia"/>
                <w:color w:val="auto"/>
                <w:sz w:val="28"/>
                <w:szCs w:val="28"/>
                <w:highlight w:val="none"/>
              </w:rPr>
            </w:pPr>
          </w:p>
        </w:tc>
      </w:tr>
      <w:tr w14:paraId="72EC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0" w:type="dxa"/>
            <w:gridSpan w:val="2"/>
            <w:vMerge w:val="continue"/>
            <w:noWrap w:val="0"/>
            <w:vAlign w:val="top"/>
          </w:tcPr>
          <w:p w14:paraId="54F64FA3">
            <w:pPr>
              <w:spacing w:line="360" w:lineRule="exact"/>
              <w:jc w:val="center"/>
              <w:rPr>
                <w:rFonts w:hint="eastAsia"/>
                <w:color w:val="auto"/>
                <w:sz w:val="28"/>
                <w:szCs w:val="28"/>
                <w:highlight w:val="none"/>
              </w:rPr>
            </w:pPr>
          </w:p>
        </w:tc>
        <w:tc>
          <w:tcPr>
            <w:tcW w:w="5340" w:type="dxa"/>
            <w:noWrap w:val="0"/>
            <w:vAlign w:val="center"/>
          </w:tcPr>
          <w:p w14:paraId="41DF1EDA">
            <w:pPr>
              <w:spacing w:line="300" w:lineRule="exact"/>
              <w:rPr>
                <w:rFonts w:hint="eastAsia" w:ascii="Times New Roman" w:hAnsi="Times New Roman" w:eastAsia="宋体" w:cs="Times New Roman"/>
                <w:color w:val="auto"/>
                <w:sz w:val="24"/>
                <w:highlight w:val="none"/>
                <w:lang w:val="en-US" w:eastAsia="zh-CN"/>
              </w:rPr>
            </w:pPr>
            <w:r>
              <w:rPr>
                <w:rFonts w:hint="eastAsia"/>
                <w:b w:val="0"/>
                <w:bCs/>
                <w:color w:val="auto"/>
                <w:sz w:val="24"/>
                <w:highlight w:val="none"/>
                <w:lang w:eastAsia="zh-CN"/>
              </w:rPr>
              <w:t>人员到岗率：人员按照定位定岗定人要求到岗</w:t>
            </w:r>
          </w:p>
        </w:tc>
        <w:tc>
          <w:tcPr>
            <w:tcW w:w="653" w:type="dxa"/>
            <w:noWrap w:val="0"/>
            <w:vAlign w:val="center"/>
          </w:tcPr>
          <w:p w14:paraId="1B1D1E02">
            <w:pPr>
              <w:spacing w:line="3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3497" w:type="dxa"/>
            <w:gridSpan w:val="9"/>
            <w:noWrap w:val="0"/>
            <w:vAlign w:val="center"/>
          </w:tcPr>
          <w:p w14:paraId="304D44F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734" w:type="dxa"/>
            <w:noWrap w:val="0"/>
            <w:vAlign w:val="center"/>
          </w:tcPr>
          <w:p w14:paraId="7805B3E7">
            <w:pPr>
              <w:spacing w:line="360" w:lineRule="exact"/>
              <w:jc w:val="center"/>
              <w:rPr>
                <w:rFonts w:hint="eastAsia"/>
                <w:color w:val="auto"/>
                <w:sz w:val="28"/>
                <w:szCs w:val="28"/>
                <w:highlight w:val="none"/>
              </w:rPr>
            </w:pPr>
          </w:p>
        </w:tc>
      </w:tr>
      <w:tr w14:paraId="7036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080" w:type="dxa"/>
            <w:gridSpan w:val="2"/>
            <w:vMerge w:val="continue"/>
            <w:noWrap w:val="0"/>
            <w:vAlign w:val="top"/>
          </w:tcPr>
          <w:p w14:paraId="5E902BDC">
            <w:pPr>
              <w:spacing w:line="360" w:lineRule="exact"/>
              <w:jc w:val="center"/>
              <w:rPr>
                <w:rFonts w:hint="eastAsia"/>
                <w:color w:val="auto"/>
                <w:sz w:val="28"/>
                <w:szCs w:val="28"/>
                <w:highlight w:val="none"/>
              </w:rPr>
            </w:pPr>
          </w:p>
        </w:tc>
        <w:tc>
          <w:tcPr>
            <w:tcW w:w="5340" w:type="dxa"/>
            <w:noWrap w:val="0"/>
            <w:vAlign w:val="center"/>
          </w:tcPr>
          <w:p w14:paraId="164F4441">
            <w:pPr>
              <w:spacing w:line="300" w:lineRule="exact"/>
              <w:rPr>
                <w:rFonts w:hint="eastAsia"/>
                <w:b w:val="0"/>
                <w:bCs/>
                <w:color w:val="auto"/>
                <w:sz w:val="24"/>
                <w:highlight w:val="none"/>
                <w:lang w:eastAsia="zh-CN"/>
              </w:rPr>
            </w:pPr>
            <w:r>
              <w:rPr>
                <w:rFonts w:hint="eastAsia" w:ascii="Times New Roman" w:hAnsi="Times New Roman" w:eastAsia="宋体" w:cs="Times New Roman"/>
                <w:color w:val="auto"/>
                <w:sz w:val="24"/>
                <w:highlight w:val="none"/>
                <w:lang w:eastAsia="zh-CN"/>
              </w:rPr>
              <w:t>着装：人员工作服统一</w:t>
            </w:r>
          </w:p>
        </w:tc>
        <w:tc>
          <w:tcPr>
            <w:tcW w:w="653" w:type="dxa"/>
            <w:noWrap w:val="0"/>
            <w:vAlign w:val="center"/>
          </w:tcPr>
          <w:p w14:paraId="6D958109">
            <w:pPr>
              <w:spacing w:line="300" w:lineRule="exac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3497" w:type="dxa"/>
            <w:gridSpan w:val="9"/>
            <w:noWrap w:val="0"/>
            <w:vAlign w:val="center"/>
          </w:tcPr>
          <w:p w14:paraId="2A00296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734" w:type="dxa"/>
            <w:noWrap w:val="0"/>
            <w:vAlign w:val="center"/>
          </w:tcPr>
          <w:p w14:paraId="0F5E1D9F">
            <w:pPr>
              <w:spacing w:line="360" w:lineRule="exact"/>
              <w:jc w:val="center"/>
              <w:rPr>
                <w:rFonts w:hint="eastAsia"/>
                <w:color w:val="auto"/>
                <w:sz w:val="28"/>
                <w:szCs w:val="28"/>
                <w:highlight w:val="none"/>
              </w:rPr>
            </w:pPr>
          </w:p>
        </w:tc>
      </w:tr>
      <w:tr w14:paraId="346B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2" w:type="dxa"/>
            <w:vMerge w:val="restart"/>
            <w:noWrap w:val="0"/>
            <w:vAlign w:val="center"/>
          </w:tcPr>
          <w:p w14:paraId="5E169845">
            <w:pPr>
              <w:spacing w:line="360" w:lineRule="exact"/>
              <w:jc w:val="center"/>
              <w:rPr>
                <w:rFonts w:hint="default" w:eastAsia="宋体"/>
                <w:color w:val="auto"/>
                <w:sz w:val="28"/>
                <w:szCs w:val="28"/>
                <w:highlight w:val="none"/>
                <w:lang w:val="en-US" w:eastAsia="zh-CN"/>
              </w:rPr>
            </w:pPr>
            <w:r>
              <w:rPr>
                <w:rFonts w:hint="eastAsia"/>
                <w:color w:val="auto"/>
                <w:sz w:val="28"/>
                <w:szCs w:val="28"/>
                <w:highlight w:val="none"/>
                <w:lang w:val="en-US" w:eastAsia="zh-CN"/>
              </w:rPr>
              <w:t>保洁质量</w:t>
            </w:r>
          </w:p>
        </w:tc>
        <w:tc>
          <w:tcPr>
            <w:tcW w:w="528" w:type="dxa"/>
            <w:vMerge w:val="restart"/>
            <w:noWrap w:val="0"/>
            <w:vAlign w:val="center"/>
          </w:tcPr>
          <w:p w14:paraId="78BB7C7F">
            <w:pPr>
              <w:spacing w:line="360" w:lineRule="exact"/>
              <w:jc w:val="center"/>
              <w:rPr>
                <w:rFonts w:hint="eastAsia"/>
                <w:color w:val="auto"/>
                <w:sz w:val="28"/>
                <w:szCs w:val="28"/>
                <w:highlight w:val="none"/>
              </w:rPr>
            </w:pPr>
            <w:r>
              <w:rPr>
                <w:rFonts w:hint="eastAsia"/>
                <w:color w:val="auto"/>
                <w:sz w:val="28"/>
                <w:szCs w:val="28"/>
                <w:highlight w:val="none"/>
              </w:rPr>
              <w:t>教</w:t>
            </w:r>
          </w:p>
          <w:p w14:paraId="66405462">
            <w:pPr>
              <w:spacing w:line="360" w:lineRule="exact"/>
              <w:jc w:val="center"/>
              <w:rPr>
                <w:rFonts w:hint="eastAsia"/>
                <w:color w:val="auto"/>
                <w:sz w:val="28"/>
                <w:szCs w:val="28"/>
                <w:highlight w:val="none"/>
              </w:rPr>
            </w:pPr>
            <w:r>
              <w:rPr>
                <w:rFonts w:hint="eastAsia"/>
                <w:color w:val="auto"/>
                <w:sz w:val="28"/>
                <w:szCs w:val="28"/>
                <w:highlight w:val="none"/>
              </w:rPr>
              <w:t>室</w:t>
            </w:r>
          </w:p>
        </w:tc>
        <w:tc>
          <w:tcPr>
            <w:tcW w:w="5340" w:type="dxa"/>
            <w:noWrap w:val="0"/>
            <w:vAlign w:val="center"/>
          </w:tcPr>
          <w:p w14:paraId="7EF4A3FB">
            <w:pPr>
              <w:spacing w:line="300" w:lineRule="exact"/>
              <w:rPr>
                <w:rFonts w:hint="eastAsia"/>
                <w:color w:val="auto"/>
                <w:sz w:val="24"/>
                <w:highlight w:val="none"/>
              </w:rPr>
            </w:pPr>
            <w:r>
              <w:rPr>
                <w:rFonts w:hint="eastAsia"/>
                <w:color w:val="auto"/>
                <w:sz w:val="24"/>
                <w:highlight w:val="none"/>
              </w:rPr>
              <w:t>地面：无脚印，无污渍、无蜘蛛网，无垃圾</w:t>
            </w:r>
          </w:p>
        </w:tc>
        <w:tc>
          <w:tcPr>
            <w:tcW w:w="653" w:type="dxa"/>
            <w:noWrap w:val="0"/>
            <w:vAlign w:val="center"/>
          </w:tcPr>
          <w:p w14:paraId="677B343E">
            <w:pPr>
              <w:spacing w:line="36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8</w:t>
            </w:r>
          </w:p>
        </w:tc>
        <w:tc>
          <w:tcPr>
            <w:tcW w:w="3497" w:type="dxa"/>
            <w:gridSpan w:val="9"/>
            <w:noWrap w:val="0"/>
            <w:vAlign w:val="center"/>
          </w:tcPr>
          <w:p w14:paraId="314591C6">
            <w:pPr>
              <w:spacing w:line="360" w:lineRule="exact"/>
              <w:jc w:val="center"/>
              <w:rPr>
                <w:rFonts w:hint="eastAsia"/>
                <w:color w:val="auto"/>
                <w:sz w:val="28"/>
                <w:szCs w:val="28"/>
                <w:highlight w:val="none"/>
              </w:rPr>
            </w:pPr>
          </w:p>
        </w:tc>
        <w:tc>
          <w:tcPr>
            <w:tcW w:w="734" w:type="dxa"/>
            <w:noWrap w:val="0"/>
            <w:vAlign w:val="center"/>
          </w:tcPr>
          <w:p w14:paraId="22C63A45">
            <w:pPr>
              <w:spacing w:line="360" w:lineRule="exact"/>
              <w:jc w:val="center"/>
              <w:rPr>
                <w:rFonts w:hint="eastAsia"/>
                <w:color w:val="auto"/>
                <w:sz w:val="28"/>
                <w:szCs w:val="28"/>
                <w:highlight w:val="none"/>
              </w:rPr>
            </w:pPr>
          </w:p>
        </w:tc>
      </w:tr>
      <w:tr w14:paraId="6803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2" w:type="dxa"/>
            <w:vMerge w:val="continue"/>
            <w:noWrap w:val="0"/>
            <w:vAlign w:val="center"/>
          </w:tcPr>
          <w:p w14:paraId="6D104A50">
            <w:pPr>
              <w:spacing w:line="360" w:lineRule="exact"/>
              <w:jc w:val="center"/>
              <w:rPr>
                <w:rFonts w:hint="eastAsia"/>
                <w:color w:val="auto"/>
                <w:sz w:val="28"/>
                <w:szCs w:val="28"/>
                <w:highlight w:val="none"/>
              </w:rPr>
            </w:pPr>
          </w:p>
        </w:tc>
        <w:tc>
          <w:tcPr>
            <w:tcW w:w="528" w:type="dxa"/>
            <w:vMerge w:val="continue"/>
            <w:noWrap w:val="0"/>
            <w:vAlign w:val="center"/>
          </w:tcPr>
          <w:p w14:paraId="55FCC9E7">
            <w:pPr>
              <w:spacing w:line="360" w:lineRule="exact"/>
              <w:jc w:val="center"/>
              <w:rPr>
                <w:rFonts w:hint="eastAsia"/>
                <w:color w:val="auto"/>
                <w:sz w:val="28"/>
                <w:szCs w:val="28"/>
                <w:highlight w:val="none"/>
              </w:rPr>
            </w:pPr>
          </w:p>
        </w:tc>
        <w:tc>
          <w:tcPr>
            <w:tcW w:w="5340" w:type="dxa"/>
            <w:noWrap w:val="0"/>
            <w:vAlign w:val="center"/>
          </w:tcPr>
          <w:p w14:paraId="49BC213A">
            <w:pPr>
              <w:spacing w:line="300" w:lineRule="exact"/>
              <w:rPr>
                <w:rFonts w:hint="eastAsia"/>
                <w:color w:val="auto"/>
                <w:sz w:val="24"/>
                <w:highlight w:val="none"/>
              </w:rPr>
            </w:pPr>
            <w:r>
              <w:rPr>
                <w:rFonts w:hint="eastAsia"/>
                <w:color w:val="auto"/>
                <w:sz w:val="24"/>
                <w:highlight w:val="none"/>
              </w:rPr>
              <w:t>桌椅及门窗：无课桌文化，桌椅、窗台、窗槽无积灰</w:t>
            </w:r>
          </w:p>
        </w:tc>
        <w:tc>
          <w:tcPr>
            <w:tcW w:w="653" w:type="dxa"/>
            <w:noWrap w:val="0"/>
            <w:vAlign w:val="center"/>
          </w:tcPr>
          <w:p w14:paraId="0EB3C418">
            <w:pPr>
              <w:spacing w:line="36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8</w:t>
            </w:r>
          </w:p>
        </w:tc>
        <w:tc>
          <w:tcPr>
            <w:tcW w:w="3497" w:type="dxa"/>
            <w:gridSpan w:val="9"/>
            <w:noWrap w:val="0"/>
            <w:vAlign w:val="center"/>
          </w:tcPr>
          <w:p w14:paraId="2EDBD9F2">
            <w:pPr>
              <w:spacing w:line="360" w:lineRule="exact"/>
              <w:jc w:val="center"/>
              <w:rPr>
                <w:rFonts w:hint="eastAsia"/>
                <w:color w:val="auto"/>
                <w:sz w:val="28"/>
                <w:szCs w:val="28"/>
                <w:highlight w:val="none"/>
              </w:rPr>
            </w:pPr>
          </w:p>
        </w:tc>
        <w:tc>
          <w:tcPr>
            <w:tcW w:w="734" w:type="dxa"/>
            <w:noWrap w:val="0"/>
            <w:vAlign w:val="center"/>
          </w:tcPr>
          <w:p w14:paraId="00381BDC">
            <w:pPr>
              <w:spacing w:line="360" w:lineRule="exact"/>
              <w:jc w:val="center"/>
              <w:rPr>
                <w:rFonts w:hint="eastAsia"/>
                <w:color w:val="auto"/>
                <w:sz w:val="28"/>
                <w:szCs w:val="28"/>
                <w:highlight w:val="none"/>
              </w:rPr>
            </w:pPr>
          </w:p>
        </w:tc>
      </w:tr>
      <w:tr w14:paraId="5823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2" w:type="dxa"/>
            <w:vMerge w:val="continue"/>
            <w:noWrap w:val="0"/>
            <w:vAlign w:val="center"/>
          </w:tcPr>
          <w:p w14:paraId="239C8DBC">
            <w:pPr>
              <w:spacing w:line="360" w:lineRule="exact"/>
              <w:jc w:val="center"/>
              <w:rPr>
                <w:rFonts w:hint="eastAsia"/>
                <w:color w:val="auto"/>
                <w:sz w:val="28"/>
                <w:szCs w:val="28"/>
                <w:highlight w:val="none"/>
              </w:rPr>
            </w:pPr>
          </w:p>
        </w:tc>
        <w:tc>
          <w:tcPr>
            <w:tcW w:w="528" w:type="dxa"/>
            <w:vMerge w:val="restart"/>
            <w:noWrap w:val="0"/>
            <w:vAlign w:val="center"/>
          </w:tcPr>
          <w:p w14:paraId="1DC7842D">
            <w:pPr>
              <w:spacing w:line="360" w:lineRule="exact"/>
              <w:jc w:val="center"/>
              <w:rPr>
                <w:rFonts w:hint="eastAsia"/>
                <w:color w:val="auto"/>
                <w:sz w:val="28"/>
                <w:szCs w:val="28"/>
                <w:highlight w:val="none"/>
              </w:rPr>
            </w:pPr>
            <w:r>
              <w:rPr>
                <w:rFonts w:hint="eastAsia"/>
                <w:color w:val="auto"/>
                <w:sz w:val="28"/>
                <w:szCs w:val="28"/>
                <w:highlight w:val="none"/>
              </w:rPr>
              <w:t>内场公共部位</w:t>
            </w:r>
          </w:p>
        </w:tc>
        <w:tc>
          <w:tcPr>
            <w:tcW w:w="5340" w:type="dxa"/>
            <w:noWrap w:val="0"/>
            <w:vAlign w:val="center"/>
          </w:tcPr>
          <w:p w14:paraId="6A7E5CD8">
            <w:pPr>
              <w:spacing w:line="300" w:lineRule="exact"/>
              <w:rPr>
                <w:rFonts w:hint="default" w:eastAsia="宋体"/>
                <w:color w:val="auto"/>
                <w:sz w:val="24"/>
                <w:highlight w:val="none"/>
                <w:lang w:val="en-US" w:eastAsia="zh-CN"/>
              </w:rPr>
            </w:pPr>
            <w:r>
              <w:rPr>
                <w:rFonts w:hint="eastAsia"/>
                <w:color w:val="auto"/>
                <w:sz w:val="24"/>
                <w:highlight w:val="none"/>
              </w:rPr>
              <w:t>卫生间</w:t>
            </w:r>
            <w:r>
              <w:rPr>
                <w:rFonts w:hint="eastAsia"/>
                <w:color w:val="auto"/>
                <w:sz w:val="24"/>
                <w:highlight w:val="none"/>
                <w:lang w:eastAsia="zh-CN"/>
              </w:rPr>
              <w:t>（</w:t>
            </w:r>
            <w:r>
              <w:rPr>
                <w:rFonts w:hint="eastAsia"/>
                <w:color w:val="auto"/>
                <w:sz w:val="24"/>
                <w:highlight w:val="none"/>
                <w:lang w:val="en-US" w:eastAsia="zh-CN"/>
              </w:rPr>
              <w:t>盥洗室、淋浴房</w:t>
            </w:r>
            <w:r>
              <w:rPr>
                <w:rFonts w:hint="eastAsia"/>
                <w:color w:val="auto"/>
                <w:sz w:val="24"/>
                <w:highlight w:val="none"/>
                <w:lang w:eastAsia="zh-CN"/>
              </w:rPr>
              <w:t>）</w:t>
            </w:r>
            <w:r>
              <w:rPr>
                <w:rFonts w:hint="eastAsia"/>
                <w:color w:val="auto"/>
                <w:sz w:val="24"/>
                <w:highlight w:val="none"/>
              </w:rPr>
              <w:t>及走廊：无臭味，无污垢、无遗留垃圾、无蜘蛛网</w:t>
            </w:r>
            <w:r>
              <w:rPr>
                <w:rFonts w:hint="eastAsia"/>
                <w:color w:val="auto"/>
                <w:sz w:val="24"/>
                <w:highlight w:val="none"/>
                <w:lang w:eastAsia="zh-CN"/>
              </w:rPr>
              <w:t>、</w:t>
            </w:r>
            <w:r>
              <w:rPr>
                <w:rFonts w:hint="eastAsia"/>
                <w:color w:val="auto"/>
                <w:sz w:val="24"/>
                <w:highlight w:val="none"/>
                <w:lang w:val="en-US" w:eastAsia="zh-CN"/>
              </w:rPr>
              <w:t>卫生间冲洗记录无差错</w:t>
            </w:r>
          </w:p>
        </w:tc>
        <w:tc>
          <w:tcPr>
            <w:tcW w:w="653" w:type="dxa"/>
            <w:noWrap w:val="0"/>
            <w:vAlign w:val="center"/>
          </w:tcPr>
          <w:p w14:paraId="4CC2685A">
            <w:pPr>
              <w:spacing w:line="36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9</w:t>
            </w:r>
          </w:p>
        </w:tc>
        <w:tc>
          <w:tcPr>
            <w:tcW w:w="3497" w:type="dxa"/>
            <w:gridSpan w:val="9"/>
            <w:noWrap w:val="0"/>
            <w:vAlign w:val="center"/>
          </w:tcPr>
          <w:p w14:paraId="2E5DCEC9">
            <w:pPr>
              <w:spacing w:line="360" w:lineRule="exact"/>
              <w:jc w:val="center"/>
              <w:rPr>
                <w:rFonts w:hint="eastAsia"/>
                <w:color w:val="auto"/>
                <w:sz w:val="28"/>
                <w:szCs w:val="28"/>
                <w:highlight w:val="none"/>
              </w:rPr>
            </w:pPr>
          </w:p>
        </w:tc>
        <w:tc>
          <w:tcPr>
            <w:tcW w:w="734" w:type="dxa"/>
            <w:noWrap w:val="0"/>
            <w:vAlign w:val="center"/>
          </w:tcPr>
          <w:p w14:paraId="769C6746">
            <w:pPr>
              <w:spacing w:line="360" w:lineRule="exact"/>
              <w:jc w:val="center"/>
              <w:rPr>
                <w:rFonts w:hint="eastAsia"/>
                <w:color w:val="auto"/>
                <w:sz w:val="28"/>
                <w:szCs w:val="28"/>
                <w:highlight w:val="none"/>
              </w:rPr>
            </w:pPr>
          </w:p>
        </w:tc>
      </w:tr>
      <w:tr w14:paraId="3949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2" w:type="dxa"/>
            <w:vMerge w:val="continue"/>
            <w:noWrap w:val="0"/>
            <w:vAlign w:val="center"/>
          </w:tcPr>
          <w:p w14:paraId="77EA75B1">
            <w:pPr>
              <w:spacing w:line="360" w:lineRule="exact"/>
              <w:jc w:val="center"/>
              <w:rPr>
                <w:rFonts w:hint="eastAsia"/>
                <w:color w:val="auto"/>
                <w:sz w:val="28"/>
                <w:szCs w:val="28"/>
                <w:highlight w:val="none"/>
              </w:rPr>
            </w:pPr>
          </w:p>
        </w:tc>
        <w:tc>
          <w:tcPr>
            <w:tcW w:w="528" w:type="dxa"/>
            <w:vMerge w:val="continue"/>
            <w:noWrap w:val="0"/>
            <w:vAlign w:val="center"/>
          </w:tcPr>
          <w:p w14:paraId="502E3CF2">
            <w:pPr>
              <w:spacing w:line="360" w:lineRule="exact"/>
              <w:jc w:val="center"/>
              <w:rPr>
                <w:rFonts w:hint="eastAsia"/>
                <w:color w:val="auto"/>
                <w:sz w:val="28"/>
                <w:szCs w:val="28"/>
                <w:highlight w:val="none"/>
              </w:rPr>
            </w:pPr>
          </w:p>
        </w:tc>
        <w:tc>
          <w:tcPr>
            <w:tcW w:w="5340" w:type="dxa"/>
            <w:noWrap w:val="0"/>
            <w:vAlign w:val="center"/>
          </w:tcPr>
          <w:p w14:paraId="1DA60CB3">
            <w:pPr>
              <w:spacing w:line="300" w:lineRule="exact"/>
              <w:rPr>
                <w:rFonts w:hint="eastAsia"/>
                <w:color w:val="auto"/>
                <w:sz w:val="24"/>
                <w:highlight w:val="none"/>
              </w:rPr>
            </w:pPr>
            <w:r>
              <w:rPr>
                <w:rFonts w:hint="eastAsia"/>
                <w:color w:val="auto"/>
                <w:sz w:val="24"/>
                <w:highlight w:val="none"/>
                <w:lang w:val="en-US" w:eastAsia="zh-CN"/>
              </w:rPr>
              <w:t>垃圾桶</w:t>
            </w:r>
            <w:r>
              <w:rPr>
                <w:rFonts w:hint="eastAsia"/>
                <w:color w:val="auto"/>
                <w:sz w:val="24"/>
                <w:highlight w:val="none"/>
              </w:rPr>
              <w:t>：</w:t>
            </w:r>
            <w:r>
              <w:rPr>
                <w:rFonts w:hint="eastAsia"/>
                <w:color w:val="auto"/>
                <w:sz w:val="24"/>
                <w:highlight w:val="none"/>
                <w:lang w:val="en-US" w:eastAsia="zh-CN"/>
              </w:rPr>
              <w:t>无满溢垃圾</w:t>
            </w:r>
            <w:r>
              <w:rPr>
                <w:rFonts w:hint="eastAsia"/>
                <w:color w:val="auto"/>
                <w:sz w:val="24"/>
                <w:highlight w:val="none"/>
              </w:rPr>
              <w:t>，无积灰，外观干净明亮</w:t>
            </w:r>
          </w:p>
        </w:tc>
        <w:tc>
          <w:tcPr>
            <w:tcW w:w="653" w:type="dxa"/>
            <w:noWrap w:val="0"/>
            <w:vAlign w:val="center"/>
          </w:tcPr>
          <w:p w14:paraId="64A6C3CD">
            <w:pPr>
              <w:spacing w:line="36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9</w:t>
            </w:r>
          </w:p>
        </w:tc>
        <w:tc>
          <w:tcPr>
            <w:tcW w:w="3497" w:type="dxa"/>
            <w:gridSpan w:val="9"/>
            <w:noWrap w:val="0"/>
            <w:vAlign w:val="center"/>
          </w:tcPr>
          <w:p w14:paraId="7E77A2AE">
            <w:pPr>
              <w:spacing w:line="360" w:lineRule="exact"/>
              <w:jc w:val="center"/>
              <w:rPr>
                <w:rFonts w:hint="eastAsia"/>
                <w:color w:val="auto"/>
                <w:sz w:val="28"/>
                <w:szCs w:val="28"/>
                <w:highlight w:val="none"/>
              </w:rPr>
            </w:pPr>
          </w:p>
        </w:tc>
        <w:tc>
          <w:tcPr>
            <w:tcW w:w="734" w:type="dxa"/>
            <w:noWrap w:val="0"/>
            <w:vAlign w:val="center"/>
          </w:tcPr>
          <w:p w14:paraId="3B3650B9">
            <w:pPr>
              <w:spacing w:line="360" w:lineRule="exact"/>
              <w:jc w:val="center"/>
              <w:rPr>
                <w:rFonts w:hint="eastAsia"/>
                <w:color w:val="auto"/>
                <w:sz w:val="28"/>
                <w:szCs w:val="28"/>
                <w:highlight w:val="none"/>
              </w:rPr>
            </w:pPr>
          </w:p>
        </w:tc>
      </w:tr>
      <w:tr w14:paraId="3545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2" w:type="dxa"/>
            <w:vMerge w:val="continue"/>
            <w:noWrap w:val="0"/>
            <w:vAlign w:val="center"/>
          </w:tcPr>
          <w:p w14:paraId="7A33D46E">
            <w:pPr>
              <w:spacing w:line="360" w:lineRule="exact"/>
              <w:jc w:val="center"/>
              <w:rPr>
                <w:rFonts w:hint="eastAsia"/>
                <w:color w:val="auto"/>
                <w:sz w:val="28"/>
                <w:szCs w:val="28"/>
                <w:highlight w:val="none"/>
              </w:rPr>
            </w:pPr>
          </w:p>
        </w:tc>
        <w:tc>
          <w:tcPr>
            <w:tcW w:w="528" w:type="dxa"/>
            <w:vMerge w:val="continue"/>
            <w:noWrap w:val="0"/>
            <w:vAlign w:val="center"/>
          </w:tcPr>
          <w:p w14:paraId="7581904D">
            <w:pPr>
              <w:spacing w:line="360" w:lineRule="exact"/>
              <w:jc w:val="center"/>
              <w:rPr>
                <w:rFonts w:hint="eastAsia"/>
                <w:color w:val="auto"/>
                <w:sz w:val="28"/>
                <w:szCs w:val="28"/>
                <w:highlight w:val="none"/>
              </w:rPr>
            </w:pPr>
          </w:p>
        </w:tc>
        <w:tc>
          <w:tcPr>
            <w:tcW w:w="5340" w:type="dxa"/>
            <w:noWrap w:val="0"/>
            <w:vAlign w:val="center"/>
          </w:tcPr>
          <w:p w14:paraId="2240B992">
            <w:pPr>
              <w:spacing w:line="300" w:lineRule="exact"/>
              <w:rPr>
                <w:rFonts w:hint="default" w:eastAsia="宋体"/>
                <w:color w:val="auto"/>
                <w:sz w:val="24"/>
                <w:highlight w:val="none"/>
                <w:lang w:val="en-US" w:eastAsia="zh-CN"/>
              </w:rPr>
            </w:pPr>
            <w:r>
              <w:rPr>
                <w:rFonts w:hint="eastAsia"/>
                <w:color w:val="auto"/>
                <w:sz w:val="24"/>
                <w:highlight w:val="none"/>
              </w:rPr>
              <w:t>垃圾分类：</w:t>
            </w:r>
            <w:r>
              <w:rPr>
                <w:rFonts w:hint="eastAsia"/>
                <w:color w:val="auto"/>
                <w:sz w:val="24"/>
                <w:highlight w:val="none"/>
                <w:lang w:eastAsia="zh-CN"/>
              </w:rPr>
              <w:t>标识完整</w:t>
            </w:r>
            <w:r>
              <w:rPr>
                <w:rFonts w:hint="eastAsia"/>
                <w:color w:val="auto"/>
                <w:sz w:val="24"/>
                <w:highlight w:val="none"/>
                <w:lang w:val="en-US" w:eastAsia="zh-CN"/>
              </w:rPr>
              <w:t>无缺损</w:t>
            </w:r>
            <w:r>
              <w:rPr>
                <w:rFonts w:hint="eastAsia"/>
                <w:color w:val="auto"/>
                <w:sz w:val="24"/>
                <w:highlight w:val="none"/>
                <w:lang w:eastAsia="zh-CN"/>
              </w:rPr>
              <w:t>，</w:t>
            </w:r>
            <w:r>
              <w:rPr>
                <w:rFonts w:hint="eastAsia"/>
                <w:color w:val="auto"/>
                <w:sz w:val="24"/>
                <w:highlight w:val="none"/>
                <w:lang w:val="en-US" w:eastAsia="zh-CN"/>
              </w:rPr>
              <w:t>垃圾桶放置位置规范，</w:t>
            </w:r>
            <w:r>
              <w:rPr>
                <w:rFonts w:hint="eastAsia"/>
                <w:color w:val="auto"/>
                <w:sz w:val="24"/>
                <w:highlight w:val="none"/>
              </w:rPr>
              <w:t>无乱投放</w:t>
            </w:r>
            <w:r>
              <w:rPr>
                <w:rFonts w:hint="eastAsia"/>
                <w:color w:val="auto"/>
                <w:sz w:val="24"/>
                <w:highlight w:val="none"/>
                <w:lang w:eastAsia="zh-CN"/>
              </w:rPr>
              <w:t>，</w:t>
            </w:r>
            <w:r>
              <w:rPr>
                <w:rFonts w:hint="eastAsia"/>
                <w:color w:val="auto"/>
                <w:sz w:val="24"/>
                <w:highlight w:val="none"/>
              </w:rPr>
              <w:t>清运记录完整</w:t>
            </w:r>
          </w:p>
        </w:tc>
        <w:tc>
          <w:tcPr>
            <w:tcW w:w="653" w:type="dxa"/>
            <w:noWrap w:val="0"/>
            <w:vAlign w:val="center"/>
          </w:tcPr>
          <w:p w14:paraId="3975DF2E">
            <w:pPr>
              <w:spacing w:line="36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9</w:t>
            </w:r>
          </w:p>
        </w:tc>
        <w:tc>
          <w:tcPr>
            <w:tcW w:w="3497" w:type="dxa"/>
            <w:gridSpan w:val="9"/>
            <w:noWrap w:val="0"/>
            <w:vAlign w:val="center"/>
          </w:tcPr>
          <w:p w14:paraId="5E164403">
            <w:pPr>
              <w:spacing w:line="360" w:lineRule="exact"/>
              <w:jc w:val="center"/>
              <w:rPr>
                <w:rFonts w:hint="eastAsia"/>
                <w:color w:val="auto"/>
                <w:sz w:val="28"/>
                <w:szCs w:val="28"/>
                <w:highlight w:val="none"/>
              </w:rPr>
            </w:pPr>
          </w:p>
        </w:tc>
        <w:tc>
          <w:tcPr>
            <w:tcW w:w="734" w:type="dxa"/>
            <w:noWrap w:val="0"/>
            <w:vAlign w:val="center"/>
          </w:tcPr>
          <w:p w14:paraId="50DB99E9">
            <w:pPr>
              <w:spacing w:line="360" w:lineRule="exact"/>
              <w:jc w:val="center"/>
              <w:rPr>
                <w:rFonts w:hint="eastAsia"/>
                <w:color w:val="auto"/>
                <w:sz w:val="28"/>
                <w:szCs w:val="28"/>
                <w:highlight w:val="none"/>
              </w:rPr>
            </w:pPr>
          </w:p>
        </w:tc>
      </w:tr>
      <w:tr w14:paraId="5B4F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2" w:type="dxa"/>
            <w:vMerge w:val="continue"/>
            <w:noWrap w:val="0"/>
            <w:vAlign w:val="center"/>
          </w:tcPr>
          <w:p w14:paraId="0D234516">
            <w:pPr>
              <w:spacing w:line="360" w:lineRule="exact"/>
              <w:jc w:val="center"/>
              <w:rPr>
                <w:rFonts w:hint="eastAsia"/>
                <w:color w:val="auto"/>
                <w:sz w:val="28"/>
                <w:szCs w:val="28"/>
                <w:highlight w:val="none"/>
              </w:rPr>
            </w:pPr>
          </w:p>
        </w:tc>
        <w:tc>
          <w:tcPr>
            <w:tcW w:w="528" w:type="dxa"/>
            <w:vMerge w:val="continue"/>
            <w:noWrap w:val="0"/>
            <w:vAlign w:val="center"/>
          </w:tcPr>
          <w:p w14:paraId="5E80025A">
            <w:pPr>
              <w:spacing w:line="360" w:lineRule="exact"/>
              <w:jc w:val="center"/>
              <w:rPr>
                <w:rFonts w:hint="eastAsia"/>
                <w:color w:val="auto"/>
                <w:sz w:val="28"/>
                <w:szCs w:val="28"/>
                <w:highlight w:val="none"/>
              </w:rPr>
            </w:pPr>
          </w:p>
        </w:tc>
        <w:tc>
          <w:tcPr>
            <w:tcW w:w="5340" w:type="dxa"/>
            <w:noWrap w:val="0"/>
            <w:vAlign w:val="center"/>
          </w:tcPr>
          <w:p w14:paraId="71BD84A3">
            <w:pPr>
              <w:spacing w:line="300" w:lineRule="exact"/>
              <w:rPr>
                <w:rFonts w:hint="eastAsia"/>
                <w:color w:val="auto"/>
                <w:sz w:val="24"/>
                <w:highlight w:val="none"/>
              </w:rPr>
            </w:pPr>
            <w:r>
              <w:rPr>
                <w:rFonts w:hint="eastAsia"/>
                <w:color w:val="auto"/>
                <w:sz w:val="24"/>
                <w:highlight w:val="none"/>
                <w:lang w:val="en-US" w:eastAsia="zh-CN"/>
              </w:rPr>
              <w:t>门窗：</w:t>
            </w:r>
            <w:r>
              <w:rPr>
                <w:rFonts w:hint="eastAsia"/>
                <w:color w:val="auto"/>
                <w:sz w:val="24"/>
                <w:highlight w:val="none"/>
              </w:rPr>
              <w:t>门窗清洁，门框、窗槽无积灰，无乱张贴</w:t>
            </w:r>
          </w:p>
        </w:tc>
        <w:tc>
          <w:tcPr>
            <w:tcW w:w="653" w:type="dxa"/>
            <w:noWrap w:val="0"/>
            <w:vAlign w:val="center"/>
          </w:tcPr>
          <w:p w14:paraId="0B89085B">
            <w:pPr>
              <w:spacing w:line="36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9</w:t>
            </w:r>
          </w:p>
        </w:tc>
        <w:tc>
          <w:tcPr>
            <w:tcW w:w="3497" w:type="dxa"/>
            <w:gridSpan w:val="9"/>
            <w:noWrap w:val="0"/>
            <w:vAlign w:val="center"/>
          </w:tcPr>
          <w:p w14:paraId="7E75E86C">
            <w:pPr>
              <w:spacing w:line="360" w:lineRule="exact"/>
              <w:jc w:val="center"/>
              <w:rPr>
                <w:rFonts w:hint="eastAsia"/>
                <w:color w:val="auto"/>
                <w:sz w:val="28"/>
                <w:szCs w:val="28"/>
                <w:highlight w:val="none"/>
              </w:rPr>
            </w:pPr>
          </w:p>
        </w:tc>
        <w:tc>
          <w:tcPr>
            <w:tcW w:w="734" w:type="dxa"/>
            <w:noWrap w:val="0"/>
            <w:vAlign w:val="center"/>
          </w:tcPr>
          <w:p w14:paraId="4F39F370">
            <w:pPr>
              <w:spacing w:line="360" w:lineRule="exact"/>
              <w:jc w:val="center"/>
              <w:rPr>
                <w:rFonts w:hint="eastAsia"/>
                <w:color w:val="auto"/>
                <w:sz w:val="28"/>
                <w:szCs w:val="28"/>
                <w:highlight w:val="none"/>
              </w:rPr>
            </w:pPr>
          </w:p>
        </w:tc>
      </w:tr>
      <w:tr w14:paraId="6569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2" w:type="dxa"/>
            <w:vMerge w:val="continue"/>
            <w:noWrap w:val="0"/>
            <w:vAlign w:val="center"/>
          </w:tcPr>
          <w:p w14:paraId="2549BCE8">
            <w:pPr>
              <w:spacing w:line="360" w:lineRule="exact"/>
              <w:jc w:val="center"/>
              <w:rPr>
                <w:rFonts w:hint="eastAsia"/>
                <w:color w:val="auto"/>
                <w:sz w:val="28"/>
                <w:szCs w:val="28"/>
                <w:highlight w:val="none"/>
              </w:rPr>
            </w:pPr>
          </w:p>
        </w:tc>
        <w:tc>
          <w:tcPr>
            <w:tcW w:w="528" w:type="dxa"/>
            <w:vMerge w:val="continue"/>
            <w:noWrap w:val="0"/>
            <w:vAlign w:val="center"/>
          </w:tcPr>
          <w:p w14:paraId="6A9AC6DB">
            <w:pPr>
              <w:spacing w:line="360" w:lineRule="exact"/>
              <w:jc w:val="center"/>
              <w:rPr>
                <w:rFonts w:hint="eastAsia"/>
                <w:color w:val="auto"/>
                <w:sz w:val="28"/>
                <w:szCs w:val="28"/>
                <w:highlight w:val="none"/>
              </w:rPr>
            </w:pPr>
          </w:p>
        </w:tc>
        <w:tc>
          <w:tcPr>
            <w:tcW w:w="5340" w:type="dxa"/>
            <w:noWrap w:val="0"/>
            <w:vAlign w:val="center"/>
          </w:tcPr>
          <w:p w14:paraId="1AD70E24">
            <w:pPr>
              <w:spacing w:line="300" w:lineRule="exact"/>
              <w:rPr>
                <w:rFonts w:hint="eastAsia"/>
                <w:b w:val="0"/>
                <w:bCs/>
                <w:color w:val="auto"/>
                <w:sz w:val="24"/>
                <w:highlight w:val="none"/>
                <w:lang w:eastAsia="zh-CN"/>
              </w:rPr>
            </w:pPr>
            <w:r>
              <w:rPr>
                <w:rFonts w:hint="eastAsia"/>
                <w:b w:val="0"/>
                <w:bCs/>
                <w:color w:val="auto"/>
                <w:sz w:val="24"/>
                <w:highlight w:val="none"/>
                <w:lang w:eastAsia="zh-CN"/>
              </w:rPr>
              <w:t>防汛防台：屋顶、车库、楼周等排水沟清洁且通畅</w:t>
            </w:r>
          </w:p>
        </w:tc>
        <w:tc>
          <w:tcPr>
            <w:tcW w:w="653" w:type="dxa"/>
            <w:noWrap w:val="0"/>
            <w:vAlign w:val="center"/>
          </w:tcPr>
          <w:p w14:paraId="1E23715C">
            <w:pPr>
              <w:spacing w:line="36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9</w:t>
            </w:r>
          </w:p>
        </w:tc>
        <w:tc>
          <w:tcPr>
            <w:tcW w:w="3497" w:type="dxa"/>
            <w:gridSpan w:val="9"/>
            <w:noWrap w:val="0"/>
            <w:vAlign w:val="center"/>
          </w:tcPr>
          <w:p w14:paraId="3815308F">
            <w:pPr>
              <w:spacing w:line="360" w:lineRule="exact"/>
              <w:rPr>
                <w:rFonts w:hint="eastAsia"/>
                <w:color w:val="auto"/>
                <w:sz w:val="28"/>
                <w:szCs w:val="28"/>
                <w:highlight w:val="none"/>
              </w:rPr>
            </w:pPr>
          </w:p>
        </w:tc>
        <w:tc>
          <w:tcPr>
            <w:tcW w:w="734" w:type="dxa"/>
            <w:noWrap w:val="0"/>
            <w:vAlign w:val="center"/>
          </w:tcPr>
          <w:p w14:paraId="70A923F5">
            <w:pPr>
              <w:spacing w:line="360" w:lineRule="exact"/>
              <w:rPr>
                <w:rFonts w:hint="eastAsia"/>
                <w:color w:val="auto"/>
                <w:sz w:val="28"/>
                <w:szCs w:val="28"/>
                <w:highlight w:val="none"/>
              </w:rPr>
            </w:pPr>
          </w:p>
        </w:tc>
      </w:tr>
      <w:tr w14:paraId="6908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2" w:type="dxa"/>
            <w:vMerge w:val="continue"/>
            <w:noWrap w:val="0"/>
            <w:vAlign w:val="center"/>
          </w:tcPr>
          <w:p w14:paraId="10CF2BCF">
            <w:pPr>
              <w:spacing w:line="360" w:lineRule="exact"/>
              <w:jc w:val="center"/>
              <w:rPr>
                <w:rFonts w:hint="eastAsia"/>
                <w:color w:val="auto"/>
                <w:sz w:val="28"/>
                <w:szCs w:val="28"/>
                <w:highlight w:val="none"/>
              </w:rPr>
            </w:pPr>
          </w:p>
        </w:tc>
        <w:tc>
          <w:tcPr>
            <w:tcW w:w="528" w:type="dxa"/>
            <w:vMerge w:val="continue"/>
            <w:noWrap w:val="0"/>
            <w:vAlign w:val="center"/>
          </w:tcPr>
          <w:p w14:paraId="38548FA1">
            <w:pPr>
              <w:spacing w:line="360" w:lineRule="exact"/>
              <w:jc w:val="center"/>
              <w:rPr>
                <w:rFonts w:hint="eastAsia"/>
                <w:color w:val="auto"/>
                <w:sz w:val="28"/>
                <w:szCs w:val="28"/>
                <w:highlight w:val="none"/>
              </w:rPr>
            </w:pPr>
          </w:p>
        </w:tc>
        <w:tc>
          <w:tcPr>
            <w:tcW w:w="5340" w:type="dxa"/>
            <w:noWrap w:val="0"/>
            <w:vAlign w:val="center"/>
          </w:tcPr>
          <w:p w14:paraId="0364AC7C">
            <w:pPr>
              <w:spacing w:line="300" w:lineRule="exact"/>
              <w:rPr>
                <w:rFonts w:hint="eastAsia"/>
                <w:b w:val="0"/>
                <w:bCs/>
                <w:color w:val="auto"/>
                <w:sz w:val="24"/>
                <w:highlight w:val="none"/>
                <w:lang w:eastAsia="zh-CN"/>
              </w:rPr>
            </w:pPr>
            <w:r>
              <w:rPr>
                <w:rFonts w:hint="eastAsia"/>
                <w:b w:val="0"/>
                <w:bCs/>
                <w:color w:val="auto"/>
                <w:sz w:val="24"/>
                <w:highlight w:val="none"/>
                <w:lang w:eastAsia="zh-CN"/>
              </w:rPr>
              <w:t>设施报修：</w:t>
            </w:r>
            <w:r>
              <w:rPr>
                <w:rFonts w:hint="eastAsia"/>
                <w:b w:val="0"/>
                <w:bCs/>
                <w:color w:val="auto"/>
                <w:sz w:val="24"/>
                <w:highlight w:val="none"/>
                <w:lang w:val="en-US" w:eastAsia="zh-CN"/>
              </w:rPr>
              <w:t>如</w:t>
            </w:r>
            <w:r>
              <w:rPr>
                <w:rFonts w:hint="eastAsia"/>
                <w:b w:val="0"/>
                <w:bCs/>
                <w:color w:val="auto"/>
                <w:sz w:val="24"/>
                <w:highlight w:val="none"/>
                <w:lang w:eastAsia="zh-CN"/>
              </w:rPr>
              <w:t>小便池等无法使用、窗户打不开，是否及时报修</w:t>
            </w:r>
          </w:p>
        </w:tc>
        <w:tc>
          <w:tcPr>
            <w:tcW w:w="653" w:type="dxa"/>
            <w:noWrap w:val="0"/>
            <w:vAlign w:val="center"/>
          </w:tcPr>
          <w:p w14:paraId="05A53AE4">
            <w:pPr>
              <w:spacing w:line="360" w:lineRule="exact"/>
              <w:jc w:val="center"/>
              <w:rPr>
                <w:rFonts w:hint="eastAsia"/>
                <w:color w:val="auto"/>
                <w:sz w:val="21"/>
                <w:szCs w:val="21"/>
                <w:highlight w:val="none"/>
                <w:lang w:val="en-US" w:eastAsia="zh-CN"/>
              </w:rPr>
            </w:pPr>
            <w:r>
              <w:rPr>
                <w:rFonts w:hint="eastAsia"/>
                <w:color w:val="auto"/>
                <w:sz w:val="21"/>
                <w:szCs w:val="21"/>
                <w:highlight w:val="none"/>
                <w:lang w:val="en-US" w:eastAsia="zh-CN"/>
              </w:rPr>
              <w:t>9</w:t>
            </w:r>
          </w:p>
        </w:tc>
        <w:tc>
          <w:tcPr>
            <w:tcW w:w="3497" w:type="dxa"/>
            <w:gridSpan w:val="9"/>
            <w:noWrap w:val="0"/>
            <w:vAlign w:val="center"/>
          </w:tcPr>
          <w:p w14:paraId="0D4B1662">
            <w:pPr>
              <w:spacing w:line="360" w:lineRule="exact"/>
              <w:rPr>
                <w:rFonts w:hint="eastAsia"/>
                <w:color w:val="auto"/>
                <w:sz w:val="28"/>
                <w:szCs w:val="28"/>
                <w:highlight w:val="none"/>
              </w:rPr>
            </w:pPr>
          </w:p>
        </w:tc>
        <w:tc>
          <w:tcPr>
            <w:tcW w:w="734" w:type="dxa"/>
            <w:noWrap w:val="0"/>
            <w:vAlign w:val="center"/>
          </w:tcPr>
          <w:p w14:paraId="2171CAFE">
            <w:pPr>
              <w:spacing w:line="360" w:lineRule="exact"/>
              <w:rPr>
                <w:rFonts w:hint="eastAsia"/>
                <w:color w:val="auto"/>
                <w:sz w:val="28"/>
                <w:szCs w:val="28"/>
                <w:highlight w:val="none"/>
              </w:rPr>
            </w:pPr>
          </w:p>
        </w:tc>
      </w:tr>
      <w:tr w14:paraId="677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0" w:type="dxa"/>
            <w:gridSpan w:val="2"/>
            <w:noWrap w:val="0"/>
            <w:vAlign w:val="center"/>
          </w:tcPr>
          <w:p w14:paraId="453280E3">
            <w:pPr>
              <w:spacing w:line="240" w:lineRule="auto"/>
              <w:jc w:val="center"/>
              <w:rPr>
                <w:rFonts w:hint="eastAsia" w:eastAsia="宋体"/>
                <w:color w:val="auto"/>
                <w:sz w:val="24"/>
                <w:highlight w:val="none"/>
                <w:lang w:eastAsia="zh-CN"/>
              </w:rPr>
            </w:pPr>
            <w:r>
              <w:rPr>
                <w:rFonts w:hint="eastAsia" w:ascii="Times New Roman" w:hAnsi="Times New Roman" w:eastAsia="宋体" w:cs="Times New Roman"/>
                <w:color w:val="auto"/>
                <w:sz w:val="28"/>
                <w:szCs w:val="28"/>
                <w:highlight w:val="none"/>
                <w:lang w:eastAsia="zh-CN"/>
              </w:rPr>
              <w:t>加分项</w:t>
            </w:r>
          </w:p>
        </w:tc>
        <w:tc>
          <w:tcPr>
            <w:tcW w:w="5340" w:type="dxa"/>
            <w:noWrap w:val="0"/>
            <w:vAlign w:val="center"/>
          </w:tcPr>
          <w:p w14:paraId="50C50ACD">
            <w:pPr>
              <w:spacing w:line="300" w:lineRule="exact"/>
              <w:rPr>
                <w:rFonts w:hint="default" w:eastAsia="宋体"/>
                <w:color w:val="auto"/>
                <w:sz w:val="24"/>
                <w:highlight w:val="none"/>
                <w:lang w:val="en-US" w:eastAsia="zh-CN"/>
              </w:rPr>
            </w:pPr>
            <w:r>
              <w:rPr>
                <w:rFonts w:hint="eastAsia"/>
                <w:color w:val="auto"/>
                <w:sz w:val="24"/>
                <w:highlight w:val="none"/>
                <w:lang w:val="en-US" w:eastAsia="zh-CN"/>
              </w:rPr>
              <w:t>互查互纠：本月15日前发现其他保洁公司问题、对被发现问题及时整改</w:t>
            </w:r>
          </w:p>
        </w:tc>
        <w:tc>
          <w:tcPr>
            <w:tcW w:w="653" w:type="dxa"/>
            <w:noWrap w:val="0"/>
            <w:vAlign w:val="center"/>
          </w:tcPr>
          <w:p w14:paraId="1304D4F5">
            <w:pPr>
              <w:spacing w:line="360" w:lineRule="exact"/>
              <w:jc w:val="center"/>
              <w:rPr>
                <w:rFonts w:hint="default"/>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3497" w:type="dxa"/>
            <w:gridSpan w:val="9"/>
            <w:noWrap w:val="0"/>
            <w:vAlign w:val="center"/>
          </w:tcPr>
          <w:p w14:paraId="6C13FDDC">
            <w:pPr>
              <w:spacing w:line="360" w:lineRule="exact"/>
              <w:rPr>
                <w:rFonts w:hint="eastAsia"/>
                <w:color w:val="auto"/>
                <w:sz w:val="28"/>
                <w:szCs w:val="28"/>
                <w:highlight w:val="none"/>
              </w:rPr>
            </w:pPr>
          </w:p>
        </w:tc>
        <w:tc>
          <w:tcPr>
            <w:tcW w:w="734" w:type="dxa"/>
            <w:noWrap w:val="0"/>
            <w:vAlign w:val="center"/>
          </w:tcPr>
          <w:p w14:paraId="7588601B">
            <w:pPr>
              <w:spacing w:line="360" w:lineRule="exact"/>
              <w:rPr>
                <w:rFonts w:hint="eastAsia"/>
                <w:color w:val="auto"/>
                <w:sz w:val="28"/>
                <w:szCs w:val="28"/>
                <w:highlight w:val="none"/>
              </w:rPr>
            </w:pPr>
          </w:p>
        </w:tc>
      </w:tr>
      <w:tr w14:paraId="46BD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20" w:type="dxa"/>
            <w:gridSpan w:val="3"/>
            <w:noWrap w:val="0"/>
            <w:vAlign w:val="center"/>
          </w:tcPr>
          <w:p w14:paraId="622AE266">
            <w:pPr>
              <w:spacing w:line="360" w:lineRule="exact"/>
              <w:jc w:val="center"/>
              <w:rPr>
                <w:rFonts w:hint="eastAsia"/>
                <w:b/>
                <w:color w:val="auto"/>
                <w:sz w:val="24"/>
                <w:highlight w:val="none"/>
              </w:rPr>
            </w:pPr>
            <w:r>
              <w:rPr>
                <w:rFonts w:hint="eastAsia"/>
                <w:b/>
                <w:color w:val="auto"/>
                <w:sz w:val="24"/>
                <w:highlight w:val="none"/>
              </w:rPr>
              <w:t>合计标准分</w:t>
            </w:r>
          </w:p>
        </w:tc>
        <w:tc>
          <w:tcPr>
            <w:tcW w:w="653" w:type="dxa"/>
            <w:noWrap w:val="0"/>
            <w:vAlign w:val="center"/>
          </w:tcPr>
          <w:p w14:paraId="57C9A3EA">
            <w:pPr>
              <w:spacing w:line="360" w:lineRule="exact"/>
              <w:jc w:val="center"/>
              <w:rPr>
                <w:rFonts w:hint="default" w:eastAsia="宋体"/>
                <w:b/>
                <w:color w:val="auto"/>
                <w:sz w:val="24"/>
                <w:highlight w:val="none"/>
                <w:lang w:val="en-US" w:eastAsia="zh-CN"/>
              </w:rPr>
            </w:pPr>
            <w:r>
              <w:rPr>
                <w:rFonts w:hint="eastAsia"/>
                <w:b/>
                <w:color w:val="auto"/>
                <w:sz w:val="24"/>
                <w:szCs w:val="24"/>
                <w:highlight w:val="none"/>
              </w:rPr>
              <w:t>100</w:t>
            </w:r>
          </w:p>
        </w:tc>
        <w:tc>
          <w:tcPr>
            <w:tcW w:w="2185" w:type="dxa"/>
            <w:gridSpan w:val="6"/>
            <w:noWrap w:val="0"/>
            <w:vAlign w:val="center"/>
          </w:tcPr>
          <w:p w14:paraId="04DC1B4D">
            <w:pPr>
              <w:spacing w:line="360" w:lineRule="exact"/>
              <w:jc w:val="center"/>
              <w:rPr>
                <w:rFonts w:hint="eastAsia"/>
                <w:b/>
                <w:color w:val="auto"/>
                <w:sz w:val="24"/>
                <w:highlight w:val="none"/>
              </w:rPr>
            </w:pPr>
            <w:r>
              <w:rPr>
                <w:rFonts w:hint="eastAsia"/>
                <w:b/>
                <w:color w:val="auto"/>
                <w:sz w:val="24"/>
                <w:highlight w:val="none"/>
              </w:rPr>
              <w:t>总</w:t>
            </w:r>
            <w:r>
              <w:rPr>
                <w:rFonts w:hint="eastAsia"/>
                <w:b/>
                <w:color w:val="auto"/>
                <w:sz w:val="24"/>
                <w:highlight w:val="none"/>
                <w:lang w:val="en-US" w:eastAsia="zh-CN"/>
              </w:rPr>
              <w:t>平均</w:t>
            </w:r>
            <w:r>
              <w:rPr>
                <w:rFonts w:hint="eastAsia"/>
                <w:b/>
                <w:color w:val="auto"/>
                <w:sz w:val="24"/>
                <w:highlight w:val="none"/>
              </w:rPr>
              <w:t>分</w:t>
            </w:r>
          </w:p>
        </w:tc>
        <w:tc>
          <w:tcPr>
            <w:tcW w:w="2046" w:type="dxa"/>
            <w:gridSpan w:val="4"/>
            <w:noWrap w:val="0"/>
            <w:vAlign w:val="center"/>
          </w:tcPr>
          <w:p w14:paraId="390B6F72">
            <w:pPr>
              <w:spacing w:line="360" w:lineRule="exact"/>
              <w:rPr>
                <w:rFonts w:hint="eastAsia"/>
                <w:b/>
                <w:color w:val="auto"/>
                <w:sz w:val="24"/>
                <w:highlight w:val="none"/>
              </w:rPr>
            </w:pPr>
          </w:p>
        </w:tc>
      </w:tr>
    </w:tbl>
    <w:p w14:paraId="66129BE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color w:val="auto"/>
          <w:sz w:val="22"/>
          <w:szCs w:val="22"/>
          <w:highlight w:val="none"/>
        </w:rPr>
      </w:pPr>
      <w:r>
        <w:rPr>
          <w:rFonts w:hint="eastAsia"/>
          <w:b/>
          <w:color w:val="auto"/>
          <w:sz w:val="20"/>
          <w:szCs w:val="22"/>
          <w:highlight w:val="none"/>
        </w:rPr>
        <w:t>注：</w:t>
      </w:r>
      <w:r>
        <w:rPr>
          <w:rFonts w:hint="eastAsia"/>
          <w:b w:val="0"/>
          <w:bCs/>
          <w:color w:val="auto"/>
          <w:sz w:val="20"/>
          <w:szCs w:val="22"/>
          <w:highlight w:val="none"/>
          <w:lang w:val="en-US" w:eastAsia="zh-CN"/>
        </w:rPr>
        <w:t>1、</w:t>
      </w:r>
      <w:r>
        <w:rPr>
          <w:rFonts w:hint="eastAsia"/>
          <w:color w:val="auto"/>
          <w:sz w:val="22"/>
          <w:szCs w:val="22"/>
          <w:highlight w:val="none"/>
        </w:rPr>
        <w:t>检查情况以单项、地点作记录，同一地点同类问题扣单项分的比例分别为：1处扣10%；2处扣20%；多处扣50%。</w:t>
      </w:r>
      <w:r>
        <w:rPr>
          <w:rFonts w:hint="eastAsia"/>
          <w:color w:val="auto"/>
          <w:sz w:val="22"/>
          <w:szCs w:val="22"/>
          <w:highlight w:val="none"/>
          <w:lang w:val="en-US" w:eastAsia="zh-CN"/>
        </w:rPr>
        <w:t>2、</w:t>
      </w:r>
      <w:r>
        <w:rPr>
          <w:rFonts w:hint="eastAsia"/>
          <w:color w:val="auto"/>
          <w:sz w:val="22"/>
          <w:szCs w:val="22"/>
          <w:highlight w:val="none"/>
        </w:rPr>
        <w:t>烟蒂检查标准：</w:t>
      </w:r>
      <w:r>
        <w:rPr>
          <w:rFonts w:hint="eastAsia" w:ascii="宋体" w:hAnsi="宋体"/>
          <w:color w:val="auto"/>
          <w:sz w:val="22"/>
          <w:szCs w:val="22"/>
          <w:highlight w:val="none"/>
        </w:rPr>
        <w:t>①</w:t>
      </w:r>
      <w:r>
        <w:rPr>
          <w:rFonts w:hint="eastAsia"/>
          <w:color w:val="auto"/>
          <w:sz w:val="22"/>
          <w:szCs w:val="22"/>
          <w:highlight w:val="none"/>
        </w:rPr>
        <w:t>、每平方米发现3~5个扣10%、6~10个扣20%、11个以上扣50%，</w:t>
      </w:r>
      <w:r>
        <w:rPr>
          <w:rFonts w:hint="eastAsia" w:ascii="宋体" w:hAnsi="宋体"/>
          <w:color w:val="auto"/>
          <w:sz w:val="22"/>
          <w:szCs w:val="22"/>
          <w:highlight w:val="none"/>
        </w:rPr>
        <w:t>②、烟蒂每平方米3个以下累计10</w:t>
      </w:r>
      <w:r>
        <w:rPr>
          <w:rFonts w:hint="eastAsia"/>
          <w:color w:val="auto"/>
          <w:sz w:val="22"/>
          <w:szCs w:val="22"/>
          <w:highlight w:val="none"/>
        </w:rPr>
        <w:t>~</w:t>
      </w:r>
      <w:r>
        <w:rPr>
          <w:rFonts w:hint="eastAsia" w:ascii="宋体" w:hAnsi="宋体"/>
          <w:color w:val="auto"/>
          <w:sz w:val="22"/>
          <w:szCs w:val="22"/>
          <w:highlight w:val="none"/>
        </w:rPr>
        <w:t>15个扣10%、16</w:t>
      </w:r>
      <w:r>
        <w:rPr>
          <w:rFonts w:hint="eastAsia"/>
          <w:color w:val="auto"/>
          <w:sz w:val="22"/>
          <w:szCs w:val="22"/>
          <w:highlight w:val="none"/>
        </w:rPr>
        <w:t>~</w:t>
      </w:r>
      <w:r>
        <w:rPr>
          <w:rFonts w:hint="eastAsia" w:ascii="宋体" w:hAnsi="宋体"/>
          <w:color w:val="auto"/>
          <w:sz w:val="22"/>
          <w:szCs w:val="22"/>
          <w:highlight w:val="none"/>
        </w:rPr>
        <w:t>25个扣20%、26个以上扣50%</w:t>
      </w:r>
      <w:r>
        <w:rPr>
          <w:rFonts w:hint="eastAsia"/>
          <w:color w:val="auto"/>
          <w:sz w:val="22"/>
          <w:szCs w:val="22"/>
          <w:highlight w:val="none"/>
        </w:rPr>
        <w:t>。</w:t>
      </w:r>
    </w:p>
    <w:p w14:paraId="472A3FBF">
      <w:pPr>
        <w:widowControl/>
        <w:adjustRightInd w:val="0"/>
        <w:snapToGrid w:val="0"/>
        <w:spacing w:line="360" w:lineRule="auto"/>
        <w:ind w:firstLine="0" w:firstLineChars="0"/>
        <w:rPr>
          <w:rFonts w:hint="eastAsia"/>
          <w:color w:val="auto"/>
          <w:sz w:val="28"/>
          <w:szCs w:val="28"/>
          <w:highlight w:val="none"/>
        </w:rPr>
      </w:pPr>
      <w:r>
        <w:rPr>
          <w:rFonts w:hint="eastAsia"/>
          <w:color w:val="auto"/>
          <w:sz w:val="24"/>
          <w:szCs w:val="24"/>
          <w:highlight w:val="none"/>
          <w:lang w:eastAsia="zh-CN"/>
        </w:rPr>
        <w:t>检查人员签字：</w:t>
      </w:r>
      <w:r>
        <w:rPr>
          <w:rFonts w:hint="eastAsia"/>
          <w:color w:val="auto"/>
          <w:sz w:val="24"/>
          <w:szCs w:val="24"/>
          <w:highlight w:val="none"/>
          <w:lang w:val="en-US" w:eastAsia="zh-CN"/>
        </w:rPr>
        <w:t xml:space="preserve"> </w:t>
      </w:r>
      <w:r>
        <w:rPr>
          <w:rFonts w:hint="eastAsia"/>
          <w:color w:val="auto"/>
          <w:sz w:val="28"/>
          <w:szCs w:val="28"/>
          <w:highlight w:val="none"/>
        </w:rPr>
        <w:t xml:space="preserve">      </w:t>
      </w:r>
      <w:r>
        <w:rPr>
          <w:rFonts w:hint="eastAsia"/>
          <w:color w:val="auto"/>
          <w:sz w:val="28"/>
          <w:szCs w:val="28"/>
          <w:highlight w:val="none"/>
          <w:lang w:val="en-US" w:eastAsia="zh-CN"/>
        </w:rPr>
        <w:t xml:space="preserve">                   </w:t>
      </w:r>
      <w:r>
        <w:rPr>
          <w:rFonts w:hint="eastAsia"/>
          <w:color w:val="auto"/>
          <w:sz w:val="24"/>
          <w:szCs w:val="24"/>
          <w:highlight w:val="none"/>
          <w:lang w:eastAsia="zh-CN"/>
        </w:rPr>
        <w:t>检查日期：</w:t>
      </w:r>
      <w:r>
        <w:rPr>
          <w:rFonts w:hint="eastAsia"/>
          <w:color w:val="auto"/>
          <w:sz w:val="24"/>
          <w:szCs w:val="24"/>
          <w:highlight w:val="none"/>
          <w:lang w:val="en-US" w:eastAsia="zh-CN"/>
        </w:rPr>
        <w:t xml:space="preserve">         </w:t>
      </w:r>
      <w:r>
        <w:rPr>
          <w:rFonts w:hint="eastAsia"/>
          <w:color w:val="auto"/>
          <w:sz w:val="28"/>
          <w:szCs w:val="28"/>
          <w:highlight w:val="none"/>
        </w:rPr>
        <w:t xml:space="preserve">            </w:t>
      </w:r>
    </w:p>
    <w:p w14:paraId="5408F9FC">
      <w:pPr>
        <w:widowControl/>
        <w:adjustRightInd/>
        <w:snapToGrid/>
        <w:spacing w:line="240" w:lineRule="auto"/>
        <w:ind w:firstLine="0" w:firstLineChars="0"/>
        <w:rPr>
          <w:rFonts w:hint="eastAsia"/>
          <w:color w:val="auto"/>
          <w:sz w:val="28"/>
          <w:szCs w:val="28"/>
          <w:highlight w:val="none"/>
        </w:rPr>
      </w:pPr>
      <w:r>
        <w:rPr>
          <w:rFonts w:hint="eastAsia"/>
          <w:color w:val="auto"/>
          <w:sz w:val="28"/>
          <w:szCs w:val="28"/>
          <w:highlight w:val="none"/>
        </w:rPr>
        <w:br w:type="page"/>
      </w:r>
    </w:p>
    <w:p w14:paraId="265656E3">
      <w:pPr>
        <w:jc w:val="center"/>
        <w:rPr>
          <w:rFonts w:hint="eastAsia"/>
          <w:b/>
          <w:color w:val="auto"/>
          <w:sz w:val="44"/>
          <w:szCs w:val="44"/>
          <w:highlight w:val="none"/>
        </w:rPr>
      </w:pPr>
      <w:r>
        <w:rPr>
          <w:rFonts w:hint="eastAsia"/>
          <w:b/>
          <w:color w:val="auto"/>
          <w:sz w:val="36"/>
          <w:szCs w:val="36"/>
          <w:highlight w:val="none"/>
        </w:rPr>
        <w:t>物业管理中心保洁第</w:t>
      </w:r>
      <w:r>
        <w:rPr>
          <w:rFonts w:hint="eastAsia"/>
          <w:b/>
          <w:color w:val="auto"/>
          <w:sz w:val="36"/>
          <w:szCs w:val="36"/>
          <w:highlight w:val="none"/>
          <w:u w:val="single"/>
        </w:rPr>
        <w:t xml:space="preserve"> </w:t>
      </w:r>
      <w:r>
        <w:rPr>
          <w:rFonts w:hint="eastAsia"/>
          <w:b/>
          <w:color w:val="auto"/>
          <w:sz w:val="36"/>
          <w:szCs w:val="36"/>
          <w:highlight w:val="none"/>
          <w:u w:val="single"/>
          <w:lang w:val="en-US" w:eastAsia="zh-CN"/>
        </w:rPr>
        <w:t xml:space="preserve">  </w:t>
      </w:r>
      <w:r>
        <w:rPr>
          <w:b/>
          <w:color w:val="auto"/>
          <w:sz w:val="36"/>
          <w:szCs w:val="36"/>
          <w:highlight w:val="none"/>
          <w:u w:val="single"/>
        </w:rPr>
        <w:t xml:space="preserve"> </w:t>
      </w:r>
      <w:r>
        <w:rPr>
          <w:rFonts w:hint="eastAsia"/>
          <w:b/>
          <w:color w:val="auto"/>
          <w:sz w:val="36"/>
          <w:szCs w:val="36"/>
          <w:highlight w:val="none"/>
          <w:lang w:val="en-US" w:eastAsia="zh-CN"/>
        </w:rPr>
        <w:t>季</w:t>
      </w:r>
      <w:r>
        <w:rPr>
          <w:rFonts w:hint="eastAsia"/>
          <w:b/>
          <w:color w:val="auto"/>
          <w:sz w:val="36"/>
          <w:szCs w:val="36"/>
          <w:highlight w:val="none"/>
        </w:rPr>
        <w:t>度考核表</w:t>
      </w:r>
    </w:p>
    <w:p w14:paraId="2EB89346">
      <w:pPr>
        <w:spacing w:line="360" w:lineRule="exact"/>
        <w:jc w:val="left"/>
        <w:rPr>
          <w:rFonts w:hint="eastAsia"/>
          <w:color w:val="auto"/>
          <w:sz w:val="44"/>
          <w:szCs w:val="44"/>
          <w:highlight w:val="none"/>
        </w:rPr>
      </w:pPr>
      <w:r>
        <w:rPr>
          <w:rFonts w:hint="eastAsia"/>
          <w:color w:val="auto"/>
          <w:sz w:val="28"/>
          <w:szCs w:val="28"/>
          <w:highlight w:val="none"/>
          <w:lang w:val="en-US" w:eastAsia="zh-CN"/>
        </w:rPr>
        <w:t>外场</w:t>
      </w:r>
      <w:r>
        <w:rPr>
          <w:rFonts w:hint="eastAsia"/>
          <w:color w:val="auto"/>
          <w:sz w:val="28"/>
          <w:szCs w:val="28"/>
          <w:highlight w:val="none"/>
          <w:lang w:eastAsia="zh-CN"/>
        </w:rPr>
        <w:t>：</w:t>
      </w:r>
      <w:r>
        <w:rPr>
          <w:rFonts w:hint="eastAsia"/>
          <w:color w:val="auto"/>
          <w:sz w:val="28"/>
          <w:szCs w:val="28"/>
          <w:highlight w:val="none"/>
        </w:rPr>
        <w:t xml:space="preserve">                                        </w:t>
      </w:r>
    </w:p>
    <w:tbl>
      <w:tblPr>
        <w:tblStyle w:val="3"/>
        <w:tblpPr w:leftFromText="180" w:rightFromText="180" w:vertAnchor="text" w:horzAnchor="page" w:tblpX="417" w:tblpY="393"/>
        <w:tblOverlap w:val="never"/>
        <w:tblW w:w="11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528"/>
        <w:gridCol w:w="5340"/>
        <w:gridCol w:w="1059"/>
        <w:gridCol w:w="1985"/>
        <w:gridCol w:w="1843"/>
      </w:tblGrid>
      <w:tr w14:paraId="17A06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6420" w:type="dxa"/>
            <w:gridSpan w:val="3"/>
            <w:noWrap w:val="0"/>
            <w:vAlign w:val="center"/>
          </w:tcPr>
          <w:p w14:paraId="2D0F5359">
            <w:pPr>
              <w:spacing w:line="360" w:lineRule="exact"/>
              <w:jc w:val="center"/>
              <w:rPr>
                <w:rFonts w:hint="eastAsia"/>
                <w:color w:val="auto"/>
                <w:sz w:val="28"/>
                <w:szCs w:val="28"/>
                <w:highlight w:val="none"/>
              </w:rPr>
            </w:pPr>
          </w:p>
          <w:p w14:paraId="0739209D">
            <w:pPr>
              <w:spacing w:line="360" w:lineRule="exact"/>
              <w:jc w:val="center"/>
              <w:rPr>
                <w:rFonts w:hint="eastAsia"/>
                <w:color w:val="auto"/>
                <w:sz w:val="28"/>
                <w:szCs w:val="28"/>
                <w:highlight w:val="none"/>
              </w:rPr>
            </w:pPr>
          </w:p>
          <w:p w14:paraId="6AC64538">
            <w:pPr>
              <w:spacing w:line="360" w:lineRule="exact"/>
              <w:jc w:val="center"/>
              <w:rPr>
                <w:rFonts w:hint="eastAsia"/>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检查情况</w:t>
            </w:r>
          </w:p>
          <w:p w14:paraId="708AEDAF">
            <w:pPr>
              <w:spacing w:line="360" w:lineRule="exact"/>
              <w:rPr>
                <w:color w:val="auto"/>
                <w:sz w:val="28"/>
                <w:szCs w:val="28"/>
                <w:highlight w:val="none"/>
              </w:rPr>
            </w:pPr>
          </w:p>
        </w:tc>
        <w:tc>
          <w:tcPr>
            <w:tcW w:w="1059" w:type="dxa"/>
            <w:vMerge w:val="restart"/>
            <w:noWrap w:val="0"/>
            <w:vAlign w:val="center"/>
          </w:tcPr>
          <w:p w14:paraId="46121948">
            <w:pPr>
              <w:spacing w:line="360" w:lineRule="exact"/>
              <w:jc w:val="left"/>
              <w:rPr>
                <w:rFonts w:hint="eastAsia"/>
                <w:color w:val="auto"/>
                <w:sz w:val="28"/>
                <w:szCs w:val="28"/>
                <w:highlight w:val="none"/>
              </w:rPr>
            </w:pPr>
            <w:r>
              <w:rPr>
                <w:rFonts w:hint="eastAsia" w:ascii="宋体" w:hAnsi="宋体" w:cs="宋体"/>
                <w:color w:val="auto"/>
                <w:kern w:val="0"/>
                <w:szCs w:val="21"/>
                <w:highlight w:val="none"/>
                <w:lang w:bidi="ar"/>
              </w:rPr>
              <w:t>单项分</w:t>
            </w:r>
          </w:p>
        </w:tc>
        <w:tc>
          <w:tcPr>
            <w:tcW w:w="1985" w:type="dxa"/>
            <w:vMerge w:val="restart"/>
            <w:noWrap w:val="0"/>
            <w:vAlign w:val="center"/>
          </w:tcPr>
          <w:p w14:paraId="74FB16E0">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考核均分</w:t>
            </w:r>
          </w:p>
        </w:tc>
        <w:tc>
          <w:tcPr>
            <w:tcW w:w="1843" w:type="dxa"/>
            <w:vMerge w:val="restart"/>
            <w:noWrap w:val="0"/>
            <w:vAlign w:val="center"/>
          </w:tcPr>
          <w:p w14:paraId="770519A3">
            <w:pPr>
              <w:spacing w:line="360" w:lineRule="exact"/>
              <w:jc w:val="center"/>
              <w:rPr>
                <w:rFonts w:hint="eastAsia"/>
                <w:color w:val="auto"/>
                <w:sz w:val="28"/>
                <w:szCs w:val="28"/>
                <w:highlight w:val="none"/>
              </w:rPr>
            </w:pPr>
            <w:r>
              <w:rPr>
                <w:rFonts w:hint="eastAsia" w:ascii="宋体" w:hAnsi="宋体" w:cs="宋体"/>
                <w:color w:val="auto"/>
                <w:kern w:val="0"/>
                <w:szCs w:val="21"/>
                <w:highlight w:val="none"/>
                <w:lang w:bidi="ar"/>
              </w:rPr>
              <w:t>备注</w:t>
            </w:r>
          </w:p>
        </w:tc>
      </w:tr>
      <w:tr w14:paraId="3E8A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5" w:hRule="atLeast"/>
        </w:trPr>
        <w:tc>
          <w:tcPr>
            <w:tcW w:w="6420" w:type="dxa"/>
            <w:gridSpan w:val="3"/>
            <w:noWrap w:val="0"/>
            <w:vAlign w:val="center"/>
          </w:tcPr>
          <w:p w14:paraId="7CE8415C">
            <w:pPr>
              <w:spacing w:line="360" w:lineRule="exact"/>
              <w:jc w:val="center"/>
              <w:rPr>
                <w:rFonts w:hint="eastAsia"/>
                <w:color w:val="auto"/>
                <w:sz w:val="28"/>
                <w:szCs w:val="28"/>
                <w:highlight w:val="none"/>
              </w:rPr>
            </w:pPr>
            <w:r>
              <w:rPr>
                <w:rFonts w:hint="eastAsia"/>
                <w:color w:val="auto"/>
                <w:sz w:val="28"/>
                <w:szCs w:val="28"/>
                <w:highlight w:val="none"/>
              </w:rPr>
              <w:t>项目要求</w:t>
            </w:r>
          </w:p>
        </w:tc>
        <w:tc>
          <w:tcPr>
            <w:tcW w:w="1059" w:type="dxa"/>
            <w:vMerge w:val="continue"/>
            <w:noWrap w:val="0"/>
            <w:vAlign w:val="top"/>
          </w:tcPr>
          <w:p w14:paraId="20D13B6E">
            <w:pPr>
              <w:spacing w:line="360" w:lineRule="exact"/>
              <w:jc w:val="left"/>
              <w:rPr>
                <w:rFonts w:hint="eastAsia"/>
                <w:color w:val="auto"/>
                <w:sz w:val="28"/>
                <w:szCs w:val="28"/>
                <w:highlight w:val="none"/>
              </w:rPr>
            </w:pPr>
          </w:p>
        </w:tc>
        <w:tc>
          <w:tcPr>
            <w:tcW w:w="1985" w:type="dxa"/>
            <w:vMerge w:val="continue"/>
            <w:noWrap w:val="0"/>
            <w:vAlign w:val="top"/>
          </w:tcPr>
          <w:p w14:paraId="01A938AD">
            <w:pPr>
              <w:widowControl/>
              <w:jc w:val="center"/>
              <w:textAlignment w:val="center"/>
              <w:rPr>
                <w:rFonts w:ascii="宋体" w:hAnsi="宋体" w:cs="宋体"/>
                <w:color w:val="auto"/>
                <w:kern w:val="0"/>
                <w:szCs w:val="21"/>
                <w:highlight w:val="none"/>
                <w:lang w:bidi="ar"/>
              </w:rPr>
            </w:pPr>
          </w:p>
        </w:tc>
        <w:tc>
          <w:tcPr>
            <w:tcW w:w="1843" w:type="dxa"/>
            <w:vMerge w:val="continue"/>
            <w:noWrap w:val="0"/>
            <w:vAlign w:val="top"/>
          </w:tcPr>
          <w:p w14:paraId="498A39D2">
            <w:pPr>
              <w:spacing w:line="360" w:lineRule="exact"/>
              <w:jc w:val="center"/>
              <w:rPr>
                <w:rFonts w:hint="eastAsia"/>
                <w:color w:val="auto"/>
                <w:sz w:val="28"/>
                <w:szCs w:val="28"/>
                <w:highlight w:val="none"/>
              </w:rPr>
            </w:pPr>
          </w:p>
        </w:tc>
      </w:tr>
      <w:tr w14:paraId="1314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1080" w:type="dxa"/>
            <w:gridSpan w:val="2"/>
            <w:vMerge w:val="restart"/>
            <w:noWrap w:val="0"/>
            <w:vAlign w:val="center"/>
          </w:tcPr>
          <w:p w14:paraId="0EF0C3DC">
            <w:pPr>
              <w:spacing w:line="360" w:lineRule="exact"/>
              <w:jc w:val="both"/>
              <w:rPr>
                <w:rFonts w:hint="eastAsia"/>
                <w:color w:val="auto"/>
                <w:sz w:val="28"/>
                <w:szCs w:val="28"/>
                <w:highlight w:val="none"/>
              </w:rPr>
            </w:pPr>
            <w:r>
              <w:rPr>
                <w:rFonts w:hint="eastAsia"/>
                <w:color w:val="auto"/>
                <w:sz w:val="28"/>
                <w:szCs w:val="28"/>
                <w:highlight w:val="none"/>
              </w:rPr>
              <w:t>管</w:t>
            </w:r>
          </w:p>
          <w:p w14:paraId="271C25BC">
            <w:pPr>
              <w:spacing w:line="360" w:lineRule="exact"/>
              <w:jc w:val="both"/>
              <w:rPr>
                <w:rFonts w:hint="eastAsia"/>
                <w:color w:val="auto"/>
                <w:sz w:val="28"/>
                <w:szCs w:val="28"/>
                <w:highlight w:val="none"/>
              </w:rPr>
            </w:pPr>
            <w:r>
              <w:rPr>
                <w:rFonts w:hint="eastAsia"/>
                <w:color w:val="auto"/>
                <w:sz w:val="28"/>
                <w:szCs w:val="28"/>
                <w:highlight w:val="none"/>
              </w:rPr>
              <w:t>理</w:t>
            </w:r>
          </w:p>
          <w:p w14:paraId="17935744">
            <w:pPr>
              <w:spacing w:line="360" w:lineRule="exact"/>
              <w:jc w:val="both"/>
              <w:rPr>
                <w:rFonts w:hint="eastAsia"/>
                <w:color w:val="auto"/>
                <w:sz w:val="28"/>
                <w:szCs w:val="28"/>
                <w:highlight w:val="none"/>
              </w:rPr>
            </w:pPr>
            <w:r>
              <w:rPr>
                <w:rFonts w:hint="eastAsia"/>
                <w:color w:val="auto"/>
                <w:sz w:val="28"/>
                <w:szCs w:val="28"/>
                <w:highlight w:val="none"/>
              </w:rPr>
              <w:t>制</w:t>
            </w:r>
          </w:p>
          <w:p w14:paraId="31D8D5D5">
            <w:pPr>
              <w:spacing w:line="360" w:lineRule="exact"/>
              <w:jc w:val="both"/>
              <w:rPr>
                <w:rFonts w:hint="eastAsia"/>
                <w:color w:val="auto"/>
                <w:sz w:val="28"/>
                <w:szCs w:val="28"/>
                <w:highlight w:val="none"/>
              </w:rPr>
            </w:pPr>
            <w:r>
              <w:rPr>
                <w:rFonts w:hint="eastAsia"/>
                <w:color w:val="auto"/>
                <w:sz w:val="28"/>
                <w:szCs w:val="28"/>
                <w:highlight w:val="none"/>
              </w:rPr>
              <w:t>度</w:t>
            </w:r>
          </w:p>
        </w:tc>
        <w:tc>
          <w:tcPr>
            <w:tcW w:w="5340" w:type="dxa"/>
            <w:noWrap w:val="0"/>
            <w:vAlign w:val="center"/>
          </w:tcPr>
          <w:p w14:paraId="59626AB5">
            <w:pPr>
              <w:spacing w:line="300" w:lineRule="exact"/>
              <w:jc w:val="both"/>
              <w:rPr>
                <w:color w:val="auto"/>
                <w:sz w:val="24"/>
                <w:highlight w:val="none"/>
              </w:rPr>
            </w:pPr>
            <w:r>
              <w:rPr>
                <w:rFonts w:hint="eastAsia"/>
                <w:color w:val="auto"/>
                <w:sz w:val="24"/>
                <w:highlight w:val="none"/>
              </w:rPr>
              <w:t>培训：定期开展保洁培训</w:t>
            </w:r>
          </w:p>
        </w:tc>
        <w:tc>
          <w:tcPr>
            <w:tcW w:w="1059" w:type="dxa"/>
            <w:noWrap w:val="0"/>
            <w:vAlign w:val="center"/>
          </w:tcPr>
          <w:p w14:paraId="67A2F983">
            <w:pPr>
              <w:spacing w:line="300" w:lineRule="exact"/>
              <w:jc w:val="both"/>
              <w:rPr>
                <w:rFonts w:hint="eastAsia"/>
                <w:color w:val="auto"/>
                <w:sz w:val="24"/>
                <w:highlight w:val="none"/>
              </w:rPr>
            </w:pPr>
            <w:r>
              <w:rPr>
                <w:color w:val="auto"/>
                <w:sz w:val="24"/>
                <w:highlight w:val="none"/>
              </w:rPr>
              <w:t>5</w:t>
            </w:r>
          </w:p>
        </w:tc>
        <w:tc>
          <w:tcPr>
            <w:tcW w:w="1985" w:type="dxa"/>
            <w:noWrap w:val="0"/>
            <w:vAlign w:val="center"/>
          </w:tcPr>
          <w:p w14:paraId="1B16D879">
            <w:pPr>
              <w:widowControl/>
              <w:jc w:val="both"/>
              <w:textAlignment w:val="center"/>
              <w:rPr>
                <w:rFonts w:hint="eastAsia" w:ascii="宋体" w:hAnsi="宋体" w:cs="宋体"/>
                <w:b/>
                <w:bCs/>
                <w:color w:val="auto"/>
                <w:kern w:val="0"/>
                <w:sz w:val="18"/>
                <w:szCs w:val="18"/>
                <w:highlight w:val="none"/>
                <w:lang w:bidi="ar"/>
              </w:rPr>
            </w:pPr>
          </w:p>
        </w:tc>
        <w:tc>
          <w:tcPr>
            <w:tcW w:w="1843" w:type="dxa"/>
            <w:noWrap w:val="0"/>
            <w:vAlign w:val="center"/>
          </w:tcPr>
          <w:p w14:paraId="4F24F517">
            <w:pPr>
              <w:spacing w:line="360" w:lineRule="exact"/>
              <w:jc w:val="both"/>
              <w:rPr>
                <w:rFonts w:hint="eastAsia"/>
                <w:color w:val="auto"/>
                <w:sz w:val="28"/>
                <w:szCs w:val="28"/>
                <w:highlight w:val="none"/>
              </w:rPr>
            </w:pPr>
          </w:p>
        </w:tc>
      </w:tr>
      <w:tr w14:paraId="2650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1080" w:type="dxa"/>
            <w:gridSpan w:val="2"/>
            <w:vMerge w:val="continue"/>
            <w:noWrap w:val="0"/>
            <w:vAlign w:val="center"/>
          </w:tcPr>
          <w:p w14:paraId="66BA9968">
            <w:pPr>
              <w:spacing w:line="360" w:lineRule="exact"/>
              <w:jc w:val="both"/>
              <w:rPr>
                <w:rFonts w:hint="eastAsia"/>
                <w:color w:val="auto"/>
                <w:sz w:val="28"/>
                <w:szCs w:val="28"/>
                <w:highlight w:val="none"/>
              </w:rPr>
            </w:pPr>
          </w:p>
        </w:tc>
        <w:tc>
          <w:tcPr>
            <w:tcW w:w="5340" w:type="dxa"/>
            <w:noWrap w:val="0"/>
            <w:vAlign w:val="center"/>
          </w:tcPr>
          <w:p w14:paraId="610E763A">
            <w:pPr>
              <w:spacing w:line="300" w:lineRule="exact"/>
              <w:jc w:val="both"/>
              <w:rPr>
                <w:color w:val="auto"/>
                <w:sz w:val="24"/>
                <w:highlight w:val="none"/>
              </w:rPr>
            </w:pPr>
            <w:r>
              <w:rPr>
                <w:rFonts w:hint="eastAsia"/>
                <w:color w:val="auto"/>
                <w:sz w:val="24"/>
                <w:highlight w:val="none"/>
              </w:rPr>
              <w:t>工作流程：按照保洁标准SOP规范操作</w:t>
            </w:r>
          </w:p>
        </w:tc>
        <w:tc>
          <w:tcPr>
            <w:tcW w:w="1059" w:type="dxa"/>
            <w:noWrap w:val="0"/>
            <w:vAlign w:val="center"/>
          </w:tcPr>
          <w:p w14:paraId="5198C8A1">
            <w:pPr>
              <w:spacing w:line="300" w:lineRule="exact"/>
              <w:jc w:val="both"/>
              <w:rPr>
                <w:rFonts w:hint="eastAsia"/>
                <w:color w:val="auto"/>
                <w:sz w:val="24"/>
                <w:highlight w:val="none"/>
              </w:rPr>
            </w:pPr>
            <w:r>
              <w:rPr>
                <w:color w:val="auto"/>
                <w:sz w:val="24"/>
                <w:highlight w:val="none"/>
              </w:rPr>
              <w:t>5</w:t>
            </w:r>
          </w:p>
        </w:tc>
        <w:tc>
          <w:tcPr>
            <w:tcW w:w="1985" w:type="dxa"/>
            <w:noWrap w:val="0"/>
            <w:vAlign w:val="center"/>
          </w:tcPr>
          <w:p w14:paraId="199227BD">
            <w:pPr>
              <w:widowControl/>
              <w:jc w:val="both"/>
              <w:textAlignment w:val="center"/>
              <w:rPr>
                <w:rFonts w:hint="eastAsia" w:ascii="宋体" w:hAnsi="宋体" w:cs="宋体"/>
                <w:b/>
                <w:bCs/>
                <w:color w:val="auto"/>
                <w:kern w:val="0"/>
                <w:sz w:val="18"/>
                <w:szCs w:val="18"/>
                <w:highlight w:val="none"/>
                <w:lang w:bidi="ar"/>
              </w:rPr>
            </w:pPr>
          </w:p>
        </w:tc>
        <w:tc>
          <w:tcPr>
            <w:tcW w:w="1843" w:type="dxa"/>
            <w:noWrap w:val="0"/>
            <w:vAlign w:val="center"/>
          </w:tcPr>
          <w:p w14:paraId="1CE7E454">
            <w:pPr>
              <w:spacing w:line="360" w:lineRule="exact"/>
              <w:jc w:val="both"/>
              <w:rPr>
                <w:rFonts w:hint="eastAsia"/>
                <w:color w:val="auto"/>
                <w:sz w:val="28"/>
                <w:szCs w:val="28"/>
                <w:highlight w:val="none"/>
              </w:rPr>
            </w:pPr>
          </w:p>
        </w:tc>
      </w:tr>
      <w:tr w14:paraId="1F85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1080" w:type="dxa"/>
            <w:gridSpan w:val="2"/>
            <w:vMerge w:val="continue"/>
            <w:noWrap w:val="0"/>
            <w:vAlign w:val="center"/>
          </w:tcPr>
          <w:p w14:paraId="47B040C6">
            <w:pPr>
              <w:spacing w:line="360" w:lineRule="exact"/>
              <w:jc w:val="both"/>
              <w:rPr>
                <w:rFonts w:hint="eastAsia"/>
                <w:color w:val="auto"/>
                <w:sz w:val="28"/>
                <w:szCs w:val="28"/>
                <w:highlight w:val="none"/>
              </w:rPr>
            </w:pPr>
          </w:p>
        </w:tc>
        <w:tc>
          <w:tcPr>
            <w:tcW w:w="5340" w:type="dxa"/>
            <w:noWrap w:val="0"/>
            <w:vAlign w:val="center"/>
          </w:tcPr>
          <w:p w14:paraId="563BF8ED">
            <w:pPr>
              <w:spacing w:line="300" w:lineRule="exact"/>
              <w:jc w:val="both"/>
              <w:rPr>
                <w:color w:val="auto"/>
                <w:sz w:val="24"/>
                <w:highlight w:val="none"/>
              </w:rPr>
            </w:pPr>
            <w:r>
              <w:rPr>
                <w:rFonts w:hint="eastAsia"/>
                <w:color w:val="auto"/>
                <w:sz w:val="24"/>
                <w:highlight w:val="none"/>
              </w:rPr>
              <w:t>工具及试剂：保洁工具规范化落实到位、保洁试剂存放及使用规范</w:t>
            </w:r>
          </w:p>
        </w:tc>
        <w:tc>
          <w:tcPr>
            <w:tcW w:w="1059" w:type="dxa"/>
            <w:noWrap w:val="0"/>
            <w:vAlign w:val="center"/>
          </w:tcPr>
          <w:p w14:paraId="5B007515">
            <w:pPr>
              <w:spacing w:line="300" w:lineRule="exact"/>
              <w:jc w:val="both"/>
              <w:rPr>
                <w:rFonts w:hint="eastAsia"/>
                <w:color w:val="auto"/>
                <w:sz w:val="24"/>
                <w:highlight w:val="none"/>
              </w:rPr>
            </w:pPr>
            <w:r>
              <w:rPr>
                <w:color w:val="auto"/>
                <w:sz w:val="24"/>
                <w:highlight w:val="none"/>
              </w:rPr>
              <w:t>5</w:t>
            </w:r>
          </w:p>
        </w:tc>
        <w:tc>
          <w:tcPr>
            <w:tcW w:w="1985" w:type="dxa"/>
            <w:noWrap w:val="0"/>
            <w:vAlign w:val="center"/>
          </w:tcPr>
          <w:p w14:paraId="29EA047D">
            <w:pPr>
              <w:widowControl/>
              <w:jc w:val="both"/>
              <w:textAlignment w:val="center"/>
              <w:rPr>
                <w:rFonts w:hint="eastAsia" w:ascii="宋体" w:hAnsi="宋体" w:cs="宋体"/>
                <w:b/>
                <w:bCs/>
                <w:color w:val="auto"/>
                <w:kern w:val="0"/>
                <w:sz w:val="18"/>
                <w:szCs w:val="18"/>
                <w:highlight w:val="none"/>
                <w:lang w:bidi="ar"/>
              </w:rPr>
            </w:pPr>
          </w:p>
        </w:tc>
        <w:tc>
          <w:tcPr>
            <w:tcW w:w="1843" w:type="dxa"/>
            <w:noWrap w:val="0"/>
            <w:vAlign w:val="center"/>
          </w:tcPr>
          <w:p w14:paraId="5265B015">
            <w:pPr>
              <w:spacing w:line="360" w:lineRule="exact"/>
              <w:jc w:val="both"/>
              <w:rPr>
                <w:rFonts w:hint="eastAsia"/>
                <w:color w:val="auto"/>
                <w:sz w:val="28"/>
                <w:szCs w:val="28"/>
                <w:highlight w:val="none"/>
              </w:rPr>
            </w:pPr>
          </w:p>
        </w:tc>
      </w:tr>
      <w:tr w14:paraId="0254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1080" w:type="dxa"/>
            <w:gridSpan w:val="2"/>
            <w:vMerge w:val="continue"/>
            <w:noWrap w:val="0"/>
            <w:vAlign w:val="center"/>
          </w:tcPr>
          <w:p w14:paraId="20D2180C">
            <w:pPr>
              <w:spacing w:line="360" w:lineRule="exact"/>
              <w:jc w:val="both"/>
              <w:rPr>
                <w:rFonts w:hint="eastAsia"/>
                <w:color w:val="auto"/>
                <w:sz w:val="28"/>
                <w:szCs w:val="28"/>
                <w:highlight w:val="none"/>
              </w:rPr>
            </w:pPr>
          </w:p>
        </w:tc>
        <w:tc>
          <w:tcPr>
            <w:tcW w:w="5340" w:type="dxa"/>
            <w:noWrap w:val="0"/>
            <w:vAlign w:val="center"/>
          </w:tcPr>
          <w:p w14:paraId="1FD133DC">
            <w:pPr>
              <w:spacing w:line="300" w:lineRule="exact"/>
              <w:jc w:val="both"/>
              <w:rPr>
                <w:color w:val="auto"/>
                <w:sz w:val="24"/>
                <w:highlight w:val="none"/>
              </w:rPr>
            </w:pPr>
            <w:r>
              <w:rPr>
                <w:rFonts w:hint="eastAsia"/>
                <w:color w:val="auto"/>
                <w:sz w:val="24"/>
                <w:highlight w:val="none"/>
              </w:rPr>
              <w:t>沟通响应度：针对日常检查问题的整改落实到位</w:t>
            </w:r>
          </w:p>
        </w:tc>
        <w:tc>
          <w:tcPr>
            <w:tcW w:w="1059" w:type="dxa"/>
            <w:noWrap w:val="0"/>
            <w:vAlign w:val="center"/>
          </w:tcPr>
          <w:p w14:paraId="6474A592">
            <w:pPr>
              <w:spacing w:line="300" w:lineRule="exact"/>
              <w:jc w:val="both"/>
              <w:rPr>
                <w:rFonts w:hint="eastAsia"/>
                <w:color w:val="auto"/>
                <w:sz w:val="24"/>
                <w:highlight w:val="none"/>
              </w:rPr>
            </w:pPr>
            <w:r>
              <w:rPr>
                <w:color w:val="auto"/>
                <w:sz w:val="24"/>
                <w:highlight w:val="none"/>
              </w:rPr>
              <w:t>5</w:t>
            </w:r>
          </w:p>
        </w:tc>
        <w:tc>
          <w:tcPr>
            <w:tcW w:w="1985" w:type="dxa"/>
            <w:noWrap w:val="0"/>
            <w:vAlign w:val="center"/>
          </w:tcPr>
          <w:p w14:paraId="3B32EC31">
            <w:pPr>
              <w:widowControl/>
              <w:jc w:val="both"/>
              <w:textAlignment w:val="center"/>
              <w:rPr>
                <w:rFonts w:hint="eastAsia" w:ascii="宋体" w:hAnsi="宋体" w:cs="宋体"/>
                <w:b/>
                <w:bCs/>
                <w:color w:val="auto"/>
                <w:kern w:val="0"/>
                <w:sz w:val="18"/>
                <w:szCs w:val="18"/>
                <w:highlight w:val="none"/>
                <w:lang w:bidi="ar"/>
              </w:rPr>
            </w:pPr>
          </w:p>
        </w:tc>
        <w:tc>
          <w:tcPr>
            <w:tcW w:w="1843" w:type="dxa"/>
            <w:noWrap w:val="0"/>
            <w:vAlign w:val="center"/>
          </w:tcPr>
          <w:p w14:paraId="20D8F78E">
            <w:pPr>
              <w:spacing w:line="360" w:lineRule="exact"/>
              <w:jc w:val="both"/>
              <w:rPr>
                <w:rFonts w:hint="eastAsia"/>
                <w:color w:val="auto"/>
                <w:sz w:val="28"/>
                <w:szCs w:val="28"/>
                <w:highlight w:val="none"/>
              </w:rPr>
            </w:pPr>
          </w:p>
        </w:tc>
      </w:tr>
      <w:tr w14:paraId="0F9C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1080" w:type="dxa"/>
            <w:gridSpan w:val="2"/>
            <w:vMerge w:val="continue"/>
            <w:noWrap w:val="0"/>
            <w:vAlign w:val="center"/>
          </w:tcPr>
          <w:p w14:paraId="509FE240">
            <w:pPr>
              <w:spacing w:line="360" w:lineRule="exact"/>
              <w:jc w:val="both"/>
              <w:rPr>
                <w:rFonts w:hint="eastAsia"/>
                <w:color w:val="auto"/>
                <w:sz w:val="28"/>
                <w:szCs w:val="28"/>
                <w:highlight w:val="none"/>
              </w:rPr>
            </w:pPr>
          </w:p>
        </w:tc>
        <w:tc>
          <w:tcPr>
            <w:tcW w:w="5340" w:type="dxa"/>
            <w:noWrap w:val="0"/>
            <w:vAlign w:val="center"/>
          </w:tcPr>
          <w:p w14:paraId="1959FFD1">
            <w:pPr>
              <w:spacing w:line="300" w:lineRule="exact"/>
              <w:jc w:val="both"/>
              <w:rPr>
                <w:rFonts w:hint="eastAsia"/>
                <w:color w:val="auto"/>
                <w:sz w:val="24"/>
                <w:highlight w:val="none"/>
              </w:rPr>
            </w:pPr>
            <w:r>
              <w:rPr>
                <w:rFonts w:hint="eastAsia"/>
                <w:bCs/>
                <w:color w:val="auto"/>
                <w:sz w:val="24"/>
                <w:highlight w:val="none"/>
              </w:rPr>
              <w:t>人员到岗率：人员按照定位定岗定人要求到岗</w:t>
            </w:r>
          </w:p>
        </w:tc>
        <w:tc>
          <w:tcPr>
            <w:tcW w:w="1059" w:type="dxa"/>
            <w:noWrap w:val="0"/>
            <w:vAlign w:val="center"/>
          </w:tcPr>
          <w:p w14:paraId="0FCEFCF2">
            <w:pPr>
              <w:spacing w:line="300" w:lineRule="exact"/>
              <w:jc w:val="both"/>
              <w:rPr>
                <w:rFonts w:hint="eastAsia"/>
                <w:color w:val="auto"/>
                <w:sz w:val="24"/>
                <w:highlight w:val="none"/>
              </w:rPr>
            </w:pPr>
            <w:r>
              <w:rPr>
                <w:rFonts w:hint="eastAsia"/>
                <w:color w:val="auto"/>
                <w:sz w:val="24"/>
                <w:highlight w:val="none"/>
              </w:rPr>
              <w:t>5</w:t>
            </w:r>
          </w:p>
        </w:tc>
        <w:tc>
          <w:tcPr>
            <w:tcW w:w="1985" w:type="dxa"/>
            <w:noWrap w:val="0"/>
            <w:vAlign w:val="center"/>
          </w:tcPr>
          <w:p w14:paraId="79530DF9">
            <w:pPr>
              <w:widowControl/>
              <w:jc w:val="both"/>
              <w:textAlignment w:val="center"/>
              <w:rPr>
                <w:rFonts w:hint="eastAsia" w:ascii="宋体" w:hAnsi="宋体" w:cs="宋体"/>
                <w:b/>
                <w:bCs/>
                <w:color w:val="auto"/>
                <w:kern w:val="0"/>
                <w:sz w:val="18"/>
                <w:szCs w:val="18"/>
                <w:highlight w:val="none"/>
                <w:lang w:bidi="ar"/>
              </w:rPr>
            </w:pPr>
          </w:p>
        </w:tc>
        <w:tc>
          <w:tcPr>
            <w:tcW w:w="1843" w:type="dxa"/>
            <w:noWrap w:val="0"/>
            <w:vAlign w:val="center"/>
          </w:tcPr>
          <w:p w14:paraId="1E8A9618">
            <w:pPr>
              <w:spacing w:line="360" w:lineRule="exact"/>
              <w:jc w:val="both"/>
              <w:rPr>
                <w:rFonts w:hint="eastAsia"/>
                <w:color w:val="auto"/>
                <w:sz w:val="28"/>
                <w:szCs w:val="28"/>
                <w:highlight w:val="none"/>
              </w:rPr>
            </w:pPr>
          </w:p>
        </w:tc>
      </w:tr>
      <w:tr w14:paraId="3FF1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1080" w:type="dxa"/>
            <w:gridSpan w:val="2"/>
            <w:vMerge w:val="continue"/>
            <w:noWrap w:val="0"/>
            <w:vAlign w:val="center"/>
          </w:tcPr>
          <w:p w14:paraId="669C22B3">
            <w:pPr>
              <w:spacing w:line="360" w:lineRule="exact"/>
              <w:jc w:val="both"/>
              <w:rPr>
                <w:rFonts w:hint="eastAsia"/>
                <w:color w:val="auto"/>
                <w:sz w:val="28"/>
                <w:szCs w:val="28"/>
                <w:highlight w:val="none"/>
              </w:rPr>
            </w:pPr>
          </w:p>
        </w:tc>
        <w:tc>
          <w:tcPr>
            <w:tcW w:w="5340" w:type="dxa"/>
            <w:noWrap w:val="0"/>
            <w:vAlign w:val="center"/>
          </w:tcPr>
          <w:p w14:paraId="08E4A0AC">
            <w:pPr>
              <w:spacing w:line="300" w:lineRule="exact"/>
              <w:jc w:val="both"/>
              <w:rPr>
                <w:rFonts w:hint="eastAsia"/>
                <w:bCs/>
                <w:color w:val="auto"/>
                <w:sz w:val="24"/>
                <w:highlight w:val="none"/>
              </w:rPr>
            </w:pPr>
            <w:r>
              <w:rPr>
                <w:rFonts w:hint="eastAsia"/>
                <w:color w:val="auto"/>
                <w:sz w:val="24"/>
                <w:highlight w:val="none"/>
              </w:rPr>
              <w:t>着装：人员工作服统一</w:t>
            </w:r>
          </w:p>
        </w:tc>
        <w:tc>
          <w:tcPr>
            <w:tcW w:w="1059" w:type="dxa"/>
            <w:noWrap w:val="0"/>
            <w:vAlign w:val="center"/>
          </w:tcPr>
          <w:p w14:paraId="02A04DAF">
            <w:pPr>
              <w:spacing w:line="300" w:lineRule="exact"/>
              <w:jc w:val="both"/>
              <w:rPr>
                <w:color w:val="auto"/>
                <w:sz w:val="24"/>
                <w:highlight w:val="none"/>
              </w:rPr>
            </w:pPr>
            <w:r>
              <w:rPr>
                <w:color w:val="auto"/>
                <w:sz w:val="24"/>
                <w:highlight w:val="none"/>
              </w:rPr>
              <w:t>5</w:t>
            </w:r>
          </w:p>
        </w:tc>
        <w:tc>
          <w:tcPr>
            <w:tcW w:w="1985" w:type="dxa"/>
            <w:noWrap w:val="0"/>
            <w:vAlign w:val="center"/>
          </w:tcPr>
          <w:p w14:paraId="2711BC62">
            <w:pPr>
              <w:widowControl/>
              <w:jc w:val="both"/>
              <w:textAlignment w:val="center"/>
              <w:rPr>
                <w:rFonts w:hint="eastAsia" w:ascii="宋体" w:hAnsi="宋体" w:cs="宋体"/>
                <w:b/>
                <w:bCs/>
                <w:color w:val="auto"/>
                <w:kern w:val="0"/>
                <w:sz w:val="18"/>
                <w:szCs w:val="18"/>
                <w:highlight w:val="none"/>
                <w:lang w:bidi="ar"/>
              </w:rPr>
            </w:pPr>
          </w:p>
        </w:tc>
        <w:tc>
          <w:tcPr>
            <w:tcW w:w="1843" w:type="dxa"/>
            <w:noWrap w:val="0"/>
            <w:vAlign w:val="center"/>
          </w:tcPr>
          <w:p w14:paraId="75AC8500">
            <w:pPr>
              <w:spacing w:line="360" w:lineRule="exact"/>
              <w:jc w:val="both"/>
              <w:rPr>
                <w:rFonts w:hint="eastAsia"/>
                <w:color w:val="auto"/>
                <w:sz w:val="28"/>
                <w:szCs w:val="28"/>
                <w:highlight w:val="none"/>
              </w:rPr>
            </w:pPr>
          </w:p>
        </w:tc>
      </w:tr>
      <w:tr w14:paraId="24E2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552" w:type="dxa"/>
            <w:vMerge w:val="restart"/>
            <w:noWrap w:val="0"/>
            <w:vAlign w:val="center"/>
          </w:tcPr>
          <w:p w14:paraId="649CFD80">
            <w:pPr>
              <w:spacing w:line="360" w:lineRule="exact"/>
              <w:jc w:val="both"/>
              <w:rPr>
                <w:rFonts w:hint="eastAsia"/>
                <w:color w:val="auto"/>
                <w:sz w:val="28"/>
                <w:szCs w:val="28"/>
                <w:highlight w:val="none"/>
              </w:rPr>
            </w:pPr>
            <w:r>
              <w:rPr>
                <w:rFonts w:hint="eastAsia"/>
                <w:color w:val="auto"/>
                <w:sz w:val="28"/>
                <w:szCs w:val="28"/>
                <w:highlight w:val="none"/>
              </w:rPr>
              <w:t>保洁质量</w:t>
            </w:r>
          </w:p>
        </w:tc>
        <w:tc>
          <w:tcPr>
            <w:tcW w:w="528" w:type="dxa"/>
            <w:vMerge w:val="restart"/>
            <w:noWrap w:val="0"/>
            <w:vAlign w:val="center"/>
          </w:tcPr>
          <w:p w14:paraId="4A872FF1">
            <w:pPr>
              <w:spacing w:line="360" w:lineRule="exact"/>
              <w:jc w:val="both"/>
              <w:rPr>
                <w:rFonts w:hint="eastAsia"/>
                <w:color w:val="auto"/>
                <w:sz w:val="28"/>
                <w:szCs w:val="28"/>
                <w:highlight w:val="none"/>
              </w:rPr>
            </w:pPr>
            <w:r>
              <w:rPr>
                <w:rFonts w:hint="eastAsia"/>
                <w:color w:val="auto"/>
                <w:sz w:val="28"/>
                <w:szCs w:val="28"/>
                <w:highlight w:val="none"/>
              </w:rPr>
              <w:t>外场保洁</w:t>
            </w:r>
          </w:p>
        </w:tc>
        <w:tc>
          <w:tcPr>
            <w:tcW w:w="5340" w:type="dxa"/>
            <w:noWrap w:val="0"/>
            <w:vAlign w:val="center"/>
          </w:tcPr>
          <w:p w14:paraId="692EBDAC">
            <w:pPr>
              <w:spacing w:line="300" w:lineRule="exact"/>
              <w:jc w:val="both"/>
              <w:rPr>
                <w:rFonts w:hint="eastAsia"/>
                <w:color w:val="auto"/>
                <w:sz w:val="24"/>
                <w:highlight w:val="none"/>
              </w:rPr>
            </w:pPr>
            <w:r>
              <w:rPr>
                <w:rFonts w:hint="eastAsia" w:ascii="宋体" w:hAnsi="宋体"/>
                <w:color w:val="auto"/>
                <w:sz w:val="24"/>
                <w:highlight w:val="none"/>
              </w:rPr>
              <w:t>道路：清洁，无杂物，无烟蒂、无乱张贴</w:t>
            </w:r>
          </w:p>
        </w:tc>
        <w:tc>
          <w:tcPr>
            <w:tcW w:w="1059" w:type="dxa"/>
            <w:noWrap w:val="0"/>
            <w:vAlign w:val="center"/>
          </w:tcPr>
          <w:p w14:paraId="1E063D22">
            <w:pPr>
              <w:spacing w:line="360" w:lineRule="exact"/>
              <w:jc w:val="both"/>
              <w:rPr>
                <w:color w:val="auto"/>
                <w:szCs w:val="21"/>
                <w:highlight w:val="none"/>
              </w:rPr>
            </w:pPr>
            <w:r>
              <w:rPr>
                <w:rFonts w:hint="eastAsia"/>
                <w:color w:val="auto"/>
                <w:szCs w:val="21"/>
                <w:highlight w:val="none"/>
              </w:rPr>
              <w:t>10</w:t>
            </w:r>
          </w:p>
        </w:tc>
        <w:tc>
          <w:tcPr>
            <w:tcW w:w="1985" w:type="dxa"/>
            <w:noWrap w:val="0"/>
            <w:vAlign w:val="center"/>
          </w:tcPr>
          <w:p w14:paraId="067050D3">
            <w:pPr>
              <w:spacing w:line="360" w:lineRule="exact"/>
              <w:jc w:val="both"/>
              <w:rPr>
                <w:rFonts w:hint="eastAsia"/>
                <w:color w:val="auto"/>
                <w:sz w:val="28"/>
                <w:szCs w:val="28"/>
                <w:highlight w:val="none"/>
              </w:rPr>
            </w:pPr>
          </w:p>
        </w:tc>
        <w:tc>
          <w:tcPr>
            <w:tcW w:w="1843" w:type="dxa"/>
            <w:noWrap w:val="0"/>
            <w:vAlign w:val="center"/>
          </w:tcPr>
          <w:p w14:paraId="5B71B882">
            <w:pPr>
              <w:spacing w:line="360" w:lineRule="exact"/>
              <w:jc w:val="both"/>
              <w:rPr>
                <w:rFonts w:hint="eastAsia"/>
                <w:color w:val="auto"/>
                <w:sz w:val="28"/>
                <w:szCs w:val="28"/>
                <w:highlight w:val="none"/>
              </w:rPr>
            </w:pPr>
          </w:p>
        </w:tc>
      </w:tr>
      <w:tr w14:paraId="7A81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52" w:type="dxa"/>
            <w:vMerge w:val="continue"/>
            <w:noWrap w:val="0"/>
            <w:vAlign w:val="center"/>
          </w:tcPr>
          <w:p w14:paraId="0012BF87">
            <w:pPr>
              <w:spacing w:line="360" w:lineRule="exact"/>
              <w:jc w:val="both"/>
              <w:rPr>
                <w:rFonts w:hint="eastAsia"/>
                <w:color w:val="auto"/>
                <w:sz w:val="28"/>
                <w:szCs w:val="28"/>
                <w:highlight w:val="none"/>
              </w:rPr>
            </w:pPr>
          </w:p>
        </w:tc>
        <w:tc>
          <w:tcPr>
            <w:tcW w:w="528" w:type="dxa"/>
            <w:vMerge w:val="continue"/>
            <w:noWrap w:val="0"/>
            <w:vAlign w:val="center"/>
          </w:tcPr>
          <w:p w14:paraId="5155DA7C">
            <w:pPr>
              <w:spacing w:line="360" w:lineRule="exact"/>
              <w:jc w:val="both"/>
              <w:rPr>
                <w:rFonts w:hint="eastAsia"/>
                <w:color w:val="auto"/>
                <w:sz w:val="28"/>
                <w:szCs w:val="28"/>
                <w:highlight w:val="none"/>
              </w:rPr>
            </w:pPr>
          </w:p>
        </w:tc>
        <w:tc>
          <w:tcPr>
            <w:tcW w:w="5340" w:type="dxa"/>
            <w:noWrap w:val="0"/>
            <w:vAlign w:val="center"/>
          </w:tcPr>
          <w:p w14:paraId="57487B0D">
            <w:pPr>
              <w:spacing w:line="300" w:lineRule="exact"/>
              <w:jc w:val="both"/>
              <w:rPr>
                <w:rFonts w:hint="eastAsia"/>
                <w:bCs/>
                <w:color w:val="auto"/>
                <w:sz w:val="24"/>
                <w:highlight w:val="none"/>
              </w:rPr>
            </w:pPr>
            <w:r>
              <w:rPr>
                <w:rFonts w:hint="eastAsia"/>
                <w:bCs/>
                <w:color w:val="auto"/>
                <w:sz w:val="24"/>
                <w:highlight w:val="none"/>
              </w:rPr>
              <w:t>绿化区域：无纸屑，无隐藏垃圾</w:t>
            </w:r>
          </w:p>
        </w:tc>
        <w:tc>
          <w:tcPr>
            <w:tcW w:w="1059" w:type="dxa"/>
            <w:noWrap w:val="0"/>
            <w:vAlign w:val="center"/>
          </w:tcPr>
          <w:p w14:paraId="4A9AEA70">
            <w:pPr>
              <w:spacing w:line="360" w:lineRule="exact"/>
              <w:jc w:val="both"/>
              <w:rPr>
                <w:rFonts w:hint="eastAsia"/>
                <w:color w:val="auto"/>
                <w:szCs w:val="21"/>
                <w:highlight w:val="none"/>
              </w:rPr>
            </w:pPr>
            <w:r>
              <w:rPr>
                <w:color w:val="auto"/>
                <w:szCs w:val="21"/>
                <w:highlight w:val="none"/>
              </w:rPr>
              <w:t>10</w:t>
            </w:r>
          </w:p>
        </w:tc>
        <w:tc>
          <w:tcPr>
            <w:tcW w:w="1985" w:type="dxa"/>
            <w:noWrap w:val="0"/>
            <w:vAlign w:val="center"/>
          </w:tcPr>
          <w:p w14:paraId="034D101B">
            <w:pPr>
              <w:spacing w:line="360" w:lineRule="exact"/>
              <w:jc w:val="both"/>
              <w:rPr>
                <w:rFonts w:hint="eastAsia"/>
                <w:color w:val="auto"/>
                <w:sz w:val="28"/>
                <w:szCs w:val="28"/>
                <w:highlight w:val="none"/>
              </w:rPr>
            </w:pPr>
          </w:p>
        </w:tc>
        <w:tc>
          <w:tcPr>
            <w:tcW w:w="1843" w:type="dxa"/>
            <w:noWrap w:val="0"/>
            <w:vAlign w:val="center"/>
          </w:tcPr>
          <w:p w14:paraId="5E76E669">
            <w:pPr>
              <w:spacing w:line="360" w:lineRule="exact"/>
              <w:jc w:val="both"/>
              <w:rPr>
                <w:rFonts w:hint="eastAsia"/>
                <w:color w:val="auto"/>
                <w:sz w:val="28"/>
                <w:szCs w:val="28"/>
                <w:highlight w:val="none"/>
              </w:rPr>
            </w:pPr>
          </w:p>
        </w:tc>
      </w:tr>
      <w:tr w14:paraId="10E0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552" w:type="dxa"/>
            <w:vMerge w:val="continue"/>
            <w:noWrap w:val="0"/>
            <w:vAlign w:val="center"/>
          </w:tcPr>
          <w:p w14:paraId="35867001">
            <w:pPr>
              <w:spacing w:line="360" w:lineRule="exact"/>
              <w:jc w:val="both"/>
              <w:rPr>
                <w:rFonts w:hint="eastAsia"/>
                <w:color w:val="auto"/>
                <w:sz w:val="28"/>
                <w:szCs w:val="28"/>
                <w:highlight w:val="none"/>
              </w:rPr>
            </w:pPr>
          </w:p>
        </w:tc>
        <w:tc>
          <w:tcPr>
            <w:tcW w:w="528" w:type="dxa"/>
            <w:vMerge w:val="continue"/>
            <w:noWrap w:val="0"/>
            <w:vAlign w:val="center"/>
          </w:tcPr>
          <w:p w14:paraId="2EB6D197">
            <w:pPr>
              <w:spacing w:line="360" w:lineRule="exact"/>
              <w:jc w:val="both"/>
              <w:rPr>
                <w:rFonts w:hint="eastAsia"/>
                <w:color w:val="auto"/>
                <w:sz w:val="28"/>
                <w:szCs w:val="28"/>
                <w:highlight w:val="none"/>
              </w:rPr>
            </w:pPr>
          </w:p>
        </w:tc>
        <w:tc>
          <w:tcPr>
            <w:tcW w:w="5340" w:type="dxa"/>
            <w:noWrap w:val="0"/>
            <w:vAlign w:val="center"/>
          </w:tcPr>
          <w:p w14:paraId="641E6C70">
            <w:pPr>
              <w:spacing w:line="300" w:lineRule="exact"/>
              <w:jc w:val="both"/>
              <w:rPr>
                <w:rFonts w:hint="eastAsia"/>
                <w:color w:val="auto"/>
                <w:sz w:val="24"/>
                <w:highlight w:val="none"/>
              </w:rPr>
            </w:pPr>
            <w:r>
              <w:rPr>
                <w:rFonts w:hint="eastAsia" w:ascii="宋体" w:hAnsi="宋体"/>
                <w:color w:val="auto"/>
                <w:sz w:val="24"/>
                <w:highlight w:val="none"/>
              </w:rPr>
              <w:t>公共设施：</w:t>
            </w:r>
            <w:r>
              <w:rPr>
                <w:rFonts w:hint="eastAsia"/>
                <w:color w:val="auto"/>
                <w:sz w:val="24"/>
                <w:highlight w:val="none"/>
              </w:rPr>
              <w:t>无积灰，外观干净明亮</w:t>
            </w:r>
          </w:p>
        </w:tc>
        <w:tc>
          <w:tcPr>
            <w:tcW w:w="1059" w:type="dxa"/>
            <w:noWrap w:val="0"/>
            <w:vAlign w:val="center"/>
          </w:tcPr>
          <w:p w14:paraId="467D95D2">
            <w:pPr>
              <w:spacing w:line="360" w:lineRule="exact"/>
              <w:jc w:val="both"/>
              <w:rPr>
                <w:color w:val="auto"/>
                <w:szCs w:val="21"/>
                <w:highlight w:val="none"/>
              </w:rPr>
            </w:pPr>
            <w:r>
              <w:rPr>
                <w:color w:val="auto"/>
                <w:szCs w:val="21"/>
                <w:highlight w:val="none"/>
              </w:rPr>
              <w:t>10</w:t>
            </w:r>
          </w:p>
        </w:tc>
        <w:tc>
          <w:tcPr>
            <w:tcW w:w="1985" w:type="dxa"/>
            <w:noWrap w:val="0"/>
            <w:vAlign w:val="center"/>
          </w:tcPr>
          <w:p w14:paraId="73262322">
            <w:pPr>
              <w:spacing w:line="360" w:lineRule="exact"/>
              <w:jc w:val="both"/>
              <w:rPr>
                <w:rFonts w:hint="eastAsia"/>
                <w:color w:val="auto"/>
                <w:sz w:val="28"/>
                <w:szCs w:val="28"/>
                <w:highlight w:val="none"/>
              </w:rPr>
            </w:pPr>
          </w:p>
        </w:tc>
        <w:tc>
          <w:tcPr>
            <w:tcW w:w="1843" w:type="dxa"/>
            <w:noWrap w:val="0"/>
            <w:vAlign w:val="center"/>
          </w:tcPr>
          <w:p w14:paraId="3E02FBC5">
            <w:pPr>
              <w:spacing w:line="360" w:lineRule="exact"/>
              <w:jc w:val="both"/>
              <w:rPr>
                <w:rFonts w:hint="eastAsia"/>
                <w:color w:val="auto"/>
                <w:sz w:val="28"/>
                <w:szCs w:val="28"/>
                <w:highlight w:val="none"/>
              </w:rPr>
            </w:pPr>
          </w:p>
        </w:tc>
      </w:tr>
      <w:tr w14:paraId="26D5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52" w:type="dxa"/>
            <w:vMerge w:val="continue"/>
            <w:noWrap w:val="0"/>
            <w:vAlign w:val="center"/>
          </w:tcPr>
          <w:p w14:paraId="1ABCBAB6">
            <w:pPr>
              <w:spacing w:line="360" w:lineRule="exact"/>
              <w:jc w:val="both"/>
              <w:rPr>
                <w:rFonts w:hint="eastAsia"/>
                <w:color w:val="auto"/>
                <w:sz w:val="28"/>
                <w:szCs w:val="28"/>
                <w:highlight w:val="none"/>
              </w:rPr>
            </w:pPr>
          </w:p>
        </w:tc>
        <w:tc>
          <w:tcPr>
            <w:tcW w:w="528" w:type="dxa"/>
            <w:vMerge w:val="continue"/>
            <w:noWrap w:val="0"/>
            <w:vAlign w:val="center"/>
          </w:tcPr>
          <w:p w14:paraId="15558175">
            <w:pPr>
              <w:spacing w:line="360" w:lineRule="exact"/>
              <w:jc w:val="both"/>
              <w:rPr>
                <w:rFonts w:hint="eastAsia"/>
                <w:color w:val="auto"/>
                <w:sz w:val="28"/>
                <w:szCs w:val="28"/>
                <w:highlight w:val="none"/>
              </w:rPr>
            </w:pPr>
          </w:p>
        </w:tc>
        <w:tc>
          <w:tcPr>
            <w:tcW w:w="5340" w:type="dxa"/>
            <w:noWrap w:val="0"/>
            <w:vAlign w:val="center"/>
          </w:tcPr>
          <w:p w14:paraId="2281D2F4">
            <w:pPr>
              <w:spacing w:line="300" w:lineRule="exact"/>
              <w:jc w:val="both"/>
              <w:rPr>
                <w:rFonts w:hint="eastAsia" w:eastAsia="宋体"/>
                <w:color w:val="auto"/>
                <w:sz w:val="24"/>
                <w:highlight w:val="none"/>
                <w:lang w:val="en-US" w:eastAsia="zh-CN"/>
              </w:rPr>
            </w:pPr>
            <w:r>
              <w:rPr>
                <w:rFonts w:hint="eastAsia"/>
                <w:color w:val="auto"/>
                <w:sz w:val="24"/>
                <w:highlight w:val="none"/>
              </w:rPr>
              <w:t>公共区域：广场、停车场等地面干净，无</w:t>
            </w:r>
            <w:r>
              <w:rPr>
                <w:rFonts w:hint="eastAsia"/>
                <w:color w:val="auto"/>
                <w:sz w:val="24"/>
                <w:highlight w:val="none"/>
                <w:lang w:val="en-US" w:eastAsia="zh-CN"/>
              </w:rPr>
              <w:t>杂草</w:t>
            </w:r>
          </w:p>
        </w:tc>
        <w:tc>
          <w:tcPr>
            <w:tcW w:w="1059" w:type="dxa"/>
            <w:noWrap w:val="0"/>
            <w:vAlign w:val="center"/>
          </w:tcPr>
          <w:p w14:paraId="57263BE4">
            <w:pPr>
              <w:spacing w:line="360" w:lineRule="exact"/>
              <w:jc w:val="both"/>
              <w:rPr>
                <w:rFonts w:hint="eastAsia"/>
                <w:color w:val="auto"/>
                <w:szCs w:val="21"/>
                <w:highlight w:val="none"/>
              </w:rPr>
            </w:pPr>
            <w:r>
              <w:rPr>
                <w:color w:val="auto"/>
                <w:szCs w:val="21"/>
                <w:highlight w:val="none"/>
              </w:rPr>
              <w:t>10</w:t>
            </w:r>
          </w:p>
        </w:tc>
        <w:tc>
          <w:tcPr>
            <w:tcW w:w="1985" w:type="dxa"/>
            <w:noWrap w:val="0"/>
            <w:vAlign w:val="center"/>
          </w:tcPr>
          <w:p w14:paraId="485449CB">
            <w:pPr>
              <w:spacing w:line="360" w:lineRule="exact"/>
              <w:jc w:val="both"/>
              <w:rPr>
                <w:rFonts w:hint="eastAsia"/>
                <w:color w:val="auto"/>
                <w:sz w:val="28"/>
                <w:szCs w:val="28"/>
                <w:highlight w:val="none"/>
              </w:rPr>
            </w:pPr>
          </w:p>
        </w:tc>
        <w:tc>
          <w:tcPr>
            <w:tcW w:w="1843" w:type="dxa"/>
            <w:noWrap w:val="0"/>
            <w:vAlign w:val="center"/>
          </w:tcPr>
          <w:p w14:paraId="127D1604">
            <w:pPr>
              <w:spacing w:line="360" w:lineRule="exact"/>
              <w:jc w:val="both"/>
              <w:rPr>
                <w:rFonts w:hint="eastAsia"/>
                <w:color w:val="auto"/>
                <w:sz w:val="28"/>
                <w:szCs w:val="28"/>
                <w:highlight w:val="none"/>
              </w:rPr>
            </w:pPr>
          </w:p>
        </w:tc>
      </w:tr>
      <w:tr w14:paraId="0ABB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552" w:type="dxa"/>
            <w:vMerge w:val="continue"/>
            <w:noWrap w:val="0"/>
            <w:vAlign w:val="center"/>
          </w:tcPr>
          <w:p w14:paraId="1CF4A0CA">
            <w:pPr>
              <w:spacing w:line="360" w:lineRule="exact"/>
              <w:jc w:val="both"/>
              <w:rPr>
                <w:rFonts w:hint="eastAsia"/>
                <w:color w:val="auto"/>
                <w:sz w:val="24"/>
                <w:highlight w:val="none"/>
              </w:rPr>
            </w:pPr>
          </w:p>
        </w:tc>
        <w:tc>
          <w:tcPr>
            <w:tcW w:w="528" w:type="dxa"/>
            <w:vMerge w:val="continue"/>
            <w:noWrap w:val="0"/>
            <w:vAlign w:val="center"/>
          </w:tcPr>
          <w:p w14:paraId="77C6F6ED">
            <w:pPr>
              <w:spacing w:line="360" w:lineRule="exact"/>
              <w:jc w:val="both"/>
              <w:rPr>
                <w:rFonts w:hint="eastAsia"/>
                <w:color w:val="auto"/>
                <w:sz w:val="24"/>
                <w:highlight w:val="none"/>
              </w:rPr>
            </w:pPr>
          </w:p>
        </w:tc>
        <w:tc>
          <w:tcPr>
            <w:tcW w:w="5340" w:type="dxa"/>
            <w:noWrap w:val="0"/>
            <w:vAlign w:val="center"/>
          </w:tcPr>
          <w:p w14:paraId="0E083DDA">
            <w:pPr>
              <w:spacing w:line="300" w:lineRule="exact"/>
              <w:jc w:val="both"/>
              <w:rPr>
                <w:rFonts w:hint="eastAsia"/>
                <w:color w:val="auto"/>
                <w:sz w:val="24"/>
                <w:highlight w:val="none"/>
              </w:rPr>
            </w:pPr>
            <w:r>
              <w:rPr>
                <w:rFonts w:hint="eastAsia" w:ascii="宋体" w:hAnsi="宋体"/>
                <w:color w:val="auto"/>
                <w:sz w:val="24"/>
                <w:highlight w:val="none"/>
              </w:rPr>
              <w:t>果壳箱：</w:t>
            </w:r>
            <w:r>
              <w:rPr>
                <w:rFonts w:hint="eastAsia"/>
                <w:color w:val="auto"/>
                <w:sz w:val="24"/>
                <w:highlight w:val="none"/>
              </w:rPr>
              <w:t>无满溢垃圾，无积灰，外观干净明亮</w:t>
            </w:r>
          </w:p>
        </w:tc>
        <w:tc>
          <w:tcPr>
            <w:tcW w:w="1059" w:type="dxa"/>
            <w:noWrap w:val="0"/>
            <w:vAlign w:val="center"/>
          </w:tcPr>
          <w:p w14:paraId="3FBA3072">
            <w:pPr>
              <w:spacing w:line="360" w:lineRule="exact"/>
              <w:jc w:val="both"/>
              <w:rPr>
                <w:color w:val="auto"/>
                <w:szCs w:val="21"/>
                <w:highlight w:val="none"/>
              </w:rPr>
            </w:pPr>
            <w:r>
              <w:rPr>
                <w:color w:val="auto"/>
                <w:szCs w:val="21"/>
                <w:highlight w:val="none"/>
              </w:rPr>
              <w:t>10</w:t>
            </w:r>
          </w:p>
        </w:tc>
        <w:tc>
          <w:tcPr>
            <w:tcW w:w="1985" w:type="dxa"/>
            <w:noWrap w:val="0"/>
            <w:vAlign w:val="center"/>
          </w:tcPr>
          <w:p w14:paraId="286772F7">
            <w:pPr>
              <w:spacing w:line="360" w:lineRule="exact"/>
              <w:jc w:val="both"/>
              <w:rPr>
                <w:rFonts w:hint="eastAsia"/>
                <w:color w:val="auto"/>
                <w:sz w:val="28"/>
                <w:szCs w:val="28"/>
                <w:highlight w:val="none"/>
              </w:rPr>
            </w:pPr>
          </w:p>
        </w:tc>
        <w:tc>
          <w:tcPr>
            <w:tcW w:w="1843" w:type="dxa"/>
            <w:noWrap w:val="0"/>
            <w:vAlign w:val="center"/>
          </w:tcPr>
          <w:p w14:paraId="634E8376">
            <w:pPr>
              <w:spacing w:line="360" w:lineRule="exact"/>
              <w:jc w:val="both"/>
              <w:rPr>
                <w:rFonts w:hint="eastAsia"/>
                <w:color w:val="auto"/>
                <w:sz w:val="28"/>
                <w:szCs w:val="28"/>
                <w:highlight w:val="none"/>
              </w:rPr>
            </w:pPr>
          </w:p>
        </w:tc>
      </w:tr>
      <w:tr w14:paraId="7939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52" w:type="dxa"/>
            <w:vMerge w:val="continue"/>
            <w:noWrap w:val="0"/>
            <w:vAlign w:val="center"/>
          </w:tcPr>
          <w:p w14:paraId="4CF8CCD7">
            <w:pPr>
              <w:spacing w:line="360" w:lineRule="exact"/>
              <w:jc w:val="both"/>
              <w:rPr>
                <w:rFonts w:hint="eastAsia"/>
                <w:color w:val="auto"/>
                <w:sz w:val="24"/>
                <w:highlight w:val="none"/>
              </w:rPr>
            </w:pPr>
          </w:p>
        </w:tc>
        <w:tc>
          <w:tcPr>
            <w:tcW w:w="528" w:type="dxa"/>
            <w:vMerge w:val="continue"/>
            <w:noWrap w:val="0"/>
            <w:vAlign w:val="center"/>
          </w:tcPr>
          <w:p w14:paraId="796DBE0A">
            <w:pPr>
              <w:spacing w:line="360" w:lineRule="exact"/>
              <w:jc w:val="both"/>
              <w:rPr>
                <w:rFonts w:hint="eastAsia"/>
                <w:color w:val="auto"/>
                <w:sz w:val="24"/>
                <w:highlight w:val="none"/>
              </w:rPr>
            </w:pPr>
          </w:p>
        </w:tc>
        <w:tc>
          <w:tcPr>
            <w:tcW w:w="5340" w:type="dxa"/>
            <w:noWrap w:val="0"/>
            <w:vAlign w:val="center"/>
          </w:tcPr>
          <w:p w14:paraId="7A8258A7">
            <w:pPr>
              <w:spacing w:line="300" w:lineRule="exact"/>
              <w:jc w:val="both"/>
              <w:rPr>
                <w:rFonts w:hint="eastAsia"/>
                <w:color w:val="auto"/>
                <w:sz w:val="24"/>
                <w:highlight w:val="none"/>
              </w:rPr>
            </w:pPr>
            <w:r>
              <w:rPr>
                <w:rFonts w:hint="eastAsia" w:ascii="宋体" w:hAnsi="宋体"/>
                <w:color w:val="auto"/>
                <w:sz w:val="24"/>
                <w:highlight w:val="none"/>
              </w:rPr>
              <w:t>防汛防台：</w:t>
            </w:r>
            <w:r>
              <w:rPr>
                <w:rFonts w:hint="eastAsia" w:ascii="宋体" w:hAnsi="宋体"/>
                <w:color w:val="auto"/>
                <w:sz w:val="24"/>
                <w:highlight w:val="none"/>
                <w:lang w:val="en-US" w:eastAsia="zh-CN"/>
              </w:rPr>
              <w:t>窨井、排水隔栏井</w:t>
            </w:r>
            <w:r>
              <w:rPr>
                <w:rFonts w:hint="eastAsia" w:ascii="宋体" w:hAnsi="宋体"/>
                <w:color w:val="auto"/>
                <w:sz w:val="24"/>
                <w:highlight w:val="none"/>
              </w:rPr>
              <w:t>清洁</w:t>
            </w:r>
          </w:p>
        </w:tc>
        <w:tc>
          <w:tcPr>
            <w:tcW w:w="1059" w:type="dxa"/>
            <w:noWrap w:val="0"/>
            <w:vAlign w:val="center"/>
          </w:tcPr>
          <w:p w14:paraId="74EDE3F8">
            <w:pPr>
              <w:spacing w:line="360" w:lineRule="exact"/>
              <w:jc w:val="both"/>
              <w:rPr>
                <w:color w:val="auto"/>
                <w:szCs w:val="21"/>
                <w:highlight w:val="none"/>
              </w:rPr>
            </w:pPr>
            <w:r>
              <w:rPr>
                <w:color w:val="auto"/>
                <w:szCs w:val="21"/>
                <w:highlight w:val="none"/>
              </w:rPr>
              <w:t>10</w:t>
            </w:r>
          </w:p>
        </w:tc>
        <w:tc>
          <w:tcPr>
            <w:tcW w:w="1985" w:type="dxa"/>
            <w:noWrap w:val="0"/>
            <w:vAlign w:val="center"/>
          </w:tcPr>
          <w:p w14:paraId="19366979">
            <w:pPr>
              <w:spacing w:line="360" w:lineRule="exact"/>
              <w:jc w:val="both"/>
              <w:rPr>
                <w:rFonts w:hint="eastAsia"/>
                <w:color w:val="auto"/>
                <w:sz w:val="28"/>
                <w:szCs w:val="28"/>
                <w:highlight w:val="none"/>
              </w:rPr>
            </w:pPr>
          </w:p>
        </w:tc>
        <w:tc>
          <w:tcPr>
            <w:tcW w:w="1843" w:type="dxa"/>
            <w:noWrap w:val="0"/>
            <w:vAlign w:val="center"/>
          </w:tcPr>
          <w:p w14:paraId="4B251FB3">
            <w:pPr>
              <w:spacing w:line="360" w:lineRule="exact"/>
              <w:jc w:val="both"/>
              <w:rPr>
                <w:rFonts w:hint="eastAsia"/>
                <w:color w:val="auto"/>
                <w:sz w:val="28"/>
                <w:szCs w:val="28"/>
                <w:highlight w:val="none"/>
              </w:rPr>
            </w:pPr>
          </w:p>
        </w:tc>
      </w:tr>
      <w:tr w14:paraId="4DEE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552" w:type="dxa"/>
            <w:vMerge w:val="continue"/>
            <w:noWrap w:val="0"/>
            <w:vAlign w:val="center"/>
          </w:tcPr>
          <w:p w14:paraId="4B3ECF63">
            <w:pPr>
              <w:spacing w:line="360" w:lineRule="exact"/>
              <w:jc w:val="both"/>
              <w:rPr>
                <w:rFonts w:hint="eastAsia"/>
                <w:color w:val="auto"/>
                <w:sz w:val="24"/>
                <w:highlight w:val="none"/>
              </w:rPr>
            </w:pPr>
          </w:p>
        </w:tc>
        <w:tc>
          <w:tcPr>
            <w:tcW w:w="528" w:type="dxa"/>
            <w:vMerge w:val="continue"/>
            <w:noWrap w:val="0"/>
            <w:vAlign w:val="center"/>
          </w:tcPr>
          <w:p w14:paraId="7CF08BC8">
            <w:pPr>
              <w:spacing w:line="360" w:lineRule="exact"/>
              <w:jc w:val="both"/>
              <w:rPr>
                <w:rFonts w:hint="eastAsia"/>
                <w:color w:val="auto"/>
                <w:sz w:val="24"/>
                <w:highlight w:val="none"/>
              </w:rPr>
            </w:pPr>
          </w:p>
        </w:tc>
        <w:tc>
          <w:tcPr>
            <w:tcW w:w="5340" w:type="dxa"/>
            <w:noWrap w:val="0"/>
            <w:vAlign w:val="center"/>
          </w:tcPr>
          <w:p w14:paraId="79DD71B7">
            <w:pPr>
              <w:spacing w:line="300" w:lineRule="exact"/>
              <w:jc w:val="both"/>
              <w:rPr>
                <w:rFonts w:hint="eastAsia"/>
                <w:color w:val="auto"/>
                <w:sz w:val="24"/>
                <w:highlight w:val="none"/>
              </w:rPr>
            </w:pPr>
            <w:r>
              <w:rPr>
                <w:rFonts w:hint="eastAsia"/>
                <w:color w:val="auto"/>
                <w:sz w:val="24"/>
                <w:highlight w:val="none"/>
              </w:rPr>
              <w:t>垃圾分类：标识完整无缺损，垃圾桶放置位置规范，无乱投放，清运记录完整</w:t>
            </w:r>
          </w:p>
        </w:tc>
        <w:tc>
          <w:tcPr>
            <w:tcW w:w="1059" w:type="dxa"/>
            <w:noWrap w:val="0"/>
            <w:vAlign w:val="center"/>
          </w:tcPr>
          <w:p w14:paraId="79C281B5">
            <w:pPr>
              <w:spacing w:line="360" w:lineRule="exact"/>
              <w:jc w:val="both"/>
              <w:rPr>
                <w:color w:val="auto"/>
                <w:szCs w:val="21"/>
                <w:highlight w:val="none"/>
              </w:rPr>
            </w:pPr>
            <w:r>
              <w:rPr>
                <w:color w:val="auto"/>
                <w:szCs w:val="21"/>
                <w:highlight w:val="none"/>
              </w:rPr>
              <w:t>10</w:t>
            </w:r>
          </w:p>
        </w:tc>
        <w:tc>
          <w:tcPr>
            <w:tcW w:w="1985" w:type="dxa"/>
            <w:noWrap w:val="0"/>
            <w:vAlign w:val="center"/>
          </w:tcPr>
          <w:p w14:paraId="47AF296A">
            <w:pPr>
              <w:spacing w:line="360" w:lineRule="exact"/>
              <w:jc w:val="both"/>
              <w:rPr>
                <w:rFonts w:hint="eastAsia"/>
                <w:color w:val="auto"/>
                <w:sz w:val="28"/>
                <w:szCs w:val="28"/>
                <w:highlight w:val="none"/>
              </w:rPr>
            </w:pPr>
          </w:p>
        </w:tc>
        <w:tc>
          <w:tcPr>
            <w:tcW w:w="1843" w:type="dxa"/>
            <w:noWrap w:val="0"/>
            <w:vAlign w:val="center"/>
          </w:tcPr>
          <w:p w14:paraId="30D9B6E0">
            <w:pPr>
              <w:spacing w:line="360" w:lineRule="exact"/>
              <w:jc w:val="both"/>
              <w:rPr>
                <w:rFonts w:hint="eastAsia"/>
                <w:color w:val="auto"/>
                <w:sz w:val="28"/>
                <w:szCs w:val="28"/>
                <w:highlight w:val="none"/>
              </w:rPr>
            </w:pPr>
          </w:p>
        </w:tc>
      </w:tr>
      <w:tr w14:paraId="06E6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80" w:type="dxa"/>
            <w:gridSpan w:val="2"/>
            <w:noWrap w:val="0"/>
            <w:vAlign w:val="center"/>
          </w:tcPr>
          <w:p w14:paraId="52C95178">
            <w:pPr>
              <w:jc w:val="both"/>
              <w:rPr>
                <w:rFonts w:hint="eastAsia"/>
                <w:color w:val="auto"/>
                <w:sz w:val="24"/>
                <w:highlight w:val="none"/>
              </w:rPr>
            </w:pPr>
            <w:r>
              <w:rPr>
                <w:rFonts w:hint="eastAsia"/>
                <w:color w:val="auto"/>
                <w:sz w:val="28"/>
                <w:szCs w:val="28"/>
                <w:highlight w:val="none"/>
              </w:rPr>
              <w:t>加分项</w:t>
            </w:r>
          </w:p>
        </w:tc>
        <w:tc>
          <w:tcPr>
            <w:tcW w:w="5340" w:type="dxa"/>
            <w:noWrap w:val="0"/>
            <w:vAlign w:val="center"/>
          </w:tcPr>
          <w:p w14:paraId="7040A5B8">
            <w:pPr>
              <w:spacing w:line="300" w:lineRule="exact"/>
              <w:jc w:val="both"/>
              <w:rPr>
                <w:color w:val="auto"/>
                <w:sz w:val="24"/>
                <w:highlight w:val="none"/>
              </w:rPr>
            </w:pPr>
            <w:r>
              <w:rPr>
                <w:rFonts w:hint="eastAsia"/>
                <w:color w:val="auto"/>
                <w:sz w:val="24"/>
                <w:highlight w:val="none"/>
              </w:rPr>
              <w:t>互查互纠：本月15日前发现其他保洁公司问题、对被发现问题及时整改</w:t>
            </w:r>
          </w:p>
        </w:tc>
        <w:tc>
          <w:tcPr>
            <w:tcW w:w="1059" w:type="dxa"/>
            <w:noWrap w:val="0"/>
            <w:vAlign w:val="center"/>
          </w:tcPr>
          <w:p w14:paraId="116C9178">
            <w:pPr>
              <w:spacing w:line="360" w:lineRule="exact"/>
              <w:jc w:val="both"/>
              <w:rPr>
                <w:color w:val="auto"/>
                <w:szCs w:val="21"/>
                <w:highlight w:val="none"/>
              </w:rPr>
            </w:pPr>
            <w:r>
              <w:rPr>
                <w:rFonts w:hint="eastAsia"/>
                <w:color w:val="auto"/>
                <w:szCs w:val="21"/>
                <w:highlight w:val="none"/>
              </w:rPr>
              <w:t>2</w:t>
            </w:r>
          </w:p>
        </w:tc>
        <w:tc>
          <w:tcPr>
            <w:tcW w:w="1985" w:type="dxa"/>
            <w:noWrap w:val="0"/>
            <w:vAlign w:val="center"/>
          </w:tcPr>
          <w:p w14:paraId="4D147A54">
            <w:pPr>
              <w:spacing w:line="360" w:lineRule="exact"/>
              <w:jc w:val="both"/>
              <w:rPr>
                <w:rFonts w:hint="eastAsia"/>
                <w:color w:val="auto"/>
                <w:sz w:val="28"/>
                <w:szCs w:val="28"/>
                <w:highlight w:val="none"/>
              </w:rPr>
            </w:pPr>
          </w:p>
        </w:tc>
        <w:tc>
          <w:tcPr>
            <w:tcW w:w="1843" w:type="dxa"/>
            <w:noWrap w:val="0"/>
            <w:vAlign w:val="center"/>
          </w:tcPr>
          <w:p w14:paraId="00AFBDC3">
            <w:pPr>
              <w:spacing w:line="360" w:lineRule="exact"/>
              <w:jc w:val="both"/>
              <w:rPr>
                <w:rFonts w:hint="eastAsia"/>
                <w:color w:val="auto"/>
                <w:sz w:val="28"/>
                <w:szCs w:val="28"/>
                <w:highlight w:val="none"/>
              </w:rPr>
            </w:pPr>
          </w:p>
        </w:tc>
      </w:tr>
      <w:tr w14:paraId="610F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6420" w:type="dxa"/>
            <w:gridSpan w:val="3"/>
            <w:noWrap w:val="0"/>
            <w:vAlign w:val="center"/>
          </w:tcPr>
          <w:p w14:paraId="4234079E">
            <w:pPr>
              <w:spacing w:line="360" w:lineRule="exact"/>
              <w:jc w:val="both"/>
              <w:rPr>
                <w:rFonts w:hint="eastAsia"/>
                <w:b/>
                <w:color w:val="auto"/>
                <w:sz w:val="24"/>
                <w:highlight w:val="none"/>
              </w:rPr>
            </w:pPr>
            <w:r>
              <w:rPr>
                <w:rFonts w:hint="eastAsia"/>
                <w:b/>
                <w:color w:val="auto"/>
                <w:sz w:val="24"/>
                <w:highlight w:val="none"/>
              </w:rPr>
              <w:t>合计标准分</w:t>
            </w:r>
          </w:p>
        </w:tc>
        <w:tc>
          <w:tcPr>
            <w:tcW w:w="1059" w:type="dxa"/>
            <w:noWrap w:val="0"/>
            <w:vAlign w:val="center"/>
          </w:tcPr>
          <w:p w14:paraId="558DAB2F">
            <w:pPr>
              <w:spacing w:line="360" w:lineRule="exact"/>
              <w:jc w:val="both"/>
              <w:rPr>
                <w:b/>
                <w:color w:val="auto"/>
                <w:sz w:val="24"/>
                <w:highlight w:val="none"/>
              </w:rPr>
            </w:pPr>
            <w:r>
              <w:rPr>
                <w:rFonts w:hint="eastAsia"/>
                <w:b/>
                <w:color w:val="auto"/>
                <w:sz w:val="24"/>
                <w:highlight w:val="none"/>
              </w:rPr>
              <w:t>100</w:t>
            </w:r>
          </w:p>
        </w:tc>
        <w:tc>
          <w:tcPr>
            <w:tcW w:w="1985" w:type="dxa"/>
            <w:noWrap w:val="0"/>
            <w:vAlign w:val="center"/>
          </w:tcPr>
          <w:p w14:paraId="268C7BA0">
            <w:pPr>
              <w:spacing w:line="360" w:lineRule="exact"/>
              <w:jc w:val="both"/>
              <w:rPr>
                <w:rFonts w:hint="eastAsia"/>
                <w:b/>
                <w:color w:val="auto"/>
                <w:sz w:val="24"/>
                <w:highlight w:val="none"/>
              </w:rPr>
            </w:pPr>
            <w:r>
              <w:rPr>
                <w:rFonts w:hint="eastAsia"/>
                <w:b/>
                <w:color w:val="auto"/>
                <w:sz w:val="24"/>
                <w:highlight w:val="none"/>
              </w:rPr>
              <w:t>总平均分</w:t>
            </w:r>
          </w:p>
        </w:tc>
        <w:tc>
          <w:tcPr>
            <w:tcW w:w="1843" w:type="dxa"/>
            <w:noWrap w:val="0"/>
            <w:vAlign w:val="center"/>
          </w:tcPr>
          <w:p w14:paraId="40EDA70A">
            <w:pPr>
              <w:spacing w:line="360" w:lineRule="exact"/>
              <w:jc w:val="both"/>
              <w:rPr>
                <w:rFonts w:hint="eastAsia"/>
                <w:b/>
                <w:color w:val="auto"/>
                <w:sz w:val="24"/>
                <w:highlight w:val="none"/>
              </w:rPr>
            </w:pPr>
          </w:p>
        </w:tc>
      </w:tr>
    </w:tbl>
    <w:p w14:paraId="4AD4BD34">
      <w:pPr>
        <w:spacing w:line="240" w:lineRule="atLeast"/>
        <w:rPr>
          <w:b/>
          <w:color w:val="auto"/>
          <w:sz w:val="20"/>
          <w:szCs w:val="22"/>
          <w:highlight w:val="none"/>
        </w:rPr>
      </w:pPr>
    </w:p>
    <w:p w14:paraId="69E38A36">
      <w:pPr>
        <w:spacing w:line="240" w:lineRule="atLeast"/>
        <w:rPr>
          <w:rFonts w:hint="eastAsia"/>
          <w:color w:val="auto"/>
          <w:sz w:val="22"/>
          <w:szCs w:val="22"/>
          <w:highlight w:val="none"/>
        </w:rPr>
      </w:pPr>
      <w:r>
        <w:rPr>
          <w:rFonts w:hint="eastAsia"/>
          <w:b/>
          <w:color w:val="auto"/>
          <w:sz w:val="20"/>
          <w:szCs w:val="22"/>
          <w:highlight w:val="none"/>
        </w:rPr>
        <w:t>注：</w:t>
      </w:r>
      <w:r>
        <w:rPr>
          <w:rFonts w:hint="eastAsia"/>
          <w:bCs/>
          <w:color w:val="auto"/>
          <w:sz w:val="20"/>
          <w:szCs w:val="22"/>
          <w:highlight w:val="none"/>
        </w:rPr>
        <w:t>1、</w:t>
      </w:r>
      <w:r>
        <w:rPr>
          <w:rFonts w:hint="eastAsia"/>
          <w:color w:val="auto"/>
          <w:sz w:val="22"/>
          <w:szCs w:val="22"/>
          <w:highlight w:val="none"/>
        </w:rPr>
        <w:t>检查情况以单项、地点作记录，同一地点同类问题扣单项分的比例分别为：1处扣10%；2处扣20%；多处扣50%。2、烟蒂检查标准：</w:t>
      </w:r>
      <w:r>
        <w:rPr>
          <w:rFonts w:hint="eastAsia" w:ascii="宋体" w:hAnsi="宋体"/>
          <w:color w:val="auto"/>
          <w:sz w:val="22"/>
          <w:szCs w:val="22"/>
          <w:highlight w:val="none"/>
        </w:rPr>
        <w:t>①</w:t>
      </w:r>
      <w:r>
        <w:rPr>
          <w:rFonts w:hint="eastAsia"/>
          <w:color w:val="auto"/>
          <w:sz w:val="22"/>
          <w:szCs w:val="22"/>
          <w:highlight w:val="none"/>
        </w:rPr>
        <w:t>、每平方米发现3~5个扣10%、6~10个扣20%、11个以上扣50%，</w:t>
      </w:r>
      <w:r>
        <w:rPr>
          <w:rFonts w:hint="eastAsia" w:ascii="宋体" w:hAnsi="宋体"/>
          <w:color w:val="auto"/>
          <w:sz w:val="22"/>
          <w:szCs w:val="22"/>
          <w:highlight w:val="none"/>
        </w:rPr>
        <w:t>②、烟蒂每平方米3个以下累计10</w:t>
      </w:r>
      <w:r>
        <w:rPr>
          <w:rFonts w:hint="eastAsia"/>
          <w:color w:val="auto"/>
          <w:sz w:val="22"/>
          <w:szCs w:val="22"/>
          <w:highlight w:val="none"/>
        </w:rPr>
        <w:t>~</w:t>
      </w:r>
      <w:r>
        <w:rPr>
          <w:rFonts w:hint="eastAsia" w:ascii="宋体" w:hAnsi="宋体"/>
          <w:color w:val="auto"/>
          <w:sz w:val="22"/>
          <w:szCs w:val="22"/>
          <w:highlight w:val="none"/>
        </w:rPr>
        <w:t>15个扣10%、16</w:t>
      </w:r>
      <w:r>
        <w:rPr>
          <w:rFonts w:hint="eastAsia"/>
          <w:color w:val="auto"/>
          <w:sz w:val="22"/>
          <w:szCs w:val="22"/>
          <w:highlight w:val="none"/>
        </w:rPr>
        <w:t>~</w:t>
      </w:r>
      <w:r>
        <w:rPr>
          <w:rFonts w:hint="eastAsia" w:ascii="宋体" w:hAnsi="宋体"/>
          <w:color w:val="auto"/>
          <w:sz w:val="22"/>
          <w:szCs w:val="22"/>
          <w:highlight w:val="none"/>
        </w:rPr>
        <w:t>25个扣20%、26个以上扣50%</w:t>
      </w:r>
      <w:r>
        <w:rPr>
          <w:rFonts w:hint="eastAsia"/>
          <w:color w:val="auto"/>
          <w:sz w:val="22"/>
          <w:szCs w:val="22"/>
          <w:highlight w:val="none"/>
        </w:rPr>
        <w:t>。</w:t>
      </w:r>
    </w:p>
    <w:p w14:paraId="34585438">
      <w:pPr>
        <w:jc w:val="left"/>
        <w:rPr>
          <w:rFonts w:hint="eastAsia"/>
          <w:color w:val="auto"/>
          <w:szCs w:val="21"/>
          <w:highlight w:val="none"/>
        </w:rPr>
      </w:pPr>
      <w:r>
        <w:rPr>
          <w:rFonts w:hint="eastAsia"/>
          <w:color w:val="auto"/>
          <w:sz w:val="24"/>
          <w:highlight w:val="none"/>
        </w:rPr>
        <w:t xml:space="preserve">检查人员签字： </w:t>
      </w:r>
      <w:r>
        <w:rPr>
          <w:rFonts w:hint="eastAsia"/>
          <w:color w:val="auto"/>
          <w:sz w:val="28"/>
          <w:szCs w:val="28"/>
          <w:highlight w:val="none"/>
        </w:rPr>
        <w:t xml:space="preserve">                         </w:t>
      </w:r>
      <w:r>
        <w:rPr>
          <w:rFonts w:hint="eastAsia"/>
          <w:color w:val="auto"/>
          <w:sz w:val="24"/>
          <w:highlight w:val="none"/>
        </w:rPr>
        <w:t xml:space="preserve">检查日期： </w:t>
      </w:r>
    </w:p>
    <w:p w14:paraId="5C45489E">
      <w:pPr>
        <w:widowControl/>
        <w:adjustRightInd/>
        <w:snapToGrid/>
        <w:spacing w:line="240" w:lineRule="auto"/>
        <w:ind w:firstLine="0" w:firstLineChars="0"/>
        <w:rPr>
          <w:rFonts w:hint="eastAsia"/>
          <w:color w:val="auto"/>
          <w:sz w:val="28"/>
          <w:szCs w:val="28"/>
          <w:highlight w:val="none"/>
        </w:rPr>
      </w:pPr>
      <w:r>
        <w:rPr>
          <w:rFonts w:hint="eastAsia"/>
          <w:color w:val="auto"/>
          <w:sz w:val="28"/>
          <w:szCs w:val="28"/>
          <w:highlight w:val="none"/>
        </w:rPr>
        <w:br w:type="page"/>
      </w:r>
    </w:p>
    <w:p w14:paraId="13BF125D">
      <w:pPr>
        <w:jc w:val="center"/>
        <w:rPr>
          <w:rFonts w:hint="eastAsia"/>
          <w:b/>
          <w:color w:val="auto"/>
          <w:sz w:val="28"/>
          <w:szCs w:val="28"/>
          <w:highlight w:val="none"/>
        </w:rPr>
      </w:pPr>
      <w:r>
        <w:rPr>
          <w:rFonts w:hint="eastAsia"/>
          <w:b/>
          <w:color w:val="auto"/>
          <w:sz w:val="28"/>
          <w:szCs w:val="28"/>
          <w:highlight w:val="none"/>
        </w:rPr>
        <w:t>第</w:t>
      </w:r>
      <w:r>
        <w:rPr>
          <w:rFonts w:hint="eastAsia"/>
          <w:b/>
          <w:color w:val="auto"/>
          <w:sz w:val="28"/>
          <w:szCs w:val="28"/>
          <w:highlight w:val="none"/>
          <w:u w:val="single"/>
          <w:lang w:eastAsia="zh-CN"/>
        </w:rPr>
        <w:t xml:space="preserve"> </w:t>
      </w:r>
      <w:r>
        <w:rPr>
          <w:rFonts w:hint="eastAsia"/>
          <w:b/>
          <w:color w:val="auto"/>
          <w:sz w:val="28"/>
          <w:szCs w:val="28"/>
          <w:highlight w:val="none"/>
          <w:u w:val="single"/>
          <w:lang w:val="en-US" w:eastAsia="zh-CN"/>
        </w:rPr>
        <w:t xml:space="preserve"> </w:t>
      </w:r>
      <w:r>
        <w:rPr>
          <w:rFonts w:hint="eastAsia"/>
          <w:b/>
          <w:color w:val="auto"/>
          <w:sz w:val="28"/>
          <w:szCs w:val="28"/>
          <w:highlight w:val="none"/>
        </w:rPr>
        <w:t>季度绿化考核评分表</w:t>
      </w:r>
    </w:p>
    <w:tbl>
      <w:tblPr>
        <w:tblStyle w:val="3"/>
        <w:tblpPr w:leftFromText="180" w:rightFromText="180" w:vertAnchor="text" w:horzAnchor="page" w:tblpX="1024" w:tblpY="2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1245"/>
        <w:gridCol w:w="1665"/>
        <w:gridCol w:w="645"/>
        <w:gridCol w:w="1568"/>
        <w:gridCol w:w="1568"/>
        <w:gridCol w:w="1568"/>
        <w:gridCol w:w="1568"/>
      </w:tblGrid>
      <w:tr w14:paraId="7915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14" w:type="dxa"/>
            <w:vMerge w:val="restart"/>
            <w:noWrap w:val="0"/>
            <w:vAlign w:val="center"/>
          </w:tcPr>
          <w:p w14:paraId="191E97DE">
            <w:pPr>
              <w:spacing w:line="300" w:lineRule="exact"/>
              <w:jc w:val="center"/>
              <w:rPr>
                <w:rFonts w:hint="eastAsia"/>
                <w:color w:val="auto"/>
                <w:highlight w:val="none"/>
              </w:rPr>
            </w:pPr>
            <w:r>
              <w:rPr>
                <w:rFonts w:hint="eastAsia"/>
                <w:color w:val="auto"/>
                <w:sz w:val="24"/>
                <w:highlight w:val="none"/>
              </w:rPr>
              <w:t>序号</w:t>
            </w:r>
          </w:p>
        </w:tc>
        <w:tc>
          <w:tcPr>
            <w:tcW w:w="1245" w:type="dxa"/>
            <w:vMerge w:val="restart"/>
            <w:noWrap w:val="0"/>
            <w:vAlign w:val="center"/>
          </w:tcPr>
          <w:p w14:paraId="63FA149B">
            <w:pPr>
              <w:spacing w:line="300" w:lineRule="exact"/>
              <w:jc w:val="center"/>
              <w:rPr>
                <w:rFonts w:hint="eastAsia"/>
                <w:color w:val="auto"/>
                <w:highlight w:val="none"/>
              </w:rPr>
            </w:pPr>
            <w:r>
              <w:rPr>
                <w:rFonts w:hint="eastAsia"/>
                <w:color w:val="auto"/>
                <w:sz w:val="28"/>
                <w:szCs w:val="28"/>
                <w:highlight w:val="none"/>
              </w:rPr>
              <w:t>项目</w:t>
            </w:r>
          </w:p>
        </w:tc>
        <w:tc>
          <w:tcPr>
            <w:tcW w:w="1665" w:type="dxa"/>
            <w:vMerge w:val="restart"/>
            <w:noWrap w:val="0"/>
            <w:vAlign w:val="center"/>
          </w:tcPr>
          <w:p w14:paraId="3A89BB0E">
            <w:pPr>
              <w:spacing w:line="300" w:lineRule="exact"/>
              <w:jc w:val="center"/>
              <w:rPr>
                <w:rFonts w:hint="eastAsia"/>
                <w:color w:val="auto"/>
                <w:sz w:val="28"/>
                <w:szCs w:val="28"/>
                <w:highlight w:val="none"/>
              </w:rPr>
            </w:pPr>
            <w:r>
              <w:rPr>
                <w:rFonts w:hint="eastAsia"/>
                <w:color w:val="auto"/>
                <w:sz w:val="28"/>
                <w:szCs w:val="28"/>
                <w:highlight w:val="none"/>
              </w:rPr>
              <w:t>项目要求</w:t>
            </w:r>
          </w:p>
        </w:tc>
        <w:tc>
          <w:tcPr>
            <w:tcW w:w="645" w:type="dxa"/>
            <w:vMerge w:val="restart"/>
            <w:noWrap w:val="0"/>
            <w:vAlign w:val="center"/>
          </w:tcPr>
          <w:p w14:paraId="50E602F5">
            <w:pPr>
              <w:spacing w:line="300" w:lineRule="exact"/>
              <w:jc w:val="center"/>
              <w:rPr>
                <w:rFonts w:hint="eastAsia"/>
                <w:color w:val="auto"/>
                <w:sz w:val="24"/>
                <w:szCs w:val="24"/>
                <w:highlight w:val="none"/>
              </w:rPr>
            </w:pPr>
            <w:r>
              <w:rPr>
                <w:rFonts w:hint="eastAsia"/>
                <w:color w:val="auto"/>
                <w:sz w:val="24"/>
                <w:highlight w:val="none"/>
              </w:rPr>
              <w:t>单项分</w:t>
            </w:r>
          </w:p>
        </w:tc>
        <w:tc>
          <w:tcPr>
            <w:tcW w:w="4704" w:type="dxa"/>
            <w:gridSpan w:val="3"/>
            <w:noWrap w:val="0"/>
            <w:vAlign w:val="center"/>
          </w:tcPr>
          <w:p w14:paraId="04D4B623">
            <w:pPr>
              <w:spacing w:line="300" w:lineRule="exact"/>
              <w:jc w:val="center"/>
              <w:rPr>
                <w:rFonts w:hint="eastAsia"/>
                <w:color w:val="auto"/>
                <w:sz w:val="24"/>
                <w:highlight w:val="none"/>
              </w:rPr>
            </w:pPr>
            <w:r>
              <w:rPr>
                <w:rFonts w:hint="eastAsia"/>
                <w:color w:val="auto"/>
                <w:sz w:val="24"/>
                <w:highlight w:val="none"/>
              </w:rPr>
              <w:t>检查情况</w:t>
            </w:r>
          </w:p>
        </w:tc>
        <w:tc>
          <w:tcPr>
            <w:tcW w:w="1568" w:type="dxa"/>
            <w:vMerge w:val="restart"/>
            <w:noWrap w:val="0"/>
            <w:vAlign w:val="center"/>
          </w:tcPr>
          <w:p w14:paraId="33333525">
            <w:pPr>
              <w:spacing w:line="300" w:lineRule="exact"/>
              <w:jc w:val="center"/>
              <w:rPr>
                <w:rFonts w:hint="eastAsia"/>
                <w:color w:val="auto"/>
                <w:sz w:val="24"/>
                <w:highlight w:val="none"/>
              </w:rPr>
            </w:pPr>
            <w:r>
              <w:rPr>
                <w:rFonts w:hint="eastAsia"/>
                <w:color w:val="auto"/>
                <w:szCs w:val="21"/>
                <w:highlight w:val="none"/>
              </w:rPr>
              <w:t>考核分</w:t>
            </w:r>
          </w:p>
        </w:tc>
      </w:tr>
      <w:tr w14:paraId="35BAA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4" w:type="dxa"/>
            <w:vMerge w:val="continue"/>
            <w:noWrap w:val="0"/>
            <w:vAlign w:val="top"/>
          </w:tcPr>
          <w:p w14:paraId="246DE6D8">
            <w:pPr>
              <w:spacing w:line="300" w:lineRule="exact"/>
              <w:rPr>
                <w:rFonts w:hint="eastAsia"/>
                <w:color w:val="auto"/>
                <w:highlight w:val="none"/>
              </w:rPr>
            </w:pPr>
          </w:p>
        </w:tc>
        <w:tc>
          <w:tcPr>
            <w:tcW w:w="1245" w:type="dxa"/>
            <w:vMerge w:val="continue"/>
            <w:noWrap w:val="0"/>
            <w:vAlign w:val="top"/>
          </w:tcPr>
          <w:p w14:paraId="2D92A0A5">
            <w:pPr>
              <w:spacing w:line="300" w:lineRule="exact"/>
              <w:rPr>
                <w:rFonts w:hint="eastAsia"/>
                <w:color w:val="auto"/>
                <w:highlight w:val="none"/>
              </w:rPr>
            </w:pPr>
          </w:p>
        </w:tc>
        <w:tc>
          <w:tcPr>
            <w:tcW w:w="1665" w:type="dxa"/>
            <w:vMerge w:val="continue"/>
            <w:noWrap w:val="0"/>
            <w:vAlign w:val="center"/>
          </w:tcPr>
          <w:p w14:paraId="057C03DC">
            <w:pPr>
              <w:spacing w:line="300" w:lineRule="exact"/>
              <w:jc w:val="center"/>
              <w:rPr>
                <w:rFonts w:hint="eastAsia"/>
                <w:color w:val="auto"/>
                <w:sz w:val="28"/>
                <w:szCs w:val="28"/>
                <w:highlight w:val="none"/>
              </w:rPr>
            </w:pPr>
          </w:p>
        </w:tc>
        <w:tc>
          <w:tcPr>
            <w:tcW w:w="645" w:type="dxa"/>
            <w:vMerge w:val="continue"/>
            <w:noWrap w:val="0"/>
            <w:vAlign w:val="center"/>
          </w:tcPr>
          <w:p w14:paraId="3D8D1FE8">
            <w:pPr>
              <w:spacing w:line="300" w:lineRule="exact"/>
              <w:jc w:val="center"/>
              <w:rPr>
                <w:rFonts w:hint="eastAsia"/>
                <w:color w:val="auto"/>
                <w:sz w:val="24"/>
                <w:szCs w:val="24"/>
                <w:highlight w:val="none"/>
              </w:rPr>
            </w:pPr>
          </w:p>
        </w:tc>
        <w:tc>
          <w:tcPr>
            <w:tcW w:w="1568" w:type="dxa"/>
            <w:noWrap w:val="0"/>
            <w:vAlign w:val="center"/>
          </w:tcPr>
          <w:p w14:paraId="3AC917E5">
            <w:pPr>
              <w:spacing w:line="300" w:lineRule="exact"/>
              <w:jc w:val="center"/>
              <w:rPr>
                <w:rFonts w:hint="eastAsia"/>
                <w:color w:val="auto"/>
                <w:sz w:val="24"/>
                <w:highlight w:val="none"/>
              </w:rPr>
            </w:pPr>
            <w:r>
              <w:rPr>
                <w:rFonts w:hint="eastAsia"/>
                <w:color w:val="auto"/>
                <w:sz w:val="24"/>
                <w:highlight w:val="none"/>
              </w:rPr>
              <w:t>一</w:t>
            </w:r>
          </w:p>
        </w:tc>
        <w:tc>
          <w:tcPr>
            <w:tcW w:w="1568" w:type="dxa"/>
            <w:noWrap w:val="0"/>
            <w:vAlign w:val="center"/>
          </w:tcPr>
          <w:p w14:paraId="44F59F8A">
            <w:pPr>
              <w:spacing w:line="300" w:lineRule="exact"/>
              <w:jc w:val="center"/>
              <w:rPr>
                <w:rFonts w:hint="eastAsia"/>
                <w:color w:val="auto"/>
                <w:sz w:val="24"/>
                <w:highlight w:val="none"/>
              </w:rPr>
            </w:pPr>
            <w:r>
              <w:rPr>
                <w:rFonts w:hint="eastAsia"/>
                <w:color w:val="auto"/>
                <w:sz w:val="24"/>
                <w:highlight w:val="none"/>
              </w:rPr>
              <w:t>二</w:t>
            </w:r>
          </w:p>
        </w:tc>
        <w:tc>
          <w:tcPr>
            <w:tcW w:w="1568" w:type="dxa"/>
            <w:noWrap w:val="0"/>
            <w:vAlign w:val="center"/>
          </w:tcPr>
          <w:p w14:paraId="2707D14D">
            <w:pPr>
              <w:spacing w:line="300" w:lineRule="exact"/>
              <w:jc w:val="center"/>
              <w:rPr>
                <w:rFonts w:hint="eastAsia"/>
                <w:color w:val="auto"/>
                <w:sz w:val="24"/>
                <w:highlight w:val="none"/>
              </w:rPr>
            </w:pPr>
            <w:r>
              <w:rPr>
                <w:rFonts w:hint="eastAsia"/>
                <w:color w:val="auto"/>
                <w:sz w:val="24"/>
                <w:highlight w:val="none"/>
              </w:rPr>
              <w:t>三</w:t>
            </w:r>
          </w:p>
        </w:tc>
        <w:tc>
          <w:tcPr>
            <w:tcW w:w="1568" w:type="dxa"/>
            <w:vMerge w:val="continue"/>
            <w:noWrap w:val="0"/>
            <w:vAlign w:val="center"/>
          </w:tcPr>
          <w:p w14:paraId="2FC74483">
            <w:pPr>
              <w:spacing w:line="300" w:lineRule="exact"/>
              <w:jc w:val="center"/>
              <w:rPr>
                <w:rFonts w:hint="eastAsia"/>
                <w:color w:val="auto"/>
                <w:sz w:val="24"/>
                <w:highlight w:val="none"/>
              </w:rPr>
            </w:pPr>
          </w:p>
        </w:tc>
      </w:tr>
      <w:tr w14:paraId="703D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4" w:type="dxa"/>
            <w:noWrap w:val="0"/>
            <w:vAlign w:val="center"/>
          </w:tcPr>
          <w:p w14:paraId="58392B14">
            <w:pPr>
              <w:spacing w:line="300" w:lineRule="exact"/>
              <w:jc w:val="center"/>
              <w:rPr>
                <w:rFonts w:hint="eastAsia"/>
                <w:color w:val="auto"/>
                <w:highlight w:val="none"/>
              </w:rPr>
            </w:pPr>
            <w:r>
              <w:rPr>
                <w:rFonts w:hint="eastAsia"/>
                <w:color w:val="auto"/>
                <w:highlight w:val="none"/>
              </w:rPr>
              <w:t>1</w:t>
            </w:r>
          </w:p>
        </w:tc>
        <w:tc>
          <w:tcPr>
            <w:tcW w:w="1245" w:type="dxa"/>
            <w:noWrap w:val="0"/>
            <w:vAlign w:val="center"/>
          </w:tcPr>
          <w:p w14:paraId="03BAD7E7">
            <w:pPr>
              <w:spacing w:line="300" w:lineRule="exact"/>
              <w:jc w:val="center"/>
              <w:rPr>
                <w:rFonts w:hint="eastAsia"/>
                <w:color w:val="auto"/>
                <w:highlight w:val="none"/>
              </w:rPr>
            </w:pPr>
            <w:r>
              <w:rPr>
                <w:rFonts w:hint="eastAsia"/>
                <w:color w:val="auto"/>
                <w:highlight w:val="none"/>
              </w:rPr>
              <w:t>工作计划</w:t>
            </w:r>
          </w:p>
          <w:p w14:paraId="274B80A1">
            <w:pPr>
              <w:spacing w:line="300" w:lineRule="exact"/>
              <w:jc w:val="center"/>
              <w:rPr>
                <w:rFonts w:hint="eastAsia"/>
                <w:color w:val="auto"/>
                <w:highlight w:val="none"/>
              </w:rPr>
            </w:pPr>
            <w:r>
              <w:rPr>
                <w:rFonts w:hint="eastAsia"/>
                <w:color w:val="auto"/>
                <w:highlight w:val="none"/>
              </w:rPr>
              <w:t>5</w:t>
            </w:r>
          </w:p>
        </w:tc>
        <w:tc>
          <w:tcPr>
            <w:tcW w:w="1665" w:type="dxa"/>
            <w:noWrap w:val="0"/>
            <w:vAlign w:val="top"/>
          </w:tcPr>
          <w:p w14:paraId="0B0B6C29">
            <w:pPr>
              <w:spacing w:line="280" w:lineRule="exact"/>
              <w:rPr>
                <w:rFonts w:hint="eastAsia"/>
                <w:color w:val="auto"/>
                <w:highlight w:val="none"/>
              </w:rPr>
            </w:pPr>
            <w:r>
              <w:rPr>
                <w:rFonts w:hint="eastAsia"/>
                <w:color w:val="auto"/>
                <w:highlight w:val="none"/>
              </w:rPr>
              <w:t>工作计划，春季绿地调整种植和植树情况</w:t>
            </w:r>
          </w:p>
        </w:tc>
        <w:tc>
          <w:tcPr>
            <w:tcW w:w="645" w:type="dxa"/>
            <w:noWrap w:val="0"/>
            <w:vAlign w:val="center"/>
          </w:tcPr>
          <w:p w14:paraId="3235E404">
            <w:pPr>
              <w:spacing w:line="300" w:lineRule="exact"/>
              <w:jc w:val="center"/>
              <w:rPr>
                <w:rFonts w:hint="eastAsia"/>
                <w:color w:val="auto"/>
                <w:highlight w:val="none"/>
              </w:rPr>
            </w:pPr>
            <w:r>
              <w:rPr>
                <w:rFonts w:hint="eastAsia"/>
                <w:color w:val="auto"/>
                <w:highlight w:val="none"/>
              </w:rPr>
              <w:t>5</w:t>
            </w:r>
          </w:p>
        </w:tc>
        <w:tc>
          <w:tcPr>
            <w:tcW w:w="1568" w:type="dxa"/>
            <w:noWrap w:val="0"/>
            <w:vAlign w:val="top"/>
          </w:tcPr>
          <w:p w14:paraId="5499F4FA">
            <w:pPr>
              <w:spacing w:line="300" w:lineRule="exact"/>
              <w:rPr>
                <w:rFonts w:hint="eastAsia"/>
                <w:color w:val="auto"/>
                <w:highlight w:val="none"/>
              </w:rPr>
            </w:pPr>
          </w:p>
        </w:tc>
        <w:tc>
          <w:tcPr>
            <w:tcW w:w="1568" w:type="dxa"/>
            <w:noWrap w:val="0"/>
            <w:vAlign w:val="top"/>
          </w:tcPr>
          <w:p w14:paraId="7F52861C">
            <w:pPr>
              <w:spacing w:line="300" w:lineRule="exact"/>
              <w:rPr>
                <w:rFonts w:hint="eastAsia"/>
                <w:color w:val="auto"/>
                <w:highlight w:val="none"/>
              </w:rPr>
            </w:pPr>
          </w:p>
        </w:tc>
        <w:tc>
          <w:tcPr>
            <w:tcW w:w="1568" w:type="dxa"/>
            <w:noWrap w:val="0"/>
            <w:vAlign w:val="top"/>
          </w:tcPr>
          <w:p w14:paraId="32FACC67">
            <w:pPr>
              <w:spacing w:line="300" w:lineRule="exact"/>
              <w:rPr>
                <w:rFonts w:hint="eastAsia"/>
                <w:color w:val="auto"/>
                <w:highlight w:val="none"/>
              </w:rPr>
            </w:pPr>
          </w:p>
        </w:tc>
        <w:tc>
          <w:tcPr>
            <w:tcW w:w="1568" w:type="dxa"/>
            <w:noWrap w:val="0"/>
            <w:vAlign w:val="top"/>
          </w:tcPr>
          <w:p w14:paraId="2F59A0C5">
            <w:pPr>
              <w:spacing w:line="300" w:lineRule="exact"/>
              <w:rPr>
                <w:rFonts w:hint="eastAsia"/>
                <w:color w:val="auto"/>
                <w:highlight w:val="none"/>
              </w:rPr>
            </w:pPr>
          </w:p>
        </w:tc>
      </w:tr>
      <w:tr w14:paraId="52F4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restart"/>
            <w:noWrap w:val="0"/>
            <w:vAlign w:val="center"/>
          </w:tcPr>
          <w:p w14:paraId="460DA9BB">
            <w:pPr>
              <w:spacing w:line="340" w:lineRule="exact"/>
              <w:jc w:val="center"/>
              <w:rPr>
                <w:rFonts w:hint="eastAsia"/>
                <w:color w:val="auto"/>
                <w:highlight w:val="none"/>
              </w:rPr>
            </w:pPr>
            <w:r>
              <w:rPr>
                <w:rFonts w:hint="eastAsia"/>
                <w:color w:val="auto"/>
                <w:highlight w:val="none"/>
              </w:rPr>
              <w:t>2</w:t>
            </w:r>
          </w:p>
        </w:tc>
        <w:tc>
          <w:tcPr>
            <w:tcW w:w="1245" w:type="dxa"/>
            <w:vMerge w:val="restart"/>
            <w:noWrap w:val="0"/>
            <w:vAlign w:val="center"/>
          </w:tcPr>
          <w:p w14:paraId="648F62F7">
            <w:pPr>
              <w:spacing w:line="340" w:lineRule="exact"/>
              <w:jc w:val="center"/>
              <w:rPr>
                <w:rFonts w:hint="eastAsia"/>
                <w:color w:val="auto"/>
                <w:highlight w:val="none"/>
              </w:rPr>
            </w:pPr>
            <w:r>
              <w:rPr>
                <w:rFonts w:hint="eastAsia"/>
                <w:color w:val="auto"/>
                <w:highlight w:val="none"/>
              </w:rPr>
              <w:t>松土除草20</w:t>
            </w:r>
          </w:p>
        </w:tc>
        <w:tc>
          <w:tcPr>
            <w:tcW w:w="1665" w:type="dxa"/>
            <w:noWrap w:val="0"/>
            <w:vAlign w:val="top"/>
          </w:tcPr>
          <w:p w14:paraId="75CC68DE">
            <w:pPr>
              <w:spacing w:line="280" w:lineRule="exact"/>
              <w:rPr>
                <w:rFonts w:hint="eastAsia"/>
                <w:color w:val="auto"/>
                <w:highlight w:val="none"/>
              </w:rPr>
            </w:pPr>
            <w:r>
              <w:rPr>
                <w:rFonts w:hint="eastAsia"/>
                <w:color w:val="auto"/>
                <w:highlight w:val="none"/>
              </w:rPr>
              <w:t>树穴整修，草坪与绿篱、树木等的切边</w:t>
            </w:r>
          </w:p>
        </w:tc>
        <w:tc>
          <w:tcPr>
            <w:tcW w:w="645" w:type="dxa"/>
            <w:noWrap w:val="0"/>
            <w:vAlign w:val="center"/>
          </w:tcPr>
          <w:p w14:paraId="40C81E07">
            <w:pPr>
              <w:spacing w:line="340" w:lineRule="exact"/>
              <w:jc w:val="center"/>
              <w:rPr>
                <w:rFonts w:hint="eastAsia"/>
                <w:color w:val="auto"/>
                <w:highlight w:val="none"/>
              </w:rPr>
            </w:pPr>
            <w:r>
              <w:rPr>
                <w:rFonts w:hint="eastAsia"/>
                <w:color w:val="auto"/>
                <w:highlight w:val="none"/>
              </w:rPr>
              <w:t>5</w:t>
            </w:r>
          </w:p>
        </w:tc>
        <w:tc>
          <w:tcPr>
            <w:tcW w:w="1568" w:type="dxa"/>
            <w:noWrap w:val="0"/>
            <w:vAlign w:val="top"/>
          </w:tcPr>
          <w:p w14:paraId="5690313A">
            <w:pPr>
              <w:spacing w:line="340" w:lineRule="exact"/>
              <w:rPr>
                <w:rFonts w:hint="eastAsia"/>
                <w:color w:val="auto"/>
                <w:highlight w:val="none"/>
              </w:rPr>
            </w:pPr>
          </w:p>
        </w:tc>
        <w:tc>
          <w:tcPr>
            <w:tcW w:w="1568" w:type="dxa"/>
            <w:noWrap w:val="0"/>
            <w:vAlign w:val="top"/>
          </w:tcPr>
          <w:p w14:paraId="3ADC7640">
            <w:pPr>
              <w:spacing w:line="340" w:lineRule="exact"/>
              <w:rPr>
                <w:rFonts w:hint="eastAsia"/>
                <w:color w:val="auto"/>
                <w:highlight w:val="none"/>
              </w:rPr>
            </w:pPr>
          </w:p>
        </w:tc>
        <w:tc>
          <w:tcPr>
            <w:tcW w:w="1568" w:type="dxa"/>
            <w:noWrap w:val="0"/>
            <w:vAlign w:val="top"/>
          </w:tcPr>
          <w:p w14:paraId="1704767C">
            <w:pPr>
              <w:spacing w:line="340" w:lineRule="exact"/>
              <w:rPr>
                <w:rFonts w:hint="eastAsia"/>
                <w:color w:val="auto"/>
                <w:highlight w:val="none"/>
              </w:rPr>
            </w:pPr>
          </w:p>
        </w:tc>
        <w:tc>
          <w:tcPr>
            <w:tcW w:w="1568" w:type="dxa"/>
            <w:noWrap w:val="0"/>
            <w:vAlign w:val="top"/>
          </w:tcPr>
          <w:p w14:paraId="4587E924">
            <w:pPr>
              <w:spacing w:line="340" w:lineRule="exact"/>
              <w:rPr>
                <w:rFonts w:hint="eastAsia"/>
                <w:color w:val="auto"/>
                <w:highlight w:val="none"/>
              </w:rPr>
            </w:pPr>
          </w:p>
        </w:tc>
      </w:tr>
      <w:tr w14:paraId="1FBE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continue"/>
            <w:noWrap w:val="0"/>
            <w:vAlign w:val="center"/>
          </w:tcPr>
          <w:p w14:paraId="3F8970D8">
            <w:pPr>
              <w:spacing w:line="340" w:lineRule="exact"/>
              <w:jc w:val="center"/>
              <w:rPr>
                <w:rFonts w:hint="eastAsia"/>
                <w:color w:val="auto"/>
                <w:highlight w:val="none"/>
              </w:rPr>
            </w:pPr>
          </w:p>
        </w:tc>
        <w:tc>
          <w:tcPr>
            <w:tcW w:w="1245" w:type="dxa"/>
            <w:vMerge w:val="continue"/>
            <w:noWrap w:val="0"/>
            <w:vAlign w:val="center"/>
          </w:tcPr>
          <w:p w14:paraId="48B8FD69">
            <w:pPr>
              <w:spacing w:line="340" w:lineRule="exact"/>
              <w:jc w:val="center"/>
              <w:rPr>
                <w:rFonts w:hint="eastAsia"/>
                <w:color w:val="auto"/>
                <w:highlight w:val="none"/>
              </w:rPr>
            </w:pPr>
          </w:p>
        </w:tc>
        <w:tc>
          <w:tcPr>
            <w:tcW w:w="1665" w:type="dxa"/>
            <w:noWrap w:val="0"/>
            <w:vAlign w:val="top"/>
          </w:tcPr>
          <w:p w14:paraId="71D5A081">
            <w:pPr>
              <w:spacing w:line="280" w:lineRule="exact"/>
              <w:rPr>
                <w:rFonts w:hint="eastAsia"/>
                <w:color w:val="auto"/>
                <w:highlight w:val="none"/>
              </w:rPr>
            </w:pPr>
            <w:r>
              <w:rPr>
                <w:rFonts w:hint="eastAsia"/>
                <w:color w:val="auto"/>
                <w:highlight w:val="none"/>
              </w:rPr>
              <w:t>绿地内无砖块、垃圾、杂物，无卫生死角</w:t>
            </w:r>
          </w:p>
        </w:tc>
        <w:tc>
          <w:tcPr>
            <w:tcW w:w="645" w:type="dxa"/>
            <w:noWrap w:val="0"/>
            <w:vAlign w:val="center"/>
          </w:tcPr>
          <w:p w14:paraId="5C3AE2CA">
            <w:pPr>
              <w:spacing w:line="340" w:lineRule="exact"/>
              <w:jc w:val="center"/>
              <w:rPr>
                <w:rFonts w:hint="eastAsia"/>
                <w:color w:val="auto"/>
                <w:highlight w:val="none"/>
              </w:rPr>
            </w:pPr>
            <w:r>
              <w:rPr>
                <w:rFonts w:hint="eastAsia"/>
                <w:color w:val="auto"/>
                <w:highlight w:val="none"/>
              </w:rPr>
              <w:t>10</w:t>
            </w:r>
          </w:p>
        </w:tc>
        <w:tc>
          <w:tcPr>
            <w:tcW w:w="1568" w:type="dxa"/>
            <w:noWrap w:val="0"/>
            <w:vAlign w:val="top"/>
          </w:tcPr>
          <w:p w14:paraId="1C682966">
            <w:pPr>
              <w:spacing w:line="340" w:lineRule="exact"/>
              <w:rPr>
                <w:rFonts w:hint="eastAsia"/>
                <w:color w:val="auto"/>
                <w:highlight w:val="none"/>
              </w:rPr>
            </w:pPr>
          </w:p>
        </w:tc>
        <w:tc>
          <w:tcPr>
            <w:tcW w:w="1568" w:type="dxa"/>
            <w:noWrap w:val="0"/>
            <w:vAlign w:val="top"/>
          </w:tcPr>
          <w:p w14:paraId="5C11B6F5">
            <w:pPr>
              <w:spacing w:line="340" w:lineRule="exact"/>
              <w:rPr>
                <w:rFonts w:hint="eastAsia"/>
                <w:color w:val="auto"/>
                <w:highlight w:val="none"/>
              </w:rPr>
            </w:pPr>
          </w:p>
        </w:tc>
        <w:tc>
          <w:tcPr>
            <w:tcW w:w="1568" w:type="dxa"/>
            <w:noWrap w:val="0"/>
            <w:vAlign w:val="top"/>
          </w:tcPr>
          <w:p w14:paraId="1E657624">
            <w:pPr>
              <w:spacing w:line="340" w:lineRule="exact"/>
              <w:rPr>
                <w:rFonts w:hint="eastAsia"/>
                <w:color w:val="auto"/>
                <w:highlight w:val="none"/>
              </w:rPr>
            </w:pPr>
          </w:p>
        </w:tc>
        <w:tc>
          <w:tcPr>
            <w:tcW w:w="1568" w:type="dxa"/>
            <w:noWrap w:val="0"/>
            <w:vAlign w:val="top"/>
          </w:tcPr>
          <w:p w14:paraId="24427DCB">
            <w:pPr>
              <w:spacing w:line="340" w:lineRule="exact"/>
              <w:rPr>
                <w:rFonts w:hint="eastAsia"/>
                <w:color w:val="auto"/>
                <w:highlight w:val="none"/>
              </w:rPr>
            </w:pPr>
          </w:p>
        </w:tc>
      </w:tr>
      <w:tr w14:paraId="0CF9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 w:type="dxa"/>
            <w:vMerge w:val="continue"/>
            <w:noWrap w:val="0"/>
            <w:vAlign w:val="center"/>
          </w:tcPr>
          <w:p w14:paraId="19862925">
            <w:pPr>
              <w:spacing w:line="340" w:lineRule="exact"/>
              <w:jc w:val="center"/>
              <w:rPr>
                <w:rFonts w:hint="eastAsia"/>
                <w:color w:val="auto"/>
                <w:highlight w:val="none"/>
              </w:rPr>
            </w:pPr>
          </w:p>
        </w:tc>
        <w:tc>
          <w:tcPr>
            <w:tcW w:w="1245" w:type="dxa"/>
            <w:vMerge w:val="continue"/>
            <w:noWrap w:val="0"/>
            <w:vAlign w:val="center"/>
          </w:tcPr>
          <w:p w14:paraId="20E3DCF1">
            <w:pPr>
              <w:spacing w:line="340" w:lineRule="exact"/>
              <w:jc w:val="center"/>
              <w:rPr>
                <w:rFonts w:hint="eastAsia"/>
                <w:color w:val="auto"/>
                <w:highlight w:val="none"/>
              </w:rPr>
            </w:pPr>
          </w:p>
        </w:tc>
        <w:tc>
          <w:tcPr>
            <w:tcW w:w="1665" w:type="dxa"/>
            <w:noWrap w:val="0"/>
            <w:vAlign w:val="top"/>
          </w:tcPr>
          <w:p w14:paraId="4D68D4EA">
            <w:pPr>
              <w:spacing w:line="280" w:lineRule="exact"/>
              <w:rPr>
                <w:rFonts w:hint="eastAsia"/>
                <w:color w:val="auto"/>
                <w:highlight w:val="none"/>
              </w:rPr>
            </w:pPr>
            <w:r>
              <w:rPr>
                <w:rFonts w:hint="eastAsia"/>
                <w:color w:val="auto"/>
                <w:highlight w:val="none"/>
              </w:rPr>
              <w:t>绿地内无杂草</w:t>
            </w:r>
          </w:p>
        </w:tc>
        <w:tc>
          <w:tcPr>
            <w:tcW w:w="645" w:type="dxa"/>
            <w:noWrap w:val="0"/>
            <w:vAlign w:val="center"/>
          </w:tcPr>
          <w:p w14:paraId="5AADB115">
            <w:pPr>
              <w:spacing w:line="340" w:lineRule="exact"/>
              <w:jc w:val="center"/>
              <w:rPr>
                <w:rFonts w:hint="eastAsia"/>
                <w:color w:val="auto"/>
                <w:highlight w:val="none"/>
              </w:rPr>
            </w:pPr>
            <w:r>
              <w:rPr>
                <w:rFonts w:hint="eastAsia"/>
                <w:color w:val="auto"/>
                <w:highlight w:val="none"/>
              </w:rPr>
              <w:t>5</w:t>
            </w:r>
          </w:p>
        </w:tc>
        <w:tc>
          <w:tcPr>
            <w:tcW w:w="1568" w:type="dxa"/>
            <w:noWrap w:val="0"/>
            <w:vAlign w:val="top"/>
          </w:tcPr>
          <w:p w14:paraId="59DACF89">
            <w:pPr>
              <w:spacing w:line="340" w:lineRule="exact"/>
              <w:rPr>
                <w:rFonts w:hint="eastAsia"/>
                <w:color w:val="auto"/>
                <w:highlight w:val="none"/>
              </w:rPr>
            </w:pPr>
          </w:p>
        </w:tc>
        <w:tc>
          <w:tcPr>
            <w:tcW w:w="1568" w:type="dxa"/>
            <w:noWrap w:val="0"/>
            <w:vAlign w:val="top"/>
          </w:tcPr>
          <w:p w14:paraId="73B7DA03">
            <w:pPr>
              <w:spacing w:line="340" w:lineRule="exact"/>
              <w:rPr>
                <w:rFonts w:hint="eastAsia"/>
                <w:color w:val="auto"/>
                <w:highlight w:val="none"/>
              </w:rPr>
            </w:pPr>
          </w:p>
        </w:tc>
        <w:tc>
          <w:tcPr>
            <w:tcW w:w="1568" w:type="dxa"/>
            <w:noWrap w:val="0"/>
            <w:vAlign w:val="top"/>
          </w:tcPr>
          <w:p w14:paraId="3EB62D7A">
            <w:pPr>
              <w:spacing w:line="340" w:lineRule="exact"/>
              <w:rPr>
                <w:rFonts w:hint="eastAsia"/>
                <w:color w:val="auto"/>
                <w:highlight w:val="none"/>
              </w:rPr>
            </w:pPr>
          </w:p>
        </w:tc>
        <w:tc>
          <w:tcPr>
            <w:tcW w:w="1568" w:type="dxa"/>
            <w:noWrap w:val="0"/>
            <w:vAlign w:val="top"/>
          </w:tcPr>
          <w:p w14:paraId="127EC280">
            <w:pPr>
              <w:spacing w:line="340" w:lineRule="exact"/>
              <w:rPr>
                <w:rFonts w:hint="eastAsia"/>
                <w:color w:val="auto"/>
                <w:highlight w:val="none"/>
              </w:rPr>
            </w:pPr>
          </w:p>
        </w:tc>
      </w:tr>
      <w:tr w14:paraId="1923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14" w:type="dxa"/>
            <w:vMerge w:val="restart"/>
            <w:noWrap w:val="0"/>
            <w:vAlign w:val="center"/>
          </w:tcPr>
          <w:p w14:paraId="1FDCCD24">
            <w:pPr>
              <w:spacing w:line="340" w:lineRule="exact"/>
              <w:jc w:val="center"/>
              <w:rPr>
                <w:rFonts w:hint="eastAsia"/>
                <w:color w:val="auto"/>
                <w:highlight w:val="none"/>
              </w:rPr>
            </w:pPr>
            <w:r>
              <w:rPr>
                <w:rFonts w:hint="eastAsia"/>
                <w:color w:val="auto"/>
                <w:highlight w:val="none"/>
              </w:rPr>
              <w:t>3</w:t>
            </w:r>
          </w:p>
        </w:tc>
        <w:tc>
          <w:tcPr>
            <w:tcW w:w="1245" w:type="dxa"/>
            <w:vMerge w:val="restart"/>
            <w:noWrap w:val="0"/>
            <w:vAlign w:val="center"/>
          </w:tcPr>
          <w:p w14:paraId="0682E071">
            <w:pPr>
              <w:spacing w:line="340" w:lineRule="exact"/>
              <w:jc w:val="center"/>
              <w:rPr>
                <w:rFonts w:hint="eastAsia"/>
                <w:color w:val="auto"/>
                <w:highlight w:val="none"/>
              </w:rPr>
            </w:pPr>
            <w:r>
              <w:rPr>
                <w:rFonts w:hint="eastAsia"/>
                <w:color w:val="auto"/>
                <w:highlight w:val="none"/>
              </w:rPr>
              <w:t>植物长势10</w:t>
            </w:r>
          </w:p>
        </w:tc>
        <w:tc>
          <w:tcPr>
            <w:tcW w:w="1665" w:type="dxa"/>
            <w:noWrap w:val="0"/>
            <w:vAlign w:val="top"/>
          </w:tcPr>
          <w:p w14:paraId="4AB93B71">
            <w:pPr>
              <w:spacing w:line="280" w:lineRule="exact"/>
              <w:rPr>
                <w:rFonts w:hint="eastAsia"/>
                <w:color w:val="auto"/>
                <w:highlight w:val="none"/>
              </w:rPr>
            </w:pPr>
            <w:r>
              <w:rPr>
                <w:rFonts w:hint="eastAsia"/>
                <w:color w:val="auto"/>
                <w:highlight w:val="none"/>
              </w:rPr>
              <w:t>无枯死树木、无断枝，无枯、阴枝</w:t>
            </w:r>
          </w:p>
        </w:tc>
        <w:tc>
          <w:tcPr>
            <w:tcW w:w="645" w:type="dxa"/>
            <w:noWrap w:val="0"/>
            <w:vAlign w:val="center"/>
          </w:tcPr>
          <w:p w14:paraId="33830F86">
            <w:pPr>
              <w:spacing w:line="340" w:lineRule="exact"/>
              <w:jc w:val="center"/>
              <w:rPr>
                <w:rFonts w:hint="eastAsia"/>
                <w:color w:val="auto"/>
                <w:highlight w:val="none"/>
              </w:rPr>
            </w:pPr>
            <w:r>
              <w:rPr>
                <w:rFonts w:hint="eastAsia"/>
                <w:color w:val="auto"/>
                <w:highlight w:val="none"/>
              </w:rPr>
              <w:t>5</w:t>
            </w:r>
          </w:p>
        </w:tc>
        <w:tc>
          <w:tcPr>
            <w:tcW w:w="1568" w:type="dxa"/>
            <w:noWrap w:val="0"/>
            <w:vAlign w:val="top"/>
          </w:tcPr>
          <w:p w14:paraId="54D78F8B">
            <w:pPr>
              <w:spacing w:line="340" w:lineRule="exact"/>
              <w:rPr>
                <w:rFonts w:hint="eastAsia"/>
                <w:color w:val="auto"/>
                <w:highlight w:val="none"/>
              </w:rPr>
            </w:pPr>
          </w:p>
        </w:tc>
        <w:tc>
          <w:tcPr>
            <w:tcW w:w="1568" w:type="dxa"/>
            <w:noWrap w:val="0"/>
            <w:vAlign w:val="top"/>
          </w:tcPr>
          <w:p w14:paraId="4D34496D">
            <w:pPr>
              <w:spacing w:line="340" w:lineRule="exact"/>
              <w:rPr>
                <w:rFonts w:hint="eastAsia"/>
                <w:color w:val="auto"/>
                <w:highlight w:val="none"/>
              </w:rPr>
            </w:pPr>
          </w:p>
        </w:tc>
        <w:tc>
          <w:tcPr>
            <w:tcW w:w="1568" w:type="dxa"/>
            <w:noWrap w:val="0"/>
            <w:vAlign w:val="top"/>
          </w:tcPr>
          <w:p w14:paraId="264C6DA0">
            <w:pPr>
              <w:spacing w:line="340" w:lineRule="exact"/>
              <w:rPr>
                <w:rFonts w:hint="eastAsia"/>
                <w:color w:val="auto"/>
                <w:highlight w:val="none"/>
              </w:rPr>
            </w:pPr>
          </w:p>
        </w:tc>
        <w:tc>
          <w:tcPr>
            <w:tcW w:w="1568" w:type="dxa"/>
            <w:noWrap w:val="0"/>
            <w:vAlign w:val="top"/>
          </w:tcPr>
          <w:p w14:paraId="71727B3E">
            <w:pPr>
              <w:spacing w:line="340" w:lineRule="exact"/>
              <w:rPr>
                <w:rFonts w:hint="eastAsia"/>
                <w:color w:val="auto"/>
                <w:highlight w:val="none"/>
              </w:rPr>
            </w:pPr>
          </w:p>
        </w:tc>
      </w:tr>
      <w:tr w14:paraId="1838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14" w:type="dxa"/>
            <w:vMerge w:val="continue"/>
            <w:noWrap w:val="0"/>
            <w:vAlign w:val="center"/>
          </w:tcPr>
          <w:p w14:paraId="634A7210">
            <w:pPr>
              <w:spacing w:line="340" w:lineRule="exact"/>
              <w:jc w:val="center"/>
              <w:rPr>
                <w:rFonts w:hint="eastAsia"/>
                <w:color w:val="auto"/>
                <w:highlight w:val="none"/>
              </w:rPr>
            </w:pPr>
          </w:p>
        </w:tc>
        <w:tc>
          <w:tcPr>
            <w:tcW w:w="1245" w:type="dxa"/>
            <w:vMerge w:val="continue"/>
            <w:noWrap w:val="0"/>
            <w:vAlign w:val="center"/>
          </w:tcPr>
          <w:p w14:paraId="1EEC708E">
            <w:pPr>
              <w:spacing w:line="340" w:lineRule="exact"/>
              <w:jc w:val="center"/>
              <w:rPr>
                <w:rFonts w:hint="eastAsia"/>
                <w:color w:val="auto"/>
                <w:highlight w:val="none"/>
              </w:rPr>
            </w:pPr>
          </w:p>
        </w:tc>
        <w:tc>
          <w:tcPr>
            <w:tcW w:w="1665" w:type="dxa"/>
            <w:noWrap w:val="0"/>
            <w:vAlign w:val="top"/>
          </w:tcPr>
          <w:p w14:paraId="0F9330A4">
            <w:pPr>
              <w:spacing w:line="280" w:lineRule="exact"/>
              <w:rPr>
                <w:rFonts w:hint="eastAsia"/>
                <w:color w:val="auto"/>
                <w:highlight w:val="none"/>
              </w:rPr>
            </w:pPr>
            <w:r>
              <w:rPr>
                <w:rFonts w:hint="eastAsia"/>
                <w:color w:val="auto"/>
                <w:highlight w:val="none"/>
              </w:rPr>
              <w:t>树木扶正、打桩规范</w:t>
            </w:r>
          </w:p>
        </w:tc>
        <w:tc>
          <w:tcPr>
            <w:tcW w:w="645" w:type="dxa"/>
            <w:noWrap w:val="0"/>
            <w:vAlign w:val="center"/>
          </w:tcPr>
          <w:p w14:paraId="00D6DA58">
            <w:pPr>
              <w:spacing w:line="340" w:lineRule="exact"/>
              <w:jc w:val="center"/>
              <w:rPr>
                <w:rFonts w:hint="eastAsia"/>
                <w:color w:val="auto"/>
                <w:highlight w:val="none"/>
              </w:rPr>
            </w:pPr>
            <w:r>
              <w:rPr>
                <w:rFonts w:hint="eastAsia"/>
                <w:color w:val="auto"/>
                <w:highlight w:val="none"/>
              </w:rPr>
              <w:t>5</w:t>
            </w:r>
          </w:p>
        </w:tc>
        <w:tc>
          <w:tcPr>
            <w:tcW w:w="1568" w:type="dxa"/>
            <w:noWrap w:val="0"/>
            <w:vAlign w:val="top"/>
          </w:tcPr>
          <w:p w14:paraId="29AF8F5E">
            <w:pPr>
              <w:spacing w:line="340" w:lineRule="exact"/>
              <w:rPr>
                <w:rFonts w:hint="eastAsia"/>
                <w:color w:val="auto"/>
                <w:highlight w:val="none"/>
              </w:rPr>
            </w:pPr>
          </w:p>
        </w:tc>
        <w:tc>
          <w:tcPr>
            <w:tcW w:w="1568" w:type="dxa"/>
            <w:noWrap w:val="0"/>
            <w:vAlign w:val="top"/>
          </w:tcPr>
          <w:p w14:paraId="6910C104">
            <w:pPr>
              <w:spacing w:line="340" w:lineRule="exact"/>
              <w:rPr>
                <w:rFonts w:hint="eastAsia"/>
                <w:color w:val="auto"/>
                <w:highlight w:val="none"/>
              </w:rPr>
            </w:pPr>
          </w:p>
        </w:tc>
        <w:tc>
          <w:tcPr>
            <w:tcW w:w="1568" w:type="dxa"/>
            <w:noWrap w:val="0"/>
            <w:vAlign w:val="top"/>
          </w:tcPr>
          <w:p w14:paraId="0C6B9B74">
            <w:pPr>
              <w:spacing w:line="340" w:lineRule="exact"/>
              <w:rPr>
                <w:rFonts w:hint="eastAsia"/>
                <w:color w:val="auto"/>
                <w:highlight w:val="none"/>
              </w:rPr>
            </w:pPr>
          </w:p>
        </w:tc>
        <w:tc>
          <w:tcPr>
            <w:tcW w:w="1568" w:type="dxa"/>
            <w:noWrap w:val="0"/>
            <w:vAlign w:val="top"/>
          </w:tcPr>
          <w:p w14:paraId="4A4CCFE9">
            <w:pPr>
              <w:spacing w:line="340" w:lineRule="exact"/>
              <w:rPr>
                <w:rFonts w:hint="eastAsia"/>
                <w:color w:val="auto"/>
                <w:highlight w:val="none"/>
              </w:rPr>
            </w:pPr>
          </w:p>
        </w:tc>
      </w:tr>
      <w:tr w14:paraId="2151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 w:type="dxa"/>
            <w:vMerge w:val="restart"/>
            <w:noWrap w:val="0"/>
            <w:vAlign w:val="center"/>
          </w:tcPr>
          <w:p w14:paraId="3011D9AA">
            <w:pPr>
              <w:spacing w:line="340" w:lineRule="exact"/>
              <w:jc w:val="center"/>
              <w:rPr>
                <w:rFonts w:hint="eastAsia"/>
                <w:color w:val="auto"/>
                <w:highlight w:val="none"/>
              </w:rPr>
            </w:pPr>
            <w:r>
              <w:rPr>
                <w:rFonts w:hint="eastAsia"/>
                <w:color w:val="auto"/>
                <w:highlight w:val="none"/>
              </w:rPr>
              <w:t>4</w:t>
            </w:r>
          </w:p>
        </w:tc>
        <w:tc>
          <w:tcPr>
            <w:tcW w:w="1245" w:type="dxa"/>
            <w:vMerge w:val="restart"/>
            <w:noWrap w:val="0"/>
            <w:vAlign w:val="center"/>
          </w:tcPr>
          <w:p w14:paraId="626FE100">
            <w:pPr>
              <w:spacing w:line="340" w:lineRule="exact"/>
              <w:jc w:val="center"/>
              <w:rPr>
                <w:rFonts w:hint="eastAsia"/>
                <w:color w:val="auto"/>
                <w:highlight w:val="none"/>
              </w:rPr>
            </w:pPr>
            <w:r>
              <w:rPr>
                <w:rFonts w:hint="eastAsia"/>
                <w:color w:val="auto"/>
                <w:highlight w:val="none"/>
              </w:rPr>
              <w:t>修剪30</w:t>
            </w:r>
          </w:p>
        </w:tc>
        <w:tc>
          <w:tcPr>
            <w:tcW w:w="1665" w:type="dxa"/>
            <w:noWrap w:val="0"/>
            <w:vAlign w:val="top"/>
          </w:tcPr>
          <w:p w14:paraId="37BA3967">
            <w:pPr>
              <w:spacing w:line="280" w:lineRule="exact"/>
              <w:rPr>
                <w:rFonts w:hint="eastAsia"/>
                <w:color w:val="auto"/>
                <w:highlight w:val="none"/>
              </w:rPr>
            </w:pPr>
            <w:r>
              <w:rPr>
                <w:rFonts w:hint="eastAsia"/>
                <w:color w:val="auto"/>
                <w:highlight w:val="none"/>
              </w:rPr>
              <w:t>绿篱、色块轮廓明显、无缺棵、无攀缘性杂草</w:t>
            </w:r>
          </w:p>
        </w:tc>
        <w:tc>
          <w:tcPr>
            <w:tcW w:w="645" w:type="dxa"/>
            <w:noWrap w:val="0"/>
            <w:vAlign w:val="center"/>
          </w:tcPr>
          <w:p w14:paraId="00C1A827">
            <w:pPr>
              <w:spacing w:line="340" w:lineRule="exact"/>
              <w:jc w:val="center"/>
              <w:rPr>
                <w:rFonts w:hint="eastAsia"/>
                <w:color w:val="auto"/>
                <w:highlight w:val="none"/>
              </w:rPr>
            </w:pPr>
            <w:r>
              <w:rPr>
                <w:rFonts w:hint="eastAsia"/>
                <w:color w:val="auto"/>
                <w:highlight w:val="none"/>
              </w:rPr>
              <w:t>15</w:t>
            </w:r>
          </w:p>
        </w:tc>
        <w:tc>
          <w:tcPr>
            <w:tcW w:w="1568" w:type="dxa"/>
            <w:noWrap w:val="0"/>
            <w:vAlign w:val="top"/>
          </w:tcPr>
          <w:p w14:paraId="02BC6ED3">
            <w:pPr>
              <w:spacing w:line="340" w:lineRule="exact"/>
              <w:rPr>
                <w:rFonts w:hint="eastAsia"/>
                <w:color w:val="auto"/>
                <w:highlight w:val="none"/>
              </w:rPr>
            </w:pPr>
          </w:p>
        </w:tc>
        <w:tc>
          <w:tcPr>
            <w:tcW w:w="1568" w:type="dxa"/>
            <w:noWrap w:val="0"/>
            <w:vAlign w:val="top"/>
          </w:tcPr>
          <w:p w14:paraId="669E3709">
            <w:pPr>
              <w:spacing w:line="340" w:lineRule="exact"/>
              <w:rPr>
                <w:rFonts w:hint="eastAsia"/>
                <w:color w:val="auto"/>
                <w:highlight w:val="none"/>
              </w:rPr>
            </w:pPr>
          </w:p>
        </w:tc>
        <w:tc>
          <w:tcPr>
            <w:tcW w:w="1568" w:type="dxa"/>
            <w:noWrap w:val="0"/>
            <w:vAlign w:val="top"/>
          </w:tcPr>
          <w:p w14:paraId="2E7F6DAE">
            <w:pPr>
              <w:spacing w:line="340" w:lineRule="exact"/>
              <w:rPr>
                <w:rFonts w:hint="eastAsia"/>
                <w:color w:val="auto"/>
                <w:highlight w:val="none"/>
              </w:rPr>
            </w:pPr>
          </w:p>
        </w:tc>
        <w:tc>
          <w:tcPr>
            <w:tcW w:w="1568" w:type="dxa"/>
            <w:noWrap w:val="0"/>
            <w:vAlign w:val="top"/>
          </w:tcPr>
          <w:p w14:paraId="71302233">
            <w:pPr>
              <w:spacing w:line="340" w:lineRule="exact"/>
              <w:rPr>
                <w:rFonts w:hint="eastAsia"/>
                <w:color w:val="auto"/>
                <w:highlight w:val="none"/>
              </w:rPr>
            </w:pPr>
          </w:p>
        </w:tc>
      </w:tr>
      <w:tr w14:paraId="30F0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continue"/>
            <w:noWrap w:val="0"/>
            <w:vAlign w:val="center"/>
          </w:tcPr>
          <w:p w14:paraId="2813DF78">
            <w:pPr>
              <w:spacing w:line="340" w:lineRule="exact"/>
              <w:jc w:val="center"/>
              <w:rPr>
                <w:rFonts w:hint="eastAsia"/>
                <w:color w:val="auto"/>
                <w:highlight w:val="none"/>
              </w:rPr>
            </w:pPr>
          </w:p>
        </w:tc>
        <w:tc>
          <w:tcPr>
            <w:tcW w:w="1245" w:type="dxa"/>
            <w:vMerge w:val="continue"/>
            <w:noWrap w:val="0"/>
            <w:vAlign w:val="center"/>
          </w:tcPr>
          <w:p w14:paraId="1FCB75AB">
            <w:pPr>
              <w:spacing w:line="340" w:lineRule="exact"/>
              <w:jc w:val="center"/>
              <w:rPr>
                <w:rFonts w:hint="eastAsia"/>
                <w:color w:val="auto"/>
                <w:highlight w:val="none"/>
              </w:rPr>
            </w:pPr>
          </w:p>
        </w:tc>
        <w:tc>
          <w:tcPr>
            <w:tcW w:w="1665" w:type="dxa"/>
            <w:noWrap w:val="0"/>
            <w:vAlign w:val="top"/>
          </w:tcPr>
          <w:p w14:paraId="6AA15EC5">
            <w:pPr>
              <w:spacing w:line="280" w:lineRule="exact"/>
              <w:rPr>
                <w:rFonts w:hint="eastAsia"/>
                <w:color w:val="auto"/>
                <w:highlight w:val="none"/>
              </w:rPr>
            </w:pPr>
            <w:r>
              <w:rPr>
                <w:rFonts w:hint="eastAsia"/>
                <w:color w:val="auto"/>
                <w:highlight w:val="none"/>
              </w:rPr>
              <w:t>球类圆整无杂草</w:t>
            </w:r>
          </w:p>
        </w:tc>
        <w:tc>
          <w:tcPr>
            <w:tcW w:w="645" w:type="dxa"/>
            <w:noWrap w:val="0"/>
            <w:vAlign w:val="center"/>
          </w:tcPr>
          <w:p w14:paraId="5D14CFBF">
            <w:pPr>
              <w:spacing w:line="340" w:lineRule="exact"/>
              <w:jc w:val="center"/>
              <w:rPr>
                <w:rFonts w:hint="eastAsia"/>
                <w:color w:val="auto"/>
                <w:highlight w:val="none"/>
              </w:rPr>
            </w:pPr>
            <w:r>
              <w:rPr>
                <w:rFonts w:hint="eastAsia"/>
                <w:color w:val="auto"/>
                <w:highlight w:val="none"/>
              </w:rPr>
              <w:t>10</w:t>
            </w:r>
          </w:p>
        </w:tc>
        <w:tc>
          <w:tcPr>
            <w:tcW w:w="1568" w:type="dxa"/>
            <w:noWrap w:val="0"/>
            <w:vAlign w:val="top"/>
          </w:tcPr>
          <w:p w14:paraId="0B616258">
            <w:pPr>
              <w:spacing w:line="340" w:lineRule="exact"/>
              <w:rPr>
                <w:rFonts w:hint="eastAsia"/>
                <w:color w:val="auto"/>
                <w:highlight w:val="none"/>
              </w:rPr>
            </w:pPr>
          </w:p>
        </w:tc>
        <w:tc>
          <w:tcPr>
            <w:tcW w:w="1568" w:type="dxa"/>
            <w:noWrap w:val="0"/>
            <w:vAlign w:val="top"/>
          </w:tcPr>
          <w:p w14:paraId="0A6D3DBC">
            <w:pPr>
              <w:spacing w:line="340" w:lineRule="exact"/>
              <w:rPr>
                <w:rFonts w:hint="eastAsia"/>
                <w:color w:val="auto"/>
                <w:highlight w:val="none"/>
              </w:rPr>
            </w:pPr>
          </w:p>
        </w:tc>
        <w:tc>
          <w:tcPr>
            <w:tcW w:w="1568" w:type="dxa"/>
            <w:noWrap w:val="0"/>
            <w:vAlign w:val="top"/>
          </w:tcPr>
          <w:p w14:paraId="7BE8F306">
            <w:pPr>
              <w:spacing w:line="340" w:lineRule="exact"/>
              <w:rPr>
                <w:rFonts w:hint="eastAsia"/>
                <w:color w:val="auto"/>
                <w:highlight w:val="none"/>
              </w:rPr>
            </w:pPr>
          </w:p>
        </w:tc>
        <w:tc>
          <w:tcPr>
            <w:tcW w:w="1568" w:type="dxa"/>
            <w:noWrap w:val="0"/>
            <w:vAlign w:val="top"/>
          </w:tcPr>
          <w:p w14:paraId="2A52BB46">
            <w:pPr>
              <w:spacing w:line="340" w:lineRule="exact"/>
              <w:rPr>
                <w:rFonts w:hint="eastAsia"/>
                <w:color w:val="auto"/>
                <w:highlight w:val="none"/>
              </w:rPr>
            </w:pPr>
          </w:p>
        </w:tc>
      </w:tr>
      <w:tr w14:paraId="6391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continue"/>
            <w:noWrap w:val="0"/>
            <w:vAlign w:val="center"/>
          </w:tcPr>
          <w:p w14:paraId="72A7C202">
            <w:pPr>
              <w:spacing w:line="340" w:lineRule="exact"/>
              <w:jc w:val="center"/>
              <w:rPr>
                <w:rFonts w:hint="eastAsia"/>
                <w:color w:val="auto"/>
                <w:highlight w:val="none"/>
              </w:rPr>
            </w:pPr>
          </w:p>
        </w:tc>
        <w:tc>
          <w:tcPr>
            <w:tcW w:w="1245" w:type="dxa"/>
            <w:vMerge w:val="continue"/>
            <w:noWrap w:val="0"/>
            <w:vAlign w:val="center"/>
          </w:tcPr>
          <w:p w14:paraId="5890FC75">
            <w:pPr>
              <w:spacing w:line="340" w:lineRule="exact"/>
              <w:jc w:val="center"/>
              <w:rPr>
                <w:rFonts w:hint="eastAsia"/>
                <w:color w:val="auto"/>
                <w:highlight w:val="none"/>
              </w:rPr>
            </w:pPr>
          </w:p>
        </w:tc>
        <w:tc>
          <w:tcPr>
            <w:tcW w:w="1665" w:type="dxa"/>
            <w:noWrap w:val="0"/>
            <w:vAlign w:val="top"/>
          </w:tcPr>
          <w:p w14:paraId="52FAECAF">
            <w:pPr>
              <w:spacing w:line="280" w:lineRule="exact"/>
              <w:rPr>
                <w:rFonts w:hint="eastAsia"/>
                <w:color w:val="auto"/>
                <w:highlight w:val="none"/>
              </w:rPr>
            </w:pPr>
            <w:r>
              <w:rPr>
                <w:rFonts w:hint="eastAsia"/>
                <w:color w:val="auto"/>
                <w:highlight w:val="none"/>
              </w:rPr>
              <w:t>草坪无空缺、空秃、杂草</w:t>
            </w:r>
          </w:p>
        </w:tc>
        <w:tc>
          <w:tcPr>
            <w:tcW w:w="645" w:type="dxa"/>
            <w:noWrap w:val="0"/>
            <w:vAlign w:val="center"/>
          </w:tcPr>
          <w:p w14:paraId="30DC1A06">
            <w:pPr>
              <w:spacing w:line="340" w:lineRule="exact"/>
              <w:jc w:val="center"/>
              <w:rPr>
                <w:rFonts w:hint="eastAsia"/>
                <w:color w:val="auto"/>
                <w:highlight w:val="none"/>
              </w:rPr>
            </w:pPr>
            <w:r>
              <w:rPr>
                <w:rFonts w:hint="eastAsia"/>
                <w:color w:val="auto"/>
                <w:highlight w:val="none"/>
              </w:rPr>
              <w:t>5</w:t>
            </w:r>
          </w:p>
        </w:tc>
        <w:tc>
          <w:tcPr>
            <w:tcW w:w="1568" w:type="dxa"/>
            <w:noWrap w:val="0"/>
            <w:vAlign w:val="top"/>
          </w:tcPr>
          <w:p w14:paraId="11139975">
            <w:pPr>
              <w:spacing w:line="340" w:lineRule="exact"/>
              <w:rPr>
                <w:rFonts w:hint="eastAsia"/>
                <w:color w:val="auto"/>
                <w:highlight w:val="none"/>
              </w:rPr>
            </w:pPr>
          </w:p>
        </w:tc>
        <w:tc>
          <w:tcPr>
            <w:tcW w:w="1568" w:type="dxa"/>
            <w:noWrap w:val="0"/>
            <w:vAlign w:val="top"/>
          </w:tcPr>
          <w:p w14:paraId="676FD4A3">
            <w:pPr>
              <w:spacing w:line="340" w:lineRule="exact"/>
              <w:rPr>
                <w:rFonts w:hint="eastAsia"/>
                <w:color w:val="auto"/>
                <w:highlight w:val="none"/>
              </w:rPr>
            </w:pPr>
          </w:p>
        </w:tc>
        <w:tc>
          <w:tcPr>
            <w:tcW w:w="1568" w:type="dxa"/>
            <w:noWrap w:val="0"/>
            <w:vAlign w:val="top"/>
          </w:tcPr>
          <w:p w14:paraId="4372DB48">
            <w:pPr>
              <w:spacing w:line="340" w:lineRule="exact"/>
              <w:rPr>
                <w:rFonts w:hint="eastAsia"/>
                <w:color w:val="auto"/>
                <w:highlight w:val="none"/>
              </w:rPr>
            </w:pPr>
          </w:p>
        </w:tc>
        <w:tc>
          <w:tcPr>
            <w:tcW w:w="1568" w:type="dxa"/>
            <w:noWrap w:val="0"/>
            <w:vAlign w:val="top"/>
          </w:tcPr>
          <w:p w14:paraId="30CE639B">
            <w:pPr>
              <w:spacing w:line="340" w:lineRule="exact"/>
              <w:rPr>
                <w:rFonts w:hint="eastAsia"/>
                <w:color w:val="auto"/>
                <w:highlight w:val="none"/>
              </w:rPr>
            </w:pPr>
          </w:p>
        </w:tc>
      </w:tr>
      <w:tr w14:paraId="2855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restart"/>
            <w:noWrap w:val="0"/>
            <w:vAlign w:val="center"/>
          </w:tcPr>
          <w:p w14:paraId="0DC759C1">
            <w:pPr>
              <w:spacing w:line="340" w:lineRule="exact"/>
              <w:jc w:val="center"/>
              <w:rPr>
                <w:rFonts w:hint="eastAsia"/>
                <w:color w:val="auto"/>
                <w:highlight w:val="none"/>
              </w:rPr>
            </w:pPr>
            <w:r>
              <w:rPr>
                <w:rFonts w:hint="eastAsia"/>
                <w:color w:val="auto"/>
                <w:highlight w:val="none"/>
              </w:rPr>
              <w:t>5</w:t>
            </w:r>
          </w:p>
        </w:tc>
        <w:tc>
          <w:tcPr>
            <w:tcW w:w="1245" w:type="dxa"/>
            <w:vMerge w:val="restart"/>
            <w:noWrap w:val="0"/>
            <w:vAlign w:val="center"/>
          </w:tcPr>
          <w:p w14:paraId="5205994C">
            <w:pPr>
              <w:spacing w:line="340" w:lineRule="exact"/>
              <w:jc w:val="center"/>
              <w:rPr>
                <w:rFonts w:hint="eastAsia"/>
                <w:color w:val="auto"/>
                <w:highlight w:val="none"/>
              </w:rPr>
            </w:pPr>
            <w:r>
              <w:rPr>
                <w:rFonts w:hint="eastAsia"/>
                <w:color w:val="auto"/>
                <w:highlight w:val="none"/>
              </w:rPr>
              <w:t>草花15</w:t>
            </w:r>
          </w:p>
        </w:tc>
        <w:tc>
          <w:tcPr>
            <w:tcW w:w="1665" w:type="dxa"/>
            <w:noWrap w:val="0"/>
            <w:vAlign w:val="top"/>
          </w:tcPr>
          <w:p w14:paraId="71AE1E05">
            <w:pPr>
              <w:spacing w:line="280" w:lineRule="exact"/>
              <w:rPr>
                <w:rFonts w:hint="eastAsia"/>
                <w:color w:val="auto"/>
                <w:highlight w:val="none"/>
              </w:rPr>
            </w:pPr>
            <w:r>
              <w:rPr>
                <w:rFonts w:hint="eastAsia"/>
                <w:color w:val="auto"/>
                <w:highlight w:val="none"/>
              </w:rPr>
              <w:t>草花调换及时、株行距适宜</w:t>
            </w:r>
          </w:p>
        </w:tc>
        <w:tc>
          <w:tcPr>
            <w:tcW w:w="645" w:type="dxa"/>
            <w:noWrap w:val="0"/>
            <w:vAlign w:val="center"/>
          </w:tcPr>
          <w:p w14:paraId="490EA773">
            <w:pPr>
              <w:spacing w:line="320" w:lineRule="exact"/>
              <w:jc w:val="center"/>
              <w:rPr>
                <w:rFonts w:hint="eastAsia"/>
                <w:color w:val="auto"/>
                <w:highlight w:val="none"/>
              </w:rPr>
            </w:pPr>
            <w:r>
              <w:rPr>
                <w:rFonts w:hint="eastAsia"/>
                <w:color w:val="auto"/>
                <w:highlight w:val="none"/>
              </w:rPr>
              <w:t>5</w:t>
            </w:r>
          </w:p>
        </w:tc>
        <w:tc>
          <w:tcPr>
            <w:tcW w:w="1568" w:type="dxa"/>
            <w:noWrap w:val="0"/>
            <w:vAlign w:val="top"/>
          </w:tcPr>
          <w:p w14:paraId="4A3B5591">
            <w:pPr>
              <w:spacing w:line="340" w:lineRule="exact"/>
              <w:rPr>
                <w:rFonts w:hint="eastAsia"/>
                <w:color w:val="auto"/>
                <w:highlight w:val="none"/>
              </w:rPr>
            </w:pPr>
          </w:p>
        </w:tc>
        <w:tc>
          <w:tcPr>
            <w:tcW w:w="1568" w:type="dxa"/>
            <w:noWrap w:val="0"/>
            <w:vAlign w:val="top"/>
          </w:tcPr>
          <w:p w14:paraId="7A45B5BA">
            <w:pPr>
              <w:spacing w:line="340" w:lineRule="exact"/>
              <w:rPr>
                <w:rFonts w:hint="eastAsia"/>
                <w:color w:val="auto"/>
                <w:highlight w:val="none"/>
              </w:rPr>
            </w:pPr>
          </w:p>
        </w:tc>
        <w:tc>
          <w:tcPr>
            <w:tcW w:w="1568" w:type="dxa"/>
            <w:noWrap w:val="0"/>
            <w:vAlign w:val="top"/>
          </w:tcPr>
          <w:p w14:paraId="1E3A418D">
            <w:pPr>
              <w:spacing w:line="340" w:lineRule="exact"/>
              <w:rPr>
                <w:rFonts w:hint="eastAsia"/>
                <w:color w:val="auto"/>
                <w:highlight w:val="none"/>
              </w:rPr>
            </w:pPr>
          </w:p>
        </w:tc>
        <w:tc>
          <w:tcPr>
            <w:tcW w:w="1568" w:type="dxa"/>
            <w:noWrap w:val="0"/>
            <w:vAlign w:val="top"/>
          </w:tcPr>
          <w:p w14:paraId="482825D2">
            <w:pPr>
              <w:spacing w:line="340" w:lineRule="exact"/>
              <w:rPr>
                <w:rFonts w:hint="eastAsia"/>
                <w:color w:val="auto"/>
                <w:highlight w:val="none"/>
              </w:rPr>
            </w:pPr>
          </w:p>
        </w:tc>
      </w:tr>
      <w:tr w14:paraId="331E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 w:type="dxa"/>
            <w:vMerge w:val="continue"/>
            <w:noWrap w:val="0"/>
            <w:vAlign w:val="center"/>
          </w:tcPr>
          <w:p w14:paraId="1EE9395C">
            <w:pPr>
              <w:spacing w:line="340" w:lineRule="exact"/>
              <w:jc w:val="center"/>
              <w:rPr>
                <w:rFonts w:hint="eastAsia"/>
                <w:color w:val="auto"/>
                <w:highlight w:val="none"/>
              </w:rPr>
            </w:pPr>
          </w:p>
        </w:tc>
        <w:tc>
          <w:tcPr>
            <w:tcW w:w="1245" w:type="dxa"/>
            <w:vMerge w:val="continue"/>
            <w:noWrap w:val="0"/>
            <w:vAlign w:val="center"/>
          </w:tcPr>
          <w:p w14:paraId="2FF65181">
            <w:pPr>
              <w:spacing w:line="340" w:lineRule="exact"/>
              <w:jc w:val="center"/>
              <w:rPr>
                <w:rFonts w:hint="eastAsia"/>
                <w:color w:val="auto"/>
                <w:highlight w:val="none"/>
              </w:rPr>
            </w:pPr>
          </w:p>
        </w:tc>
        <w:tc>
          <w:tcPr>
            <w:tcW w:w="1665" w:type="dxa"/>
            <w:noWrap w:val="0"/>
            <w:vAlign w:val="top"/>
          </w:tcPr>
          <w:p w14:paraId="3BD9D301">
            <w:pPr>
              <w:spacing w:line="280" w:lineRule="exact"/>
              <w:rPr>
                <w:rFonts w:hint="eastAsia"/>
                <w:color w:val="auto"/>
                <w:highlight w:val="none"/>
              </w:rPr>
            </w:pPr>
            <w:r>
              <w:rPr>
                <w:rFonts w:hint="eastAsia"/>
                <w:color w:val="auto"/>
                <w:highlight w:val="none"/>
              </w:rPr>
              <w:t>无空缺、倒伏、杂色</w:t>
            </w:r>
          </w:p>
        </w:tc>
        <w:tc>
          <w:tcPr>
            <w:tcW w:w="645" w:type="dxa"/>
            <w:noWrap w:val="0"/>
            <w:vAlign w:val="center"/>
          </w:tcPr>
          <w:p w14:paraId="300C217B">
            <w:pPr>
              <w:spacing w:line="320" w:lineRule="exact"/>
              <w:jc w:val="center"/>
              <w:rPr>
                <w:rFonts w:hint="eastAsia"/>
                <w:color w:val="auto"/>
                <w:highlight w:val="none"/>
              </w:rPr>
            </w:pPr>
            <w:r>
              <w:rPr>
                <w:rFonts w:hint="eastAsia"/>
                <w:color w:val="auto"/>
                <w:highlight w:val="none"/>
              </w:rPr>
              <w:t>5</w:t>
            </w:r>
          </w:p>
        </w:tc>
        <w:tc>
          <w:tcPr>
            <w:tcW w:w="1568" w:type="dxa"/>
            <w:noWrap w:val="0"/>
            <w:vAlign w:val="top"/>
          </w:tcPr>
          <w:p w14:paraId="1351D7AB">
            <w:pPr>
              <w:spacing w:line="340" w:lineRule="exact"/>
              <w:rPr>
                <w:rFonts w:hint="eastAsia"/>
                <w:color w:val="auto"/>
                <w:highlight w:val="none"/>
              </w:rPr>
            </w:pPr>
          </w:p>
        </w:tc>
        <w:tc>
          <w:tcPr>
            <w:tcW w:w="1568" w:type="dxa"/>
            <w:noWrap w:val="0"/>
            <w:vAlign w:val="top"/>
          </w:tcPr>
          <w:p w14:paraId="745DD6B7">
            <w:pPr>
              <w:spacing w:line="340" w:lineRule="exact"/>
              <w:rPr>
                <w:rFonts w:hint="eastAsia"/>
                <w:color w:val="auto"/>
                <w:highlight w:val="none"/>
              </w:rPr>
            </w:pPr>
          </w:p>
        </w:tc>
        <w:tc>
          <w:tcPr>
            <w:tcW w:w="1568" w:type="dxa"/>
            <w:noWrap w:val="0"/>
            <w:vAlign w:val="top"/>
          </w:tcPr>
          <w:p w14:paraId="6309D881">
            <w:pPr>
              <w:spacing w:line="340" w:lineRule="exact"/>
              <w:rPr>
                <w:rFonts w:hint="eastAsia"/>
                <w:color w:val="auto"/>
                <w:highlight w:val="none"/>
              </w:rPr>
            </w:pPr>
          </w:p>
        </w:tc>
        <w:tc>
          <w:tcPr>
            <w:tcW w:w="1568" w:type="dxa"/>
            <w:noWrap w:val="0"/>
            <w:vAlign w:val="top"/>
          </w:tcPr>
          <w:p w14:paraId="05C0A0DE">
            <w:pPr>
              <w:spacing w:line="340" w:lineRule="exact"/>
              <w:rPr>
                <w:rFonts w:hint="eastAsia"/>
                <w:color w:val="auto"/>
                <w:highlight w:val="none"/>
              </w:rPr>
            </w:pPr>
          </w:p>
        </w:tc>
      </w:tr>
      <w:tr w14:paraId="2CEF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continue"/>
            <w:noWrap w:val="0"/>
            <w:vAlign w:val="center"/>
          </w:tcPr>
          <w:p w14:paraId="1CF23449">
            <w:pPr>
              <w:spacing w:line="340" w:lineRule="exact"/>
              <w:jc w:val="center"/>
              <w:rPr>
                <w:rFonts w:hint="eastAsia"/>
                <w:color w:val="auto"/>
                <w:highlight w:val="none"/>
              </w:rPr>
            </w:pPr>
          </w:p>
        </w:tc>
        <w:tc>
          <w:tcPr>
            <w:tcW w:w="1245" w:type="dxa"/>
            <w:vMerge w:val="continue"/>
            <w:noWrap w:val="0"/>
            <w:vAlign w:val="center"/>
          </w:tcPr>
          <w:p w14:paraId="429E5F11">
            <w:pPr>
              <w:spacing w:line="340" w:lineRule="exact"/>
              <w:jc w:val="center"/>
              <w:rPr>
                <w:rFonts w:hint="eastAsia"/>
                <w:color w:val="auto"/>
                <w:highlight w:val="none"/>
              </w:rPr>
            </w:pPr>
          </w:p>
        </w:tc>
        <w:tc>
          <w:tcPr>
            <w:tcW w:w="1665" w:type="dxa"/>
            <w:noWrap w:val="0"/>
            <w:vAlign w:val="top"/>
          </w:tcPr>
          <w:p w14:paraId="1F4138D0">
            <w:pPr>
              <w:spacing w:line="280" w:lineRule="exact"/>
              <w:rPr>
                <w:rFonts w:hint="eastAsia"/>
                <w:color w:val="auto"/>
                <w:highlight w:val="none"/>
              </w:rPr>
            </w:pPr>
            <w:r>
              <w:rPr>
                <w:rFonts w:hint="eastAsia"/>
                <w:color w:val="auto"/>
                <w:highlight w:val="none"/>
              </w:rPr>
              <w:t>无杂草、垃圾</w:t>
            </w:r>
          </w:p>
        </w:tc>
        <w:tc>
          <w:tcPr>
            <w:tcW w:w="645" w:type="dxa"/>
            <w:noWrap w:val="0"/>
            <w:vAlign w:val="center"/>
          </w:tcPr>
          <w:p w14:paraId="59CA849F">
            <w:pPr>
              <w:spacing w:line="320" w:lineRule="exact"/>
              <w:jc w:val="center"/>
              <w:rPr>
                <w:rFonts w:hint="eastAsia"/>
                <w:color w:val="auto"/>
                <w:highlight w:val="none"/>
              </w:rPr>
            </w:pPr>
            <w:r>
              <w:rPr>
                <w:rFonts w:hint="eastAsia"/>
                <w:color w:val="auto"/>
                <w:highlight w:val="none"/>
              </w:rPr>
              <w:t>5</w:t>
            </w:r>
          </w:p>
        </w:tc>
        <w:tc>
          <w:tcPr>
            <w:tcW w:w="1568" w:type="dxa"/>
            <w:noWrap w:val="0"/>
            <w:vAlign w:val="top"/>
          </w:tcPr>
          <w:p w14:paraId="7254F4D8">
            <w:pPr>
              <w:spacing w:line="340" w:lineRule="exact"/>
              <w:rPr>
                <w:rFonts w:hint="eastAsia"/>
                <w:color w:val="auto"/>
                <w:highlight w:val="none"/>
              </w:rPr>
            </w:pPr>
          </w:p>
        </w:tc>
        <w:tc>
          <w:tcPr>
            <w:tcW w:w="1568" w:type="dxa"/>
            <w:noWrap w:val="0"/>
            <w:vAlign w:val="top"/>
          </w:tcPr>
          <w:p w14:paraId="533B074B">
            <w:pPr>
              <w:spacing w:line="340" w:lineRule="exact"/>
              <w:rPr>
                <w:rFonts w:hint="eastAsia"/>
                <w:color w:val="auto"/>
                <w:highlight w:val="none"/>
              </w:rPr>
            </w:pPr>
          </w:p>
        </w:tc>
        <w:tc>
          <w:tcPr>
            <w:tcW w:w="1568" w:type="dxa"/>
            <w:noWrap w:val="0"/>
            <w:vAlign w:val="top"/>
          </w:tcPr>
          <w:p w14:paraId="519E412C">
            <w:pPr>
              <w:spacing w:line="340" w:lineRule="exact"/>
              <w:rPr>
                <w:rFonts w:hint="eastAsia"/>
                <w:color w:val="auto"/>
                <w:highlight w:val="none"/>
              </w:rPr>
            </w:pPr>
          </w:p>
        </w:tc>
        <w:tc>
          <w:tcPr>
            <w:tcW w:w="1568" w:type="dxa"/>
            <w:noWrap w:val="0"/>
            <w:vAlign w:val="top"/>
          </w:tcPr>
          <w:p w14:paraId="1D366665">
            <w:pPr>
              <w:spacing w:line="340" w:lineRule="exact"/>
              <w:rPr>
                <w:rFonts w:hint="eastAsia"/>
                <w:color w:val="auto"/>
                <w:highlight w:val="none"/>
              </w:rPr>
            </w:pPr>
          </w:p>
        </w:tc>
      </w:tr>
      <w:tr w14:paraId="77D5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restart"/>
            <w:noWrap w:val="0"/>
            <w:vAlign w:val="center"/>
          </w:tcPr>
          <w:p w14:paraId="7476FE48">
            <w:pPr>
              <w:spacing w:line="340" w:lineRule="exact"/>
              <w:jc w:val="center"/>
              <w:rPr>
                <w:rFonts w:hint="eastAsia"/>
                <w:color w:val="auto"/>
                <w:highlight w:val="none"/>
              </w:rPr>
            </w:pPr>
            <w:r>
              <w:rPr>
                <w:rFonts w:hint="eastAsia"/>
                <w:color w:val="auto"/>
                <w:highlight w:val="none"/>
              </w:rPr>
              <w:t>6</w:t>
            </w:r>
          </w:p>
        </w:tc>
        <w:tc>
          <w:tcPr>
            <w:tcW w:w="1245" w:type="dxa"/>
            <w:vMerge w:val="restart"/>
            <w:noWrap w:val="0"/>
            <w:vAlign w:val="center"/>
          </w:tcPr>
          <w:p w14:paraId="31E4C4B1">
            <w:pPr>
              <w:spacing w:line="340" w:lineRule="exact"/>
              <w:jc w:val="center"/>
              <w:rPr>
                <w:rFonts w:hint="eastAsia"/>
                <w:color w:val="auto"/>
                <w:highlight w:val="none"/>
              </w:rPr>
            </w:pPr>
            <w:r>
              <w:rPr>
                <w:rFonts w:hint="eastAsia"/>
                <w:color w:val="auto"/>
                <w:highlight w:val="none"/>
              </w:rPr>
              <w:t>植保</w:t>
            </w:r>
          </w:p>
          <w:p w14:paraId="2A499361">
            <w:pPr>
              <w:spacing w:line="340" w:lineRule="exact"/>
              <w:jc w:val="center"/>
              <w:rPr>
                <w:rFonts w:hint="eastAsia"/>
                <w:color w:val="auto"/>
                <w:highlight w:val="none"/>
              </w:rPr>
            </w:pPr>
            <w:r>
              <w:rPr>
                <w:rFonts w:hint="eastAsia"/>
                <w:color w:val="auto"/>
                <w:highlight w:val="none"/>
              </w:rPr>
              <w:t>15</w:t>
            </w:r>
          </w:p>
        </w:tc>
        <w:tc>
          <w:tcPr>
            <w:tcW w:w="1665" w:type="dxa"/>
            <w:noWrap w:val="0"/>
            <w:vAlign w:val="top"/>
          </w:tcPr>
          <w:p w14:paraId="73D76ADE">
            <w:pPr>
              <w:spacing w:line="280" w:lineRule="exact"/>
              <w:rPr>
                <w:rFonts w:hint="eastAsia"/>
                <w:color w:val="auto"/>
                <w:highlight w:val="none"/>
              </w:rPr>
            </w:pPr>
            <w:r>
              <w:rPr>
                <w:rFonts w:hint="eastAsia"/>
                <w:color w:val="auto"/>
                <w:highlight w:val="none"/>
              </w:rPr>
              <w:t>绢野螟、蚜虫等的危害程度</w:t>
            </w:r>
          </w:p>
        </w:tc>
        <w:tc>
          <w:tcPr>
            <w:tcW w:w="645" w:type="dxa"/>
            <w:noWrap w:val="0"/>
            <w:vAlign w:val="center"/>
          </w:tcPr>
          <w:p w14:paraId="526C91C9">
            <w:pPr>
              <w:spacing w:line="340" w:lineRule="exact"/>
              <w:jc w:val="center"/>
              <w:rPr>
                <w:rFonts w:hint="eastAsia"/>
                <w:color w:val="auto"/>
                <w:highlight w:val="none"/>
              </w:rPr>
            </w:pPr>
            <w:r>
              <w:rPr>
                <w:rFonts w:hint="eastAsia"/>
                <w:color w:val="auto"/>
                <w:highlight w:val="none"/>
              </w:rPr>
              <w:t>5</w:t>
            </w:r>
          </w:p>
        </w:tc>
        <w:tc>
          <w:tcPr>
            <w:tcW w:w="1568" w:type="dxa"/>
            <w:noWrap w:val="0"/>
            <w:vAlign w:val="top"/>
          </w:tcPr>
          <w:p w14:paraId="172C6B70">
            <w:pPr>
              <w:spacing w:line="340" w:lineRule="exact"/>
              <w:rPr>
                <w:rFonts w:hint="eastAsia"/>
                <w:color w:val="auto"/>
                <w:highlight w:val="none"/>
              </w:rPr>
            </w:pPr>
          </w:p>
        </w:tc>
        <w:tc>
          <w:tcPr>
            <w:tcW w:w="1568" w:type="dxa"/>
            <w:noWrap w:val="0"/>
            <w:vAlign w:val="top"/>
          </w:tcPr>
          <w:p w14:paraId="50908081">
            <w:pPr>
              <w:spacing w:line="340" w:lineRule="exact"/>
              <w:rPr>
                <w:rFonts w:hint="eastAsia"/>
                <w:color w:val="auto"/>
                <w:highlight w:val="none"/>
              </w:rPr>
            </w:pPr>
          </w:p>
        </w:tc>
        <w:tc>
          <w:tcPr>
            <w:tcW w:w="1568" w:type="dxa"/>
            <w:noWrap w:val="0"/>
            <w:vAlign w:val="top"/>
          </w:tcPr>
          <w:p w14:paraId="4DE107B2">
            <w:pPr>
              <w:spacing w:line="340" w:lineRule="exact"/>
              <w:rPr>
                <w:rFonts w:hint="eastAsia"/>
                <w:color w:val="auto"/>
                <w:highlight w:val="none"/>
              </w:rPr>
            </w:pPr>
          </w:p>
        </w:tc>
        <w:tc>
          <w:tcPr>
            <w:tcW w:w="1568" w:type="dxa"/>
            <w:noWrap w:val="0"/>
            <w:vAlign w:val="top"/>
          </w:tcPr>
          <w:p w14:paraId="4342B13E">
            <w:pPr>
              <w:spacing w:line="340" w:lineRule="exact"/>
              <w:rPr>
                <w:rFonts w:hint="eastAsia"/>
                <w:color w:val="auto"/>
                <w:highlight w:val="none"/>
              </w:rPr>
            </w:pPr>
          </w:p>
        </w:tc>
      </w:tr>
      <w:tr w14:paraId="19CA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continue"/>
            <w:noWrap w:val="0"/>
            <w:vAlign w:val="center"/>
          </w:tcPr>
          <w:p w14:paraId="35469935">
            <w:pPr>
              <w:spacing w:line="340" w:lineRule="exact"/>
              <w:jc w:val="center"/>
              <w:rPr>
                <w:rFonts w:hint="eastAsia"/>
                <w:color w:val="auto"/>
                <w:highlight w:val="none"/>
              </w:rPr>
            </w:pPr>
          </w:p>
        </w:tc>
        <w:tc>
          <w:tcPr>
            <w:tcW w:w="1245" w:type="dxa"/>
            <w:vMerge w:val="continue"/>
            <w:noWrap w:val="0"/>
            <w:vAlign w:val="center"/>
          </w:tcPr>
          <w:p w14:paraId="2009B3E3">
            <w:pPr>
              <w:spacing w:line="340" w:lineRule="exact"/>
              <w:jc w:val="center"/>
              <w:rPr>
                <w:rFonts w:hint="eastAsia"/>
                <w:color w:val="auto"/>
                <w:highlight w:val="none"/>
              </w:rPr>
            </w:pPr>
          </w:p>
        </w:tc>
        <w:tc>
          <w:tcPr>
            <w:tcW w:w="1665" w:type="dxa"/>
            <w:noWrap w:val="0"/>
            <w:vAlign w:val="top"/>
          </w:tcPr>
          <w:p w14:paraId="6D922A48">
            <w:pPr>
              <w:spacing w:line="280" w:lineRule="exact"/>
              <w:rPr>
                <w:rFonts w:hint="eastAsia"/>
                <w:color w:val="auto"/>
                <w:highlight w:val="none"/>
              </w:rPr>
            </w:pPr>
            <w:r>
              <w:rPr>
                <w:rFonts w:hint="eastAsia"/>
                <w:color w:val="auto"/>
                <w:highlight w:val="none"/>
              </w:rPr>
              <w:t>植物病、虫的越冬情况</w:t>
            </w:r>
          </w:p>
        </w:tc>
        <w:tc>
          <w:tcPr>
            <w:tcW w:w="645" w:type="dxa"/>
            <w:noWrap w:val="0"/>
            <w:vAlign w:val="center"/>
          </w:tcPr>
          <w:p w14:paraId="633F7BCB">
            <w:pPr>
              <w:spacing w:line="340" w:lineRule="exact"/>
              <w:jc w:val="center"/>
              <w:rPr>
                <w:rFonts w:hint="eastAsia"/>
                <w:color w:val="auto"/>
                <w:highlight w:val="none"/>
              </w:rPr>
            </w:pPr>
            <w:r>
              <w:rPr>
                <w:rFonts w:hint="eastAsia"/>
                <w:color w:val="auto"/>
                <w:highlight w:val="none"/>
              </w:rPr>
              <w:t>10</w:t>
            </w:r>
          </w:p>
        </w:tc>
        <w:tc>
          <w:tcPr>
            <w:tcW w:w="1568" w:type="dxa"/>
            <w:noWrap w:val="0"/>
            <w:vAlign w:val="center"/>
          </w:tcPr>
          <w:p w14:paraId="0BBC8975">
            <w:pPr>
              <w:spacing w:line="340" w:lineRule="exact"/>
              <w:jc w:val="center"/>
              <w:rPr>
                <w:rFonts w:hint="eastAsia"/>
                <w:color w:val="auto"/>
                <w:highlight w:val="none"/>
              </w:rPr>
            </w:pPr>
          </w:p>
        </w:tc>
        <w:tc>
          <w:tcPr>
            <w:tcW w:w="1568" w:type="dxa"/>
            <w:noWrap w:val="0"/>
            <w:vAlign w:val="center"/>
          </w:tcPr>
          <w:p w14:paraId="5283C394">
            <w:pPr>
              <w:spacing w:line="340" w:lineRule="exact"/>
              <w:jc w:val="center"/>
              <w:rPr>
                <w:rFonts w:hint="eastAsia"/>
                <w:color w:val="auto"/>
                <w:highlight w:val="none"/>
              </w:rPr>
            </w:pPr>
          </w:p>
        </w:tc>
        <w:tc>
          <w:tcPr>
            <w:tcW w:w="1568" w:type="dxa"/>
            <w:noWrap w:val="0"/>
            <w:vAlign w:val="top"/>
          </w:tcPr>
          <w:p w14:paraId="78EC6711">
            <w:pPr>
              <w:spacing w:line="340" w:lineRule="exact"/>
              <w:rPr>
                <w:rFonts w:hint="eastAsia"/>
                <w:color w:val="auto"/>
                <w:highlight w:val="none"/>
              </w:rPr>
            </w:pPr>
          </w:p>
        </w:tc>
        <w:tc>
          <w:tcPr>
            <w:tcW w:w="1568" w:type="dxa"/>
            <w:noWrap w:val="0"/>
            <w:vAlign w:val="top"/>
          </w:tcPr>
          <w:p w14:paraId="679EAB6F">
            <w:pPr>
              <w:spacing w:line="340" w:lineRule="exact"/>
              <w:rPr>
                <w:rFonts w:hint="eastAsia"/>
                <w:color w:val="auto"/>
                <w:highlight w:val="none"/>
              </w:rPr>
            </w:pPr>
          </w:p>
        </w:tc>
      </w:tr>
      <w:tr w14:paraId="0A23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 w:type="dxa"/>
            <w:noWrap w:val="0"/>
            <w:vAlign w:val="center"/>
          </w:tcPr>
          <w:p w14:paraId="7ACA68DE">
            <w:pPr>
              <w:spacing w:line="340" w:lineRule="exact"/>
              <w:jc w:val="center"/>
              <w:rPr>
                <w:rFonts w:hint="eastAsia"/>
                <w:color w:val="auto"/>
                <w:highlight w:val="none"/>
              </w:rPr>
            </w:pPr>
            <w:r>
              <w:rPr>
                <w:rFonts w:hint="eastAsia"/>
                <w:color w:val="auto"/>
                <w:highlight w:val="none"/>
              </w:rPr>
              <w:t>7</w:t>
            </w:r>
          </w:p>
        </w:tc>
        <w:tc>
          <w:tcPr>
            <w:tcW w:w="1245" w:type="dxa"/>
            <w:noWrap w:val="0"/>
            <w:vAlign w:val="center"/>
          </w:tcPr>
          <w:p w14:paraId="016F131B">
            <w:pPr>
              <w:spacing w:line="300" w:lineRule="exact"/>
              <w:jc w:val="center"/>
              <w:rPr>
                <w:rFonts w:hint="eastAsia"/>
                <w:color w:val="auto"/>
                <w:highlight w:val="none"/>
              </w:rPr>
            </w:pPr>
            <w:r>
              <w:rPr>
                <w:rFonts w:hint="eastAsia"/>
                <w:color w:val="auto"/>
                <w:highlight w:val="none"/>
              </w:rPr>
              <w:t>安全5</w:t>
            </w:r>
          </w:p>
        </w:tc>
        <w:tc>
          <w:tcPr>
            <w:tcW w:w="1665" w:type="dxa"/>
            <w:noWrap w:val="0"/>
            <w:vAlign w:val="top"/>
          </w:tcPr>
          <w:p w14:paraId="3886F812">
            <w:pPr>
              <w:spacing w:line="280" w:lineRule="exact"/>
              <w:rPr>
                <w:rFonts w:hint="eastAsia"/>
                <w:color w:val="auto"/>
                <w:highlight w:val="none"/>
              </w:rPr>
            </w:pPr>
            <w:r>
              <w:rPr>
                <w:rFonts w:hint="eastAsia"/>
                <w:color w:val="auto"/>
                <w:highlight w:val="none"/>
              </w:rPr>
              <w:t>临时住所的卫生、安全规范</w:t>
            </w:r>
          </w:p>
        </w:tc>
        <w:tc>
          <w:tcPr>
            <w:tcW w:w="645" w:type="dxa"/>
            <w:noWrap w:val="0"/>
            <w:vAlign w:val="center"/>
          </w:tcPr>
          <w:p w14:paraId="3C323ABB">
            <w:pPr>
              <w:spacing w:line="340" w:lineRule="exact"/>
              <w:jc w:val="center"/>
              <w:rPr>
                <w:rFonts w:hint="eastAsia"/>
                <w:color w:val="auto"/>
                <w:highlight w:val="none"/>
              </w:rPr>
            </w:pPr>
            <w:r>
              <w:rPr>
                <w:rFonts w:hint="eastAsia"/>
                <w:color w:val="auto"/>
                <w:highlight w:val="none"/>
              </w:rPr>
              <w:t>5</w:t>
            </w:r>
          </w:p>
        </w:tc>
        <w:tc>
          <w:tcPr>
            <w:tcW w:w="1568" w:type="dxa"/>
            <w:noWrap w:val="0"/>
            <w:vAlign w:val="top"/>
          </w:tcPr>
          <w:p w14:paraId="58674352">
            <w:pPr>
              <w:spacing w:line="340" w:lineRule="exact"/>
              <w:rPr>
                <w:rFonts w:hint="eastAsia"/>
                <w:color w:val="auto"/>
                <w:highlight w:val="none"/>
              </w:rPr>
            </w:pPr>
          </w:p>
        </w:tc>
        <w:tc>
          <w:tcPr>
            <w:tcW w:w="1568" w:type="dxa"/>
            <w:noWrap w:val="0"/>
            <w:vAlign w:val="top"/>
          </w:tcPr>
          <w:p w14:paraId="05F9CDB4">
            <w:pPr>
              <w:spacing w:line="340" w:lineRule="exact"/>
              <w:rPr>
                <w:rFonts w:hint="eastAsia"/>
                <w:color w:val="auto"/>
                <w:highlight w:val="none"/>
              </w:rPr>
            </w:pPr>
          </w:p>
        </w:tc>
        <w:tc>
          <w:tcPr>
            <w:tcW w:w="1568" w:type="dxa"/>
            <w:noWrap w:val="0"/>
            <w:vAlign w:val="top"/>
          </w:tcPr>
          <w:p w14:paraId="5586237D">
            <w:pPr>
              <w:spacing w:line="340" w:lineRule="exact"/>
              <w:rPr>
                <w:rFonts w:hint="eastAsia"/>
                <w:color w:val="auto"/>
                <w:highlight w:val="none"/>
              </w:rPr>
            </w:pPr>
          </w:p>
        </w:tc>
        <w:tc>
          <w:tcPr>
            <w:tcW w:w="1568" w:type="dxa"/>
            <w:noWrap w:val="0"/>
            <w:vAlign w:val="top"/>
          </w:tcPr>
          <w:p w14:paraId="1C6919AE">
            <w:pPr>
              <w:spacing w:line="340" w:lineRule="exact"/>
              <w:rPr>
                <w:rFonts w:hint="eastAsia"/>
                <w:color w:val="auto"/>
                <w:highlight w:val="none"/>
              </w:rPr>
            </w:pPr>
          </w:p>
        </w:tc>
      </w:tr>
      <w:tr w14:paraId="2B53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noWrap w:val="0"/>
            <w:vAlign w:val="top"/>
          </w:tcPr>
          <w:p w14:paraId="7C08D4CD">
            <w:pPr>
              <w:spacing w:line="340" w:lineRule="exact"/>
              <w:jc w:val="center"/>
              <w:rPr>
                <w:color w:val="auto"/>
                <w:highlight w:val="none"/>
              </w:rPr>
            </w:pPr>
            <w:r>
              <w:rPr>
                <w:rFonts w:hint="eastAsia"/>
                <w:color w:val="auto"/>
                <w:highlight w:val="none"/>
              </w:rPr>
              <w:t>8</w:t>
            </w:r>
          </w:p>
        </w:tc>
        <w:tc>
          <w:tcPr>
            <w:tcW w:w="1245" w:type="dxa"/>
            <w:noWrap w:val="0"/>
            <w:vAlign w:val="top"/>
          </w:tcPr>
          <w:p w14:paraId="25E1F469">
            <w:pPr>
              <w:spacing w:line="340" w:lineRule="exact"/>
              <w:rPr>
                <w:rFonts w:hint="eastAsia"/>
                <w:color w:val="auto"/>
                <w:highlight w:val="none"/>
              </w:rPr>
            </w:pPr>
          </w:p>
        </w:tc>
        <w:tc>
          <w:tcPr>
            <w:tcW w:w="1665" w:type="dxa"/>
            <w:noWrap w:val="0"/>
            <w:vAlign w:val="top"/>
          </w:tcPr>
          <w:p w14:paraId="2F762DAE">
            <w:pPr>
              <w:spacing w:line="280" w:lineRule="exact"/>
              <w:rPr>
                <w:rFonts w:hint="eastAsia"/>
                <w:b/>
                <w:color w:val="auto"/>
                <w:highlight w:val="none"/>
              </w:rPr>
            </w:pPr>
            <w:r>
              <w:rPr>
                <w:rFonts w:hint="eastAsia"/>
                <w:b/>
                <w:color w:val="auto"/>
                <w:highlight w:val="none"/>
              </w:rPr>
              <w:t>小计得分</w:t>
            </w:r>
          </w:p>
        </w:tc>
        <w:tc>
          <w:tcPr>
            <w:tcW w:w="645" w:type="dxa"/>
            <w:noWrap w:val="0"/>
            <w:vAlign w:val="center"/>
          </w:tcPr>
          <w:p w14:paraId="67273210">
            <w:pPr>
              <w:spacing w:line="340" w:lineRule="exact"/>
              <w:jc w:val="center"/>
              <w:rPr>
                <w:rFonts w:hint="eastAsia"/>
                <w:b/>
                <w:color w:val="auto"/>
                <w:highlight w:val="none"/>
              </w:rPr>
            </w:pPr>
            <w:r>
              <w:rPr>
                <w:rFonts w:hint="eastAsia"/>
                <w:b/>
                <w:color w:val="auto"/>
                <w:highlight w:val="none"/>
              </w:rPr>
              <w:t>100</w:t>
            </w:r>
          </w:p>
        </w:tc>
        <w:tc>
          <w:tcPr>
            <w:tcW w:w="6272" w:type="dxa"/>
            <w:gridSpan w:val="4"/>
            <w:noWrap w:val="0"/>
            <w:vAlign w:val="top"/>
          </w:tcPr>
          <w:p w14:paraId="6C34B870">
            <w:pPr>
              <w:spacing w:line="340" w:lineRule="exact"/>
              <w:rPr>
                <w:rFonts w:hint="eastAsia"/>
                <w:color w:val="auto"/>
                <w:highlight w:val="none"/>
              </w:rPr>
            </w:pPr>
          </w:p>
        </w:tc>
      </w:tr>
      <w:tr w14:paraId="0A0B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noWrap w:val="0"/>
            <w:vAlign w:val="top"/>
          </w:tcPr>
          <w:p w14:paraId="1D45A067">
            <w:pPr>
              <w:spacing w:line="340" w:lineRule="exact"/>
              <w:jc w:val="center"/>
              <w:rPr>
                <w:rFonts w:hint="eastAsia"/>
                <w:color w:val="auto"/>
                <w:highlight w:val="none"/>
              </w:rPr>
            </w:pPr>
            <w:r>
              <w:rPr>
                <w:rFonts w:hint="eastAsia"/>
                <w:color w:val="auto"/>
                <w:highlight w:val="none"/>
              </w:rPr>
              <w:t>9</w:t>
            </w:r>
          </w:p>
        </w:tc>
        <w:tc>
          <w:tcPr>
            <w:tcW w:w="1245" w:type="dxa"/>
            <w:noWrap w:val="0"/>
            <w:vAlign w:val="top"/>
          </w:tcPr>
          <w:p w14:paraId="153BBC94">
            <w:pPr>
              <w:spacing w:line="340" w:lineRule="exact"/>
              <w:rPr>
                <w:rFonts w:hint="eastAsia"/>
                <w:color w:val="auto"/>
                <w:highlight w:val="none"/>
              </w:rPr>
            </w:pPr>
            <w:r>
              <w:rPr>
                <w:rFonts w:hint="eastAsia"/>
                <w:b/>
                <w:color w:val="auto"/>
                <w:highlight w:val="none"/>
              </w:rPr>
              <w:t>综合情况</w:t>
            </w:r>
          </w:p>
        </w:tc>
        <w:tc>
          <w:tcPr>
            <w:tcW w:w="8582" w:type="dxa"/>
            <w:gridSpan w:val="6"/>
            <w:noWrap w:val="0"/>
            <w:vAlign w:val="top"/>
          </w:tcPr>
          <w:p w14:paraId="2764D71C">
            <w:pPr>
              <w:spacing w:line="340" w:lineRule="exact"/>
              <w:rPr>
                <w:rFonts w:hint="eastAsia"/>
                <w:color w:val="auto"/>
                <w:highlight w:val="none"/>
              </w:rPr>
            </w:pPr>
          </w:p>
          <w:p w14:paraId="22ECA68C">
            <w:pPr>
              <w:spacing w:line="340" w:lineRule="exact"/>
              <w:rPr>
                <w:rFonts w:hint="eastAsia"/>
                <w:color w:val="auto"/>
                <w:highlight w:val="none"/>
              </w:rPr>
            </w:pPr>
          </w:p>
          <w:p w14:paraId="15EBE805">
            <w:pPr>
              <w:spacing w:line="340" w:lineRule="exact"/>
              <w:rPr>
                <w:rFonts w:hint="eastAsia"/>
                <w:color w:val="auto"/>
                <w:highlight w:val="none"/>
              </w:rPr>
            </w:pPr>
          </w:p>
          <w:p w14:paraId="167041FC">
            <w:pPr>
              <w:spacing w:line="340" w:lineRule="exact"/>
              <w:rPr>
                <w:rFonts w:hint="eastAsia"/>
                <w:color w:val="auto"/>
                <w:highlight w:val="none"/>
              </w:rPr>
            </w:pPr>
          </w:p>
          <w:p w14:paraId="4BF5E0D1">
            <w:pPr>
              <w:spacing w:line="340" w:lineRule="exact"/>
              <w:rPr>
                <w:rFonts w:hint="eastAsia"/>
                <w:b/>
                <w:color w:val="auto"/>
                <w:highlight w:val="none"/>
              </w:rPr>
            </w:pPr>
          </w:p>
        </w:tc>
      </w:tr>
    </w:tbl>
    <w:p w14:paraId="0E6A39F3">
      <w:pPr>
        <w:spacing w:line="360" w:lineRule="exact"/>
        <w:ind w:left="210" w:leftChars="100"/>
        <w:rPr>
          <w:rFonts w:hint="eastAsia" w:ascii="宋体" w:hAnsi="宋体"/>
          <w:color w:val="auto"/>
          <w:sz w:val="18"/>
          <w:szCs w:val="18"/>
          <w:highlight w:val="none"/>
        </w:rPr>
      </w:pPr>
      <w:r>
        <w:rPr>
          <w:rFonts w:hint="eastAsia"/>
          <w:color w:val="auto"/>
          <w:sz w:val="18"/>
          <w:szCs w:val="18"/>
          <w:highlight w:val="none"/>
        </w:rPr>
        <w:t>注：</w:t>
      </w:r>
      <w:r>
        <w:rPr>
          <w:rFonts w:hint="eastAsia" w:ascii="宋体" w:hAnsi="宋体"/>
          <w:color w:val="auto"/>
          <w:sz w:val="18"/>
          <w:szCs w:val="18"/>
          <w:highlight w:val="none"/>
        </w:rPr>
        <w:t>①</w:t>
      </w:r>
      <w:r>
        <w:rPr>
          <w:rFonts w:hint="eastAsia"/>
          <w:color w:val="auto"/>
          <w:sz w:val="18"/>
          <w:szCs w:val="18"/>
          <w:highlight w:val="none"/>
        </w:rPr>
        <w:t>检查情况以单项作记录，扣单项分的比例分别为：一、1处扣5%；二、2处扣10%；三、多处扣50%。评分时发现问题必须在对应的空格内做上符号，否则不作扣分；病虫害每发现1点扣考核分0.1分。</w:t>
      </w:r>
      <w:r>
        <w:rPr>
          <w:rFonts w:hint="eastAsia" w:ascii="宋体" w:hAnsi="宋体"/>
          <w:color w:val="auto"/>
          <w:sz w:val="18"/>
          <w:szCs w:val="18"/>
          <w:highlight w:val="none"/>
        </w:rPr>
        <w:t>②苗圃检查时发现问题并在对应格内注明问题地点、程度。</w:t>
      </w:r>
    </w:p>
    <w:p w14:paraId="2390F695">
      <w:pPr>
        <w:spacing w:line="360" w:lineRule="exact"/>
        <w:ind w:left="210" w:leftChars="100"/>
        <w:jc w:val="right"/>
        <w:rPr>
          <w:rFonts w:hint="eastAsia"/>
          <w:color w:val="auto"/>
          <w:sz w:val="18"/>
          <w:szCs w:val="18"/>
          <w:highlight w:val="none"/>
        </w:rPr>
      </w:pPr>
      <w:r>
        <w:rPr>
          <w:rFonts w:hint="eastAsia"/>
          <w:color w:val="auto"/>
          <w:sz w:val="18"/>
          <w:szCs w:val="18"/>
          <w:highlight w:val="none"/>
          <w:lang w:val="en-US" w:eastAsia="zh-CN"/>
        </w:rPr>
        <w:t xml:space="preserve">             物业管理</w:t>
      </w:r>
      <w:r>
        <w:rPr>
          <w:rFonts w:hint="eastAsia"/>
          <w:color w:val="auto"/>
          <w:sz w:val="18"/>
          <w:szCs w:val="18"/>
          <w:highlight w:val="none"/>
        </w:rPr>
        <w:t xml:space="preserve">中心                                                                </w:t>
      </w:r>
    </w:p>
    <w:p w14:paraId="08CA29AE">
      <w:pPr>
        <w:spacing w:line="360" w:lineRule="exact"/>
        <w:ind w:left="210" w:leftChars="100" w:right="720"/>
        <w:jc w:val="right"/>
        <w:rPr>
          <w:rFonts w:hint="eastAsia"/>
          <w:color w:val="auto"/>
          <w:sz w:val="18"/>
          <w:szCs w:val="18"/>
          <w:highlight w:val="none"/>
        </w:rPr>
      </w:pPr>
      <w:r>
        <w:rPr>
          <w:rFonts w:hint="eastAsia"/>
          <w:color w:val="auto"/>
          <w:sz w:val="18"/>
          <w:szCs w:val="18"/>
          <w:highlight w:val="none"/>
        </w:rPr>
        <w:t xml:space="preserve">                                                                                      检查日期：</w:t>
      </w:r>
    </w:p>
    <w:p w14:paraId="59DA9BBF">
      <w:pPr>
        <w:rPr>
          <w:rFonts w:hint="default" w:ascii="宋体" w:hAnsi="宋体"/>
          <w:bCs/>
          <w:color w:val="auto"/>
          <w:szCs w:val="21"/>
          <w:highlight w:val="none"/>
          <w:lang w:val="en-US" w:eastAsia="zh-CN"/>
        </w:rPr>
      </w:pP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方正小标宋简体">
    <w:panose1 w:val="02010601030101010101"/>
    <w:charset w:val="86"/>
    <w:family w:val="script"/>
    <w:pitch w:val="default"/>
    <w:sig w:usb0="00000001" w:usb1="080E0000" w:usb2="00000000" w:usb3="00000000" w:csb0="00040000" w:csb1="00000000"/>
  </w:font>
  <w:font w:name="微软雅黑">
    <w:altName w:val="文泉驿微米黑"/>
    <w:panose1 w:val="020B0503020204020204"/>
    <w:charset w:val="86"/>
    <w:family w:val="auto"/>
    <w:pitch w:val="default"/>
    <w:sig w:usb0="00000000" w:usb1="00000000" w:usb2="00000016" w:usb3="00000000" w:csb0="0004001F" w:csb1="00000000"/>
  </w:font>
  <w:font w:name="Wingdings 2">
    <w:panose1 w:val="05020102010507070707"/>
    <w:charset w:val="02"/>
    <w:family w:val="auto"/>
    <w:pitch w:val="default"/>
    <w:sig w:usb0="00000000" w:usb1="00000000" w:usb2="00000000" w:usb3="00000000" w:csb0="80000000" w:csb1="00000000"/>
  </w:font>
  <w:font w:name="CESI黑体-GB13000">
    <w:panose1 w:val="02000500000000000000"/>
    <w:charset w:val="86"/>
    <w:family w:val="auto"/>
    <w:pitch w:val="default"/>
    <w:sig w:usb0="800002BF" w:usb1="38CF7CF8" w:usb2="00000016" w:usb3="00000000" w:csb0="0004000F"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5E551"/>
    <w:multiLevelType w:val="singleLevel"/>
    <w:tmpl w:val="9555E551"/>
    <w:lvl w:ilvl="0" w:tentative="0">
      <w:start w:val="1"/>
      <w:numFmt w:val="decimal"/>
      <w:lvlText w:val="%1."/>
      <w:lvlJc w:val="left"/>
      <w:pPr>
        <w:tabs>
          <w:tab w:val="left" w:pos="312"/>
        </w:tabs>
      </w:pPr>
    </w:lvl>
  </w:abstractNum>
  <w:abstractNum w:abstractNumId="1">
    <w:nsid w:val="A212D6B6"/>
    <w:multiLevelType w:val="singleLevel"/>
    <w:tmpl w:val="A212D6B6"/>
    <w:lvl w:ilvl="0" w:tentative="0">
      <w:start w:val="1"/>
      <w:numFmt w:val="chineseCounting"/>
      <w:suff w:val="nothing"/>
      <w:lvlText w:val="%1、"/>
      <w:lvlJc w:val="left"/>
      <w:rPr>
        <w:rFonts w:hint="eastAsia"/>
      </w:rPr>
    </w:lvl>
  </w:abstractNum>
  <w:abstractNum w:abstractNumId="2">
    <w:nsid w:val="51EEFC67"/>
    <w:multiLevelType w:val="singleLevel"/>
    <w:tmpl w:val="51EEFC67"/>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C135FB"/>
    <w:rsid w:val="00A3295D"/>
    <w:rsid w:val="014A4B87"/>
    <w:rsid w:val="017F5000"/>
    <w:rsid w:val="01993D60"/>
    <w:rsid w:val="023B17BB"/>
    <w:rsid w:val="024050BE"/>
    <w:rsid w:val="02571C51"/>
    <w:rsid w:val="026B1259"/>
    <w:rsid w:val="02C135FB"/>
    <w:rsid w:val="04904FA7"/>
    <w:rsid w:val="04934A97"/>
    <w:rsid w:val="04BF588C"/>
    <w:rsid w:val="04F27A0F"/>
    <w:rsid w:val="073E518E"/>
    <w:rsid w:val="07972AF0"/>
    <w:rsid w:val="08430582"/>
    <w:rsid w:val="08FA3336"/>
    <w:rsid w:val="09057E38"/>
    <w:rsid w:val="0963712E"/>
    <w:rsid w:val="0995730B"/>
    <w:rsid w:val="09C82D35"/>
    <w:rsid w:val="0A27573A"/>
    <w:rsid w:val="0A9B30A2"/>
    <w:rsid w:val="0AA04BFE"/>
    <w:rsid w:val="0B552AA6"/>
    <w:rsid w:val="0BAA20CC"/>
    <w:rsid w:val="0BAD4690"/>
    <w:rsid w:val="0C3E7B22"/>
    <w:rsid w:val="0C776A4C"/>
    <w:rsid w:val="0D2A1D10"/>
    <w:rsid w:val="0D70006B"/>
    <w:rsid w:val="0D774F56"/>
    <w:rsid w:val="0F753717"/>
    <w:rsid w:val="10207B26"/>
    <w:rsid w:val="109776BD"/>
    <w:rsid w:val="10A342B4"/>
    <w:rsid w:val="10D80401"/>
    <w:rsid w:val="11360C84"/>
    <w:rsid w:val="118F6A7B"/>
    <w:rsid w:val="11A90EB8"/>
    <w:rsid w:val="11D1624A"/>
    <w:rsid w:val="121418B7"/>
    <w:rsid w:val="133B4C77"/>
    <w:rsid w:val="13F56BD4"/>
    <w:rsid w:val="14EF3F6B"/>
    <w:rsid w:val="16556050"/>
    <w:rsid w:val="16831F71"/>
    <w:rsid w:val="16DC407B"/>
    <w:rsid w:val="17093DC9"/>
    <w:rsid w:val="172F064F"/>
    <w:rsid w:val="173914CE"/>
    <w:rsid w:val="176F6C9D"/>
    <w:rsid w:val="17DA345C"/>
    <w:rsid w:val="17DF5EA9"/>
    <w:rsid w:val="18714C97"/>
    <w:rsid w:val="189A2440"/>
    <w:rsid w:val="190C1961"/>
    <w:rsid w:val="192C753C"/>
    <w:rsid w:val="1A330456"/>
    <w:rsid w:val="1A862C7C"/>
    <w:rsid w:val="1BF0B6FD"/>
    <w:rsid w:val="1CD13F56"/>
    <w:rsid w:val="1CEB326A"/>
    <w:rsid w:val="1D030852"/>
    <w:rsid w:val="1D04257E"/>
    <w:rsid w:val="1D9A07EC"/>
    <w:rsid w:val="1DD737EE"/>
    <w:rsid w:val="1E320A25"/>
    <w:rsid w:val="1E6F3F54"/>
    <w:rsid w:val="1F721A21"/>
    <w:rsid w:val="20855784"/>
    <w:rsid w:val="210E7527"/>
    <w:rsid w:val="21134B3E"/>
    <w:rsid w:val="21A24F33"/>
    <w:rsid w:val="21F04E7F"/>
    <w:rsid w:val="228E7026"/>
    <w:rsid w:val="22E06CA1"/>
    <w:rsid w:val="235466CA"/>
    <w:rsid w:val="23552378"/>
    <w:rsid w:val="24295260"/>
    <w:rsid w:val="257E36DD"/>
    <w:rsid w:val="25A14DB7"/>
    <w:rsid w:val="25BF5294"/>
    <w:rsid w:val="25E60A73"/>
    <w:rsid w:val="26380537"/>
    <w:rsid w:val="265754CC"/>
    <w:rsid w:val="266D2F42"/>
    <w:rsid w:val="268638C6"/>
    <w:rsid w:val="276E6F72"/>
    <w:rsid w:val="287265EE"/>
    <w:rsid w:val="28862099"/>
    <w:rsid w:val="289B1FE8"/>
    <w:rsid w:val="28C04E3D"/>
    <w:rsid w:val="28DC43AF"/>
    <w:rsid w:val="2A1831C5"/>
    <w:rsid w:val="2A9D36CA"/>
    <w:rsid w:val="2AB54EB7"/>
    <w:rsid w:val="2B253DEB"/>
    <w:rsid w:val="2BE12896"/>
    <w:rsid w:val="2BF043F9"/>
    <w:rsid w:val="2C683887"/>
    <w:rsid w:val="2CAF60BD"/>
    <w:rsid w:val="2CC3566A"/>
    <w:rsid w:val="2D2307FE"/>
    <w:rsid w:val="2EB45BB2"/>
    <w:rsid w:val="2ED33B5E"/>
    <w:rsid w:val="2EFC30B5"/>
    <w:rsid w:val="2F20375F"/>
    <w:rsid w:val="2F560A17"/>
    <w:rsid w:val="30E070F0"/>
    <w:rsid w:val="32110C25"/>
    <w:rsid w:val="328A09D8"/>
    <w:rsid w:val="32E225C2"/>
    <w:rsid w:val="332D4F22"/>
    <w:rsid w:val="335C05C6"/>
    <w:rsid w:val="340A2CF3"/>
    <w:rsid w:val="346A286F"/>
    <w:rsid w:val="34AF0316"/>
    <w:rsid w:val="34B561E0"/>
    <w:rsid w:val="34BD5094"/>
    <w:rsid w:val="34CE1050"/>
    <w:rsid w:val="35327830"/>
    <w:rsid w:val="35F66AB0"/>
    <w:rsid w:val="35FB40C6"/>
    <w:rsid w:val="3676199F"/>
    <w:rsid w:val="36C26992"/>
    <w:rsid w:val="37661070"/>
    <w:rsid w:val="38A71C05"/>
    <w:rsid w:val="38CF35E8"/>
    <w:rsid w:val="390908A8"/>
    <w:rsid w:val="391D25A6"/>
    <w:rsid w:val="397C551E"/>
    <w:rsid w:val="39B750BD"/>
    <w:rsid w:val="39D23390"/>
    <w:rsid w:val="3B08098E"/>
    <w:rsid w:val="3BAA5C47"/>
    <w:rsid w:val="3BF425EC"/>
    <w:rsid w:val="3C1501DD"/>
    <w:rsid w:val="3D115F7D"/>
    <w:rsid w:val="3E6B5B61"/>
    <w:rsid w:val="3E7E5894"/>
    <w:rsid w:val="3ECB5495"/>
    <w:rsid w:val="3F47212A"/>
    <w:rsid w:val="3F8A5D66"/>
    <w:rsid w:val="40063D93"/>
    <w:rsid w:val="4019391A"/>
    <w:rsid w:val="4063681A"/>
    <w:rsid w:val="40B57568"/>
    <w:rsid w:val="410D73A4"/>
    <w:rsid w:val="411104BA"/>
    <w:rsid w:val="42A41642"/>
    <w:rsid w:val="44A86E54"/>
    <w:rsid w:val="456A2020"/>
    <w:rsid w:val="45725A27"/>
    <w:rsid w:val="458E1ABF"/>
    <w:rsid w:val="46A16A95"/>
    <w:rsid w:val="4734568A"/>
    <w:rsid w:val="48142DC6"/>
    <w:rsid w:val="48645AFB"/>
    <w:rsid w:val="492B03C7"/>
    <w:rsid w:val="49A60F52"/>
    <w:rsid w:val="49FC1D63"/>
    <w:rsid w:val="4AB10DA0"/>
    <w:rsid w:val="4B033A72"/>
    <w:rsid w:val="4B5E27BB"/>
    <w:rsid w:val="4BBC5C4E"/>
    <w:rsid w:val="4C2A705C"/>
    <w:rsid w:val="4D700CBE"/>
    <w:rsid w:val="4E105B85"/>
    <w:rsid w:val="4E866C96"/>
    <w:rsid w:val="4F3F4BCC"/>
    <w:rsid w:val="51611D91"/>
    <w:rsid w:val="51BD627C"/>
    <w:rsid w:val="51E732F9"/>
    <w:rsid w:val="525210BA"/>
    <w:rsid w:val="52B40CAE"/>
    <w:rsid w:val="52E07C83"/>
    <w:rsid w:val="5333759E"/>
    <w:rsid w:val="534C781A"/>
    <w:rsid w:val="534D7664"/>
    <w:rsid w:val="53BB67EB"/>
    <w:rsid w:val="53D1600F"/>
    <w:rsid w:val="54244390"/>
    <w:rsid w:val="545A6004"/>
    <w:rsid w:val="545E164F"/>
    <w:rsid w:val="56D05C0F"/>
    <w:rsid w:val="57961A49"/>
    <w:rsid w:val="5866141B"/>
    <w:rsid w:val="589810A3"/>
    <w:rsid w:val="5960230F"/>
    <w:rsid w:val="599B6EA3"/>
    <w:rsid w:val="5A0313FD"/>
    <w:rsid w:val="5A88357F"/>
    <w:rsid w:val="5BBE0092"/>
    <w:rsid w:val="5C7D6D34"/>
    <w:rsid w:val="5CDC6150"/>
    <w:rsid w:val="5D6B3030"/>
    <w:rsid w:val="5D6B70B1"/>
    <w:rsid w:val="5DC80482"/>
    <w:rsid w:val="5E3478C6"/>
    <w:rsid w:val="5E687EA5"/>
    <w:rsid w:val="5F4144FC"/>
    <w:rsid w:val="5F4B136B"/>
    <w:rsid w:val="5F7FC833"/>
    <w:rsid w:val="5FA62A45"/>
    <w:rsid w:val="5FB94527"/>
    <w:rsid w:val="606326E4"/>
    <w:rsid w:val="60820DBC"/>
    <w:rsid w:val="60830691"/>
    <w:rsid w:val="61314591"/>
    <w:rsid w:val="6134376C"/>
    <w:rsid w:val="618E553F"/>
    <w:rsid w:val="61C90F83"/>
    <w:rsid w:val="63161C90"/>
    <w:rsid w:val="632A5E8A"/>
    <w:rsid w:val="637A0E84"/>
    <w:rsid w:val="641B57B0"/>
    <w:rsid w:val="646D3B32"/>
    <w:rsid w:val="64BB489D"/>
    <w:rsid w:val="64FE478A"/>
    <w:rsid w:val="657C2A83"/>
    <w:rsid w:val="65A83860"/>
    <w:rsid w:val="65EA761E"/>
    <w:rsid w:val="660B1854"/>
    <w:rsid w:val="6618760C"/>
    <w:rsid w:val="66252916"/>
    <w:rsid w:val="665A1E94"/>
    <w:rsid w:val="66611474"/>
    <w:rsid w:val="66D44ADE"/>
    <w:rsid w:val="66E34F83"/>
    <w:rsid w:val="673D196D"/>
    <w:rsid w:val="68112A26"/>
    <w:rsid w:val="683230C8"/>
    <w:rsid w:val="68EA02F4"/>
    <w:rsid w:val="69264077"/>
    <w:rsid w:val="69DD1C68"/>
    <w:rsid w:val="6A0B3BD1"/>
    <w:rsid w:val="6A912090"/>
    <w:rsid w:val="6B0869DC"/>
    <w:rsid w:val="6B7E03D2"/>
    <w:rsid w:val="6C7B240D"/>
    <w:rsid w:val="6CC10EBE"/>
    <w:rsid w:val="6D061FAD"/>
    <w:rsid w:val="6E3C32A1"/>
    <w:rsid w:val="6EAD16FA"/>
    <w:rsid w:val="6F6B5112"/>
    <w:rsid w:val="6F891CC2"/>
    <w:rsid w:val="70156843"/>
    <w:rsid w:val="7075449A"/>
    <w:rsid w:val="725453F3"/>
    <w:rsid w:val="728905CB"/>
    <w:rsid w:val="730F28E8"/>
    <w:rsid w:val="73830C7C"/>
    <w:rsid w:val="74DD616A"/>
    <w:rsid w:val="74F636CF"/>
    <w:rsid w:val="76082151"/>
    <w:rsid w:val="767B20DE"/>
    <w:rsid w:val="76A51934"/>
    <w:rsid w:val="76EC4D8A"/>
    <w:rsid w:val="7726029C"/>
    <w:rsid w:val="773F4EBA"/>
    <w:rsid w:val="7760103E"/>
    <w:rsid w:val="778F7334"/>
    <w:rsid w:val="78D15A2C"/>
    <w:rsid w:val="78F7E850"/>
    <w:rsid w:val="79BE0C60"/>
    <w:rsid w:val="7A4A42A1"/>
    <w:rsid w:val="7C5807CC"/>
    <w:rsid w:val="7CDD2D69"/>
    <w:rsid w:val="7DE71E07"/>
    <w:rsid w:val="7DE7C6DD"/>
    <w:rsid w:val="7DFD787D"/>
    <w:rsid w:val="7E882462"/>
    <w:rsid w:val="7F5563EB"/>
    <w:rsid w:val="7F5D08A4"/>
    <w:rsid w:val="7F89586C"/>
    <w:rsid w:val="9EAF51A9"/>
    <w:rsid w:val="CFFF64D9"/>
    <w:rsid w:val="F9FF83DE"/>
    <w:rsid w:val="FFFB3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4"/>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10874</Words>
  <Characters>11182</Characters>
  <Lines>0</Lines>
  <Paragraphs>0</Paragraphs>
  <TotalTime>0</TotalTime>
  <ScaleCrop>false</ScaleCrop>
  <LinksUpToDate>false</LinksUpToDate>
  <CharactersWithSpaces>11446</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2025-11-07T21:56:00Z</dcterms:created>
  <dc:creator>Gina</dc:creator>
  <cp:lastModifiedBy>顾文林</cp:lastModifiedBy>
  <dcterms:modified xsi:type="dcterms:W3CDTF">2025-12-26T17:37:37Z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78CE943680F368B9DC0E4E694B58DE91_43</vt:lpwstr>
  </property>
  <property fmtid="{D5CDD505-2E9C-101B-9397-08002B2CF9AE}" pid="4" name="KSOTemplateDocerSaveRecord">
    <vt:lpwstr>eyJoZGlkIjoiZjVlYTJmMTY0YTBiMTg0OTIwODA3MWYxNTM1ZmFiNzIiLCJ1c2VySWQiOiIxMDMxNDEyNTI1In0=</vt:lpwstr>
  </property>
</Properties>
</file>