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5A8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bookmarkStart w:id="0" w:name="_Toc102276535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“年度船艇保险费”项目</w:t>
      </w:r>
    </w:p>
    <w:p w14:paraId="18D6A8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>采购需求</w:t>
      </w:r>
      <w:bookmarkEnd w:id="0"/>
    </w:p>
    <w:p w14:paraId="11CF2FA3">
      <w:pPr>
        <w:jc w:val="center"/>
        <w:rPr>
          <w:rFonts w:hint="eastAsia"/>
          <w:sz w:val="32"/>
          <w:szCs w:val="32"/>
        </w:rPr>
      </w:pPr>
    </w:p>
    <w:p w14:paraId="5DB6BBC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一、项目内容</w:t>
      </w:r>
    </w:p>
    <w:p w14:paraId="5BDDA5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为上海市公安局边防港航分局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相关船舶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沿海内河船舶保险一切险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服务。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（船舶保值等资料详见附表）</w:t>
      </w:r>
    </w:p>
    <w:p w14:paraId="1CB0F818">
      <w:pPr>
        <w:pStyle w:val="5"/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保险期自2026年6月25日至2027年3月31日。</w:t>
      </w:r>
    </w:p>
    <w:p w14:paraId="7ABDC3ED">
      <w:pPr>
        <w:pStyle w:val="5"/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169F53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二、适用条款、保险价值和险种</w:t>
      </w:r>
    </w:p>
    <w:p w14:paraId="53EA5E7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上海市公安局边防和港航分局船舶统一投保沿海内河船舶保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  <w:t>险一切险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，包括但不限于：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  <w:t>碰撞、触碰责任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  <w:t>共同海损、救助及施救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费用、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螺旋桨、舵、锚、锚链及子船单独损失保险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船上人员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第三者人身伤亡责任保险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以上为保险险种的最低需求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中标供应商可以提供相应的增值服务。</w:t>
      </w:r>
    </w:p>
    <w:p w14:paraId="247C5F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Autospacing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适用条款</w:t>
      </w:r>
    </w:p>
    <w:p w14:paraId="5C5172A1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投标供应商在投标时必须使用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国家金融监督管理总局（原银保监会）审批或备案的保险条款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，请投标供应商提供具体保险条款措辞。</w:t>
      </w:r>
    </w:p>
    <w:p w14:paraId="14410D9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Autospacing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保险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标的</w:t>
      </w:r>
    </w:p>
    <w:p w14:paraId="6C7E17D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船舶及船上所属设备总保险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标的为</w:t>
      </w:r>
      <w:r>
        <w:rPr>
          <w:rFonts w:hint="default" w:ascii="Times New Roman" w:hAnsi="Times New Roman" w:eastAsia="微软雅黑" w:cs="Times New Roman"/>
          <w:color w:val="auto"/>
          <w:sz w:val="32"/>
          <w:szCs w:val="32"/>
          <w:lang w:val="en-US" w:eastAsia="zh-CN"/>
        </w:rPr>
        <w:t>12120.5692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足额投保。</w:t>
      </w:r>
    </w:p>
    <w:p w14:paraId="47E63FB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Autospacing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）基本保险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责任</w:t>
      </w:r>
    </w:p>
    <w:p w14:paraId="3E5DC4C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沿海内河船舶保险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</w:p>
    <w:p w14:paraId="4EA33D8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2、沿海内河船舶保险附加四分之一碰撞触碰责任保险；</w:t>
      </w:r>
    </w:p>
    <w:p w14:paraId="3CC9ECC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3、沿海内河船舶保险附加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螺旋桨、舵、锚、锚链及子船单独损失保险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585B176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4、沿海内河船舶保险附加船东（上海市公安局边防和港航分局）对船上工作人员（船上工作的本局警、辅等人员）责任保险条款；</w:t>
      </w:r>
    </w:p>
    <w:p w14:paraId="4AD9FC0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5、沿海内河船舶保险附加船东（上海市公安局边防和港航分局）对第三者死亡或伤残责任保险条款。</w:t>
      </w:r>
    </w:p>
    <w:p w14:paraId="2DA75444">
      <w:pPr>
        <w:pStyle w:val="5"/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注：供应商根据以上基本保险责任要求提供保险方案，包括但不限于上述险种，可根据项目情况进行险种、保险条款扩充，提供相应的增值服务。</w:t>
      </w:r>
    </w:p>
    <w:p w14:paraId="6BECC0C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934BA6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免赔、赔偿限额、特约条款</w:t>
      </w:r>
    </w:p>
    <w:p w14:paraId="08BC904C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1、免赔：沿海内河船舶保险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主险部分免赔额不高于3000元，附加险不设免赔。</w:t>
      </w:r>
    </w:p>
    <w:p w14:paraId="014D4739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2、赔偿限额：附加四分之一碰撞触碰责任保险、附加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螺旋桨、舵、锚、锚链及子船单独损失保险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单项总限额应不低于采购需求中各船舶对应保额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附加船东对船上工作人员责任保险、附加船东对第三者死亡或残疾责任保险赔偿限额不低于50万元/人。（各船舶按本需求《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船舶保险资料明细表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》中对应保额投保，供应商应视为足额投保）。</w:t>
      </w:r>
    </w:p>
    <w:p w14:paraId="62F8945F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3、特约条款：供应商提供的保险方案中，可根据采购需求提供特约条款，需综合考虑后，在投标方案中提供具体条款措辞。</w:t>
      </w:r>
    </w:p>
    <w:p w14:paraId="7B9468C0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276067E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、保费的缴纳</w:t>
      </w:r>
    </w:p>
    <w:p w14:paraId="4EC97719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合同签订生效，采购人收到中标供应商出具的保单及有效发票后10个工作日内支付全部合同款项。</w:t>
      </w:r>
    </w:p>
    <w:p w14:paraId="35D0873A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bookmarkStart w:id="1" w:name="_GoBack"/>
      <w:bookmarkEnd w:id="1"/>
    </w:p>
    <w:p w14:paraId="75488F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、赔案处理</w:t>
      </w:r>
    </w:p>
    <w:p w14:paraId="4BDD674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船舶发生保险事故后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，根据事故报案，投标供应商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应认真贯彻“主动、迅速、准确、合理”的方针，按照“实事求是、重合同、守信用”的原则进行理赔。</w:t>
      </w:r>
    </w:p>
    <w:p w14:paraId="45FC7093">
      <w:pPr>
        <w:pStyle w:val="5"/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投标供应商应在提供保险方案及产品时，应在投标文件中对其公司理赔经验、理赔流程、理赔方式等进行明确，并指定对应的相关服务小组人员协助后续相关赔案及相关服务工作。</w:t>
      </w:r>
    </w:p>
    <w:p w14:paraId="4E18BEE5">
      <w:pPr>
        <w:pStyle w:val="5"/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9D1AFC4">
      <w:pPr>
        <w:pStyle w:val="5"/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 w:bidi="zh-CN"/>
        </w:rPr>
      </w:pP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 w:bidi="zh-CN"/>
        </w:rPr>
        <w:t>六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 w:bidi="zh-CN"/>
        </w:rPr>
        <w:t>、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 w:bidi="zh-CN"/>
        </w:rPr>
        <w:t>服务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 w:bidi="zh-CN"/>
        </w:rPr>
        <w:t>团队人员要求</w:t>
      </w:r>
    </w:p>
    <w:p w14:paraId="17C052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服务小组人员应至少有从业五年以上的经验，服务小组人员最少3人。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zh-CN"/>
        </w:rPr>
        <w:t>服务人员应具有与本项目技术要求相适应的技术水平、管理水平和相应资质。</w:t>
      </w:r>
    </w:p>
    <w:p w14:paraId="2777B5B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未经采购人书面同意，供应商不得更换服务小组成员。如需更换，经采购人同意后，应以同等或更高水平、资质的人员取代需更换的人员。</w:t>
      </w:r>
    </w:p>
    <w:p w14:paraId="43A1BB3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当采购人有合理理由认为服务小组人员不符合本项目服务要求时，采购人有权书面要求供应商更换，供应商应按照要求进行执行。</w:t>
      </w:r>
    </w:p>
    <w:p w14:paraId="39AC13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85BCF3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七、供应商资质</w:t>
      </w:r>
    </w:p>
    <w:p w14:paraId="5EF7233A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zh-CN"/>
        </w:rPr>
        <w:t>1、具有从事船舶险种的承保经验及理赔经验的供应商优先考虑，以确保能提供良好的保险服务。</w:t>
      </w:r>
    </w:p>
    <w:p w14:paraId="78F46AB4">
      <w:pPr>
        <w:pStyle w:val="5"/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0960C2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八、其他要求：</w:t>
      </w:r>
    </w:p>
    <w:p w14:paraId="4DB4EE8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1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zh-CN"/>
        </w:rPr>
        <w:t>1、投标供应商提供的服务须合法合规，及时有效。保险赔偿方便、快捷。</w:t>
      </w:r>
    </w:p>
    <w:p w14:paraId="0BF0F5E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1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zh-CN"/>
        </w:rPr>
        <w:t>2、投标供应商对本项目承担保密义务。未经采购人许可，不得向第三方提供（披露）采购人的有关信息与资料。</w:t>
      </w:r>
    </w:p>
    <w:p w14:paraId="532351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1"/>
        <w:ind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zh-CN"/>
        </w:rPr>
      </w:pPr>
    </w:p>
    <w:p w14:paraId="4273206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九、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针对本项目的增值服务或特色服务等</w:t>
      </w:r>
    </w:p>
    <w:p w14:paraId="412D3EE1">
      <w:pPr>
        <w:pStyle w:val="14"/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afterAutospacing="1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zh-CN"/>
        </w:rPr>
        <w:t>根据项目情况各供应商自行拟定提供。</w:t>
      </w:r>
    </w:p>
    <w:p w14:paraId="52986487">
      <w:pPr>
        <w:ind w:firstLine="562" w:firstLineChars="200"/>
        <w:jc w:val="both"/>
        <w:rPr>
          <w:rFonts w:hint="default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附件1：保险标的说明</w:t>
      </w:r>
    </w:p>
    <w:p w14:paraId="02B64B8D">
      <w:pPr>
        <w:ind w:firstLine="562" w:firstLineChars="200"/>
        <w:jc w:val="both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/>
        </w:rPr>
        <w:t>船舶保险资料明细表</w:t>
      </w:r>
    </w:p>
    <w:p w14:paraId="66CFAA66">
      <w:pPr>
        <w:ind w:firstLine="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 w14:paraId="7E287B25">
      <w:pPr>
        <w:ind w:firstLine="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附件1：</w:t>
      </w:r>
    </w:p>
    <w:tbl>
      <w:tblPr>
        <w:tblStyle w:val="9"/>
        <w:tblpPr w:leftFromText="180" w:rightFromText="180" w:vertAnchor="text" w:horzAnchor="page" w:tblpXSpec="center" w:tblpY="173"/>
        <w:tblOverlap w:val="never"/>
        <w:tblW w:w="131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175"/>
        <w:gridCol w:w="1757"/>
        <w:gridCol w:w="3473"/>
        <w:gridCol w:w="2419"/>
        <w:gridCol w:w="3596"/>
      </w:tblGrid>
      <w:tr w14:paraId="4793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 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保险标的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标的总价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投保险种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绝对免赔额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赔偿限额</w:t>
            </w:r>
          </w:p>
        </w:tc>
      </w:tr>
      <w:tr w14:paraId="46B3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（船员2人）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E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1428600元人民币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6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9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A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1428600元人民币</w:t>
            </w:r>
          </w:p>
        </w:tc>
      </w:tr>
      <w:tr w14:paraId="05418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8F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3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A14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1428600元人民币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C6A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F10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64E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4989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41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5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351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1428600元人民币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6B5B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417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3D9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每次单独损失按实际损失赔偿，1428600元人民币</w:t>
            </w:r>
          </w:p>
        </w:tc>
      </w:tr>
      <w:tr w14:paraId="20A2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E7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1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9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1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4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C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</w:tr>
      <w:tr w14:paraId="2325F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F7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5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9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B69A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23EC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82F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650C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公安111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（船员2人）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E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2930000元人民币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C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1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E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2930000元人民币</w:t>
            </w:r>
          </w:p>
        </w:tc>
      </w:tr>
      <w:tr w14:paraId="1240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1F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0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022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2930000元人民币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7C0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1FC8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AB03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4D8F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54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A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84D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2930000元人民币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395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AE41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AA4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每次单独损失按实际损失赔偿，2930000元人民币</w:t>
            </w:r>
          </w:p>
        </w:tc>
      </w:tr>
      <w:tr w14:paraId="1C4C5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9A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9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F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4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C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4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</w:tr>
      <w:tr w14:paraId="6C96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2C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1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F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F30E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781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8C73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3448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公安112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（船员2人）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A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2795291元人民币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0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0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4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2795291元人民币</w:t>
            </w:r>
          </w:p>
        </w:tc>
      </w:tr>
      <w:tr w14:paraId="2585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3B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4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19C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2795291元人民币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FD1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1DEF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5BD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4874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A7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A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169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2795291元人民币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6D8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D4D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357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每次单独损失按实际损失赔偿，2795291元人民币</w:t>
            </w:r>
          </w:p>
        </w:tc>
      </w:tr>
      <w:tr w14:paraId="7A56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E6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A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D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A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D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3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</w:tr>
      <w:tr w14:paraId="5320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8C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E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5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9C2F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86B2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BDA6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43CDA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公安115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（船员2人）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2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2795291元人民币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4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2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B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2795291元人民币</w:t>
            </w:r>
          </w:p>
        </w:tc>
      </w:tr>
      <w:tr w14:paraId="44763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E0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2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03E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2795291元人民币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FB5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A86A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07F3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6E3A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58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A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565B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2795291元人民币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A4B7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8643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81B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每次单独损失按实际损失赔偿，2795291元人民币</w:t>
            </w:r>
          </w:p>
        </w:tc>
      </w:tr>
      <w:tr w14:paraId="1A48F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BE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0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6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E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6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4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</w:tr>
      <w:tr w14:paraId="0901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89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F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F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A2B4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405F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5D7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77C8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公安116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（船员2人）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B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2848986元人民币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6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4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3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2848986元人民币</w:t>
            </w:r>
          </w:p>
        </w:tc>
      </w:tr>
      <w:tr w14:paraId="709C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58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5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6549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2848986元人民币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9BD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186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E92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79FA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91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8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331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2848986元人民币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CE8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036F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043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每次单独损失按实际损失赔偿，2848986元人民币</w:t>
            </w:r>
          </w:p>
        </w:tc>
      </w:tr>
      <w:tr w14:paraId="5E2E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A7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7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E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6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9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D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</w:tr>
      <w:tr w14:paraId="7545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B3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D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1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1DB2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960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40E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0D01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公安117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（船员2人）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2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2848986元人民币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0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0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1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2848986元人民币</w:t>
            </w:r>
          </w:p>
        </w:tc>
      </w:tr>
      <w:tr w14:paraId="745A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63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0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2B43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2848986元人民币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721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2B1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9C1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025C4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03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B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6D1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2848986元人民币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3D0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9711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411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每次单独损失按实际损失赔偿，2848986元人民币</w:t>
            </w:r>
          </w:p>
        </w:tc>
      </w:tr>
      <w:tr w14:paraId="31DD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8D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3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2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9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6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C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</w:tr>
      <w:tr w14:paraId="7244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77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8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4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192E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AE9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2C88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5CD6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公安212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（船员3人）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3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2973531元人民币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7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B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0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2973531元人民币</w:t>
            </w:r>
          </w:p>
        </w:tc>
      </w:tr>
      <w:tr w14:paraId="7F953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57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D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950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2973531元人民币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883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1BB0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962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33B6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B7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4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B7C2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2973531元人民币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64F0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5B3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875E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每次单独损失按实际损失赔偿，2973531元人民币</w:t>
            </w:r>
          </w:p>
        </w:tc>
      </w:tr>
      <w:tr w14:paraId="6276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2C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D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5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3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7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F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</w:tr>
      <w:tr w14:paraId="35D5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21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3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B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DB9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39B8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F5C6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3224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公安213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（船员3人）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B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2879554元人民币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5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4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7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2879554元人民币</w:t>
            </w:r>
          </w:p>
        </w:tc>
      </w:tr>
      <w:tr w14:paraId="3C94C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D7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6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B02C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2879554元人民币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6E3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FA4C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7EED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29B3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2C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5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37A0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2879554元人民币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2A7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C68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5B9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每次单独损失按实际损失赔偿，2879554元人民币</w:t>
            </w:r>
          </w:p>
        </w:tc>
      </w:tr>
      <w:tr w14:paraId="4B3B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0D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8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F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B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F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5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</w:tr>
      <w:tr w14:paraId="4955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46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0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7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C69D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27F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4F3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00D2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公安215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（船员3人）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6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2879554元人民币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3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B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5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2879554元人民币</w:t>
            </w:r>
          </w:p>
        </w:tc>
      </w:tr>
      <w:tr w14:paraId="0C82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80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E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D66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2879554元人民币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345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AAA0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4C61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5EFD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E9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8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D49B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2879554元人民币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A6D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B26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880F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每次单独损失按实际损失赔偿，2879554元人民币</w:t>
            </w:r>
          </w:p>
        </w:tc>
      </w:tr>
      <w:tr w14:paraId="54E0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73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8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0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C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1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</w:tr>
      <w:tr w14:paraId="1ACF5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9F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3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4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5EB1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F6B8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CDD2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1BC8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公安216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（船员3人）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3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2901186元人民币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5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2901186元人民币</w:t>
            </w:r>
          </w:p>
        </w:tc>
      </w:tr>
      <w:tr w14:paraId="5C50E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01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1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F11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2901186元人民币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D410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13D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CF1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7373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9F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7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FF10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2901186元人民币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FD02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A241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7BB0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每次单独损失按实际损失赔偿，2901186元人民币</w:t>
            </w:r>
          </w:p>
        </w:tc>
      </w:tr>
      <w:tr w14:paraId="2B5A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7D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5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C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8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D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5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</w:tr>
      <w:tr w14:paraId="5E41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05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8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2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905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9BA6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597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0F08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公安027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（船员2人）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8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1818580元人民币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5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5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E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1818580元人民币</w:t>
            </w:r>
          </w:p>
        </w:tc>
      </w:tr>
      <w:tr w14:paraId="67D1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45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4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038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1818580元人民币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5F72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674A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2EC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66C6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01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5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6A44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1818580元人民币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DAD9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26CB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ED8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每次单独损失按实际损失赔偿，1818580元人民币</w:t>
            </w:r>
          </w:p>
        </w:tc>
      </w:tr>
      <w:tr w14:paraId="2E3F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2F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A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6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B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F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4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</w:tr>
      <w:tr w14:paraId="6423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A4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A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0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8C7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E4E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14D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2A9B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公安118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（船员2人）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6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2897827元人民币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1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4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9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2897827元人民币</w:t>
            </w:r>
          </w:p>
        </w:tc>
      </w:tr>
      <w:tr w14:paraId="2DDB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8C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9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5E52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2897827元人民币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A86A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3B0E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4A1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5883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CB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D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A516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2897827元人民币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B0D1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4E80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017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每次单独损失按实际损失赔偿，2897827元人民币</w:t>
            </w:r>
          </w:p>
        </w:tc>
      </w:tr>
      <w:tr w14:paraId="27D0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BC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E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C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3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7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8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</w:tr>
      <w:tr w14:paraId="623D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38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9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E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D46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0600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A44E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7C34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（船员2人）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6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2961584元人民币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4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7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4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2961584元人民币</w:t>
            </w:r>
          </w:p>
        </w:tc>
      </w:tr>
      <w:tr w14:paraId="46ED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36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7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35F2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2961584元人民币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AAA9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2E48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1AB9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7D26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7E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A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832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2961584元人民币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E5BD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372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F04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每次单独损失按实际损失赔偿，2961584元人民币</w:t>
            </w:r>
          </w:p>
        </w:tc>
      </w:tr>
      <w:tr w14:paraId="7203B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91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0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D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4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2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F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</w:tr>
      <w:tr w14:paraId="66EC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0B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D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7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D450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974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945D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3F02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（船员2人）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E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2961584元人民币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7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8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D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2961584元人民币</w:t>
            </w:r>
          </w:p>
        </w:tc>
      </w:tr>
      <w:tr w14:paraId="103E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75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4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14A7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2961584元人民币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248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B3A3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F58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1DFF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4C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5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7A8D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2961584元人民币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0F79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FD7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B3C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每次单独损失按实际损失赔偿，2961584元人民币</w:t>
            </w:r>
          </w:p>
        </w:tc>
      </w:tr>
      <w:tr w14:paraId="2E32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8D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1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0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E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1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6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</w:tr>
      <w:tr w14:paraId="7402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B3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0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D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4B6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E5E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7C9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74E2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公安218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（船员3人）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B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2978129元人民币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E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3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A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2978129元人民币</w:t>
            </w:r>
          </w:p>
        </w:tc>
      </w:tr>
      <w:tr w14:paraId="7334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56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A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EDE1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2978129元人民币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398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9843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23C8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66D7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6F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7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CAFB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2978129元人民币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22F5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615E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C4A3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每次单独损失按实际损失赔偿，2978129元人民币</w:t>
            </w:r>
          </w:p>
        </w:tc>
      </w:tr>
      <w:tr w14:paraId="2ABD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C2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5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5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7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5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0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</w:tr>
      <w:tr w14:paraId="2ED76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97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B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0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1BB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E818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A558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1BC9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公安219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（船员3人）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B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2978078元人民币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6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3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1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2978078元人民币</w:t>
            </w:r>
          </w:p>
        </w:tc>
      </w:tr>
      <w:tr w14:paraId="0A7F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BE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F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DA63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2978078元人民币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32B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245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32C8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3B2E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2F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D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0A6B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2978078元人民币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FC41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C19F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0CF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每次单独损失按实际损失赔偿，29780784元人民币</w:t>
            </w:r>
          </w:p>
        </w:tc>
      </w:tr>
      <w:tr w14:paraId="007B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1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5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5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6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5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</w:tr>
      <w:tr w14:paraId="4D51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9F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B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0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687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E30F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17A0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6725B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沪公巡0100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（船员3人）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D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2652878元人民币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7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9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2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2652878元人民币</w:t>
            </w:r>
          </w:p>
        </w:tc>
      </w:tr>
      <w:tr w14:paraId="424C8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8A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5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E98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2652878元人民币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7380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6AC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A2ED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644D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85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B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7C36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2652878元人民币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440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6618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66DA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每次单独损失按实际损失赔偿，2652878元人民币</w:t>
            </w:r>
          </w:p>
        </w:tc>
      </w:tr>
      <w:tr w14:paraId="124B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26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9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7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3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B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8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</w:tr>
      <w:tr w14:paraId="400D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AF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1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1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2236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5D4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3CCC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13CA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沪公巡0300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（船员4人）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9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8951618元人民币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7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F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8951618元人民币</w:t>
            </w:r>
          </w:p>
        </w:tc>
      </w:tr>
      <w:tr w14:paraId="41D5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1C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2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9F3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8951618元人民币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5CA1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264D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89E8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7755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27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5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24A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8951618元人民币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ED6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9E30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2B4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每次单独损失按实际损失赔偿，8951618元人民币</w:t>
            </w:r>
          </w:p>
        </w:tc>
      </w:tr>
      <w:tr w14:paraId="7489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F2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5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3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0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3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E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200万人民币</w:t>
            </w:r>
          </w:p>
        </w:tc>
      </w:tr>
      <w:tr w14:paraId="1C22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48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3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6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764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4FE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447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7B5D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沪公巡0301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（船员4人）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1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7850556元人民币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7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3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9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7850556元人民币</w:t>
            </w:r>
          </w:p>
        </w:tc>
      </w:tr>
      <w:tr w14:paraId="3EB5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38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2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E441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7850556元人民币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51BB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D4B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75F4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6092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7A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8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068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7850556元人民币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99B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BC70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179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每次单独损失按实际损失赔偿，7850556元人民币</w:t>
            </w:r>
          </w:p>
        </w:tc>
      </w:tr>
      <w:tr w14:paraId="4EE0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28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0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4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1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C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4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200万人民币</w:t>
            </w:r>
          </w:p>
        </w:tc>
      </w:tr>
      <w:tr w14:paraId="7B0B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54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D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2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8BBA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8C8B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648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4AC55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沪公巡0201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（船员3人）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0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3879671元人民币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4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7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B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3879671元人民币</w:t>
            </w:r>
          </w:p>
        </w:tc>
      </w:tr>
      <w:tr w14:paraId="280D5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A1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5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73AB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3879671元人民币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C46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7EF4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A9A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177E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41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2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C777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3879671元人民币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01F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9D7E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9F6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每次单独损失按实际损失赔偿，3879671元人民币</w:t>
            </w:r>
          </w:p>
        </w:tc>
      </w:tr>
      <w:tr w14:paraId="1362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49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9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B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3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D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B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</w:tr>
      <w:tr w14:paraId="6ED7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0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9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E018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012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7B0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C80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583E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沪公巡0101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（船员2人）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C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1983000元人民币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2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F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6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1983000元人民币</w:t>
            </w:r>
          </w:p>
        </w:tc>
      </w:tr>
      <w:tr w14:paraId="3E15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5E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8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5B5C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1983000元人民币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7C4E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E82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486A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3E02D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61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1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C14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1983000元人民币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1B85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0C8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C1D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每次单独损失按实际损失赔偿，1983000元人民币</w:t>
            </w:r>
          </w:p>
        </w:tc>
      </w:tr>
      <w:tr w14:paraId="7F067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62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C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B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A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7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A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</w:tr>
      <w:tr w14:paraId="4BA4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56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1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9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7F6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987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B8E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513A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沪公巡0202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（船员3人）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4062504元人民币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3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0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E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4062504元人民币</w:t>
            </w:r>
          </w:p>
        </w:tc>
      </w:tr>
      <w:tr w14:paraId="3919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01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8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8C7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4062504元人民币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74B1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03FB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484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7983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32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3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7204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4062504元人民币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2122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EA6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74B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每次单独损失按实际损失赔偿，4062504元人民币</w:t>
            </w:r>
          </w:p>
        </w:tc>
      </w:tr>
      <w:tr w14:paraId="3B38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68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F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6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5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2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3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</w:tr>
      <w:tr w14:paraId="46E3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3F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F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E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2613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C3A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3BC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1123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沪公巡0203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（船员3人）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1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4062504元人民币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9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A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5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4062504元人民币</w:t>
            </w:r>
          </w:p>
        </w:tc>
      </w:tr>
      <w:tr w14:paraId="6335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14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6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5DBF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4062504元人民币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D896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B665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E38F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19CDA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A0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2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9442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4062504元人民币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495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D955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05C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每次单独损失按实际损失赔偿，4062504元人民币</w:t>
            </w:r>
          </w:p>
        </w:tc>
      </w:tr>
      <w:tr w14:paraId="2BDB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63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2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0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3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1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F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</w:tr>
      <w:tr w14:paraId="01FA6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BB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5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1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696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14AC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5ED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1A6E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沪公巡0501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（船员4人）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7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37057000元人民币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C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2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6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37057000元人民币</w:t>
            </w:r>
          </w:p>
        </w:tc>
      </w:tr>
      <w:tr w14:paraId="0D3D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44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8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E09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37057000元人民币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17CB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CE64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F77F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3C5F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52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1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9189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37057000元人民币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8C5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A3A7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79D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每次单独损失按实际损失赔偿，37057000元人民币</w:t>
            </w:r>
          </w:p>
        </w:tc>
      </w:tr>
      <w:tr w14:paraId="4530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CF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3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B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1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7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7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200万人民币</w:t>
            </w:r>
          </w:p>
        </w:tc>
      </w:tr>
      <w:tr w14:paraId="469F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B7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B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0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558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92F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6CD8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518B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（船员3人）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9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2979200元人民币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3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D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8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2979200元人民币</w:t>
            </w:r>
          </w:p>
        </w:tc>
      </w:tr>
      <w:tr w14:paraId="5C7B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D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B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886A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2979200元人民币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515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E64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D36F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3A029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FA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1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B60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2979200元人民币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705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3206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9425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每次单独损失按实际损失赔偿，2979200元人民币</w:t>
            </w:r>
          </w:p>
        </w:tc>
      </w:tr>
      <w:tr w14:paraId="4903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B2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F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6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0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3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8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</w:tr>
      <w:tr w14:paraId="2938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44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4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0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2FD3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6E32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50F8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49F4D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公安211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（船员3人）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A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2980000元人民币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9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5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D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2980000元人民币</w:t>
            </w:r>
          </w:p>
        </w:tc>
      </w:tr>
      <w:tr w14:paraId="1FC1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7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8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611D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2980000元人民币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82F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4CBF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2533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73F8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52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1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7D46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2980000元人民币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DC64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B34F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270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每次单独损失按实际损失赔偿，2980000元人民币</w:t>
            </w:r>
          </w:p>
        </w:tc>
      </w:tr>
      <w:tr w14:paraId="4E78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53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4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1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9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9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8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150万人民币</w:t>
            </w:r>
          </w:p>
        </w:tc>
      </w:tr>
      <w:tr w14:paraId="2B7C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1B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4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D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1DA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40E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413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  <w:tr w14:paraId="4BF5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公安107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（船员2人）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8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A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1.沿海内河船舶保险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B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每次不高于3000元人民币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3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870000元人民币</w:t>
            </w:r>
          </w:p>
        </w:tc>
      </w:tr>
      <w:tr w14:paraId="7199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55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D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F60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1411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2.四分之一碰撞、触碰责任保险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6C3D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F00D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保险金额的四分之一</w:t>
            </w:r>
          </w:p>
        </w:tc>
      </w:tr>
      <w:tr w14:paraId="51E5B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71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1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0453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870000元人民币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AB6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3.螺旋桨、舵、锚、锚链及子船单独损失保险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74D7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E6DC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每次单独损失按实际损失赔偿，870000元人民币</w:t>
            </w:r>
          </w:p>
        </w:tc>
      </w:tr>
      <w:tr w14:paraId="4FFD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DF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E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B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F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4.船东对船员责任保险（不低于每人50万）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D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7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100万人民币</w:t>
            </w:r>
          </w:p>
        </w:tc>
      </w:tr>
      <w:tr w14:paraId="1650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60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B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F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300万人民币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B34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5.附加第三者人身伤亡责任保险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4C7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21F3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年累计赔偿限额不低于300万元，每人每次事故赔偿限额50万元</w:t>
            </w:r>
          </w:p>
        </w:tc>
      </w:tr>
    </w:tbl>
    <w:p w14:paraId="38B39AC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118AE8B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62D0EC9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7B60286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312EAF9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3D1FA4B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421B25A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78B7CF1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51F90EB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18060CD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457011B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210E20E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2A7C27F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 w14:paraId="6A055D4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上海市公安局边防港航分局</w:t>
      </w:r>
    </w:p>
    <w:p w14:paraId="2E5B7B4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船舶保险资料明细表</w:t>
      </w:r>
    </w:p>
    <w:tbl>
      <w:tblPr>
        <w:tblStyle w:val="9"/>
        <w:tblW w:w="109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55"/>
        <w:gridCol w:w="1425"/>
        <w:gridCol w:w="2415"/>
        <w:gridCol w:w="1755"/>
        <w:gridCol w:w="1095"/>
        <w:gridCol w:w="1755"/>
      </w:tblGrid>
      <w:tr w14:paraId="0142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建造年份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保额（元）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船长（米）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总吨位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警、辅人员</w:t>
            </w:r>
          </w:p>
        </w:tc>
      </w:tr>
      <w:tr w14:paraId="4119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1,428,600.00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06F2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2,930,000.00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70B75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2,795,291.00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1E54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2,795,291.00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B37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2,848,986.00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3AF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2,848,986.00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869A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2,973,531.00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0765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2,879,554.00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C13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2,879,554.00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65EC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2,901,186.00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505D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1,818,580.00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4C57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2,897,827.00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A1D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2,961,584.00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0F4D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2,961,584.00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7185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2,978,129.00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0C57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2,978,078.00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2734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沪公巡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2,652,878.00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08A1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沪公巡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8,951,618.00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3805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沪公巡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7,850,556.00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42DC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沪公巡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3,879,671.00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2DAC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沪公巡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1,983,000.00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36A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沪公巡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4,062,504.00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0E93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沪公巡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4,062,504.00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71FC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沪公巡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37,057,000.00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01DA1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2,979,200.00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250F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2,980,000.00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4A34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870,000.00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373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4B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59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121,205,692.00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24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27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</w:tr>
    </w:tbl>
    <w:p w14:paraId="021D9D8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</w:p>
    <w:p w14:paraId="3202B91E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国标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Microsoft JhengHei">
    <w:altName w:val="国标宋体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国标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33C8A"/>
    <w:rsid w:val="16CF1D99"/>
    <w:rsid w:val="3B3E4937"/>
    <w:rsid w:val="3B7D3F3F"/>
    <w:rsid w:val="5063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spacing w:line="319" w:lineRule="exact"/>
      <w:ind w:left="448"/>
      <w:outlineLvl w:val="0"/>
    </w:pPr>
    <w:rPr>
      <w:sz w:val="25"/>
      <w:szCs w:val="25"/>
      <w:u w:val="single" w:color="000000"/>
    </w:rPr>
  </w:style>
  <w:style w:type="paragraph" w:styleId="3">
    <w:name w:val="heading 2"/>
    <w:basedOn w:val="1"/>
    <w:next w:val="1"/>
    <w:unhideWhenUsed/>
    <w:qFormat/>
    <w:uiPriority w:val="0"/>
    <w:pPr>
      <w:ind w:left="651"/>
      <w:outlineLvl w:val="1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bCs/>
      <w:szCs w:val="2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rFonts w:ascii="Times New Roman" w:hAnsi="Times New Roman"/>
      <w:sz w:val="24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cstheme="minorBidi"/>
      <w:color w:val="000000"/>
      <w:kern w:val="2"/>
      <w:sz w:val="24"/>
      <w:lang w:val="en-US" w:bidi="ar-SA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1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styleId="13">
    <w:name w:val="List Paragraph"/>
    <w:basedOn w:val="1"/>
    <w:qFormat/>
    <w:uiPriority w:val="34"/>
    <w:pPr>
      <w:ind w:left="448" w:firstLine="480"/>
    </w:pPr>
  </w:style>
  <w:style w:type="paragraph" w:customStyle="1" w:styleId="14">
    <w:name w:val="textDataStyle"/>
    <w:basedOn w:val="1"/>
    <w:qFormat/>
    <w:uiPriority w:val="0"/>
    <w:pPr>
      <w:ind w:firstLine="500"/>
      <w:jc w:val="both"/>
    </w:pPr>
  </w:style>
  <w:style w:type="character" w:customStyle="1" w:styleId="15">
    <w:name w:val="font21"/>
    <w:basedOn w:val="10"/>
    <w:qFormat/>
    <w:uiPriority w:val="0"/>
    <w:rPr>
      <w:rFonts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2077</Words>
  <Characters>2267</Characters>
  <Lines>0</Lines>
  <Paragraphs>0</Paragraphs>
  <TotalTime>37</TotalTime>
  <ScaleCrop>false</ScaleCrop>
  <LinksUpToDate>false</LinksUpToDate>
  <CharactersWithSpaces>2268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2026-05-12T15:23:00Z</dcterms:created>
  <dc:creator>灏添</dc:creator>
  <cp:lastModifiedBy>魏允晗</cp:lastModifiedBy>
  <dcterms:modified xsi:type="dcterms:W3CDTF">2026-05-19T15:50:47Z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56DEC11534754E8091F805521BE8FA84_11</vt:lpwstr>
  </property>
  <property fmtid="{D5CDD505-2E9C-101B-9397-08002B2CF9AE}" pid="4" name="KSOTemplateDocerSaveRecord">
    <vt:lpwstr>eyJoZGlkIjoiMjA0ZDQ2ZmQyOGE3YWY1ZGU0ZDBkZWMwY2JhZTlhMzAiLCJ1c2VySWQiOiIxMzc5NDAyNjQ0In0=</vt:lpwstr>
  </property>
</Properties>
</file>