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tabs>
          <w:tab w:val="left" w:pos="7030"/>
        </w:tabs>
        <w:spacing w:line="600" w:lineRule="auto"/>
        <w:jc w:val="left"/>
        <w:rPr>
          <w:rFonts w:hint="eastAsia" w:ascii="仿宋" w:hAnsi="仿宋" w:eastAsia="仿宋" w:cs="仿宋"/>
          <w:b/>
          <w:sz w:val="36"/>
          <w:szCs w:val="36"/>
        </w:rPr>
      </w:pPr>
      <w:r>
        <w:rPr>
          <w:rFonts w:ascii="仿宋" w:hAnsi="仿宋" w:eastAsia="仿宋" w:cs="仿宋"/>
          <w:b/>
          <w:sz w:val="36"/>
          <w:szCs w:val="36"/>
        </w:rPr>
        <w:tab/>
      </w:r>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四分中心2026年密码应用</w:t>
      </w:r>
    </w:p>
    <w:p>
      <w:pPr>
        <w:spacing w:line="360" w:lineRule="auto"/>
        <w:jc w:val="center"/>
        <w:rPr>
          <w:rFonts w:hint="eastAsia" w:ascii="方正小标宋_GBK" w:hAnsi="仿宋" w:eastAsia="方正小标宋_GBK" w:cs="仿宋"/>
          <w:sz w:val="44"/>
          <w:szCs w:val="44"/>
          <w:lang w:val="en-US" w:eastAsia="zh-CN"/>
        </w:rPr>
      </w:pPr>
      <w:r>
        <w:rPr>
          <w:rFonts w:hint="eastAsia" w:ascii="方正小标宋_GBK" w:hAnsi="仿宋" w:eastAsia="方正小标宋_GBK" w:cs="仿宋"/>
          <w:sz w:val="44"/>
          <w:szCs w:val="44"/>
        </w:rPr>
        <w:t>安全性评估服务</w:t>
      </w:r>
      <w:r>
        <w:rPr>
          <w:rFonts w:hint="eastAsia" w:ascii="方正小标宋_GBK" w:hAnsi="仿宋" w:eastAsia="方正小标宋_GBK" w:cs="仿宋"/>
          <w:sz w:val="44"/>
          <w:szCs w:val="44"/>
          <w:lang w:val="en-US" w:eastAsia="zh-CN"/>
        </w:rPr>
        <w:t>项目</w:t>
      </w:r>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采购需求</w:t>
      </w: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pStyle w:val="2"/>
        <w:ind w:left="0"/>
        <w:rPr>
          <w:rFonts w:hint="eastAsia" w:ascii="仿宋" w:hAnsi="仿宋" w:eastAsia="仿宋" w:cs="仿宋"/>
        </w:rPr>
      </w:pPr>
      <w:bookmarkStart w:id="0" w:name="_Toc69194644"/>
      <w:r>
        <w:rPr>
          <w:rFonts w:hint="eastAsia" w:ascii="仿宋" w:hAnsi="仿宋" w:eastAsia="仿宋" w:cs="仿宋"/>
        </w:rPr>
        <w:t>项目概述</w:t>
      </w:r>
      <w:bookmarkEnd w:id="0"/>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背景：近年来，网络和数据安全对国家安全和发展的重要性日益凸显，特别是在当前复杂多变的安全形势下，加强密码安全保障工作已迫在眉睫。本项目依据《中华人民共和国密码法》、《商用密码管理条例》、《信息安全技术信息系统密码应用基本要求》（GB/T39786-2021）、《信息安全技术 信息系统密码应用测评要求》（GB/T 43206-2023）、《信息系统密码应用测评过程指南》（GM/T 0116-2021）、《信息系统密码应用高风险判定指引》、《商用密码应用安全性评估量化评估规则》等测评要求，结合上海市大数据中心信息化服务第四分中心（以下简称“第四分中心”）密码应用安全性评估实际工作需求，组织开展信息系统密码应用安全性评估工作，通过商用密码应用安全性评估发现信息系统密码应用存在的安全隐患，全面推进第四分中心密码应用安全整改工作，提升信息系统密码应用安全可靠性，确保第四分中心2026年密码应用安全性评估工作有序开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服务期限：合同签订之日起至2026年12月31日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服务地点：上海市大数据中心信息化服务第四分中心</w:t>
      </w:r>
    </w:p>
    <w:p>
      <w:pPr>
        <w:widowControl/>
        <w:ind w:firstLine="560" w:firstLineChars="200"/>
        <w:jc w:val="both"/>
        <w:rPr>
          <w:rFonts w:hint="eastAsia" w:ascii="仿宋" w:hAnsi="仿宋" w:eastAsia="仿宋"/>
          <w:sz w:val="28"/>
          <w:szCs w:val="28"/>
        </w:rPr>
      </w:pPr>
      <w:r>
        <w:rPr>
          <w:rFonts w:hint="eastAsia" w:ascii="仿宋" w:hAnsi="仿宋" w:eastAsia="仿宋"/>
          <w:sz w:val="28"/>
          <w:szCs w:val="28"/>
        </w:rPr>
        <w:t>预算总金额：4</w:t>
      </w:r>
      <w:r>
        <w:rPr>
          <w:rFonts w:hint="eastAsia" w:ascii="仿宋" w:hAnsi="仿宋" w:eastAsia="仿宋" w:cs="仿宋"/>
          <w:sz w:val="28"/>
          <w:szCs w:val="28"/>
        </w:rPr>
        <w:t>,</w:t>
      </w:r>
      <w:r>
        <w:rPr>
          <w:rFonts w:hint="eastAsia" w:ascii="仿宋" w:hAnsi="仿宋" w:eastAsia="仿宋"/>
          <w:sz w:val="28"/>
          <w:szCs w:val="28"/>
        </w:rPr>
        <w:t>270</w:t>
      </w:r>
      <w:r>
        <w:rPr>
          <w:rFonts w:hint="eastAsia" w:ascii="仿宋" w:hAnsi="仿宋" w:eastAsia="仿宋" w:cs="仿宋"/>
          <w:sz w:val="28"/>
          <w:szCs w:val="28"/>
        </w:rPr>
        <w:t>,</w:t>
      </w:r>
      <w:r>
        <w:rPr>
          <w:rFonts w:hint="eastAsia" w:ascii="仿宋" w:hAnsi="仿宋" w:eastAsia="仿宋"/>
          <w:sz w:val="28"/>
          <w:szCs w:val="28"/>
        </w:rPr>
        <w:t>980元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当年度预算金额：</w:t>
      </w:r>
      <w:r>
        <w:rPr>
          <w:rFonts w:hint="eastAsia" w:ascii="仿宋" w:hAnsi="仿宋" w:eastAsia="仿宋"/>
          <w:sz w:val="28"/>
          <w:szCs w:val="28"/>
        </w:rPr>
        <w:t>4</w:t>
      </w:r>
      <w:r>
        <w:rPr>
          <w:rFonts w:hint="eastAsia" w:ascii="仿宋" w:hAnsi="仿宋" w:eastAsia="仿宋" w:cs="仿宋"/>
          <w:sz w:val="28"/>
          <w:szCs w:val="28"/>
        </w:rPr>
        <w:t>,</w:t>
      </w:r>
      <w:r>
        <w:rPr>
          <w:rFonts w:hint="eastAsia" w:ascii="仿宋" w:hAnsi="仿宋" w:eastAsia="仿宋"/>
          <w:sz w:val="28"/>
          <w:szCs w:val="28"/>
        </w:rPr>
        <w:t>270</w:t>
      </w:r>
      <w:r>
        <w:rPr>
          <w:rFonts w:hint="eastAsia" w:ascii="仿宋" w:hAnsi="仿宋" w:eastAsia="仿宋" w:cs="仿宋"/>
          <w:sz w:val="28"/>
          <w:szCs w:val="28"/>
        </w:rPr>
        <w:t>,</w:t>
      </w:r>
      <w:r>
        <w:rPr>
          <w:rFonts w:hint="eastAsia" w:ascii="仿宋" w:hAnsi="仿宋" w:eastAsia="仿宋"/>
          <w:sz w:val="28"/>
          <w:szCs w:val="28"/>
        </w:rPr>
        <w:t>980元</w:t>
      </w:r>
    </w:p>
    <w:p>
      <w:pPr>
        <w:ind w:firstLine="560" w:firstLineChars="200"/>
        <w:rPr>
          <w:rFonts w:hint="eastAsia" w:ascii="仿宋" w:hAnsi="仿宋" w:eastAsia="仿宋" w:cs="仿宋"/>
          <w:color w:val="FF0000"/>
          <w:sz w:val="28"/>
        </w:rPr>
      </w:pPr>
      <w:r>
        <w:rPr>
          <w:rFonts w:hint="eastAsia" w:ascii="仿宋" w:hAnsi="仿宋" w:eastAsia="仿宋" w:cs="仿宋"/>
          <w:sz w:val="28"/>
          <w:szCs w:val="28"/>
        </w:rPr>
        <w:t>采购金额（最高限价）：</w:t>
      </w:r>
      <w:r>
        <w:rPr>
          <w:rFonts w:hint="eastAsia" w:ascii="仿宋" w:hAnsi="仿宋" w:eastAsia="仿宋"/>
          <w:sz w:val="28"/>
          <w:szCs w:val="28"/>
        </w:rPr>
        <w:t>4</w:t>
      </w:r>
      <w:r>
        <w:rPr>
          <w:rFonts w:hint="eastAsia" w:ascii="仿宋" w:hAnsi="仿宋" w:eastAsia="仿宋" w:cs="仿宋"/>
          <w:sz w:val="28"/>
          <w:szCs w:val="28"/>
        </w:rPr>
        <w:t>,</w:t>
      </w:r>
      <w:r>
        <w:rPr>
          <w:rFonts w:hint="eastAsia" w:ascii="仿宋" w:hAnsi="仿宋" w:eastAsia="仿宋"/>
          <w:sz w:val="28"/>
          <w:szCs w:val="28"/>
        </w:rPr>
        <w:t>270</w:t>
      </w:r>
      <w:r>
        <w:rPr>
          <w:rFonts w:hint="eastAsia" w:ascii="仿宋" w:hAnsi="仿宋" w:eastAsia="仿宋" w:cs="仿宋"/>
          <w:sz w:val="28"/>
          <w:szCs w:val="28"/>
        </w:rPr>
        <w:t>,</w:t>
      </w:r>
      <w:r>
        <w:rPr>
          <w:rFonts w:hint="eastAsia" w:ascii="仿宋" w:hAnsi="仿宋" w:eastAsia="仿宋"/>
          <w:sz w:val="28"/>
          <w:szCs w:val="28"/>
        </w:rPr>
        <w:t>980元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组织形式：集中采购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采购方式：公开招标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面向企业类型：中小企业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是否接受联合体投标：否</w:t>
      </w:r>
    </w:p>
    <w:p>
      <w:pPr>
        <w:pStyle w:val="2"/>
        <w:ind w:left="0"/>
        <w:rPr>
          <w:rFonts w:hint="eastAsia" w:ascii="仿宋" w:hAnsi="仿宋" w:eastAsia="仿宋" w:cs="仿宋"/>
        </w:rPr>
      </w:pPr>
      <w:bookmarkStart w:id="1" w:name="_Toc69194645"/>
      <w:r>
        <w:rPr>
          <w:rFonts w:hint="eastAsia" w:ascii="仿宋" w:hAnsi="仿宋" w:eastAsia="仿宋" w:cs="仿宋"/>
        </w:rPr>
        <w:t>服务范围</w:t>
      </w:r>
      <w:bookmarkEnd w:id="1"/>
    </w:p>
    <w:p>
      <w:pPr>
        <w:ind w:firstLine="560" w:firstLineChars="200"/>
        <w:rPr>
          <w:rFonts w:hint="eastAsia" w:ascii="仿宋" w:hAnsi="仿宋" w:eastAsia="仿宋" w:cs="仿宋"/>
          <w:sz w:val="28"/>
          <w:szCs w:val="28"/>
        </w:rPr>
      </w:pPr>
      <w:r>
        <w:rPr>
          <w:rFonts w:hint="eastAsia" w:ascii="仿宋" w:hAnsi="仿宋" w:eastAsia="仿宋" w:cs="仿宋"/>
          <w:sz w:val="28"/>
          <w:szCs w:val="28"/>
        </w:rPr>
        <w:t>第四分中心2026年商用密码应用安全性评估范围覆盖第四分中心下属7个信息化服务团队：绿化市容局团队、水务局（海洋局）团队、生态环境局团队、规划资源局团队、交通委（含道路运输局）团队、国防动员办和应急局团队、住建委（含房管局、城管执法局）团队及第四分中心工作专班所属信息系统商用密码应用安全性评估工作。</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6"/>
        <w:gridCol w:w="1897"/>
        <w:gridCol w:w="4296"/>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55" w:type="pct"/>
            <w:tcBorders>
              <w:tl2br w:val="nil"/>
              <w:tr2bl w:val="nil"/>
            </w:tcBorders>
            <w:vAlign w:val="center"/>
          </w:tcPr>
          <w:p>
            <w:pPr>
              <w:keepNext/>
              <w:snapToGrid w:val="0"/>
              <w:jc w:val="center"/>
              <w:rPr>
                <w:rFonts w:hint="eastAsia" w:ascii="仿宋" w:hAnsi="仿宋" w:eastAsia="仿宋" w:cs="仿宋"/>
                <w:b/>
                <w:bCs/>
                <w:kern w:val="44"/>
                <w:sz w:val="24"/>
                <w:szCs w:val="24"/>
              </w:rPr>
            </w:pPr>
            <w:r>
              <w:rPr>
                <w:rFonts w:hint="eastAsia" w:ascii="仿宋" w:hAnsi="仿宋" w:eastAsia="仿宋" w:cs="仿宋"/>
                <w:b/>
                <w:bCs/>
                <w:kern w:val="44"/>
                <w:sz w:val="24"/>
                <w:szCs w:val="24"/>
              </w:rPr>
              <w:t>序号</w:t>
            </w:r>
          </w:p>
        </w:tc>
        <w:tc>
          <w:tcPr>
            <w:tcW w:w="1113" w:type="pct"/>
            <w:tcBorders>
              <w:tl2br w:val="nil"/>
              <w:tr2bl w:val="nil"/>
            </w:tcBorders>
            <w:vAlign w:val="center"/>
          </w:tcPr>
          <w:p>
            <w:pPr>
              <w:keepNext/>
              <w:snapToGrid w:val="0"/>
              <w:jc w:val="center"/>
              <w:rPr>
                <w:rFonts w:hint="eastAsia" w:ascii="仿宋" w:hAnsi="仿宋" w:eastAsia="仿宋" w:cs="仿宋"/>
                <w:b/>
                <w:bCs/>
                <w:kern w:val="44"/>
                <w:sz w:val="24"/>
                <w:szCs w:val="24"/>
              </w:rPr>
            </w:pPr>
            <w:r>
              <w:rPr>
                <w:rFonts w:hint="eastAsia" w:ascii="仿宋" w:hAnsi="仿宋" w:eastAsia="仿宋" w:cs="仿宋"/>
                <w:b/>
                <w:bCs/>
                <w:kern w:val="44"/>
                <w:sz w:val="24"/>
                <w:szCs w:val="24"/>
              </w:rPr>
              <w:t>单位名称</w:t>
            </w:r>
          </w:p>
        </w:tc>
        <w:tc>
          <w:tcPr>
            <w:tcW w:w="2521" w:type="pct"/>
            <w:tcBorders>
              <w:tl2br w:val="nil"/>
              <w:tr2bl w:val="nil"/>
            </w:tcBorders>
            <w:vAlign w:val="center"/>
          </w:tcPr>
          <w:p>
            <w:pPr>
              <w:keepNext/>
              <w:snapToGrid w:val="0"/>
              <w:jc w:val="center"/>
              <w:rPr>
                <w:rFonts w:hint="eastAsia" w:ascii="仿宋" w:hAnsi="仿宋" w:eastAsia="仿宋" w:cs="仿宋"/>
                <w:b/>
                <w:bCs/>
                <w:kern w:val="44"/>
                <w:sz w:val="24"/>
                <w:szCs w:val="24"/>
              </w:rPr>
            </w:pPr>
            <w:r>
              <w:rPr>
                <w:rFonts w:hint="eastAsia" w:ascii="仿宋" w:hAnsi="仿宋" w:eastAsia="仿宋" w:cs="仿宋"/>
                <w:b/>
                <w:bCs/>
                <w:kern w:val="44"/>
                <w:sz w:val="24"/>
                <w:szCs w:val="24"/>
              </w:rPr>
              <w:t>系统名称</w:t>
            </w:r>
          </w:p>
        </w:tc>
        <w:tc>
          <w:tcPr>
            <w:tcW w:w="810" w:type="pct"/>
            <w:tcBorders>
              <w:tl2br w:val="nil"/>
              <w:tr2bl w:val="nil"/>
            </w:tcBorders>
            <w:vAlign w:val="center"/>
          </w:tcPr>
          <w:p>
            <w:pPr>
              <w:keepNext/>
              <w:snapToGrid w:val="0"/>
              <w:jc w:val="center"/>
              <w:rPr>
                <w:rFonts w:hint="eastAsia" w:ascii="仿宋" w:hAnsi="仿宋" w:eastAsia="仿宋" w:cs="仿宋"/>
                <w:b/>
                <w:bCs/>
                <w:kern w:val="44"/>
                <w:sz w:val="24"/>
                <w:szCs w:val="24"/>
              </w:rPr>
            </w:pPr>
            <w:r>
              <w:rPr>
                <w:rFonts w:hint="eastAsia" w:ascii="仿宋" w:hAnsi="仿宋" w:eastAsia="仿宋" w:cs="仿宋"/>
                <w:b/>
                <w:bCs/>
                <w:kern w:val="44"/>
                <w:sz w:val="24"/>
                <w:szCs w:val="24"/>
              </w:rPr>
              <w:t>系统数量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上海市规划和自然资源局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市规划资源局数据中台</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市规划资源局门户网站</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市规划资源局综合事务系统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市规划资源局自然资源确权登记管理系统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市规划资源局建设项目管理系统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市规划资源局土地管理系统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市规划资源局监督及执法管理系统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市规划资源局地质地矿管理系统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市规划资源局测调管理系统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市规划资源局规划管理系统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市规划资源局基础应用支撑系统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上海市住房城乡建设管理委</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上海市城市管理综合信息系统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上海市社会投资项目联审共享系统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上海市建设市场管理信息系统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上海市住房和城乡建设管理委员会建设交通综合业务系统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上海市基于BIM的工程建设项目全生命周期政府监管系统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上海市住建领域数字化应用信息系统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上海市生态环境局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上海市生态环境局固定污染源综合管理系统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上海市企事业单位生态环境服务系统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上海市生态环境局土壤污染防治综合监管系统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上海市生态环境局数据中台</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上海市城运系统生态环境管理子系统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上海市生态环境局电子政务系统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上海市环境保护和生态建设项目管理信息系统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上海市环境统计数据应用分析系统</w:t>
            </w:r>
          </w:p>
        </w:tc>
        <w:tc>
          <w:tcPr>
            <w:tcW w:w="810" w:type="pct"/>
            <w:vMerge w:val="continue"/>
            <w:tcBorders>
              <w:tl2br w:val="nil"/>
              <w:tr2bl w:val="nil"/>
            </w:tcBorders>
            <w:vAlign w:val="center"/>
          </w:tcPr>
          <w:p>
            <w:pPr>
              <w:keepNext/>
              <w:snapToGrid w:val="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sz w:val="24"/>
                <w:szCs w:val="24"/>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上海市生态环境局非道路移动机械管理系统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上海环境网站</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上海市生态环境局政务服务系统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上海市生态环境局固废数字化综合监管系统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上海市生态环境局扬尘在线数据业务应用管理系统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上海市环境监察移动执法系统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上海市移动源环保智慧信息管理系统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上海市水生态环境质量综合监管系统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上海市生态环境局生态系统保护与评估系统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bCs/>
                <w:color w:val="000000"/>
                <w:kern w:val="0"/>
                <w:sz w:val="24"/>
                <w:szCs w:val="24"/>
                <w:lang w:bidi="ar"/>
              </w:rPr>
            </w:pPr>
            <w:r>
              <w:rPr>
                <w:rFonts w:hint="eastAsia" w:ascii="仿宋" w:hAnsi="仿宋" w:eastAsia="仿宋" w:cs="仿宋"/>
                <w:color w:val="000000"/>
                <w:kern w:val="0"/>
                <w:sz w:val="24"/>
                <w:szCs w:val="24"/>
                <w:lang w:bidi="ar"/>
              </w:rPr>
              <w:t>上海市生态环境局碳排放综合管理系统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上海市房屋管理局综合业务管理系统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上海市房屋管理局住房租赁公共服务系统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上海市房屋管理局房地产市场管理系统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上海市房屋管理局住房保障管理系统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上海市房屋管理局物业管理系统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上海市房屋管理局房地产市场调控和涉税评估系统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上海市房屋管理局房屋状况信息核查系统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上海市房屋管理局房屋使用安全管理系统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上海市城管执法局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上海市城管执法电子政务系统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上海市城管执法综合指挥监管系统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上海市城管执法网上办案系统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上海市城管执法对象监管系统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上海市城管执法队伍管理系统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上海市城市管理行政执法局上海市城管执法核心业务数据管理系统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1113" w:type="pct"/>
            <w:vMerge w:val="restart"/>
            <w:tcBorders>
              <w:tl2br w:val="nil"/>
              <w:tr2bl w:val="nil"/>
            </w:tcBorders>
            <w:vAlign w:val="center"/>
          </w:tcPr>
          <w:p>
            <w:pPr>
              <w:keepNext/>
              <w:tabs>
                <w:tab w:val="left" w:pos="639"/>
              </w:tabs>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上海市交通委员会</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中国国际博览会交通信息服务系统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长三角区域机动车环保信息服务系统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上海网约车监管服务系统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上海市交通综合业务系统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上海市机动车额度管理信息系统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上海市道路交通信息采集和发布系统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上海交通行业数据中心</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上海交通出行信息服务系统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上海城市交通信息监控系统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上海城市交通网</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上海市交通委员会安全生产标准化考评及监督管理系统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上海市交通委员会协同办公系统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上海巡游出租车监管服务系统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上海市水务局(海洋局)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上海市水资源实时监控与管理信息系统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上海市水务局电子政务系统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上海市城市运行管理和应急处置水务专题系统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上海市防汛信息服务系统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上海市水环境治理大系统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上海市水务海洋政务服务系统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上海市水务局数字化综合系统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上海市应急管理局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上海市应急管理局安全生产基础信息平台系统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上海市应急管理综合应用系统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上海市危险化学品全过程监管系统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上海市国防动员办公室</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上海市国防动员办公室“智慧民防”系统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“智慧民防”业务系统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上海市国防动员办公室民防信息系统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智慧民防政务服务系统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上海市国防动员办公室民防运行智能监控系统（“一网统管”）</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上海市国防动员办公室政务办公系统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上海市绿化和市容管理局</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上海市野生动植物资源管理系统</w:t>
            </w:r>
          </w:p>
        </w:tc>
        <w:tc>
          <w:tcPr>
            <w:tcW w:w="810"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上海市市容环境综合信息管理系统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上海市森林资源管理系统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上海市绿化市容综合服务信息系统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上海市绿化市容遥感和地理信息系统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上海市绿化和市容管理局协同办公系统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上海市绿化市容统计信息管理系统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上海市绿化和市容行政事务受理系统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上海市绿化和市容管理局智能辅助决策系统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上海市林业“三防”综合信息数据库管理指挥系统及森林防火预警系统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上海市建筑渣土综合监管服务系统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上海市餐厨垃圾（废油脂）及固体废弃物监管系统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上海绿化养护管理信息系统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上海市绿化和市容管理局优化营商环境政务服务系统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上海市绿化和市容管理局陆域环境质量监管系统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上海市绿化和市容管理局上海市户外景观设施安全管理应用系统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上海市林长制数字化系统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113" w:type="pct"/>
            <w:vMerge w:val="restart"/>
            <w:tcBorders>
              <w:tl2br w:val="nil"/>
              <w:tr2bl w:val="nil"/>
            </w:tcBorders>
            <w:vAlign w:val="center"/>
          </w:tcPr>
          <w:p>
            <w:pPr>
              <w:keepNext/>
              <w:snapToGrid w:val="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四分中心专班</w:t>
            </w: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城市智理时空一体化系统</w:t>
            </w:r>
          </w:p>
        </w:tc>
        <w:tc>
          <w:tcPr>
            <w:tcW w:w="810" w:type="pct"/>
            <w:vMerge w:val="restart"/>
            <w:tcBorders>
              <w:tl2br w:val="nil"/>
              <w:tr2bl w:val="nil"/>
            </w:tcBorders>
            <w:vAlign w:val="center"/>
          </w:tcPr>
          <w:p>
            <w:pPr>
              <w:keepNext/>
              <w:snapToGrid w:val="0"/>
              <w:jc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c>
          <w:tcPr>
            <w:tcW w:w="1113" w:type="pct"/>
            <w:vMerge w:val="continue"/>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p>
        </w:tc>
        <w:tc>
          <w:tcPr>
            <w:tcW w:w="2521" w:type="pct"/>
            <w:tcBorders>
              <w:tl2br w:val="nil"/>
              <w:tr2bl w:val="nil"/>
            </w:tcBorders>
            <w:vAlign w:val="center"/>
          </w:tcPr>
          <w:p>
            <w:pPr>
              <w:keepNext/>
              <w:snapToGrid w:val="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上海城运中台系统</w:t>
            </w:r>
          </w:p>
        </w:tc>
        <w:tc>
          <w:tcPr>
            <w:tcW w:w="810" w:type="pct"/>
            <w:vMerge w:val="continue"/>
            <w:tcBorders>
              <w:tl2br w:val="nil"/>
              <w:tr2bl w:val="nil"/>
            </w:tcBorders>
            <w:vAlign w:val="center"/>
          </w:tcPr>
          <w:p>
            <w:pPr>
              <w:keepNext/>
              <w:snapToGrid w:val="0"/>
              <w:jc w:val="center"/>
              <w:rPr>
                <w:rFonts w:hint="eastAsia" w:ascii="仿宋" w:hAnsi="仿宋" w:eastAsia="仿宋" w:cs="仿宋"/>
                <w:color w:val="000000"/>
                <w:kern w:val="0"/>
                <w:sz w:val="24"/>
                <w:szCs w:val="24"/>
              </w:rPr>
            </w:pPr>
          </w:p>
        </w:tc>
      </w:tr>
    </w:tbl>
    <w:p>
      <w:pPr>
        <w:pStyle w:val="2"/>
        <w:ind w:left="0"/>
        <w:rPr>
          <w:rFonts w:hint="eastAsia" w:ascii="仿宋" w:hAnsi="仿宋" w:eastAsia="仿宋" w:cs="仿宋"/>
        </w:rPr>
      </w:pPr>
      <w:bookmarkStart w:id="2" w:name="_Toc69194646"/>
      <w:r>
        <w:rPr>
          <w:rFonts w:hint="eastAsia" w:ascii="仿宋" w:hAnsi="仿宋" w:eastAsia="仿宋" w:cs="仿宋"/>
        </w:rPr>
        <w:t>服务</w:t>
      </w:r>
      <w:bookmarkEnd w:id="2"/>
      <w:r>
        <w:rPr>
          <w:rFonts w:hint="eastAsia" w:ascii="仿宋" w:hAnsi="仿宋" w:eastAsia="仿宋" w:cs="仿宋"/>
          <w:lang w:val="en-US" w:eastAsia="zh-CN"/>
        </w:rPr>
        <w:t>需求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按照第四分中心2026年商用密码应用安全性评估工作要求，完成不少于97个信息系统密码应用安全性评估服务（具体信息系统清单以实际需求为准，由采购方确认），出具符合规范的《密码应用安全性评估报告》，提供密码应用技术支撑并协助第四分中心各信息化服务团队开展密码应用安全整改工作，协助第四分中心完成2026年度密评备案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为第四分中心提供密码安全相关培训服务。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服务方式：远程与现场相结合的方式。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服务交付物：《商用密码应用安全性评估报告》、《商用密码应用安全性评估建议》、《密码应用安全性评估服务总体实施方案》、《密码应用安全性评估服务项目总结报告》。</w:t>
      </w:r>
    </w:p>
    <w:p>
      <w:pPr>
        <w:pStyle w:val="2"/>
        <w:ind w:left="0"/>
        <w:rPr>
          <w:rFonts w:hint="eastAsia" w:ascii="仿宋" w:hAnsi="仿宋" w:eastAsia="仿宋" w:cs="仿宋"/>
        </w:rPr>
      </w:pPr>
      <w:bookmarkStart w:id="3" w:name="_Toc69194682"/>
      <w:r>
        <w:rPr>
          <w:rFonts w:hint="eastAsia" w:ascii="仿宋" w:hAnsi="仿宋" w:eastAsia="仿宋" w:cs="仿宋"/>
        </w:rPr>
        <w:t>服务质量考核</w:t>
      </w:r>
      <w:bookmarkEnd w:id="3"/>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质量的考核结果将作为确认甲方需支付的最终合同总价的依据之一。就甲方需支付的最终合同总价，服务质量考核结果为优秀和良好的按合同金额100%支付，服务质量考核结果为一般的按合同金额97%为上限支付。</w:t>
      </w:r>
    </w:p>
    <w:p>
      <w:pPr>
        <w:pStyle w:val="3"/>
        <w:rPr>
          <w:rFonts w:hint="eastAsia" w:ascii="仿宋" w:hAnsi="仿宋" w:cs="仿宋"/>
          <w:bCs w:val="0"/>
          <w:szCs w:val="28"/>
        </w:rPr>
      </w:pPr>
      <w:r>
        <w:rPr>
          <w:rFonts w:hint="eastAsia" w:ascii="仿宋" w:hAnsi="仿宋" w:cs="仿宋"/>
          <w:bCs w:val="0"/>
          <w:szCs w:val="28"/>
        </w:rPr>
        <w:t>考核标准</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（1）根据项目要求在项目验收前完成相关商用密码应用安全性评估服务工作</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（2）服务提供方应根据第四分中心商用密码应用安全性评估项目需求，制定详细商用密码应用安全性评估工作计划和方案</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（3）商用密码应用安全性评估项目服务响应率=100%</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（4）文档完整度和准确率大于95%。</w:t>
      </w:r>
    </w:p>
    <w:p>
      <w:pPr>
        <w:pStyle w:val="3"/>
        <w:rPr>
          <w:rFonts w:hint="eastAsia" w:ascii="仿宋" w:hAnsi="仿宋" w:cs="仿宋"/>
          <w:bCs w:val="0"/>
          <w:szCs w:val="28"/>
        </w:rPr>
      </w:pPr>
      <w:r>
        <w:rPr>
          <w:rFonts w:hint="eastAsia" w:ascii="仿宋" w:hAnsi="仿宋" w:cs="仿宋"/>
          <w:bCs w:val="0"/>
          <w:szCs w:val="28"/>
        </w:rPr>
        <w:t>服务质量要求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（1）在履行期限内，服务提供方应当在服务期限过半及服务验收前以书面形式向用户方递交</w:t>
      </w:r>
      <w:r>
        <w:rPr>
          <w:rFonts w:hint="eastAsia" w:ascii="仿宋" w:hAnsi="仿宋" w:eastAsia="仿宋" w:cs="仿宋"/>
          <w:sz w:val="28"/>
          <w:szCs w:val="28"/>
          <w:lang w:val="en-US" w:eastAsia="zh-CN"/>
        </w:rPr>
        <w:t>密码</w:t>
      </w:r>
      <w:r>
        <w:rPr>
          <w:rFonts w:hint="eastAsia" w:ascii="仿宋" w:hAnsi="仿宋" w:eastAsia="仿宋" w:cs="仿宋"/>
          <w:sz w:val="28"/>
          <w:szCs w:val="28"/>
        </w:rPr>
        <w:t>测评服务工作报告，用户方在收到服务报告后的10个工作日内，完成服务质量考核。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（2）如果由于服务提供方原因致使</w:t>
      </w:r>
      <w:r>
        <w:rPr>
          <w:rFonts w:hint="eastAsia" w:ascii="仿宋" w:hAnsi="仿宋" w:eastAsia="仿宋" w:cs="仿宋"/>
          <w:sz w:val="28"/>
          <w:szCs w:val="28"/>
          <w:lang w:val="en-US" w:eastAsia="zh-CN"/>
        </w:rPr>
        <w:t>密码</w:t>
      </w:r>
      <w:r>
        <w:rPr>
          <w:rFonts w:hint="eastAsia" w:ascii="仿宋" w:hAnsi="仿宋" w:eastAsia="仿宋" w:cs="仿宋"/>
          <w:sz w:val="28"/>
          <w:szCs w:val="28"/>
        </w:rPr>
        <w:t>测评服务未能通过考核，服务提供方应当自收到通知之日起10日内及时整改，并自行承担相关整改费用，直至服务完全符合要求。</w:t>
      </w:r>
    </w:p>
    <w:p>
      <w:pPr>
        <w:pStyle w:val="3"/>
        <w:rPr>
          <w:rFonts w:hint="eastAsia" w:ascii="仿宋" w:hAnsi="仿宋" w:cs="仿宋"/>
          <w:bCs w:val="0"/>
          <w:szCs w:val="28"/>
        </w:rPr>
      </w:pPr>
      <w:r>
        <w:rPr>
          <w:rFonts w:hint="eastAsia" w:ascii="仿宋" w:hAnsi="仿宋" w:cs="仿宋"/>
          <w:bCs w:val="0"/>
          <w:szCs w:val="28"/>
        </w:rPr>
        <w:t>考核方式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（1）项目服务过程中，服务提供方应按照第四分中心</w:t>
      </w:r>
      <w:r>
        <w:rPr>
          <w:rFonts w:hint="eastAsia" w:ascii="仿宋" w:hAnsi="仿宋" w:eastAsia="仿宋" w:cs="仿宋"/>
          <w:sz w:val="28"/>
          <w:szCs w:val="28"/>
          <w:lang w:val="en-US" w:eastAsia="zh-CN"/>
        </w:rPr>
        <w:t>密码</w:t>
      </w:r>
      <w:r>
        <w:rPr>
          <w:rFonts w:hint="eastAsia" w:ascii="仿宋" w:hAnsi="仿宋" w:eastAsia="仿宋" w:cs="仿宋"/>
          <w:sz w:val="28"/>
          <w:szCs w:val="28"/>
        </w:rPr>
        <w:t>测评工作要求按期完成</w:t>
      </w:r>
      <w:r>
        <w:rPr>
          <w:rFonts w:hint="eastAsia" w:ascii="仿宋" w:hAnsi="仿宋" w:eastAsia="仿宋" w:cs="仿宋"/>
          <w:sz w:val="28"/>
          <w:szCs w:val="28"/>
          <w:lang w:val="en-US" w:eastAsia="zh-CN"/>
        </w:rPr>
        <w:t>密码</w:t>
      </w:r>
      <w:r>
        <w:rPr>
          <w:rFonts w:hint="eastAsia" w:ascii="仿宋" w:hAnsi="仿宋" w:eastAsia="仿宋" w:cs="仿宋"/>
          <w:sz w:val="28"/>
          <w:szCs w:val="28"/>
        </w:rPr>
        <w:t>测评服务，服务提供方无法在规定时间内完成</w:t>
      </w:r>
      <w:r>
        <w:rPr>
          <w:rFonts w:hint="eastAsia" w:ascii="仿宋" w:hAnsi="仿宋" w:eastAsia="仿宋" w:cs="仿宋"/>
          <w:sz w:val="28"/>
          <w:szCs w:val="28"/>
          <w:lang w:val="en-US" w:eastAsia="zh-CN"/>
        </w:rPr>
        <w:t>密码</w:t>
      </w:r>
      <w:r>
        <w:rPr>
          <w:rFonts w:hint="eastAsia" w:ascii="仿宋" w:hAnsi="仿宋" w:eastAsia="仿宋" w:cs="仿宋"/>
          <w:sz w:val="28"/>
          <w:szCs w:val="28"/>
        </w:rPr>
        <w:t>测评工作，采购方有权利无条件终止合同。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（2）项目服务过程中，第四分中心发现服务提供方</w:t>
      </w:r>
      <w:r>
        <w:rPr>
          <w:rFonts w:hint="eastAsia" w:ascii="仿宋" w:hAnsi="仿宋" w:eastAsia="仿宋" w:cs="仿宋"/>
          <w:sz w:val="28"/>
          <w:szCs w:val="28"/>
          <w:lang w:val="en-US" w:eastAsia="zh-CN"/>
        </w:rPr>
        <w:t>密码</w:t>
      </w:r>
      <w:r>
        <w:rPr>
          <w:rFonts w:hint="eastAsia" w:ascii="仿宋" w:hAnsi="仿宋" w:eastAsia="仿宋" w:cs="仿宋"/>
          <w:sz w:val="28"/>
          <w:szCs w:val="28"/>
        </w:rPr>
        <w:t>测评服务不规范等情况，对服务提供方进行警告，服务提供方需在48小时内排查问题并整改，出具相关整改报告。</w:t>
      </w:r>
    </w:p>
    <w:p>
      <w:pPr>
        <w:pStyle w:val="2"/>
        <w:ind w:left="0"/>
        <w:rPr>
          <w:rFonts w:hint="eastAsia" w:ascii="仿宋" w:hAnsi="仿宋" w:eastAsia="仿宋" w:cs="仿宋"/>
        </w:rPr>
      </w:pPr>
      <w:bookmarkStart w:id="4" w:name="_Toc69194684"/>
      <w:r>
        <w:rPr>
          <w:rFonts w:hint="eastAsia" w:ascii="仿宋" w:hAnsi="仿宋" w:eastAsia="仿宋" w:cs="仿宋"/>
        </w:rPr>
        <w:t>验收</w:t>
      </w:r>
      <w:bookmarkEnd w:id="4"/>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商用密码应用安全性评估工作期限终止时，服务提供方应当以书面形式向用户方提交</w:t>
      </w:r>
      <w:r>
        <w:rPr>
          <w:rFonts w:hint="eastAsia" w:ascii="仿宋" w:hAnsi="仿宋" w:eastAsia="仿宋" w:cs="仿宋"/>
          <w:sz w:val="28"/>
          <w:szCs w:val="28"/>
          <w:lang w:eastAsia="zh-CN"/>
        </w:rPr>
        <w:t>《</w:t>
      </w:r>
      <w:r>
        <w:rPr>
          <w:rFonts w:hint="eastAsia" w:ascii="仿宋" w:hAnsi="仿宋" w:eastAsia="仿宋" w:cs="仿宋"/>
          <w:sz w:val="28"/>
          <w:szCs w:val="28"/>
        </w:rPr>
        <w:t>商用密码应用安全性评估总结报告</w:t>
      </w:r>
      <w:r>
        <w:rPr>
          <w:rFonts w:hint="eastAsia" w:ascii="仿宋" w:hAnsi="仿宋" w:eastAsia="仿宋" w:cs="仿宋"/>
          <w:sz w:val="28"/>
          <w:szCs w:val="28"/>
          <w:lang w:eastAsia="zh-CN"/>
        </w:rPr>
        <w:t>》</w:t>
      </w:r>
      <w:r>
        <w:rPr>
          <w:rFonts w:hint="eastAsia" w:ascii="仿宋" w:hAnsi="仿宋" w:eastAsia="仿宋" w:cs="仿宋"/>
          <w:sz w:val="28"/>
          <w:szCs w:val="28"/>
        </w:rPr>
        <w:t>。用户方在收到服务提供方提交的密码应用安全性评估资料（服务周期内的服务过程文档和服务总结报告等）后10个工作日内，对服务提供方的工作进行验收。如属于服务提供方原因致使商用密码应用安全性评估服务未能通过验收的，服务提供方应当在15个工作日内进行整改，并自行承担相关商用密码应用安全性评估相关费用，再次接受用户方的验收，直至符合约定要求。</w:t>
      </w:r>
    </w:p>
    <w:p>
      <w:pPr>
        <w:pStyle w:val="2"/>
        <w:ind w:left="0"/>
        <w:rPr>
          <w:rFonts w:hint="eastAsia" w:ascii="仿宋" w:hAnsi="仿宋" w:eastAsia="仿宋" w:cs="仿宋"/>
        </w:rPr>
      </w:pPr>
      <w:bookmarkStart w:id="5" w:name="_Toc69194685"/>
      <w:r>
        <w:rPr>
          <w:rFonts w:hint="eastAsia" w:ascii="仿宋" w:hAnsi="仿宋" w:eastAsia="仿宋" w:cs="仿宋"/>
        </w:rPr>
        <w:t>服务组织和人员</w:t>
      </w:r>
      <w:bookmarkEnd w:id="5"/>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密码测评服务团队至少配备10名密码测评服务人员，其中项目负责人1人，测评人员8人，档案管理员1人。具体人员如下：具体人员如下：</w:t>
      </w:r>
    </w:p>
    <w:tbl>
      <w:tblPr>
        <w:tblStyle w:val="25"/>
        <w:tblpPr w:leftFromText="180" w:rightFromText="180" w:vertAnchor="text" w:horzAnchor="page" w:tblpX="1170" w:tblpY="285"/>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2366"/>
        <w:gridCol w:w="839"/>
        <w:gridCol w:w="3619"/>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8"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角色</w:t>
            </w:r>
          </w:p>
        </w:tc>
        <w:tc>
          <w:tcPr>
            <w:tcW w:w="2366"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主要职责</w:t>
            </w:r>
          </w:p>
        </w:tc>
        <w:tc>
          <w:tcPr>
            <w:tcW w:w="839"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人数</w:t>
            </w:r>
          </w:p>
        </w:tc>
        <w:tc>
          <w:tcPr>
            <w:tcW w:w="3619"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人员要求</w:t>
            </w:r>
          </w:p>
        </w:tc>
        <w:tc>
          <w:tcPr>
            <w:tcW w:w="1466"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62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项目负责人</w:t>
            </w:r>
          </w:p>
        </w:tc>
        <w:tc>
          <w:tcPr>
            <w:tcW w:w="236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负责制定项目计划方案，管控项目实施进度、团队人员日常管理，协调处理项目过程中遇到的各类问题。</w:t>
            </w:r>
          </w:p>
        </w:tc>
        <w:tc>
          <w:tcPr>
            <w:tcW w:w="839"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3619" w:type="dxa"/>
            <w:vAlign w:val="center"/>
          </w:tcPr>
          <w:p>
            <w:pPr>
              <w:numPr>
                <w:ilvl w:val="0"/>
                <w:numId w:val="2"/>
              </w:numPr>
              <w:jc w:val="left"/>
              <w:rPr>
                <w:rFonts w:hint="eastAsia" w:ascii="仿宋" w:hAnsi="仿宋" w:eastAsia="仿宋" w:cs="仿宋"/>
                <w:spacing w:val="0"/>
                <w:sz w:val="28"/>
                <w:szCs w:val="28"/>
                <w:lang w:eastAsia="zh-CN"/>
              </w:rPr>
            </w:pPr>
            <w:r>
              <w:rPr>
                <w:rFonts w:hint="eastAsia" w:ascii="仿宋" w:hAnsi="仿宋" w:eastAsia="仿宋" w:cs="仿宋"/>
                <w:spacing w:val="0"/>
                <w:sz w:val="28"/>
                <w:szCs w:val="28"/>
              </w:rPr>
              <w:t>具有密码学或计算相关专业硕士以上学历</w:t>
            </w:r>
            <w:r>
              <w:rPr>
                <w:rFonts w:hint="eastAsia" w:ascii="仿宋" w:hAnsi="仿宋" w:eastAsia="仿宋" w:cs="仿宋"/>
                <w:spacing w:val="0"/>
                <w:sz w:val="28"/>
                <w:szCs w:val="28"/>
                <w:lang w:eastAsia="zh-CN"/>
              </w:rPr>
              <w:t>；</w:t>
            </w:r>
          </w:p>
          <w:p>
            <w:pPr>
              <w:numPr>
                <w:ilvl w:val="0"/>
                <w:numId w:val="2"/>
              </w:numPr>
              <w:jc w:val="left"/>
              <w:rPr>
                <w:rFonts w:hint="eastAsia" w:ascii="仿宋" w:hAnsi="仿宋" w:eastAsia="仿宋" w:cs="仿宋"/>
                <w:sz w:val="28"/>
                <w:szCs w:val="28"/>
              </w:rPr>
            </w:pPr>
            <w:bookmarkStart w:id="6" w:name="OLE_LINK8"/>
            <w:r>
              <w:rPr>
                <w:rFonts w:hint="eastAsia" w:ascii="仿宋" w:hAnsi="仿宋" w:eastAsia="仿宋" w:cs="仿宋"/>
                <w:strike w:val="0"/>
                <w:sz w:val="28"/>
                <w:szCs w:val="28"/>
              </w:rPr>
              <w:t>通过</w:t>
            </w:r>
            <w:r>
              <w:rPr>
                <w:rFonts w:hint="eastAsia" w:ascii="仿宋" w:hAnsi="仿宋" w:eastAsia="仿宋" w:cs="仿宋"/>
                <w:sz w:val="28"/>
                <w:szCs w:val="28"/>
              </w:rPr>
              <w:t>国家密码管理局组织的</w:t>
            </w:r>
            <w:r>
              <w:rPr>
                <w:rFonts w:hint="eastAsia" w:ascii="仿宋" w:hAnsi="仿宋" w:eastAsia="仿宋" w:cs="仿宋"/>
                <w:strike w:val="0"/>
                <w:sz w:val="28"/>
                <w:szCs w:val="28"/>
              </w:rPr>
              <w:t>商用密码应用安全性评估从业人员考核</w:t>
            </w:r>
            <w:r>
              <w:rPr>
                <w:rFonts w:hint="eastAsia" w:ascii="仿宋" w:hAnsi="仿宋" w:eastAsia="仿宋" w:cs="仿宋"/>
                <w:strike w:val="0"/>
                <w:sz w:val="28"/>
                <w:szCs w:val="28"/>
                <w:lang w:eastAsia="zh-CN"/>
              </w:rPr>
              <w:t>；</w:t>
            </w:r>
          </w:p>
          <w:p>
            <w:pPr>
              <w:numPr>
                <w:ilvl w:val="0"/>
                <w:numId w:val="2"/>
              </w:numPr>
              <w:jc w:val="left"/>
              <w:rPr>
                <w:rFonts w:hint="eastAsia" w:ascii="仿宋" w:hAnsi="仿宋" w:eastAsia="仿宋" w:cs="仿宋"/>
                <w:sz w:val="28"/>
                <w:szCs w:val="28"/>
              </w:rPr>
            </w:pPr>
            <w:r>
              <w:rPr>
                <w:rFonts w:hint="eastAsia" w:ascii="仿宋" w:hAnsi="仿宋" w:eastAsia="仿宋" w:cs="仿宋"/>
                <w:sz w:val="28"/>
                <w:szCs w:val="28"/>
                <w:lang w:eastAsia="zh-CN"/>
              </w:rPr>
              <w:t>具备</w:t>
            </w:r>
            <w:bookmarkEnd w:id="6"/>
            <w:r>
              <w:rPr>
                <w:rFonts w:hint="eastAsia" w:ascii="仿宋" w:hAnsi="仿宋" w:eastAsia="仿宋" w:cs="仿宋"/>
                <w:sz w:val="28"/>
                <w:szCs w:val="28"/>
              </w:rPr>
              <w:t>信息安全</w:t>
            </w:r>
            <w:r>
              <w:rPr>
                <w:rFonts w:hint="eastAsia" w:ascii="仿宋" w:hAnsi="仿宋" w:eastAsia="仿宋" w:cs="仿宋"/>
                <w:sz w:val="28"/>
                <w:szCs w:val="28"/>
                <w:lang w:eastAsia="zh-CN"/>
              </w:rPr>
              <w:t>方面</w:t>
            </w:r>
            <w:r>
              <w:rPr>
                <w:rFonts w:hint="eastAsia" w:ascii="仿宋" w:hAnsi="仿宋" w:eastAsia="仿宋" w:cs="仿宋"/>
                <w:sz w:val="28"/>
                <w:szCs w:val="28"/>
              </w:rPr>
              <w:t>高级</w:t>
            </w:r>
            <w:r>
              <w:rPr>
                <w:rFonts w:hint="eastAsia" w:ascii="仿宋" w:hAnsi="仿宋" w:eastAsia="仿宋" w:cs="仿宋"/>
                <w:sz w:val="28"/>
                <w:szCs w:val="28"/>
                <w:lang w:val="en-US" w:eastAsia="zh-CN"/>
              </w:rPr>
              <w:t>职称</w:t>
            </w:r>
            <w:r>
              <w:rPr>
                <w:rFonts w:hint="eastAsia" w:ascii="仿宋" w:hAnsi="仿宋" w:eastAsia="仿宋" w:cs="仿宋"/>
                <w:sz w:val="28"/>
                <w:szCs w:val="28"/>
              </w:rPr>
              <w:t>证书；</w:t>
            </w:r>
          </w:p>
          <w:p>
            <w:pPr>
              <w:numPr>
                <w:ilvl w:val="0"/>
                <w:numId w:val="2"/>
              </w:numPr>
              <w:jc w:val="left"/>
              <w:rPr>
                <w:rFonts w:hint="eastAsia" w:ascii="仿宋" w:hAnsi="仿宋" w:eastAsia="仿宋" w:cs="仿宋"/>
                <w:sz w:val="28"/>
                <w:szCs w:val="28"/>
              </w:rPr>
            </w:pPr>
            <w:r>
              <w:rPr>
                <w:rFonts w:hint="eastAsia" w:ascii="仿宋" w:hAnsi="仿宋" w:eastAsia="仿宋" w:cs="仿宋"/>
                <w:sz w:val="28"/>
                <w:szCs w:val="28"/>
              </w:rPr>
              <w:t>具备</w:t>
            </w:r>
            <w:r>
              <w:rPr>
                <w:rFonts w:hint="eastAsia" w:ascii="仿宋" w:hAnsi="仿宋" w:eastAsia="仿宋" w:cs="仿宋"/>
                <w:sz w:val="28"/>
                <w:szCs w:val="28"/>
                <w:lang w:val="en-US" w:eastAsia="zh-CN"/>
              </w:rPr>
              <w:t>5</w:t>
            </w:r>
            <w:r>
              <w:rPr>
                <w:rFonts w:hint="eastAsia" w:ascii="仿宋" w:hAnsi="仿宋" w:eastAsia="仿宋" w:cs="仿宋"/>
                <w:sz w:val="28"/>
                <w:szCs w:val="28"/>
              </w:rPr>
              <w:t>年及以上商用密码应用安全性评估经验；</w:t>
            </w:r>
          </w:p>
        </w:tc>
        <w:tc>
          <w:tcPr>
            <w:tcW w:w="1466" w:type="dxa"/>
            <w:vAlign w:val="center"/>
          </w:tcPr>
          <w:p>
            <w:pPr>
              <w:jc w:val="center"/>
              <w:rPr>
                <w:rFonts w:hint="eastAsia" w:ascii="仿宋" w:hAnsi="仿宋" w:eastAsia="仿宋" w:cs="仿宋"/>
                <w:sz w:val="28"/>
                <w:szCs w:val="28"/>
              </w:rPr>
            </w:pPr>
            <w:bookmarkStart w:id="7" w:name="OLE_LINK5"/>
            <w:r>
              <w:rPr>
                <w:rFonts w:hint="eastAsia" w:ascii="仿宋" w:hAnsi="仿宋" w:eastAsia="仿宋" w:cs="仿宋"/>
                <w:sz w:val="28"/>
                <w:szCs w:val="28"/>
              </w:rPr>
              <w:t>不驻场</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2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测评人员</w:t>
            </w:r>
          </w:p>
        </w:tc>
        <w:tc>
          <w:tcPr>
            <w:tcW w:w="236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负责项目实施过程中技术应用的测评工作。</w:t>
            </w:r>
          </w:p>
        </w:tc>
        <w:tc>
          <w:tcPr>
            <w:tcW w:w="839"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8</w:t>
            </w:r>
          </w:p>
        </w:tc>
        <w:tc>
          <w:tcPr>
            <w:tcW w:w="3619" w:type="dxa"/>
            <w:vAlign w:val="center"/>
          </w:tcPr>
          <w:p>
            <w:pPr>
              <w:numPr>
                <w:ilvl w:val="0"/>
                <w:numId w:val="3"/>
              </w:numPr>
              <w:jc w:val="left"/>
              <w:rPr>
                <w:rFonts w:hint="eastAsia" w:ascii="仿宋" w:hAnsi="仿宋" w:eastAsia="仿宋" w:cs="仿宋"/>
                <w:sz w:val="28"/>
                <w:szCs w:val="28"/>
              </w:rPr>
            </w:pPr>
            <w:r>
              <w:rPr>
                <w:rFonts w:hint="eastAsia" w:ascii="仿宋" w:hAnsi="仿宋" w:eastAsia="仿宋" w:cs="仿宋"/>
                <w:strike w:val="0"/>
                <w:sz w:val="28"/>
                <w:szCs w:val="28"/>
              </w:rPr>
              <w:t>通过</w:t>
            </w:r>
            <w:r>
              <w:rPr>
                <w:rFonts w:hint="eastAsia" w:ascii="仿宋" w:hAnsi="仿宋" w:eastAsia="仿宋" w:cs="仿宋"/>
                <w:sz w:val="28"/>
                <w:szCs w:val="28"/>
              </w:rPr>
              <w:t>国家密码管理局组织的</w:t>
            </w:r>
            <w:r>
              <w:rPr>
                <w:rFonts w:hint="eastAsia" w:ascii="仿宋" w:hAnsi="仿宋" w:eastAsia="仿宋" w:cs="仿宋"/>
                <w:strike w:val="0"/>
                <w:sz w:val="28"/>
                <w:szCs w:val="28"/>
              </w:rPr>
              <w:t>商用密码应用安全性评估从业人员考核</w:t>
            </w:r>
            <w:r>
              <w:rPr>
                <w:rFonts w:hint="eastAsia" w:ascii="仿宋" w:hAnsi="仿宋" w:eastAsia="仿宋" w:cs="仿宋"/>
                <w:strike w:val="0"/>
                <w:sz w:val="28"/>
                <w:szCs w:val="28"/>
                <w:lang w:eastAsia="zh-CN"/>
              </w:rPr>
              <w:t>；</w:t>
            </w:r>
          </w:p>
          <w:p>
            <w:pPr>
              <w:numPr>
                <w:ilvl w:val="0"/>
                <w:numId w:val="3"/>
              </w:numPr>
              <w:jc w:val="left"/>
              <w:rPr>
                <w:rFonts w:hint="eastAsia" w:ascii="仿宋" w:hAnsi="仿宋" w:eastAsia="仿宋" w:cs="仿宋"/>
                <w:sz w:val="28"/>
                <w:szCs w:val="28"/>
              </w:rPr>
            </w:pPr>
            <w:r>
              <w:rPr>
                <w:rFonts w:hint="eastAsia" w:ascii="仿宋" w:hAnsi="仿宋" w:eastAsia="仿宋" w:cs="仿宋"/>
                <w:sz w:val="28"/>
                <w:szCs w:val="28"/>
                <w:lang w:eastAsia="zh-CN"/>
              </w:rPr>
              <w:t>具备</w:t>
            </w:r>
            <w:r>
              <w:rPr>
                <w:rFonts w:hint="eastAsia" w:ascii="仿宋" w:hAnsi="仿宋" w:eastAsia="仿宋" w:cs="仿宋"/>
                <w:sz w:val="28"/>
                <w:szCs w:val="28"/>
              </w:rPr>
              <w:t>人社部门颁发的密码</w:t>
            </w:r>
            <w:r>
              <w:rPr>
                <w:rFonts w:hint="eastAsia" w:ascii="仿宋" w:hAnsi="仿宋" w:eastAsia="仿宋" w:cs="仿宋"/>
                <w:sz w:val="28"/>
                <w:szCs w:val="28"/>
                <w:lang w:val="en-US" w:eastAsia="zh-CN"/>
              </w:rPr>
              <w:t>方面</w:t>
            </w:r>
            <w:r>
              <w:rPr>
                <w:rFonts w:hint="eastAsia" w:ascii="仿宋" w:hAnsi="仿宋" w:eastAsia="仿宋" w:cs="仿宋"/>
                <w:sz w:val="28"/>
                <w:szCs w:val="28"/>
              </w:rPr>
              <w:t>中级工程师</w:t>
            </w:r>
            <w:r>
              <w:rPr>
                <w:rFonts w:hint="eastAsia" w:ascii="仿宋" w:hAnsi="仿宋" w:eastAsia="仿宋" w:cs="仿宋"/>
                <w:sz w:val="28"/>
                <w:szCs w:val="28"/>
                <w:lang w:eastAsia="zh-CN"/>
              </w:rPr>
              <w:t>及以上</w:t>
            </w:r>
            <w:r>
              <w:rPr>
                <w:rFonts w:hint="eastAsia" w:ascii="仿宋" w:hAnsi="仿宋" w:eastAsia="仿宋" w:cs="仿宋"/>
                <w:sz w:val="28"/>
                <w:szCs w:val="28"/>
                <w:lang w:val="en-US" w:eastAsia="zh-CN"/>
              </w:rPr>
              <w:t>职称</w:t>
            </w:r>
            <w:r>
              <w:rPr>
                <w:rFonts w:hint="eastAsia" w:ascii="仿宋" w:hAnsi="仿宋" w:eastAsia="仿宋" w:cs="仿宋"/>
                <w:sz w:val="28"/>
                <w:szCs w:val="28"/>
              </w:rPr>
              <w:t>证书；</w:t>
            </w:r>
          </w:p>
          <w:p>
            <w:pPr>
              <w:numPr>
                <w:ilvl w:val="0"/>
                <w:numId w:val="3"/>
              </w:numPr>
              <w:jc w:val="left"/>
              <w:rPr>
                <w:rFonts w:hint="eastAsia" w:ascii="仿宋" w:hAnsi="仿宋" w:eastAsia="仿宋" w:cs="仿宋"/>
                <w:sz w:val="28"/>
                <w:szCs w:val="28"/>
              </w:rPr>
            </w:pPr>
            <w:r>
              <w:rPr>
                <w:rFonts w:hint="eastAsia" w:ascii="仿宋" w:hAnsi="仿宋" w:eastAsia="仿宋" w:cs="仿宋"/>
                <w:sz w:val="28"/>
                <w:szCs w:val="28"/>
              </w:rPr>
              <w:t>具备3年及以上商用密码应用安全性评估及经验。</w:t>
            </w:r>
          </w:p>
        </w:tc>
        <w:tc>
          <w:tcPr>
            <w:tcW w:w="146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62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档案管理员</w:t>
            </w:r>
          </w:p>
        </w:tc>
        <w:tc>
          <w:tcPr>
            <w:tcW w:w="236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负责对项目档案的接收、分类、编目等资料档案管理工作。</w:t>
            </w:r>
          </w:p>
        </w:tc>
        <w:tc>
          <w:tcPr>
            <w:tcW w:w="839"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3619" w:type="dxa"/>
            <w:vAlign w:val="center"/>
          </w:tcPr>
          <w:p>
            <w:pPr>
              <w:numPr>
                <w:ilvl w:val="-1"/>
                <w:numId w:val="0"/>
              </w:numPr>
              <w:ind w:left="0" w:firstLine="0"/>
              <w:jc w:val="left"/>
              <w:rPr>
                <w:rFonts w:hint="eastAsia" w:ascii="仿宋" w:hAnsi="仿宋" w:cs="仿宋" w:eastAsiaTheme="minorEastAsia"/>
                <w:sz w:val="28"/>
                <w:szCs w:val="28"/>
                <w:lang w:eastAsia="zh-CN"/>
              </w:rPr>
            </w:pPr>
            <w:r>
              <w:rPr>
                <w:rFonts w:hint="eastAsia" w:ascii="仿宋" w:hAnsi="仿宋" w:eastAsia="仿宋" w:cs="仿宋"/>
                <w:sz w:val="28"/>
                <w:szCs w:val="28"/>
              </w:rPr>
              <w:t>通过国家密码管理局组织的商用密码应用安全性评估人员测评能力考核</w:t>
            </w:r>
          </w:p>
        </w:tc>
        <w:tc>
          <w:tcPr>
            <w:tcW w:w="146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根据实际需求进行驻场或者远程服务</w:t>
            </w:r>
          </w:p>
        </w:tc>
      </w:tr>
    </w:tbl>
    <w:p>
      <w:pPr>
        <w:ind w:firstLine="560" w:firstLineChars="200"/>
        <w:rPr>
          <w:rFonts w:hint="eastAsia" w:ascii="仿宋" w:hAnsi="仿宋" w:eastAsia="仿宋" w:cs="仿宋"/>
          <w:sz w:val="28"/>
          <w:szCs w:val="28"/>
        </w:rPr>
      </w:pPr>
    </w:p>
    <w:p>
      <w:pPr>
        <w:pStyle w:val="2"/>
        <w:ind w:left="0"/>
        <w:rPr>
          <w:rFonts w:hint="eastAsia" w:ascii="仿宋" w:hAnsi="仿宋" w:eastAsia="仿宋" w:cs="仿宋"/>
        </w:rPr>
      </w:pPr>
      <w:bookmarkStart w:id="8" w:name="_Toc69194686"/>
      <w:r>
        <w:rPr>
          <w:rFonts w:hint="eastAsia" w:ascii="仿宋" w:hAnsi="仿宋" w:eastAsia="仿宋" w:cs="仿宋"/>
        </w:rPr>
        <w:t>服务提供方</w:t>
      </w:r>
      <w:r>
        <w:rPr>
          <w:rFonts w:hint="eastAsia" w:ascii="仿宋" w:hAnsi="仿宋" w:eastAsia="仿宋" w:cs="仿宋"/>
          <w:lang w:eastAsia="zh-CN"/>
        </w:rPr>
        <w:t>相关</w:t>
      </w:r>
      <w:bookmarkEnd w:id="8"/>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投标人</w:t>
      </w:r>
      <w:r>
        <w:rPr>
          <w:rFonts w:hint="eastAsia" w:ascii="仿宋" w:hAnsi="仿宋" w:eastAsia="仿宋" w:cs="仿宋"/>
          <w:sz w:val="28"/>
          <w:szCs w:val="28"/>
        </w:rPr>
        <w:t>须具备经国家密码管理局认定的商用密码检测机构资质证书（业务范围：商用密码应用安全性评估）。</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投标人具有质量管理认证(范围至少包括：商用密码产品检测服务和商用密码应用安全性评估服务)、信息安全管理认证(范围至少包括：商用密码产品检测服务和商用密码应用安全性评估服务)、CNAS检测机构认可证书(资质范围：信息系统商用密码应用安全性评估)且在认证有效期内的优先考虑。</w:t>
      </w:r>
    </w:p>
    <w:p>
      <w:pPr>
        <w:pStyle w:val="2"/>
        <w:ind w:left="0"/>
        <w:rPr>
          <w:rFonts w:hint="eastAsia" w:ascii="仿宋" w:hAnsi="仿宋" w:eastAsia="仿宋" w:cs="仿宋"/>
        </w:rPr>
      </w:pPr>
      <w:r>
        <w:rPr>
          <w:rFonts w:hint="eastAsia" w:ascii="仿宋" w:hAnsi="仿宋" w:eastAsia="仿宋" w:cs="仿宋"/>
        </w:rPr>
        <w:t>密码测评工具和模拟测评环境要求</w:t>
      </w:r>
    </w:p>
    <w:p>
      <w:pPr>
        <w:pStyle w:val="3"/>
      </w:pPr>
      <w:r>
        <w:rPr>
          <w:rFonts w:hint="eastAsia"/>
        </w:rPr>
        <w:t>测评工具要求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次项目实施过程中所使用的密评工具需形成完整的工具体系，涵盖检测、编制、评审全流程，所有工具须具备自主知识产权或计算机软件著作权（需提供相关证明材料）。工具需对系统数据进行全面分析，其分析结果作为评估报告的核心佐证依据，确保评估结论的科学性、准确性和权威性。</w:t>
      </w:r>
    </w:p>
    <w:p>
      <w:pPr>
        <w:ind w:firstLine="560" w:firstLineChars="200"/>
        <w:rPr>
          <w:rFonts w:hint="eastAsia" w:ascii="仿宋" w:hAnsi="仿宋" w:eastAsia="仿宋" w:cs="仿宋"/>
          <w:sz w:val="28"/>
          <w:szCs w:val="28"/>
        </w:rPr>
      </w:pPr>
      <w:bookmarkStart w:id="9" w:name="OLE_LINK7"/>
      <w:r>
        <w:rPr>
          <w:rFonts w:hint="eastAsia" w:ascii="仿宋" w:hAnsi="仿宋" w:eastAsia="仿宋" w:cs="仿宋"/>
          <w:sz w:val="28"/>
          <w:szCs w:val="28"/>
        </w:rPr>
        <w:t>密评工具包括但不限于以下几类：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（一）核心检测类工具</w:t>
      </w:r>
    </w:p>
    <w:bookmarkEnd w:id="9"/>
    <w:p>
      <w:pPr>
        <w:ind w:firstLine="560" w:firstLineChars="200"/>
        <w:rPr>
          <w:rFonts w:hint="eastAsia" w:ascii="仿宋" w:hAnsi="仿宋" w:eastAsia="仿宋" w:cs="仿宋"/>
          <w:sz w:val="28"/>
          <w:szCs w:val="28"/>
        </w:rPr>
      </w:pPr>
      <w:r>
        <w:rPr>
          <w:rFonts w:hint="eastAsia" w:ascii="仿宋" w:hAnsi="仿宋" w:eastAsia="仿宋" w:cs="仿宋"/>
          <w:sz w:val="28"/>
          <w:szCs w:val="28"/>
        </w:rPr>
        <w:t>1、密码算法验证工具，包括国家商用密码SM2、SM3、SM4等算法验证；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2、随机数随机性检测工具，包括随机数随机性测试、随机数随机性检测等；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3、数字证书检测工具，包括数字证书格式合规性验证、数字证书验证等；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4、网络安全协议密码套件检测工具；包括但不限于SSL协议分析等。</w:t>
      </w:r>
    </w:p>
    <w:p>
      <w:pPr>
        <w:ind w:firstLine="560" w:firstLineChars="200"/>
        <w:rPr>
          <w:rFonts w:hint="eastAsia" w:ascii="仿宋" w:hAnsi="仿宋" w:eastAsia="仿宋" w:cs="仿宋"/>
          <w:sz w:val="28"/>
          <w:szCs w:val="28"/>
        </w:rPr>
      </w:pPr>
      <w:bookmarkStart w:id="10" w:name="OLE_LINK6"/>
      <w:bookmarkStart w:id="11" w:name="OLE_LINK1"/>
      <w:r>
        <w:rPr>
          <w:rFonts w:hint="eastAsia" w:ascii="仿宋" w:hAnsi="仿宋" w:eastAsia="仿宋" w:cs="仿宋"/>
          <w:sz w:val="28"/>
          <w:szCs w:val="28"/>
        </w:rPr>
        <w:t>（二）实施管理工具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5、商用密码应用安全性评估工具，包括项目概述、系统资产、测评对象、现场核查、单元测评、整体测评、风险评估、改进建议、总体评价等报告编制功能以及导出项目实施相关材料等。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（三）报告评审工具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6、密评报告评审工具，包括基于图像识别的证据识别、面向文档数据质量检测等技术实现报告评审以及资源消耗智能监管等功能。</w:t>
      </w:r>
    </w:p>
    <w:bookmarkEnd w:id="10"/>
    <w:bookmarkEnd w:id="11"/>
    <w:p>
      <w:pPr>
        <w:pStyle w:val="3"/>
      </w:pPr>
      <w:r>
        <w:rPr>
          <w:rFonts w:hint="eastAsia"/>
        </w:rPr>
        <w:t>模拟测评环境要求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服务提供方具有密码测评模拟验证环境的能力及相关设备，包括但不限于以下的密码设备：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1、SSL VPN：具有商用密码产品型号证书或商用密码产品认证证书，用于搭建SSL VPN网络，模拟SSL VPN通信信道的测评。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2、IPSec VPN：具有商用密码产品型号证书或商用密码产品认证证书，用于搭建IPSec VPN网络，模拟IPSec VPN通信信道的测评。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3、服务器密码机：具有商用密码产品型号证书或商用密码产品认证证书，用于实现重要数据的加解密和完整性保护，模拟重要数据加解密和完整性保护的测评。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签名验签服务器：具有商用密码产品型号证书或商用密码产品认证证书，用于实现身份真实性认证、文件和标记的完整性、通信数据机密性和完整性等密码应用功能保护，模拟身份鉴别、控制信息和安全标记的完整性及重要数据传输和存储机密性和完整性、不可否认性等的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5、时间戳服务器：具有商用密码产品型号证书或商用密码产品认证证书，用于实现重要数据的完整性和不可否认性等密码应用功能保护，模拟重要数据传输和存储的完整性、不可否认性等的测评。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6、电子签章系统：具有商用密码产品型号证书或商用密码产品认证证书，用于实现数据原发行为的不可否认性和数据接收行为的不可否认性等密码应用功能保护，模拟应用和数据安全的不可否认性等。</w:t>
      </w:r>
    </w:p>
    <w:p>
      <w:pPr>
        <w:pStyle w:val="2"/>
        <w:ind w:left="0"/>
        <w:rPr>
          <w:rFonts w:hint="eastAsia" w:ascii="仿宋" w:hAnsi="仿宋" w:eastAsia="仿宋" w:cs="仿宋"/>
          <w:bCs w:val="0"/>
          <w:szCs w:val="32"/>
        </w:rPr>
      </w:pPr>
      <w:r>
        <w:rPr>
          <w:rFonts w:hint="eastAsia" w:ascii="仿宋" w:hAnsi="仿宋" w:eastAsia="仿宋" w:cs="仿宋"/>
          <w:bCs w:val="0"/>
          <w:szCs w:val="32"/>
        </w:rPr>
        <w:t>密码应用安全性评估服务管理要求</w:t>
      </w:r>
    </w:p>
    <w:p>
      <w:pPr>
        <w:pStyle w:val="3"/>
      </w:pPr>
      <w:r>
        <w:rPr>
          <w:rFonts w:hint="eastAsia"/>
        </w:rPr>
        <w:t>密码应用安全性评估服务原则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本项目商用密码应用安全性测评实施方案设计与具体实施应满足以下原则：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1、客观公正原则：测评实施过程中测评人员应保证在最小主观判断情形下，按照测评双方认可的测评方案，基于明确定义的测评方式和解释，实施测评活动。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2、经济性和可重用性原则：测评工作可重用已有测评结果，包括商用密码应用安全性测评结果。 所有重用结果都应以结果适用于待测评系统为前提，并能够客观反映目前系统的安全状态。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可重复性和可再现性原则：依照同样的要求，使用同样的测评方法，不同的测评机构对每个测评实施过程的重复执行应得到同样的结果。可再现性和可重复性的区别在于，前者关注不同测评者测评结果的一致性， 后者则与同一测评者测评结果的一致性有关。</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4、结果完善性原则：在正确理解《GB/T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39786-2021 信息安全技术信息系统密码应用基本要求》各个要求项内容的基础之上，检测所产生的结果应客观反映系统的运行状态。测评过程和结果应服从正确的测评方法，确保其满足要求。</w:t>
      </w:r>
    </w:p>
    <w:p>
      <w:pPr>
        <w:pStyle w:val="3"/>
      </w:pPr>
      <w:r>
        <w:rPr>
          <w:rFonts w:hint="eastAsia"/>
        </w:rPr>
        <w:t>密码应用安全性评估服务过程及内容要求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测评服务过程包括四项基本测评活动：测评准备活动、方案编制活动、现场测评活动、分析与报告编制活动。测评方与被测单位之间的沟通与洽谈应贯穿整个测评过程。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1、测评准备活动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本活动是开展测评工作的前提和基础，主要任务是掌握被测信息系统的详细情况，准备测评工具，为编制商用密码应用安全性评估方案做好准备。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2、方案编制活动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本活动是开展测评工作的关键活动，主要任务是确定与被测信息系统相适应的测评对象、测评指标、测评检查点及测评内容等，形成商用密码应用安全性评估方案，为实施现场测评提供依据。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3、现场测评活动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本活动是开展测评工作的核心活动，主要任务是根据商用密码应用安全性评估方案分步实施所有测评项目，以了解被测信息系统真实的密码应用现状，获取足够的证据，发现其存在的密码应用安全性问题。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4、分析与报告编制活动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商用密码应用安全性评估报告。</w:t>
      </w:r>
    </w:p>
    <w:p>
      <w:pPr>
        <w:pStyle w:val="2"/>
        <w:ind w:left="0"/>
        <w:rPr>
          <w:rFonts w:hint="eastAsia" w:ascii="仿宋" w:hAnsi="仿宋" w:eastAsia="仿宋" w:cs="仿宋"/>
          <w:bCs w:val="0"/>
          <w:szCs w:val="32"/>
        </w:rPr>
      </w:pPr>
      <w:r>
        <w:rPr>
          <w:rFonts w:hint="eastAsia" w:ascii="仿宋" w:hAnsi="仿宋" w:eastAsia="仿宋" w:cs="仿宋"/>
          <w:bCs w:val="0"/>
          <w:szCs w:val="32"/>
        </w:rPr>
        <w:t>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信息系统商用密码应用安全性评估的内容包括但不限于以下内容：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1、安全技术测评：包括物理和环境安全、 网络和通信安全、 设备和计算安全、 应用和数据安全等四个方面的安全测评。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（1）物理和环境安全</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安全技术测评-物理和环境安全</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电子门禁记录数据完整性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视频记录数据完整性</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（2）网络和通信安全</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安全技术测评-网络和通信安全</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通信数据完整性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通信过程中重要数据的机密性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网络边界访问控制信息完整性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安全接入认证</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（3）设备和计算安全</w:t>
      </w:r>
    </w:p>
    <w:tbl>
      <w:tblPr>
        <w:tblStyle w:val="24"/>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4"/>
        <w:gridCol w:w="57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安全技术测评-设备和计算安全</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远程管理通道安全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系统资源访问控制信息完整性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重要信息资源安全标记完整性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日志记录完整性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重要可执行程序完整性、重要可执行程序来源真实性</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（4）应用和数据安全</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安全技术测评-应用和数据安全</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身份鉴别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访问控制信息完整性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重要信息资源安全标记完整性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重要数据存储机密性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重要数据传输机密性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重要数据传输完整性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重要数据存储完整性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不可否认性</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2、安全管理测评：包括安全管理（分为制度、人员、建设和应急四个子模块）的安全测评。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（1）管理制度</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安全管理测评-管理制度</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具备密码应用安全管理制度</w:t>
            </w:r>
            <w:bookmarkStart w:id="15" w:name="_GoBack"/>
            <w:bookmarkEnd w:id="15"/>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密钥管理规则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建立操作规程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定期修订安全管理制度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明确管理制度发布流程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制度执行过程记录留存</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（2）人员管理</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安全管理测评-人员管理度</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了解并遵守密码相关法律法规和密码管理制度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建立密码应用岗位责任制度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建立上岗人员培训制度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定期进行安全岗位人员考核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建立关键岗位人员保密制度和调离制度</w:t>
            </w:r>
          </w:p>
        </w:tc>
      </w:tr>
    </w:tbl>
    <w:p/>
    <w:p>
      <w:r>
        <w:br w:type="page"/>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（3）建设运行</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安全管理测评-建设运行</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制定密码应用方案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制定密钥安全管理策略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制定实施方案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投入运行前进行密码应用安全性评估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定期开展密码应用安全性评估及攻防对抗演习</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（4）应急处置</w:t>
      </w:r>
    </w:p>
    <w:tbl>
      <w:tblPr>
        <w:tblStyle w:val="24"/>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5"/>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tcMar>
              <w:top w:w="11" w:type="dxa"/>
              <w:left w:w="11" w:type="dxa"/>
              <w:bottom w:w="11" w:type="dxa"/>
              <w:right w:w="11"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测评类别</w:t>
            </w:r>
          </w:p>
        </w:tc>
        <w:tc>
          <w:tcPr>
            <w:tcW w:w="3466" w:type="pct"/>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测评单元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tcMar>
              <w:top w:w="11" w:type="dxa"/>
              <w:left w:w="11" w:type="dxa"/>
              <w:bottom w:w="11" w:type="dxa"/>
              <w:right w:w="11" w:type="dxa"/>
            </w:tcMar>
            <w:vAlign w:val="center"/>
          </w:tcPr>
          <w:p>
            <w:pPr>
              <w:rPr>
                <w:rFonts w:hint="eastAsia" w:ascii="仿宋" w:hAnsi="仿宋" w:eastAsia="仿宋" w:cs="仿宋"/>
                <w:sz w:val="28"/>
                <w:szCs w:val="28"/>
              </w:rPr>
            </w:pPr>
            <w:r>
              <w:rPr>
                <w:rFonts w:hint="eastAsia" w:ascii="仿宋" w:hAnsi="仿宋" w:eastAsia="仿宋" w:cs="仿宋"/>
                <w:sz w:val="28"/>
                <w:szCs w:val="28"/>
              </w:rPr>
              <w:t>安全管理测评-应急处置</w:t>
            </w: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应急策略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事件处置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pPr>
              <w:ind w:firstLine="560" w:firstLineChars="200"/>
              <w:rPr>
                <w:rFonts w:hint="eastAsia" w:ascii="仿宋" w:hAnsi="仿宋" w:eastAsia="仿宋" w:cs="仿宋"/>
                <w:sz w:val="28"/>
                <w:szCs w:val="28"/>
              </w:rPr>
            </w:pPr>
          </w:p>
        </w:tc>
        <w:tc>
          <w:tcPr>
            <w:tcW w:w="3466" w:type="pct"/>
            <w:tcMar>
              <w:top w:w="11" w:type="dxa"/>
              <w:left w:w="11" w:type="dxa"/>
              <w:bottom w:w="11" w:type="dxa"/>
              <w:right w:w="11" w:type="dxa"/>
            </w:tcMar>
            <w:vAlign w:val="center"/>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向有关主管部门上报处置情况</w:t>
            </w:r>
          </w:p>
        </w:tc>
      </w:tr>
    </w:tbl>
    <w:p/>
    <w:p>
      <w:pPr>
        <w:pStyle w:val="2"/>
        <w:ind w:left="0"/>
        <w:rPr>
          <w:rFonts w:hint="eastAsia" w:ascii="仿宋" w:hAnsi="仿宋" w:eastAsia="仿宋" w:cs="仿宋"/>
          <w:bCs w:val="0"/>
          <w:szCs w:val="32"/>
        </w:rPr>
      </w:pPr>
      <w:bookmarkStart w:id="12" w:name="_Toc67249662"/>
      <w:bookmarkStart w:id="13" w:name="_Toc38354903"/>
      <w:bookmarkStart w:id="14" w:name="_Toc69194690"/>
      <w:r>
        <w:rPr>
          <w:rFonts w:hint="eastAsia" w:ascii="仿宋" w:hAnsi="仿宋" w:eastAsia="仿宋" w:cs="仿宋"/>
          <w:bCs w:val="0"/>
          <w:szCs w:val="32"/>
        </w:rPr>
        <w:t>应急服务</w:t>
      </w:r>
      <w:bookmarkEnd w:id="12"/>
    </w:p>
    <w:bookmarkEnd w:id="13"/>
    <w:p>
      <w:pPr>
        <w:pStyle w:val="3"/>
        <w:rPr>
          <w:rFonts w:hint="eastAsia" w:ascii="仿宋" w:hAnsi="仿宋" w:cs="仿宋"/>
          <w:bCs w:val="0"/>
          <w:szCs w:val="28"/>
        </w:rPr>
      </w:pPr>
      <w:r>
        <w:rPr>
          <w:rFonts w:hint="eastAsia" w:ascii="仿宋" w:hAnsi="仿宋" w:cs="仿宋"/>
          <w:bCs w:val="0"/>
          <w:szCs w:val="28"/>
        </w:rPr>
        <w:t>编制应急预案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为了避免测评工作引入新的安全风险，服务方应紧密结合</w:t>
      </w:r>
      <w:r>
        <w:rPr>
          <w:rFonts w:hint="eastAsia" w:ascii="仿宋" w:hAnsi="仿宋" w:eastAsia="仿宋" w:cs="仿宋"/>
          <w:sz w:val="28"/>
          <w:szCs w:val="28"/>
          <w:lang w:val="en-US" w:eastAsia="zh-CN"/>
        </w:rPr>
        <w:t>密码</w:t>
      </w:r>
      <w:r>
        <w:rPr>
          <w:rFonts w:hint="eastAsia" w:ascii="仿宋" w:hAnsi="仿宋" w:eastAsia="仿宋" w:cs="仿宋"/>
          <w:sz w:val="28"/>
          <w:szCs w:val="28"/>
        </w:rPr>
        <w:t>测评实际情况，在正式启动网络安全等级保护测评工作前精心编制应急预案，应在风险揭示、工具验证、连续性考虑和工作纪律等方面进行风险规避。</w:t>
      </w:r>
    </w:p>
    <w:p>
      <w:pPr>
        <w:pStyle w:val="3"/>
        <w:rPr>
          <w:rFonts w:hint="eastAsia" w:ascii="仿宋" w:hAnsi="仿宋" w:cs="仿宋"/>
          <w:bCs w:val="0"/>
          <w:szCs w:val="28"/>
        </w:rPr>
      </w:pPr>
      <w:r>
        <w:rPr>
          <w:rFonts w:hint="eastAsia" w:ascii="仿宋" w:hAnsi="仿宋" w:cs="仿宋"/>
          <w:bCs w:val="0"/>
          <w:szCs w:val="28"/>
        </w:rPr>
        <w:t>应急响应要求</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1、服务提供方坚持主动预防、迅速高效的原则，紧密结合实际情况，精心编制并持续完善应急措施。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2、依据故障时间及故障范围划分故障级别，故障级别分为四级，依次为Ⅰ级（紧急）、Ⅱ级（严重）、Ⅲ级（较大）和Ⅳ级（一般），分别定义如下：</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Ⅰ级（紧急）故障为工作时间段（8：30——17：30）内大范围故障；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Ⅱ级（严重）故障为非工作时间段（17：30——次日8：30）内大范围故障；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Ⅲ级（较大）故障为工作时间段（8：30——17：30）内小范围故障；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Ⅳ级（一般）故障为非工作时间段（17：30——次日8：30）内小范围故障；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a、发生Ⅰ级（紧急）故障后0.5小时内无法通过电话或远程支持服务排除故障，如采购人要求提供现场支持，服务提供方应2小时内到达用户现场；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b、发生Ⅱ级（严重）故障后0.5小时内无法通过电话或远程支持服务排除故障，如采购人要求提供现场支持，服务提供方应3小时内到达用户现场；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c、发生Ⅲ级（较大）故障后1小时内无法通过电话或远程支持服务排除故障，如采购人要求提供现场支持，服务提供方应3小时内到达用户现场；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d、发生Ⅳ级（一般）故障后1小时内无法通过电话或远程支持服务排除故障，如采购人要求提供现场支持，服务提供方应4小时内到达用户现场。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3、如发生故障，服务提供方应严格按照制定的应急预案中故障处理流程实施故障排除操作。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4、当故障排除操作全部完成后，服务提供方应向采购单位提交故障报告，经采购单位验证通过后签字确认并归档保存，同时组织更新相关文档。</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5、如遇有重大事件（包括汛期、节假日、政治军事活动等），服务提供方应科学编制安全保障方案，并根据采购单位需要提供现场保障服务。</w:t>
      </w:r>
    </w:p>
    <w:p>
      <w:pPr>
        <w:pStyle w:val="2"/>
        <w:ind w:left="0"/>
        <w:rPr>
          <w:rFonts w:hint="eastAsia" w:ascii="仿宋" w:hAnsi="仿宋" w:eastAsia="仿宋" w:cs="仿宋"/>
          <w:bCs w:val="0"/>
          <w:szCs w:val="32"/>
        </w:rPr>
      </w:pPr>
      <w:r>
        <w:rPr>
          <w:rFonts w:hint="eastAsia" w:ascii="仿宋" w:hAnsi="仿宋" w:eastAsia="仿宋" w:cs="仿宋"/>
          <w:bCs w:val="0"/>
          <w:szCs w:val="32"/>
        </w:rPr>
        <w:t>网络和数据安全管理要求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测评类项目不适用本条款。</w:t>
      </w:r>
    </w:p>
    <w:p/>
    <w:p>
      <w:pPr>
        <w:pStyle w:val="2"/>
        <w:ind w:left="0"/>
        <w:rPr>
          <w:rFonts w:hint="eastAsia" w:ascii="仿宋" w:hAnsi="仿宋" w:eastAsia="仿宋" w:cs="仿宋"/>
        </w:rPr>
      </w:pPr>
      <w:r>
        <w:rPr>
          <w:rFonts w:ascii="仿宋" w:hAnsi="仿宋" w:eastAsia="仿宋" w:cs="仿宋"/>
        </w:rPr>
        <w:t>网络和数据安全处罚措施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如供应商在服务周期内发生网络和数据安全工作违约情况，对中心系统造成网络安全或数据安全影响的，按照引发的安全事件等级和次数，中心将采取以下处罚措施，具体处罚措施由中心安全管理部门确定：</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（1）限期整改；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（2）约谈企业负责人；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（3）扣除项目费用的1%-3%；</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（4）上报主管部门，必要时终止项目合同并追究相关刑事责任。</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供应商应承担服务过程中出现赔偿责任（包括但不限于直接损失、间接损失、律师费、诉讼费/仲裁费、调查费、公证费、保全保险费/担保费）。</w:t>
      </w:r>
    </w:p>
    <w:p>
      <w:pPr>
        <w:spacing w:line="560" w:lineRule="exact"/>
        <w:ind w:firstLine="560" w:firstLineChars="200"/>
        <w:rPr>
          <w:rFonts w:hint="default" w:ascii="仿宋" w:hAnsi="仿宋" w:eastAsia="仿宋" w:cs="仿宋"/>
          <w:sz w:val="28"/>
          <w:szCs w:val="28"/>
        </w:rPr>
      </w:pPr>
      <w:r>
        <w:rPr>
          <w:rFonts w:hint="eastAsia" w:ascii="仿宋" w:hAnsi="仿宋" w:eastAsia="仿宋" w:cs="仿宋"/>
          <w:sz w:val="28"/>
          <w:szCs w:val="28"/>
        </w:rPr>
        <w:t>事件类型与等级及与之相应的处罚措施详见附表。</w:t>
      </w:r>
    </w:p>
    <w:p>
      <w:pPr>
        <w:ind w:firstLine="560" w:firstLineChars="200"/>
        <w:rPr>
          <w:rFonts w:hint="eastAsia" w:ascii="仿宋" w:hAnsi="仿宋" w:eastAsia="仿宋" w:cs="仿宋"/>
          <w:sz w:val="28"/>
          <w:szCs w:val="28"/>
        </w:rPr>
      </w:pPr>
    </w:p>
    <w:p>
      <w:pPr>
        <w:pStyle w:val="2"/>
        <w:ind w:left="0"/>
        <w:rPr>
          <w:rFonts w:hint="eastAsia" w:ascii="仿宋" w:hAnsi="仿宋" w:eastAsia="仿宋" w:cs="仿宋"/>
          <w:bCs w:val="0"/>
          <w:szCs w:val="32"/>
        </w:rPr>
      </w:pPr>
      <w:r>
        <w:rPr>
          <w:rFonts w:hint="eastAsia" w:ascii="仿宋" w:hAnsi="仿宋" w:eastAsia="仿宋" w:cs="仿宋"/>
          <w:bCs w:val="0"/>
          <w:szCs w:val="32"/>
        </w:rPr>
        <w:t>备份与恢复</w:t>
      </w:r>
    </w:p>
    <w:p>
      <w:pPr>
        <w:ind w:firstLine="560" w:firstLineChars="200"/>
        <w:rPr>
          <w:rFonts w:hint="eastAsia" w:ascii="仿宋" w:hAnsi="仿宋" w:eastAsia="仿宋" w:cs="仿宋"/>
          <w:sz w:val="28"/>
          <w:szCs w:val="28"/>
        </w:rPr>
      </w:pPr>
      <w:r>
        <w:rPr>
          <w:rFonts w:ascii="仿宋" w:hAnsi="仿宋" w:eastAsia="仿宋" w:cs="仿宋"/>
          <w:sz w:val="28"/>
          <w:szCs w:val="28"/>
        </w:rPr>
        <w:t>1、服务提供方在开展商用密码应用安全性评估及相关服务前，需告知用户信息系统可能遇到的数据安全风险，提示用户做好数据备份与恢复工作。</w:t>
      </w:r>
    </w:p>
    <w:p>
      <w:pPr>
        <w:ind w:firstLine="560" w:firstLineChars="200"/>
        <w:rPr>
          <w:rFonts w:hint="eastAsia" w:ascii="仿宋" w:hAnsi="仿宋" w:eastAsia="仿宋" w:cs="仿宋"/>
          <w:sz w:val="28"/>
          <w:szCs w:val="28"/>
        </w:rPr>
      </w:pPr>
      <w:r>
        <w:rPr>
          <w:rFonts w:ascii="仿宋" w:hAnsi="仿宋" w:eastAsia="仿宋" w:cs="仿宋"/>
          <w:sz w:val="28"/>
          <w:szCs w:val="28"/>
        </w:rPr>
        <w:t>2、服务提供方需配合用户采取应对措施以规避服务过程中可能出现的信息系统数据安全风险。</w:t>
      </w:r>
    </w:p>
    <w:bookmarkEnd w:id="14"/>
    <w:p>
      <w:pPr>
        <w:spacing w:line="560" w:lineRule="exact"/>
        <w:ind w:firstLine="560" w:firstLineChars="200"/>
        <w:rPr>
          <w:rFonts w:hint="eastAsia" w:ascii="仿宋" w:hAnsi="仿宋" w:eastAsia="仿宋" w:cs="仿宋"/>
          <w:sz w:val="28"/>
          <w:szCs w:val="28"/>
        </w:rPr>
      </w:pPr>
    </w:p>
    <w:p>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附表：网络和数据安全事件处罚措施</w:t>
      </w:r>
    </w:p>
    <w:p>
      <w:pPr>
        <w:spacing w:line="560" w:lineRule="exact"/>
        <w:ind w:firstLine="562" w:firstLineChars="200"/>
        <w:rPr>
          <w:rFonts w:hint="eastAsia" w:ascii="仿宋" w:hAnsi="仿宋" w:eastAsia="仿宋" w:cs="仿宋"/>
          <w:b/>
          <w:sz w:val="28"/>
          <w:szCs w:val="28"/>
        </w:rPr>
      </w:pPr>
    </w:p>
    <w:tbl>
      <w:tblPr>
        <w:tblStyle w:val="24"/>
        <w:tblW w:w="8796" w:type="dxa"/>
        <w:jc w:val="center"/>
        <w:tblLayout w:type="autofit"/>
        <w:tblCellMar>
          <w:top w:w="0" w:type="dxa"/>
          <w:left w:w="108" w:type="dxa"/>
          <w:bottom w:w="0" w:type="dxa"/>
          <w:right w:w="108" w:type="dxa"/>
        </w:tblCellMar>
      </w:tblPr>
      <w:tblGrid>
        <w:gridCol w:w="1080"/>
        <w:gridCol w:w="1460"/>
        <w:gridCol w:w="2429"/>
        <w:gridCol w:w="3827"/>
      </w:tblGrid>
      <w:tr>
        <w:tblPrEx>
          <w:tblCellMar>
            <w:top w:w="0" w:type="dxa"/>
            <w:left w:w="108" w:type="dxa"/>
            <w:bottom w:w="0" w:type="dxa"/>
            <w:right w:w="108" w:type="dxa"/>
          </w:tblCellMar>
        </w:tblPrEx>
        <w:trPr>
          <w:trHeight w:val="2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序号</w:t>
            </w:r>
          </w:p>
        </w:tc>
        <w:tc>
          <w:tcPr>
            <w:tcW w:w="146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类型</w:t>
            </w:r>
          </w:p>
        </w:tc>
        <w:tc>
          <w:tcPr>
            <w:tcW w:w="242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负面行为分级情况</w:t>
            </w:r>
          </w:p>
        </w:tc>
        <w:tc>
          <w:tcPr>
            <w:tcW w:w="382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追究措施</w:t>
            </w:r>
          </w:p>
        </w:tc>
      </w:tr>
      <w:tr>
        <w:tblPrEx>
          <w:tblCellMar>
            <w:top w:w="0" w:type="dxa"/>
            <w:left w:w="108" w:type="dxa"/>
            <w:bottom w:w="0" w:type="dxa"/>
            <w:right w:w="108" w:type="dxa"/>
          </w:tblCellMar>
        </w:tblPrEx>
        <w:trPr>
          <w:trHeight w:val="148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14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安全事件</w:t>
            </w: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1、发生网络安全事件或数据泄露事件，每发生一起，按不同级别进行追究。</w:t>
            </w:r>
          </w:p>
        </w:tc>
        <w:tc>
          <w:tcPr>
            <w:tcW w:w="3827" w:type="dxa"/>
            <w:tcBorders>
              <w:top w:val="nil"/>
              <w:left w:val="nil"/>
              <w:bottom w:val="single" w:color="auto" w:sz="4" w:space="0"/>
              <w:right w:val="single" w:color="auto" w:sz="4" w:space="0"/>
            </w:tcBorders>
            <w:noWrap/>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　见下</w:t>
            </w:r>
          </w:p>
        </w:tc>
      </w:tr>
      <w:tr>
        <w:tblPrEx>
          <w:tblCellMar>
            <w:top w:w="0" w:type="dxa"/>
            <w:left w:w="108" w:type="dxa"/>
            <w:bottom w:w="0" w:type="dxa"/>
            <w:right w:w="108" w:type="dxa"/>
          </w:tblCellMar>
        </w:tblPrEx>
        <w:trPr>
          <w:trHeight w:val="158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2</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（1）发生重大（Ⅱ级）及以上网络和数据安全事件的；</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3、扣除项目运维费用的3%；</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4、上报主管部门，必要时终止项目合同并追究相关刑事责任。</w:t>
            </w:r>
          </w:p>
        </w:tc>
      </w:tr>
      <w:tr>
        <w:tblPrEx>
          <w:tblCellMar>
            <w:top w:w="0" w:type="dxa"/>
            <w:left w:w="108" w:type="dxa"/>
            <w:bottom w:w="0" w:type="dxa"/>
            <w:right w:w="108" w:type="dxa"/>
          </w:tblCellMar>
        </w:tblPrEx>
        <w:trPr>
          <w:trHeight w:val="11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3</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（2）发生较大网络安全和数据事件（Ⅲ级）的；</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3、扣除项目运维费用的2%</w:t>
            </w:r>
          </w:p>
        </w:tc>
      </w:tr>
      <w:tr>
        <w:tblPrEx>
          <w:tblCellMar>
            <w:top w:w="0" w:type="dxa"/>
            <w:left w:w="108" w:type="dxa"/>
            <w:bottom w:w="0" w:type="dxa"/>
            <w:right w:w="108" w:type="dxa"/>
          </w:tblCellMar>
        </w:tblPrEx>
        <w:trPr>
          <w:trHeight w:val="119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4</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（3）发生一般网络和数据安全事件（Ⅳ级）的。</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3、扣除项目运维费用的1%</w:t>
            </w:r>
          </w:p>
        </w:tc>
      </w:tr>
      <w:tr>
        <w:tblPrEx>
          <w:tblCellMar>
            <w:top w:w="0" w:type="dxa"/>
            <w:left w:w="108" w:type="dxa"/>
            <w:bottom w:w="0" w:type="dxa"/>
            <w:right w:w="108" w:type="dxa"/>
          </w:tblCellMar>
        </w:tblPrEx>
        <w:trPr>
          <w:trHeight w:val="68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5</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2、被主管部门通报安全事件，每发生一起，按不同级别进行追究。</w:t>
            </w:r>
          </w:p>
        </w:tc>
        <w:tc>
          <w:tcPr>
            <w:tcW w:w="3827" w:type="dxa"/>
            <w:tcBorders>
              <w:top w:val="nil"/>
              <w:left w:val="nil"/>
              <w:bottom w:val="single" w:color="auto" w:sz="4" w:space="0"/>
              <w:right w:val="single" w:color="auto" w:sz="4" w:space="0"/>
            </w:tcBorders>
            <w:noWrap/>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　见下</w:t>
            </w:r>
          </w:p>
        </w:tc>
      </w:tr>
      <w:tr>
        <w:tblPrEx>
          <w:tblCellMar>
            <w:top w:w="0" w:type="dxa"/>
            <w:left w:w="108" w:type="dxa"/>
            <w:bottom w:w="0" w:type="dxa"/>
            <w:right w:w="108" w:type="dxa"/>
          </w:tblCellMar>
        </w:tblPrEx>
        <w:trPr>
          <w:trHeight w:val="150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6</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（1）被中央有关部门通报，并核实的。</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3、扣除项目运维费用的3%</w:t>
            </w:r>
          </w:p>
        </w:tc>
      </w:tr>
      <w:tr>
        <w:tblPrEx>
          <w:tblCellMar>
            <w:top w:w="0" w:type="dxa"/>
            <w:left w:w="108" w:type="dxa"/>
            <w:bottom w:w="0" w:type="dxa"/>
            <w:right w:w="108" w:type="dxa"/>
          </w:tblCellMar>
        </w:tblPrEx>
        <w:trPr>
          <w:trHeight w:val="131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7</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（2）被本市有关部门通报，并核实的。</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3、扣除项目运维费用的2%</w:t>
            </w:r>
          </w:p>
        </w:tc>
      </w:tr>
      <w:tr>
        <w:tblPrEx>
          <w:tblCellMar>
            <w:top w:w="0" w:type="dxa"/>
            <w:left w:w="108" w:type="dxa"/>
            <w:bottom w:w="0" w:type="dxa"/>
            <w:right w:w="108" w:type="dxa"/>
          </w:tblCellMar>
        </w:tblPrEx>
        <w:trPr>
          <w:trHeight w:val="11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8</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（3）被中心通报，对业务造成影响。</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3、一个服务周期内累计发生3次及以上的，扣除项目运维费用的1%</w:t>
            </w:r>
          </w:p>
        </w:tc>
      </w:tr>
      <w:tr>
        <w:tblPrEx>
          <w:tblCellMar>
            <w:top w:w="0" w:type="dxa"/>
            <w:left w:w="108" w:type="dxa"/>
            <w:bottom w:w="0" w:type="dxa"/>
            <w:right w:w="108" w:type="dxa"/>
          </w:tblCellMar>
        </w:tblPrEx>
        <w:trPr>
          <w:trHeight w:val="127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9</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（4）被重要用户投诉，影响中心形象、声誉。</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3、一个服务周期内累计发生2次及以上的，扣除项目运维费用的2%</w:t>
            </w:r>
          </w:p>
        </w:tc>
      </w:tr>
      <w:tr>
        <w:tblPrEx>
          <w:tblCellMar>
            <w:top w:w="0" w:type="dxa"/>
            <w:left w:w="108" w:type="dxa"/>
            <w:bottom w:w="0" w:type="dxa"/>
            <w:right w:w="108" w:type="dxa"/>
          </w:tblCellMar>
        </w:tblPrEx>
        <w:trPr>
          <w:trHeight w:val="8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3、在日常安全监控和检查中，发现服务厂商建设、运维的系统被非法登陆、信息泄露或篡改、病毒或黑客攻击等安全事件。</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3、扣除项目运维费用的2%</w:t>
            </w:r>
          </w:p>
        </w:tc>
      </w:tr>
      <w:tr>
        <w:tblPrEx>
          <w:tblCellMar>
            <w:top w:w="0" w:type="dxa"/>
            <w:left w:w="108" w:type="dxa"/>
            <w:bottom w:w="0" w:type="dxa"/>
            <w:right w:w="108" w:type="dxa"/>
          </w:tblCellMar>
        </w:tblPrEx>
        <w:trPr>
          <w:trHeight w:val="8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11</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4、在上级主管单位对中心进行安全检查中，发现问题的。</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3、在一次检查中发现2个及以上高危问题的，扣除项目运维费用的2%</w:t>
            </w:r>
          </w:p>
        </w:tc>
      </w:tr>
      <w:tr>
        <w:tblPrEx>
          <w:tblCellMar>
            <w:top w:w="0" w:type="dxa"/>
            <w:left w:w="108" w:type="dxa"/>
            <w:bottom w:w="0" w:type="dxa"/>
            <w:right w:w="108" w:type="dxa"/>
          </w:tblCellMar>
        </w:tblPrEx>
        <w:trPr>
          <w:trHeight w:val="8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12</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5、未经批准，擅自在各种媒体发表与中心有关的评论或言论。</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3、扣除项目运维费用的2%</w:t>
            </w:r>
          </w:p>
        </w:tc>
      </w:tr>
      <w:tr>
        <w:tblPrEx>
          <w:tblCellMar>
            <w:top w:w="0" w:type="dxa"/>
            <w:left w:w="108" w:type="dxa"/>
            <w:bottom w:w="0" w:type="dxa"/>
            <w:right w:w="108" w:type="dxa"/>
          </w:tblCellMar>
        </w:tblPrEx>
        <w:trPr>
          <w:trHeight w:val="8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13</w:t>
            </w:r>
          </w:p>
        </w:tc>
        <w:tc>
          <w:tcPr>
            <w:tcW w:w="146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故障</w:t>
            </w: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1、发生A1、A2级故障。</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3、扣除项目运维费用的3%</w:t>
            </w:r>
          </w:p>
        </w:tc>
      </w:tr>
      <w:tr>
        <w:tblPrEx>
          <w:tblCellMar>
            <w:top w:w="0" w:type="dxa"/>
            <w:left w:w="108" w:type="dxa"/>
            <w:bottom w:w="0" w:type="dxa"/>
            <w:right w:w="108" w:type="dxa"/>
          </w:tblCellMar>
        </w:tblPrEx>
        <w:trPr>
          <w:trHeight w:val="8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14</w:t>
            </w:r>
          </w:p>
        </w:tc>
        <w:tc>
          <w:tcPr>
            <w:tcW w:w="14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2、发生B1、B2级故障。</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3、一个服务周期内累计2次及以上的，扣除项目运维费用的2%</w:t>
            </w:r>
          </w:p>
        </w:tc>
      </w:tr>
      <w:tr>
        <w:tblPrEx>
          <w:tblCellMar>
            <w:top w:w="0" w:type="dxa"/>
            <w:left w:w="108" w:type="dxa"/>
            <w:bottom w:w="0" w:type="dxa"/>
            <w:right w:w="108" w:type="dxa"/>
          </w:tblCellMar>
        </w:tblPrEx>
        <w:trPr>
          <w:trHeight w:val="84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15</w:t>
            </w:r>
          </w:p>
        </w:tc>
        <w:tc>
          <w:tcPr>
            <w:tcW w:w="14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3、发生C+级故障。</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3、一个服务周期内累计3次及以上的，扣除项目运维费用的1%</w:t>
            </w:r>
          </w:p>
        </w:tc>
      </w:tr>
      <w:tr>
        <w:tblPrEx>
          <w:tblCellMar>
            <w:top w:w="0" w:type="dxa"/>
            <w:left w:w="108" w:type="dxa"/>
            <w:bottom w:w="0" w:type="dxa"/>
            <w:right w:w="108" w:type="dxa"/>
          </w:tblCellMar>
        </w:tblPrEx>
        <w:trPr>
          <w:trHeight w:val="11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16</w:t>
            </w:r>
          </w:p>
        </w:tc>
        <w:tc>
          <w:tcPr>
            <w:tcW w:w="146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漏洞</w:t>
            </w: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1、运维项目，未按要求上报产品漏洞情况，未及时更新版本</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3、每发现一次未上报或未及时更新且存在漏洞发生安全事件的，按事件等级进行项目金额扣除。</w:t>
            </w:r>
          </w:p>
        </w:tc>
      </w:tr>
      <w:tr>
        <w:tblPrEx>
          <w:tblCellMar>
            <w:top w:w="0" w:type="dxa"/>
            <w:left w:w="108" w:type="dxa"/>
            <w:bottom w:w="0" w:type="dxa"/>
            <w:right w:w="108" w:type="dxa"/>
          </w:tblCellMar>
        </w:tblPrEx>
        <w:trPr>
          <w:trHeight w:val="168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17</w:t>
            </w: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2429"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2、存在漏洞风险，未按要求及时修复漏洞或采取防护措施</w:t>
            </w:r>
          </w:p>
        </w:tc>
        <w:tc>
          <w:tcPr>
            <w:tcW w:w="382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1、限期整改；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2、约谈企业负责人；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3、一个服务周期内累计3次及以上的中高危漏洞未按期整改的，扣除项目运维费用的2%；</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4、每发现一次未按时修复且发生安全事件的，按事件等级进行项目金额扣除。</w:t>
            </w:r>
          </w:p>
        </w:tc>
      </w:tr>
    </w:tbl>
    <w:p>
      <w:pPr>
        <w:spacing w:line="560" w:lineRule="exact"/>
        <w:ind w:firstLine="560" w:firstLineChars="200"/>
        <w:rPr>
          <w:rFonts w:hint="eastAsia" w:ascii="仿宋" w:hAnsi="仿宋" w:eastAsia="仿宋" w:cs="仿宋"/>
          <w:sz w:val="28"/>
          <w:szCs w:val="28"/>
        </w:rPr>
      </w:pPr>
    </w:p>
    <w:p>
      <w:pPr>
        <w:spacing w:line="560" w:lineRule="exact"/>
        <w:ind w:firstLine="560" w:firstLineChars="200"/>
        <w:rPr>
          <w:rFonts w:hint="eastAsia" w:ascii="仿宋" w:hAnsi="仿宋" w:eastAsia="仿宋" w:cs="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reeSerif">
    <w:altName w:val="Changeling Light"/>
    <w:panose1 w:val="00000000000000000000"/>
    <w:charset w:val="00"/>
    <w:family w:val="auto"/>
    <w:pitch w:val="default"/>
    <w:sig w:usb0="00000000" w:usb1="00000000" w:usb2="00000000" w:usb3="00000000" w:csb0="00000000" w:csb1="00000000"/>
  </w:font>
  <w:font w:name="Changeling Light">
    <w:panose1 w:val="00000300000000000000"/>
    <w:charset w:val="00"/>
    <w:family w:val="auto"/>
    <w:pitch w:val="default"/>
    <w:sig w:usb0="8000002F" w:usb1="4000004A" w:usb2="00000000" w:usb3="00000000" w:csb0="00000001" w:csb1="00000000"/>
  </w:font>
  <w:font w:name="文泉驿正黑">
    <w:panose1 w:val="02000603000000000000"/>
    <w:charset w:val="86"/>
    <w:family w:val="auto"/>
    <w:pitch w:val="default"/>
    <w:sig w:usb0="900002BF" w:usb1="2BDF7DFB" w:usb2="00000036" w:usb3="00000000" w:csb0="603E000D" w:csb1="D2D70000"/>
  </w:font>
  <w:font w:name="微软雅黑">
    <w:panose1 w:val="020B0503020204020204"/>
    <w:charset w:val="86"/>
    <w:family w:val="auto"/>
    <w:pitch w:val="default"/>
    <w:sig w:usb0="80000287" w:usb1="2A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pPr>
          <w:pStyle w:val="16"/>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ADC2"/>
    <w:multiLevelType w:val="singleLevel"/>
    <w:tmpl w:val="BFF7ADC2"/>
    <w:lvl w:ilvl="0" w:tentative="0">
      <w:start w:val="1"/>
      <w:numFmt w:val="decimal"/>
      <w:lvlText w:val="%1."/>
      <w:lvlJc w:val="left"/>
      <w:pPr>
        <w:tabs>
          <w:tab w:val="left" w:pos="312"/>
        </w:tabs>
      </w:pPr>
    </w:lvl>
  </w:abstractNum>
  <w:abstractNum w:abstractNumId="1">
    <w:nsid w:val="4B414E94"/>
    <w:multiLevelType w:val="multilevel"/>
    <w:tmpl w:val="4B414E94"/>
    <w:lvl w:ilvl="0" w:tentative="0">
      <w:start w:val="1"/>
      <w:numFmt w:val="chineseCountingThousand"/>
      <w:pStyle w:val="2"/>
      <w:suff w:val="nothing"/>
      <w:lvlText w:val="%1、"/>
      <w:lvlJc w:val="left"/>
      <w:pPr>
        <w:ind w:left="4536"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default" w:ascii="Times New Roman" w:hAnsi="Times New Roman" w:eastAsia="宋体"/>
        <w:b/>
        <w:i w:val="0"/>
        <w:sz w:val="21"/>
      </w:rPr>
    </w:lvl>
  </w:abstractNum>
  <w:abstractNum w:abstractNumId="2">
    <w:nsid w:val="7EFFF9AE"/>
    <w:multiLevelType w:val="singleLevel"/>
    <w:tmpl w:val="7EFFF9A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iMjg1YTA3NDNhNDA0YWY2NGM1NTZkY2E5YmY0N2MifQ=="/>
  </w:docVars>
  <w:rsids>
    <w:rsidRoot w:val="00A65D43"/>
    <w:rsid w:val="000001F6"/>
    <w:rsid w:val="0000190C"/>
    <w:rsid w:val="00001BEB"/>
    <w:rsid w:val="00003534"/>
    <w:rsid w:val="00010B05"/>
    <w:rsid w:val="0002058A"/>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92749"/>
    <w:rsid w:val="00093E3D"/>
    <w:rsid w:val="000945B3"/>
    <w:rsid w:val="00094EBE"/>
    <w:rsid w:val="000977A7"/>
    <w:rsid w:val="000A0130"/>
    <w:rsid w:val="000A0DA6"/>
    <w:rsid w:val="000A1FA8"/>
    <w:rsid w:val="000A267E"/>
    <w:rsid w:val="000B17AA"/>
    <w:rsid w:val="000B36E1"/>
    <w:rsid w:val="000B3767"/>
    <w:rsid w:val="000B43E3"/>
    <w:rsid w:val="000B513D"/>
    <w:rsid w:val="000C0E2D"/>
    <w:rsid w:val="000C11CE"/>
    <w:rsid w:val="000C229F"/>
    <w:rsid w:val="000C39D4"/>
    <w:rsid w:val="000C40E3"/>
    <w:rsid w:val="000C6061"/>
    <w:rsid w:val="000C745E"/>
    <w:rsid w:val="000D3F43"/>
    <w:rsid w:val="000E0768"/>
    <w:rsid w:val="000E0C83"/>
    <w:rsid w:val="000E2143"/>
    <w:rsid w:val="000E619B"/>
    <w:rsid w:val="000E63B0"/>
    <w:rsid w:val="000F007B"/>
    <w:rsid w:val="000F1D58"/>
    <w:rsid w:val="000F31FD"/>
    <w:rsid w:val="000F57AB"/>
    <w:rsid w:val="00101576"/>
    <w:rsid w:val="0010311A"/>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60956"/>
    <w:rsid w:val="00161EA9"/>
    <w:rsid w:val="00163401"/>
    <w:rsid w:val="0016607D"/>
    <w:rsid w:val="001660F1"/>
    <w:rsid w:val="00166D53"/>
    <w:rsid w:val="001672AA"/>
    <w:rsid w:val="0017051B"/>
    <w:rsid w:val="00171011"/>
    <w:rsid w:val="00172318"/>
    <w:rsid w:val="00172A39"/>
    <w:rsid w:val="001746C1"/>
    <w:rsid w:val="00175D08"/>
    <w:rsid w:val="001828C7"/>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D33"/>
    <w:rsid w:val="001D3CEF"/>
    <w:rsid w:val="001F0DF5"/>
    <w:rsid w:val="001F50E7"/>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61E0"/>
    <w:rsid w:val="00282819"/>
    <w:rsid w:val="002833A5"/>
    <w:rsid w:val="00287B81"/>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7659"/>
    <w:rsid w:val="00300628"/>
    <w:rsid w:val="00300B40"/>
    <w:rsid w:val="00302277"/>
    <w:rsid w:val="003027C1"/>
    <w:rsid w:val="00315DF0"/>
    <w:rsid w:val="0031725F"/>
    <w:rsid w:val="0031738C"/>
    <w:rsid w:val="00321EF2"/>
    <w:rsid w:val="00322118"/>
    <w:rsid w:val="003221B6"/>
    <w:rsid w:val="00326CDD"/>
    <w:rsid w:val="0033507D"/>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C161F"/>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4FD9"/>
    <w:rsid w:val="004167D8"/>
    <w:rsid w:val="00416AC4"/>
    <w:rsid w:val="004218F4"/>
    <w:rsid w:val="00433C77"/>
    <w:rsid w:val="004347FE"/>
    <w:rsid w:val="00434C27"/>
    <w:rsid w:val="004360FA"/>
    <w:rsid w:val="004373E9"/>
    <w:rsid w:val="0043790C"/>
    <w:rsid w:val="00440EC4"/>
    <w:rsid w:val="00441905"/>
    <w:rsid w:val="00442891"/>
    <w:rsid w:val="00445E44"/>
    <w:rsid w:val="00450AD6"/>
    <w:rsid w:val="00455D2B"/>
    <w:rsid w:val="00460C2E"/>
    <w:rsid w:val="00461275"/>
    <w:rsid w:val="00462413"/>
    <w:rsid w:val="00462784"/>
    <w:rsid w:val="00462DA0"/>
    <w:rsid w:val="00464593"/>
    <w:rsid w:val="00466562"/>
    <w:rsid w:val="00467227"/>
    <w:rsid w:val="0046728E"/>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5FD"/>
    <w:rsid w:val="004B3662"/>
    <w:rsid w:val="004B493B"/>
    <w:rsid w:val="004B50C3"/>
    <w:rsid w:val="004B7DAC"/>
    <w:rsid w:val="004C15CC"/>
    <w:rsid w:val="004C45D9"/>
    <w:rsid w:val="004C5671"/>
    <w:rsid w:val="004C6629"/>
    <w:rsid w:val="004C7655"/>
    <w:rsid w:val="004D0A39"/>
    <w:rsid w:val="004D0D52"/>
    <w:rsid w:val="004D2172"/>
    <w:rsid w:val="004D3536"/>
    <w:rsid w:val="004D4CF1"/>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34B6"/>
    <w:rsid w:val="00524EE2"/>
    <w:rsid w:val="00527A1F"/>
    <w:rsid w:val="00530ADB"/>
    <w:rsid w:val="00537389"/>
    <w:rsid w:val="00540B5F"/>
    <w:rsid w:val="005441AF"/>
    <w:rsid w:val="00544CB4"/>
    <w:rsid w:val="00551059"/>
    <w:rsid w:val="005524F5"/>
    <w:rsid w:val="0055263B"/>
    <w:rsid w:val="00557899"/>
    <w:rsid w:val="005677F2"/>
    <w:rsid w:val="005703FC"/>
    <w:rsid w:val="005714C6"/>
    <w:rsid w:val="005740FD"/>
    <w:rsid w:val="00581D9F"/>
    <w:rsid w:val="00582CB9"/>
    <w:rsid w:val="005835B1"/>
    <w:rsid w:val="00584094"/>
    <w:rsid w:val="005846CD"/>
    <w:rsid w:val="0059045D"/>
    <w:rsid w:val="00594679"/>
    <w:rsid w:val="005973D9"/>
    <w:rsid w:val="005A1FF7"/>
    <w:rsid w:val="005A43F1"/>
    <w:rsid w:val="005A54B0"/>
    <w:rsid w:val="005A5EDC"/>
    <w:rsid w:val="005B0CCF"/>
    <w:rsid w:val="005B1543"/>
    <w:rsid w:val="005B22A3"/>
    <w:rsid w:val="005B26E9"/>
    <w:rsid w:val="005B2D3E"/>
    <w:rsid w:val="005B6881"/>
    <w:rsid w:val="005B6DD7"/>
    <w:rsid w:val="005C0222"/>
    <w:rsid w:val="005D42F7"/>
    <w:rsid w:val="005D6DF6"/>
    <w:rsid w:val="005E2AB9"/>
    <w:rsid w:val="005E735A"/>
    <w:rsid w:val="005F2F13"/>
    <w:rsid w:val="005F546D"/>
    <w:rsid w:val="005F76CC"/>
    <w:rsid w:val="006026FE"/>
    <w:rsid w:val="006053F9"/>
    <w:rsid w:val="00610873"/>
    <w:rsid w:val="006113D2"/>
    <w:rsid w:val="006119F0"/>
    <w:rsid w:val="00611E45"/>
    <w:rsid w:val="006122D6"/>
    <w:rsid w:val="00613433"/>
    <w:rsid w:val="00614F12"/>
    <w:rsid w:val="00616540"/>
    <w:rsid w:val="00630599"/>
    <w:rsid w:val="006315F0"/>
    <w:rsid w:val="00637922"/>
    <w:rsid w:val="00644879"/>
    <w:rsid w:val="00646FC0"/>
    <w:rsid w:val="00655366"/>
    <w:rsid w:val="006554FA"/>
    <w:rsid w:val="00660575"/>
    <w:rsid w:val="00662ACC"/>
    <w:rsid w:val="0066422E"/>
    <w:rsid w:val="00665245"/>
    <w:rsid w:val="00667272"/>
    <w:rsid w:val="006679D9"/>
    <w:rsid w:val="00673B08"/>
    <w:rsid w:val="00681AA8"/>
    <w:rsid w:val="00685790"/>
    <w:rsid w:val="0069087D"/>
    <w:rsid w:val="00690C00"/>
    <w:rsid w:val="006930A9"/>
    <w:rsid w:val="00695AAA"/>
    <w:rsid w:val="0069674E"/>
    <w:rsid w:val="00697BD6"/>
    <w:rsid w:val="006A298F"/>
    <w:rsid w:val="006A54CA"/>
    <w:rsid w:val="006A7076"/>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5592"/>
    <w:rsid w:val="007655E8"/>
    <w:rsid w:val="007707E5"/>
    <w:rsid w:val="0077350D"/>
    <w:rsid w:val="00774CF1"/>
    <w:rsid w:val="00781C63"/>
    <w:rsid w:val="00781FC3"/>
    <w:rsid w:val="0078744D"/>
    <w:rsid w:val="007906E3"/>
    <w:rsid w:val="00791991"/>
    <w:rsid w:val="00795BB2"/>
    <w:rsid w:val="007B1FCE"/>
    <w:rsid w:val="007B35BA"/>
    <w:rsid w:val="007C63E1"/>
    <w:rsid w:val="007C7E29"/>
    <w:rsid w:val="007D352C"/>
    <w:rsid w:val="007D5DC5"/>
    <w:rsid w:val="007E62E2"/>
    <w:rsid w:val="007E7326"/>
    <w:rsid w:val="007F2F89"/>
    <w:rsid w:val="007F4004"/>
    <w:rsid w:val="007F41A9"/>
    <w:rsid w:val="007F663D"/>
    <w:rsid w:val="007F6F17"/>
    <w:rsid w:val="00803EDB"/>
    <w:rsid w:val="00804993"/>
    <w:rsid w:val="00805D30"/>
    <w:rsid w:val="0081779E"/>
    <w:rsid w:val="0082757A"/>
    <w:rsid w:val="00831F51"/>
    <w:rsid w:val="00832F81"/>
    <w:rsid w:val="00834AED"/>
    <w:rsid w:val="00836F09"/>
    <w:rsid w:val="008416DB"/>
    <w:rsid w:val="0084319B"/>
    <w:rsid w:val="00843D5A"/>
    <w:rsid w:val="0085046F"/>
    <w:rsid w:val="0085361C"/>
    <w:rsid w:val="00864D04"/>
    <w:rsid w:val="00865925"/>
    <w:rsid w:val="0086794E"/>
    <w:rsid w:val="00870CED"/>
    <w:rsid w:val="008710FA"/>
    <w:rsid w:val="00871C3B"/>
    <w:rsid w:val="0087497F"/>
    <w:rsid w:val="00881BB2"/>
    <w:rsid w:val="008828CB"/>
    <w:rsid w:val="0088470D"/>
    <w:rsid w:val="0089044D"/>
    <w:rsid w:val="0089135B"/>
    <w:rsid w:val="008A2E57"/>
    <w:rsid w:val="008A7DEE"/>
    <w:rsid w:val="008B0544"/>
    <w:rsid w:val="008B17D9"/>
    <w:rsid w:val="008B3309"/>
    <w:rsid w:val="008B3475"/>
    <w:rsid w:val="008B5CC0"/>
    <w:rsid w:val="008C0A77"/>
    <w:rsid w:val="008C4254"/>
    <w:rsid w:val="008C4521"/>
    <w:rsid w:val="008C5A95"/>
    <w:rsid w:val="008E08A9"/>
    <w:rsid w:val="008E51D6"/>
    <w:rsid w:val="008E6A7A"/>
    <w:rsid w:val="008F01BC"/>
    <w:rsid w:val="008F1228"/>
    <w:rsid w:val="008F32A5"/>
    <w:rsid w:val="008F4A83"/>
    <w:rsid w:val="009000B6"/>
    <w:rsid w:val="0090149E"/>
    <w:rsid w:val="00901765"/>
    <w:rsid w:val="009025B2"/>
    <w:rsid w:val="00906CC4"/>
    <w:rsid w:val="009110E2"/>
    <w:rsid w:val="00913AC8"/>
    <w:rsid w:val="00915569"/>
    <w:rsid w:val="009242EC"/>
    <w:rsid w:val="00924CEF"/>
    <w:rsid w:val="009307EC"/>
    <w:rsid w:val="00933201"/>
    <w:rsid w:val="00934A0D"/>
    <w:rsid w:val="00935C42"/>
    <w:rsid w:val="00944385"/>
    <w:rsid w:val="00944D0C"/>
    <w:rsid w:val="00950749"/>
    <w:rsid w:val="00955BB2"/>
    <w:rsid w:val="009659B1"/>
    <w:rsid w:val="00972B75"/>
    <w:rsid w:val="00980447"/>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B00"/>
    <w:rsid w:val="009D7951"/>
    <w:rsid w:val="009D7961"/>
    <w:rsid w:val="009E2B63"/>
    <w:rsid w:val="009E5077"/>
    <w:rsid w:val="009E54B5"/>
    <w:rsid w:val="009E676E"/>
    <w:rsid w:val="009F3060"/>
    <w:rsid w:val="009F7B44"/>
    <w:rsid w:val="009F7DE0"/>
    <w:rsid w:val="00A00603"/>
    <w:rsid w:val="00A013D2"/>
    <w:rsid w:val="00A1240F"/>
    <w:rsid w:val="00A14083"/>
    <w:rsid w:val="00A142AD"/>
    <w:rsid w:val="00A15B60"/>
    <w:rsid w:val="00A255A6"/>
    <w:rsid w:val="00A30027"/>
    <w:rsid w:val="00A3391A"/>
    <w:rsid w:val="00A3474A"/>
    <w:rsid w:val="00A36137"/>
    <w:rsid w:val="00A43B72"/>
    <w:rsid w:val="00A44AF6"/>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1D22"/>
    <w:rsid w:val="00A86CDC"/>
    <w:rsid w:val="00A90785"/>
    <w:rsid w:val="00A91A81"/>
    <w:rsid w:val="00A920BF"/>
    <w:rsid w:val="00A93822"/>
    <w:rsid w:val="00AA0E0A"/>
    <w:rsid w:val="00AA1648"/>
    <w:rsid w:val="00AA1CA8"/>
    <w:rsid w:val="00AA2E74"/>
    <w:rsid w:val="00AA447D"/>
    <w:rsid w:val="00AA6345"/>
    <w:rsid w:val="00AB2369"/>
    <w:rsid w:val="00AB35D7"/>
    <w:rsid w:val="00AB5544"/>
    <w:rsid w:val="00AC06EF"/>
    <w:rsid w:val="00AC32FA"/>
    <w:rsid w:val="00AC3B69"/>
    <w:rsid w:val="00AC671C"/>
    <w:rsid w:val="00AD36B2"/>
    <w:rsid w:val="00AE200A"/>
    <w:rsid w:val="00AF18B9"/>
    <w:rsid w:val="00AF2BBA"/>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25B1"/>
    <w:rsid w:val="00B44A5F"/>
    <w:rsid w:val="00B525FA"/>
    <w:rsid w:val="00B54582"/>
    <w:rsid w:val="00B553CC"/>
    <w:rsid w:val="00B56CAB"/>
    <w:rsid w:val="00B6035A"/>
    <w:rsid w:val="00B6157C"/>
    <w:rsid w:val="00B65B3D"/>
    <w:rsid w:val="00B77714"/>
    <w:rsid w:val="00B842EF"/>
    <w:rsid w:val="00B9334E"/>
    <w:rsid w:val="00B95536"/>
    <w:rsid w:val="00B95A2E"/>
    <w:rsid w:val="00BB09EE"/>
    <w:rsid w:val="00BB1E2F"/>
    <w:rsid w:val="00BB7FDA"/>
    <w:rsid w:val="00BC190E"/>
    <w:rsid w:val="00BC5363"/>
    <w:rsid w:val="00BD2590"/>
    <w:rsid w:val="00BD74A2"/>
    <w:rsid w:val="00BD77B8"/>
    <w:rsid w:val="00BE2DAC"/>
    <w:rsid w:val="00BE32F3"/>
    <w:rsid w:val="00BE42E4"/>
    <w:rsid w:val="00BE458C"/>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4588"/>
    <w:rsid w:val="00C5489F"/>
    <w:rsid w:val="00C56A55"/>
    <w:rsid w:val="00C60DBC"/>
    <w:rsid w:val="00C62983"/>
    <w:rsid w:val="00C650AF"/>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D2E9F"/>
    <w:rsid w:val="00CD310E"/>
    <w:rsid w:val="00CD41FE"/>
    <w:rsid w:val="00CD7C3F"/>
    <w:rsid w:val="00CE1825"/>
    <w:rsid w:val="00CE3282"/>
    <w:rsid w:val="00CE3F8F"/>
    <w:rsid w:val="00CF0FCF"/>
    <w:rsid w:val="00CF1A74"/>
    <w:rsid w:val="00CF5E7B"/>
    <w:rsid w:val="00D003D9"/>
    <w:rsid w:val="00D031E4"/>
    <w:rsid w:val="00D03CF8"/>
    <w:rsid w:val="00D053F2"/>
    <w:rsid w:val="00D074CA"/>
    <w:rsid w:val="00D110D8"/>
    <w:rsid w:val="00D22B20"/>
    <w:rsid w:val="00D24559"/>
    <w:rsid w:val="00D35570"/>
    <w:rsid w:val="00D41C60"/>
    <w:rsid w:val="00D41E0D"/>
    <w:rsid w:val="00D44901"/>
    <w:rsid w:val="00D454CF"/>
    <w:rsid w:val="00D5502A"/>
    <w:rsid w:val="00D55D5F"/>
    <w:rsid w:val="00D60716"/>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5563"/>
    <w:rsid w:val="00DA0E9D"/>
    <w:rsid w:val="00DA5608"/>
    <w:rsid w:val="00DB350D"/>
    <w:rsid w:val="00DB67FF"/>
    <w:rsid w:val="00DC2D44"/>
    <w:rsid w:val="00DC7A1E"/>
    <w:rsid w:val="00DC7F53"/>
    <w:rsid w:val="00DD584D"/>
    <w:rsid w:val="00DD676C"/>
    <w:rsid w:val="00DD7137"/>
    <w:rsid w:val="00DD77F8"/>
    <w:rsid w:val="00DE3003"/>
    <w:rsid w:val="00DF00A0"/>
    <w:rsid w:val="00DF3899"/>
    <w:rsid w:val="00DF532F"/>
    <w:rsid w:val="00DF6717"/>
    <w:rsid w:val="00DF6B5F"/>
    <w:rsid w:val="00DF7885"/>
    <w:rsid w:val="00E0002D"/>
    <w:rsid w:val="00E011C9"/>
    <w:rsid w:val="00E02DAD"/>
    <w:rsid w:val="00E03E68"/>
    <w:rsid w:val="00E05823"/>
    <w:rsid w:val="00E11E94"/>
    <w:rsid w:val="00E168BD"/>
    <w:rsid w:val="00E16FE2"/>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FE0"/>
    <w:rsid w:val="00E75FF2"/>
    <w:rsid w:val="00E8032D"/>
    <w:rsid w:val="00E82768"/>
    <w:rsid w:val="00E82DB1"/>
    <w:rsid w:val="00E85851"/>
    <w:rsid w:val="00E92152"/>
    <w:rsid w:val="00E92A5A"/>
    <w:rsid w:val="00E95A78"/>
    <w:rsid w:val="00E96E46"/>
    <w:rsid w:val="00EA1EDC"/>
    <w:rsid w:val="00EA251E"/>
    <w:rsid w:val="00EA521C"/>
    <w:rsid w:val="00EA5BDF"/>
    <w:rsid w:val="00EA7639"/>
    <w:rsid w:val="00EC03D4"/>
    <w:rsid w:val="00EC0C8B"/>
    <w:rsid w:val="00EC2E5E"/>
    <w:rsid w:val="00EC7E35"/>
    <w:rsid w:val="00ED5518"/>
    <w:rsid w:val="00EE06C1"/>
    <w:rsid w:val="00EE0CE9"/>
    <w:rsid w:val="00EE4F10"/>
    <w:rsid w:val="00EE5FB5"/>
    <w:rsid w:val="00EF2458"/>
    <w:rsid w:val="00EF3DDF"/>
    <w:rsid w:val="00EF540F"/>
    <w:rsid w:val="00F04147"/>
    <w:rsid w:val="00F04B9F"/>
    <w:rsid w:val="00F0690F"/>
    <w:rsid w:val="00F06BB0"/>
    <w:rsid w:val="00F06DC8"/>
    <w:rsid w:val="00F0758D"/>
    <w:rsid w:val="00F10071"/>
    <w:rsid w:val="00F139EA"/>
    <w:rsid w:val="00F14449"/>
    <w:rsid w:val="00F14AF4"/>
    <w:rsid w:val="00F1559C"/>
    <w:rsid w:val="00F17F1F"/>
    <w:rsid w:val="00F279D9"/>
    <w:rsid w:val="00F3006E"/>
    <w:rsid w:val="00F339C4"/>
    <w:rsid w:val="00F344A6"/>
    <w:rsid w:val="00F37F7A"/>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3218"/>
    <w:rsid w:val="00FD3A5C"/>
    <w:rsid w:val="00FD57D3"/>
    <w:rsid w:val="00FD71D5"/>
    <w:rsid w:val="00FE30AE"/>
    <w:rsid w:val="00FE62D1"/>
    <w:rsid w:val="00FE6F61"/>
    <w:rsid w:val="00FF0077"/>
    <w:rsid w:val="00FF27A9"/>
    <w:rsid w:val="00FF30D7"/>
    <w:rsid w:val="00FF78D3"/>
    <w:rsid w:val="01135DB0"/>
    <w:rsid w:val="014337F8"/>
    <w:rsid w:val="01487061"/>
    <w:rsid w:val="01DE1773"/>
    <w:rsid w:val="01F62F61"/>
    <w:rsid w:val="021533E7"/>
    <w:rsid w:val="02555ED9"/>
    <w:rsid w:val="034A3564"/>
    <w:rsid w:val="038F71C9"/>
    <w:rsid w:val="04714B20"/>
    <w:rsid w:val="04F574FF"/>
    <w:rsid w:val="05BE5B43"/>
    <w:rsid w:val="05BE78F1"/>
    <w:rsid w:val="05C649F8"/>
    <w:rsid w:val="061D6D0E"/>
    <w:rsid w:val="068E3768"/>
    <w:rsid w:val="06905732"/>
    <w:rsid w:val="06B156A8"/>
    <w:rsid w:val="06CC4290"/>
    <w:rsid w:val="06F7130D"/>
    <w:rsid w:val="06FF4665"/>
    <w:rsid w:val="072A7934"/>
    <w:rsid w:val="073D31FE"/>
    <w:rsid w:val="0768045D"/>
    <w:rsid w:val="08436857"/>
    <w:rsid w:val="089B6610"/>
    <w:rsid w:val="0918708D"/>
    <w:rsid w:val="09353550"/>
    <w:rsid w:val="096B4234"/>
    <w:rsid w:val="098C1192"/>
    <w:rsid w:val="0995305F"/>
    <w:rsid w:val="09992B4F"/>
    <w:rsid w:val="09AF5ECF"/>
    <w:rsid w:val="09C53944"/>
    <w:rsid w:val="09EA5159"/>
    <w:rsid w:val="09FB55B8"/>
    <w:rsid w:val="0A522CFE"/>
    <w:rsid w:val="0AA479FE"/>
    <w:rsid w:val="0ABB08A3"/>
    <w:rsid w:val="0AF0679F"/>
    <w:rsid w:val="0B0E131B"/>
    <w:rsid w:val="0B202610"/>
    <w:rsid w:val="0B4745B6"/>
    <w:rsid w:val="0B882E7B"/>
    <w:rsid w:val="0B901D30"/>
    <w:rsid w:val="0B9B00CE"/>
    <w:rsid w:val="0BA61553"/>
    <w:rsid w:val="0BB7550F"/>
    <w:rsid w:val="0BC11EE9"/>
    <w:rsid w:val="0C002482"/>
    <w:rsid w:val="0C2506CA"/>
    <w:rsid w:val="0C2F779B"/>
    <w:rsid w:val="0CD65E68"/>
    <w:rsid w:val="0D2766C4"/>
    <w:rsid w:val="0D3F57BC"/>
    <w:rsid w:val="0D841421"/>
    <w:rsid w:val="0D894C89"/>
    <w:rsid w:val="0DD34156"/>
    <w:rsid w:val="0E252C04"/>
    <w:rsid w:val="0E3A5F83"/>
    <w:rsid w:val="0E6357DB"/>
    <w:rsid w:val="0E707BF7"/>
    <w:rsid w:val="0E8F4521"/>
    <w:rsid w:val="0EEF3211"/>
    <w:rsid w:val="0F000F7B"/>
    <w:rsid w:val="0F024CF3"/>
    <w:rsid w:val="0F1F58A5"/>
    <w:rsid w:val="0F2C6214"/>
    <w:rsid w:val="0F3B6457"/>
    <w:rsid w:val="0F4E1CE6"/>
    <w:rsid w:val="0F8F693E"/>
    <w:rsid w:val="0F9D0EBF"/>
    <w:rsid w:val="0FAD1102"/>
    <w:rsid w:val="10417A9D"/>
    <w:rsid w:val="1065378B"/>
    <w:rsid w:val="10686DD7"/>
    <w:rsid w:val="10B85FB1"/>
    <w:rsid w:val="10B95885"/>
    <w:rsid w:val="10D34B99"/>
    <w:rsid w:val="10E723F2"/>
    <w:rsid w:val="10E83632"/>
    <w:rsid w:val="110B0DEC"/>
    <w:rsid w:val="115F642C"/>
    <w:rsid w:val="11856B2E"/>
    <w:rsid w:val="11904838"/>
    <w:rsid w:val="1211524D"/>
    <w:rsid w:val="123D6042"/>
    <w:rsid w:val="125C296C"/>
    <w:rsid w:val="12647080"/>
    <w:rsid w:val="129E1A97"/>
    <w:rsid w:val="12F62DC0"/>
    <w:rsid w:val="132757B9"/>
    <w:rsid w:val="134D0507"/>
    <w:rsid w:val="137D0DEC"/>
    <w:rsid w:val="13833F28"/>
    <w:rsid w:val="13FA68E0"/>
    <w:rsid w:val="141D25CF"/>
    <w:rsid w:val="1432607A"/>
    <w:rsid w:val="1433594E"/>
    <w:rsid w:val="143F579C"/>
    <w:rsid w:val="14726477"/>
    <w:rsid w:val="1496187C"/>
    <w:rsid w:val="14AE3227"/>
    <w:rsid w:val="14E60C13"/>
    <w:rsid w:val="14F51D72"/>
    <w:rsid w:val="14FB06DE"/>
    <w:rsid w:val="150F1F18"/>
    <w:rsid w:val="15194B44"/>
    <w:rsid w:val="15251CD9"/>
    <w:rsid w:val="154F4A0A"/>
    <w:rsid w:val="15501A8D"/>
    <w:rsid w:val="160457F4"/>
    <w:rsid w:val="161A6DC6"/>
    <w:rsid w:val="162C08A7"/>
    <w:rsid w:val="16A6744E"/>
    <w:rsid w:val="16A82624"/>
    <w:rsid w:val="16A86180"/>
    <w:rsid w:val="17307D7A"/>
    <w:rsid w:val="17B46DA6"/>
    <w:rsid w:val="17EB450E"/>
    <w:rsid w:val="182061EA"/>
    <w:rsid w:val="188E5849"/>
    <w:rsid w:val="189A2440"/>
    <w:rsid w:val="18A84204"/>
    <w:rsid w:val="18A84B5D"/>
    <w:rsid w:val="18E337E9"/>
    <w:rsid w:val="19232435"/>
    <w:rsid w:val="19831126"/>
    <w:rsid w:val="19CE05F3"/>
    <w:rsid w:val="19DE2475"/>
    <w:rsid w:val="19E27BFB"/>
    <w:rsid w:val="19EC6CCB"/>
    <w:rsid w:val="1A0E6C42"/>
    <w:rsid w:val="1A3A17E5"/>
    <w:rsid w:val="1A6E5932"/>
    <w:rsid w:val="1A98475D"/>
    <w:rsid w:val="1ABF1CEA"/>
    <w:rsid w:val="1AC92B69"/>
    <w:rsid w:val="1ADD03C2"/>
    <w:rsid w:val="1AF57E02"/>
    <w:rsid w:val="1B1C713C"/>
    <w:rsid w:val="1B3E0655"/>
    <w:rsid w:val="1BA9C687"/>
    <w:rsid w:val="1BD417C5"/>
    <w:rsid w:val="1C6733CC"/>
    <w:rsid w:val="1CAE731A"/>
    <w:rsid w:val="1CB810E7"/>
    <w:rsid w:val="1D11016F"/>
    <w:rsid w:val="1D175E0D"/>
    <w:rsid w:val="1D48246B"/>
    <w:rsid w:val="1D94745E"/>
    <w:rsid w:val="1DB01DBE"/>
    <w:rsid w:val="1DB25B36"/>
    <w:rsid w:val="1DBE097F"/>
    <w:rsid w:val="1DDB508D"/>
    <w:rsid w:val="1DED4DC0"/>
    <w:rsid w:val="1E0E7B61"/>
    <w:rsid w:val="1E391DB3"/>
    <w:rsid w:val="1E4946EC"/>
    <w:rsid w:val="1E64603C"/>
    <w:rsid w:val="1E6A01BF"/>
    <w:rsid w:val="1E990AA4"/>
    <w:rsid w:val="1EA2204E"/>
    <w:rsid w:val="1EE7180F"/>
    <w:rsid w:val="1EE91837"/>
    <w:rsid w:val="1F332CA6"/>
    <w:rsid w:val="1F4849A4"/>
    <w:rsid w:val="1F576995"/>
    <w:rsid w:val="1F8229C3"/>
    <w:rsid w:val="1FA3607E"/>
    <w:rsid w:val="1FB61837"/>
    <w:rsid w:val="1FE46401"/>
    <w:rsid w:val="1FF22B62"/>
    <w:rsid w:val="1FF70178"/>
    <w:rsid w:val="200D34F7"/>
    <w:rsid w:val="20407429"/>
    <w:rsid w:val="204C2272"/>
    <w:rsid w:val="205B24B5"/>
    <w:rsid w:val="20B55F37"/>
    <w:rsid w:val="20BD316F"/>
    <w:rsid w:val="21154D5A"/>
    <w:rsid w:val="212B00D9"/>
    <w:rsid w:val="21BE719F"/>
    <w:rsid w:val="2221328A"/>
    <w:rsid w:val="22B91715"/>
    <w:rsid w:val="22CC58EC"/>
    <w:rsid w:val="233174FD"/>
    <w:rsid w:val="234A5FD0"/>
    <w:rsid w:val="23775858"/>
    <w:rsid w:val="23E32EED"/>
    <w:rsid w:val="24210E46"/>
    <w:rsid w:val="247D50F0"/>
    <w:rsid w:val="24912949"/>
    <w:rsid w:val="24A106B2"/>
    <w:rsid w:val="24CA32FF"/>
    <w:rsid w:val="25113A8A"/>
    <w:rsid w:val="25276E09"/>
    <w:rsid w:val="252C08C4"/>
    <w:rsid w:val="257C53A7"/>
    <w:rsid w:val="25BF5294"/>
    <w:rsid w:val="25C26B32"/>
    <w:rsid w:val="25DA1459"/>
    <w:rsid w:val="25DD571A"/>
    <w:rsid w:val="25E20F82"/>
    <w:rsid w:val="25E371D4"/>
    <w:rsid w:val="26121868"/>
    <w:rsid w:val="263E08AF"/>
    <w:rsid w:val="269E759F"/>
    <w:rsid w:val="26B20955"/>
    <w:rsid w:val="26E56F7C"/>
    <w:rsid w:val="27027B2E"/>
    <w:rsid w:val="275D4D64"/>
    <w:rsid w:val="27604855"/>
    <w:rsid w:val="27B0513B"/>
    <w:rsid w:val="27CC3C98"/>
    <w:rsid w:val="28060F58"/>
    <w:rsid w:val="28397580"/>
    <w:rsid w:val="287265EE"/>
    <w:rsid w:val="28836A4D"/>
    <w:rsid w:val="28924EE2"/>
    <w:rsid w:val="289C18BC"/>
    <w:rsid w:val="289E0A26"/>
    <w:rsid w:val="28FE60D3"/>
    <w:rsid w:val="29114058"/>
    <w:rsid w:val="291D0C4F"/>
    <w:rsid w:val="29543F45"/>
    <w:rsid w:val="299B7DC6"/>
    <w:rsid w:val="29C63095"/>
    <w:rsid w:val="29E51041"/>
    <w:rsid w:val="2A2B114A"/>
    <w:rsid w:val="2A2E4796"/>
    <w:rsid w:val="2A3B1C50"/>
    <w:rsid w:val="2A725DE9"/>
    <w:rsid w:val="2A807095"/>
    <w:rsid w:val="2A9F5694"/>
    <w:rsid w:val="2ACE1AD5"/>
    <w:rsid w:val="2B02634F"/>
    <w:rsid w:val="2B25203D"/>
    <w:rsid w:val="2B563FA5"/>
    <w:rsid w:val="2BC03B14"/>
    <w:rsid w:val="2BEC66B7"/>
    <w:rsid w:val="2C275941"/>
    <w:rsid w:val="2C475FE3"/>
    <w:rsid w:val="2C5D5807"/>
    <w:rsid w:val="2C666469"/>
    <w:rsid w:val="2D1F486A"/>
    <w:rsid w:val="2D391DD0"/>
    <w:rsid w:val="2D614E83"/>
    <w:rsid w:val="2DD438A6"/>
    <w:rsid w:val="2E162111"/>
    <w:rsid w:val="2E7F1A64"/>
    <w:rsid w:val="2E913546"/>
    <w:rsid w:val="2EA66FF1"/>
    <w:rsid w:val="2EB21E3A"/>
    <w:rsid w:val="2EC1207D"/>
    <w:rsid w:val="2ED26038"/>
    <w:rsid w:val="2EDC0C65"/>
    <w:rsid w:val="2EFF4953"/>
    <w:rsid w:val="2F01691D"/>
    <w:rsid w:val="2F170DD1"/>
    <w:rsid w:val="2F544C9F"/>
    <w:rsid w:val="2F7009B2"/>
    <w:rsid w:val="2F9F5F33"/>
    <w:rsid w:val="2FA554FB"/>
    <w:rsid w:val="2FA63021"/>
    <w:rsid w:val="2FE7D7FE"/>
    <w:rsid w:val="3058256D"/>
    <w:rsid w:val="307355F9"/>
    <w:rsid w:val="31295CB7"/>
    <w:rsid w:val="31456F95"/>
    <w:rsid w:val="31B9703B"/>
    <w:rsid w:val="31D668B9"/>
    <w:rsid w:val="31E63BA8"/>
    <w:rsid w:val="31F1352C"/>
    <w:rsid w:val="31F6203D"/>
    <w:rsid w:val="321366D4"/>
    <w:rsid w:val="32432DA9"/>
    <w:rsid w:val="32655415"/>
    <w:rsid w:val="3267118D"/>
    <w:rsid w:val="32AE46C6"/>
    <w:rsid w:val="33557238"/>
    <w:rsid w:val="33D97E69"/>
    <w:rsid w:val="33E67E90"/>
    <w:rsid w:val="33ED56C2"/>
    <w:rsid w:val="341D71C9"/>
    <w:rsid w:val="34677222"/>
    <w:rsid w:val="34951FE2"/>
    <w:rsid w:val="34B54432"/>
    <w:rsid w:val="34E86B39"/>
    <w:rsid w:val="350B1FFF"/>
    <w:rsid w:val="353335A8"/>
    <w:rsid w:val="353E4427"/>
    <w:rsid w:val="355F614C"/>
    <w:rsid w:val="35734DCB"/>
    <w:rsid w:val="35847960"/>
    <w:rsid w:val="36251143"/>
    <w:rsid w:val="363870C8"/>
    <w:rsid w:val="36617CA1"/>
    <w:rsid w:val="36743E79"/>
    <w:rsid w:val="3699743B"/>
    <w:rsid w:val="37531CE0"/>
    <w:rsid w:val="37585548"/>
    <w:rsid w:val="38172D0E"/>
    <w:rsid w:val="38190834"/>
    <w:rsid w:val="381A45AC"/>
    <w:rsid w:val="3836417E"/>
    <w:rsid w:val="3851621F"/>
    <w:rsid w:val="387B329C"/>
    <w:rsid w:val="38934A8A"/>
    <w:rsid w:val="38AA1DD4"/>
    <w:rsid w:val="38E11E5E"/>
    <w:rsid w:val="393671C3"/>
    <w:rsid w:val="39657AA9"/>
    <w:rsid w:val="39DF5AAD"/>
    <w:rsid w:val="39E210F9"/>
    <w:rsid w:val="39F9170D"/>
    <w:rsid w:val="39FB24A2"/>
    <w:rsid w:val="3A1C460B"/>
    <w:rsid w:val="3A331955"/>
    <w:rsid w:val="3A706705"/>
    <w:rsid w:val="3A9B5E78"/>
    <w:rsid w:val="3A9C74FA"/>
    <w:rsid w:val="3ABC15E5"/>
    <w:rsid w:val="3AE710BD"/>
    <w:rsid w:val="3B451940"/>
    <w:rsid w:val="3BA945C4"/>
    <w:rsid w:val="3BCC3E0F"/>
    <w:rsid w:val="3BE41159"/>
    <w:rsid w:val="3BFC2946"/>
    <w:rsid w:val="3BFC3547"/>
    <w:rsid w:val="3BFE66BE"/>
    <w:rsid w:val="3BFFFF64"/>
    <w:rsid w:val="3C1063F2"/>
    <w:rsid w:val="3C4165AB"/>
    <w:rsid w:val="3C9B215F"/>
    <w:rsid w:val="3D033860"/>
    <w:rsid w:val="3D1B504E"/>
    <w:rsid w:val="3D294B8D"/>
    <w:rsid w:val="3D2C2DB7"/>
    <w:rsid w:val="3D436353"/>
    <w:rsid w:val="3D8C7CFA"/>
    <w:rsid w:val="3DA07D95"/>
    <w:rsid w:val="3DD35929"/>
    <w:rsid w:val="3DDA2813"/>
    <w:rsid w:val="3DE71DF7"/>
    <w:rsid w:val="3DF8538F"/>
    <w:rsid w:val="3E0B6E71"/>
    <w:rsid w:val="3E1C107E"/>
    <w:rsid w:val="3E3F6A11"/>
    <w:rsid w:val="3ED2798E"/>
    <w:rsid w:val="3F175723"/>
    <w:rsid w:val="3F20067F"/>
    <w:rsid w:val="3F4C14EF"/>
    <w:rsid w:val="3F56236D"/>
    <w:rsid w:val="3F80388E"/>
    <w:rsid w:val="3F827606"/>
    <w:rsid w:val="3FB86B84"/>
    <w:rsid w:val="40316936"/>
    <w:rsid w:val="40460634"/>
    <w:rsid w:val="407C22A8"/>
    <w:rsid w:val="408847A8"/>
    <w:rsid w:val="409A0980"/>
    <w:rsid w:val="40BA4B7E"/>
    <w:rsid w:val="40E02836"/>
    <w:rsid w:val="40F956A6"/>
    <w:rsid w:val="41004C87"/>
    <w:rsid w:val="411E35DA"/>
    <w:rsid w:val="4142704D"/>
    <w:rsid w:val="414C3A28"/>
    <w:rsid w:val="41780CC1"/>
    <w:rsid w:val="41D8350E"/>
    <w:rsid w:val="41EC520B"/>
    <w:rsid w:val="41FB71FC"/>
    <w:rsid w:val="42073DF3"/>
    <w:rsid w:val="423D15C3"/>
    <w:rsid w:val="424662D1"/>
    <w:rsid w:val="424B3CDF"/>
    <w:rsid w:val="427A0BED"/>
    <w:rsid w:val="428E1E1E"/>
    <w:rsid w:val="42A258CA"/>
    <w:rsid w:val="42AD6748"/>
    <w:rsid w:val="42BD2703"/>
    <w:rsid w:val="42C57F36"/>
    <w:rsid w:val="42EA174A"/>
    <w:rsid w:val="43014CE6"/>
    <w:rsid w:val="430F2F5F"/>
    <w:rsid w:val="43811983"/>
    <w:rsid w:val="438356FB"/>
    <w:rsid w:val="44224F14"/>
    <w:rsid w:val="442962A2"/>
    <w:rsid w:val="44301E08"/>
    <w:rsid w:val="44623562"/>
    <w:rsid w:val="44A75419"/>
    <w:rsid w:val="44A973E3"/>
    <w:rsid w:val="456D0411"/>
    <w:rsid w:val="45A1630C"/>
    <w:rsid w:val="45A2455E"/>
    <w:rsid w:val="45C30031"/>
    <w:rsid w:val="46054AED"/>
    <w:rsid w:val="46256F3D"/>
    <w:rsid w:val="4642364B"/>
    <w:rsid w:val="46445615"/>
    <w:rsid w:val="466060B3"/>
    <w:rsid w:val="469043B7"/>
    <w:rsid w:val="46955E71"/>
    <w:rsid w:val="46F210A5"/>
    <w:rsid w:val="472D42FC"/>
    <w:rsid w:val="473A2575"/>
    <w:rsid w:val="473E02B7"/>
    <w:rsid w:val="47A3636C"/>
    <w:rsid w:val="47B642F1"/>
    <w:rsid w:val="47EF15B1"/>
    <w:rsid w:val="480A63EB"/>
    <w:rsid w:val="480C3F11"/>
    <w:rsid w:val="487E46E3"/>
    <w:rsid w:val="48981C49"/>
    <w:rsid w:val="489B5295"/>
    <w:rsid w:val="490557B4"/>
    <w:rsid w:val="4968786D"/>
    <w:rsid w:val="49831FB1"/>
    <w:rsid w:val="49C27E46"/>
    <w:rsid w:val="49E2099E"/>
    <w:rsid w:val="4A10624D"/>
    <w:rsid w:val="4A3527D7"/>
    <w:rsid w:val="4A361719"/>
    <w:rsid w:val="4A5B2F2E"/>
    <w:rsid w:val="4A653DAC"/>
    <w:rsid w:val="4A7B537E"/>
    <w:rsid w:val="4B1D01E3"/>
    <w:rsid w:val="4B221C9D"/>
    <w:rsid w:val="4B261028"/>
    <w:rsid w:val="4B4156F4"/>
    <w:rsid w:val="4B46773A"/>
    <w:rsid w:val="4B49547C"/>
    <w:rsid w:val="4B5736F5"/>
    <w:rsid w:val="4B7C13AE"/>
    <w:rsid w:val="4B9A1834"/>
    <w:rsid w:val="4BA020AD"/>
    <w:rsid w:val="4BB5666E"/>
    <w:rsid w:val="4BF4363A"/>
    <w:rsid w:val="4C460830"/>
    <w:rsid w:val="4CE0771A"/>
    <w:rsid w:val="4CF136D5"/>
    <w:rsid w:val="4D2E492A"/>
    <w:rsid w:val="4D4E28D6"/>
    <w:rsid w:val="4D53613E"/>
    <w:rsid w:val="4D7F5185"/>
    <w:rsid w:val="4D9D560B"/>
    <w:rsid w:val="4E10327B"/>
    <w:rsid w:val="4E9E5ADF"/>
    <w:rsid w:val="4EB15812"/>
    <w:rsid w:val="4EBE7F2F"/>
    <w:rsid w:val="4ED70203"/>
    <w:rsid w:val="4ED908C5"/>
    <w:rsid w:val="4EE03A01"/>
    <w:rsid w:val="4F29184C"/>
    <w:rsid w:val="4F42646A"/>
    <w:rsid w:val="4F702FD7"/>
    <w:rsid w:val="4F786330"/>
    <w:rsid w:val="4FB76E58"/>
    <w:rsid w:val="4FC652ED"/>
    <w:rsid w:val="4FEC63D6"/>
    <w:rsid w:val="50041972"/>
    <w:rsid w:val="504A7CCC"/>
    <w:rsid w:val="50EF617E"/>
    <w:rsid w:val="51071719"/>
    <w:rsid w:val="51477D68"/>
    <w:rsid w:val="51542485"/>
    <w:rsid w:val="516A1CA8"/>
    <w:rsid w:val="517D19DC"/>
    <w:rsid w:val="51EC090F"/>
    <w:rsid w:val="51F83E74"/>
    <w:rsid w:val="5232077C"/>
    <w:rsid w:val="52410C5B"/>
    <w:rsid w:val="53277E51"/>
    <w:rsid w:val="53755060"/>
    <w:rsid w:val="538232D9"/>
    <w:rsid w:val="54136B05"/>
    <w:rsid w:val="5415239F"/>
    <w:rsid w:val="54372316"/>
    <w:rsid w:val="547277F2"/>
    <w:rsid w:val="548F2152"/>
    <w:rsid w:val="549239F0"/>
    <w:rsid w:val="550D12C8"/>
    <w:rsid w:val="555E38D2"/>
    <w:rsid w:val="55855303"/>
    <w:rsid w:val="558C043F"/>
    <w:rsid w:val="55A0038E"/>
    <w:rsid w:val="55A559A5"/>
    <w:rsid w:val="55BC81C9"/>
    <w:rsid w:val="55C71477"/>
    <w:rsid w:val="55D3606E"/>
    <w:rsid w:val="55DA73FC"/>
    <w:rsid w:val="561A2B39"/>
    <w:rsid w:val="561F12B3"/>
    <w:rsid w:val="563A7E9B"/>
    <w:rsid w:val="56B440F1"/>
    <w:rsid w:val="56DE4CCA"/>
    <w:rsid w:val="56EF6ED8"/>
    <w:rsid w:val="577D0987"/>
    <w:rsid w:val="57833AC4"/>
    <w:rsid w:val="579E26AC"/>
    <w:rsid w:val="57DB3900"/>
    <w:rsid w:val="57EA584B"/>
    <w:rsid w:val="58002C23"/>
    <w:rsid w:val="580249E9"/>
    <w:rsid w:val="582F1556"/>
    <w:rsid w:val="584119B5"/>
    <w:rsid w:val="584C2108"/>
    <w:rsid w:val="58B8779D"/>
    <w:rsid w:val="58BE3005"/>
    <w:rsid w:val="58D565A1"/>
    <w:rsid w:val="58E3481A"/>
    <w:rsid w:val="58F76517"/>
    <w:rsid w:val="59413C36"/>
    <w:rsid w:val="59417793"/>
    <w:rsid w:val="59457283"/>
    <w:rsid w:val="596671F9"/>
    <w:rsid w:val="596F60AE"/>
    <w:rsid w:val="597A4A53"/>
    <w:rsid w:val="59E3084A"/>
    <w:rsid w:val="59F37D41"/>
    <w:rsid w:val="5A0F163F"/>
    <w:rsid w:val="5A455061"/>
    <w:rsid w:val="5A6E0A5B"/>
    <w:rsid w:val="5A6E0AB1"/>
    <w:rsid w:val="5A92474A"/>
    <w:rsid w:val="5AEC372E"/>
    <w:rsid w:val="5AFB7B3C"/>
    <w:rsid w:val="5B4D68C3"/>
    <w:rsid w:val="5B585D48"/>
    <w:rsid w:val="5B793214"/>
    <w:rsid w:val="5C2515ED"/>
    <w:rsid w:val="5C643EC4"/>
    <w:rsid w:val="5C7659A5"/>
    <w:rsid w:val="5C95407D"/>
    <w:rsid w:val="5CA42512"/>
    <w:rsid w:val="5CA70254"/>
    <w:rsid w:val="5CAC586B"/>
    <w:rsid w:val="5CBA1AC7"/>
    <w:rsid w:val="5DBE7604"/>
    <w:rsid w:val="5DE0757A"/>
    <w:rsid w:val="5DE66B5A"/>
    <w:rsid w:val="5E27164D"/>
    <w:rsid w:val="5E473A9D"/>
    <w:rsid w:val="5E5B12F6"/>
    <w:rsid w:val="5EB32EE1"/>
    <w:rsid w:val="5EE756D6"/>
    <w:rsid w:val="5F1576F7"/>
    <w:rsid w:val="5F2B014F"/>
    <w:rsid w:val="5F3C4C84"/>
    <w:rsid w:val="5F555D46"/>
    <w:rsid w:val="5F6D7533"/>
    <w:rsid w:val="5F864151"/>
    <w:rsid w:val="5FE13679"/>
    <w:rsid w:val="5FFB4F31"/>
    <w:rsid w:val="60114363"/>
    <w:rsid w:val="602A0F80"/>
    <w:rsid w:val="602F6597"/>
    <w:rsid w:val="60377F79"/>
    <w:rsid w:val="603F4A68"/>
    <w:rsid w:val="605E7BC1"/>
    <w:rsid w:val="6094289E"/>
    <w:rsid w:val="609E371C"/>
    <w:rsid w:val="60DD5FF3"/>
    <w:rsid w:val="60E47381"/>
    <w:rsid w:val="6126799A"/>
    <w:rsid w:val="61671D60"/>
    <w:rsid w:val="61BC3E5A"/>
    <w:rsid w:val="61C80A51"/>
    <w:rsid w:val="61CD250B"/>
    <w:rsid w:val="628D3A49"/>
    <w:rsid w:val="629B555C"/>
    <w:rsid w:val="62B131DE"/>
    <w:rsid w:val="63212B0F"/>
    <w:rsid w:val="632A1297"/>
    <w:rsid w:val="63424833"/>
    <w:rsid w:val="6353562C"/>
    <w:rsid w:val="63780255"/>
    <w:rsid w:val="638906B4"/>
    <w:rsid w:val="638A0E5C"/>
    <w:rsid w:val="63FC0E86"/>
    <w:rsid w:val="640F6E0B"/>
    <w:rsid w:val="64300B2F"/>
    <w:rsid w:val="64AA6B34"/>
    <w:rsid w:val="64B4350F"/>
    <w:rsid w:val="65242442"/>
    <w:rsid w:val="65367B02"/>
    <w:rsid w:val="65510D5D"/>
    <w:rsid w:val="65C77271"/>
    <w:rsid w:val="6694184A"/>
    <w:rsid w:val="66B477F6"/>
    <w:rsid w:val="670544F5"/>
    <w:rsid w:val="673B1CC5"/>
    <w:rsid w:val="673D3C8F"/>
    <w:rsid w:val="67486190"/>
    <w:rsid w:val="67650AF0"/>
    <w:rsid w:val="679A4C3E"/>
    <w:rsid w:val="67C12384"/>
    <w:rsid w:val="67CE0712"/>
    <w:rsid w:val="67F26828"/>
    <w:rsid w:val="67F5BBCB"/>
    <w:rsid w:val="680B4E69"/>
    <w:rsid w:val="681C1AF7"/>
    <w:rsid w:val="68262975"/>
    <w:rsid w:val="683E7CBF"/>
    <w:rsid w:val="68595FF5"/>
    <w:rsid w:val="689D46D3"/>
    <w:rsid w:val="68A13DAA"/>
    <w:rsid w:val="68E87C2B"/>
    <w:rsid w:val="68F62348"/>
    <w:rsid w:val="691A3C19"/>
    <w:rsid w:val="69EC374B"/>
    <w:rsid w:val="6A1E1EFF"/>
    <w:rsid w:val="6A2E3D63"/>
    <w:rsid w:val="6A773014"/>
    <w:rsid w:val="6AFE1987"/>
    <w:rsid w:val="6B6D613A"/>
    <w:rsid w:val="6B827EC3"/>
    <w:rsid w:val="6B8E2D0B"/>
    <w:rsid w:val="6BA936A1"/>
    <w:rsid w:val="6BE02E3B"/>
    <w:rsid w:val="6CDE737B"/>
    <w:rsid w:val="6CF7668E"/>
    <w:rsid w:val="6D203E37"/>
    <w:rsid w:val="6D667370"/>
    <w:rsid w:val="6E0548F1"/>
    <w:rsid w:val="6E35746E"/>
    <w:rsid w:val="6E4F6056"/>
    <w:rsid w:val="6E971ED7"/>
    <w:rsid w:val="6EE82732"/>
    <w:rsid w:val="6EE90259"/>
    <w:rsid w:val="6F1D5F33"/>
    <w:rsid w:val="6F213E96"/>
    <w:rsid w:val="6F6618A9"/>
    <w:rsid w:val="6F694A76"/>
    <w:rsid w:val="6FBA6204"/>
    <w:rsid w:val="6FCD36D6"/>
    <w:rsid w:val="6FD131C7"/>
    <w:rsid w:val="6FDB4045"/>
    <w:rsid w:val="6FDF26D2"/>
    <w:rsid w:val="6FEC6252"/>
    <w:rsid w:val="6FFE7D34"/>
    <w:rsid w:val="701337DF"/>
    <w:rsid w:val="702E23C7"/>
    <w:rsid w:val="70313C65"/>
    <w:rsid w:val="7157594D"/>
    <w:rsid w:val="71B96608"/>
    <w:rsid w:val="71E371E1"/>
    <w:rsid w:val="725956F5"/>
    <w:rsid w:val="7265409A"/>
    <w:rsid w:val="72816D82"/>
    <w:rsid w:val="72C40DC1"/>
    <w:rsid w:val="72CC236B"/>
    <w:rsid w:val="72D8187A"/>
    <w:rsid w:val="7306762B"/>
    <w:rsid w:val="733F0D8F"/>
    <w:rsid w:val="73610D05"/>
    <w:rsid w:val="741E6BF6"/>
    <w:rsid w:val="744F0B5E"/>
    <w:rsid w:val="746F1200"/>
    <w:rsid w:val="74CA4688"/>
    <w:rsid w:val="752D5343"/>
    <w:rsid w:val="755D72AA"/>
    <w:rsid w:val="758B02BC"/>
    <w:rsid w:val="758B206A"/>
    <w:rsid w:val="75E672A0"/>
    <w:rsid w:val="760D6F22"/>
    <w:rsid w:val="76116A13"/>
    <w:rsid w:val="769D3E02"/>
    <w:rsid w:val="770C2D36"/>
    <w:rsid w:val="774152A4"/>
    <w:rsid w:val="77A64F39"/>
    <w:rsid w:val="77C33D3D"/>
    <w:rsid w:val="77DC57AA"/>
    <w:rsid w:val="77ED2B68"/>
    <w:rsid w:val="77F24622"/>
    <w:rsid w:val="782A7918"/>
    <w:rsid w:val="784B788E"/>
    <w:rsid w:val="78A23952"/>
    <w:rsid w:val="78BE4504"/>
    <w:rsid w:val="78F148D9"/>
    <w:rsid w:val="79164340"/>
    <w:rsid w:val="791D56CF"/>
    <w:rsid w:val="79314CD6"/>
    <w:rsid w:val="796450AB"/>
    <w:rsid w:val="797F5A41"/>
    <w:rsid w:val="7984574E"/>
    <w:rsid w:val="79A67472"/>
    <w:rsid w:val="7A4F18B8"/>
    <w:rsid w:val="7AA716F4"/>
    <w:rsid w:val="7AAD65DE"/>
    <w:rsid w:val="7AED10D1"/>
    <w:rsid w:val="7B4C77FE"/>
    <w:rsid w:val="7B51165F"/>
    <w:rsid w:val="7B931C78"/>
    <w:rsid w:val="7B98103C"/>
    <w:rsid w:val="7B9C6D7F"/>
    <w:rsid w:val="7B9D6653"/>
    <w:rsid w:val="7BBF481B"/>
    <w:rsid w:val="7BDC717B"/>
    <w:rsid w:val="7BE95D3C"/>
    <w:rsid w:val="7C2B0D47"/>
    <w:rsid w:val="7C3074C7"/>
    <w:rsid w:val="7C3A20F4"/>
    <w:rsid w:val="7CA908C4"/>
    <w:rsid w:val="7CC76728"/>
    <w:rsid w:val="7CCF4F32"/>
    <w:rsid w:val="7CE3278B"/>
    <w:rsid w:val="7CEF7382"/>
    <w:rsid w:val="7D16490F"/>
    <w:rsid w:val="7D1868D9"/>
    <w:rsid w:val="7D63567A"/>
    <w:rsid w:val="7D831878"/>
    <w:rsid w:val="7D891584"/>
    <w:rsid w:val="7DA97EE3"/>
    <w:rsid w:val="7DEB5D9B"/>
    <w:rsid w:val="7DFF15D4"/>
    <w:rsid w:val="7E0C7AC0"/>
    <w:rsid w:val="7E9B156F"/>
    <w:rsid w:val="7EB919F5"/>
    <w:rsid w:val="7EBFF508"/>
    <w:rsid w:val="7EC363D0"/>
    <w:rsid w:val="7ED72418"/>
    <w:rsid w:val="7ED87E5C"/>
    <w:rsid w:val="7EEA7E01"/>
    <w:rsid w:val="7F1255AA"/>
    <w:rsid w:val="7F802513"/>
    <w:rsid w:val="7FAC3308"/>
    <w:rsid w:val="7FB0104A"/>
    <w:rsid w:val="7FC44AF6"/>
    <w:rsid w:val="7FDE3EB0"/>
    <w:rsid w:val="9B6D7090"/>
    <w:rsid w:val="9FD7B78E"/>
    <w:rsid w:val="A7DF1B9A"/>
    <w:rsid w:val="ABF80A4C"/>
    <w:rsid w:val="BAD7AA7E"/>
    <w:rsid w:val="CFFFD391"/>
    <w:rsid w:val="DDF7EE0E"/>
    <w:rsid w:val="F74969F6"/>
    <w:rsid w:val="FBCA44CB"/>
    <w:rsid w:val="FD38922B"/>
    <w:rsid w:val="FDF74CF4"/>
    <w:rsid w:val="FF79EC62"/>
    <w:rsid w:val="FF7FF93F"/>
    <w:rsid w:val="FFF7DCEB"/>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numPr>
        <w:ilvl w:val="0"/>
        <w:numId w:val="1"/>
      </w:numPr>
      <w:spacing w:before="340" w:after="330" w:line="578" w:lineRule="auto"/>
      <w:ind w:left="852"/>
      <w:outlineLvl w:val="0"/>
    </w:pPr>
    <w:rPr>
      <w:rFonts w:eastAsia="方正小标宋_GBK"/>
      <w:b/>
      <w:bCs/>
      <w:kern w:val="44"/>
      <w:sz w:val="32"/>
      <w:szCs w:val="44"/>
    </w:rPr>
  </w:style>
  <w:style w:type="paragraph" w:styleId="3">
    <w:name w:val="heading 2"/>
    <w:basedOn w:val="1"/>
    <w:next w:val="1"/>
    <w:link w:val="32"/>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5"/>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Body Text"/>
    <w:basedOn w:val="1"/>
    <w:link w:val="55"/>
    <w:semiHidden/>
    <w:unhideWhenUsed/>
    <w:qFormat/>
    <w:uiPriority w:val="99"/>
    <w:pPr>
      <w:spacing w:after="120"/>
    </w:pPr>
  </w:style>
  <w:style w:type="paragraph" w:styleId="13">
    <w:name w:val="Body Text Indent"/>
    <w:basedOn w:val="1"/>
    <w:link w:val="4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Balloon Text"/>
    <w:basedOn w:val="1"/>
    <w:link w:val="43"/>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53"/>
    <w:unhideWhenUsed/>
    <w:qFormat/>
    <w:uiPriority w:val="99"/>
    <w:pPr>
      <w:snapToGrid w:val="0"/>
      <w:jc w:val="left"/>
    </w:pPr>
    <w:rPr>
      <w:rFonts w:ascii="Calibri" w:hAnsi="Calibri" w:eastAsia="宋体" w:cs="Times New Roman"/>
      <w:sz w:val="18"/>
      <w:szCs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1"/>
    <w:semiHidden/>
    <w:unhideWhenUsed/>
    <w:qFormat/>
    <w:uiPriority w:val="99"/>
    <w:rPr>
      <w:b/>
      <w:bCs/>
    </w:rPr>
  </w:style>
  <w:style w:type="paragraph" w:styleId="23">
    <w:name w:val="Body Text First Indent 2"/>
    <w:basedOn w:val="13"/>
    <w:link w:val="45"/>
    <w:qFormat/>
    <w:uiPriority w:val="0"/>
    <w:pPr>
      <w:spacing w:line="360" w:lineRule="auto"/>
      <w:ind w:firstLine="420" w:firstLineChars="200"/>
    </w:pPr>
    <w:rPr>
      <w:rFonts w:ascii="Times New Roman" w:hAnsi="Times New Roman" w:eastAsia="宋体" w:cs="Times New Roman"/>
      <w:sz w:val="24"/>
      <w:szCs w:val="24"/>
      <w:lang w:val="zh-C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character" w:customStyle="1" w:styleId="29">
    <w:name w:val="页眉 字符"/>
    <w:basedOn w:val="26"/>
    <w:link w:val="17"/>
    <w:qFormat/>
    <w:uiPriority w:val="99"/>
    <w:rPr>
      <w:sz w:val="18"/>
      <w:szCs w:val="18"/>
    </w:rPr>
  </w:style>
  <w:style w:type="character" w:customStyle="1" w:styleId="30">
    <w:name w:val="页脚 字符"/>
    <w:basedOn w:val="26"/>
    <w:link w:val="16"/>
    <w:qFormat/>
    <w:uiPriority w:val="99"/>
    <w:rPr>
      <w:sz w:val="18"/>
      <w:szCs w:val="18"/>
    </w:rPr>
  </w:style>
  <w:style w:type="paragraph" w:styleId="31">
    <w:name w:val="List Paragraph"/>
    <w:basedOn w:val="1"/>
    <w:link w:val="46"/>
    <w:qFormat/>
    <w:uiPriority w:val="34"/>
    <w:pPr>
      <w:ind w:firstLine="420" w:firstLineChars="200"/>
    </w:pPr>
  </w:style>
  <w:style w:type="character" w:customStyle="1" w:styleId="32">
    <w:name w:val="标题 2 字符"/>
    <w:basedOn w:val="26"/>
    <w:link w:val="3"/>
    <w:qFormat/>
    <w:uiPriority w:val="9"/>
    <w:rPr>
      <w:rFonts w:eastAsia="仿宋" w:asciiTheme="majorHAnsi" w:hAnsiTheme="majorHAnsi" w:cstheme="majorBidi"/>
      <w:b/>
      <w:bCs/>
      <w:kern w:val="2"/>
      <w:sz w:val="28"/>
      <w:szCs w:val="32"/>
    </w:rPr>
  </w:style>
  <w:style w:type="paragraph" w:customStyle="1" w:styleId="33">
    <w:name w:val="1册标题3"/>
    <w:basedOn w:val="1"/>
    <w:next w:val="1"/>
    <w:qFormat/>
    <w:uiPriority w:val="0"/>
    <w:pPr>
      <w:spacing w:line="360" w:lineRule="exact"/>
    </w:pPr>
    <w:rPr>
      <w:rFonts w:ascii="宋体" w:hAnsi="宋体" w:eastAsia="宋体" w:cs="Times New Roman"/>
      <w:szCs w:val="21"/>
    </w:rPr>
  </w:style>
  <w:style w:type="character" w:customStyle="1" w:styleId="34">
    <w:name w:val="标题 1 字符"/>
    <w:basedOn w:val="26"/>
    <w:link w:val="2"/>
    <w:qFormat/>
    <w:uiPriority w:val="9"/>
    <w:rPr>
      <w:rFonts w:eastAsia="方正小标宋_GBK"/>
      <w:b/>
      <w:bCs/>
      <w:kern w:val="44"/>
      <w:sz w:val="32"/>
      <w:szCs w:val="44"/>
    </w:rPr>
  </w:style>
  <w:style w:type="character" w:customStyle="1" w:styleId="35">
    <w:name w:val="标题 3 字符"/>
    <w:basedOn w:val="26"/>
    <w:link w:val="4"/>
    <w:qFormat/>
    <w:uiPriority w:val="9"/>
    <w:rPr>
      <w:rFonts w:eastAsia="仿宋"/>
      <w:b/>
      <w:bCs/>
      <w:sz w:val="28"/>
      <w:szCs w:val="32"/>
    </w:rPr>
  </w:style>
  <w:style w:type="character" w:customStyle="1" w:styleId="36">
    <w:name w:val="标题 4 字符"/>
    <w:basedOn w:val="26"/>
    <w:link w:val="5"/>
    <w:semiHidden/>
    <w:qFormat/>
    <w:uiPriority w:val="9"/>
    <w:rPr>
      <w:rFonts w:asciiTheme="majorHAnsi" w:hAnsiTheme="majorHAnsi" w:eastAsiaTheme="majorEastAsia" w:cstheme="majorBidi"/>
      <w:b/>
      <w:bCs/>
      <w:sz w:val="28"/>
      <w:szCs w:val="28"/>
    </w:rPr>
  </w:style>
  <w:style w:type="character" w:customStyle="1" w:styleId="37">
    <w:name w:val="标题 5 字符"/>
    <w:basedOn w:val="26"/>
    <w:link w:val="6"/>
    <w:semiHidden/>
    <w:qFormat/>
    <w:uiPriority w:val="9"/>
    <w:rPr>
      <w:b/>
      <w:bCs/>
      <w:sz w:val="28"/>
      <w:szCs w:val="28"/>
    </w:rPr>
  </w:style>
  <w:style w:type="character" w:customStyle="1" w:styleId="38">
    <w:name w:val="标题 6 字符"/>
    <w:basedOn w:val="26"/>
    <w:link w:val="7"/>
    <w:semiHidden/>
    <w:qFormat/>
    <w:uiPriority w:val="9"/>
    <w:rPr>
      <w:rFonts w:asciiTheme="majorHAnsi" w:hAnsiTheme="majorHAnsi" w:eastAsiaTheme="majorEastAsia" w:cstheme="majorBidi"/>
      <w:b/>
      <w:bCs/>
      <w:sz w:val="24"/>
      <w:szCs w:val="24"/>
    </w:rPr>
  </w:style>
  <w:style w:type="character" w:customStyle="1" w:styleId="39">
    <w:name w:val="标题 7 字符"/>
    <w:basedOn w:val="26"/>
    <w:link w:val="8"/>
    <w:semiHidden/>
    <w:qFormat/>
    <w:uiPriority w:val="9"/>
    <w:rPr>
      <w:b/>
      <w:bCs/>
      <w:sz w:val="24"/>
      <w:szCs w:val="24"/>
    </w:rPr>
  </w:style>
  <w:style w:type="character" w:customStyle="1" w:styleId="40">
    <w:name w:val="标题 8 字符"/>
    <w:basedOn w:val="26"/>
    <w:link w:val="9"/>
    <w:semiHidden/>
    <w:qFormat/>
    <w:uiPriority w:val="9"/>
    <w:rPr>
      <w:rFonts w:asciiTheme="majorHAnsi" w:hAnsiTheme="majorHAnsi" w:eastAsiaTheme="majorEastAsia" w:cstheme="majorBidi"/>
      <w:sz w:val="24"/>
      <w:szCs w:val="24"/>
    </w:rPr>
  </w:style>
  <w:style w:type="character" w:customStyle="1" w:styleId="41">
    <w:name w:val="标题 9 字符"/>
    <w:basedOn w:val="26"/>
    <w:link w:val="10"/>
    <w:semiHidden/>
    <w:qFormat/>
    <w:uiPriority w:val="9"/>
    <w:rPr>
      <w:rFonts w:asciiTheme="majorHAnsi" w:hAnsiTheme="majorHAnsi" w:eastAsiaTheme="majorEastAsia" w:cstheme="majorBidi"/>
      <w:szCs w:val="21"/>
    </w:rPr>
  </w:style>
  <w:style w:type="paragraph" w:customStyle="1" w:styleId="42">
    <w:name w:val="TOC 标题1"/>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26"/>
    <w:link w:val="15"/>
    <w:semiHidden/>
    <w:qFormat/>
    <w:uiPriority w:val="99"/>
    <w:rPr>
      <w:sz w:val="18"/>
      <w:szCs w:val="18"/>
    </w:rPr>
  </w:style>
  <w:style w:type="character" w:customStyle="1" w:styleId="44">
    <w:name w:val="正文文本缩进 字符"/>
    <w:basedOn w:val="26"/>
    <w:link w:val="13"/>
    <w:semiHidden/>
    <w:qFormat/>
    <w:uiPriority w:val="99"/>
  </w:style>
  <w:style w:type="character" w:customStyle="1" w:styleId="45">
    <w:name w:val="正文文本首行缩进 2 字符"/>
    <w:basedOn w:val="44"/>
    <w:link w:val="23"/>
    <w:qFormat/>
    <w:uiPriority w:val="0"/>
    <w:rPr>
      <w:rFonts w:ascii="Times New Roman" w:hAnsi="Times New Roman" w:eastAsia="宋体" w:cs="Times New Roman"/>
      <w:sz w:val="24"/>
      <w:szCs w:val="24"/>
      <w:lang w:val="zh-CN"/>
    </w:rPr>
  </w:style>
  <w:style w:type="character" w:customStyle="1" w:styleId="46">
    <w:name w:val="列表段落 字符"/>
    <w:link w:val="31"/>
    <w:qFormat/>
    <w:uiPriority w:val="34"/>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 Char"/>
    <w:link w:val="49"/>
    <w:qFormat/>
    <w:uiPriority w:val="0"/>
    <w:rPr>
      <w:rFonts w:ascii="time" w:hAnsi="time"/>
      <w:sz w:val="24"/>
      <w:szCs w:val="24"/>
      <w:lang w:bidi="en-US"/>
    </w:rPr>
  </w:style>
  <w:style w:type="paragraph" w:customStyle="1" w:styleId="49">
    <w:name w:val="*正文"/>
    <w:basedOn w:val="1"/>
    <w:link w:val="48"/>
    <w:qFormat/>
    <w:uiPriority w:val="0"/>
    <w:pPr>
      <w:widowControl/>
      <w:spacing w:line="360" w:lineRule="auto"/>
      <w:ind w:firstLine="200" w:firstLineChars="200"/>
      <w:contextualSpacing/>
    </w:pPr>
    <w:rPr>
      <w:rFonts w:ascii="time" w:hAnsi="time"/>
      <w:sz w:val="24"/>
      <w:szCs w:val="24"/>
      <w:lang w:bidi="en-US"/>
    </w:rPr>
  </w:style>
  <w:style w:type="character" w:customStyle="1" w:styleId="50">
    <w:name w:val="批注文字 字符"/>
    <w:basedOn w:val="26"/>
    <w:link w:val="11"/>
    <w:qFormat/>
    <w:uiPriority w:val="99"/>
  </w:style>
  <w:style w:type="character" w:customStyle="1" w:styleId="51">
    <w:name w:val="批注主题 字符"/>
    <w:basedOn w:val="50"/>
    <w:link w:val="22"/>
    <w:semiHidden/>
    <w:qFormat/>
    <w:uiPriority w:val="99"/>
    <w:rPr>
      <w:b/>
      <w:bCs/>
    </w:rPr>
  </w:style>
  <w:style w:type="character" w:customStyle="1" w:styleId="52">
    <w:name w:val="批注文字 字符1"/>
    <w:qFormat/>
    <w:uiPriority w:val="99"/>
    <w:rPr>
      <w:rFonts w:eastAsia="仿宋"/>
      <w:kern w:val="2"/>
      <w:sz w:val="28"/>
      <w:szCs w:val="24"/>
    </w:rPr>
  </w:style>
  <w:style w:type="character" w:customStyle="1" w:styleId="53">
    <w:name w:val="脚注文本 字符"/>
    <w:basedOn w:val="26"/>
    <w:link w:val="19"/>
    <w:qFormat/>
    <w:uiPriority w:val="99"/>
    <w:rPr>
      <w:rFonts w:ascii="Calibri" w:hAnsi="Calibri" w:eastAsia="宋体" w:cs="Times New Roman"/>
      <w:sz w:val="18"/>
      <w:szCs w:val="18"/>
    </w:rPr>
  </w:style>
  <w:style w:type="paragraph" w:customStyle="1" w:styleId="54">
    <w:name w:val="正文文字3"/>
    <w:basedOn w:val="12"/>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5">
    <w:name w:val="正文文本 字符"/>
    <w:basedOn w:val="26"/>
    <w:link w:val="12"/>
    <w:semiHidden/>
    <w:qFormat/>
    <w:uiPriority w:val="99"/>
  </w:style>
  <w:style w:type="paragraph" w:customStyle="1" w:styleId="56">
    <w:name w:val="正文缩进1"/>
    <w:basedOn w:val="1"/>
    <w:qFormat/>
    <w:uiPriority w:val="0"/>
    <w:pPr>
      <w:ind w:firstLine="420"/>
    </w:pPr>
    <w:rPr>
      <w:rFonts w:ascii="Times New Roman" w:hAnsi="Times New Roman"/>
      <w:szCs w:val="20"/>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正文文本1"/>
    <w:basedOn w:val="1"/>
    <w:qFormat/>
    <w:uiPriority w:val="0"/>
    <w:pPr>
      <w:spacing w:line="378" w:lineRule="exact"/>
      <w:ind w:firstLine="400" w:firstLineChars="222"/>
    </w:pPr>
    <w:rPr>
      <w:rFonts w:ascii="宋体" w:hAnsi="宋体" w:eastAsia="宋体" w:cs="宋体"/>
      <w:sz w:val="18"/>
      <w:szCs w:val="18"/>
      <w:lang w:val="zh-CN" w:bidi="zh-CN"/>
    </w:rPr>
  </w:style>
  <w:style w:type="paragraph" w:customStyle="1" w:styleId="59">
    <w:name w:val="正文文本 (2)"/>
    <w:basedOn w:val="1"/>
    <w:qFormat/>
    <w:uiPriority w:val="0"/>
    <w:pPr>
      <w:spacing w:line="381" w:lineRule="exact"/>
      <w:ind w:firstLine="380"/>
    </w:pPr>
    <w:rPr>
      <w:rFonts w:ascii="Times New Roman" w:hAnsi="Times New Roman" w:cs="Times New Roman"/>
      <w:bCs/>
      <w:sz w:val="19"/>
      <w:szCs w:val="19"/>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3682</Words>
  <Characters>3797</Characters>
  <Lines>92</Lines>
  <Paragraphs>26</Paragraphs>
  <TotalTime>31</TotalTime>
  <ScaleCrop>false</ScaleCrop>
  <LinksUpToDate>false</LinksUpToDate>
  <CharactersWithSpaces>3801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2025-12-18T16:25:00Z</dcterms:created>
  <dc:creator>ntko</dc:creator>
  <cp:lastModifiedBy>高际航</cp:lastModifiedBy>
  <cp:lastPrinted>2023-11-29T17:34:00Z</cp:lastPrinted>
  <dcterms:modified xsi:type="dcterms:W3CDTF">2026-02-02T14:29:59Z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0494E8500E82B21A6744806987E7BCFB_43</vt:lpwstr>
  </property>
  <property fmtid="{D5CDD505-2E9C-101B-9397-08002B2CF9AE}" pid="4" name="KSOTemplateDocerSaveRecord">
    <vt:lpwstr>eyJoZGlkIjoiMWQ4NTkwNmFiY2M5MGQzMzUyYmZkYTI0Zjg4Nzk3MmQiLCJ1c2VySWQiOiI5OTcxNjEzNDAifQ==</vt:lpwstr>
  </property>
</Properties>
</file>