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52"/>
          <w:szCs w:val="52"/>
        </w:rPr>
      </w:pPr>
      <w:r>
        <w:rPr>
          <w:rFonts w:hint="eastAsia" w:ascii="黑体" w:hAnsi="黑体" w:eastAsia="黑体"/>
          <w:sz w:val="52"/>
          <w:szCs w:val="52"/>
        </w:rPr>
        <w:t>上海市应急管理综合应用二期子系统建设项目(2026年升级改造)采购需求</w:t>
      </w:r>
    </w:p>
    <w:p>
      <w:pPr>
        <w:ind w:firstLine="0" w:firstLineChars="0"/>
        <w:jc w:val="center"/>
        <w:rPr>
          <w:rFonts w:hint="eastAsia" w:ascii="黑体" w:hAnsi="黑体" w:eastAsia="黑体"/>
          <w:sz w:val="72"/>
          <w:szCs w:val="72"/>
        </w:rPr>
      </w:pPr>
    </w:p>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52"/>
          <w:szCs w:val="52"/>
        </w:rPr>
      </w:pPr>
    </w:p>
    <w:p>
      <w:pPr>
        <w:ind w:firstLine="1040"/>
        <w:rPr>
          <w:rFonts w:hint="eastAsia" w:ascii="黑体" w:hAnsi="黑体" w:eastAsia="黑体"/>
          <w:sz w:val="52"/>
          <w:szCs w:val="52"/>
        </w:rPr>
      </w:pPr>
    </w:p>
    <w:p>
      <w:pPr>
        <w:rPr>
          <w:rFonts w:hint="eastAsia"/>
        </w:rPr>
      </w:pPr>
    </w:p>
    <w:p>
      <w:pPr>
        <w:ind w:firstLine="1040"/>
        <w:rPr>
          <w:rFonts w:hint="eastAsia" w:ascii="黑体" w:hAnsi="黑体" w:eastAsia="黑体"/>
          <w:sz w:val="52"/>
          <w:szCs w:val="52"/>
        </w:rPr>
      </w:pPr>
    </w:p>
    <w:p>
      <w:pPr>
        <w:jc w:val="center"/>
        <w:rPr>
          <w:rFonts w:hint="eastAsia"/>
        </w:rPr>
      </w:pPr>
    </w:p>
    <w:p>
      <w:pPr>
        <w:jc w:val="center"/>
        <w:rPr>
          <w:rFonts w:hint="eastAsia"/>
        </w:rPr>
      </w:pPr>
    </w:p>
    <w:p>
      <w:pPr>
        <w:jc w:val="center"/>
        <w:rPr>
          <w:rFonts w:hint="eastAsia"/>
        </w:rPr>
      </w:pPr>
    </w:p>
    <w:p>
      <w:pPr>
        <w:jc w:val="center"/>
        <w:rPr>
          <w:rFonts w:hint="eastAsia"/>
        </w:rPr>
      </w:pPr>
    </w:p>
    <w:p>
      <w:pPr>
        <w:ind w:firstLine="562"/>
        <w:jc w:val="center"/>
        <w:rPr>
          <w:rFonts w:hint="eastAsia" w:ascii="黑体" w:hAnsi="黑体" w:eastAsia="黑体"/>
          <w:b/>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r>
        <w:rPr>
          <w:rFonts w:hint="eastAsia" w:ascii="黑体" w:hAnsi="黑体" w:eastAsia="黑体"/>
          <w:b/>
          <w:sz w:val="28"/>
          <w:szCs w:val="28"/>
        </w:rPr>
        <w:t>2026年1月</w:t>
      </w:r>
    </w:p>
    <w:p>
      <w:pPr>
        <w:pStyle w:val="2"/>
        <w:ind w:left="480"/>
        <w:rPr>
          <w:rFonts w:hint="eastAsia"/>
        </w:rPr>
      </w:pPr>
      <w:bookmarkStart w:id="0" w:name="_Toc63785461"/>
      <w:r>
        <w:rPr>
          <w:rFonts w:hint="eastAsia"/>
        </w:rPr>
        <w:t>项目概况</w:t>
      </w:r>
      <w:bookmarkEnd w:id="0"/>
    </w:p>
    <w:p>
      <w:pPr>
        <w:spacing w:line="560" w:lineRule="exact"/>
        <w:rPr>
          <w:rFonts w:hint="eastAsia"/>
        </w:rPr>
      </w:pPr>
      <w:r>
        <w:rPr>
          <w:rFonts w:hint="eastAsia"/>
        </w:rPr>
        <w:t>上海市应急管理综合应用平台于2021年5月启动建设，旨在围绕高效处置一件事，加快推动应急管理数字化转型。同年7月，上海市人民政府办公厅印发《上海市应急管理“十四五”规划》，要求“加强应急指挥能力建设”，到2025年，应急管理体系和能力现代化要取得重大进展，形成统一指挥、专常兼备、反应灵敏、上下联动的中国特色应急管理体制。到2035年，建立与基本实现现代化相适应的中国特色大国应急体系，全面实现依法应急、科学应急、智慧应急，形成共建共治共享的应急管理新格局。</w:t>
      </w:r>
    </w:p>
    <w:p>
      <w:pPr>
        <w:spacing w:line="560" w:lineRule="exact"/>
        <w:rPr>
          <w:rFonts w:hint="eastAsia"/>
        </w:rPr>
      </w:pPr>
      <w:r>
        <w:rPr>
          <w:rFonts w:hint="eastAsia"/>
        </w:rPr>
        <w:t>围绕上述文件要求以及应急保障、防灾减灾救灾和事故调查等业务需要，2023年9月着手实施上海市应急管理综合应用二期子系统建设项目，进一步拓展应急管理综合应用平台在灾害应对、物资储备调度、重大事故隐患治理和事故调查分析、安全生产责任险、企业预案备案、安全生产标准化、中央在沪国有企业在线考核管理中的应用，持续扩大平台的业务覆盖面，系统地提升全市应急管理信息化水平。</w:t>
      </w:r>
    </w:p>
    <w:p>
      <w:pPr>
        <w:spacing w:line="560" w:lineRule="exact"/>
        <w:rPr>
          <w:rFonts w:hint="eastAsia"/>
        </w:rPr>
      </w:pPr>
      <w:r>
        <w:rPr>
          <w:rFonts w:hint="eastAsia"/>
        </w:rPr>
        <w:t>当前，市应急局按照“大系统”顶层设计和规划路径，按照“市级建设、市区应用”和“纵向贯通、横向协同”的原则，进一步补充应急管理领域安全综合风险监测预警能力，提升灾害应对能力。</w:t>
      </w:r>
    </w:p>
    <w:p>
      <w:pPr>
        <w:spacing w:line="560" w:lineRule="exact"/>
        <w:rPr>
          <w:rFonts w:hint="eastAsia"/>
        </w:rPr>
      </w:pPr>
      <w:r>
        <w:rPr>
          <w:rFonts w:hint="eastAsia"/>
        </w:rPr>
        <w:t>建设期限：自合同签订之日起至2027年6月30日</w:t>
      </w:r>
    </w:p>
    <w:p>
      <w:pPr>
        <w:spacing w:line="560" w:lineRule="exact"/>
        <w:rPr>
          <w:rFonts w:hint="eastAsia"/>
        </w:rPr>
      </w:pPr>
      <w:r>
        <w:rPr>
          <w:rFonts w:hint="eastAsia"/>
        </w:rPr>
        <w:t>建设地点：上海市复兴中路593号</w:t>
      </w:r>
    </w:p>
    <w:p>
      <w:pPr>
        <w:spacing w:line="560" w:lineRule="exact"/>
        <w:rPr>
          <w:rFonts w:hint="eastAsia"/>
        </w:rPr>
      </w:pPr>
      <w:r>
        <w:rPr>
          <w:rFonts w:hint="eastAsia"/>
        </w:rPr>
        <w:t>采购金额（最高限价）：5025000元</w:t>
      </w:r>
    </w:p>
    <w:p>
      <w:pPr>
        <w:spacing w:line="560" w:lineRule="exact"/>
        <w:rPr>
          <w:rFonts w:hint="eastAsia"/>
        </w:rPr>
      </w:pPr>
      <w:r>
        <w:rPr>
          <w:rFonts w:hint="eastAsia"/>
        </w:rPr>
        <w:t>组织形式：集中采购</w:t>
      </w:r>
    </w:p>
    <w:p>
      <w:pPr>
        <w:spacing w:line="560" w:lineRule="exact"/>
        <w:rPr>
          <w:rFonts w:hint="eastAsia"/>
        </w:rPr>
      </w:pPr>
      <w:r>
        <w:rPr>
          <w:rFonts w:hint="eastAsia"/>
        </w:rPr>
        <w:t>采购方式：公开招标</w:t>
      </w:r>
    </w:p>
    <w:p>
      <w:pPr>
        <w:spacing w:line="560" w:lineRule="exact"/>
        <w:rPr>
          <w:rFonts w:hint="eastAsia"/>
        </w:rPr>
      </w:pPr>
      <w:r>
        <w:rPr>
          <w:rFonts w:hint="eastAsia"/>
        </w:rPr>
        <w:t>是否接受联合体投标：否</w:t>
      </w:r>
    </w:p>
    <w:p>
      <w:pPr>
        <w:spacing w:line="560" w:lineRule="exact"/>
        <w:rPr>
          <w:rFonts w:hint="eastAsia"/>
        </w:rPr>
      </w:pPr>
      <w:r>
        <w:rPr>
          <w:rFonts w:hint="eastAsia"/>
        </w:rPr>
        <w:t>是否按XC要求建设：是</w:t>
      </w:r>
    </w:p>
    <w:p>
      <w:pPr>
        <w:spacing w:line="560" w:lineRule="exact"/>
        <w:rPr>
          <w:rFonts w:hint="eastAsia"/>
        </w:rPr>
      </w:pPr>
      <w:r>
        <w:rPr>
          <w:rFonts w:hint="eastAsia"/>
        </w:rPr>
        <w:t>是否采用低代码建设：否</w:t>
      </w:r>
    </w:p>
    <w:p>
      <w:pPr>
        <w:spacing w:line="560" w:lineRule="exact"/>
        <w:rPr>
          <w:rFonts w:hint="eastAsia"/>
        </w:rPr>
      </w:pPr>
      <w:r>
        <w:rPr>
          <w:rFonts w:hint="eastAsia"/>
        </w:rPr>
        <w:t>运维后所属大系统：上海市应急管理综合应用大系统</w:t>
      </w:r>
    </w:p>
    <w:p>
      <w:pPr>
        <w:pStyle w:val="2"/>
        <w:ind w:left="480"/>
        <w:rPr>
          <w:rFonts w:hint="eastAsia"/>
        </w:rPr>
      </w:pPr>
      <w:bookmarkStart w:id="1" w:name="_Toc47539070"/>
      <w:bookmarkEnd w:id="1"/>
      <w:bookmarkStart w:id="2" w:name="_Toc47531634"/>
      <w:bookmarkEnd w:id="2"/>
      <w:bookmarkStart w:id="3" w:name="_Toc47533256"/>
      <w:bookmarkEnd w:id="3"/>
      <w:bookmarkStart w:id="4" w:name="_Toc47536272"/>
      <w:bookmarkEnd w:id="4"/>
      <w:bookmarkStart w:id="5" w:name="_Toc47532255"/>
      <w:bookmarkEnd w:id="5"/>
      <w:bookmarkStart w:id="6" w:name="_Toc47536644"/>
      <w:bookmarkEnd w:id="6"/>
      <w:bookmarkStart w:id="7" w:name="_Toc47537134"/>
      <w:bookmarkEnd w:id="7"/>
      <w:bookmarkStart w:id="8" w:name="_Toc47532891"/>
      <w:bookmarkEnd w:id="8"/>
      <w:bookmarkStart w:id="9" w:name="_Toc48223882"/>
      <w:bookmarkStart w:id="10" w:name="_Toc63785463"/>
      <w:r>
        <w:rPr>
          <w:rFonts w:hint="eastAsia"/>
        </w:rPr>
        <w:t>建设目标</w:t>
      </w:r>
      <w:bookmarkEnd w:id="9"/>
      <w:bookmarkEnd w:id="10"/>
    </w:p>
    <w:p>
      <w:pPr>
        <w:rPr>
          <w:rFonts w:hint="eastAsia"/>
          <w:bCs/>
        </w:rPr>
      </w:pPr>
      <w:r>
        <w:rPr>
          <w:rFonts w:hint="eastAsia"/>
          <w:bCs/>
        </w:rPr>
        <w:t>充分利用应急管理领域已建已有的专业监测预警系统基座（包括危险化学品、粉尘涉爆、钢铁和铝加工、雨雪冰冻灾害事件、森林火灾综合因子等），充分依托城市运行“一网统管”、市大数据中心数据平台基座、相关委办局专业系统引接危险化学品、粉尘涉爆企业安全风险、钢铁和铝加工企业安全风险、自然灾害风险、防汛防台、气象灾害、城市内涝、等方面的数据资源，汇聚、融合并集成建设应急管理领域统一的安全综合风险监测预警平台。</w:t>
      </w:r>
    </w:p>
    <w:p>
      <w:pPr>
        <w:rPr>
          <w:rFonts w:hint="eastAsia"/>
          <w:bCs/>
        </w:rPr>
      </w:pPr>
      <w:r>
        <w:rPr>
          <w:rFonts w:hint="eastAsia"/>
          <w:bCs/>
        </w:rPr>
        <w:t>依托上海市应急管理综合应用平台对接各委办局六停相关行业数据，全方位展示城市运行情况，完善极端场景下的应急准备、健全极端情况下的保障能力、提升极端事件下的应急合力，提高“六停”联动指挥协调能力，推动韧性安全城市可持续发展。</w:t>
      </w:r>
    </w:p>
    <w:p>
      <w:pPr>
        <w:rPr>
          <w:rFonts w:hint="eastAsia"/>
          <w:bCs/>
        </w:rPr>
      </w:pPr>
      <w:r>
        <w:rPr>
          <w:rFonts w:hint="eastAsia"/>
          <w:bCs/>
        </w:rPr>
        <w:t>本项目拟实现指标目标要求</w:t>
      </w:r>
    </w:p>
    <w:tbl>
      <w:tblPr>
        <w:tblStyle w:val="35"/>
        <w:tblW w:w="4997" w:type="pct"/>
        <w:tblInd w:w="0" w:type="dxa"/>
        <w:tblLayout w:type="autofit"/>
        <w:tblCellMar>
          <w:top w:w="0" w:type="dxa"/>
          <w:left w:w="108" w:type="dxa"/>
          <w:bottom w:w="0" w:type="dxa"/>
          <w:right w:w="108" w:type="dxa"/>
        </w:tblCellMar>
      </w:tblPr>
      <w:tblGrid>
        <w:gridCol w:w="692"/>
        <w:gridCol w:w="1223"/>
        <w:gridCol w:w="1022"/>
        <w:gridCol w:w="1552"/>
        <w:gridCol w:w="2647"/>
        <w:gridCol w:w="1387"/>
      </w:tblGrid>
      <w:tr>
        <w:tblPrEx>
          <w:tblCellMar>
            <w:top w:w="0" w:type="dxa"/>
            <w:left w:w="108" w:type="dxa"/>
            <w:bottom w:w="0" w:type="dxa"/>
            <w:right w:w="108" w:type="dxa"/>
          </w:tblCellMar>
        </w:tblPrEx>
        <w:trPr>
          <w:trHeight w:val="280" w:hRule="atLeast"/>
        </w:trPr>
        <w:tc>
          <w:tcPr>
            <w:tcW w:w="406"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规划</w:t>
            </w:r>
          </w:p>
          <w:p>
            <w:pPr>
              <w:widowControl/>
              <w:spacing w:line="240" w:lineRule="auto"/>
              <w:ind w:firstLine="0" w:firstLineChars="0"/>
              <w:jc w:val="center"/>
              <w:rPr>
                <w:rFonts w:hint="eastAsia" w:cs="宋体"/>
                <w:kern w:val="0"/>
                <w:sz w:val="22"/>
                <w:szCs w:val="22"/>
              </w:rPr>
            </w:pPr>
            <w:r>
              <w:rPr>
                <w:rFonts w:hint="eastAsia" w:cs="宋体"/>
                <w:kern w:val="0"/>
                <w:sz w:val="22"/>
                <w:szCs w:val="22"/>
              </w:rPr>
              <w:t>指标</w:t>
            </w:r>
          </w:p>
          <w:p>
            <w:pPr>
              <w:widowControl/>
              <w:spacing w:line="240" w:lineRule="auto"/>
              <w:ind w:firstLine="0" w:firstLineChars="0"/>
              <w:jc w:val="center"/>
              <w:rPr>
                <w:rFonts w:hint="eastAsia" w:cs="宋体"/>
                <w:kern w:val="0"/>
                <w:sz w:val="22"/>
                <w:szCs w:val="22"/>
              </w:rPr>
            </w:pPr>
            <w:r>
              <w:rPr>
                <w:rFonts w:hint="eastAsia" w:cs="宋体"/>
                <w:kern w:val="0"/>
                <w:sz w:val="22"/>
                <w:szCs w:val="22"/>
              </w:rPr>
              <w:t>参数</w:t>
            </w:r>
          </w:p>
        </w:tc>
        <w:tc>
          <w:tcPr>
            <w:tcW w:w="717" w:type="pct"/>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一级指标</w:t>
            </w:r>
          </w:p>
        </w:tc>
        <w:tc>
          <w:tcPr>
            <w:tcW w:w="599" w:type="pct"/>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 xml:space="preserve"> 二级指标 </w:t>
            </w:r>
          </w:p>
        </w:tc>
        <w:tc>
          <w:tcPr>
            <w:tcW w:w="910" w:type="pct"/>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三级指标</w:t>
            </w:r>
          </w:p>
        </w:tc>
        <w:tc>
          <w:tcPr>
            <w:tcW w:w="1552" w:type="pct"/>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四级指标</w:t>
            </w:r>
          </w:p>
        </w:tc>
        <w:tc>
          <w:tcPr>
            <w:tcW w:w="813" w:type="pct"/>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目标值</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通过指标</w:t>
            </w:r>
          </w:p>
        </w:tc>
        <w:tc>
          <w:tcPr>
            <w:tcW w:w="599"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产出指标</w:t>
            </w:r>
          </w:p>
        </w:tc>
        <w:tc>
          <w:tcPr>
            <w:tcW w:w="910"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产出数量</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软件开发完成率</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100%</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产出质量</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软件测试达标</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通过</w:t>
            </w:r>
          </w:p>
        </w:tc>
      </w:tr>
      <w:tr>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安全事件发生次数</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0次</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密码测试达标</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通过</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安全测试达标</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通过</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网络安全等级保护</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三级</w:t>
            </w:r>
          </w:p>
        </w:tc>
      </w:tr>
      <w:tr>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一次性验收合格率</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100%</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系统可靠性</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≥99.9%</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产生时效</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项目建设周期</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≤12个月</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产出成本</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标准化内容支出比例</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≥2%</w:t>
            </w:r>
          </w:p>
        </w:tc>
      </w:tr>
      <w:tr>
        <w:trPr>
          <w:trHeight w:val="56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应用系统</w:t>
            </w:r>
          </w:p>
        </w:tc>
        <w:tc>
          <w:tcPr>
            <w:tcW w:w="910"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系统与业务融</w:t>
            </w:r>
          </w:p>
          <w:p>
            <w:pPr>
              <w:widowControl/>
              <w:spacing w:line="240" w:lineRule="auto"/>
              <w:ind w:firstLine="0" w:firstLineChars="0"/>
              <w:jc w:val="left"/>
              <w:rPr>
                <w:rFonts w:hint="eastAsia" w:cs="宋体"/>
                <w:kern w:val="0"/>
                <w:sz w:val="22"/>
                <w:szCs w:val="22"/>
              </w:rPr>
            </w:pPr>
            <w:r>
              <w:rPr>
                <w:rFonts w:hint="eastAsia" w:cs="宋体"/>
                <w:kern w:val="0"/>
                <w:sz w:val="22"/>
                <w:szCs w:val="22"/>
              </w:rPr>
              <w:t>合能力</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线上业务流程数</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≥3个</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用户使用情况</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系统用户量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≥900个</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月活跃用户量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≥200人次/月</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监测监管系统</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监测数据完整性</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≥95%</w:t>
            </w:r>
          </w:p>
        </w:tc>
      </w:tr>
      <w:tr>
        <w:trPr>
          <w:trHeight w:val="56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监测监管月均做出辅助决策</w:t>
            </w:r>
          </w:p>
          <w:p>
            <w:pPr>
              <w:widowControl/>
              <w:spacing w:line="240" w:lineRule="auto"/>
              <w:ind w:firstLine="0" w:firstLineChars="0"/>
              <w:jc w:val="left"/>
              <w:rPr>
                <w:rFonts w:hint="eastAsia" w:cs="宋体"/>
                <w:kern w:val="0"/>
                <w:sz w:val="22"/>
                <w:szCs w:val="22"/>
              </w:rPr>
            </w:pPr>
            <w:r>
              <w:rPr>
                <w:rFonts w:hint="eastAsia" w:cs="宋体"/>
                <w:kern w:val="0"/>
                <w:sz w:val="22"/>
                <w:szCs w:val="22"/>
              </w:rPr>
              <w:t>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≥4个/月</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监测指标数量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≥10个</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重点应用</w:t>
            </w:r>
          </w:p>
        </w:tc>
        <w:tc>
          <w:tcPr>
            <w:tcW w:w="91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大模型应用</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数据编目更新及时率</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≥90%</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语料加工数据准确率</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≥95%</w:t>
            </w:r>
          </w:p>
        </w:tc>
      </w:tr>
      <w:tr>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数据目录覆盖率</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≥90%</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形成语料库条目数</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≥10000条</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业务指标</w:t>
            </w:r>
          </w:p>
        </w:tc>
        <w:tc>
          <w:tcPr>
            <w:tcW w:w="599"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产出指标</w:t>
            </w:r>
          </w:p>
        </w:tc>
        <w:tc>
          <w:tcPr>
            <w:tcW w:w="910"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产出数量</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建设算法模型数量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≥2个</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产出质量</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支持同时在线人数</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≥100人</w:t>
            </w:r>
          </w:p>
        </w:tc>
      </w:tr>
      <w:tr>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支持并发用户数</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≥50人</w:t>
            </w:r>
          </w:p>
        </w:tc>
      </w:tr>
      <w:tr>
        <w:tblPrEx>
          <w:tblCellMar>
            <w:top w:w="0" w:type="dxa"/>
            <w:left w:w="108" w:type="dxa"/>
            <w:bottom w:w="0" w:type="dxa"/>
            <w:right w:w="108" w:type="dxa"/>
          </w:tblCellMar>
        </w:tblPrEx>
        <w:trPr>
          <w:trHeight w:val="28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系统登录时间</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≤5秒</w:t>
            </w:r>
          </w:p>
        </w:tc>
      </w:tr>
      <w:tr>
        <w:tblPrEx>
          <w:tblCellMar>
            <w:top w:w="0" w:type="dxa"/>
            <w:left w:w="108" w:type="dxa"/>
            <w:bottom w:w="0" w:type="dxa"/>
            <w:right w:w="108" w:type="dxa"/>
          </w:tblCellMar>
        </w:tblPrEx>
        <w:trPr>
          <w:trHeight w:val="89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一般查询、写入、搜索、报</w:t>
            </w:r>
          </w:p>
          <w:p>
            <w:pPr>
              <w:widowControl/>
              <w:spacing w:line="240" w:lineRule="auto"/>
              <w:ind w:firstLine="0" w:firstLineChars="0"/>
              <w:jc w:val="left"/>
              <w:rPr>
                <w:rFonts w:hint="eastAsia" w:cs="宋体"/>
                <w:kern w:val="0"/>
                <w:sz w:val="22"/>
                <w:szCs w:val="22"/>
              </w:rPr>
            </w:pPr>
            <w:r>
              <w:rPr>
                <w:rFonts w:hint="eastAsia" w:cs="宋体"/>
                <w:kern w:val="0"/>
                <w:sz w:val="22"/>
                <w:szCs w:val="22"/>
              </w:rPr>
              <w:t>表统计操作响应时间(90%的操作页面）</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≤5秒</w:t>
            </w:r>
          </w:p>
        </w:tc>
      </w:tr>
      <w:tr>
        <w:tblPrEx>
          <w:tblCellMar>
            <w:top w:w="0" w:type="dxa"/>
            <w:left w:w="108" w:type="dxa"/>
            <w:bottom w:w="0" w:type="dxa"/>
            <w:right w:w="108" w:type="dxa"/>
          </w:tblCellMar>
        </w:tblPrEx>
        <w:trPr>
          <w:trHeight w:val="30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效益指标</w:t>
            </w:r>
          </w:p>
        </w:tc>
        <w:tc>
          <w:tcPr>
            <w:tcW w:w="91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社会效益</w:t>
            </w: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覆盖委办单位数量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≥6家</w:t>
            </w:r>
          </w:p>
        </w:tc>
      </w:tr>
      <w:tr>
        <w:trPr>
          <w:trHeight w:val="30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监测危化企业数量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≥200家</w:t>
            </w:r>
          </w:p>
        </w:tc>
      </w:tr>
      <w:tr>
        <w:tblPrEx>
          <w:tblCellMar>
            <w:top w:w="0" w:type="dxa"/>
            <w:left w:w="108" w:type="dxa"/>
            <w:bottom w:w="0" w:type="dxa"/>
            <w:right w:w="108" w:type="dxa"/>
          </w:tblCellMar>
        </w:tblPrEx>
        <w:trPr>
          <w:trHeight w:val="30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监测建筑工地数量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≥1500家</w:t>
            </w:r>
          </w:p>
        </w:tc>
      </w:tr>
      <w:tr>
        <w:tblPrEx>
          <w:tblCellMar>
            <w:top w:w="0" w:type="dxa"/>
            <w:left w:w="108" w:type="dxa"/>
            <w:bottom w:w="0" w:type="dxa"/>
            <w:right w:w="108" w:type="dxa"/>
          </w:tblCellMar>
        </w:tblPrEx>
        <w:trPr>
          <w:trHeight w:val="90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监测工贸粉尘作业30人以上金属粉尘、木粉尘企业数量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≥100家</w:t>
            </w:r>
          </w:p>
        </w:tc>
      </w:tr>
      <w:tr>
        <w:tblPrEx>
          <w:tblCellMar>
            <w:top w:w="0" w:type="dxa"/>
            <w:left w:w="108" w:type="dxa"/>
            <w:bottom w:w="0" w:type="dxa"/>
            <w:right w:w="108" w:type="dxa"/>
          </w:tblCellMar>
        </w:tblPrEx>
        <w:trPr>
          <w:trHeight w:val="30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监测钢铁铝加工企业数量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≥20家</w:t>
            </w:r>
          </w:p>
        </w:tc>
      </w:tr>
      <w:tr>
        <w:trPr>
          <w:trHeight w:val="30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监测避灾安置场所数量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≥1000家</w:t>
            </w:r>
          </w:p>
        </w:tc>
      </w:tr>
      <w:tr>
        <w:tblPrEx>
          <w:tblCellMar>
            <w:top w:w="0" w:type="dxa"/>
            <w:left w:w="108" w:type="dxa"/>
            <w:bottom w:w="0" w:type="dxa"/>
            <w:right w:w="108" w:type="dxa"/>
          </w:tblCellMar>
        </w:tblPrEx>
        <w:trPr>
          <w:trHeight w:val="30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落地应用场景数量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≥8家</w:t>
            </w:r>
          </w:p>
        </w:tc>
      </w:tr>
      <w:tr>
        <w:tblPrEx>
          <w:tblCellMar>
            <w:top w:w="0" w:type="dxa"/>
            <w:left w:w="108" w:type="dxa"/>
            <w:bottom w:w="0" w:type="dxa"/>
            <w:right w:w="108" w:type="dxa"/>
          </w:tblCellMar>
        </w:tblPrEx>
        <w:trPr>
          <w:trHeight w:val="300" w:hRule="atLeast"/>
        </w:trPr>
        <w:tc>
          <w:tcPr>
            <w:tcW w:w="4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717"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599"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91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1552"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每月形成分析报告数量</w:t>
            </w:r>
          </w:p>
        </w:tc>
        <w:tc>
          <w:tcPr>
            <w:tcW w:w="813"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rPr>
            </w:pPr>
            <w:r>
              <w:rPr>
                <w:rFonts w:hint="eastAsia" w:cs="宋体"/>
                <w:kern w:val="0"/>
              </w:rPr>
              <w:t>≥1份/月</w:t>
            </w:r>
          </w:p>
        </w:tc>
      </w:tr>
    </w:tbl>
    <w:p>
      <w:pPr>
        <w:rPr>
          <w:rFonts w:hint="eastAsia"/>
          <w:bCs/>
        </w:rPr>
      </w:pPr>
    </w:p>
    <w:p>
      <w:pPr>
        <w:pStyle w:val="2"/>
        <w:ind w:left="480"/>
        <w:rPr>
          <w:rFonts w:hint="eastAsia"/>
        </w:rPr>
      </w:pPr>
      <w:bookmarkStart w:id="11" w:name="_Toc47539102"/>
      <w:bookmarkEnd w:id="11"/>
      <w:bookmarkStart w:id="12" w:name="_Toc47533288"/>
      <w:bookmarkEnd w:id="12"/>
      <w:bookmarkStart w:id="13" w:name="_Toc47532923"/>
      <w:bookmarkEnd w:id="13"/>
      <w:bookmarkStart w:id="14" w:name="_Toc47536676"/>
      <w:bookmarkEnd w:id="14"/>
      <w:bookmarkStart w:id="15" w:name="_Toc47536304"/>
      <w:bookmarkEnd w:id="15"/>
      <w:bookmarkStart w:id="16" w:name="_Toc47537166"/>
      <w:bookmarkEnd w:id="16"/>
      <w:r>
        <w:rPr>
          <w:rFonts w:hint="eastAsia"/>
        </w:rPr>
        <w:t>项目建设内容</w:t>
      </w:r>
    </w:p>
    <w:p>
      <w:pPr>
        <w:pStyle w:val="3"/>
        <w:ind w:left="1" w:hanging="1"/>
        <w:rPr>
          <w:rFonts w:ascii="Times New Roman" w:hAnsi="Times New Roman"/>
        </w:rPr>
      </w:pPr>
      <w:r>
        <w:rPr>
          <w:rFonts w:hint="eastAsia" w:ascii="Times New Roman" w:hAnsi="Times New Roman"/>
        </w:rPr>
        <w:t>建设内容概述</w:t>
      </w:r>
    </w:p>
    <w:p>
      <w:pPr>
        <w:numPr>
          <w:ilvl w:val="0"/>
          <w:numId w:val="3"/>
        </w:numPr>
        <w:rPr>
          <w:rFonts w:hint="eastAsia"/>
        </w:rPr>
      </w:pPr>
      <w:r>
        <w:rPr>
          <w:rFonts w:hint="eastAsia"/>
        </w:rPr>
        <w:t>应急管理领域安全综合风险监测预警</w:t>
      </w:r>
    </w:p>
    <w:p>
      <w:pPr>
        <w:numPr>
          <w:ilvl w:val="0"/>
          <w:numId w:val="4"/>
        </w:numPr>
        <w:rPr>
          <w:rFonts w:hint="eastAsia"/>
        </w:rPr>
      </w:pPr>
      <w:r>
        <w:rPr>
          <w:rFonts w:hint="eastAsia"/>
        </w:rPr>
        <w:t>安全生产形势指数算法</w:t>
      </w:r>
    </w:p>
    <w:p>
      <w:pPr>
        <w:rPr>
          <w:rFonts w:hint="eastAsia"/>
          <w:bCs/>
        </w:rPr>
      </w:pPr>
      <w:r>
        <w:rPr>
          <w:rFonts w:hint="eastAsia"/>
          <w:bCs/>
        </w:rPr>
        <w:t>分类接入、全面整合安全综合风险监测预警系统建设关键信息和要素数据。阶段性达到应急部、市GAW对安全综合风险监测预警工作的指导要求。</w:t>
      </w:r>
    </w:p>
    <w:p>
      <w:pPr>
        <w:numPr>
          <w:ilvl w:val="0"/>
          <w:numId w:val="4"/>
        </w:numPr>
        <w:rPr>
          <w:rFonts w:hint="eastAsia"/>
        </w:rPr>
      </w:pPr>
      <w:r>
        <w:rPr>
          <w:rFonts w:hint="eastAsia"/>
        </w:rPr>
        <w:t>防灾减灾综合分析预警模型</w:t>
      </w:r>
    </w:p>
    <w:p>
      <w:pPr>
        <w:rPr>
          <w:rFonts w:hint="eastAsia"/>
          <w:bCs/>
        </w:rPr>
      </w:pPr>
      <w:r>
        <w:rPr>
          <w:rFonts w:hint="eastAsia"/>
          <w:bCs/>
        </w:rPr>
        <w:t>依托应急管理省级节点数据处理上报应用系统，整合自然灾害综合风险基础数据常态化更新成果等多源数据，按照业务部门审批意见在应急管理系统内部开展数据共享，构建“一张图”应急管理专有域。</w:t>
      </w:r>
    </w:p>
    <w:p>
      <w:pPr>
        <w:numPr>
          <w:ilvl w:val="0"/>
          <w:numId w:val="4"/>
        </w:numPr>
        <w:rPr>
          <w:rFonts w:hint="eastAsia"/>
        </w:rPr>
      </w:pPr>
      <w:r>
        <w:rPr>
          <w:rFonts w:hint="eastAsia"/>
        </w:rPr>
        <w:t>综合风险监测各领域专屏应用</w:t>
      </w:r>
    </w:p>
    <w:p>
      <w:pPr>
        <w:rPr>
          <w:rFonts w:hint="eastAsia"/>
          <w:bCs/>
        </w:rPr>
      </w:pPr>
      <w:r>
        <w:rPr>
          <w:rFonts w:hint="eastAsia"/>
          <w:bCs/>
        </w:rPr>
        <w:t>需搭建应急领域安全综合风险监测预警专题页面，通过各类数据接入与整合，能够集成展示本市危险化学品、粉尘涉爆企业安全风险、钢铁和铝加工企业安全风险、自然灾害风险等监测预警信息，实现一屏掌握应急领域风险隐患</w:t>
      </w:r>
    </w:p>
    <w:p>
      <w:pPr>
        <w:numPr>
          <w:ilvl w:val="0"/>
          <w:numId w:val="4"/>
        </w:numPr>
        <w:rPr>
          <w:rFonts w:hint="eastAsia"/>
        </w:rPr>
      </w:pPr>
      <w:r>
        <w:rPr>
          <w:rFonts w:hint="eastAsia"/>
        </w:rPr>
        <w:t>应急预案管用业务知识库数据预处理</w:t>
      </w:r>
    </w:p>
    <w:p>
      <w:pPr>
        <w:rPr>
          <w:rFonts w:hint="eastAsia"/>
          <w:bCs/>
        </w:rPr>
      </w:pPr>
      <w:r>
        <w:rPr>
          <w:rFonts w:hint="eastAsia"/>
          <w:bCs/>
        </w:rPr>
        <w:t>构建应急预案智能化数据预处理体系，覆盖预案审核、预案演练管理、辅助事件响应及资源调度等核心业务数据标准化处理。通过规则引擎构建、智能分析模型和数据接口集成，实现业务流程自动化和知识库智能化支撑。</w:t>
      </w:r>
    </w:p>
    <w:p>
      <w:pPr>
        <w:numPr>
          <w:ilvl w:val="0"/>
          <w:numId w:val="4"/>
        </w:numPr>
        <w:rPr>
          <w:rFonts w:hint="eastAsia"/>
        </w:rPr>
      </w:pPr>
      <w:r>
        <w:rPr>
          <w:rFonts w:hint="eastAsia"/>
        </w:rPr>
        <w:t>基层赋能及公众服务应用</w:t>
      </w:r>
    </w:p>
    <w:p>
      <w:pPr>
        <w:rPr>
          <w:rFonts w:hint="eastAsia"/>
          <w:bCs/>
        </w:rPr>
      </w:pPr>
      <w:r>
        <w:rPr>
          <w:rFonts w:hint="eastAsia"/>
          <w:bCs/>
        </w:rPr>
        <w:t>依托市政务云MAP平台，构建智慧化自然灾害风险评估体系，一是建立社区风险动态评估模型，二是建立重大基础设施风险评估模型。并通过以上模型，支撑公众版防灾避险一张图建设。</w:t>
      </w:r>
    </w:p>
    <w:p>
      <w:pPr>
        <w:numPr>
          <w:ilvl w:val="0"/>
          <w:numId w:val="3"/>
        </w:numPr>
        <w:rPr>
          <w:rFonts w:hint="eastAsia"/>
        </w:rPr>
      </w:pPr>
      <w:r>
        <w:rPr>
          <w:rFonts w:hint="eastAsia"/>
        </w:rPr>
        <w:t>灾害应对升级改造</w:t>
      </w:r>
    </w:p>
    <w:p>
      <w:pPr>
        <w:rPr>
          <w:rFonts w:hint="eastAsia"/>
          <w:bCs/>
        </w:rPr>
      </w:pPr>
      <w:r>
        <w:rPr>
          <w:rFonts w:hint="eastAsia"/>
          <w:bCs/>
        </w:rPr>
        <w:t>根据指挥中心六停指挥调度需求，聚焦停课、停工、停运、停航、停园、停业等各领域信息，形成涵盖气象预警响应、视频会商、视频浏览、六停看板、受灾分析及YQ收集等六停指挥调度专题场景。灾情直报与调查核定，通过便捷的灾情上报功能，支持多级审核流程。特殊气象场景应对升级，包括但不限于台风、暴雨、暴雪等极端天气的专项应对策略优化</w:t>
      </w:r>
    </w:p>
    <w:p>
      <w:pPr>
        <w:rPr>
          <w:rFonts w:hint="eastAsia"/>
        </w:rPr>
      </w:pPr>
    </w:p>
    <w:p>
      <w:pPr>
        <w:rPr>
          <w:rFonts w:hint="eastAsia"/>
        </w:rPr>
      </w:pPr>
    </w:p>
    <w:p>
      <w:pPr>
        <w:pStyle w:val="3"/>
        <w:ind w:left="1" w:hanging="1"/>
        <w:rPr>
          <w:rFonts w:ascii="Times New Roman" w:hAnsi="Times New Roman"/>
        </w:rPr>
      </w:pPr>
      <w:r>
        <w:rPr>
          <w:rFonts w:hint="eastAsia" w:ascii="Times New Roman" w:hAnsi="Times New Roman"/>
        </w:rPr>
        <w:t>软件开发需求</w:t>
      </w:r>
    </w:p>
    <w:p>
      <w:pPr>
        <w:pStyle w:val="61"/>
        <w:numPr>
          <w:ilvl w:val="0"/>
          <w:numId w:val="5"/>
        </w:numPr>
        <w:ind w:firstLineChars="0"/>
        <w:rPr>
          <w:rFonts w:hint="eastAsia" w:asciiTheme="minorEastAsia" w:hAnsiTheme="minorEastAsia" w:eastAsiaTheme="minorEastAsia"/>
          <w:b/>
          <w:sz w:val="24"/>
        </w:rPr>
      </w:pPr>
      <w:r>
        <w:rPr>
          <w:rFonts w:hint="eastAsia" w:asciiTheme="minorEastAsia" w:hAnsiTheme="minorEastAsia" w:eastAsiaTheme="minorEastAsia"/>
          <w:b/>
          <w:sz w:val="24"/>
        </w:rPr>
        <w:t>软件开发清单：</w:t>
      </w:r>
    </w:p>
    <w:tbl>
      <w:tblPr>
        <w:tblStyle w:val="35"/>
        <w:tblW w:w="8540" w:type="dxa"/>
        <w:tblInd w:w="113" w:type="dxa"/>
        <w:tblLayout w:type="autofit"/>
        <w:tblCellMar>
          <w:top w:w="0" w:type="dxa"/>
          <w:left w:w="108" w:type="dxa"/>
          <w:bottom w:w="0" w:type="dxa"/>
          <w:right w:w="108" w:type="dxa"/>
        </w:tblCellMar>
      </w:tblPr>
      <w:tblGrid>
        <w:gridCol w:w="600"/>
        <w:gridCol w:w="1000"/>
        <w:gridCol w:w="2223"/>
        <w:gridCol w:w="4717"/>
      </w:tblGrid>
      <w:tr>
        <w:tblPrEx>
          <w:tblCellMar>
            <w:top w:w="0" w:type="dxa"/>
            <w:left w:w="108" w:type="dxa"/>
            <w:bottom w:w="0" w:type="dxa"/>
            <w:right w:w="108" w:type="dxa"/>
          </w:tblCellMar>
        </w:tblPrEx>
        <w:trPr>
          <w:trHeight w:val="1000" w:hRule="atLeast"/>
        </w:trPr>
        <w:tc>
          <w:tcPr>
            <w:tcW w:w="6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序号</w:t>
            </w:r>
          </w:p>
        </w:tc>
        <w:tc>
          <w:tcPr>
            <w:tcW w:w="1000"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应用系统名称</w:t>
            </w:r>
          </w:p>
        </w:tc>
        <w:tc>
          <w:tcPr>
            <w:tcW w:w="2223"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功能名称</w:t>
            </w:r>
          </w:p>
        </w:tc>
        <w:tc>
          <w:tcPr>
            <w:tcW w:w="4717"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功能描述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w:t>
            </w:r>
          </w:p>
        </w:tc>
        <w:tc>
          <w:tcPr>
            <w:tcW w:w="100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应急管理领域安全综合风险监测预警</w:t>
            </w: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安全生产形势指数算法-算法指标体系管理-指标体系详情配置与指标管理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支持对二级和三级指标的指标项信息进行修改配置。</w:t>
            </w:r>
          </w:p>
          <w:p>
            <w:pPr>
              <w:widowControl/>
              <w:spacing w:line="240" w:lineRule="auto"/>
              <w:ind w:firstLine="0" w:firstLineChars="0"/>
              <w:jc w:val="center"/>
              <w:rPr>
                <w:rFonts w:hint="eastAsia" w:cs="宋体"/>
                <w:kern w:val="0"/>
                <w:sz w:val="22"/>
                <w:szCs w:val="22"/>
              </w:rPr>
            </w:pPr>
            <w:r>
              <w:rPr>
                <w:rFonts w:hint="eastAsia" w:cs="宋体"/>
                <w:kern w:val="0"/>
                <w:sz w:val="22"/>
                <w:szCs w:val="22"/>
              </w:rPr>
              <w:t>支持在缺省指标体系的基础上，实现围绕安全生产形势相关的二级指标、三级指标新增及配套指标详情的配置管理。</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安全生产形势指数算法-算法指标体系管理-指标填报表单配置</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针对安全生产形势指数相关的事故统计数据，需接入非结构化事故数据文件，实现结构化管理和长期追溯。需配置指标表单，支持在线填报和自动化数据提取。</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安全生产形势指数算法-指标数据源配置管理-指标数据接入/导入、填报</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支持对事故统计数据相关文件的指定路径接入、导入上传功能。</w:t>
            </w:r>
          </w:p>
          <w:p>
            <w:pPr>
              <w:widowControl/>
              <w:spacing w:line="240" w:lineRule="auto"/>
              <w:ind w:firstLine="0" w:firstLineChars="0"/>
              <w:jc w:val="center"/>
              <w:rPr>
                <w:rFonts w:hint="eastAsia" w:cs="宋体"/>
                <w:kern w:val="0"/>
                <w:sz w:val="22"/>
                <w:szCs w:val="22"/>
              </w:rPr>
            </w:pPr>
            <w:r>
              <w:rPr>
                <w:rFonts w:hint="eastAsia" w:cs="宋体"/>
                <w:kern w:val="0"/>
                <w:sz w:val="22"/>
                <w:szCs w:val="22"/>
              </w:rPr>
              <w:t>支持针对安全生产形势指数三级指标，进行在线直接填报，并针对填报结果不符合项进行提示。</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安全生产形势指数算法-指标数据源配置管理-特殊事故指标YQ要素获取</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依据特殊事故指标YQ相关要素配置要求，配置特殊事故YQ要素标准，通过网络抓取数据，形成结构化结果以辅助赋值。</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安全生产形势指数算法-指标数据源配置管理-指标数据显示与异常提醒</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支持对多源数据进行查看，同时设置异常数据监控功能，针对异常值进行提醒和确认。</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安全生产形势指数算法-指标体系权重配置-指标体系权重设置</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支持按部标准预设指标缺省值，并在线设置二级、三级指标权重。提供专家赋权功能。同时支持基于层次分析法，按重要性原则自动计算权重。</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安全生产形势指数算法-指标项计算及打分-指标计算赋值</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按事故起数、等级、地区、时间、YQ及同比上升率、死亡人数等，分2-5档进行判定和赋值。</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安全生产形势指数算法-指标项计算及打分-单位生产总值生产安全事故死亡指标计算赋值</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通过计算“当月单位生产总值生产安全事故死亡率/上年度均值”进行判定和赋值。</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安全生产形势指数算法-指标体系风险评估-事故情况指标风险评估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基于三级指标赋值结果及对应权重，按事故情况指标风险评估规则，计算事故情况指标风险值，并自动显示结果和异常提醒。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安全生产形势指数算法-指标体系风险评估-事故死亡指标风险评估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基于三级指标赋值结果及对应权重，按事故死亡指标风险评估规则，计算事故死亡指标风险值，并自动显示结果和异常提醒。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安全生产形势指数算法-指标体系风险评估-安全生产形势指数综合风险评估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基于二级指标赋值结果及对应权重，按照安全生产形势指数综合风险评估规则，计算分析获取安全生产形势指数综合风险值，并自动显示结果和异常提醒。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安全生产形势指数算法-风险预警等级评估-预警规则缺省判定</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按安全生产形势指数预警准则，结合一级和三级指标评估结果，自动生成五级预警等级。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安全生产形势指数算法-风险预警等级评估-预警范围调整更新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支持在线调整五级预警范围值，调整后预警等级按新准则统一更新，确保长时序预警规则基准一致。</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安全生产形势指数算法-风险评估预警结果综合展示-安全生产形势风险评估展示与统计</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系统支持对事故情况、死亡及综合风险预警等级，进行时空维度多层级展示与统计，并可按时间周期追踪风险变化。同时实现市、区两级数据联动展示，并对风险指数进行长时序趋势分析，辅助全面掌握风险演变态势。</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安全生产形势指数算法-风险评估预警结果综合展示-指标体系全要素面板展示</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支持安全生产形势指数全要素面板展示，可追溯各级指标与权重，并结合预警等级给出应对决策建议提示。</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自然灾害影响指数算法-算法指标体系管理-指标体系详情配置与指标管理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支持对自然灾害影响的二级、三级指标进行新增、删除、修改等配置管理，包括指标名称、数据来源、更新频次、异常规则等，确保指标体系实战可用，并同步更新风险评估与预警结果。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自然灾害影响指数算法-算法指标体系管理-指标填报表单配置</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针对自然灾害影响指数相关数据，提供多源数据接入与在线填报功能，支持结构化配置与管理，并配置特殊灾害事件YQ要素与判定标准，为风险评估提供支撑。</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自然灾害影响指数算法-指标数据源配置管理-指标数据接入/导入、填报</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针对自然灾害影响指数的多源数据，提供文件接入导入与在线填报功能，以支撑指标结构化管理和长期追溯查看。</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自然灾害影响指数算法-指标数据源配置管理-特殊事故指标YQ要素获取</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依据“特殊灾害事件”指标配置要求，通过网络YQ抓取要素，形成标准化数据，以辅助指标赋值。</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自然灾害影响指数算法-指标数据源配置管理-指标数据显示与异常提醒</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支持对多源接入与填报数据（如文件、表单结果）进行列表化查看，并结合周期变化趋势进行异常监控与提醒。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自然灾害影响指数算法-指标体系权重配置-指标体系权重设置</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支持按部颁标准设置指标权重，可在线调整或由至少三位专家独立打分，并支持运用层次分析法自动计算权重。</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自然灾害影响指数算法-指标项计算及打分-指标计算赋值</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根据灾害响应等级、事件级别、YQ及同比上升率等因素，分2-4档对各项指标进行判定与赋值。</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自然灾害影响指数算法-指标项计算及打分-因灾害导致“三断”区域指标计算赋值</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通过计算“完全中断县级区域数、部分中断县级区域数”进行判定和赋值，包含100、75、50、0共4个赋值档级。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自然灾害影响指数算法-指标体系风险评估-灾害应急响应指标风险评估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基于灾害三级指标赋值结果及对应权重，按照灾害应急响应指标风险评估规则，计算分析获取灾害应急响应指标风险值，并支持风险值结果自动化显示和异常值提醒。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自然灾害影响指数算法-指标体系风险评估-灾害事件指标风险评估/灾害死亡失踪指标风险评估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基于灾害事件与死亡失踪相关三级指标赋值及权重，自动计算灾害事件与死亡失踪指标风险值，并显示结果和异常提醒。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自然灾害影响指数算法-指标体系风险评估-“三断”区域指标风险评估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基于因灾害导致“三断“区域1项三级指标赋值结果及对应权重，按照“三断”区域指标风险评估规则，计算分析获取“三断”区域指标风险值，并支持风险值结果自动化显示和异常值提醒。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自然灾害影响指数算法-指标体系风险评估-自然灾害影响指数综合风险评估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灾害应急响应、灾害事件、灾害死亡失踪和“三断”区域共计4项二级指标赋值结果及对应权重，按照自然灾害影响指数综合风险评估规则，计算分析获取自然灾害影响指数综合风险值，并支持风险值结果自动化显示和异常值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自然灾害影响指数算法-风险预警等级评估-预警规则缺省判定</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依据自然灾害影响指数预警准则进行缺省配置，结合自然灾害影响指数一级指标评估结果值、三级指标评估结果值进行综合判定，最终形成一级预警、二级预警、三级预警、四级预警、五级预警共5个预警等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自然灾害影响指数算法-风险预警等级评估-预警范围调整更新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支持在线调整五级预警范围值，调整后预警等级按新标准统一更新，确保长时序规则基准一致。</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自然灾害影响指数算法-风险评估预警结果综合展示-自然灾害影响风险评估预警展示与统计</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支持按时间、区域、行政层级多维度展示自然灾害相关风险与预警等级，实现市、区两级数据联动，并可对风险指数进行长时序趋势分析。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自然灾害影响指数算法-风险评估预警结果综合展示-指标体系全要素面板展示</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支持自然灾害影响指数全要素面板展示，便于追溯各级指标与权重，并可根据预警等级给出应对建议。</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生产安全风险监测指数算法-算法指标体系管理-指标体系详情配置与指标管理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支持对生产安全风险的二、三级指标（如危化、工贸等）进行增删改配置，并可对接现有系统。指标更新后，能同步更新风险评估与预警结果。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生产安全风险监测指数算法-指标数据源配置管理-危险化学品全过程监管信息系统数据接入功能</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针对二级指标危险化学品风险监测指数，接入危险化学品监管系统，获取监测报警、特殊作业、隐患排查等指标数据，以实现危险化学品风险监测指数计算。</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生产安全风险监测指数算法-指标数据源配置管理-工贸重点行业监测预警系统数据接入功能</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针对二级指标重点工贸风险监测指数，通过接入已建工贸重点行业监测预警系统，开发数据接入功能，实现风险指数相关业务指标的关联匹配与接入。</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生产安全风险监测指数算法-指标数据源配置管理-指标数据显示与异常提醒</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支持对系统接入数据进行表单式查看，同时设置异常数据监控功能，依据一段周期内相同指标的变化趋势进行分析和异常，针对异常值进行提醒和确认。</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生产安全风险监测指数算法-指标体系权重配置-指标体系权重设置</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支持按应急管理部标准，通过预设、专家在线打分及层次分析法，设置和计算二级、三级指标权重。</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生产安全风险监测指数算法-生产安全各项指数计算-指数指标计算</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基于企业感知与运行数据，汇总当日各类报警、作业、隐患数量，经加权计算得出危险化学品、涉爆粉尘、钢铁、铝加工等行业的各项风险指数。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生产安全风险监测指数算法-指标体系风险评估-危险化学品风险监测指数风险评估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基于监测报警指数、特殊作业指数、隐患排查指数3项三级指数计算结果及对应权重，按照危险化学品风险监测指数风险评估规则，计算分析获取风险值，并支持风险值结果自动化显示和异常值提醒。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39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生产安全风险监测指数算法-指标体系风险评估-重点工贸风险监测指数风险评估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基于三级指数计算结果及对应权重，按照重点工贸风险监测指数风险评估规则，计算分析获取风险值，并支持风险值结果自动化显示和异常值提醒。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生产安全风险监测指数算法-风险预警等级评估-危险化学品风险监测指数预警规则缺省判定/危险化学品风险监测指数预警范围调整更新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依据预警准则及三级指标结果，自动生成五级预警。支持在线调整预警范围，调整后按新准则统一更新结果。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生产安全风险监测指数算法-风险预警等级评估-重点工贸风险监测指数预警规则缺省判定</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支持依据重点工贸风险监测指数预警准则进行缺省配置，结合三级指标评估结果值进行综合判定，最终形成一级预警、二级预警、三级预警、四级预警、五级预警共5个预警等级。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生产安全风险监测指数算法-风险预警等级评估-重点工贸风险监测指数预警范围调整更新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预警范围在线调整主要实现针对五级预警的范围值进行调整确定，最终的预警等级结果将以调整后的预警准则为标准。同时，为保证长时序预警等级基于统一规则基准，调整后，相关预警结果将统一进行更新。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生产安全风险监测指数算法-风险评估预警结果综合展示-风险评估预警等级展示与统计</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支持对危险化学品和工贸行业风险监测指数进行多维度展示与统计，包括按区域、时间、市/区两级联动查看，并提供长时序趋势分析、预警结果及应对建议。支持全要素面板展示，便于追溯。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生产安全风险监测指数算法-风险评估预警结果综合展示-重点工贸指标体系全要素面板展示</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支持围绕重点工贸风险监测指数三级指标、权重配置值进行全要素、体系化的面板展示，便于数据可追溯可看可查。</w:t>
            </w:r>
          </w:p>
          <w:p>
            <w:pPr>
              <w:widowControl/>
              <w:spacing w:line="240" w:lineRule="auto"/>
              <w:ind w:firstLine="0" w:firstLineChars="0"/>
              <w:jc w:val="center"/>
              <w:rPr>
                <w:rFonts w:hint="eastAsia" w:cs="宋体"/>
                <w:kern w:val="0"/>
                <w:sz w:val="22"/>
                <w:szCs w:val="22"/>
              </w:rPr>
            </w:pPr>
            <w:r>
              <w:rPr>
                <w:rFonts w:hint="eastAsia" w:cs="宋体"/>
                <w:kern w:val="0"/>
                <w:sz w:val="22"/>
                <w:szCs w:val="22"/>
              </w:rPr>
              <w:t>支持结合预警等级及相关应对措施方案给出应对决策建议提示。</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自然灾害风险监测指数算法-算法指标体系管理-指标体系详情配置与指标管理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支持对气象灾害、森林火险等自然灾害风险监测指标进行增、删、改配置，并可同步更新风险评估与预警结果。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自然灾害风险监测指数算法-指标数据源配置管理-气象插件系统数据接入功能/森林火险数据接入功能</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接入气象局及森林火险系统数据，实现各等级气象灾害与森林火险预警数据的对接与获取。</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自然灾害风险监测指数算法-指标数据源配置管理-指标数据显示与异常提醒</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支持对系统接入数据进行表单式查看，同时设置异常数据监控功能，依据一段周期内相同指标的变化趋势进行分析和异常，针对异常值进行提醒和确认。</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自然灾害风险监测指数算法-指标项计算及打分-气象灾害预警指标计算赋值</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通过计算“平均预警等级数”进行判定和赋值，包含80-100、60-80、40-60、20-40共4个赋值档级。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49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自然灾害风险监测指数算法-指标项计算及打分-森林火险预警指标计算赋值</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通过计算“三级森林火险数量、四级森林火险数量、五级森林火险数量”进行判定和赋值，包含100、75、50共3个赋值档级。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自然灾害风险监测指数算法-指标体系风险评估-自然灾害风险监测指数风险评估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依据气象灾害预警、森林火险预警2项指标的打分赋值结果，按照自然灾害风险监测指数评估规则，进行综合风险值计算，最终获取风险等级。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自然灾害风险监测指数算法-风险预警等级评估-预警规则缺省判定</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支持依据自自然灾害风险监测指数预警准则进行缺省配置，最终形成一级预警、二级预警、三级预警、四级预警、五级预警共5个预警等级。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自然灾害风险监测指数算法-风险预警等级评估-预警范围调整更新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预警范围在线调整主要实现针对五级预警的范围值进行调整确定，最终的预警等级结果将以调整后的预警准则为标准。同时，为保证长时序预警等级基于统一规则基准，调整后，相关预警结果将统一进行更新。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自然灾害风险监测指数算法-风险评估预警结果综合展示-气象灾害预警等级展示与统计</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支持按时间、区域、层级等多维度展示气象灾害与森林火险预警等级，并提供趋势分析，帮助掌握风险演变趋势。</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自然灾害风险监测指数算法-风险评估预警结果综合展示-指标体系全要素面板展示</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支持气象灾害与森林火险的全要素面板展示，可追溯指标详情，并结合预警等级提供应对建议及长时序趋势分析。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防灾减灾基础数据接入及应用-防灾减灾数据接入及分析-图层数据接入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从上海市一张图统一服务体系接入房屋建筑、交通、供排水、公共服务设施等基础数据资源。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防灾减灾基础数据接入及应用-防灾减灾数据接入及分析-报灾数据接入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接入应急局灾情报送系统报灾数据，对灾情数据进行结构化处理。</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防灾减灾基础数据接入及应用-防灾减灾数据接入及分析-工单数据接入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接入应急管理综合应用平台工单类数据，输入灾情信息，辅助跟踪研判工作。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防灾减灾基础数据接入及应用-防灾减灾数据接入及分析-临灾预警AI分析</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利用AI技术，基于多源监测和业务数据开展辅助分析，对灾害发展态势和潜在风险进行研判，分析可能影响区域、灾害主要的影响、防灾减灾决策建议等</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59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防灾减灾基础数据接入及应用-常普常新数据导入及发布-常普常新数据导入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开发数据工具支持常普常新数据导入、更新和维护。</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防灾减灾基础数据接入及应用-常普常新数据导入及发布-灾普数据GIS发布</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支持灾害普查成果GIS发布。</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防灾减灾基础数据接入及应用-常普常新数据导入及发布-EGIS系统对接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支持与EGIS系统坐标批量转换。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防灾减灾研判大模型-知识库数据预处理-防灾减灾知识预处理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对防灾减灾领域相关政策文件、业务资料等知识内容进行整理和预处理，为智能应用提供知识支撑。</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防灾减灾研判大模型-知识库数据预处理-上海本地化知识预处理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对上海市行政区地名，地理常识等知识进行预处理，提升防灾减灾业务上海本地适配性。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防灾减灾研判大模型-知识库数据预处理-灾普数据预处理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对上海市灾普数据进行清洗、去噪、结构化等数据预处理工作，支撑风险分析和业务应用需求。</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防灾减灾研判大模型-知识库数据预处理-GIS数据预处理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对防灾减灾GIS相关空间数据进行进行清洗、去噪、结构化等数据预处理工作，支撑风险分析和业务应用需求。</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防灾减灾研判大模型-知识库数据预处理-灾情图片数据预处理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对灾情相关图片资料进行进行清洗、去噪、结构化等数据预处理工作，为灾情研判和辅助分析提供支持。</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防灾减灾研判大模型-大模型接口-智能体调度接口</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提供大模型能力调用和调度接口，支持防灾减灾相关智能分析场景的应用。</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防灾减灾研判大模型-大模型接口-知识库检索接口</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提供防灾减灾领域知识检索能力，支持业务人员快速查询和获取相关知识信息。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69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防灾减灾研判大模型-大模型接口-数据同步接口</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监听知识库各类数据变更事件，自动更新知识库。</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防灾减灾研判大模型-大模型接口-外部工具调用接口</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根据服务器资源、管理权限等实际情况，支持调用外部信息资源，为防灾减灾分析和研判提供辅助信息支撑。</w:t>
            </w:r>
          </w:p>
        </w:tc>
      </w:tr>
      <w:tr>
        <w:tblPrEx>
          <w:tblCellMar>
            <w:top w:w="0" w:type="dxa"/>
            <w:left w:w="108" w:type="dxa"/>
            <w:bottom w:w="0" w:type="dxa"/>
            <w:right w:w="108" w:type="dxa"/>
          </w:tblCellMar>
        </w:tblPrEx>
        <w:trPr>
          <w:trHeight w:val="112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应急管理风险监测预警综合专屏-企业风险模块/自然灾害综合风险模块</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按危险化学品经营、生产、使用等类型，粉尘涉爆企业规模，以及钢铁、铝业加工企业信息进行分类分级统计。同时，接入并展示重大危险源当日预警、风险承诺、气象监测预警、工作提示、受灾及灾后评估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应急管理风险监测预警综合专屏-行政执法模块</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统计分析市执法总队、16区执法大队的行政检查情况，在大屏端综合显示检查数、案件数、罚没款、处罚率等指标。</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应急管理风险监测预警综合专屏-突发事件模块</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显示当前全市发生的突发事件列表与简讯，按照时间先后排序，最新的事件置顶显示，并对接指挥系统，可一键进入指挥专屏，根据按时间维度、区域维度统计全市突发事件的发生情况</w:t>
            </w:r>
          </w:p>
        </w:tc>
      </w:tr>
      <w:tr>
        <w:tblPrEx>
          <w:tblCellMar>
            <w:top w:w="0" w:type="dxa"/>
            <w:left w:w="108" w:type="dxa"/>
            <w:bottom w:w="0" w:type="dxa"/>
            <w:right w:w="108" w:type="dxa"/>
          </w:tblCellMar>
        </w:tblPrEx>
        <w:trPr>
          <w:trHeight w:val="112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危险化学品安全风险监测看板-危化品及企业信息展示</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在GIS地图上，通过红、橙、黄、蓝四色分级直观展示危化品企业与区域风险分布，集成企业、运输车辆实时轨迹与基础信息，支持点击查询详情。实时统计全市及各区的危化品生产能力，并对超阈值异常情况自动预警，突出显示预警位置与相关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危险化学品安全风险监测看板-当日安全风险承诺情况</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在GIS地图标注企业，点击可查当日安全承诺（设备、作业、措施、负责人、风险等级）。显示未承诺企业并短信提醒。分析承诺率、区域风险、近一周趋势。</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危险化学品安全风险监测看板-安全生产预警监测</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整合企业基础、监测、风险数据，在GIS地图与仪表盘上综合呈现。地图按风险等级（红/橙/黄/蓝）标色，红、橙、黄等级预警。点击预警图标可查看详细风险信息。</w:t>
            </w:r>
          </w:p>
        </w:tc>
      </w:tr>
      <w:tr>
        <w:tblPrEx>
          <w:tblCellMar>
            <w:top w:w="0" w:type="dxa"/>
            <w:left w:w="108" w:type="dxa"/>
            <w:bottom w:w="0" w:type="dxa"/>
            <w:right w:w="108" w:type="dxa"/>
          </w:tblCellMar>
        </w:tblPrEx>
        <w:trPr>
          <w:trHeight w:val="112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危险化学品安全风险监测看板-运输风险监控</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在 GIS 地图上标注运输车辆和船舶位置，展示车辆、船舶行驶轨迹，可切换查看历史行驶路线；分析统计车辆类型、所属省份及车辆运行状态（行驶/停留）；点击车辆图标，展示车辆基本信息（车牌号、所属企业、驾驶员信息）、运输危化品信息等。</w:t>
            </w:r>
          </w:p>
        </w:tc>
      </w:tr>
      <w:tr>
        <w:tblPrEx>
          <w:tblCellMar>
            <w:top w:w="0" w:type="dxa"/>
            <w:left w:w="108" w:type="dxa"/>
            <w:bottom w:w="0" w:type="dxa"/>
            <w:right w:w="108" w:type="dxa"/>
          </w:tblCellMar>
        </w:tblPrEx>
        <w:trPr>
          <w:trHeight w:val="112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危险化学品安全风险监测看板-疑似非法行为洞察</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设置电子围栏，通过动态图标与颜色编码在地图上直观显示危化品车辆状态。对偏离路线、异常停留的车辆进行标记。对高频在企业周边活动的车辆，计算企业疑似非法储存积分，累计达到阈值时触发地图预警提醒。</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79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粉尘涉爆企业风险监测专屏-企业基础信息展示</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展示粉尘涉爆企业的基础档案信息，支持多维度分类检索与快速查询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粉尘涉爆企业风险监测专屏-设备设施基础信息及状态监测</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以图文结合、数据表格等多样化形式，详细展示粉尘涉爆企业的设施设备基础参数，同时，通过物联网传感器实时采集关键设备的运行参数，对设备异常状态进行预警。</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粉尘涉爆企业风险监测专屏-粉尘涉爆风险指数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根据粉尘涉爆企业安全生产风险的实时监测和动态预警信息，生成粉尘涉爆风险指数，并支持下钻展示和趋势分析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粉尘涉爆企业风险监测专屏-风险趋势分析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根据所选时间范围内的涉爆粉尘风险指数历史指数及预警等级情况，进行趋势分析，辅助对风险演变趋势进行掌握</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钢铁企业风险监测专屏-企业基础信息展示</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展示钢铁工企业的基础档案信息，支持多维度分类检索与快速查询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钢铁企业风险监测专屏-设备设施基础信息及状态监测</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以图文结合、数据表格等多样化形式，详细展示钢铁企业的设施设备基础参数，同时，通过物联网传感器实时采集关键设备的运行参数，对设备异常状态进行预警。</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钢铁企业风险监测专屏-钢铁风险指数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根据钢铁企业安全生产风险的实时监测和动态预警信息，生成钢铁风险指数，并支持下钻展示和趋势分析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钢铁企业风险监测专屏-风险趋势分析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根据所选时间范围内的钢铁风险指数历史指数及预警等级情况，进行趋势分析，辅助对风险演变趋势进行掌握</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铝加工（深井铸造企业）监测专屏-企业基础信息展示</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展示铝加工（深井铸造企业）的基础档案信息，支持多维度分类检索与快速查询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铝加工（深井铸造企业）监测专屏-设备设施基础信息及状态监测</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以图文结合、数据表格等多样化形式，详细展示铝加工（深井铸造企业）的设施设备基础参数，同时，通过物联网传感器实时采集关键设备的运行参数，对设备异常状态进行预警。</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89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铝加工（深井铸造企业）监测专屏-铝加工（深井铸造）风险指数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根据铝加工（深井铸造）企业安全生产风险的实时监测和动态预警信息，生成铝加工（深井铸造）风险指数，并支持下钻展示和趋势分析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铝加工（深井铸造企业）监测专屏-风险趋势分析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根据所选时间范围内的铝加工（深井铸造企业）风险指数历史指数及预警等级情况，进行趋势分析，辅助对风险演变趋势进行掌握</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区域监测预警专屏-区域风险风险指数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按照行政区划进行风险指数动态更新及列表详情展示，包含针对上海市级和相关区级的涉爆粉尘风险指数、钢铁风险指数、铝加工（深井铸造）风险指数进行细化指标的要素值展示与多维统记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区域监测预警专屏-重点范围风险指数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按照重点关注区域进行风险指数动态更新及下钻展示，具体包含结合实际重点关注区域、易发事故区域等，设置重点关注区，实现对该区域下的风险指数的要素值展示与多维统计</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区域监测预警专屏-重点企业风险指数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按照重点关注企业进行风险指数动态更新及下钻展示，结合实际重点企业对象、易发事故企业等，实现重点关注企业画像及风险指数的要素值展示与多维统计</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区域监测预警专屏-风险趋势分析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根据所选时间范围内的区域风险指数、企业风险指数、重点范围风险指数的历史指数及预警等级情况，进行趋势分析，辅助对风险演变趋势进行掌握</w:t>
            </w:r>
          </w:p>
        </w:tc>
      </w:tr>
      <w:tr>
        <w:tblPrEx>
          <w:tblCellMar>
            <w:top w:w="0" w:type="dxa"/>
            <w:left w:w="108" w:type="dxa"/>
            <w:bottom w:w="0" w:type="dxa"/>
            <w:right w:w="108" w:type="dxa"/>
          </w:tblCellMar>
        </w:tblPrEx>
        <w:trPr>
          <w:trHeight w:val="112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数据接口管理-企业数据对接</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1）危化企业信息接入：通过接口接入危化企业的基本信息；</w:t>
            </w:r>
          </w:p>
          <w:p>
            <w:pPr>
              <w:widowControl/>
              <w:spacing w:line="240" w:lineRule="auto"/>
              <w:ind w:firstLine="0" w:firstLineChars="0"/>
              <w:jc w:val="center"/>
              <w:rPr>
                <w:rFonts w:hint="eastAsia" w:cs="宋体"/>
                <w:kern w:val="0"/>
                <w:sz w:val="22"/>
                <w:szCs w:val="22"/>
              </w:rPr>
            </w:pPr>
            <w:r>
              <w:rPr>
                <w:rFonts w:hint="eastAsia" w:cs="宋体"/>
                <w:kern w:val="0"/>
                <w:sz w:val="22"/>
                <w:szCs w:val="22"/>
              </w:rPr>
              <w:t>2）粉尘涉爆企业信息接入：通过接口接入粉尘涉爆企业的基本信息</w:t>
            </w:r>
          </w:p>
          <w:p>
            <w:pPr>
              <w:widowControl/>
              <w:spacing w:line="240" w:lineRule="auto"/>
              <w:ind w:firstLine="0" w:firstLineChars="0"/>
              <w:jc w:val="center"/>
              <w:rPr>
                <w:rFonts w:hint="eastAsia" w:cs="宋体"/>
                <w:kern w:val="0"/>
                <w:sz w:val="22"/>
                <w:szCs w:val="22"/>
              </w:rPr>
            </w:pPr>
            <w:r>
              <w:rPr>
                <w:rFonts w:hint="eastAsia" w:cs="宋体"/>
                <w:kern w:val="0"/>
                <w:sz w:val="22"/>
                <w:szCs w:val="22"/>
              </w:rPr>
              <w:t>3）钢铁、铝加工企业信息接入：通过接口接入钢铁、铝加工企业信息接入</w:t>
            </w:r>
          </w:p>
        </w:tc>
      </w:tr>
      <w:tr>
        <w:tblPrEx>
          <w:tblCellMar>
            <w:top w:w="0" w:type="dxa"/>
            <w:left w:w="108" w:type="dxa"/>
            <w:bottom w:w="0" w:type="dxa"/>
            <w:right w:w="108" w:type="dxa"/>
          </w:tblCellMar>
        </w:tblPrEx>
        <w:trPr>
          <w:trHeight w:val="224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数据接口管理-监测数据对接</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重大危险源预警信息接入：通过接口接入一二三四级重大危险源的预警监测数据</w:t>
            </w:r>
          </w:p>
          <w:p>
            <w:pPr>
              <w:widowControl/>
              <w:spacing w:line="240" w:lineRule="auto"/>
              <w:ind w:firstLine="0" w:firstLineChars="0"/>
              <w:jc w:val="center"/>
              <w:rPr>
                <w:rFonts w:hint="eastAsia" w:cs="宋体"/>
                <w:kern w:val="0"/>
                <w:sz w:val="22"/>
                <w:szCs w:val="22"/>
              </w:rPr>
            </w:pPr>
            <w:r>
              <w:rPr>
                <w:rFonts w:hint="eastAsia" w:cs="宋体"/>
                <w:kern w:val="0"/>
                <w:sz w:val="22"/>
                <w:szCs w:val="22"/>
              </w:rPr>
              <w:t>每日风险承诺数据接入：通过接口接入危化企业每日风险承诺数据</w:t>
            </w:r>
          </w:p>
          <w:p>
            <w:pPr>
              <w:widowControl/>
              <w:spacing w:line="240" w:lineRule="auto"/>
              <w:ind w:firstLine="0" w:firstLineChars="0"/>
              <w:jc w:val="center"/>
              <w:rPr>
                <w:rFonts w:hint="eastAsia" w:cs="宋体"/>
                <w:kern w:val="0"/>
                <w:sz w:val="22"/>
                <w:szCs w:val="22"/>
              </w:rPr>
            </w:pPr>
            <w:r>
              <w:rPr>
                <w:rFonts w:hint="eastAsia" w:cs="宋体"/>
                <w:kern w:val="0"/>
                <w:sz w:val="22"/>
                <w:szCs w:val="22"/>
              </w:rPr>
              <w:t>物联网设备预警信息对接：通过接口接入粉尘涉爆企业、钢铁铝加工企业物联网传感器的实时预警信息</w:t>
            </w:r>
          </w:p>
          <w:p>
            <w:pPr>
              <w:widowControl/>
              <w:spacing w:line="240" w:lineRule="auto"/>
              <w:ind w:firstLine="0" w:firstLineChars="0"/>
              <w:jc w:val="center"/>
              <w:rPr>
                <w:rFonts w:hint="eastAsia" w:cs="宋体"/>
                <w:kern w:val="0"/>
                <w:sz w:val="22"/>
                <w:szCs w:val="22"/>
              </w:rPr>
            </w:pPr>
            <w:r>
              <w:rPr>
                <w:rFonts w:hint="eastAsia" w:cs="宋体"/>
                <w:kern w:val="0"/>
                <w:sz w:val="22"/>
                <w:szCs w:val="22"/>
              </w:rPr>
              <w:t>自然灾害综合风险监测数据对接：通过接口接入自然灾害综合风险监测数据</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数据接口管理-数据汇聚存储情况/数据汇聚日增存储情况</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监测通过外部接口接入数据的总存储容量，合理规划存储资源。</w:t>
            </w:r>
          </w:p>
          <w:p>
            <w:pPr>
              <w:widowControl/>
              <w:spacing w:line="240" w:lineRule="auto"/>
              <w:ind w:firstLine="0" w:firstLineChars="0"/>
              <w:jc w:val="center"/>
              <w:rPr>
                <w:rFonts w:hint="eastAsia" w:cs="宋体"/>
                <w:kern w:val="0"/>
                <w:sz w:val="22"/>
                <w:szCs w:val="22"/>
              </w:rPr>
            </w:pPr>
            <w:r>
              <w:rPr>
                <w:rFonts w:hint="eastAsia" w:cs="宋体"/>
                <w:kern w:val="0"/>
                <w:sz w:val="22"/>
                <w:szCs w:val="22"/>
              </w:rPr>
              <w:t>记录通过外部数据接口，每日新增的数据存储量，分析数据增长趋势</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数据接口管理-接口调用失败告警/数据同步周期维护</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记录己算数据接口调用的成功率，评估数据同步服务的稳定性，当接口调用成功率低于80%时，自动发送相关告警信息</w:t>
            </w:r>
          </w:p>
          <w:p>
            <w:pPr>
              <w:widowControl/>
              <w:spacing w:line="240" w:lineRule="auto"/>
              <w:ind w:firstLine="0" w:firstLineChars="0"/>
              <w:jc w:val="center"/>
              <w:rPr>
                <w:rFonts w:hint="eastAsia" w:cs="宋体"/>
                <w:kern w:val="0"/>
                <w:sz w:val="22"/>
                <w:szCs w:val="22"/>
              </w:rPr>
            </w:pPr>
            <w:r>
              <w:rPr>
                <w:rFonts w:hint="eastAsia" w:cs="宋体"/>
                <w:kern w:val="0"/>
                <w:sz w:val="22"/>
                <w:szCs w:val="22"/>
              </w:rPr>
              <w:t>监控数据接口同步数据的完整性与及时性，可动态调整数据的同步周期，确保数据的实时更新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99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应急预案管用业务知识库数据预处理-预案辅助审核与改写数据预处理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将各类预案文档进行标准化格式转换，构建支持智能审核的规则数据集，并提取预案结构特征生成向量化数据。为后续预案的合规性检查和自动化改写提供结构化数据准备</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应急预案管用业务知识库数据预处理-规则引擎管理数据预处理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构建支持多维评估的规则知识图谱和标签体系，对规则生效条件和交互日志进行预处理。形成可扩展的规则分类体系，支持应急预案评估规则的动态配置与管理。</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应急预案管用业务知识库数据预处理-报告查询与下载数据预处理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对审核结果进行结构化转换，构建报告的元数据和全文检索索引。支持用户按多种维度查询评估报告，并提供安全可控的下载管理功能。</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应急预案管用业务知识库数据预处理-预案演练编排数据预处理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对演练场景、地理信息、预案流程等数据进行预处理，支持图形化演练流程设计。为专项预案的桌面推演提供了基于事件类型和等级的演练模板生成能力。</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应急预案管用业务知识库数据预处理-桌面推演数据预处理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将演练脚本结构化，对推演时序、角色权限、状态转换等数据进行建模。为桌面推演提供双模式（自助/协同）的流程控制和状态管理数据支撑。</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应急预案管用业务知识库数据预处理-实战演练数据预处理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对实战演练记录进行标准化处理，提取多媒体附件元数据，建模参与方关系。构建完整的演练资料管理系统，支持演练记录的全面管理功能。</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应急预案管用业务知识库数据预处理-演练评估与复盘数据预处理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清洗演练过程日志，构建多维度评估体系，对复盘问题进行分类处理。为演练成效评估和预案实战性评估提供数据支撑。</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应急预案管用业务知识库数据预处理-事件处置引导数据预处理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构建突发事件分类体系和处置流程知识图谱，处理地理坐标和资源参数。为突发事件处置提供智能化的预案行动指南推荐功能。</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应急预案管用业务知识库数据预处理-资源调度向导数据预处理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清洗应急资源目录数据，建模调度路径拓扑，统一动态需求参数。为突发事件处置提供基于事发区域和类型的应急资源智能推荐。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应急预案管用业务知识库数据预处理-审核与改写分析数据预处理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清洗审核日志，构建改写质量评估数据集，分析审核效能时序。为预案管理的智能化提升提供多维度分析和统计工具。</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109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应急预案管用业务知识库数据预处理-预案演练分析数据预处理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清洗演练日志，分析角色行为模式，标准化评估指标。为应急演练管理提供全面的统计分析工具，支持演练效果的多维度评估。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应急预案管用业务知识库数据预处理-响应辅助分析数据预处理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提取事件特征向量，建模响应时效指标，分析资源调度模式。为应急响应管理提供决策支持工具，帮助提升响应效率。</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应急预案管用业务知识库数据预处理-预案综合分析专题数据预处理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融合多源异构数据，建立全生命周期指标，进行跨模块关联分析。为预案管理提供全局态势分析和模块协同分析能力。</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应急预案管用业务知识库数据预处理-预案审核/演练/事件响应分析预警数据预处理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提取风险特征指标，建立威胁评估和风险传播模型。为预案风险管理提供系统性风险识别、分析和预警能力。</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大模型调用及相关外部接口-通过API对接MAP平台和智能体工作流进行双向数据交互</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通过标准化协议实现与MAP平台的API对接，支持双向数据交互。为上层应用提供调用智能审核、改写和演练分析等服务的能力。</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大模型调用及相关外部接口-智能体调度接口</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支持接收自然语言指令，调度预案管用智能体完成各类任务。为系统提供统一的智能服务调用接口，支持多种业务场景。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大模型调用及相关外部接口-知识库检索接口</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支持自然语言检索应急预案相关知识库，返回结构化答案和引用。为系统提供智能问答能力，辅助预案管理工作。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大模型调用及相关外部接口-业务知识库数据更新接口</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支持知识库内容的定期更新和版本管理，包括法律法规和演练案例。保障知识库的时效性和准确性。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大模型调用及相关外部接口-外部工具调用接口</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支持调用天气、路线规划等外部服务。为突发事件应急响应提供外部数据支持能力。</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大模型调用及相关外部接口-对签名验证系统进行对接</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实现符合国密标准的签名验证功能，保障关键信息的加密安全。满足系统对安全加密处理的要求。</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119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大模型调用及相关外部接口-对一张图进行对接，将一张图作为地图底图</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将一张图作为地图底图，提供图层要素撒点、坐标转换等功能。为应急预案辅助响应提供可视化展示支持。</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大模型调用及相关外部接口-对接OCR工具组件</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调用OCR组件能力对上传文本进行解析处理。为预案文本的自动化解析提供技术支撑。</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大模型调用及相关外部接口-和统一用户系统进行对接开发</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实现与统一用户系统的对接，支持单点登录和权限映射。满足用户统一登录管理的要求。</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防灾减灾基层赋能-社区风险评估-社区致灾因子危险性评估/社区致灾因子危险性制图</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基于自然灾害风险灾普等数据，对社区层面的致灾因子危险性进行分析评估，形成gis专题制图。</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防灾减灾基层赋能-社区风险评估-社区承灾体暴露度评估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从人口、建筑、交通等承灾体角度，对社区可能面临的灾害暴露情况进行综合评估。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防灾减灾基层赋能-社区风险评估-社区承灾体暴露度制图</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基于社区承灾体暴露度评估结果，形成gis专题制图。</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防灾减灾基层赋能-社区风险评估-社区脆弱性评估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结合社区人口和建筑等特征，对社区在灾害情景下的脆弱性情况进行分析评估。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防灾减灾基层赋能-社区风险评估-社区脆弱性制图</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基于社区脆弱性评估结果，形成gis专题制图。</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防灾减灾基层赋能-社区风险评估-社区减灾能力评估（双变量算法）</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对社区在灾害发生后的减灾与应对能力进行分析评估，形成社区减灾能力相关成果。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防灾减灾基层赋能-社区风险评估-社区减灾能力制图</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基于社区减灾能力评估结果，形成gis专题制图。</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129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防灾减灾基层赋能-社区风险评估-社区综合风险评估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综合致灾因子、暴露度、脆弱性及减灾能力等因素，对社区综合风险水平进行分析评估。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防灾减灾基层赋能-社区风险评估-社区综合风险制图</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基于社区综合风险评估结果，形成gis专题制图。</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防灾减灾基层赋能-社区风险评估-社区风险AI分析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结合多类风险评估结果和相关知识信息，对社区风险情况进行综合分析，并形成辅助研判成果。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防灾减灾基层赋能-重大基础设施风险评估-重大基础设施目录管理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建立重大基础设施分类管理目录，对相关基础设施信息进行统一管理和维护。</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防灾减灾基层赋能-重大基础设施风险评估-重大基础设施信息上报及审核</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支持重大基础设施基础信息的上报与审核，作为风险评估和分析的基础输入。</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防灾减灾基层赋能-重大基础设施风险评估-重大基础设施单灾种危险性分析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针对不同自然灾害类型，对重大基础设施开展单灾种危险性分析评估。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防灾减灾基层赋能-重大基础设施风险评估-重大基础设施脆弱性分析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结合设施特征和相关数据，对重大基础设施在灾害情景下的脆弱性情况进行分析评估。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防灾减灾基层赋能-重大基础设施风险评估-重大基础设施暴露性分析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从人员、资产及重要性等方面，对重大基础设施灾害暴露情况进行分析评估。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防灾减灾基层赋能-重大基础设施风险评估-自然灾害敏感度配置</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支持配置重大基础设施对不同自然灾害类型的敏感特征，用于风险分析参考。</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防灾减灾基层赋能-重大基础设施风险评估-重大基础设施固有风险评估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综合危险性、脆弱性和暴露性等因素，对重大基础设施固有风险水平进行评估。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139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防灾减灾基层赋能-重大基础设施风险评估-重大基础设施减灾能力评估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结合设施防护条件和管理情况，对重大基础设施减灾能力进行分析评估。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防灾减灾基层赋能-重大基础设施风险评估-重大基础设施综合风险评估</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采用矩阵法计算综合风险，对重大基础设施整体风险水平进行综合研判。</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防灾减灾基层赋能-重大基础设施风险评估-重大基础设施风险AI分析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基于风险评估成果，形成重大基础设施风险分析结果和辅助决策建议。</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公众服务应用-一张图政府端-灾害影响范围分析</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基于灾害类型和相关点位信息，对灾害可能产生的影响范围进行辅助分析。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公众服务应用-一张图政府端-防灾资源调用/报灾数据管理</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支持查询地图急避难场所、医疗机构、应急物资储备点等防灾设施信息；支持对公众端上报灾情数据进行审核。</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公众服务应用-一张图公众端（移动端）-灾害风险地图查询</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向公众提供自然灾害风险及隐患相关信息的地图查询服务。</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公众服务应用-一张图公众端（移动端）-个性化风险提醒与信息推送</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根据当前上海市自然灾害预警等级，向公众提供相应的灾害风险提示信息。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公众服务应用-一张图公众端（移动端）-灾害风险隐患上报</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支持公众通过移动端上报灾害情况和风险隐患信息，补充灾情采集渠道。</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公众服务应用-一张图公众端（移动端）-知识科普</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向公众提供防灾减灾和应急避险相关的科普知识内容。</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公众服务应用-一张图公众端（移动端）-随申办置入</w:t>
            </w:r>
          </w:p>
        </w:tc>
        <w:tc>
          <w:tcPr>
            <w:tcW w:w="471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将防灾减灾一张图接入随申办（或同类城市服务生态），方便公众统一访问和使用。</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149</w:t>
            </w:r>
          </w:p>
        </w:tc>
        <w:tc>
          <w:tcPr>
            <w:tcW w:w="100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灾害应对升级改造</w:t>
            </w: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六停指挥调度专题-气象预警响应模块-市级响应情况</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1.根据接入预警信息显示全市响应情况</w:t>
            </w:r>
          </w:p>
          <w:p>
            <w:pPr>
              <w:widowControl/>
              <w:spacing w:line="240" w:lineRule="auto"/>
              <w:ind w:firstLine="0" w:firstLineChars="0"/>
              <w:jc w:val="left"/>
              <w:rPr>
                <w:rFonts w:hint="eastAsia" w:cs="宋体"/>
                <w:kern w:val="0"/>
                <w:sz w:val="22"/>
                <w:szCs w:val="22"/>
              </w:rPr>
            </w:pPr>
            <w:r>
              <w:rPr>
                <w:rFonts w:hint="eastAsia" w:cs="宋体"/>
                <w:kern w:val="0"/>
                <w:sz w:val="22"/>
                <w:szCs w:val="22"/>
              </w:rPr>
              <w:t>2.当市级启动一级响应的情况下，根据全市就高原则，将各区响应等级统一调整为一级</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六停指挥调度专题-气象预警响应模块-区级响应情况</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按气象预警发布的区域，显示当前各区响应应急情况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六停指挥调度专题-气象预警响应模块-响应流程</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按气象预警、防汛响应、预警升级、预警降级、结束响应、解除预警等要素，通过时间轴滚动的方式，展示防汛从预警到解除的全过程信息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六停指挥调度专题-视频会商模块-一键会商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一键组会链接全部防汛办成员单位进行视频会商</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六停指挥调度专题-视频会商模块-主管部门会商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与防汛办成员单位进行点对点的视频会商</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六停指挥调度专题-视频浏览模块-视频轮巡</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在首页面上显示轨交、学校、车站机场、建筑工地等重要点位的视频信息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六停指挥调度专题-视频浏览模块-中小学校</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显示全市中小学校视频信息，并根据区进行分组，点击上屏后查看实时监控画面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六停指挥调度专题-视频浏览模块-建筑工地</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显示全市建筑工地视频，根据工地分组，点击上屏后查看工地的实时监控画面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六停指挥调度专题-视频浏览模块-车站机场、港口码头等停航相关</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1.显示全市车站机场的视频，根据上海车站和机场进行分组，查看场内的实时监控画面；2.显示各港口码头的视频，查看当前实时监控画面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六停指挥调度专题-视频浏览模块-桥隧、省际道口、轨道交通等停运相关</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1.根据桥梁、隧道查看当前实时监控画面；2.查看当前各省际道口的实时监控画面；3.对轨道交通入出口的画面进行调取，可实时查看地铁出入口的视频监控画面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159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六停指挥调度专题-视频浏览模块-文旅景区</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根据景区查看景区门口及内部的实时监控画面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六停指挥调度专题-视频浏览模块-公园绿地</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根据公园绿地查看实时监控画面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六停指挥调度专题-视频浏览模块-体育场馆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根据体育场馆查看实时监控画面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六停指挥调度专题-六停数据看板-停课板块</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显示停课区域及停课的学校数，点击查看全市中小学列表及详情，支持关键字和停课状态的筛选</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六停指挥调度专题-六停数据看板-停工板块</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当前全市建筑工地和危化企业的停工减产统计情况；点击可以查看全市在建工地和危化企业的列表并展示各个工地是否启动人员转移安置，并实时掌握当前人员转移情况和转移至哪个安置点位和危化企业的停工、减产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六停指挥调度专题-六停数据看板-停运板块</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显示全市铁路列车、轨交、高速、下立交、桥梁隧道的停运信息，并支持一键跳转交通城运系统</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六停指挥调度专题-六停数据看板-停航板块</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对接大数据中心数据资源池，获取民航的航班数、准点数、延误数、市内水运的停航情况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六停指挥调度专题-六停数据看板-停园板块</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统计显示当前文旅景区和城市公园的停园信息，并支持要素筛选查询，查看景区客流的客流信息，并与前一日的客流信息进行比对，了解客流的趋势情况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六停指挥调度专题-六停数据看板-停业板块</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显示当前体育赛事、展览展会、文化演出的停业情况，并能够下钻到场馆列表与信息，同时根据展会赛事情况，显示全市停业清单。</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六停指挥调度专题-受灾分析模块-人员转移情况</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显示当前全市人员转移数量和船只进港避风情况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169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六停指挥调度专题-受灾分析模块-撤离点清单</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显示全市防汛撤离点位的列表与详细信息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六停指挥调度专题-受灾分析模块-安置点清单</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显示全市防汛避灾安置点位的列表与详细信息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六停指挥调度专题-受灾分析模块-热线灾报清单</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显示积水、110、119、120等热线数据的工单情况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六停指挥调度专题-受灾分析模块-城市运行</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显示供气、用气、保修工单、当日用气等信息，并根据用气情况和日期显示趋势；2.显示市、各区救助收容站的流浪人员收容情况，并根据数据计算得出当日救助人数、当日新增人数、各救助站点收容人数；3.显示实时用电负荷、历史最高用电负荷、当日最高用电负荷，同时根据日期显示趋势图；4.显示中心城区和郊区的日供水和供水负荷情况，根据日期显示趋势</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六停指挥调度专题-受灾分析模块-灾情直报信息看板</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显示防汛灾情直报系统收集的相关信息，包括防御准备、转移避险、六停信息、城市运行影响、重大灾情的全市灾情直报相关数据信息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六停指挥调度专题-YQ收集模块-网信办YQ</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根据关键字，筛选展示与防汛相关的热点YQ，并按热度进行排序</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六停指挥调度专题-YQ收集模块-网罗天下</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根据关键字，筛选应急部网罗天下中与防汛相关的YQ并展示</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六停指挥调度专题-YQ收集模块-网罗天下视频</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根据关键字，筛选应急部网罗天下视频中与防汛相关的YQ并展示</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六停指挥调度专题-六停数据对接-停课数据对接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通过大数据中心数据资源池，对接全市中小学学校数据</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六停指挥调度专题-六停数据对接-停工数据对接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对接接入全市建筑工地、危化企业的基本信息并获取工地是否启动人员转移、人员转移数量和安置点位、危化企业停工减产情况。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179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六停指挥调度专题-六停数据对接-停运数据对接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对接接入铁路数据、下立交、重点桥隧、公交短驳的信息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六停指挥调度专题-六停数据对接-停航数据对接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对接接入民航航班的停航、延误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六停指挥调度专题-六停数据对接-停业数据对接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根据文旅提供的接口，接入演出场所和演出的信息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六停指挥调度专题-六停数据对接-城市运行情况对接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对接接入供电、供水、供气、人员收容安置情况数据</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六停指挥调度专题-六停数据对接-YQ信息对接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对接网信办YQ数据接口;对接应急管理部网罗天下数据接口，获取YQ和YQ视频信息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六停指挥调度专题-六停指标维护-停运指标维护</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在防汛防台红色预警响应下，轨道交通停运指标维护功能是保障城市轨道交通安全运营的核心环节，需结合气象灾害特点、轨交线路脆弱性和客流风险进行精准化管理，系统将自动开放填报数据入口，由交通委来维护相关的业务指标内容。</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六停指挥调度专题-六停指标维护</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在防汛防台一级响应发布后，系统将构建铁路专项停运指标体系，自动加载铁路防汛防台专用指标模板，以铁路集团为调度中心，提供铁路停运的相关指标数据</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六停指挥调度专题-六停指标维护-停业指标维护</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开设委办局登录入口，由体育局、文旅维护管理体育赛事、文化演出、展览展会的停业信息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六停指挥调度专题-六停指标维护-受灾指标维护</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当防汛防台一级响应发布后系统将根据预设的专用指标模板，由民政的人员管理维护相关指标数据;开设建委登录入口，由建委在红警情况维护管理启动建筑工地人员转移和结束人员转移的时间</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六停指挥调度专题-六停指标维护-停课指标维护</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开设市教育局登录入口，由教育局在红警情况下维护管理停课区域及恢复时间</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189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六停指挥调度专题-底图对接-一张图底图对接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对接全市统一一张图的底图，支持地图的放大、缩小、全景、图层叠加、撒点等功能</w:t>
            </w:r>
          </w:p>
          <w:p>
            <w:pPr>
              <w:widowControl/>
              <w:spacing w:line="240" w:lineRule="auto"/>
              <w:ind w:firstLine="0" w:firstLineChars="0"/>
              <w:jc w:val="left"/>
              <w:rPr>
                <w:rFonts w:hint="eastAsia" w:cs="宋体"/>
                <w:kern w:val="0"/>
                <w:sz w:val="22"/>
                <w:szCs w:val="22"/>
              </w:rPr>
            </w:pPr>
            <w:r>
              <w:rPr>
                <w:rFonts w:hint="eastAsia" w:cs="宋体"/>
                <w:kern w:val="0"/>
                <w:sz w:val="22"/>
                <w:szCs w:val="22"/>
              </w:rPr>
              <w:t>对接全市统一一张图遥感底图，支持地图的放大、缩小、全景、图层叠加、撒点等功能</w:t>
            </w:r>
          </w:p>
          <w:p>
            <w:pPr>
              <w:widowControl/>
              <w:spacing w:line="240" w:lineRule="auto"/>
              <w:ind w:firstLine="0" w:firstLineChars="0"/>
              <w:jc w:val="left"/>
              <w:rPr>
                <w:rFonts w:hint="eastAsia" w:cs="宋体"/>
                <w:kern w:val="0"/>
                <w:sz w:val="22"/>
                <w:szCs w:val="22"/>
              </w:rPr>
            </w:pPr>
            <w:r>
              <w:rPr>
                <w:rFonts w:hint="eastAsia" w:cs="宋体"/>
                <w:kern w:val="0"/>
                <w:sz w:val="22"/>
                <w:szCs w:val="22"/>
              </w:rPr>
              <w:t>对接气象先知的气象云图，在一张图上叠加显示雷达、云图、风场、台风路径等要素信息</w:t>
            </w:r>
          </w:p>
          <w:p>
            <w:pPr>
              <w:widowControl/>
              <w:spacing w:line="240" w:lineRule="auto"/>
              <w:ind w:firstLine="0" w:firstLineChars="0"/>
              <w:jc w:val="left"/>
              <w:rPr>
                <w:rFonts w:hint="eastAsia" w:cs="宋体"/>
                <w:kern w:val="0"/>
                <w:sz w:val="22"/>
                <w:szCs w:val="22"/>
              </w:rPr>
            </w:pPr>
            <w:r>
              <w:rPr>
                <w:rFonts w:hint="eastAsia" w:cs="宋体"/>
                <w:kern w:val="0"/>
                <w:sz w:val="22"/>
                <w:szCs w:val="22"/>
              </w:rPr>
              <w:t>对接全市统一一张图，将灾害普查的台风危险性评估、暴雨危险性评估等灾普信息叠加在一张图上进行显示，并按照颜色区分风险等级</w:t>
            </w:r>
          </w:p>
          <w:p>
            <w:pPr>
              <w:widowControl/>
              <w:spacing w:line="240" w:lineRule="auto"/>
              <w:ind w:firstLine="0" w:firstLineChars="0"/>
              <w:jc w:val="left"/>
              <w:rPr>
                <w:rFonts w:hint="eastAsia" w:cs="宋体"/>
                <w:kern w:val="0"/>
                <w:sz w:val="22"/>
                <w:szCs w:val="22"/>
              </w:rPr>
            </w:pPr>
            <w:r>
              <w:rPr>
                <w:rFonts w:hint="eastAsia" w:cs="宋体"/>
                <w:kern w:val="0"/>
                <w:sz w:val="22"/>
                <w:szCs w:val="22"/>
              </w:rPr>
              <w:t>通过图层控制管理，按需展示学校分布、停课区域、工地分布、危化企业分布、下立交封闭点位、景区位置、公园位置、体育场馆位置、安置点位置、防汛避灾安置场所位置、灾报点位等撒点图层管理</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六停指挥调度专题-视频对接-视频清单对接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同步视觉中枢、建委、水务等来源的视频设备清单</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六停指挥调度专题-视频对接-视频播放对接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通过播放器的方式对接城运视觉中枢，在页面上获取对应的视频画面；2）通过获取hls播放流的方式对接获取建委建筑工地的画面，并调用保活的方式，保持始终在获取视频播放流，防止视频画面中断；3）通过应急局视频平台，以JS的播放方式，播放学校、车站机场等视频画面</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六停指挥调度专题-预警信息传播矩阵</w:t>
            </w:r>
          </w:p>
          <w:p>
            <w:pPr>
              <w:widowControl/>
              <w:spacing w:line="240" w:lineRule="auto"/>
              <w:ind w:firstLine="0" w:firstLineChars="0"/>
              <w:jc w:val="center"/>
              <w:rPr>
                <w:rFonts w:hint="eastAsia" w:cs="宋体"/>
                <w:kern w:val="0"/>
                <w:sz w:val="22"/>
                <w:szCs w:val="22"/>
              </w:rPr>
            </w:pPr>
            <w:r>
              <w:rPr>
                <w:rFonts w:hint="eastAsia" w:cs="宋体"/>
                <w:kern w:val="0"/>
                <w:sz w:val="22"/>
                <w:szCs w:val="22"/>
              </w:rPr>
              <w:t>数据反馈接收-预警信息反馈接口</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定制预警信息反馈接收数据接口，与支付宝、美团、饿了么、滴滴等互联网企业进行对接，获取预警信息反馈接收情况。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六停指挥调度专题-预警信息传播矩阵</w:t>
            </w:r>
          </w:p>
          <w:p>
            <w:pPr>
              <w:widowControl/>
              <w:spacing w:line="240" w:lineRule="auto"/>
              <w:ind w:firstLine="0" w:firstLineChars="0"/>
              <w:jc w:val="center"/>
              <w:rPr>
                <w:rFonts w:hint="eastAsia" w:cs="宋体"/>
                <w:kern w:val="0"/>
                <w:sz w:val="22"/>
                <w:szCs w:val="22"/>
              </w:rPr>
            </w:pPr>
            <w:r>
              <w:rPr>
                <w:rFonts w:hint="eastAsia" w:cs="宋体"/>
                <w:kern w:val="0"/>
                <w:sz w:val="22"/>
                <w:szCs w:val="22"/>
              </w:rPr>
              <w:t>数据反馈接收-重点人群信息反馈接收</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针对重点人群（如：外卖小哥、司乘人员）实现靶向信息接收和应用</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六停指挥调度专题-预警信息传播矩阵</w:t>
            </w:r>
          </w:p>
          <w:p>
            <w:pPr>
              <w:widowControl/>
              <w:spacing w:line="240" w:lineRule="auto"/>
              <w:ind w:firstLine="0" w:firstLineChars="0"/>
              <w:jc w:val="center"/>
              <w:rPr>
                <w:rFonts w:hint="eastAsia" w:cs="宋体"/>
                <w:kern w:val="0"/>
                <w:sz w:val="22"/>
                <w:szCs w:val="22"/>
              </w:rPr>
            </w:pPr>
            <w:r>
              <w:rPr>
                <w:rFonts w:hint="eastAsia" w:cs="宋体"/>
                <w:kern w:val="0"/>
                <w:sz w:val="22"/>
                <w:szCs w:val="22"/>
              </w:rPr>
              <w:t>数据反馈接收-特定区域信息反馈接收</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针对特定区域（如：综合交通枢纽、进博会场馆等）实现靶向信息接收和应用</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六停指挥调度专题-预警信息传播矩阵</w:t>
            </w:r>
          </w:p>
          <w:p>
            <w:pPr>
              <w:widowControl/>
              <w:spacing w:line="240" w:lineRule="auto"/>
              <w:ind w:firstLine="0" w:firstLineChars="0"/>
              <w:jc w:val="center"/>
              <w:rPr>
                <w:rFonts w:hint="eastAsia" w:cs="宋体"/>
                <w:kern w:val="0"/>
                <w:sz w:val="22"/>
                <w:szCs w:val="22"/>
              </w:rPr>
            </w:pPr>
            <w:r>
              <w:rPr>
                <w:rFonts w:hint="eastAsia" w:cs="宋体"/>
                <w:kern w:val="0"/>
                <w:sz w:val="22"/>
                <w:szCs w:val="22"/>
              </w:rPr>
              <w:t>数据反馈接收-预警信息来源分析</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按照预警信息反馈来源对预警信息反馈情况进行分析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六停指挥调度专题-预警信息传播矩阵</w:t>
            </w:r>
          </w:p>
          <w:p>
            <w:pPr>
              <w:widowControl/>
              <w:spacing w:line="240" w:lineRule="auto"/>
              <w:ind w:firstLine="0" w:firstLineChars="0"/>
              <w:jc w:val="center"/>
              <w:rPr>
                <w:rFonts w:hint="eastAsia" w:cs="宋体"/>
                <w:kern w:val="0"/>
                <w:sz w:val="22"/>
                <w:szCs w:val="22"/>
              </w:rPr>
            </w:pPr>
            <w:r>
              <w:rPr>
                <w:rFonts w:hint="eastAsia" w:cs="宋体"/>
                <w:kern w:val="0"/>
                <w:sz w:val="22"/>
                <w:szCs w:val="22"/>
              </w:rPr>
              <w:t>数据反馈接收-预警信息类型分析</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按照预警信息反馈类型对预警信息反馈情况进行分析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六停指挥调度专题-预警信息传播矩阵</w:t>
            </w:r>
          </w:p>
          <w:p>
            <w:pPr>
              <w:widowControl/>
              <w:spacing w:line="240" w:lineRule="auto"/>
              <w:ind w:firstLine="0" w:firstLineChars="0"/>
              <w:jc w:val="center"/>
              <w:rPr>
                <w:rFonts w:hint="eastAsia" w:cs="宋体"/>
                <w:kern w:val="0"/>
                <w:sz w:val="22"/>
                <w:szCs w:val="22"/>
              </w:rPr>
            </w:pPr>
            <w:r>
              <w:rPr>
                <w:rFonts w:hint="eastAsia" w:cs="宋体"/>
                <w:kern w:val="0"/>
                <w:sz w:val="22"/>
                <w:szCs w:val="22"/>
              </w:rPr>
              <w:t>数据反馈接收-预警信息人群分析</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按照预警信息反馈人群特征对预警信息反馈情况进行分析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六停指挥调度专题-预警信息传播矩阵</w:t>
            </w:r>
          </w:p>
          <w:p>
            <w:pPr>
              <w:widowControl/>
              <w:spacing w:line="240" w:lineRule="auto"/>
              <w:ind w:firstLine="0" w:firstLineChars="0"/>
              <w:jc w:val="center"/>
              <w:rPr>
                <w:rFonts w:hint="eastAsia" w:cs="宋体"/>
                <w:kern w:val="0"/>
                <w:sz w:val="22"/>
                <w:szCs w:val="22"/>
              </w:rPr>
            </w:pPr>
            <w:r>
              <w:rPr>
                <w:rFonts w:hint="eastAsia" w:cs="宋体"/>
                <w:kern w:val="0"/>
                <w:sz w:val="22"/>
                <w:szCs w:val="22"/>
              </w:rPr>
              <w:t>数据反馈接收-预警信息区域分析</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按照预警信息反馈区域情况对预警信息反馈情况进行分析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199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灾情直报-随申办政务云系统对接整合-随申办政务云系统对接整合</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通过对接整合随申办政务云APP或PC端应用，实现一键登录灾情直报系统</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灾情直报-灾情管理-管理灾情</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维护灾情基本信息并选择灾情类型，台风/暴雨用于判断灾情类型及后续的签到统计；成功创建后，灾情列表中会新增刚刚创建的灾情，状态为未开始，需手动开启灾情。当前灾情未结束的情况下，无法创建新灾情，开启终报和结束收集，均需管理员手动触发</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灾情直报-灾情管理-灾情短述</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根据模板内容和填报的数据项，生成灾情短述情况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灾情直报-防御准备阶段数据上报-防御准备数据上报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填写包括应急抢险队伍准备情况、值班巡查情况、应急避难场所准备情况、树木加固情况等事项共8项指标</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灾情直报-值班签到-值班签到</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提供部门签到功能，再开启灾情上报后，由各单位进行签到，包括人员、时间，签到位置等信息，上级部门可以查看下级签到状态（如区查看街镇签到情况）并在已签到界面可查看签到人员详情。</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灾情直报-灾情信息填报-避险转移</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上报社会面、洋山港区、上海化工区、流浪乞讨人员受洪涝灾害威胁应转移到安全地区的人员信息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灾情直报-灾情信息填报-灾情信息上报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按照气象预警信号和应急响应行动指令反馈各行业的相关苏剧情况，及时推送或填报相关数据指标共计24项</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灾情直报-灾情信息填报-城市运行影响</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街镇及各相关委办局按照业务情况，上报城市面上因受灾导致的城市运行情况数据指标共计28项</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灾情直报-重大灾情-重大灾情</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上报所辖范围内因灾导致的人员伤亡、房屋受损倒塌、经济损失等指标信息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灾情直报-灾情终报-灾情终报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当管理员启动终报时，由区汇总统计辖区范围内的受灾信息，并进行最后一次的终报信息填写</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209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灾情直报-灾情数据审核-数据审核</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区可以审核街镇上报的数据、市级行业部门可以审核区级行业部门上报的指标数据</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灾情直报-灾情数据查看-灾情信息查看</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查看全市防御准备情况、全市灾情动态数据、全市单位签到情况，根据区进行筛选，查看各区指标信息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灾情直报-灾情数据查看-灾情综述查看</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市级灾情短述可查看16个区的汇总数和各区分别的数据，管理员可通过“更换”按钮，随意选择查看16个区中某一个区的灾情短述。</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灾情直报-消息通知-灾情环节消息通知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灾情环节变动，会立即发送应用内通知消息给到对应人员。</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灾情直报-消息通知-灾情数据消息通知</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填报数据成功提交后，会给对应审核方发送消息通知，告知其上级数据已提交，让其尽快审核或查看，审核时，执行操作（通过/拒绝）后，均会通知到对应下级，告知其审核结果，审核员端对未上报数据的下级，支持催办，其下级会收到对应的催办通知消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灾情直报-数据共享-数据接口</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通过数据接口，共享指标数据给第三方使用如水务局防汛指挥系统</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灾情直报-组织机构管理-部门管理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组织层级的搭建，原先应急局只有应急条线市+16区应急局的部门信息，灾情直报涉及市行业委办单位和区行业委办单位，本次项目将依据各区和相关委办局，分别搭建各区主管上海16个区及其下街镇信息。相关委办局主要负责管理行业单位，如：市交通委、区水务局、上海海事局、市文化旅游局等单位。</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灾情直报-组织机构管理-人员维护</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依据各单位提供的人员名单，添加或调整人员到对应的组织架构下，进行灾情收集人员提前录入并赋予角色</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灾情直报-组织机构管理-角色管理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1.管理员角色：支持管理灾情，可控制灾情的开启，关闭。支持查看全部灾情指标数据；支持导出灾情统计报表；支持审核重大灾情指标数据；支持查看各区或街镇签到信息；支持补充灾情指标数据；支持发送消息通知。</w:t>
            </w:r>
          </w:p>
          <w:p>
            <w:pPr>
              <w:widowControl/>
              <w:spacing w:line="240" w:lineRule="auto"/>
              <w:ind w:firstLine="0" w:firstLineChars="0"/>
              <w:jc w:val="left"/>
              <w:rPr>
                <w:rFonts w:hint="eastAsia" w:cs="宋体"/>
                <w:kern w:val="0"/>
                <w:sz w:val="22"/>
                <w:szCs w:val="22"/>
              </w:rPr>
            </w:pPr>
            <w:r>
              <w:rPr>
                <w:rFonts w:hint="eastAsia" w:cs="宋体"/>
                <w:kern w:val="0"/>
                <w:sz w:val="22"/>
                <w:szCs w:val="22"/>
              </w:rPr>
              <w:t>2.各区角色：审核街镇收集指标数据；灾报到岗签到。</w:t>
            </w:r>
          </w:p>
          <w:p>
            <w:pPr>
              <w:widowControl/>
              <w:spacing w:line="240" w:lineRule="auto"/>
              <w:ind w:firstLine="0" w:firstLineChars="0"/>
              <w:jc w:val="left"/>
              <w:rPr>
                <w:rFonts w:hint="eastAsia" w:cs="宋体"/>
                <w:kern w:val="0"/>
                <w:sz w:val="22"/>
                <w:szCs w:val="22"/>
              </w:rPr>
            </w:pPr>
            <w:r>
              <w:rPr>
                <w:rFonts w:hint="eastAsia" w:cs="宋体"/>
                <w:kern w:val="0"/>
                <w:sz w:val="22"/>
                <w:szCs w:val="22"/>
              </w:rPr>
              <w:t>3.街镇角色：收集上报街镇相关灾情指标数据；灾报到岗签到</w:t>
            </w:r>
          </w:p>
          <w:p>
            <w:pPr>
              <w:widowControl/>
              <w:spacing w:line="240" w:lineRule="auto"/>
              <w:ind w:firstLine="0" w:firstLineChars="0"/>
              <w:jc w:val="left"/>
              <w:rPr>
                <w:rFonts w:hint="eastAsia" w:cs="宋体"/>
                <w:kern w:val="0"/>
                <w:sz w:val="22"/>
                <w:szCs w:val="22"/>
              </w:rPr>
            </w:pPr>
            <w:r>
              <w:rPr>
                <w:rFonts w:hint="eastAsia" w:cs="宋体"/>
                <w:kern w:val="0"/>
                <w:sz w:val="22"/>
                <w:szCs w:val="22"/>
              </w:rPr>
              <w:t>4.各业务线角色：市交通委、上海海事局、市农业农村委、市绿化市容局。分别收集或审核各业务线对应指标。</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灾情直报-流程配置-开灾流程</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按照创建本轮灾情、启动初报、启动续报、启动终报、关闭本轮灾情来控制灾情上报的流程</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219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灾情直报-流程配置-数据填报流程</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按照街镇填报、区级审核与区级委办单位上报、市级委办单位审核、市级汇总的填报流程进行</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灾情直报-流程配置-一事一报流程</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街镇填报重大灾情数据区级审核、区级填报重大灾情数据无需审核、市级汇总的流程进行配置</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灾情直报-流程配置-数据终报流程</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按照区级填报、市级汇总的流程进行</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灾情直报-部门指标配置-街镇</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防御准备类指标、动态灾情信息、重大灾情信息、由各区应急局进行审核</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灾情直报-部门指标配置-区应急局</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区级重大灾情，终报数据、无需审核</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灾情直报-部门指标配置-各相关委办单位</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按照职能划分，配置各委办单位填报内容，例如水务上报堤防泵闸损坏、交通委上报交通中断、大桥关闭、轨道交通停运、供电公司填报电力中断情况、文旅上报景区公园关闭情况等</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灾情直报-部门指标配置-市应急局</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汇总统计相关汇总数据</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灾情直报-部门指标配置-指标解释</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填报界面提供单指标解释，用户可查看指标总览并保存离线图片</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特殊气象场景应对升级-灾害应对应用场景-气象基本信息拓展</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将原先雨雪冰冻、大雾团务接入的气象基本信息进行拓展融合，精细化的显示各类气象信息，如大风时风力等级、强对流天气时的降雨量</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特殊气象场景应对升级-灾害应对应用场景-实况监测模块功能完善</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完善实况监测功能，利用积水传感器的数据、风力的数据，温度的数据以动态曲线的方式直观展示，方便指挥人员随时掌握灾害信息</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229</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特殊气象场景应对升级-灾害应对应用场景-应急响应模块功能延伸</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延申原有的预案智能匹配方式，根据大雾、大风降温、强对流等不同灾害类型和预警级别，自动匹配相应的应急预案同时搭建指令下发功能，通过平台实时下达指挥调度指令，调配应急救援队伍、物资、设备等资源，确保应急救援工作高效有序开展</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230</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特殊气象场景应对升级-灾害应对应用场景-响应准备模块功能优化</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对接应急资源数据库，按大雾、大风降温、强对流等灾害应对所需的物资在灾害来临前，根据预通报信息和应急预案，匹配相应资源，确保资源充足、调配及时</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231</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特殊气象场景应对升级-灾害应对应用场景-城市运行情况模块功能深化</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将原有的景区关闭、道路拥堵信息扩展到供电、供水、供气、航空、铁路、人员救助等关键领域全面掌握城市运行态势</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232</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特殊气象场景应对升级-灾害应对应用场景-受灾情况模块功能升级</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对灾情信息进行实时统计和分析，以地图、图表等形式展示大雾、大风降温、强对流等灾害的受灾范围、受灾人口、经济损失等情况</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233</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特殊气象场景应对升级-防汛避灾安置场所审核-审核流程配置</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场所负责人上报的防汛避灾安置场所由街镇人员负责审核、街镇的数据由区进行审核，区汇总后上报至市应急局进行数据汇总</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234</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特殊气象场景应对升级-防汛避灾安置场所审核-安置场所审核</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相关审核人员在数据新增和更新的时候提示审核人员进行审核，审核人员可以进行通过后报上级单位或退回的操作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235</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特殊气象场景应对升级-防汛避灾安置场所审核-安置场所确认</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当数据汇总到区，区确认后提交到市应急局，市应急局对数据进行确认，确认后上报渠道关闭，数据收集完成</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236</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特殊气象场景应对升级-防汛避灾安置场所审核-撤离点信息管理</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填报、编辑、查询撤离点相关信息，包括所属行政区域、组织撤离单位、撤离联系人、撤离联系人手机号码、撤离原因、预计撤离人数、危险区域、备注</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237</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特殊气象场景应对升级-防汛避灾安置场所审核-撤离点一张图展示</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依托一张图对撤离点信息进行综合展示，包括撒点、色块、热力等地图效果</w:t>
            </w:r>
          </w:p>
        </w:tc>
      </w:tr>
      <w:tr>
        <w:tblPrEx>
          <w:tblCellMar>
            <w:top w:w="0" w:type="dxa"/>
            <w:left w:w="108" w:type="dxa"/>
            <w:bottom w:w="0" w:type="dxa"/>
            <w:right w:w="108" w:type="dxa"/>
          </w:tblCellMar>
        </w:tblPrEx>
        <w:trPr>
          <w:trHeight w:val="1000" w:hRule="atLeast"/>
        </w:trPr>
        <w:tc>
          <w:tcPr>
            <w:tcW w:w="60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238</w:t>
            </w:r>
          </w:p>
        </w:tc>
        <w:tc>
          <w:tcPr>
            <w:tcW w:w="10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2"/>
                <w:szCs w:val="22"/>
              </w:rPr>
            </w:pPr>
          </w:p>
        </w:tc>
        <w:tc>
          <w:tcPr>
            <w:tcW w:w="222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eastAsia" w:cs="宋体"/>
                <w:kern w:val="0"/>
                <w:sz w:val="22"/>
                <w:szCs w:val="22"/>
              </w:rPr>
            </w:pPr>
            <w:r>
              <w:rPr>
                <w:rFonts w:hint="eastAsia" w:cs="宋体"/>
                <w:kern w:val="0"/>
                <w:sz w:val="22"/>
                <w:szCs w:val="22"/>
              </w:rPr>
              <w:t>特殊气象场景应对升级-防汛避灾安置场所审核-撤离点审核/撤离点确认</w:t>
            </w:r>
          </w:p>
        </w:tc>
        <w:tc>
          <w:tcPr>
            <w:tcW w:w="4717"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hint="eastAsia" w:cs="宋体"/>
                <w:kern w:val="0"/>
                <w:sz w:val="22"/>
                <w:szCs w:val="22"/>
              </w:rPr>
            </w:pPr>
            <w:r>
              <w:rPr>
                <w:rFonts w:hint="eastAsia" w:cs="宋体"/>
                <w:kern w:val="0"/>
                <w:sz w:val="22"/>
                <w:szCs w:val="22"/>
              </w:rPr>
              <w:t>相关审核人员在撤离点数据新增和更新的时候提示审核人员进行审核，审核人员可以进行通过后报上级单位或退回的操作;当撤离点信息汇总到区，区确认后提交到市应急局，市应急局对数据进行确认，确认后上报渠道关闭，数据收集完成</w:t>
            </w:r>
          </w:p>
        </w:tc>
      </w:tr>
    </w:tbl>
    <w:p>
      <w:pPr>
        <w:rPr>
          <w:rFonts w:hint="eastAsia"/>
        </w:rPr>
      </w:pPr>
    </w:p>
    <w:p>
      <w:pPr>
        <w:pStyle w:val="2"/>
        <w:ind w:left="480"/>
        <w:rPr>
          <w:rFonts w:hint="eastAsia"/>
        </w:rPr>
      </w:pPr>
      <w:bookmarkStart w:id="17" w:name="_Toc63785503"/>
      <w:r>
        <w:rPr>
          <w:rFonts w:hint="eastAsia"/>
        </w:rPr>
        <w:t>其他工作要求</w:t>
      </w:r>
      <w:bookmarkEnd w:id="17"/>
    </w:p>
    <w:p>
      <w:pPr>
        <w:keepNext/>
        <w:keepLines/>
        <w:numPr>
          <w:ilvl w:val="1"/>
          <w:numId w:val="6"/>
        </w:numPr>
        <w:tabs>
          <w:tab w:val="left" w:pos="360"/>
        </w:tabs>
        <w:spacing w:before="120" w:line="240" w:lineRule="auto"/>
        <w:ind w:left="0" w:firstLine="0" w:firstLineChars="0"/>
        <w:outlineLvl w:val="1"/>
        <w:rPr>
          <w:rFonts w:hint="eastAsia" w:ascii="仿宋" w:hAnsi="仿宋" w:eastAsia="仿宋"/>
          <w:b/>
          <w:vanish/>
          <w:sz w:val="28"/>
          <w:szCs w:val="20"/>
        </w:rPr>
      </w:pPr>
      <w:bookmarkStart w:id="18" w:name="_Toc63785504"/>
      <w:bookmarkEnd w:id="18"/>
      <w:bookmarkStart w:id="19" w:name="_Toc63762370"/>
      <w:bookmarkEnd w:id="19"/>
      <w:bookmarkStart w:id="20" w:name="_Toc63151871"/>
      <w:bookmarkEnd w:id="20"/>
      <w:bookmarkStart w:id="21" w:name="_Toc62219358"/>
      <w:bookmarkEnd w:id="21"/>
      <w:bookmarkStart w:id="22" w:name="_Toc63785439"/>
      <w:bookmarkEnd w:id="22"/>
      <w:bookmarkStart w:id="23" w:name="_Toc61968111"/>
      <w:bookmarkEnd w:id="23"/>
      <w:bookmarkStart w:id="24" w:name="_Toc63585480"/>
      <w:bookmarkEnd w:id="24"/>
      <w:bookmarkStart w:id="25" w:name="_Toc62209488"/>
      <w:bookmarkEnd w:id="25"/>
    </w:p>
    <w:p>
      <w:pPr>
        <w:pStyle w:val="3"/>
        <w:rPr>
          <w:rFonts w:hint="eastAsia"/>
        </w:rPr>
      </w:pPr>
      <w:bookmarkStart w:id="26" w:name="_Toc63785505"/>
      <w:r>
        <w:rPr>
          <w:rFonts w:hint="eastAsia"/>
        </w:rPr>
        <w:t>售后服务要求</w:t>
      </w:r>
      <w:bookmarkEnd w:id="26"/>
    </w:p>
    <w:p>
      <w:pPr>
        <w:pStyle w:val="127"/>
        <w:ind w:firstLine="480"/>
      </w:pPr>
      <w:r>
        <w:rPr>
          <w:rFonts w:hint="eastAsia"/>
        </w:rPr>
        <w:t>本项目从系统验收通过之日起1年内提供7*24小时免费技术支持和售后服务，1年后进入有偿维护期。</w:t>
      </w:r>
    </w:p>
    <w:p>
      <w:pPr>
        <w:pStyle w:val="127"/>
        <w:ind w:firstLine="480"/>
      </w:pPr>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pPr>
        <w:pStyle w:val="127"/>
        <w:ind w:firstLine="480"/>
      </w:pPr>
      <w:r>
        <w:rPr>
          <w:rFonts w:hint="eastAsia"/>
        </w:rPr>
        <w:t>在质量保证期内，供应商负责信息系统的运行维护工作，确保信息系统安全、稳定、可靠地运行。本项目涉及的运行维护工作范围为：招标文件内包含的软件系统。</w:t>
      </w:r>
    </w:p>
    <w:p>
      <w:pPr>
        <w:pStyle w:val="127"/>
        <w:ind w:firstLine="480"/>
      </w:pPr>
    </w:p>
    <w:p>
      <w:pPr>
        <w:pStyle w:val="3"/>
        <w:rPr>
          <w:rFonts w:hint="eastAsia"/>
        </w:rPr>
      </w:pPr>
      <w:bookmarkStart w:id="27" w:name="_Toc63785506"/>
      <w:r>
        <w:rPr>
          <w:rFonts w:hint="eastAsia"/>
        </w:rPr>
        <w:t>应急响应要求</w:t>
      </w:r>
      <w:bookmarkEnd w:id="27"/>
    </w:p>
    <w:p>
      <w:pPr>
        <w:spacing w:line="600" w:lineRule="exact"/>
        <w:rPr>
          <w:rFonts w:hint="eastAsia"/>
        </w:rPr>
      </w:pPr>
      <w:r>
        <w:rPr>
          <w:rFonts w:hint="eastAsia"/>
        </w:rPr>
        <w:t>供应商对系统故障应能够实时响应，若系统发生故障，接到通知后30分钟之内响应，专业工程师2小时内到达现场。特殊故障与采购人沟通协商后，按照协商的方式制定解决方案并进行处理。</w:t>
      </w:r>
    </w:p>
    <w:p>
      <w:pPr>
        <w:spacing w:line="600" w:lineRule="exact"/>
        <w:rPr>
          <w:rFonts w:hint="eastAsia"/>
        </w:rPr>
      </w:pPr>
      <w:r>
        <w:rPr>
          <w:rFonts w:hint="eastAsia"/>
        </w:rPr>
        <w:t>具体故障级别及对应的应急响应要求如下：</w:t>
      </w:r>
    </w:p>
    <w:p>
      <w:pPr>
        <w:spacing w:line="600" w:lineRule="exact"/>
        <w:rPr>
          <w:rFonts w:hint="eastAsia"/>
        </w:rPr>
      </w:pPr>
      <w:r>
        <w:rPr>
          <w:rFonts w:hint="eastAsia"/>
        </w:rPr>
        <w:t>一级故障：在1小时内确诊，总故障解决时间不超过4小时。</w:t>
      </w:r>
    </w:p>
    <w:p>
      <w:pPr>
        <w:spacing w:line="600" w:lineRule="exact"/>
        <w:rPr>
          <w:rFonts w:hint="eastAsia"/>
        </w:rPr>
      </w:pPr>
      <w:r>
        <w:rPr>
          <w:rFonts w:hint="eastAsia"/>
        </w:rPr>
        <w:t>二级故障：在2小时内确诊，并在4小时内由专家到达现场确诊并解决，总故障解决时间不超过8小时；</w:t>
      </w:r>
    </w:p>
    <w:p>
      <w:pPr>
        <w:spacing w:line="600" w:lineRule="exact"/>
        <w:rPr>
          <w:rFonts w:hint="eastAsia"/>
        </w:rPr>
      </w:pPr>
      <w:r>
        <w:rPr>
          <w:rFonts w:hint="eastAsia"/>
        </w:rPr>
        <w:t>三、四级故障：在4小时内确诊故障，总故障解决时间不超过16小时。</w:t>
      </w:r>
    </w:p>
    <w:p>
      <w:pPr>
        <w:spacing w:line="600" w:lineRule="exact"/>
        <w:rPr>
          <w:rFonts w:hint="eastAsia"/>
        </w:rPr>
      </w:pPr>
      <w:r>
        <w:rPr>
          <w:rFonts w:hint="eastAsia"/>
        </w:rPr>
        <w:t>依据故障时间及故障范围划分故障级别，故障级别分为四级，依次为Ⅰ级（紧急）、Ⅱ级（严重）、Ⅲ级（较大）和Ⅳ级（一般），分别定义如下：</w:t>
      </w:r>
    </w:p>
    <w:p>
      <w:pPr>
        <w:spacing w:line="600" w:lineRule="exact"/>
        <w:rPr>
          <w:rFonts w:hint="eastAsia"/>
        </w:rPr>
      </w:pPr>
      <w:r>
        <w:rPr>
          <w:rFonts w:hint="eastAsia"/>
        </w:rPr>
        <w:t>Ⅰ级（紧急）故障为工作时间段（8:30——17:30）内大范围故障；</w:t>
      </w:r>
    </w:p>
    <w:p>
      <w:pPr>
        <w:spacing w:line="600" w:lineRule="exact"/>
        <w:rPr>
          <w:rFonts w:hint="eastAsia"/>
        </w:rPr>
      </w:pPr>
      <w:r>
        <w:rPr>
          <w:rFonts w:hint="eastAsia"/>
        </w:rPr>
        <w:t>Ⅱ级（严重）故障为非工作时间段（17:30——次日8:30）内大范围故障；</w:t>
      </w:r>
    </w:p>
    <w:p>
      <w:pPr>
        <w:spacing w:line="600" w:lineRule="exact"/>
        <w:rPr>
          <w:rFonts w:hint="eastAsia"/>
        </w:rPr>
      </w:pPr>
      <w:r>
        <w:rPr>
          <w:rFonts w:hint="eastAsia"/>
        </w:rPr>
        <w:t>Ⅲ级（较大）故障为工作时间段（8:30——17:30）内小范围故障；</w:t>
      </w:r>
    </w:p>
    <w:p>
      <w:pPr>
        <w:spacing w:line="600" w:lineRule="exact"/>
        <w:rPr>
          <w:rFonts w:hint="eastAsia"/>
        </w:rPr>
      </w:pPr>
      <w:r>
        <w:rPr>
          <w:rFonts w:hint="eastAsia"/>
        </w:rPr>
        <w:t>Ⅳ级（一般）故障为非工作时间段（17:30——次日8:30）内小范围故障；</w:t>
      </w:r>
    </w:p>
    <w:p>
      <w:pPr>
        <w:spacing w:line="600" w:lineRule="exact"/>
        <w:rPr>
          <w:rFonts w:hint="eastAsia"/>
        </w:rPr>
      </w:pPr>
    </w:p>
    <w:p>
      <w:pPr>
        <w:pStyle w:val="106"/>
        <w:snapToGrid w:val="0"/>
        <w:spacing w:line="360" w:lineRule="auto"/>
        <w:ind w:firstLine="480"/>
        <w:rPr>
          <w:rFonts w:hint="eastAsia" w:ascii="宋体" w:hAnsi="宋体"/>
          <w:sz w:val="24"/>
          <w:szCs w:val="24"/>
        </w:rPr>
      </w:pPr>
    </w:p>
    <w:p>
      <w:pPr>
        <w:pStyle w:val="3"/>
        <w:rPr>
          <w:rFonts w:hint="eastAsia"/>
        </w:rPr>
      </w:pPr>
      <w:bookmarkStart w:id="28" w:name="_Toc63785507"/>
      <w:r>
        <w:rPr>
          <w:rFonts w:hint="eastAsia"/>
        </w:rPr>
        <w:t>网络与数据安全</w:t>
      </w:r>
    </w:p>
    <w:p>
      <w:pPr>
        <w:rPr>
          <w:rFonts w:hint="eastAsia"/>
        </w:rPr>
      </w:pPr>
      <w:r>
        <w:rPr>
          <w:rFonts w:hint="eastAsia"/>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pPr>
        <w:rPr>
          <w:rFonts w:hint="eastAsia"/>
        </w:rPr>
      </w:pPr>
      <w:r>
        <w:rPr>
          <w:rFonts w:hint="eastAsia"/>
        </w:rPr>
        <w:t>(2)供应商应配合采购人开展相关安全制度和规范的制定，并根据项目实际，制定项目实施过程安全管理方案。</w:t>
      </w:r>
    </w:p>
    <w:p>
      <w:pPr>
        <w:rPr>
          <w:rFonts w:hint="eastAsia"/>
        </w:rPr>
      </w:pPr>
      <w:r>
        <w:rPr>
          <w:rFonts w:hint="eastAsia"/>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pPr>
        <w:rPr>
          <w:rFonts w:hint="eastAsia"/>
        </w:rPr>
      </w:pPr>
      <w:r>
        <w:rPr>
          <w:rFonts w:hint="eastAsia"/>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pPr>
        <w:rPr>
          <w:rFonts w:hint="eastAsia"/>
        </w:rPr>
      </w:pPr>
      <w:r>
        <w:rPr>
          <w:rFonts w:hint="eastAsia"/>
        </w:rPr>
        <w:t>(5)供应商应在项目实施过程中，按照数据差异化安全防护策略，根据系统需要采取数据加密、数据访问控制、日志记录、流转监测等防护能力及相关管理流程，切实保障数据安全。</w:t>
      </w:r>
    </w:p>
    <w:p>
      <w:pPr>
        <w:rPr>
          <w:rFonts w:hint="eastAsia"/>
        </w:rPr>
      </w:pPr>
      <w:r>
        <w:rPr>
          <w:rFonts w:hint="eastAsia"/>
        </w:rPr>
        <w:t>(6)供应商应按照采购人场地及人员安全管理制度，加强人员管理，配合采购人落实人员背调、入离场、终端管理、网络限制、数据权限最小化等管控措施。</w:t>
      </w:r>
    </w:p>
    <w:p>
      <w:pPr>
        <w:rPr>
          <w:rFonts w:hint="eastAsia"/>
        </w:rPr>
      </w:pPr>
      <w:r>
        <w:rPr>
          <w:rFonts w:hint="eastAsia"/>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pPr>
        <w:rPr>
          <w:rFonts w:hint="eastAsia"/>
        </w:rPr>
      </w:pPr>
      <w:r>
        <w:rPr>
          <w:rFonts w:hint="eastAsia"/>
        </w:rPr>
        <w:t>(8)供应商应在系统免维期内承担系统安全运维管理责任，落实安全管理保障措施，包括但不限于制度修订、风险排查、应急响应、漏洞修复、重保等工作。</w:t>
      </w:r>
    </w:p>
    <w:p>
      <w:pPr>
        <w:rPr>
          <w:rFonts w:hint="eastAsia"/>
        </w:rPr>
      </w:pPr>
    </w:p>
    <w:p>
      <w:pPr>
        <w:pStyle w:val="3"/>
        <w:rPr>
          <w:rFonts w:hint="eastAsia"/>
        </w:rPr>
      </w:pPr>
      <w:r>
        <w:rPr>
          <w:rFonts w:hint="eastAsia"/>
        </w:rPr>
        <w:t>培训要求</w:t>
      </w:r>
      <w:bookmarkEnd w:id="28"/>
    </w:p>
    <w:p>
      <w:pPr>
        <w:rPr>
          <w:rFonts w:hint="eastAsia"/>
        </w:rPr>
      </w:pPr>
      <w:r>
        <w:rPr>
          <w:rFonts w:hint="eastAsia"/>
        </w:rPr>
        <w:t>对系统使用单位提供业务操作培训，应提供详细培训方案。</w:t>
      </w:r>
    </w:p>
    <w:p>
      <w:pPr>
        <w:rPr>
          <w:rFonts w:hint="eastAsia"/>
        </w:rPr>
      </w:pPr>
      <w:r>
        <w:rPr>
          <w:rFonts w:hint="eastAsia"/>
        </w:rPr>
        <w:t>(1)在12个月的质量保证期内，提供2次与项目相关的必要培训。</w:t>
      </w:r>
    </w:p>
    <w:p>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pPr>
        <w:rPr>
          <w:rFonts w:hint="eastAsia"/>
        </w:rPr>
      </w:pPr>
      <w:r>
        <w:rPr>
          <w:rFonts w:hint="eastAsia"/>
        </w:rPr>
        <w:t>(3)供应商应提供一般用户的基础操作培训和部门信息管理员的日常应用维护的培训，确保用户对象能够掌握对应的操作技能。</w:t>
      </w:r>
    </w:p>
    <w:p>
      <w:pPr>
        <w:rPr>
          <w:rFonts w:hint="eastAsia"/>
        </w:rPr>
      </w:pPr>
    </w:p>
    <w:p>
      <w:pPr>
        <w:pStyle w:val="3"/>
        <w:rPr>
          <w:rFonts w:hint="eastAsia"/>
        </w:rPr>
      </w:pPr>
      <w:bookmarkStart w:id="29" w:name="_Toc63785508"/>
      <w:r>
        <w:rPr>
          <w:rFonts w:hint="eastAsia"/>
        </w:rPr>
        <w:t>验收要求</w:t>
      </w:r>
      <w:bookmarkEnd w:id="29"/>
    </w:p>
    <w:p>
      <w:pPr>
        <w:rPr>
          <w:rFonts w:hint="eastAsia"/>
          <w:szCs w:val="21"/>
        </w:rPr>
      </w:pPr>
      <w:r>
        <w:rPr>
          <w:rFonts w:hint="eastAsia"/>
          <w:szCs w:val="21"/>
        </w:rPr>
        <w:t>本项目按下述方式开展验收。</w:t>
      </w:r>
    </w:p>
    <w:p>
      <w:pPr>
        <w:rPr>
          <w:rFonts w:hint="eastAsia"/>
          <w:szCs w:val="21"/>
        </w:rPr>
      </w:pPr>
      <w:r>
        <w:rPr>
          <w:rFonts w:hint="eastAsia"/>
          <w:szCs w:val="21"/>
        </w:rPr>
        <w:t>（</w:t>
      </w:r>
      <w:r>
        <w:rPr>
          <w:szCs w:val="21"/>
        </w:rPr>
        <w:t>1）验收分初验和终验。</w:t>
      </w:r>
    </w:p>
    <w:p>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rPr>
          <w:rFonts w:hint="eastAsia"/>
          <w:szCs w:val="21"/>
        </w:rPr>
      </w:pPr>
      <w:r>
        <w:rPr>
          <w:rFonts w:hint="eastAsia"/>
          <w:szCs w:val="21"/>
        </w:rPr>
        <w:t>（</w:t>
      </w:r>
      <w:r>
        <w:rPr>
          <w:szCs w:val="21"/>
        </w:rPr>
        <w:t>4）自初验通过之日起，招标方享有供应商免费提供的</w:t>
      </w:r>
      <w:r>
        <w:rPr>
          <w:rFonts w:hint="eastAsia"/>
          <w:szCs w:val="21"/>
        </w:rPr>
        <w:t>xx</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x个工作日内发起组织专家验收会。</w:t>
      </w:r>
    </w:p>
    <w:p>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pPr>
        <w:rPr>
          <w:rFonts w:hint="eastAsia"/>
          <w:szCs w:val="21"/>
        </w:rPr>
      </w:pPr>
      <w:r>
        <w:rPr>
          <w:rFonts w:hint="eastAsia"/>
          <w:szCs w:val="21"/>
        </w:rPr>
        <w:t>（7</w:t>
      </w:r>
      <w:r>
        <w:rPr>
          <w:szCs w:val="21"/>
        </w:rPr>
        <w:t>）如果由于招标方原因导致本项目在终验通过前出现故障或问题，供应商应及时配合排除该方面的故障或问题。</w:t>
      </w:r>
    </w:p>
    <w:p>
      <w:pPr>
        <w:rPr>
          <w:rFonts w:hint="eastAsia"/>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pPr>
        <w:pStyle w:val="3"/>
        <w:rPr>
          <w:rFonts w:hint="eastAsia"/>
        </w:rPr>
      </w:pPr>
      <w:bookmarkStart w:id="30" w:name="_Toc63785509"/>
      <w:r>
        <w:rPr>
          <w:rFonts w:hint="eastAsia"/>
        </w:rPr>
        <w:t>进度要求</w:t>
      </w:r>
      <w:bookmarkEnd w:id="30"/>
    </w:p>
    <w:p>
      <w:pPr>
        <w:rPr>
          <w:rFonts w:hint="eastAsia"/>
        </w:rPr>
      </w:pPr>
      <w:r>
        <w:rPr>
          <w:rFonts w:hint="eastAsia"/>
        </w:rPr>
        <w:t>投标人应根据建设内容，分阶段制定合理的时间进度，并且应根据招标方要求进行调整和细化。</w:t>
      </w:r>
    </w:p>
    <w:p>
      <w:pPr>
        <w:rPr>
          <w:rFonts w:hint="eastAsia"/>
        </w:rPr>
      </w:pPr>
      <w:r>
        <w:rPr>
          <w:rFonts w:hint="eastAsia"/>
        </w:rPr>
        <w:t>总建设周期为自合同签订之日起到2027年6月30日，分为</w:t>
      </w:r>
      <w:r>
        <w:t>3</w:t>
      </w:r>
      <w:r>
        <w:rPr>
          <w:rFonts w:hint="eastAsia"/>
        </w:rPr>
        <w:t>个阶段。</w:t>
      </w:r>
    </w:p>
    <w:p>
      <w:pPr>
        <w:rPr>
          <w:rFonts w:hint="eastAsia"/>
        </w:rPr>
      </w:pPr>
      <w:r>
        <w:rPr>
          <w:rFonts w:hint="eastAsia"/>
        </w:rPr>
        <w:t>第一阶段为</w:t>
      </w:r>
      <w:r>
        <w:t>1个月：完成业务需求整理，并进行详细需求分析。</w:t>
      </w:r>
    </w:p>
    <w:p>
      <w:pPr>
        <w:rPr>
          <w:rFonts w:hint="eastAsia"/>
        </w:rPr>
      </w:pPr>
      <w:r>
        <w:rPr>
          <w:rFonts w:hint="eastAsia"/>
        </w:rPr>
        <w:t>第二阶段为6</w:t>
      </w:r>
      <w:r>
        <w:t>个月：完成应用软件开发、系统部署；</w:t>
      </w:r>
    </w:p>
    <w:p>
      <w:pPr>
        <w:rPr>
          <w:rFonts w:hint="eastAsia"/>
        </w:rPr>
      </w:pPr>
      <w:r>
        <w:rPr>
          <w:rFonts w:hint="eastAsia"/>
        </w:rPr>
        <w:t>第三阶段为2027年6月30日前</w:t>
      </w:r>
      <w:r>
        <w:t>：完成试运行，并交付项目验收。</w:t>
      </w:r>
    </w:p>
    <w:p>
      <w:pPr>
        <w:pStyle w:val="3"/>
        <w:rPr>
          <w:rFonts w:hint="eastAsia"/>
        </w:rPr>
      </w:pPr>
      <w:bookmarkStart w:id="31" w:name="_Toc63785510"/>
      <w:r>
        <w:rPr>
          <w:rFonts w:hint="eastAsia"/>
        </w:rPr>
        <w:t>项目团队及服务人员要求</w:t>
      </w:r>
      <w:bookmarkEnd w:id="31"/>
    </w:p>
    <w:p>
      <w:pPr>
        <w:rPr>
          <w:rFonts w:hint="eastAsia"/>
        </w:rPr>
      </w:pPr>
      <w:r>
        <w:t>1）投标人须具有稳定的在职技术保障力量，能够提供及时的技术支援或服务，应针对本项目提供不少于</w:t>
      </w:r>
      <w:r>
        <w:rPr>
          <w:rFonts w:hint="eastAsia"/>
        </w:rPr>
        <w:t>15</w:t>
      </w:r>
      <w:r>
        <w:t>人的项目服务团队（包括项目经理、</w:t>
      </w:r>
      <w:r>
        <w:rPr>
          <w:rFonts w:hint="eastAsia"/>
        </w:rPr>
        <w:t>执行项目经理</w:t>
      </w:r>
      <w:r>
        <w:t>、技术负责人、研发</w:t>
      </w:r>
      <w:r>
        <w:rPr>
          <w:rFonts w:hint="eastAsia"/>
        </w:rPr>
        <w:t>、工程师</w:t>
      </w:r>
      <w:r>
        <w:t>等），投标单位的相关服务人员需具备相应的服务能力，需提供相关证明。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31"/>
        <w:gridCol w:w="850"/>
        <w:gridCol w:w="3172"/>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shd w:val="clear" w:color="auto" w:fill="D8D8D8" w:themeFill="background1" w:themeFillShade="D9"/>
            <w:noWrap/>
            <w:vAlign w:val="center"/>
          </w:tcPr>
          <w:p>
            <w:pPr>
              <w:ind w:firstLine="0" w:firstLineChars="0"/>
              <w:jc w:val="center"/>
              <w:rPr>
                <w:rFonts w:hint="eastAsia"/>
                <w:b/>
              </w:rPr>
            </w:pPr>
            <w:r>
              <w:rPr>
                <w:rFonts w:hint="eastAsia"/>
                <w:b/>
              </w:rPr>
              <w:t>角色</w:t>
            </w:r>
          </w:p>
        </w:tc>
        <w:tc>
          <w:tcPr>
            <w:tcW w:w="1931" w:type="dxa"/>
            <w:shd w:val="clear" w:color="auto" w:fill="D8D8D8" w:themeFill="background1" w:themeFillShade="D9"/>
            <w:noWrap/>
            <w:vAlign w:val="center"/>
          </w:tcPr>
          <w:p>
            <w:pPr>
              <w:ind w:firstLine="0" w:firstLineChars="0"/>
              <w:jc w:val="center"/>
              <w:rPr>
                <w:rFonts w:hint="eastAsia"/>
                <w:b/>
              </w:rPr>
            </w:pPr>
            <w:r>
              <w:rPr>
                <w:rFonts w:hint="eastAsia"/>
                <w:b/>
              </w:rPr>
              <w:t>主要职责</w:t>
            </w:r>
          </w:p>
        </w:tc>
        <w:tc>
          <w:tcPr>
            <w:tcW w:w="850" w:type="dxa"/>
            <w:shd w:val="clear" w:color="auto" w:fill="D8D8D8" w:themeFill="background1" w:themeFillShade="D9"/>
            <w:noWrap/>
            <w:vAlign w:val="center"/>
          </w:tcPr>
          <w:p>
            <w:pPr>
              <w:ind w:firstLine="0" w:firstLineChars="0"/>
              <w:jc w:val="center"/>
              <w:rPr>
                <w:rFonts w:hint="eastAsia"/>
                <w:b/>
              </w:rPr>
            </w:pPr>
            <w:r>
              <w:rPr>
                <w:rFonts w:hint="eastAsia"/>
                <w:b/>
              </w:rPr>
              <w:t>人员数量</w:t>
            </w:r>
          </w:p>
        </w:tc>
        <w:tc>
          <w:tcPr>
            <w:tcW w:w="3172" w:type="dxa"/>
            <w:shd w:val="clear" w:color="auto" w:fill="D8D8D8" w:themeFill="background1" w:themeFillShade="D9"/>
            <w:vAlign w:val="center"/>
          </w:tcPr>
          <w:p>
            <w:pPr>
              <w:ind w:firstLine="0" w:firstLineChars="0"/>
              <w:jc w:val="center"/>
              <w:rPr>
                <w:rFonts w:hint="eastAsia"/>
                <w:b/>
              </w:rPr>
            </w:pPr>
            <w:r>
              <w:rPr>
                <w:rFonts w:hint="eastAsia"/>
                <w:b/>
              </w:rPr>
              <w:t>人员要求</w:t>
            </w:r>
          </w:p>
        </w:tc>
        <w:tc>
          <w:tcPr>
            <w:tcW w:w="794" w:type="dxa"/>
            <w:shd w:val="clear" w:color="auto" w:fill="D8D8D8" w:themeFill="background1" w:themeFillShade="D9"/>
            <w:noWrap/>
            <w:vAlign w:val="center"/>
          </w:tcPr>
          <w:p>
            <w:pPr>
              <w:ind w:firstLine="0" w:firstLineChars="0"/>
              <w:jc w:val="cente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noWrap/>
            <w:vAlign w:val="center"/>
          </w:tcPr>
          <w:p>
            <w:pPr>
              <w:ind w:firstLine="0" w:firstLineChars="0"/>
              <w:jc w:val="center"/>
              <w:rPr>
                <w:rFonts w:hint="eastAsia"/>
              </w:rPr>
            </w:pPr>
            <w:r>
              <w:rPr>
                <w:rFonts w:hint="eastAsia"/>
              </w:rPr>
              <w:t>项目经理</w:t>
            </w:r>
          </w:p>
        </w:tc>
        <w:tc>
          <w:tcPr>
            <w:tcW w:w="1931" w:type="dxa"/>
            <w:vAlign w:val="center"/>
          </w:tcPr>
          <w:p>
            <w:pPr>
              <w:ind w:firstLine="0" w:firstLineChars="0"/>
              <w:jc w:val="center"/>
              <w:rPr>
                <w:rFonts w:hint="eastAsia"/>
              </w:rPr>
            </w:pPr>
            <w:r>
              <w:rPr>
                <w:rFonts w:hint="eastAsia"/>
              </w:rPr>
              <w:t>负责项目质量和进度控制管理</w:t>
            </w:r>
          </w:p>
        </w:tc>
        <w:tc>
          <w:tcPr>
            <w:tcW w:w="850" w:type="dxa"/>
            <w:noWrap/>
            <w:vAlign w:val="center"/>
          </w:tcPr>
          <w:p>
            <w:pPr>
              <w:ind w:firstLine="0" w:firstLineChars="0"/>
              <w:jc w:val="center"/>
              <w:rPr>
                <w:rFonts w:hint="eastAsia"/>
              </w:rPr>
            </w:pPr>
            <w:r>
              <w:t>1</w:t>
            </w:r>
            <w:r>
              <w:rPr>
                <w:rFonts w:hint="eastAsia"/>
              </w:rPr>
              <w:t>人</w:t>
            </w:r>
          </w:p>
        </w:tc>
        <w:tc>
          <w:tcPr>
            <w:tcW w:w="3172" w:type="dxa"/>
            <w:vAlign w:val="center"/>
          </w:tcPr>
          <w:p>
            <w:pPr>
              <w:ind w:firstLine="0" w:firstLineChars="0"/>
              <w:jc w:val="center"/>
              <w:rPr>
                <w:rFonts w:hint="eastAsia"/>
              </w:rPr>
            </w:pPr>
            <w:r>
              <w:rPr>
                <w:rFonts w:hint="eastAsia"/>
              </w:rPr>
              <w:t>本科或以上，具有计算机技术与软件专业技术资格(水平)信息系统项目管理师（高级）或者系统集成项目管理工程师(中级)资质</w:t>
            </w:r>
          </w:p>
        </w:tc>
        <w:tc>
          <w:tcPr>
            <w:tcW w:w="794" w:type="dxa"/>
            <w:noWrap/>
            <w:vAlign w:val="center"/>
          </w:tcPr>
          <w:p>
            <w:pPr>
              <w:ind w:firstLine="0" w:firstLineChars="0"/>
              <w:jc w:val="center"/>
              <w:rPr>
                <w:rFonts w:hint="eastAsia"/>
              </w:rPr>
            </w:pPr>
            <w:r>
              <w:rPr>
                <w:rFonts w:hint="eastAsia"/>
              </w:rPr>
              <w:t>按需驻场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noWrap/>
            <w:vAlign w:val="center"/>
          </w:tcPr>
          <w:p>
            <w:pPr>
              <w:ind w:firstLine="0" w:firstLineChars="0"/>
              <w:jc w:val="center"/>
              <w:rPr>
                <w:rFonts w:hint="eastAsia"/>
              </w:rPr>
            </w:pPr>
            <w:r>
              <w:rPr>
                <w:rFonts w:hint="eastAsia"/>
              </w:rPr>
              <w:t>执行项目经理</w:t>
            </w:r>
          </w:p>
        </w:tc>
        <w:tc>
          <w:tcPr>
            <w:tcW w:w="1931" w:type="dxa"/>
            <w:vAlign w:val="center"/>
          </w:tcPr>
          <w:p>
            <w:pPr>
              <w:ind w:firstLine="0" w:firstLineChars="0"/>
              <w:jc w:val="center"/>
              <w:rPr>
                <w:rFonts w:hint="eastAsia"/>
              </w:rPr>
            </w:pPr>
            <w:r>
              <w:rPr>
                <w:rFonts w:hint="eastAsia"/>
              </w:rPr>
              <w:t>负责项目现场质量和进度</w:t>
            </w:r>
          </w:p>
        </w:tc>
        <w:tc>
          <w:tcPr>
            <w:tcW w:w="850" w:type="dxa"/>
            <w:noWrap/>
            <w:vAlign w:val="center"/>
          </w:tcPr>
          <w:p>
            <w:pPr>
              <w:ind w:firstLine="0" w:firstLineChars="0"/>
              <w:jc w:val="center"/>
              <w:rPr>
                <w:rFonts w:hint="eastAsia"/>
              </w:rPr>
            </w:pPr>
            <w:r>
              <w:rPr>
                <w:rFonts w:hint="eastAsia"/>
              </w:rPr>
              <w:t>1人</w:t>
            </w:r>
          </w:p>
        </w:tc>
        <w:tc>
          <w:tcPr>
            <w:tcW w:w="3172" w:type="dxa"/>
            <w:vAlign w:val="center"/>
          </w:tcPr>
          <w:p>
            <w:pPr>
              <w:ind w:firstLine="0" w:firstLineChars="0"/>
              <w:jc w:val="center"/>
              <w:rPr>
                <w:rFonts w:hint="eastAsia"/>
              </w:rPr>
            </w:pPr>
            <w:r>
              <w:rPr>
                <w:rFonts w:hint="eastAsia"/>
              </w:rPr>
              <w:t>本科或以上</w:t>
            </w:r>
          </w:p>
        </w:tc>
        <w:tc>
          <w:tcPr>
            <w:tcW w:w="794" w:type="dxa"/>
            <w:noWrap/>
            <w:vAlign w:val="center"/>
          </w:tcPr>
          <w:p>
            <w:pPr>
              <w:ind w:firstLine="0" w:firstLineChars="0"/>
              <w:jc w:val="center"/>
              <w:rPr>
                <w:rFonts w:hint="eastAsia"/>
              </w:rPr>
            </w:pPr>
            <w:r>
              <w:rPr>
                <w:rFonts w:hint="eastAsia"/>
              </w:rPr>
              <w:t>按需驻场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noWrap/>
            <w:vAlign w:val="center"/>
          </w:tcPr>
          <w:p>
            <w:pPr>
              <w:ind w:firstLine="0" w:firstLineChars="0"/>
              <w:jc w:val="center"/>
              <w:rPr>
                <w:rFonts w:hint="eastAsia"/>
              </w:rPr>
            </w:pPr>
            <w:r>
              <w:rPr>
                <w:rFonts w:hint="eastAsia"/>
              </w:rPr>
              <w:t>技术负责人</w:t>
            </w:r>
          </w:p>
        </w:tc>
        <w:tc>
          <w:tcPr>
            <w:tcW w:w="1931" w:type="dxa"/>
            <w:vAlign w:val="center"/>
          </w:tcPr>
          <w:p>
            <w:pPr>
              <w:ind w:firstLine="0" w:firstLineChars="0"/>
              <w:jc w:val="center"/>
              <w:rPr>
                <w:rFonts w:hint="eastAsia"/>
              </w:rPr>
            </w:pPr>
            <w:r>
              <w:rPr>
                <w:rFonts w:hint="eastAsia"/>
              </w:rPr>
              <w:t>负责制定项目</w:t>
            </w:r>
            <w:r>
              <w:rPr>
                <w:rFonts w:ascii="Segoe UI" w:hAnsi="Segoe UI" w:cs="Segoe UI"/>
                <w:sz w:val="23"/>
                <w:szCs w:val="23"/>
                <w:shd w:val="clear" w:color="auto" w:fill="FDFDFE"/>
              </w:rPr>
              <w:t>技</w:t>
            </w:r>
            <w:r>
              <w:t>术标准和技术规范</w:t>
            </w:r>
          </w:p>
        </w:tc>
        <w:tc>
          <w:tcPr>
            <w:tcW w:w="850" w:type="dxa"/>
            <w:noWrap/>
            <w:vAlign w:val="center"/>
          </w:tcPr>
          <w:p>
            <w:pPr>
              <w:ind w:firstLine="0" w:firstLineChars="0"/>
              <w:jc w:val="center"/>
              <w:rPr>
                <w:rFonts w:hint="eastAsia"/>
              </w:rPr>
            </w:pPr>
            <w:r>
              <w:t>1</w:t>
            </w:r>
            <w:r>
              <w:rPr>
                <w:rFonts w:hint="eastAsia"/>
              </w:rPr>
              <w:t>人</w:t>
            </w:r>
          </w:p>
        </w:tc>
        <w:tc>
          <w:tcPr>
            <w:tcW w:w="3172" w:type="dxa"/>
            <w:vAlign w:val="center"/>
          </w:tcPr>
          <w:p>
            <w:pPr>
              <w:ind w:firstLine="0" w:firstLineChars="0"/>
              <w:jc w:val="center"/>
              <w:rPr>
                <w:rFonts w:hint="eastAsia"/>
              </w:rPr>
            </w:pPr>
            <w:r>
              <w:rPr>
                <w:rFonts w:hint="eastAsia"/>
              </w:rPr>
              <w:t>本科或以上，具备计算机技术与软件专业技术资格(水平)系统集成项目管理工程师(中级)</w:t>
            </w:r>
          </w:p>
        </w:tc>
        <w:tc>
          <w:tcPr>
            <w:tcW w:w="794" w:type="dxa"/>
            <w:noWrap/>
            <w:vAlign w:val="center"/>
          </w:tcPr>
          <w:p>
            <w:pPr>
              <w:ind w:firstLine="0" w:firstLineChars="0"/>
              <w:jc w:val="center"/>
              <w:rPr>
                <w:rFonts w:hint="eastAsia"/>
              </w:rPr>
            </w:pPr>
            <w:r>
              <w:rPr>
                <w:rFonts w:hint="eastAsia"/>
              </w:rPr>
              <w:t>按需驻场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noWrap/>
            <w:vAlign w:val="center"/>
          </w:tcPr>
          <w:p>
            <w:pPr>
              <w:ind w:firstLine="0" w:firstLineChars="0"/>
              <w:jc w:val="center"/>
              <w:rPr>
                <w:rFonts w:hint="eastAsia"/>
              </w:rPr>
            </w:pPr>
            <w:r>
              <w:rPr>
                <w:rFonts w:hint="eastAsia"/>
              </w:rPr>
              <w:t>系统分析工程师</w:t>
            </w:r>
          </w:p>
        </w:tc>
        <w:tc>
          <w:tcPr>
            <w:tcW w:w="1931" w:type="dxa"/>
            <w:vAlign w:val="center"/>
          </w:tcPr>
          <w:p>
            <w:pPr>
              <w:ind w:firstLine="0" w:firstLineChars="0"/>
              <w:jc w:val="center"/>
              <w:rPr>
                <w:rFonts w:hint="eastAsia"/>
              </w:rPr>
            </w:pPr>
            <w:r>
              <w:rPr>
                <w:rFonts w:hint="eastAsia"/>
              </w:rPr>
              <w:t>系统整体分析</w:t>
            </w:r>
          </w:p>
        </w:tc>
        <w:tc>
          <w:tcPr>
            <w:tcW w:w="850" w:type="dxa"/>
            <w:noWrap/>
            <w:vAlign w:val="center"/>
          </w:tcPr>
          <w:p>
            <w:pPr>
              <w:ind w:firstLine="0" w:firstLineChars="0"/>
              <w:jc w:val="center"/>
              <w:rPr>
                <w:rFonts w:hint="eastAsia"/>
              </w:rPr>
            </w:pPr>
            <w:r>
              <w:t>1</w:t>
            </w:r>
            <w:r>
              <w:rPr>
                <w:rFonts w:hint="eastAsia"/>
              </w:rPr>
              <w:t>人</w:t>
            </w:r>
          </w:p>
        </w:tc>
        <w:tc>
          <w:tcPr>
            <w:tcW w:w="3172" w:type="dxa"/>
            <w:vAlign w:val="center"/>
          </w:tcPr>
          <w:p>
            <w:pPr>
              <w:ind w:firstLine="0" w:firstLineChars="0"/>
              <w:jc w:val="center"/>
              <w:rPr>
                <w:rFonts w:hint="eastAsia"/>
              </w:rPr>
            </w:pPr>
            <w:r>
              <w:rPr>
                <w:rFonts w:hint="eastAsia"/>
              </w:rPr>
              <w:t>本科或以上，具有计算机技术与软件专业技术资格(水平)系统分析师资质</w:t>
            </w:r>
          </w:p>
        </w:tc>
        <w:tc>
          <w:tcPr>
            <w:tcW w:w="794" w:type="dxa"/>
            <w:noWrap/>
            <w:vAlign w:val="center"/>
          </w:tcPr>
          <w:p>
            <w:pPr>
              <w:ind w:firstLine="0" w:firstLineChars="0"/>
              <w:jc w:val="center"/>
              <w:rPr>
                <w:rFonts w:hint="eastAsia"/>
              </w:rPr>
            </w:pPr>
            <w:r>
              <w:rPr>
                <w:rFonts w:hint="eastAsia"/>
              </w:rPr>
              <w:t>按需驻场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5" w:type="dxa"/>
            <w:noWrap/>
            <w:vAlign w:val="center"/>
          </w:tcPr>
          <w:p>
            <w:pPr>
              <w:ind w:firstLine="0" w:firstLineChars="0"/>
              <w:jc w:val="center"/>
              <w:rPr>
                <w:rFonts w:hint="eastAsia"/>
              </w:rPr>
            </w:pPr>
            <w:r>
              <w:rPr>
                <w:rFonts w:hint="eastAsia"/>
              </w:rPr>
              <w:t>软件研发</w:t>
            </w:r>
          </w:p>
        </w:tc>
        <w:tc>
          <w:tcPr>
            <w:tcW w:w="1931" w:type="dxa"/>
            <w:noWrap/>
            <w:vAlign w:val="center"/>
          </w:tcPr>
          <w:p>
            <w:pPr>
              <w:ind w:firstLine="0" w:firstLineChars="0"/>
              <w:jc w:val="center"/>
              <w:rPr>
                <w:rFonts w:hint="eastAsia"/>
              </w:rPr>
            </w:pPr>
            <w:r>
              <w:rPr>
                <w:rFonts w:hint="eastAsia"/>
              </w:rPr>
              <w:t>负责项目具体开发与实施</w:t>
            </w:r>
          </w:p>
        </w:tc>
        <w:tc>
          <w:tcPr>
            <w:tcW w:w="850" w:type="dxa"/>
            <w:noWrap/>
            <w:vAlign w:val="center"/>
          </w:tcPr>
          <w:p>
            <w:pPr>
              <w:ind w:firstLine="0" w:firstLineChars="0"/>
              <w:jc w:val="center"/>
              <w:rPr>
                <w:rFonts w:hint="eastAsia"/>
              </w:rPr>
            </w:pPr>
            <w:r>
              <w:rPr>
                <w:rFonts w:hint="eastAsia"/>
              </w:rPr>
              <w:t>9人</w:t>
            </w:r>
          </w:p>
        </w:tc>
        <w:tc>
          <w:tcPr>
            <w:tcW w:w="3172" w:type="dxa"/>
            <w:vAlign w:val="center"/>
          </w:tcPr>
          <w:p>
            <w:pPr>
              <w:ind w:firstLine="0" w:firstLineChars="0"/>
              <w:jc w:val="center"/>
              <w:rPr>
                <w:rFonts w:hint="eastAsia"/>
              </w:rPr>
            </w:pPr>
            <w:r>
              <w:rPr>
                <w:rFonts w:hint="eastAsia"/>
              </w:rPr>
              <w:t>本科或以上</w:t>
            </w:r>
          </w:p>
        </w:tc>
        <w:tc>
          <w:tcPr>
            <w:tcW w:w="794" w:type="dxa"/>
            <w:noWrap/>
            <w:vAlign w:val="center"/>
          </w:tcPr>
          <w:p>
            <w:pPr>
              <w:ind w:firstLine="0" w:firstLineChars="0"/>
              <w:jc w:val="center"/>
              <w:rPr>
                <w:rFonts w:hint="eastAsia"/>
              </w:rPr>
            </w:pPr>
            <w:r>
              <w:rPr>
                <w:rFonts w:hint="eastAsia"/>
              </w:rPr>
              <w:t>按需驻场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55" w:type="dxa"/>
            <w:noWrap/>
            <w:vAlign w:val="center"/>
          </w:tcPr>
          <w:p>
            <w:pPr>
              <w:ind w:firstLine="0" w:firstLineChars="0"/>
              <w:jc w:val="center"/>
              <w:rPr>
                <w:rFonts w:hint="eastAsia"/>
              </w:rPr>
            </w:pPr>
            <w:r>
              <w:rPr>
                <w:rFonts w:hint="eastAsia"/>
              </w:rPr>
              <w:t>网络工程师</w:t>
            </w:r>
          </w:p>
        </w:tc>
        <w:tc>
          <w:tcPr>
            <w:tcW w:w="1931" w:type="dxa"/>
            <w:noWrap/>
            <w:vAlign w:val="center"/>
          </w:tcPr>
          <w:p>
            <w:pPr>
              <w:ind w:firstLine="0" w:firstLineChars="0"/>
              <w:jc w:val="center"/>
              <w:rPr>
                <w:rFonts w:hint="eastAsia"/>
              </w:rPr>
            </w:pPr>
            <w:r>
              <w:rPr>
                <w:rFonts w:hint="eastAsia"/>
              </w:rPr>
              <w:t>网络协调设计</w:t>
            </w:r>
          </w:p>
        </w:tc>
        <w:tc>
          <w:tcPr>
            <w:tcW w:w="850" w:type="dxa"/>
            <w:noWrap/>
            <w:vAlign w:val="center"/>
          </w:tcPr>
          <w:p>
            <w:pPr>
              <w:ind w:firstLine="0" w:firstLineChars="0"/>
              <w:jc w:val="center"/>
              <w:rPr>
                <w:rFonts w:hint="eastAsia"/>
              </w:rPr>
            </w:pPr>
            <w:r>
              <w:rPr>
                <w:rFonts w:hint="eastAsia"/>
              </w:rPr>
              <w:t>2人</w:t>
            </w:r>
          </w:p>
        </w:tc>
        <w:tc>
          <w:tcPr>
            <w:tcW w:w="3172" w:type="dxa"/>
            <w:vAlign w:val="center"/>
          </w:tcPr>
          <w:p>
            <w:pPr>
              <w:ind w:firstLine="0" w:firstLineChars="0"/>
              <w:jc w:val="center"/>
              <w:rPr>
                <w:rFonts w:hint="eastAsia"/>
              </w:rPr>
            </w:pPr>
            <w:r>
              <w:rPr>
                <w:rFonts w:hint="eastAsia"/>
              </w:rPr>
              <w:t>本科或以上，至少1人具备计算机技术与软件专业技术资格(水平)网络工程师（中级）资质</w:t>
            </w:r>
          </w:p>
        </w:tc>
        <w:tc>
          <w:tcPr>
            <w:tcW w:w="794" w:type="dxa"/>
            <w:noWrap/>
            <w:vAlign w:val="center"/>
          </w:tcPr>
          <w:p>
            <w:pPr>
              <w:ind w:firstLine="0" w:firstLineChars="0"/>
              <w:jc w:val="center"/>
              <w:rPr>
                <w:rFonts w:hint="eastAsia"/>
              </w:rPr>
            </w:pPr>
            <w:r>
              <w:rPr>
                <w:rFonts w:hint="eastAsia"/>
              </w:rPr>
              <w:t>按需驻场</w:t>
            </w:r>
          </w:p>
        </w:tc>
      </w:tr>
    </w:tbl>
    <w:p>
      <w:pPr>
        <w:ind w:firstLine="0" w:firstLineChars="0"/>
        <w:rPr>
          <w:rFonts w:hint="eastAsia"/>
        </w:rPr>
      </w:pPr>
    </w:p>
    <w:p>
      <w:pPr>
        <w:rPr>
          <w:rFonts w:hint="eastAsia"/>
        </w:rPr>
      </w:pPr>
      <w:r>
        <w:t>2）投标人应针对本项目提供不少于5人的质保期间支撑团队（</w:t>
      </w:r>
      <w:r>
        <w:rPr>
          <w:rFonts w:hint="eastAsia"/>
        </w:rPr>
        <w:t>包括项目经理、执行项目经理、技术负责人、信息安全工程师、技术工程师</w:t>
      </w:r>
      <w:r>
        <w:t>）；投标人的相关服务人员需具备相应的服务能力，需提供相关证明（最近一个季度依法缴纳社保费的证明）。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913"/>
        <w:gridCol w:w="862"/>
        <w:gridCol w:w="317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45" w:type="dxa"/>
            <w:shd w:val="clear" w:color="auto" w:fill="D8D8D8" w:themeFill="background1" w:themeFillShade="D9"/>
            <w:noWrap/>
            <w:vAlign w:val="center"/>
          </w:tcPr>
          <w:p>
            <w:pPr>
              <w:ind w:firstLine="0" w:firstLineChars="0"/>
              <w:jc w:val="center"/>
              <w:rPr>
                <w:rFonts w:hint="eastAsia"/>
              </w:rPr>
            </w:pPr>
            <w:r>
              <w:rPr>
                <w:rFonts w:hint="eastAsia"/>
              </w:rPr>
              <w:t>角色</w:t>
            </w:r>
          </w:p>
        </w:tc>
        <w:tc>
          <w:tcPr>
            <w:tcW w:w="1913" w:type="dxa"/>
            <w:shd w:val="clear" w:color="auto" w:fill="D8D8D8" w:themeFill="background1" w:themeFillShade="D9"/>
            <w:noWrap/>
            <w:vAlign w:val="center"/>
          </w:tcPr>
          <w:p>
            <w:pPr>
              <w:ind w:firstLine="0" w:firstLineChars="0"/>
              <w:jc w:val="center"/>
              <w:rPr>
                <w:rFonts w:hint="eastAsia"/>
              </w:rPr>
            </w:pPr>
            <w:r>
              <w:rPr>
                <w:rFonts w:hint="eastAsia"/>
              </w:rPr>
              <w:t>主要职责</w:t>
            </w:r>
          </w:p>
        </w:tc>
        <w:tc>
          <w:tcPr>
            <w:tcW w:w="862" w:type="dxa"/>
            <w:shd w:val="clear" w:color="auto" w:fill="D8D8D8" w:themeFill="background1" w:themeFillShade="D9"/>
            <w:noWrap/>
            <w:vAlign w:val="center"/>
          </w:tcPr>
          <w:p>
            <w:pPr>
              <w:ind w:firstLine="0" w:firstLineChars="0"/>
              <w:jc w:val="center"/>
              <w:rPr>
                <w:rFonts w:hint="eastAsia"/>
              </w:rPr>
            </w:pPr>
            <w:r>
              <w:rPr>
                <w:rFonts w:hint="eastAsia"/>
              </w:rPr>
              <w:t>人员数量</w:t>
            </w:r>
          </w:p>
        </w:tc>
        <w:tc>
          <w:tcPr>
            <w:tcW w:w="3175" w:type="dxa"/>
            <w:shd w:val="clear" w:color="auto" w:fill="D8D8D8" w:themeFill="background1" w:themeFillShade="D9"/>
            <w:vAlign w:val="center"/>
          </w:tcPr>
          <w:p>
            <w:pPr>
              <w:ind w:firstLine="0" w:firstLineChars="0"/>
              <w:jc w:val="center"/>
              <w:rPr>
                <w:rFonts w:hint="eastAsia"/>
              </w:rPr>
            </w:pPr>
            <w:r>
              <w:rPr>
                <w:rFonts w:hint="eastAsia"/>
              </w:rPr>
              <w:t>人员要求</w:t>
            </w:r>
          </w:p>
        </w:tc>
        <w:tc>
          <w:tcPr>
            <w:tcW w:w="850" w:type="dxa"/>
            <w:shd w:val="clear" w:color="auto" w:fill="D8D8D8" w:themeFill="background1" w:themeFillShade="D9"/>
            <w:noWrap/>
            <w:vAlign w:val="center"/>
          </w:tcPr>
          <w:p>
            <w:pPr>
              <w:ind w:firstLine="0" w:firstLineChars="0"/>
              <w:jc w:val="center"/>
              <w:rPr>
                <w:rFonts w:hint="eastAsia"/>
              </w:rPr>
            </w:pPr>
            <w:r>
              <w:rPr>
                <w:rFonts w:hint="eastAsia"/>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45" w:type="dxa"/>
            <w:noWrap/>
            <w:vAlign w:val="center"/>
          </w:tcPr>
          <w:p>
            <w:pPr>
              <w:ind w:firstLine="0" w:firstLineChars="0"/>
              <w:rPr>
                <w:rFonts w:hint="eastAsia"/>
              </w:rPr>
            </w:pPr>
            <w:r>
              <w:rPr>
                <w:rFonts w:hint="eastAsia"/>
              </w:rPr>
              <w:t>项目经理</w:t>
            </w:r>
          </w:p>
        </w:tc>
        <w:tc>
          <w:tcPr>
            <w:tcW w:w="1913" w:type="dxa"/>
            <w:vAlign w:val="center"/>
          </w:tcPr>
          <w:p>
            <w:pPr>
              <w:ind w:firstLine="0" w:firstLineChars="0"/>
              <w:rPr>
                <w:rFonts w:hint="eastAsia"/>
              </w:rPr>
            </w:pPr>
            <w:r>
              <w:rPr>
                <w:rFonts w:hint="eastAsia"/>
              </w:rPr>
              <w:t>负责项目质量和运维计划的管理</w:t>
            </w:r>
          </w:p>
        </w:tc>
        <w:tc>
          <w:tcPr>
            <w:tcW w:w="862" w:type="dxa"/>
            <w:noWrap/>
            <w:vAlign w:val="center"/>
          </w:tcPr>
          <w:p>
            <w:pPr>
              <w:ind w:firstLine="0" w:firstLineChars="0"/>
              <w:rPr>
                <w:rFonts w:hint="eastAsia"/>
              </w:rPr>
            </w:pPr>
            <w:r>
              <w:t>1</w:t>
            </w:r>
            <w:r>
              <w:rPr>
                <w:rFonts w:hint="eastAsia"/>
              </w:rPr>
              <w:t>人</w:t>
            </w:r>
          </w:p>
        </w:tc>
        <w:tc>
          <w:tcPr>
            <w:tcW w:w="3175" w:type="dxa"/>
            <w:vAlign w:val="center"/>
          </w:tcPr>
          <w:p>
            <w:pPr>
              <w:ind w:firstLine="0" w:firstLineChars="0"/>
              <w:rPr>
                <w:rFonts w:hint="eastAsia"/>
              </w:rPr>
            </w:pPr>
            <w:r>
              <w:rPr>
                <w:rFonts w:hint="eastAsia"/>
              </w:rPr>
              <w:t>本科或以上，具有计算机技术与软件专业技术资格(水平)信息系统项目管理师（高级）或者系统集成项目管理工程师(中级)资质</w:t>
            </w:r>
          </w:p>
        </w:tc>
        <w:tc>
          <w:tcPr>
            <w:tcW w:w="850" w:type="dxa"/>
            <w:noWrap/>
            <w:vAlign w:val="center"/>
          </w:tcPr>
          <w:p>
            <w:pPr>
              <w:ind w:firstLine="0" w:firstLineChars="0"/>
              <w:rPr>
                <w:rFonts w:hint="eastAsia"/>
              </w:rPr>
            </w:pPr>
            <w:r>
              <w:rPr>
                <w:rFonts w:hint="eastAsia"/>
              </w:rPr>
              <w:t>按需驻场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45" w:type="dxa"/>
            <w:noWrap/>
            <w:vAlign w:val="center"/>
          </w:tcPr>
          <w:p>
            <w:pPr>
              <w:ind w:firstLine="0" w:firstLineChars="0"/>
              <w:rPr>
                <w:rFonts w:hint="eastAsia"/>
              </w:rPr>
            </w:pPr>
            <w:r>
              <w:rPr>
                <w:rFonts w:hint="eastAsia"/>
              </w:rPr>
              <w:t>执行项目经理</w:t>
            </w:r>
          </w:p>
        </w:tc>
        <w:tc>
          <w:tcPr>
            <w:tcW w:w="1913" w:type="dxa"/>
            <w:vAlign w:val="center"/>
          </w:tcPr>
          <w:p>
            <w:pPr>
              <w:ind w:firstLine="0" w:firstLineChars="0"/>
              <w:rPr>
                <w:rFonts w:hint="eastAsia"/>
              </w:rPr>
            </w:pPr>
            <w:r>
              <w:rPr>
                <w:rFonts w:hint="eastAsia"/>
              </w:rPr>
              <w:t>负责现场项目质量和运维计划的执行</w:t>
            </w:r>
          </w:p>
        </w:tc>
        <w:tc>
          <w:tcPr>
            <w:tcW w:w="862" w:type="dxa"/>
            <w:noWrap/>
            <w:vAlign w:val="center"/>
          </w:tcPr>
          <w:p>
            <w:pPr>
              <w:ind w:firstLine="0" w:firstLineChars="0"/>
              <w:rPr>
                <w:rFonts w:hint="eastAsia"/>
              </w:rPr>
            </w:pPr>
            <w:r>
              <w:rPr>
                <w:rFonts w:hint="eastAsia"/>
              </w:rPr>
              <w:t>1人</w:t>
            </w:r>
          </w:p>
        </w:tc>
        <w:tc>
          <w:tcPr>
            <w:tcW w:w="3175" w:type="dxa"/>
            <w:vAlign w:val="center"/>
          </w:tcPr>
          <w:p>
            <w:pPr>
              <w:ind w:firstLine="0" w:firstLineChars="0"/>
              <w:rPr>
                <w:rFonts w:hint="eastAsia"/>
              </w:rPr>
            </w:pPr>
            <w:r>
              <w:rPr>
                <w:rFonts w:hint="eastAsia"/>
              </w:rPr>
              <w:t>本科或以上</w:t>
            </w:r>
          </w:p>
        </w:tc>
        <w:tc>
          <w:tcPr>
            <w:tcW w:w="850" w:type="dxa"/>
            <w:noWrap/>
            <w:vAlign w:val="center"/>
          </w:tcPr>
          <w:p>
            <w:pPr>
              <w:ind w:firstLine="0" w:firstLineChars="0"/>
              <w:rPr>
                <w:rFonts w:hint="eastAsia"/>
              </w:rPr>
            </w:pPr>
            <w:r>
              <w:rPr>
                <w:rFonts w:hint="eastAsia"/>
              </w:rPr>
              <w:t>按需驻场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45" w:type="dxa"/>
            <w:noWrap/>
            <w:vAlign w:val="center"/>
          </w:tcPr>
          <w:p>
            <w:pPr>
              <w:ind w:firstLine="0" w:firstLineChars="0"/>
              <w:rPr>
                <w:rFonts w:hint="eastAsia"/>
              </w:rPr>
            </w:pPr>
            <w:r>
              <w:rPr>
                <w:rFonts w:hint="eastAsia"/>
              </w:rPr>
              <w:t>技术负责人</w:t>
            </w:r>
          </w:p>
        </w:tc>
        <w:tc>
          <w:tcPr>
            <w:tcW w:w="1913" w:type="dxa"/>
            <w:vAlign w:val="center"/>
          </w:tcPr>
          <w:p>
            <w:pPr>
              <w:ind w:firstLine="0" w:firstLineChars="0"/>
              <w:rPr>
                <w:rFonts w:hint="eastAsia"/>
              </w:rPr>
            </w:pPr>
            <w:r>
              <w:rPr>
                <w:rFonts w:hint="eastAsia"/>
              </w:rPr>
              <w:t>负责制定项目</w:t>
            </w:r>
            <w:r>
              <w:rPr>
                <w:rFonts w:ascii="Segoe UI" w:hAnsi="Segoe UI" w:cs="Segoe UI"/>
                <w:sz w:val="23"/>
                <w:szCs w:val="23"/>
                <w:shd w:val="clear" w:color="auto" w:fill="FDFDFE"/>
              </w:rPr>
              <w:t>技</w:t>
            </w:r>
            <w:r>
              <w:t>术</w:t>
            </w:r>
            <w:r>
              <w:rPr>
                <w:rFonts w:hint="eastAsia"/>
              </w:rPr>
              <w:t>需求与落地核准</w:t>
            </w:r>
          </w:p>
        </w:tc>
        <w:tc>
          <w:tcPr>
            <w:tcW w:w="862" w:type="dxa"/>
            <w:noWrap/>
            <w:vAlign w:val="center"/>
          </w:tcPr>
          <w:p>
            <w:pPr>
              <w:ind w:firstLine="0" w:firstLineChars="0"/>
              <w:rPr>
                <w:rFonts w:hint="eastAsia"/>
              </w:rPr>
            </w:pPr>
            <w:r>
              <w:t>1</w:t>
            </w:r>
            <w:r>
              <w:rPr>
                <w:rFonts w:hint="eastAsia"/>
              </w:rPr>
              <w:t>人</w:t>
            </w:r>
          </w:p>
        </w:tc>
        <w:tc>
          <w:tcPr>
            <w:tcW w:w="3175" w:type="dxa"/>
            <w:vAlign w:val="center"/>
          </w:tcPr>
          <w:p>
            <w:pPr>
              <w:ind w:firstLine="0" w:firstLineChars="0"/>
              <w:rPr>
                <w:rFonts w:hint="eastAsia"/>
              </w:rPr>
            </w:pPr>
            <w:r>
              <w:rPr>
                <w:rFonts w:hint="eastAsia"/>
              </w:rPr>
              <w:t>本科或以上，具备计算机技术与软件专业技术资格(水平)系统集成项目管理工程师(中级)</w:t>
            </w:r>
          </w:p>
        </w:tc>
        <w:tc>
          <w:tcPr>
            <w:tcW w:w="850" w:type="dxa"/>
            <w:noWrap/>
            <w:vAlign w:val="center"/>
          </w:tcPr>
          <w:p>
            <w:pPr>
              <w:ind w:firstLine="0" w:firstLineChars="0"/>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45" w:type="dxa"/>
            <w:noWrap/>
            <w:vAlign w:val="center"/>
          </w:tcPr>
          <w:p>
            <w:pPr>
              <w:ind w:firstLine="0" w:firstLineChars="0"/>
              <w:rPr>
                <w:rFonts w:hint="eastAsia"/>
              </w:rPr>
            </w:pPr>
            <w:r>
              <w:rPr>
                <w:rFonts w:hint="eastAsia"/>
              </w:rPr>
              <w:t>信息安全工程师</w:t>
            </w:r>
          </w:p>
        </w:tc>
        <w:tc>
          <w:tcPr>
            <w:tcW w:w="1913" w:type="dxa"/>
            <w:vAlign w:val="center"/>
          </w:tcPr>
          <w:p>
            <w:pPr>
              <w:ind w:firstLine="0" w:firstLineChars="0"/>
              <w:rPr>
                <w:rFonts w:hint="eastAsia"/>
              </w:rPr>
            </w:pPr>
            <w:r>
              <w:t>实施安全策略和标准</w:t>
            </w:r>
          </w:p>
        </w:tc>
        <w:tc>
          <w:tcPr>
            <w:tcW w:w="862" w:type="dxa"/>
            <w:noWrap/>
            <w:vAlign w:val="center"/>
          </w:tcPr>
          <w:p>
            <w:pPr>
              <w:ind w:firstLine="0" w:firstLineChars="0"/>
              <w:rPr>
                <w:rFonts w:hint="eastAsia"/>
              </w:rPr>
            </w:pPr>
            <w:r>
              <w:t>1</w:t>
            </w:r>
            <w:r>
              <w:rPr>
                <w:rFonts w:hint="eastAsia"/>
              </w:rPr>
              <w:t>人</w:t>
            </w:r>
          </w:p>
        </w:tc>
        <w:tc>
          <w:tcPr>
            <w:tcW w:w="3175" w:type="dxa"/>
            <w:vAlign w:val="center"/>
          </w:tcPr>
          <w:p>
            <w:pPr>
              <w:ind w:firstLine="0" w:firstLineChars="0"/>
              <w:rPr>
                <w:rFonts w:hint="eastAsia"/>
              </w:rPr>
            </w:pPr>
            <w:r>
              <w:rPr>
                <w:rFonts w:hint="eastAsia"/>
              </w:rPr>
              <w:t>本科或以上，具有计算机技术与软件专业技术资格(水平)信息安全管理工程师资质</w:t>
            </w:r>
          </w:p>
        </w:tc>
        <w:tc>
          <w:tcPr>
            <w:tcW w:w="850" w:type="dxa"/>
            <w:noWrap/>
            <w:vAlign w:val="center"/>
          </w:tcPr>
          <w:p>
            <w:pPr>
              <w:ind w:firstLine="0" w:firstLineChars="0"/>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45" w:type="dxa"/>
            <w:noWrap/>
            <w:vAlign w:val="center"/>
          </w:tcPr>
          <w:p>
            <w:pPr>
              <w:ind w:firstLine="0" w:firstLineChars="0"/>
              <w:rPr>
                <w:rFonts w:hint="eastAsia"/>
              </w:rPr>
            </w:pPr>
            <w:r>
              <w:rPr>
                <w:rFonts w:hint="eastAsia"/>
              </w:rPr>
              <w:t>技术工程师</w:t>
            </w:r>
          </w:p>
        </w:tc>
        <w:tc>
          <w:tcPr>
            <w:tcW w:w="1913" w:type="dxa"/>
            <w:noWrap/>
            <w:vAlign w:val="center"/>
          </w:tcPr>
          <w:p>
            <w:pPr>
              <w:ind w:firstLine="0" w:firstLineChars="0"/>
              <w:rPr>
                <w:rFonts w:hint="eastAsia"/>
              </w:rPr>
            </w:pPr>
            <w:r>
              <w:rPr>
                <w:rFonts w:hint="eastAsia"/>
              </w:rPr>
              <w:t>负责软件维护</w:t>
            </w:r>
          </w:p>
        </w:tc>
        <w:tc>
          <w:tcPr>
            <w:tcW w:w="862" w:type="dxa"/>
            <w:noWrap/>
            <w:vAlign w:val="center"/>
          </w:tcPr>
          <w:p>
            <w:pPr>
              <w:ind w:firstLine="0" w:firstLineChars="0"/>
              <w:rPr>
                <w:rFonts w:hint="eastAsia"/>
              </w:rPr>
            </w:pPr>
            <w:r>
              <w:t>1</w:t>
            </w:r>
            <w:r>
              <w:rPr>
                <w:rFonts w:hint="eastAsia"/>
              </w:rPr>
              <w:t>人</w:t>
            </w:r>
          </w:p>
        </w:tc>
        <w:tc>
          <w:tcPr>
            <w:tcW w:w="3175" w:type="dxa"/>
            <w:vAlign w:val="center"/>
          </w:tcPr>
          <w:p>
            <w:pPr>
              <w:ind w:firstLine="0" w:firstLineChars="0"/>
              <w:rPr>
                <w:rFonts w:hint="eastAsia"/>
              </w:rPr>
            </w:pPr>
            <w:r>
              <w:rPr>
                <w:rFonts w:hint="eastAsia"/>
              </w:rPr>
              <w:t xml:space="preserve">本科或以上 </w:t>
            </w:r>
          </w:p>
        </w:tc>
        <w:tc>
          <w:tcPr>
            <w:tcW w:w="850" w:type="dxa"/>
            <w:noWrap/>
            <w:vAlign w:val="center"/>
          </w:tcPr>
          <w:p>
            <w:pPr>
              <w:ind w:firstLine="0" w:firstLineChars="0"/>
              <w:rPr>
                <w:rFonts w:hint="eastAsia"/>
              </w:rPr>
            </w:pPr>
            <w:r>
              <w:rPr>
                <w:rFonts w:hint="eastAsia"/>
              </w:rPr>
              <w:t>按需驻场</w:t>
            </w:r>
          </w:p>
        </w:tc>
      </w:tr>
    </w:tbl>
    <w:p>
      <w:pPr>
        <w:rPr>
          <w:rFonts w:hint="eastAsia"/>
        </w:rPr>
      </w:pPr>
    </w:p>
    <w:p>
      <w:pPr>
        <w:pStyle w:val="3"/>
        <w:rPr>
          <w:rFonts w:hint="eastAsia"/>
        </w:rPr>
      </w:pPr>
      <w:bookmarkStart w:id="32" w:name="_Toc63785511"/>
      <w:r>
        <w:rPr>
          <w:rFonts w:hint="eastAsia"/>
        </w:rPr>
        <w:t>安全评测</w:t>
      </w:r>
      <w:r>
        <w:t>要求</w:t>
      </w:r>
      <w:bookmarkEnd w:id="32"/>
    </w:p>
    <w:p>
      <w:pPr>
        <w:rPr>
          <w:rFonts w:hint="eastAsia"/>
        </w:rPr>
      </w:pPr>
      <w:r>
        <w:t>本项目</w:t>
      </w:r>
      <w:r>
        <w:rPr>
          <w:rFonts w:hint="eastAsia"/>
        </w:rPr>
        <w:t>安全评测</w:t>
      </w:r>
      <w:r>
        <w:t>要求：</w:t>
      </w:r>
      <w:r>
        <w:rPr>
          <w:rFonts w:hint="eastAsia"/>
        </w:rPr>
        <w:t>参照等保</w:t>
      </w:r>
      <w:r>
        <w:t>2.0三级要求建设</w:t>
      </w:r>
      <w:r>
        <w:rPr>
          <w:rFonts w:hint="eastAsia"/>
        </w:rPr>
        <w:t>。</w:t>
      </w:r>
    </w:p>
    <w:p>
      <w:pPr>
        <w:pStyle w:val="3"/>
        <w:rPr>
          <w:rFonts w:hint="eastAsia"/>
        </w:rPr>
      </w:pPr>
      <w:r>
        <w:rPr>
          <w:rFonts w:hint="eastAsia"/>
        </w:rPr>
        <w:t>商业密码应用需求</w:t>
      </w:r>
    </w:p>
    <w:p>
      <w:pPr>
        <w:rPr>
          <w:rFonts w:hint="eastAsia"/>
        </w:rPr>
      </w:pPr>
      <w:r>
        <w:rPr>
          <w:rFonts w:hint="eastAsia"/>
        </w:rPr>
        <w:t>满足密码应用建设安全，依据GB/T 39786—2021《信息安全技术信息系统密码应用基本要求》，并通过密码应用安全测评。</w:t>
      </w:r>
    </w:p>
    <w:tbl>
      <w:tblPr>
        <w:tblStyle w:val="35"/>
        <w:tblW w:w="778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5"/>
        <w:gridCol w:w="1418"/>
        <w:gridCol w:w="1803"/>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rPr>
        <w:tc>
          <w:tcPr>
            <w:tcW w:w="875" w:type="dxa"/>
            <w:shd w:val="clear" w:color="auto" w:fill="D9D9D9"/>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序号</w:t>
            </w:r>
          </w:p>
        </w:tc>
        <w:tc>
          <w:tcPr>
            <w:tcW w:w="1418" w:type="dxa"/>
            <w:shd w:val="clear" w:color="auto" w:fill="D9D9D9"/>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安全层面</w:t>
            </w:r>
          </w:p>
        </w:tc>
        <w:tc>
          <w:tcPr>
            <w:tcW w:w="1803" w:type="dxa"/>
            <w:shd w:val="clear" w:color="auto" w:fill="D9D9D9"/>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保护对象</w:t>
            </w:r>
          </w:p>
        </w:tc>
        <w:tc>
          <w:tcPr>
            <w:tcW w:w="3686" w:type="dxa"/>
            <w:shd w:val="clear" w:color="auto" w:fill="D9D9D9"/>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1</w:t>
            </w:r>
          </w:p>
        </w:tc>
        <w:tc>
          <w:tcPr>
            <w:tcW w:w="1418" w:type="dxa"/>
            <w:vMerge w:val="restart"/>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网络和通信</w:t>
            </w:r>
          </w:p>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安全</w:t>
            </w:r>
          </w:p>
        </w:tc>
        <w:tc>
          <w:tcPr>
            <w:tcW w:w="1803"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PC端访问应用通信信道</w:t>
            </w: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从政务外网访问应用通信信道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2</w:t>
            </w:r>
          </w:p>
        </w:tc>
        <w:tc>
          <w:tcPr>
            <w:tcW w:w="1418" w:type="dxa"/>
            <w:vMerge w:val="continue"/>
          </w:tcPr>
          <w:p>
            <w:pPr>
              <w:widowControl/>
              <w:ind w:firstLine="0" w:firstLineChars="0"/>
              <w:jc w:val="center"/>
              <w:rPr>
                <w:rFonts w:hint="eastAsia" w:asciiTheme="minorEastAsia" w:hAnsiTheme="minorEastAsia" w:eastAsiaTheme="minorEastAsia"/>
                <w:kern w:val="0"/>
              </w:rPr>
            </w:pPr>
          </w:p>
        </w:tc>
        <w:tc>
          <w:tcPr>
            <w:tcW w:w="1803"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远程运维通信信道</w:t>
            </w: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通过远程管理终端对系统内设备进行运维的通信信道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3</w:t>
            </w:r>
          </w:p>
        </w:tc>
        <w:tc>
          <w:tcPr>
            <w:tcW w:w="1418" w:type="dxa"/>
            <w:vMerge w:val="restart"/>
          </w:tcPr>
          <w:p>
            <w:pPr>
              <w:widowControl/>
              <w:ind w:firstLine="0" w:firstLineChars="0"/>
              <w:jc w:val="center"/>
              <w:rPr>
                <w:rFonts w:hint="eastAsia" w:asciiTheme="minorEastAsia" w:hAnsiTheme="minorEastAsia" w:eastAsiaTheme="minorEastAsia"/>
                <w:kern w:val="0"/>
              </w:rPr>
            </w:pPr>
          </w:p>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设备和计算安全</w:t>
            </w:r>
          </w:p>
        </w:tc>
        <w:tc>
          <w:tcPr>
            <w:tcW w:w="1803"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服务器虚拟机</w:t>
            </w: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应用服务器虚拟机和数据库服务器虚拟机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4</w:t>
            </w:r>
          </w:p>
        </w:tc>
        <w:tc>
          <w:tcPr>
            <w:tcW w:w="1418" w:type="dxa"/>
            <w:vMerge w:val="continue"/>
          </w:tcPr>
          <w:p>
            <w:pPr>
              <w:widowControl/>
              <w:ind w:firstLine="0" w:firstLineChars="0"/>
              <w:jc w:val="center"/>
              <w:rPr>
                <w:rFonts w:hint="eastAsia" w:asciiTheme="minorEastAsia" w:hAnsiTheme="minorEastAsia" w:eastAsiaTheme="minorEastAsia"/>
                <w:kern w:val="0"/>
              </w:rPr>
            </w:pPr>
          </w:p>
        </w:tc>
        <w:tc>
          <w:tcPr>
            <w:tcW w:w="1803" w:type="dxa"/>
            <w:vMerge w:val="restart"/>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重要可执行程序或文件</w:t>
            </w: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关键业务应用软件安装包、升级包等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5</w:t>
            </w:r>
          </w:p>
        </w:tc>
        <w:tc>
          <w:tcPr>
            <w:tcW w:w="1418" w:type="dxa"/>
            <w:vMerge w:val="continue"/>
          </w:tcPr>
          <w:p>
            <w:pPr>
              <w:widowControl/>
              <w:ind w:firstLine="0" w:firstLineChars="0"/>
              <w:jc w:val="center"/>
              <w:rPr>
                <w:rFonts w:hint="eastAsia" w:asciiTheme="minorEastAsia" w:hAnsiTheme="minorEastAsia" w:eastAsiaTheme="minorEastAsia"/>
                <w:kern w:val="0"/>
              </w:rPr>
            </w:pPr>
          </w:p>
        </w:tc>
        <w:tc>
          <w:tcPr>
            <w:tcW w:w="1803" w:type="dxa"/>
            <w:vMerge w:val="continue"/>
            <w:vAlign w:val="center"/>
          </w:tcPr>
          <w:p>
            <w:pPr>
              <w:widowControl/>
              <w:ind w:firstLine="0" w:firstLineChars="0"/>
              <w:jc w:val="center"/>
              <w:rPr>
                <w:rFonts w:hint="eastAsia" w:asciiTheme="minorEastAsia" w:hAnsiTheme="minorEastAsia" w:eastAsiaTheme="minorEastAsia"/>
                <w:kern w:val="0"/>
              </w:rPr>
            </w:pP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系统关键组件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6</w:t>
            </w:r>
          </w:p>
        </w:tc>
        <w:tc>
          <w:tcPr>
            <w:tcW w:w="1418" w:type="dxa"/>
            <w:vMerge w:val="restart"/>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应用和数据安全</w:t>
            </w:r>
          </w:p>
        </w:tc>
        <w:tc>
          <w:tcPr>
            <w:tcW w:w="1803"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应用用户</w:t>
            </w: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PC端用户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7</w:t>
            </w:r>
          </w:p>
        </w:tc>
        <w:tc>
          <w:tcPr>
            <w:tcW w:w="1418" w:type="dxa"/>
            <w:vMerge w:val="continue"/>
          </w:tcPr>
          <w:p>
            <w:pPr>
              <w:widowControl/>
              <w:ind w:firstLine="0" w:firstLineChars="0"/>
              <w:jc w:val="center"/>
              <w:rPr>
                <w:rFonts w:hint="eastAsia" w:asciiTheme="minorEastAsia" w:hAnsiTheme="minorEastAsia" w:eastAsiaTheme="minorEastAsia"/>
                <w:kern w:val="0"/>
              </w:rPr>
            </w:pPr>
          </w:p>
        </w:tc>
        <w:tc>
          <w:tcPr>
            <w:tcW w:w="1803" w:type="dxa"/>
            <w:vMerge w:val="restart"/>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重要数据</w:t>
            </w: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用户登录口令 (用户身份鉴别数据)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8</w:t>
            </w:r>
          </w:p>
        </w:tc>
        <w:tc>
          <w:tcPr>
            <w:tcW w:w="1418" w:type="dxa"/>
            <w:vMerge w:val="continue"/>
          </w:tcPr>
          <w:p>
            <w:pPr>
              <w:widowControl/>
              <w:ind w:firstLine="0" w:firstLineChars="0"/>
              <w:jc w:val="center"/>
              <w:rPr>
                <w:rFonts w:hint="eastAsia" w:asciiTheme="minorEastAsia" w:hAnsiTheme="minorEastAsia" w:eastAsiaTheme="minorEastAsia"/>
                <w:kern w:val="0"/>
              </w:rPr>
            </w:pPr>
          </w:p>
        </w:tc>
        <w:tc>
          <w:tcPr>
            <w:tcW w:w="1803" w:type="dxa"/>
            <w:vMerge w:val="continue"/>
            <w:vAlign w:val="center"/>
          </w:tcPr>
          <w:p>
            <w:pPr>
              <w:widowControl/>
              <w:ind w:firstLine="0" w:firstLineChars="0"/>
              <w:jc w:val="center"/>
              <w:rPr>
                <w:rFonts w:hint="eastAsia" w:asciiTheme="minorEastAsia" w:hAnsiTheme="minorEastAsia" w:eastAsiaTheme="minorEastAsia"/>
                <w:kern w:val="0"/>
              </w:rPr>
            </w:pP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政府监管人员个人信息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9</w:t>
            </w:r>
          </w:p>
        </w:tc>
        <w:tc>
          <w:tcPr>
            <w:tcW w:w="1418" w:type="dxa"/>
            <w:vMerge w:val="continue"/>
          </w:tcPr>
          <w:p>
            <w:pPr>
              <w:widowControl/>
              <w:ind w:firstLine="0" w:firstLineChars="0"/>
              <w:jc w:val="center"/>
              <w:rPr>
                <w:rFonts w:hint="eastAsia" w:asciiTheme="minorEastAsia" w:hAnsiTheme="minorEastAsia" w:eastAsiaTheme="minorEastAsia"/>
                <w:kern w:val="0"/>
              </w:rPr>
            </w:pPr>
          </w:p>
        </w:tc>
        <w:tc>
          <w:tcPr>
            <w:tcW w:w="1803" w:type="dxa"/>
            <w:vMerge w:val="continue"/>
            <w:vAlign w:val="center"/>
          </w:tcPr>
          <w:p>
            <w:pPr>
              <w:widowControl/>
              <w:ind w:firstLine="0" w:firstLineChars="0"/>
              <w:jc w:val="center"/>
              <w:rPr>
                <w:rFonts w:hint="eastAsia" w:asciiTheme="minorEastAsia" w:hAnsiTheme="minorEastAsia" w:eastAsiaTheme="minorEastAsia"/>
                <w:kern w:val="0"/>
              </w:rPr>
            </w:pP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企业数据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1</w:t>
            </w:r>
            <w:r>
              <w:rPr>
                <w:rFonts w:asciiTheme="minorEastAsia" w:hAnsiTheme="minorEastAsia" w:eastAsiaTheme="minorEastAsia"/>
                <w:kern w:val="0"/>
              </w:rPr>
              <w:t>0</w:t>
            </w:r>
          </w:p>
        </w:tc>
        <w:tc>
          <w:tcPr>
            <w:tcW w:w="1418" w:type="dxa"/>
            <w:vMerge w:val="continue"/>
          </w:tcPr>
          <w:p>
            <w:pPr>
              <w:widowControl/>
              <w:ind w:firstLine="0" w:firstLineChars="0"/>
              <w:jc w:val="center"/>
              <w:rPr>
                <w:rFonts w:hint="eastAsia" w:asciiTheme="minorEastAsia" w:hAnsiTheme="minorEastAsia" w:eastAsiaTheme="minorEastAsia"/>
                <w:kern w:val="0"/>
              </w:rPr>
            </w:pPr>
          </w:p>
        </w:tc>
        <w:tc>
          <w:tcPr>
            <w:tcW w:w="1803" w:type="dxa"/>
            <w:vMerge w:val="continue"/>
            <w:vAlign w:val="center"/>
          </w:tcPr>
          <w:p>
            <w:pPr>
              <w:widowControl/>
              <w:ind w:firstLine="0" w:firstLineChars="0"/>
              <w:jc w:val="center"/>
              <w:rPr>
                <w:rFonts w:hint="eastAsia" w:asciiTheme="minorEastAsia" w:hAnsiTheme="minorEastAsia" w:eastAsiaTheme="minorEastAsia"/>
                <w:kern w:val="0"/>
              </w:rPr>
            </w:pP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系统业务日志数据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trPr>
        <w:tc>
          <w:tcPr>
            <w:tcW w:w="875" w:type="dxa"/>
            <w:vAlign w:val="center"/>
          </w:tcPr>
          <w:p>
            <w:pPr>
              <w:widowControl/>
              <w:ind w:firstLine="0" w:firstLineChars="0"/>
              <w:jc w:val="center"/>
              <w:rPr>
                <w:rFonts w:hint="eastAsia" w:asciiTheme="minorEastAsia" w:hAnsiTheme="minorEastAsia" w:eastAsiaTheme="minorEastAsia"/>
                <w:kern w:val="0"/>
              </w:rPr>
            </w:pPr>
            <w:r>
              <w:rPr>
                <w:rFonts w:hint="eastAsia" w:asciiTheme="minorEastAsia" w:hAnsiTheme="minorEastAsia" w:eastAsiaTheme="minorEastAsia"/>
                <w:kern w:val="0"/>
              </w:rPr>
              <w:t>1</w:t>
            </w:r>
            <w:r>
              <w:rPr>
                <w:rFonts w:asciiTheme="minorEastAsia" w:hAnsiTheme="minorEastAsia" w:eastAsiaTheme="minorEastAsia"/>
                <w:kern w:val="0"/>
              </w:rPr>
              <w:t>1</w:t>
            </w:r>
          </w:p>
        </w:tc>
        <w:tc>
          <w:tcPr>
            <w:tcW w:w="1418" w:type="dxa"/>
            <w:vMerge w:val="continue"/>
          </w:tcPr>
          <w:p>
            <w:pPr>
              <w:widowControl/>
              <w:ind w:firstLine="0" w:firstLineChars="0"/>
              <w:jc w:val="center"/>
              <w:rPr>
                <w:rFonts w:hint="eastAsia" w:asciiTheme="minorEastAsia" w:hAnsiTheme="minorEastAsia" w:eastAsiaTheme="minorEastAsia"/>
                <w:kern w:val="0"/>
              </w:rPr>
            </w:pPr>
          </w:p>
        </w:tc>
        <w:tc>
          <w:tcPr>
            <w:tcW w:w="1803" w:type="dxa"/>
            <w:vMerge w:val="continue"/>
            <w:vAlign w:val="center"/>
          </w:tcPr>
          <w:p>
            <w:pPr>
              <w:widowControl/>
              <w:ind w:firstLine="0" w:firstLineChars="0"/>
              <w:jc w:val="center"/>
              <w:rPr>
                <w:rFonts w:hint="eastAsia" w:asciiTheme="minorEastAsia" w:hAnsiTheme="minorEastAsia" w:eastAsiaTheme="minorEastAsia"/>
                <w:kern w:val="0"/>
              </w:rPr>
            </w:pPr>
          </w:p>
        </w:tc>
        <w:tc>
          <w:tcPr>
            <w:tcW w:w="3686" w:type="dxa"/>
            <w:vAlign w:val="center"/>
          </w:tcPr>
          <w:p>
            <w:pPr>
              <w:widowControl/>
              <w:ind w:firstLine="0" w:firstLineChars="0"/>
              <w:jc w:val="center"/>
              <w:rPr>
                <w:rFonts w:hint="eastAsia" w:asciiTheme="minorEastAsia" w:hAnsiTheme="minorEastAsia" w:eastAsiaTheme="minorEastAsia"/>
                <w:kern w:val="0"/>
              </w:rPr>
            </w:pPr>
            <w:r>
              <w:rPr>
                <w:rFonts w:asciiTheme="minorEastAsia" w:hAnsiTheme="minorEastAsia" w:eastAsiaTheme="minorEastAsia"/>
                <w:kern w:val="0"/>
              </w:rPr>
              <w:t>系统访问控制信息</w:t>
            </w:r>
          </w:p>
        </w:tc>
      </w:tr>
    </w:tbl>
    <w:p>
      <w:pPr>
        <w:pStyle w:val="3"/>
        <w:rPr>
          <w:rFonts w:hint="eastAsia"/>
        </w:rPr>
      </w:pPr>
      <w:bookmarkStart w:id="33" w:name="_Toc63785512"/>
      <w:r>
        <w:rPr>
          <w:rFonts w:hint="eastAsia"/>
        </w:rPr>
        <w:t>技术文件要求</w:t>
      </w:r>
    </w:p>
    <w:p>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pPr>
        <w:rPr>
          <w:rFonts w:hint="eastAsia"/>
        </w:rPr>
      </w:pPr>
      <w:r>
        <w:rPr>
          <w:rFonts w:hint="eastAsia"/>
        </w:rPr>
        <w:t>－</w:t>
      </w:r>
      <w:r>
        <w:t xml:space="preserve"> 系统说明文件； </w:t>
      </w:r>
    </w:p>
    <w:p>
      <w:pPr>
        <w:rPr>
          <w:rFonts w:hint="eastAsia"/>
        </w:rPr>
      </w:pPr>
      <w:r>
        <w:rPr>
          <w:rFonts w:hint="eastAsia"/>
        </w:rPr>
        <w:t>－</w:t>
      </w:r>
      <w:r>
        <w:t xml:space="preserve"> 技术手册(安装、测试、操作、维护、故障排除等)； </w:t>
      </w:r>
    </w:p>
    <w:p>
      <w:pPr>
        <w:rPr>
          <w:rFonts w:hint="eastAsia"/>
        </w:rPr>
      </w:pPr>
      <w:r>
        <w:rPr>
          <w:rFonts w:hint="eastAsia"/>
        </w:rPr>
        <w:t>－</w:t>
      </w:r>
      <w:r>
        <w:t xml:space="preserve"> 项目文档，应该包括：</w:t>
      </w:r>
    </w:p>
    <w:p>
      <w:pPr>
        <w:ind w:left="360"/>
        <w:rPr>
          <w:rFonts w:hint="eastAsia"/>
        </w:rPr>
      </w:pPr>
      <w:r>
        <w:t>(1)软件需求说明书</w:t>
      </w:r>
    </w:p>
    <w:p>
      <w:pPr>
        <w:ind w:left="360"/>
        <w:rPr>
          <w:rFonts w:hint="eastAsia"/>
        </w:rPr>
      </w:pPr>
      <w:r>
        <w:t>(2)</w:t>
      </w:r>
      <w:r>
        <w:tab/>
      </w:r>
      <w:r>
        <w:t>系统总体设计说明书</w:t>
      </w:r>
    </w:p>
    <w:p>
      <w:pPr>
        <w:ind w:left="360"/>
        <w:rPr>
          <w:rFonts w:hint="eastAsia"/>
        </w:rPr>
      </w:pPr>
      <w:r>
        <w:t>(3)</w:t>
      </w:r>
      <w:r>
        <w:tab/>
      </w:r>
      <w:r>
        <w:t>应用软件功能清单</w:t>
      </w:r>
    </w:p>
    <w:p>
      <w:pPr>
        <w:rPr>
          <w:rFonts w:hint="eastAsia"/>
        </w:rPr>
      </w:pPr>
      <w:r>
        <w:rPr>
          <w:rFonts w:hint="eastAsia"/>
        </w:rPr>
        <w:t>提供全套技术文件纸介质</w:t>
      </w:r>
      <w:r>
        <w:t>3套以及电子文件1套。</w:t>
      </w:r>
    </w:p>
    <w:p>
      <w:pPr>
        <w:pStyle w:val="2"/>
        <w:ind w:left="480"/>
        <w:rPr>
          <w:rFonts w:hint="eastAsia"/>
        </w:rPr>
      </w:pPr>
      <w:r>
        <w:rPr>
          <w:rFonts w:hint="eastAsia"/>
        </w:rPr>
        <w:t>供应商管理要求</w:t>
      </w:r>
      <w:bookmarkEnd w:id="33"/>
    </w:p>
    <w:p>
      <w:pPr>
        <w:pStyle w:val="80"/>
        <w:ind w:firstLine="480"/>
        <w:rPr>
          <w:rFonts w:hint="eastAsia"/>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pPr>
        <w:pStyle w:val="80"/>
        <w:ind w:firstLine="480"/>
        <w:rPr>
          <w:rFonts w:hint="eastAsia"/>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pStyle w:val="80"/>
        <w:ind w:firstLine="480"/>
        <w:rPr>
          <w:rFonts w:hint="eastAsia"/>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pPr>
        <w:pStyle w:val="80"/>
        <w:ind w:firstLine="480"/>
        <w:rPr>
          <w:rFonts w:hint="eastAsia"/>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80"/>
        <w:ind w:firstLine="480"/>
        <w:rPr>
          <w:rFonts w:hint="eastAsia"/>
          <w:sz w:val="24"/>
          <w:szCs w:val="24"/>
        </w:rPr>
      </w:pPr>
      <w:r>
        <w:rPr>
          <w:rFonts w:hint="eastAsia"/>
          <w:sz w:val="24"/>
          <w:szCs w:val="24"/>
        </w:rPr>
        <w:t>5、中标人在项目实施期间必须遵守采购人的规章制度并提供实施人员名单。</w:t>
      </w:r>
    </w:p>
    <w:p>
      <w:pPr>
        <w:pStyle w:val="80"/>
        <w:ind w:firstLine="480"/>
        <w:rPr>
          <w:rFonts w:hint="eastAsia"/>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80"/>
        <w:ind w:firstLine="480"/>
        <w:rPr>
          <w:rFonts w:hint="eastAsia"/>
          <w:sz w:val="24"/>
          <w:szCs w:val="24"/>
        </w:rPr>
      </w:pPr>
      <w:r>
        <w:rPr>
          <w:rFonts w:hint="eastAsia"/>
          <w:sz w:val="24"/>
          <w:szCs w:val="24"/>
        </w:rPr>
        <w:t>7、本项目软件开发及调试将纳入采购人的管理范围，中标人在此过程中须服从上述单位的管理协调。</w:t>
      </w:r>
    </w:p>
    <w:p>
      <w:pPr>
        <w:pStyle w:val="80"/>
        <w:ind w:firstLine="480"/>
        <w:rPr>
          <w:rFonts w:hint="default" w:eastAsia="宋体"/>
          <w:sz w:val="24"/>
          <w:szCs w:val="24"/>
          <w:lang w:val="en-US" w:eastAsia="zh-CN"/>
        </w:rPr>
      </w:pPr>
      <w:r>
        <w:rPr>
          <w:rFonts w:hint="eastAsia"/>
          <w:sz w:val="24"/>
          <w:szCs w:val="24"/>
          <w:lang w:val="en-US" w:eastAsia="zh-CN"/>
        </w:rPr>
        <w:t>8、优先考虑具有信息安全服务资质认证证书（软件安全开发）的供应商。</w:t>
      </w:r>
    </w:p>
    <w:p>
      <w:pPr>
        <w:pStyle w:val="80"/>
        <w:ind w:firstLine="420"/>
        <w:rPr>
          <w:rFonts w:hint="eastAsia"/>
        </w:rPr>
      </w:pPr>
      <w:bookmarkStart w:id="35" w:name="_GoBack"/>
      <w:bookmarkEnd w:id="35"/>
    </w:p>
    <w:p>
      <w:pPr>
        <w:pStyle w:val="2"/>
        <w:ind w:left="480"/>
        <w:rPr>
          <w:rFonts w:hint="eastAsia"/>
        </w:rPr>
      </w:pPr>
      <w:bookmarkStart w:id="34" w:name="_Toc68798863"/>
      <w:r>
        <w:rPr>
          <w:rFonts w:hint="eastAsia"/>
        </w:rPr>
        <w:t>附录</w:t>
      </w:r>
      <w:bookmarkEnd w:id="34"/>
    </w:p>
    <w:p>
      <w:pPr>
        <w:ind w:firstLine="482"/>
        <w:rPr>
          <w:rFonts w:hint="eastAsia"/>
          <w:b/>
        </w:rPr>
      </w:pPr>
      <w:r>
        <w:rPr>
          <w:rFonts w:hint="eastAsia"/>
          <w:b/>
        </w:rPr>
        <w:t>若项目建设过程中需符合相关技术标准或规范文件的要求，请将相关文件作为附件列出。</w:t>
      </w:r>
    </w:p>
    <w:p>
      <w:pPr>
        <w:ind w:firstLine="482"/>
        <w:rPr>
          <w:rFonts w:hint="eastAsia"/>
        </w:rPr>
      </w:pPr>
      <w:r>
        <w:rPr>
          <w:rFonts w:hint="eastAsia"/>
          <w:b/>
        </w:rPr>
        <w:t>参考如下：</w:t>
      </w:r>
    </w:p>
    <w:p>
      <w:pPr>
        <w:ind w:firstLine="0" w:firstLineChars="0"/>
        <w:rPr>
          <w:rFonts w:hint="eastAsia"/>
        </w:rPr>
      </w:pPr>
      <w:r>
        <w:rPr>
          <w:rFonts w:hint="eastAsia"/>
        </w:rPr>
        <w:t>1、</w:t>
      </w:r>
      <w:r>
        <w:t>《政务网络安全监测平台总体技术要求》</w:t>
      </w:r>
    </w:p>
    <w:p>
      <w:pPr>
        <w:ind w:firstLine="0" w:firstLineChars="0"/>
        <w:rPr>
          <w:rFonts w:hint="eastAsia"/>
        </w:rPr>
      </w:pPr>
      <w:r>
        <w:object>
          <v:shape id="_x0000_i1025" o:spt="75" type="#_x0000_t75" style="height:51.85pt;width:76.6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pPr>
        <w:ind w:firstLine="0" w:firstLineChars="0"/>
        <w:rPr>
          <w:rFonts w:hint="eastAsia"/>
        </w:rPr>
      </w:pPr>
    </w:p>
    <w:p>
      <w:pPr>
        <w:ind w:firstLine="0" w:firstLineChars="0"/>
        <w:jc w:val="left"/>
        <w:rPr>
          <w:rFonts w:hint="eastAsia"/>
        </w:rPr>
      </w:pPr>
      <w:r>
        <w:rPr>
          <w:rFonts w:hint="eastAsia"/>
        </w:rPr>
        <w:t>2、《上海市电子政务外网建设和运行管理指南（试行）》</w:t>
      </w:r>
    </w:p>
    <w:p>
      <w:pPr>
        <w:ind w:firstLine="0" w:firstLineChars="0"/>
        <w:jc w:val="left"/>
        <w:rPr>
          <w:rFonts w:hint="eastAsia"/>
        </w:rPr>
      </w:pPr>
      <w:r>
        <w:object>
          <v:shape id="_x0000_i1026" o:spt="75" type="#_x0000_t75" style="height:51.85pt;width:76.6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pPr>
        <w:ind w:firstLine="0" w:firstLineChars="0"/>
        <w:jc w:val="left"/>
        <w:rPr>
          <w:rFonts w:hint="eastAsia"/>
        </w:rPr>
      </w:pPr>
    </w:p>
    <w:p>
      <w:pPr>
        <w:ind w:firstLine="0" w:firstLineChars="0"/>
        <w:jc w:val="left"/>
        <w:rPr>
          <w:rFonts w:hint="eastAsia"/>
        </w:rPr>
      </w:pPr>
      <w:r>
        <w:rPr>
          <w:rFonts w:hint="eastAsia"/>
          <w:lang w:val="en-US" w:eastAsia="zh-CN"/>
        </w:rPr>
        <w:t>3</w:t>
      </w:r>
      <w:r>
        <w:rPr>
          <w:rFonts w:hint="eastAsia"/>
        </w:rPr>
        <w:t>、其他标准</w:t>
      </w:r>
    </w:p>
    <w:p>
      <w:pPr>
        <w:ind w:firstLine="0" w:firstLineChars="0"/>
        <w:jc w:val="left"/>
        <w:rPr>
          <w:rFonts w:hint="eastAsia"/>
        </w:rPr>
      </w:pPr>
    </w:p>
    <w:p>
      <w:pPr>
        <w:ind w:firstLine="0" w:firstLineChars="0"/>
        <w:jc w:val="left"/>
        <w:rPr>
          <w:rFonts w:hint="eastAsia"/>
          <w:b/>
          <w:bCs/>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1F00FF" w:csb1="FFFF0000"/>
  </w:font>
  <w:font w:name="仿宋">
    <w:panose1 w:val="02010609060101010101"/>
    <w:charset w:val="86"/>
    <w:family w:val="modern"/>
    <w:pitch w:val="default"/>
    <w:sig w:usb0="800002BF" w:usb1="38CF7CFA" w:usb2="00000016" w:usb3="00000000" w:csb0="00040001" w:csb1="00000000"/>
  </w:font>
  <w:font w:name="Calibri Light">
    <w:altName w:val="Century Gothic"/>
    <w:panose1 w:val="020F0302020204030204"/>
    <w:charset w:val="00"/>
    <w:family w:val="swiss"/>
    <w:pitch w:val="default"/>
    <w:sig w:usb0="00000000" w:usb1="00000000" w:usb2="00000009" w:usb3="00000000" w:csb0="000001FF" w:csb1="00000000"/>
  </w:font>
  <w:font w:name="Century Gothic">
    <w:panose1 w:val="020B0502020202020204"/>
    <w:charset w:val="00"/>
    <w:family w:val="auto"/>
    <w:pitch w:val="default"/>
    <w:sig w:usb0="00000287" w:usb1="00000000" w:usb2="00000000" w:usb3="00000000" w:csb0="2000009F" w:csb1="DFD70000"/>
  </w:font>
  <w:font w:name="等线 Light">
    <w:altName w:val="宋体"/>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icrosoft YaHei UI">
    <w:altName w:val="微软雅黑"/>
    <w:panose1 w:val="020B0503020204020204"/>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A0F3C52" w:usb2="00000016" w:usb3="00000000" w:csb0="0004001F" w:csb1="00000000"/>
  </w:font>
  <w:font w:name="Microsoft Sans Serif">
    <w:panose1 w:val="020B0604020202020204"/>
    <w:charset w:val="00"/>
    <w:family w:val="swiss"/>
    <w:pitch w:val="default"/>
    <w:sig w:usb0="61007BDF" w:usb1="80000000" w:usb2="00000008" w:usb3="00000000" w:csb0="200101FF" w:csb1="2028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egoe UI">
    <w:altName w:val="Gautami"/>
    <w:panose1 w:val="020B0502040204020203"/>
    <w:charset w:val="00"/>
    <w:family w:val="swiss"/>
    <w:pitch w:val="default"/>
    <w:sig w:usb0="00000000" w:usb1="00000000" w:usb2="00000009" w:usb3="00000000" w:csb0="000001FF" w:csb1="00000000"/>
  </w:font>
  <w:font w:name="Gautami">
    <w:panose1 w:val="020B0502040204020203"/>
    <w:charset w:val="00"/>
    <w:family w:val="auto"/>
    <w:pitch w:val="default"/>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26</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C6502F58"/>
    <w:multiLevelType w:val="singleLevel"/>
    <w:tmpl w:val="C6502F58"/>
    <w:lvl w:ilvl="0" w:tentative="0">
      <w:start w:val="1"/>
      <w:numFmt w:val="decimal"/>
      <w:suff w:val="nothing"/>
      <w:lvlText w:val="%1、"/>
      <w:lvlJc w:val="left"/>
    </w:lvl>
  </w:abstractNum>
  <w:abstractNum w:abstractNumId="2">
    <w:nsid w:val="EA1F124B"/>
    <w:multiLevelType w:val="singleLevel"/>
    <w:tmpl w:val="EA1F124B"/>
    <w:lvl w:ilvl="0" w:tentative="0">
      <w:start w:val="1"/>
      <w:numFmt w:val="chineseCounting"/>
      <w:suff w:val="nothing"/>
      <w:lvlText w:val="（%1）"/>
      <w:lvlJc w:val="left"/>
      <w:rPr>
        <w:rFonts w:hint="eastAsia"/>
      </w:rPr>
    </w:lvl>
  </w:abstractNum>
  <w:abstractNum w:abstractNumId="3">
    <w:nsid w:val="0C58413E"/>
    <w:multiLevelType w:val="multilevel"/>
    <w:tmpl w:val="0C58413E"/>
    <w:lvl w:ilvl="0" w:tentative="0">
      <w:start w:val="1"/>
      <w:numFmt w:val="decimal"/>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A2F4AB3"/>
    <w:multiLevelType w:val="multilevel"/>
    <w:tmpl w:val="6A2F4AB3"/>
    <w:lvl w:ilvl="0" w:tentative="0">
      <w:start w:val="1"/>
      <w:numFmt w:val="chineseCountingThousand"/>
      <w:pStyle w:val="2"/>
      <w:suff w:val="nothing"/>
      <w:lvlText w:val="%1、"/>
      <w:lvlJc w:val="left"/>
      <w:pPr>
        <w:ind w:left="1380" w:hanging="425"/>
      </w:pPr>
      <w:rPr>
        <w:rFonts w:hint="eastAsia"/>
        <w:sz w:val="32"/>
        <w:szCs w:val="32"/>
      </w:rPr>
    </w:lvl>
    <w:lvl w:ilvl="1" w:tentative="0">
      <w:start w:val="1"/>
      <w:numFmt w:val="decimal"/>
      <w:pStyle w:val="3"/>
      <w:isLgl/>
      <w:suff w:val="nothing"/>
      <w:lvlText w:val="%1.%2、"/>
      <w:lvlJc w:val="left"/>
      <w:pPr>
        <w:ind w:left="567"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ZhZTM4MDQ0MjE0NzZkMDgxNGZjMjYxNzEzNTkwZWIifQ=="/>
  </w:docVars>
  <w:rsids>
    <w:rsidRoot w:val="006910C0"/>
    <w:rsid w:val="0000005A"/>
    <w:rsid w:val="00000833"/>
    <w:rsid w:val="00000AED"/>
    <w:rsid w:val="00003234"/>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3326"/>
    <w:rsid w:val="00024606"/>
    <w:rsid w:val="00025122"/>
    <w:rsid w:val="000252D5"/>
    <w:rsid w:val="00025A36"/>
    <w:rsid w:val="00026997"/>
    <w:rsid w:val="00027A64"/>
    <w:rsid w:val="00030F72"/>
    <w:rsid w:val="00032D27"/>
    <w:rsid w:val="00033100"/>
    <w:rsid w:val="00035325"/>
    <w:rsid w:val="00035D5B"/>
    <w:rsid w:val="000378D0"/>
    <w:rsid w:val="00037D89"/>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0F06"/>
    <w:rsid w:val="0006231F"/>
    <w:rsid w:val="00062A05"/>
    <w:rsid w:val="00062EE6"/>
    <w:rsid w:val="0006344E"/>
    <w:rsid w:val="000649E6"/>
    <w:rsid w:val="000674E6"/>
    <w:rsid w:val="0006794B"/>
    <w:rsid w:val="00067DCA"/>
    <w:rsid w:val="00070063"/>
    <w:rsid w:val="0007087A"/>
    <w:rsid w:val="000710EC"/>
    <w:rsid w:val="00072237"/>
    <w:rsid w:val="00072ABE"/>
    <w:rsid w:val="00073DBC"/>
    <w:rsid w:val="00080B39"/>
    <w:rsid w:val="00083950"/>
    <w:rsid w:val="0008452F"/>
    <w:rsid w:val="00084E8E"/>
    <w:rsid w:val="00085A68"/>
    <w:rsid w:val="00090625"/>
    <w:rsid w:val="00090948"/>
    <w:rsid w:val="00091CD1"/>
    <w:rsid w:val="000925EB"/>
    <w:rsid w:val="00093A00"/>
    <w:rsid w:val="0009460E"/>
    <w:rsid w:val="000951D4"/>
    <w:rsid w:val="000A2146"/>
    <w:rsid w:val="000A2930"/>
    <w:rsid w:val="000A3276"/>
    <w:rsid w:val="000A3C35"/>
    <w:rsid w:val="000A3E30"/>
    <w:rsid w:val="000A5876"/>
    <w:rsid w:val="000A6196"/>
    <w:rsid w:val="000A61D0"/>
    <w:rsid w:val="000A6C67"/>
    <w:rsid w:val="000A6DB8"/>
    <w:rsid w:val="000A7596"/>
    <w:rsid w:val="000B11A8"/>
    <w:rsid w:val="000B1959"/>
    <w:rsid w:val="000B2E1C"/>
    <w:rsid w:val="000B4459"/>
    <w:rsid w:val="000B4B46"/>
    <w:rsid w:val="000B5363"/>
    <w:rsid w:val="000B53BA"/>
    <w:rsid w:val="000B642F"/>
    <w:rsid w:val="000B66C4"/>
    <w:rsid w:val="000B6C99"/>
    <w:rsid w:val="000C39B3"/>
    <w:rsid w:val="000C3F3C"/>
    <w:rsid w:val="000C5A75"/>
    <w:rsid w:val="000C5CAD"/>
    <w:rsid w:val="000C5EF5"/>
    <w:rsid w:val="000C75F7"/>
    <w:rsid w:val="000D0AB2"/>
    <w:rsid w:val="000D225C"/>
    <w:rsid w:val="000D30D2"/>
    <w:rsid w:val="000D32E8"/>
    <w:rsid w:val="000D36F2"/>
    <w:rsid w:val="000D4B26"/>
    <w:rsid w:val="000D5BA8"/>
    <w:rsid w:val="000D74DB"/>
    <w:rsid w:val="000E24D6"/>
    <w:rsid w:val="000E6072"/>
    <w:rsid w:val="000E6D61"/>
    <w:rsid w:val="000E7A23"/>
    <w:rsid w:val="000F1271"/>
    <w:rsid w:val="000F1C29"/>
    <w:rsid w:val="000F1E9E"/>
    <w:rsid w:val="000F2B10"/>
    <w:rsid w:val="000F3F72"/>
    <w:rsid w:val="001055B2"/>
    <w:rsid w:val="001068F0"/>
    <w:rsid w:val="00106AB8"/>
    <w:rsid w:val="00106C9E"/>
    <w:rsid w:val="00106E16"/>
    <w:rsid w:val="0010768B"/>
    <w:rsid w:val="00111701"/>
    <w:rsid w:val="00112A29"/>
    <w:rsid w:val="00114411"/>
    <w:rsid w:val="001167F6"/>
    <w:rsid w:val="00116B95"/>
    <w:rsid w:val="00116C86"/>
    <w:rsid w:val="00116DF5"/>
    <w:rsid w:val="001204AC"/>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692"/>
    <w:rsid w:val="00147B45"/>
    <w:rsid w:val="00150803"/>
    <w:rsid w:val="00151D2D"/>
    <w:rsid w:val="00151D83"/>
    <w:rsid w:val="00153F8E"/>
    <w:rsid w:val="001546C9"/>
    <w:rsid w:val="00154FAE"/>
    <w:rsid w:val="00155E77"/>
    <w:rsid w:val="001568C0"/>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6CEF"/>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2014"/>
    <w:rsid w:val="001B2D31"/>
    <w:rsid w:val="001B3907"/>
    <w:rsid w:val="001B3B49"/>
    <w:rsid w:val="001B4907"/>
    <w:rsid w:val="001B4DC5"/>
    <w:rsid w:val="001B5505"/>
    <w:rsid w:val="001B5DC2"/>
    <w:rsid w:val="001B6B16"/>
    <w:rsid w:val="001C2180"/>
    <w:rsid w:val="001C29CC"/>
    <w:rsid w:val="001C3217"/>
    <w:rsid w:val="001C3B98"/>
    <w:rsid w:val="001C6028"/>
    <w:rsid w:val="001C6365"/>
    <w:rsid w:val="001C7F57"/>
    <w:rsid w:val="001D00AF"/>
    <w:rsid w:val="001D0E79"/>
    <w:rsid w:val="001D6049"/>
    <w:rsid w:val="001D7339"/>
    <w:rsid w:val="001E17EF"/>
    <w:rsid w:val="001E184A"/>
    <w:rsid w:val="001E2750"/>
    <w:rsid w:val="001E4343"/>
    <w:rsid w:val="001E52BB"/>
    <w:rsid w:val="001E660A"/>
    <w:rsid w:val="001F05D6"/>
    <w:rsid w:val="001F3E84"/>
    <w:rsid w:val="001F5B0A"/>
    <w:rsid w:val="001F640F"/>
    <w:rsid w:val="001F6794"/>
    <w:rsid w:val="001F6F65"/>
    <w:rsid w:val="002002DF"/>
    <w:rsid w:val="00203A6F"/>
    <w:rsid w:val="00205646"/>
    <w:rsid w:val="002063F7"/>
    <w:rsid w:val="002129E5"/>
    <w:rsid w:val="00212AA4"/>
    <w:rsid w:val="00212E13"/>
    <w:rsid w:val="0021555D"/>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0C42"/>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1A6C"/>
    <w:rsid w:val="002730C5"/>
    <w:rsid w:val="0027337C"/>
    <w:rsid w:val="0027602B"/>
    <w:rsid w:val="00277623"/>
    <w:rsid w:val="00277F5E"/>
    <w:rsid w:val="00280084"/>
    <w:rsid w:val="00280490"/>
    <w:rsid w:val="00282A7B"/>
    <w:rsid w:val="00283072"/>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7C3"/>
    <w:rsid w:val="002D3CB0"/>
    <w:rsid w:val="002D4800"/>
    <w:rsid w:val="002D5B21"/>
    <w:rsid w:val="002D6F6D"/>
    <w:rsid w:val="002E0763"/>
    <w:rsid w:val="002E1FE6"/>
    <w:rsid w:val="002E2EA7"/>
    <w:rsid w:val="002E36D2"/>
    <w:rsid w:val="002E48A7"/>
    <w:rsid w:val="002E748B"/>
    <w:rsid w:val="002F1E03"/>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3068"/>
    <w:rsid w:val="003143D5"/>
    <w:rsid w:val="00315216"/>
    <w:rsid w:val="0031691C"/>
    <w:rsid w:val="00317AEF"/>
    <w:rsid w:val="00317F49"/>
    <w:rsid w:val="0032089B"/>
    <w:rsid w:val="00323450"/>
    <w:rsid w:val="00323D93"/>
    <w:rsid w:val="0032489B"/>
    <w:rsid w:val="0032525B"/>
    <w:rsid w:val="00326A7A"/>
    <w:rsid w:val="00326FEE"/>
    <w:rsid w:val="00330754"/>
    <w:rsid w:val="003315D7"/>
    <w:rsid w:val="00334DE6"/>
    <w:rsid w:val="0033536D"/>
    <w:rsid w:val="003353FF"/>
    <w:rsid w:val="003366D2"/>
    <w:rsid w:val="00337C79"/>
    <w:rsid w:val="00337FEF"/>
    <w:rsid w:val="0034084C"/>
    <w:rsid w:val="00340D5E"/>
    <w:rsid w:val="003420B5"/>
    <w:rsid w:val="00343646"/>
    <w:rsid w:val="00344CCB"/>
    <w:rsid w:val="00345897"/>
    <w:rsid w:val="003511C3"/>
    <w:rsid w:val="00351BFC"/>
    <w:rsid w:val="0035575E"/>
    <w:rsid w:val="00355DB7"/>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3DF2"/>
    <w:rsid w:val="00385AEF"/>
    <w:rsid w:val="003860EA"/>
    <w:rsid w:val="0038781A"/>
    <w:rsid w:val="0039080B"/>
    <w:rsid w:val="0039326E"/>
    <w:rsid w:val="00393AF8"/>
    <w:rsid w:val="00394E22"/>
    <w:rsid w:val="003967A4"/>
    <w:rsid w:val="00397FA3"/>
    <w:rsid w:val="003A1596"/>
    <w:rsid w:val="003A317E"/>
    <w:rsid w:val="003A345B"/>
    <w:rsid w:val="003A49EE"/>
    <w:rsid w:val="003A674D"/>
    <w:rsid w:val="003A7123"/>
    <w:rsid w:val="003B102E"/>
    <w:rsid w:val="003B2167"/>
    <w:rsid w:val="003B3EAC"/>
    <w:rsid w:val="003B5F5D"/>
    <w:rsid w:val="003B62C8"/>
    <w:rsid w:val="003C0C62"/>
    <w:rsid w:val="003C12DC"/>
    <w:rsid w:val="003C2CDA"/>
    <w:rsid w:val="003D000A"/>
    <w:rsid w:val="003D31E9"/>
    <w:rsid w:val="003D4183"/>
    <w:rsid w:val="003D544E"/>
    <w:rsid w:val="003D5980"/>
    <w:rsid w:val="003E01AA"/>
    <w:rsid w:val="003E0842"/>
    <w:rsid w:val="003E13B0"/>
    <w:rsid w:val="003E2580"/>
    <w:rsid w:val="003E2C90"/>
    <w:rsid w:val="003E34F0"/>
    <w:rsid w:val="003E3DEE"/>
    <w:rsid w:val="003E3EBB"/>
    <w:rsid w:val="003E4A4C"/>
    <w:rsid w:val="003E4CBA"/>
    <w:rsid w:val="003E4D2F"/>
    <w:rsid w:val="003E4EDC"/>
    <w:rsid w:val="003E599D"/>
    <w:rsid w:val="003E5C81"/>
    <w:rsid w:val="003E6965"/>
    <w:rsid w:val="003F00E8"/>
    <w:rsid w:val="003F1936"/>
    <w:rsid w:val="003F1BDD"/>
    <w:rsid w:val="003F2CEB"/>
    <w:rsid w:val="003F3BA3"/>
    <w:rsid w:val="003F3BD5"/>
    <w:rsid w:val="003F400E"/>
    <w:rsid w:val="003F45E0"/>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FA4"/>
    <w:rsid w:val="0042285D"/>
    <w:rsid w:val="00427D2B"/>
    <w:rsid w:val="00430B13"/>
    <w:rsid w:val="00430CE5"/>
    <w:rsid w:val="0043153C"/>
    <w:rsid w:val="00431D0F"/>
    <w:rsid w:val="00431FBC"/>
    <w:rsid w:val="0043481C"/>
    <w:rsid w:val="00437AC5"/>
    <w:rsid w:val="00444307"/>
    <w:rsid w:val="0044436F"/>
    <w:rsid w:val="004443EB"/>
    <w:rsid w:val="00444432"/>
    <w:rsid w:val="00444673"/>
    <w:rsid w:val="0044621E"/>
    <w:rsid w:val="00447BF1"/>
    <w:rsid w:val="00450BA4"/>
    <w:rsid w:val="004511FC"/>
    <w:rsid w:val="004526BB"/>
    <w:rsid w:val="00456784"/>
    <w:rsid w:val="00456DCA"/>
    <w:rsid w:val="00461140"/>
    <w:rsid w:val="004611DB"/>
    <w:rsid w:val="004658B0"/>
    <w:rsid w:val="0046614B"/>
    <w:rsid w:val="00467FD7"/>
    <w:rsid w:val="00470073"/>
    <w:rsid w:val="00472912"/>
    <w:rsid w:val="004730F8"/>
    <w:rsid w:val="00474353"/>
    <w:rsid w:val="00474555"/>
    <w:rsid w:val="004750F4"/>
    <w:rsid w:val="00476CB1"/>
    <w:rsid w:val="00480A48"/>
    <w:rsid w:val="00480A8D"/>
    <w:rsid w:val="00481AAD"/>
    <w:rsid w:val="00482501"/>
    <w:rsid w:val="00482E7D"/>
    <w:rsid w:val="004834F2"/>
    <w:rsid w:val="00484395"/>
    <w:rsid w:val="004849B4"/>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04A7"/>
    <w:rsid w:val="004B36EC"/>
    <w:rsid w:val="004B4E64"/>
    <w:rsid w:val="004B6084"/>
    <w:rsid w:val="004B73BB"/>
    <w:rsid w:val="004B7AE0"/>
    <w:rsid w:val="004C0BC4"/>
    <w:rsid w:val="004C260D"/>
    <w:rsid w:val="004C2D47"/>
    <w:rsid w:val="004C4357"/>
    <w:rsid w:val="004C4477"/>
    <w:rsid w:val="004C5730"/>
    <w:rsid w:val="004C6397"/>
    <w:rsid w:val="004C668F"/>
    <w:rsid w:val="004C682B"/>
    <w:rsid w:val="004D142C"/>
    <w:rsid w:val="004D29F7"/>
    <w:rsid w:val="004D36D8"/>
    <w:rsid w:val="004D4868"/>
    <w:rsid w:val="004D4C5C"/>
    <w:rsid w:val="004D4FEC"/>
    <w:rsid w:val="004D5AB0"/>
    <w:rsid w:val="004D5EAE"/>
    <w:rsid w:val="004D7A0E"/>
    <w:rsid w:val="004E06E7"/>
    <w:rsid w:val="004E0AE3"/>
    <w:rsid w:val="004E20D3"/>
    <w:rsid w:val="004E2C82"/>
    <w:rsid w:val="004E4D5D"/>
    <w:rsid w:val="004E4FAE"/>
    <w:rsid w:val="004E62C7"/>
    <w:rsid w:val="004E68FF"/>
    <w:rsid w:val="004E7A1B"/>
    <w:rsid w:val="004F0B7F"/>
    <w:rsid w:val="004F1193"/>
    <w:rsid w:val="004F11DC"/>
    <w:rsid w:val="004F2124"/>
    <w:rsid w:val="004F271B"/>
    <w:rsid w:val="004F2829"/>
    <w:rsid w:val="004F3A52"/>
    <w:rsid w:val="004F449F"/>
    <w:rsid w:val="004F4E7E"/>
    <w:rsid w:val="004F63AB"/>
    <w:rsid w:val="004F6B76"/>
    <w:rsid w:val="004F6C7C"/>
    <w:rsid w:val="004F799D"/>
    <w:rsid w:val="004F7F1A"/>
    <w:rsid w:val="004F7FBB"/>
    <w:rsid w:val="005042B3"/>
    <w:rsid w:val="005045AB"/>
    <w:rsid w:val="00507D43"/>
    <w:rsid w:val="005101DD"/>
    <w:rsid w:val="005103F2"/>
    <w:rsid w:val="00510453"/>
    <w:rsid w:val="00510DB5"/>
    <w:rsid w:val="00510E2C"/>
    <w:rsid w:val="00511FDC"/>
    <w:rsid w:val="005124C6"/>
    <w:rsid w:val="00513EBC"/>
    <w:rsid w:val="00514CE1"/>
    <w:rsid w:val="00517155"/>
    <w:rsid w:val="00517DB3"/>
    <w:rsid w:val="005200DC"/>
    <w:rsid w:val="005200F2"/>
    <w:rsid w:val="0052369D"/>
    <w:rsid w:val="005271DB"/>
    <w:rsid w:val="005275AD"/>
    <w:rsid w:val="00530D2F"/>
    <w:rsid w:val="0053487C"/>
    <w:rsid w:val="005356E1"/>
    <w:rsid w:val="00536A34"/>
    <w:rsid w:val="00536A8B"/>
    <w:rsid w:val="00540418"/>
    <w:rsid w:val="0054197F"/>
    <w:rsid w:val="00541A96"/>
    <w:rsid w:val="00541C6A"/>
    <w:rsid w:val="00542C54"/>
    <w:rsid w:val="00546A43"/>
    <w:rsid w:val="00546C70"/>
    <w:rsid w:val="00547258"/>
    <w:rsid w:val="00550CF0"/>
    <w:rsid w:val="005559FE"/>
    <w:rsid w:val="005560D6"/>
    <w:rsid w:val="00556D07"/>
    <w:rsid w:val="005611F2"/>
    <w:rsid w:val="00561734"/>
    <w:rsid w:val="00561952"/>
    <w:rsid w:val="00562FA1"/>
    <w:rsid w:val="00564B9A"/>
    <w:rsid w:val="00565694"/>
    <w:rsid w:val="00566CBB"/>
    <w:rsid w:val="00566DD6"/>
    <w:rsid w:val="005714EF"/>
    <w:rsid w:val="00571CEC"/>
    <w:rsid w:val="00572FCE"/>
    <w:rsid w:val="005750DB"/>
    <w:rsid w:val="00575241"/>
    <w:rsid w:val="005759FC"/>
    <w:rsid w:val="00575B85"/>
    <w:rsid w:val="00576DB9"/>
    <w:rsid w:val="0057738F"/>
    <w:rsid w:val="005805E4"/>
    <w:rsid w:val="0058202F"/>
    <w:rsid w:val="005828E2"/>
    <w:rsid w:val="00584221"/>
    <w:rsid w:val="00584EB6"/>
    <w:rsid w:val="00586B68"/>
    <w:rsid w:val="0058774E"/>
    <w:rsid w:val="005878CF"/>
    <w:rsid w:val="00590CA0"/>
    <w:rsid w:val="00591DE5"/>
    <w:rsid w:val="00592035"/>
    <w:rsid w:val="00595B01"/>
    <w:rsid w:val="00596D98"/>
    <w:rsid w:val="005979A5"/>
    <w:rsid w:val="005A0021"/>
    <w:rsid w:val="005A017B"/>
    <w:rsid w:val="005A2AEC"/>
    <w:rsid w:val="005A412D"/>
    <w:rsid w:val="005A5212"/>
    <w:rsid w:val="005B002D"/>
    <w:rsid w:val="005B0FFF"/>
    <w:rsid w:val="005B19AF"/>
    <w:rsid w:val="005B258C"/>
    <w:rsid w:val="005B3FAD"/>
    <w:rsid w:val="005B592B"/>
    <w:rsid w:val="005B61DD"/>
    <w:rsid w:val="005B6735"/>
    <w:rsid w:val="005B7831"/>
    <w:rsid w:val="005C0CD6"/>
    <w:rsid w:val="005C12D9"/>
    <w:rsid w:val="005C2146"/>
    <w:rsid w:val="005C309D"/>
    <w:rsid w:val="005C544B"/>
    <w:rsid w:val="005C5916"/>
    <w:rsid w:val="005C5AEE"/>
    <w:rsid w:val="005C694F"/>
    <w:rsid w:val="005C774A"/>
    <w:rsid w:val="005D3734"/>
    <w:rsid w:val="005D4F16"/>
    <w:rsid w:val="005D5A53"/>
    <w:rsid w:val="005D5DA0"/>
    <w:rsid w:val="005D7FBD"/>
    <w:rsid w:val="005E0F10"/>
    <w:rsid w:val="005E19B4"/>
    <w:rsid w:val="005E1D6B"/>
    <w:rsid w:val="005E227A"/>
    <w:rsid w:val="005E2CF8"/>
    <w:rsid w:val="005E3126"/>
    <w:rsid w:val="005E5C74"/>
    <w:rsid w:val="005E67C0"/>
    <w:rsid w:val="005E6B2F"/>
    <w:rsid w:val="005E7075"/>
    <w:rsid w:val="005E75A7"/>
    <w:rsid w:val="005F1573"/>
    <w:rsid w:val="005F38E2"/>
    <w:rsid w:val="005F3EE6"/>
    <w:rsid w:val="005F52E7"/>
    <w:rsid w:val="005F6736"/>
    <w:rsid w:val="00601D03"/>
    <w:rsid w:val="00602C10"/>
    <w:rsid w:val="00602EBD"/>
    <w:rsid w:val="00602EE4"/>
    <w:rsid w:val="00604CF2"/>
    <w:rsid w:val="00606DFF"/>
    <w:rsid w:val="00606FB7"/>
    <w:rsid w:val="00610533"/>
    <w:rsid w:val="006110F6"/>
    <w:rsid w:val="00611B16"/>
    <w:rsid w:val="00611FA1"/>
    <w:rsid w:val="00612522"/>
    <w:rsid w:val="00612DA6"/>
    <w:rsid w:val="0061365B"/>
    <w:rsid w:val="006138B6"/>
    <w:rsid w:val="00614BC6"/>
    <w:rsid w:val="00614E33"/>
    <w:rsid w:val="006158B8"/>
    <w:rsid w:val="0061706D"/>
    <w:rsid w:val="006173DA"/>
    <w:rsid w:val="00617EF9"/>
    <w:rsid w:val="00620295"/>
    <w:rsid w:val="00620EE4"/>
    <w:rsid w:val="00622F8E"/>
    <w:rsid w:val="00626AC8"/>
    <w:rsid w:val="00627912"/>
    <w:rsid w:val="0063195F"/>
    <w:rsid w:val="00635E47"/>
    <w:rsid w:val="00636C0A"/>
    <w:rsid w:val="00637EC6"/>
    <w:rsid w:val="00640873"/>
    <w:rsid w:val="0064240C"/>
    <w:rsid w:val="00642946"/>
    <w:rsid w:val="00642FF5"/>
    <w:rsid w:val="006430FB"/>
    <w:rsid w:val="00643992"/>
    <w:rsid w:val="00644A34"/>
    <w:rsid w:val="00644DBC"/>
    <w:rsid w:val="00646FE6"/>
    <w:rsid w:val="006474CD"/>
    <w:rsid w:val="00647744"/>
    <w:rsid w:val="006479A0"/>
    <w:rsid w:val="006500D9"/>
    <w:rsid w:val="00653B54"/>
    <w:rsid w:val="006541A3"/>
    <w:rsid w:val="00654FAD"/>
    <w:rsid w:val="00655C9F"/>
    <w:rsid w:val="006567FF"/>
    <w:rsid w:val="00656867"/>
    <w:rsid w:val="00656A02"/>
    <w:rsid w:val="0066109F"/>
    <w:rsid w:val="00664B26"/>
    <w:rsid w:val="0066596B"/>
    <w:rsid w:val="00670295"/>
    <w:rsid w:val="006704F5"/>
    <w:rsid w:val="006719FD"/>
    <w:rsid w:val="00672894"/>
    <w:rsid w:val="00674B47"/>
    <w:rsid w:val="0067609E"/>
    <w:rsid w:val="00677749"/>
    <w:rsid w:val="00680502"/>
    <w:rsid w:val="00680E07"/>
    <w:rsid w:val="0068121E"/>
    <w:rsid w:val="00682B9D"/>
    <w:rsid w:val="00683806"/>
    <w:rsid w:val="00686AF9"/>
    <w:rsid w:val="006910C0"/>
    <w:rsid w:val="00691954"/>
    <w:rsid w:val="0069198D"/>
    <w:rsid w:val="00693043"/>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5FE4"/>
    <w:rsid w:val="006B62B2"/>
    <w:rsid w:val="006C0832"/>
    <w:rsid w:val="006C1C57"/>
    <w:rsid w:val="006C267F"/>
    <w:rsid w:val="006C5760"/>
    <w:rsid w:val="006C585E"/>
    <w:rsid w:val="006C5DFD"/>
    <w:rsid w:val="006C6D6F"/>
    <w:rsid w:val="006D0D78"/>
    <w:rsid w:val="006D1128"/>
    <w:rsid w:val="006D21C6"/>
    <w:rsid w:val="006D2848"/>
    <w:rsid w:val="006D30E0"/>
    <w:rsid w:val="006D5521"/>
    <w:rsid w:val="006D5FE9"/>
    <w:rsid w:val="006D6CBB"/>
    <w:rsid w:val="006D76A9"/>
    <w:rsid w:val="006D77F4"/>
    <w:rsid w:val="006E006A"/>
    <w:rsid w:val="006E0898"/>
    <w:rsid w:val="006E41CD"/>
    <w:rsid w:val="006F3796"/>
    <w:rsid w:val="006F3BEC"/>
    <w:rsid w:val="00700415"/>
    <w:rsid w:val="00703C00"/>
    <w:rsid w:val="00704DF8"/>
    <w:rsid w:val="007057CC"/>
    <w:rsid w:val="007066F2"/>
    <w:rsid w:val="00706AE5"/>
    <w:rsid w:val="0070740A"/>
    <w:rsid w:val="00711F93"/>
    <w:rsid w:val="00712940"/>
    <w:rsid w:val="0071428C"/>
    <w:rsid w:val="00715A16"/>
    <w:rsid w:val="007164B0"/>
    <w:rsid w:val="007166FF"/>
    <w:rsid w:val="00716FE7"/>
    <w:rsid w:val="007239F4"/>
    <w:rsid w:val="00724B2C"/>
    <w:rsid w:val="007260CC"/>
    <w:rsid w:val="00726543"/>
    <w:rsid w:val="00730011"/>
    <w:rsid w:val="0073353E"/>
    <w:rsid w:val="00736633"/>
    <w:rsid w:val="00737054"/>
    <w:rsid w:val="00737245"/>
    <w:rsid w:val="007402E9"/>
    <w:rsid w:val="00741EE7"/>
    <w:rsid w:val="00743A79"/>
    <w:rsid w:val="007444D4"/>
    <w:rsid w:val="0074594D"/>
    <w:rsid w:val="007459F3"/>
    <w:rsid w:val="00746E35"/>
    <w:rsid w:val="007470E2"/>
    <w:rsid w:val="0075232F"/>
    <w:rsid w:val="00753132"/>
    <w:rsid w:val="007550B3"/>
    <w:rsid w:val="00760451"/>
    <w:rsid w:val="00766C7D"/>
    <w:rsid w:val="0077182A"/>
    <w:rsid w:val="00771913"/>
    <w:rsid w:val="00772718"/>
    <w:rsid w:val="00775BCF"/>
    <w:rsid w:val="00781196"/>
    <w:rsid w:val="007818AA"/>
    <w:rsid w:val="00783140"/>
    <w:rsid w:val="007838B6"/>
    <w:rsid w:val="00783B21"/>
    <w:rsid w:val="00783E77"/>
    <w:rsid w:val="007906F1"/>
    <w:rsid w:val="0079243D"/>
    <w:rsid w:val="00794A9B"/>
    <w:rsid w:val="0079583B"/>
    <w:rsid w:val="00796602"/>
    <w:rsid w:val="00797185"/>
    <w:rsid w:val="007976B7"/>
    <w:rsid w:val="00797A7E"/>
    <w:rsid w:val="00797D6F"/>
    <w:rsid w:val="007A4AA6"/>
    <w:rsid w:val="007B014B"/>
    <w:rsid w:val="007B0D88"/>
    <w:rsid w:val="007B306F"/>
    <w:rsid w:val="007B4714"/>
    <w:rsid w:val="007B4E82"/>
    <w:rsid w:val="007C1996"/>
    <w:rsid w:val="007C3773"/>
    <w:rsid w:val="007C3F1F"/>
    <w:rsid w:val="007D2D0D"/>
    <w:rsid w:val="007D3325"/>
    <w:rsid w:val="007D3818"/>
    <w:rsid w:val="007D6DC5"/>
    <w:rsid w:val="007D7425"/>
    <w:rsid w:val="007E191B"/>
    <w:rsid w:val="007E320E"/>
    <w:rsid w:val="007E3280"/>
    <w:rsid w:val="007E4A02"/>
    <w:rsid w:val="007E595C"/>
    <w:rsid w:val="007E59A5"/>
    <w:rsid w:val="007F3B8C"/>
    <w:rsid w:val="007F41D0"/>
    <w:rsid w:val="007F4B8B"/>
    <w:rsid w:val="007F5957"/>
    <w:rsid w:val="007F70B6"/>
    <w:rsid w:val="007F74CA"/>
    <w:rsid w:val="00800210"/>
    <w:rsid w:val="00800F1E"/>
    <w:rsid w:val="0080195A"/>
    <w:rsid w:val="0080239C"/>
    <w:rsid w:val="00802841"/>
    <w:rsid w:val="008037D5"/>
    <w:rsid w:val="00805447"/>
    <w:rsid w:val="008054FA"/>
    <w:rsid w:val="0080717A"/>
    <w:rsid w:val="00807DFA"/>
    <w:rsid w:val="0081009F"/>
    <w:rsid w:val="00810152"/>
    <w:rsid w:val="008105AF"/>
    <w:rsid w:val="008115AB"/>
    <w:rsid w:val="00812D2C"/>
    <w:rsid w:val="008159F4"/>
    <w:rsid w:val="008167C1"/>
    <w:rsid w:val="008167C6"/>
    <w:rsid w:val="00816B8F"/>
    <w:rsid w:val="00820331"/>
    <w:rsid w:val="00820BF5"/>
    <w:rsid w:val="008212B1"/>
    <w:rsid w:val="0082155A"/>
    <w:rsid w:val="0082209F"/>
    <w:rsid w:val="008223C2"/>
    <w:rsid w:val="008250A2"/>
    <w:rsid w:val="00825B66"/>
    <w:rsid w:val="00825D64"/>
    <w:rsid w:val="0082650B"/>
    <w:rsid w:val="008301CE"/>
    <w:rsid w:val="008312E3"/>
    <w:rsid w:val="00831D5B"/>
    <w:rsid w:val="00832DD6"/>
    <w:rsid w:val="00832F0C"/>
    <w:rsid w:val="008336F2"/>
    <w:rsid w:val="008337FF"/>
    <w:rsid w:val="008345D9"/>
    <w:rsid w:val="008347CB"/>
    <w:rsid w:val="00835647"/>
    <w:rsid w:val="00837A2E"/>
    <w:rsid w:val="00837D5A"/>
    <w:rsid w:val="00841558"/>
    <w:rsid w:val="00842947"/>
    <w:rsid w:val="00842A68"/>
    <w:rsid w:val="008435BA"/>
    <w:rsid w:val="00843B3B"/>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206"/>
    <w:rsid w:val="008767F3"/>
    <w:rsid w:val="00876CEF"/>
    <w:rsid w:val="00877342"/>
    <w:rsid w:val="008803C3"/>
    <w:rsid w:val="00881450"/>
    <w:rsid w:val="008817C7"/>
    <w:rsid w:val="00881875"/>
    <w:rsid w:val="008848A3"/>
    <w:rsid w:val="00884AF1"/>
    <w:rsid w:val="00885DED"/>
    <w:rsid w:val="00885F7A"/>
    <w:rsid w:val="00890712"/>
    <w:rsid w:val="00890D81"/>
    <w:rsid w:val="00892955"/>
    <w:rsid w:val="00893628"/>
    <w:rsid w:val="008941EB"/>
    <w:rsid w:val="0089545A"/>
    <w:rsid w:val="00895A02"/>
    <w:rsid w:val="00896140"/>
    <w:rsid w:val="008977D0"/>
    <w:rsid w:val="008978DF"/>
    <w:rsid w:val="008A01EE"/>
    <w:rsid w:val="008A0DAC"/>
    <w:rsid w:val="008A24B8"/>
    <w:rsid w:val="008A3B78"/>
    <w:rsid w:val="008A4166"/>
    <w:rsid w:val="008A7504"/>
    <w:rsid w:val="008A7DBF"/>
    <w:rsid w:val="008B0757"/>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017"/>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0777E"/>
    <w:rsid w:val="00907B97"/>
    <w:rsid w:val="0091016D"/>
    <w:rsid w:val="00910C98"/>
    <w:rsid w:val="00911910"/>
    <w:rsid w:val="00912A58"/>
    <w:rsid w:val="00913908"/>
    <w:rsid w:val="00913D26"/>
    <w:rsid w:val="0091438B"/>
    <w:rsid w:val="009147E3"/>
    <w:rsid w:val="009161E8"/>
    <w:rsid w:val="00920FD2"/>
    <w:rsid w:val="00923A43"/>
    <w:rsid w:val="0092439C"/>
    <w:rsid w:val="0092498E"/>
    <w:rsid w:val="00925B91"/>
    <w:rsid w:val="00934461"/>
    <w:rsid w:val="00934F7E"/>
    <w:rsid w:val="00936A1C"/>
    <w:rsid w:val="00943715"/>
    <w:rsid w:val="00943E35"/>
    <w:rsid w:val="00945278"/>
    <w:rsid w:val="0094658D"/>
    <w:rsid w:val="00947678"/>
    <w:rsid w:val="00947878"/>
    <w:rsid w:val="00947937"/>
    <w:rsid w:val="009504C2"/>
    <w:rsid w:val="0095254A"/>
    <w:rsid w:val="0095273B"/>
    <w:rsid w:val="009538F1"/>
    <w:rsid w:val="009559E1"/>
    <w:rsid w:val="00955D14"/>
    <w:rsid w:val="009568D5"/>
    <w:rsid w:val="00957CD3"/>
    <w:rsid w:val="00960896"/>
    <w:rsid w:val="0096269B"/>
    <w:rsid w:val="00963FB0"/>
    <w:rsid w:val="00964C86"/>
    <w:rsid w:val="00965E82"/>
    <w:rsid w:val="009664BB"/>
    <w:rsid w:val="009669F8"/>
    <w:rsid w:val="00966F89"/>
    <w:rsid w:val="00972DD4"/>
    <w:rsid w:val="00973B5D"/>
    <w:rsid w:val="00974111"/>
    <w:rsid w:val="00975133"/>
    <w:rsid w:val="0097755E"/>
    <w:rsid w:val="00981467"/>
    <w:rsid w:val="00981C24"/>
    <w:rsid w:val="00982339"/>
    <w:rsid w:val="009852F6"/>
    <w:rsid w:val="00985DE5"/>
    <w:rsid w:val="00986254"/>
    <w:rsid w:val="0098729E"/>
    <w:rsid w:val="00990067"/>
    <w:rsid w:val="00992977"/>
    <w:rsid w:val="009931AF"/>
    <w:rsid w:val="009937D4"/>
    <w:rsid w:val="00993C78"/>
    <w:rsid w:val="009948C7"/>
    <w:rsid w:val="00995850"/>
    <w:rsid w:val="00996005"/>
    <w:rsid w:val="0099796C"/>
    <w:rsid w:val="009A194E"/>
    <w:rsid w:val="009A1EA2"/>
    <w:rsid w:val="009A209E"/>
    <w:rsid w:val="009A3FD7"/>
    <w:rsid w:val="009A6652"/>
    <w:rsid w:val="009A74FD"/>
    <w:rsid w:val="009B25D8"/>
    <w:rsid w:val="009B3BC4"/>
    <w:rsid w:val="009B429A"/>
    <w:rsid w:val="009B42E3"/>
    <w:rsid w:val="009B5859"/>
    <w:rsid w:val="009C3DA5"/>
    <w:rsid w:val="009C58F1"/>
    <w:rsid w:val="009C6D07"/>
    <w:rsid w:val="009C7CEC"/>
    <w:rsid w:val="009D03C9"/>
    <w:rsid w:val="009D154D"/>
    <w:rsid w:val="009D18EF"/>
    <w:rsid w:val="009D3BE8"/>
    <w:rsid w:val="009D44E0"/>
    <w:rsid w:val="009D573B"/>
    <w:rsid w:val="009D59A0"/>
    <w:rsid w:val="009D716A"/>
    <w:rsid w:val="009E1AC4"/>
    <w:rsid w:val="009E20B8"/>
    <w:rsid w:val="009E28CB"/>
    <w:rsid w:val="009E29A0"/>
    <w:rsid w:val="009E41B5"/>
    <w:rsid w:val="009E55D7"/>
    <w:rsid w:val="009E627C"/>
    <w:rsid w:val="009E776A"/>
    <w:rsid w:val="009F110B"/>
    <w:rsid w:val="009F1498"/>
    <w:rsid w:val="009F1E9F"/>
    <w:rsid w:val="009F3793"/>
    <w:rsid w:val="009F53F4"/>
    <w:rsid w:val="009F54F2"/>
    <w:rsid w:val="009F7107"/>
    <w:rsid w:val="00A0056B"/>
    <w:rsid w:val="00A01657"/>
    <w:rsid w:val="00A01C65"/>
    <w:rsid w:val="00A0213D"/>
    <w:rsid w:val="00A03419"/>
    <w:rsid w:val="00A04C73"/>
    <w:rsid w:val="00A0679A"/>
    <w:rsid w:val="00A06DA0"/>
    <w:rsid w:val="00A07A2B"/>
    <w:rsid w:val="00A12375"/>
    <w:rsid w:val="00A125B8"/>
    <w:rsid w:val="00A13124"/>
    <w:rsid w:val="00A14AE4"/>
    <w:rsid w:val="00A15370"/>
    <w:rsid w:val="00A156AB"/>
    <w:rsid w:val="00A162EF"/>
    <w:rsid w:val="00A16B8D"/>
    <w:rsid w:val="00A21293"/>
    <w:rsid w:val="00A2134B"/>
    <w:rsid w:val="00A21623"/>
    <w:rsid w:val="00A220EB"/>
    <w:rsid w:val="00A22302"/>
    <w:rsid w:val="00A2363D"/>
    <w:rsid w:val="00A25F1B"/>
    <w:rsid w:val="00A26933"/>
    <w:rsid w:val="00A325F3"/>
    <w:rsid w:val="00A33103"/>
    <w:rsid w:val="00A33294"/>
    <w:rsid w:val="00A35DCB"/>
    <w:rsid w:val="00A3690E"/>
    <w:rsid w:val="00A37751"/>
    <w:rsid w:val="00A406B1"/>
    <w:rsid w:val="00A4113E"/>
    <w:rsid w:val="00A42435"/>
    <w:rsid w:val="00A42D3A"/>
    <w:rsid w:val="00A438BA"/>
    <w:rsid w:val="00A446FD"/>
    <w:rsid w:val="00A45768"/>
    <w:rsid w:val="00A46F46"/>
    <w:rsid w:val="00A52CB6"/>
    <w:rsid w:val="00A52F99"/>
    <w:rsid w:val="00A538BB"/>
    <w:rsid w:val="00A54164"/>
    <w:rsid w:val="00A56737"/>
    <w:rsid w:val="00A56F32"/>
    <w:rsid w:val="00A60002"/>
    <w:rsid w:val="00A603D8"/>
    <w:rsid w:val="00A60AE2"/>
    <w:rsid w:val="00A61834"/>
    <w:rsid w:val="00A618B0"/>
    <w:rsid w:val="00A62790"/>
    <w:rsid w:val="00A6291F"/>
    <w:rsid w:val="00A63F53"/>
    <w:rsid w:val="00A64058"/>
    <w:rsid w:val="00A7111E"/>
    <w:rsid w:val="00A755B6"/>
    <w:rsid w:val="00A75B1A"/>
    <w:rsid w:val="00A80ED4"/>
    <w:rsid w:val="00A816C4"/>
    <w:rsid w:val="00A82981"/>
    <w:rsid w:val="00A86F10"/>
    <w:rsid w:val="00A87AF2"/>
    <w:rsid w:val="00A87C3D"/>
    <w:rsid w:val="00A90B23"/>
    <w:rsid w:val="00A93193"/>
    <w:rsid w:val="00A93C2B"/>
    <w:rsid w:val="00A94556"/>
    <w:rsid w:val="00A974CB"/>
    <w:rsid w:val="00AA1EAC"/>
    <w:rsid w:val="00AA36C9"/>
    <w:rsid w:val="00AA45E2"/>
    <w:rsid w:val="00AA729B"/>
    <w:rsid w:val="00AA77E8"/>
    <w:rsid w:val="00AA784D"/>
    <w:rsid w:val="00AA7AC1"/>
    <w:rsid w:val="00AB0AD4"/>
    <w:rsid w:val="00AB3C87"/>
    <w:rsid w:val="00AB40D8"/>
    <w:rsid w:val="00AB6327"/>
    <w:rsid w:val="00AB6B8F"/>
    <w:rsid w:val="00AC0C65"/>
    <w:rsid w:val="00AC0FB2"/>
    <w:rsid w:val="00AC15F3"/>
    <w:rsid w:val="00AC3721"/>
    <w:rsid w:val="00AC41C6"/>
    <w:rsid w:val="00AC70C7"/>
    <w:rsid w:val="00AC76B7"/>
    <w:rsid w:val="00AD0223"/>
    <w:rsid w:val="00AD123A"/>
    <w:rsid w:val="00AD15FF"/>
    <w:rsid w:val="00AD1AA5"/>
    <w:rsid w:val="00AD2920"/>
    <w:rsid w:val="00AD2CD5"/>
    <w:rsid w:val="00AD2DFC"/>
    <w:rsid w:val="00AD38C4"/>
    <w:rsid w:val="00AD4AA3"/>
    <w:rsid w:val="00AD5A4A"/>
    <w:rsid w:val="00AD60EE"/>
    <w:rsid w:val="00AD6A2B"/>
    <w:rsid w:val="00AD73D4"/>
    <w:rsid w:val="00AE1EA2"/>
    <w:rsid w:val="00AE2874"/>
    <w:rsid w:val="00AE2BA2"/>
    <w:rsid w:val="00AE2F98"/>
    <w:rsid w:val="00AE3602"/>
    <w:rsid w:val="00AE502D"/>
    <w:rsid w:val="00AE5342"/>
    <w:rsid w:val="00AE5987"/>
    <w:rsid w:val="00AE6472"/>
    <w:rsid w:val="00AF1345"/>
    <w:rsid w:val="00AF38A8"/>
    <w:rsid w:val="00AF63EB"/>
    <w:rsid w:val="00B0065C"/>
    <w:rsid w:val="00B016D2"/>
    <w:rsid w:val="00B018EC"/>
    <w:rsid w:val="00B060C7"/>
    <w:rsid w:val="00B11AB7"/>
    <w:rsid w:val="00B12213"/>
    <w:rsid w:val="00B13710"/>
    <w:rsid w:val="00B22881"/>
    <w:rsid w:val="00B23EFC"/>
    <w:rsid w:val="00B24B72"/>
    <w:rsid w:val="00B25831"/>
    <w:rsid w:val="00B25DB8"/>
    <w:rsid w:val="00B2656C"/>
    <w:rsid w:val="00B266E6"/>
    <w:rsid w:val="00B3094D"/>
    <w:rsid w:val="00B30B04"/>
    <w:rsid w:val="00B311BC"/>
    <w:rsid w:val="00B31810"/>
    <w:rsid w:val="00B31C10"/>
    <w:rsid w:val="00B32E9E"/>
    <w:rsid w:val="00B33AC9"/>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6FF"/>
    <w:rsid w:val="00B44784"/>
    <w:rsid w:val="00B449D0"/>
    <w:rsid w:val="00B456AB"/>
    <w:rsid w:val="00B46C2A"/>
    <w:rsid w:val="00B478D8"/>
    <w:rsid w:val="00B47E8B"/>
    <w:rsid w:val="00B51C67"/>
    <w:rsid w:val="00B53F86"/>
    <w:rsid w:val="00B53FDC"/>
    <w:rsid w:val="00B55431"/>
    <w:rsid w:val="00B55CAE"/>
    <w:rsid w:val="00B576C6"/>
    <w:rsid w:val="00B612EF"/>
    <w:rsid w:val="00B615F2"/>
    <w:rsid w:val="00B61A28"/>
    <w:rsid w:val="00B62DEB"/>
    <w:rsid w:val="00B65B1E"/>
    <w:rsid w:val="00B65C6D"/>
    <w:rsid w:val="00B66B06"/>
    <w:rsid w:val="00B674B1"/>
    <w:rsid w:val="00B67862"/>
    <w:rsid w:val="00B70634"/>
    <w:rsid w:val="00B70BE4"/>
    <w:rsid w:val="00B73880"/>
    <w:rsid w:val="00B73CF1"/>
    <w:rsid w:val="00B745B3"/>
    <w:rsid w:val="00B7599D"/>
    <w:rsid w:val="00B7648F"/>
    <w:rsid w:val="00B76E13"/>
    <w:rsid w:val="00B771EE"/>
    <w:rsid w:val="00B7765B"/>
    <w:rsid w:val="00B776A8"/>
    <w:rsid w:val="00B77B4B"/>
    <w:rsid w:val="00B80ABC"/>
    <w:rsid w:val="00B814C2"/>
    <w:rsid w:val="00B86C1A"/>
    <w:rsid w:val="00B900FE"/>
    <w:rsid w:val="00B9064C"/>
    <w:rsid w:val="00B96BD2"/>
    <w:rsid w:val="00BA0A14"/>
    <w:rsid w:val="00BA228D"/>
    <w:rsid w:val="00BA398D"/>
    <w:rsid w:val="00BA39D3"/>
    <w:rsid w:val="00BA5C56"/>
    <w:rsid w:val="00BA64BF"/>
    <w:rsid w:val="00BA776F"/>
    <w:rsid w:val="00BB0C0D"/>
    <w:rsid w:val="00BB0D69"/>
    <w:rsid w:val="00BB3052"/>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0D51"/>
    <w:rsid w:val="00BD1BAC"/>
    <w:rsid w:val="00BD1FA8"/>
    <w:rsid w:val="00BD25A6"/>
    <w:rsid w:val="00BD4C95"/>
    <w:rsid w:val="00BD65FC"/>
    <w:rsid w:val="00BD67CC"/>
    <w:rsid w:val="00BD7660"/>
    <w:rsid w:val="00BD78AB"/>
    <w:rsid w:val="00BE0666"/>
    <w:rsid w:val="00BE24B9"/>
    <w:rsid w:val="00BE2ACF"/>
    <w:rsid w:val="00BE2AE8"/>
    <w:rsid w:val="00BE2D55"/>
    <w:rsid w:val="00BE38DD"/>
    <w:rsid w:val="00BE4AB1"/>
    <w:rsid w:val="00BF16C3"/>
    <w:rsid w:val="00BF1F01"/>
    <w:rsid w:val="00BF25B3"/>
    <w:rsid w:val="00BF2CCA"/>
    <w:rsid w:val="00BF38E0"/>
    <w:rsid w:val="00BF44FA"/>
    <w:rsid w:val="00BF57E1"/>
    <w:rsid w:val="00C003B4"/>
    <w:rsid w:val="00C00A5F"/>
    <w:rsid w:val="00C042E0"/>
    <w:rsid w:val="00C051D9"/>
    <w:rsid w:val="00C06333"/>
    <w:rsid w:val="00C06F68"/>
    <w:rsid w:val="00C075BA"/>
    <w:rsid w:val="00C10A3A"/>
    <w:rsid w:val="00C11133"/>
    <w:rsid w:val="00C11E20"/>
    <w:rsid w:val="00C15D16"/>
    <w:rsid w:val="00C20015"/>
    <w:rsid w:val="00C247DD"/>
    <w:rsid w:val="00C25B43"/>
    <w:rsid w:val="00C26A54"/>
    <w:rsid w:val="00C31D10"/>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53FB"/>
    <w:rsid w:val="00C5611B"/>
    <w:rsid w:val="00C5695E"/>
    <w:rsid w:val="00C60249"/>
    <w:rsid w:val="00C61528"/>
    <w:rsid w:val="00C63457"/>
    <w:rsid w:val="00C64964"/>
    <w:rsid w:val="00C6631E"/>
    <w:rsid w:val="00C67473"/>
    <w:rsid w:val="00C6781E"/>
    <w:rsid w:val="00C67AA4"/>
    <w:rsid w:val="00C7148C"/>
    <w:rsid w:val="00C72192"/>
    <w:rsid w:val="00C732E5"/>
    <w:rsid w:val="00C7366C"/>
    <w:rsid w:val="00C73D0B"/>
    <w:rsid w:val="00C74239"/>
    <w:rsid w:val="00C75017"/>
    <w:rsid w:val="00C765B4"/>
    <w:rsid w:val="00C813EA"/>
    <w:rsid w:val="00C81496"/>
    <w:rsid w:val="00C82CE6"/>
    <w:rsid w:val="00C82E22"/>
    <w:rsid w:val="00C85144"/>
    <w:rsid w:val="00C86738"/>
    <w:rsid w:val="00C86A27"/>
    <w:rsid w:val="00C875BD"/>
    <w:rsid w:val="00C91517"/>
    <w:rsid w:val="00C929BD"/>
    <w:rsid w:val="00C931A2"/>
    <w:rsid w:val="00CA02E1"/>
    <w:rsid w:val="00CA15DA"/>
    <w:rsid w:val="00CA16EB"/>
    <w:rsid w:val="00CA224E"/>
    <w:rsid w:val="00CA41C5"/>
    <w:rsid w:val="00CA42B7"/>
    <w:rsid w:val="00CA4A53"/>
    <w:rsid w:val="00CA51F5"/>
    <w:rsid w:val="00CB012F"/>
    <w:rsid w:val="00CB0A03"/>
    <w:rsid w:val="00CB218A"/>
    <w:rsid w:val="00CB225A"/>
    <w:rsid w:val="00CB69E6"/>
    <w:rsid w:val="00CB761B"/>
    <w:rsid w:val="00CB7E33"/>
    <w:rsid w:val="00CC13DF"/>
    <w:rsid w:val="00CC1EEE"/>
    <w:rsid w:val="00CC562B"/>
    <w:rsid w:val="00CC610C"/>
    <w:rsid w:val="00CC65E9"/>
    <w:rsid w:val="00CC6C15"/>
    <w:rsid w:val="00CC7FCF"/>
    <w:rsid w:val="00CD2749"/>
    <w:rsid w:val="00CD2A60"/>
    <w:rsid w:val="00CD306F"/>
    <w:rsid w:val="00CD3971"/>
    <w:rsid w:val="00CD3DAB"/>
    <w:rsid w:val="00CD518A"/>
    <w:rsid w:val="00CE0DF1"/>
    <w:rsid w:val="00CE3786"/>
    <w:rsid w:val="00CE4027"/>
    <w:rsid w:val="00CE47CC"/>
    <w:rsid w:val="00CE6652"/>
    <w:rsid w:val="00CE68F6"/>
    <w:rsid w:val="00CE7E27"/>
    <w:rsid w:val="00CF1581"/>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17F63"/>
    <w:rsid w:val="00D203D1"/>
    <w:rsid w:val="00D20482"/>
    <w:rsid w:val="00D2057A"/>
    <w:rsid w:val="00D208D8"/>
    <w:rsid w:val="00D21D98"/>
    <w:rsid w:val="00D2317F"/>
    <w:rsid w:val="00D231A9"/>
    <w:rsid w:val="00D24391"/>
    <w:rsid w:val="00D2472B"/>
    <w:rsid w:val="00D253DD"/>
    <w:rsid w:val="00D26B7D"/>
    <w:rsid w:val="00D26FFA"/>
    <w:rsid w:val="00D3215D"/>
    <w:rsid w:val="00D33352"/>
    <w:rsid w:val="00D347D9"/>
    <w:rsid w:val="00D35565"/>
    <w:rsid w:val="00D36954"/>
    <w:rsid w:val="00D36A19"/>
    <w:rsid w:val="00D40DCF"/>
    <w:rsid w:val="00D41075"/>
    <w:rsid w:val="00D41C76"/>
    <w:rsid w:val="00D41DD8"/>
    <w:rsid w:val="00D4222C"/>
    <w:rsid w:val="00D423E7"/>
    <w:rsid w:val="00D425CE"/>
    <w:rsid w:val="00D42F40"/>
    <w:rsid w:val="00D4396C"/>
    <w:rsid w:val="00D4446F"/>
    <w:rsid w:val="00D445EA"/>
    <w:rsid w:val="00D44B55"/>
    <w:rsid w:val="00D4528E"/>
    <w:rsid w:val="00D45490"/>
    <w:rsid w:val="00D457B8"/>
    <w:rsid w:val="00D457E1"/>
    <w:rsid w:val="00D47BEB"/>
    <w:rsid w:val="00D50487"/>
    <w:rsid w:val="00D50563"/>
    <w:rsid w:val="00D50F50"/>
    <w:rsid w:val="00D521A8"/>
    <w:rsid w:val="00D5235F"/>
    <w:rsid w:val="00D52F50"/>
    <w:rsid w:val="00D55A98"/>
    <w:rsid w:val="00D56B49"/>
    <w:rsid w:val="00D6053F"/>
    <w:rsid w:val="00D6073D"/>
    <w:rsid w:val="00D618D6"/>
    <w:rsid w:val="00D62426"/>
    <w:rsid w:val="00D62804"/>
    <w:rsid w:val="00D67201"/>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960"/>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4642"/>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0FFA"/>
    <w:rsid w:val="00E2107C"/>
    <w:rsid w:val="00E21E70"/>
    <w:rsid w:val="00E224DE"/>
    <w:rsid w:val="00E23DCE"/>
    <w:rsid w:val="00E26363"/>
    <w:rsid w:val="00E272A4"/>
    <w:rsid w:val="00E305F9"/>
    <w:rsid w:val="00E306AC"/>
    <w:rsid w:val="00E34446"/>
    <w:rsid w:val="00E3633B"/>
    <w:rsid w:val="00E36870"/>
    <w:rsid w:val="00E374E1"/>
    <w:rsid w:val="00E377B8"/>
    <w:rsid w:val="00E417AB"/>
    <w:rsid w:val="00E43D48"/>
    <w:rsid w:val="00E4542D"/>
    <w:rsid w:val="00E45BE0"/>
    <w:rsid w:val="00E46CAD"/>
    <w:rsid w:val="00E47521"/>
    <w:rsid w:val="00E4760C"/>
    <w:rsid w:val="00E507A6"/>
    <w:rsid w:val="00E5375C"/>
    <w:rsid w:val="00E561AD"/>
    <w:rsid w:val="00E57FAF"/>
    <w:rsid w:val="00E60BA9"/>
    <w:rsid w:val="00E62377"/>
    <w:rsid w:val="00E63510"/>
    <w:rsid w:val="00E635EA"/>
    <w:rsid w:val="00E655E5"/>
    <w:rsid w:val="00E65F4E"/>
    <w:rsid w:val="00E662E0"/>
    <w:rsid w:val="00E67D5D"/>
    <w:rsid w:val="00E71BE9"/>
    <w:rsid w:val="00E71C7A"/>
    <w:rsid w:val="00E73119"/>
    <w:rsid w:val="00E73E1E"/>
    <w:rsid w:val="00E767FF"/>
    <w:rsid w:val="00E8369B"/>
    <w:rsid w:val="00E84C91"/>
    <w:rsid w:val="00E84E60"/>
    <w:rsid w:val="00E8556E"/>
    <w:rsid w:val="00E860A1"/>
    <w:rsid w:val="00E86B2D"/>
    <w:rsid w:val="00E86F4D"/>
    <w:rsid w:val="00E87D08"/>
    <w:rsid w:val="00E90842"/>
    <w:rsid w:val="00E90D0E"/>
    <w:rsid w:val="00E91B2D"/>
    <w:rsid w:val="00E92FCA"/>
    <w:rsid w:val="00E9559B"/>
    <w:rsid w:val="00E95CAA"/>
    <w:rsid w:val="00EA0A39"/>
    <w:rsid w:val="00EA0EB2"/>
    <w:rsid w:val="00EA22AB"/>
    <w:rsid w:val="00EA236F"/>
    <w:rsid w:val="00EA3023"/>
    <w:rsid w:val="00EA3E49"/>
    <w:rsid w:val="00EA3FC8"/>
    <w:rsid w:val="00EA5B8C"/>
    <w:rsid w:val="00EA6634"/>
    <w:rsid w:val="00EB0DC9"/>
    <w:rsid w:val="00EB1383"/>
    <w:rsid w:val="00EB13B5"/>
    <w:rsid w:val="00EB252D"/>
    <w:rsid w:val="00EB29FA"/>
    <w:rsid w:val="00EB2CCE"/>
    <w:rsid w:val="00EB385F"/>
    <w:rsid w:val="00EB3E49"/>
    <w:rsid w:val="00EB5FC3"/>
    <w:rsid w:val="00EB6A77"/>
    <w:rsid w:val="00EB6DA9"/>
    <w:rsid w:val="00EC1561"/>
    <w:rsid w:val="00EC462E"/>
    <w:rsid w:val="00EC6CD8"/>
    <w:rsid w:val="00EC786F"/>
    <w:rsid w:val="00ED1866"/>
    <w:rsid w:val="00ED1FE1"/>
    <w:rsid w:val="00ED3134"/>
    <w:rsid w:val="00ED38E2"/>
    <w:rsid w:val="00ED5816"/>
    <w:rsid w:val="00ED5C44"/>
    <w:rsid w:val="00ED635B"/>
    <w:rsid w:val="00EE0BAC"/>
    <w:rsid w:val="00EE55FB"/>
    <w:rsid w:val="00EE742D"/>
    <w:rsid w:val="00EF0309"/>
    <w:rsid w:val="00EF0A22"/>
    <w:rsid w:val="00EF1267"/>
    <w:rsid w:val="00EF180C"/>
    <w:rsid w:val="00EF3B6B"/>
    <w:rsid w:val="00EF4B43"/>
    <w:rsid w:val="00EF6750"/>
    <w:rsid w:val="00EF770B"/>
    <w:rsid w:val="00F02836"/>
    <w:rsid w:val="00F02FB5"/>
    <w:rsid w:val="00F0534E"/>
    <w:rsid w:val="00F05403"/>
    <w:rsid w:val="00F05C30"/>
    <w:rsid w:val="00F0725B"/>
    <w:rsid w:val="00F10F1B"/>
    <w:rsid w:val="00F14179"/>
    <w:rsid w:val="00F14771"/>
    <w:rsid w:val="00F15786"/>
    <w:rsid w:val="00F158E9"/>
    <w:rsid w:val="00F167C5"/>
    <w:rsid w:val="00F20B5A"/>
    <w:rsid w:val="00F21F0B"/>
    <w:rsid w:val="00F236AB"/>
    <w:rsid w:val="00F24EA4"/>
    <w:rsid w:val="00F27087"/>
    <w:rsid w:val="00F2713C"/>
    <w:rsid w:val="00F2773C"/>
    <w:rsid w:val="00F300B3"/>
    <w:rsid w:val="00F30DB9"/>
    <w:rsid w:val="00F30FB8"/>
    <w:rsid w:val="00F31A50"/>
    <w:rsid w:val="00F31D68"/>
    <w:rsid w:val="00F32CE3"/>
    <w:rsid w:val="00F33152"/>
    <w:rsid w:val="00F338F2"/>
    <w:rsid w:val="00F349D3"/>
    <w:rsid w:val="00F34B03"/>
    <w:rsid w:val="00F35317"/>
    <w:rsid w:val="00F3533E"/>
    <w:rsid w:val="00F35B84"/>
    <w:rsid w:val="00F402B5"/>
    <w:rsid w:val="00F4072F"/>
    <w:rsid w:val="00F42839"/>
    <w:rsid w:val="00F44CC0"/>
    <w:rsid w:val="00F450BA"/>
    <w:rsid w:val="00F4684B"/>
    <w:rsid w:val="00F46BE9"/>
    <w:rsid w:val="00F47C3B"/>
    <w:rsid w:val="00F506CA"/>
    <w:rsid w:val="00F511BE"/>
    <w:rsid w:val="00F53A7A"/>
    <w:rsid w:val="00F54FCD"/>
    <w:rsid w:val="00F5785C"/>
    <w:rsid w:val="00F60414"/>
    <w:rsid w:val="00F64ACC"/>
    <w:rsid w:val="00F65B05"/>
    <w:rsid w:val="00F65E3C"/>
    <w:rsid w:val="00F67076"/>
    <w:rsid w:val="00F677FA"/>
    <w:rsid w:val="00F7115A"/>
    <w:rsid w:val="00F717AA"/>
    <w:rsid w:val="00F72714"/>
    <w:rsid w:val="00F744C3"/>
    <w:rsid w:val="00F75EE2"/>
    <w:rsid w:val="00F75F69"/>
    <w:rsid w:val="00F76014"/>
    <w:rsid w:val="00F802D3"/>
    <w:rsid w:val="00F80C4C"/>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7EC"/>
    <w:rsid w:val="00FB6E18"/>
    <w:rsid w:val="00FC144B"/>
    <w:rsid w:val="00FC2169"/>
    <w:rsid w:val="00FC28E2"/>
    <w:rsid w:val="00FC3BF6"/>
    <w:rsid w:val="00FC3D22"/>
    <w:rsid w:val="00FC6683"/>
    <w:rsid w:val="00FC6FE1"/>
    <w:rsid w:val="00FD0C3D"/>
    <w:rsid w:val="00FD1C3F"/>
    <w:rsid w:val="00FD2F6B"/>
    <w:rsid w:val="00FE064A"/>
    <w:rsid w:val="00FE0B55"/>
    <w:rsid w:val="00FE1E98"/>
    <w:rsid w:val="00FE2452"/>
    <w:rsid w:val="00FE3FFC"/>
    <w:rsid w:val="00FE5469"/>
    <w:rsid w:val="00FE66C2"/>
    <w:rsid w:val="00FE684A"/>
    <w:rsid w:val="00FE6F23"/>
    <w:rsid w:val="00FF0F8C"/>
    <w:rsid w:val="00FF1A52"/>
    <w:rsid w:val="00FF1C7A"/>
    <w:rsid w:val="00FF408B"/>
    <w:rsid w:val="00FF43E1"/>
    <w:rsid w:val="00FF5884"/>
    <w:rsid w:val="00FF74DB"/>
    <w:rsid w:val="03430854"/>
    <w:rsid w:val="039F5FA6"/>
    <w:rsid w:val="048C6C6F"/>
    <w:rsid w:val="09305ADA"/>
    <w:rsid w:val="0A3E36F7"/>
    <w:rsid w:val="0BC1638D"/>
    <w:rsid w:val="0E8013B7"/>
    <w:rsid w:val="10D604C6"/>
    <w:rsid w:val="111451B1"/>
    <w:rsid w:val="11B515E0"/>
    <w:rsid w:val="13786DA4"/>
    <w:rsid w:val="13A53267"/>
    <w:rsid w:val="13F970D2"/>
    <w:rsid w:val="142C10B4"/>
    <w:rsid w:val="14AA4136"/>
    <w:rsid w:val="163A420B"/>
    <w:rsid w:val="1852259B"/>
    <w:rsid w:val="19413B26"/>
    <w:rsid w:val="198364D0"/>
    <w:rsid w:val="1C6D3688"/>
    <w:rsid w:val="1CC63D0A"/>
    <w:rsid w:val="1DC2081A"/>
    <w:rsid w:val="1DD94266"/>
    <w:rsid w:val="1E3406A1"/>
    <w:rsid w:val="1F9D0947"/>
    <w:rsid w:val="1FFB29C6"/>
    <w:rsid w:val="1FFC578E"/>
    <w:rsid w:val="22AF3620"/>
    <w:rsid w:val="22E70AD4"/>
    <w:rsid w:val="24F1508D"/>
    <w:rsid w:val="266F634F"/>
    <w:rsid w:val="291059EA"/>
    <w:rsid w:val="2BBF12EC"/>
    <w:rsid w:val="2BC649D9"/>
    <w:rsid w:val="2BFC00A8"/>
    <w:rsid w:val="2CDA76DE"/>
    <w:rsid w:val="2D6A01DB"/>
    <w:rsid w:val="2DCA08F8"/>
    <w:rsid w:val="2F8D527A"/>
    <w:rsid w:val="32340DB8"/>
    <w:rsid w:val="3515160D"/>
    <w:rsid w:val="3C7D00D8"/>
    <w:rsid w:val="3CA06C0C"/>
    <w:rsid w:val="3EA25851"/>
    <w:rsid w:val="3F6C3757"/>
    <w:rsid w:val="405D6A10"/>
    <w:rsid w:val="41DA6594"/>
    <w:rsid w:val="4313401A"/>
    <w:rsid w:val="444C1A75"/>
    <w:rsid w:val="44A3526F"/>
    <w:rsid w:val="44B032F4"/>
    <w:rsid w:val="457D25F7"/>
    <w:rsid w:val="45996A3C"/>
    <w:rsid w:val="468341CD"/>
    <w:rsid w:val="472C2589"/>
    <w:rsid w:val="494871CB"/>
    <w:rsid w:val="4A293E34"/>
    <w:rsid w:val="4A760AEB"/>
    <w:rsid w:val="4BFF0E37"/>
    <w:rsid w:val="4F3162CA"/>
    <w:rsid w:val="50D95873"/>
    <w:rsid w:val="526102AF"/>
    <w:rsid w:val="528444DA"/>
    <w:rsid w:val="537745D5"/>
    <w:rsid w:val="552306F6"/>
    <w:rsid w:val="56E352D5"/>
    <w:rsid w:val="576AFF84"/>
    <w:rsid w:val="57E435FE"/>
    <w:rsid w:val="582D0655"/>
    <w:rsid w:val="5951205C"/>
    <w:rsid w:val="59D079E8"/>
    <w:rsid w:val="59D40847"/>
    <w:rsid w:val="5A533E5D"/>
    <w:rsid w:val="5AE37F25"/>
    <w:rsid w:val="5CB23D47"/>
    <w:rsid w:val="5FAF09C4"/>
    <w:rsid w:val="606B5736"/>
    <w:rsid w:val="608C4642"/>
    <w:rsid w:val="62795572"/>
    <w:rsid w:val="64DD6417"/>
    <w:rsid w:val="65D774B5"/>
    <w:rsid w:val="66004745"/>
    <w:rsid w:val="662A1835"/>
    <w:rsid w:val="67CA3DCA"/>
    <w:rsid w:val="68757459"/>
    <w:rsid w:val="6A567F20"/>
    <w:rsid w:val="6CD97953"/>
    <w:rsid w:val="6DBD6A19"/>
    <w:rsid w:val="6ED30FD7"/>
    <w:rsid w:val="727D78FD"/>
    <w:rsid w:val="73CC655F"/>
    <w:rsid w:val="75957445"/>
    <w:rsid w:val="75D01AE1"/>
    <w:rsid w:val="762E864A"/>
    <w:rsid w:val="764078B1"/>
    <w:rsid w:val="77043E82"/>
    <w:rsid w:val="77524363"/>
    <w:rsid w:val="77B917B5"/>
    <w:rsid w:val="78703975"/>
    <w:rsid w:val="7BE420FD"/>
    <w:rsid w:val="7D0D296B"/>
    <w:rsid w:val="7D4E0B54"/>
    <w:rsid w:val="7D503E78"/>
    <w:rsid w:val="7D5AF5BF"/>
    <w:rsid w:val="7DFD5ACF"/>
    <w:rsid w:val="7E0160D4"/>
    <w:rsid w:val="7E3B571D"/>
    <w:rsid w:val="7F5B2A44"/>
    <w:rsid w:val="7FE7D299"/>
    <w:rsid w:val="7FEE6D03"/>
    <w:rsid w:val="BFFFF6A8"/>
    <w:rsid w:val="DEEE0FA2"/>
    <w:rsid w:val="F77F989B"/>
    <w:rsid w:val="FF71A83A"/>
    <w:rsid w:val="FFEF32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99"/>
    <w:pPr>
      <w:keepNext/>
      <w:keepLines/>
      <w:numPr>
        <w:ilvl w:val="0"/>
        <w:numId w:val="1"/>
      </w:numPr>
      <w:spacing w:before="120" w:after="120"/>
      <w:ind w:left="1685" w:firstLine="0" w:firstLineChars="0"/>
      <w:outlineLvl w:val="0"/>
    </w:pPr>
    <w:rPr>
      <w:rFonts w:eastAsia="黑体"/>
      <w:b/>
      <w:bCs/>
      <w:kern w:val="44"/>
      <w:sz w:val="32"/>
      <w:szCs w:val="28"/>
    </w:rPr>
  </w:style>
  <w:style w:type="paragraph" w:styleId="3">
    <w:name w:val="heading 2"/>
    <w:basedOn w:val="1"/>
    <w:next w:val="1"/>
    <w:link w:val="88"/>
    <w:qFormat/>
    <w:uiPriority w:val="0"/>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9"/>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0"/>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可研正文"/>
    <w:basedOn w:val="1"/>
    <w:link w:val="135"/>
    <w:qFormat/>
    <w:uiPriority w:val="0"/>
    <w:pPr>
      <w:ind w:firstLine="200"/>
    </w:pPr>
    <w:rPr>
      <w:rFonts w:ascii="仿宋" w:hAnsi="仿宋" w:eastAsia="仿宋" w:cstheme="minorBidi"/>
      <w:sz w:val="28"/>
      <w:szCs w:val="28"/>
    </w:rPr>
  </w:style>
  <w:style w:type="character" w:customStyle="1" w:styleId="135">
    <w:name w:val="可研正文 Char"/>
    <w:link w:val="134"/>
    <w:qFormat/>
    <w:uiPriority w:val="0"/>
    <w:rPr>
      <w:rFonts w:ascii="仿宋" w:hAnsi="仿宋" w:eastAsia="仿宋" w:cstheme="minorBidi"/>
      <w:kern w:val="2"/>
      <w:sz w:val="28"/>
      <w:szCs w:val="28"/>
    </w:rPr>
  </w:style>
  <w:style w:type="table" w:customStyle="1" w:styleId="136">
    <w:name w:val="网格型2"/>
    <w:basedOn w:val="35"/>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7">
    <w:name w:val="修订2"/>
    <w:hidden/>
    <w:semiHidden/>
    <w:qFormat/>
    <w:uiPriority w:val="99"/>
    <w:rPr>
      <w:rFonts w:ascii="宋体" w:hAnsi="宋体" w:eastAsia="宋体" w:cs="Times New Roman"/>
      <w:kern w:val="2"/>
      <w:sz w:val="24"/>
      <w:szCs w:val="24"/>
      <w:lang w:val="en-US" w:eastAsia="zh-CN" w:bidi="ar-SA"/>
    </w:rPr>
  </w:style>
  <w:style w:type="paragraph" w:customStyle="1" w:styleId="138">
    <w:name w:val="font5"/>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139">
    <w:name w:val="xl63"/>
    <w:basedOn w:val="1"/>
    <w:qFormat/>
    <w:uiPriority w:val="0"/>
    <w:pPr>
      <w:widowControl/>
      <w:shd w:val="clear" w:color="000000" w:fill="FFFFFF"/>
      <w:spacing w:before="100" w:beforeAutospacing="1" w:after="100" w:afterAutospacing="1" w:line="240" w:lineRule="auto"/>
      <w:ind w:firstLine="0" w:firstLineChars="0"/>
      <w:jc w:val="left"/>
    </w:pPr>
    <w:rPr>
      <w:rFonts w:cs="宋体"/>
      <w:kern w:val="0"/>
    </w:rPr>
  </w:style>
  <w:style w:type="paragraph" w:customStyle="1" w:styleId="140">
    <w:name w:val="xl64"/>
    <w:basedOn w:val="1"/>
    <w:qFormat/>
    <w:uiPriority w:val="0"/>
    <w:pPr>
      <w:widowControl/>
      <w:shd w:val="clear" w:color="000000" w:fill="FFFFFF"/>
      <w:spacing w:before="100" w:beforeAutospacing="1" w:after="100" w:afterAutospacing="1" w:line="240" w:lineRule="auto"/>
      <w:ind w:firstLine="0" w:firstLineChars="0"/>
      <w:jc w:val="left"/>
    </w:pPr>
    <w:rPr>
      <w:rFonts w:cs="宋体"/>
      <w:kern w:val="0"/>
    </w:rPr>
  </w:style>
  <w:style w:type="paragraph" w:customStyle="1" w:styleId="141">
    <w:name w:val="修订3"/>
    <w:hidden/>
    <w:unhideWhenUsed/>
    <w:qFormat/>
    <w:uiPriority w:val="99"/>
    <w:rPr>
      <w:rFonts w:ascii="宋体" w:hAnsi="宋体" w:eastAsia="宋体" w:cs="Times New Roman"/>
      <w:kern w:val="2"/>
      <w:sz w:val="24"/>
      <w:szCs w:val="24"/>
      <w:lang w:val="en-US" w:eastAsia="zh-CN" w:bidi="ar-SA"/>
    </w:rPr>
  </w:style>
  <w:style w:type="paragraph" w:customStyle="1" w:styleId="142">
    <w:name w:val="修订4"/>
    <w:hidden/>
    <w:unhideWhenUsed/>
    <w:qFormat/>
    <w:uiPriority w:val="99"/>
    <w:rPr>
      <w:rFonts w:ascii="宋体" w:hAnsi="宋体" w:eastAsia="宋体" w:cs="Times New Roman"/>
      <w:kern w:val="2"/>
      <w:sz w:val="24"/>
      <w:szCs w:val="24"/>
      <w:lang w:val="en-US" w:eastAsia="zh-CN" w:bidi="ar-SA"/>
    </w:rPr>
  </w:style>
  <w:style w:type="paragraph" w:customStyle="1" w:styleId="143">
    <w:name w:val="修订5"/>
    <w:hidden/>
    <w:unhideWhenUsed/>
    <w:qFormat/>
    <w:uiPriority w:val="99"/>
    <w:rPr>
      <w:rFonts w:ascii="宋体" w:hAnsi="宋体" w:eastAsia="宋体" w:cs="Times New Roman"/>
      <w:kern w:val="2"/>
      <w:sz w:val="24"/>
      <w:szCs w:val="24"/>
      <w:lang w:val="en-US" w:eastAsia="zh-CN" w:bidi="ar-SA"/>
    </w:rPr>
  </w:style>
  <w:style w:type="paragraph" w:customStyle="1" w:styleId="144">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Template>
  <Pages>36</Pages>
  <Words>16395</Words>
  <Characters>16724</Characters>
  <Lines>1858</Lines>
  <Paragraphs>1273</Paragraphs>
  <TotalTime>65</TotalTime>
  <ScaleCrop>false</ScaleCrop>
  <LinksUpToDate>false</LinksUpToDate>
  <CharactersWithSpaces>31846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2026-01-14T15:54:00Z</dcterms:created>
  <dc:creator>gtig_tzb</dc:creator>
  <cp:lastModifiedBy>高际航</cp:lastModifiedBy>
  <cp:lastPrinted>2020-08-07T20:08:00Z</cp:lastPrinted>
  <dcterms:modified xsi:type="dcterms:W3CDTF">2026-03-13T10:36:05Z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KSOTemplateDocerSaveRecord">
    <vt:lpwstr>eyJoZGlkIjoiN2VlYWU0NDhiZjNiNTk1YmE4NThiMjc2MmI4N2Y3MjgiLCJ1c2VySWQiOiI3NDc5MjU2NDQifQ==</vt:lpwstr>
  </property>
  <property fmtid="{D5CDD505-2E9C-101B-9397-08002B2CF9AE}" pid="4" name="ICV">
    <vt:lpwstr>B5463C6F3525F012996EB269B18F34EE_43</vt:lpwstr>
  </property>
</Properties>
</file>