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b/>
          <w:bCs/>
          <w:sz w:val="32"/>
          <w:szCs w:val="32"/>
        </w:rPr>
      </w:pPr>
      <w:r>
        <w:rPr>
          <w:rFonts w:hint="eastAsia" w:ascii="宋体" w:hAnsi="宋体"/>
          <w:b/>
          <w:bCs/>
          <w:sz w:val="32"/>
          <w:szCs w:val="32"/>
        </w:rPr>
        <w:t>上海国家会计学院餐饮服务项目</w:t>
      </w:r>
    </w:p>
    <w:p>
      <w:pPr>
        <w:spacing w:line="360" w:lineRule="auto"/>
        <w:jc w:val="center"/>
        <w:rPr>
          <w:rFonts w:ascii="宋体" w:hAnsi="宋体"/>
          <w:b/>
          <w:bCs/>
          <w:sz w:val="32"/>
          <w:szCs w:val="32"/>
        </w:rPr>
      </w:pPr>
      <w:r>
        <w:rPr>
          <w:rFonts w:hint="eastAsia" w:ascii="宋体" w:hAnsi="宋体"/>
          <w:b/>
          <w:bCs/>
          <w:sz w:val="32"/>
          <w:szCs w:val="32"/>
        </w:rPr>
        <w:t>采购需求</w:t>
      </w:r>
    </w:p>
    <w:p>
      <w:pPr>
        <w:pStyle w:val="5"/>
        <w:spacing w:line="360" w:lineRule="auto"/>
        <w:ind w:firstLine="413" w:firstLineChars="196"/>
        <w:jc w:val="left"/>
        <w:rPr>
          <w:rFonts w:hAnsi="宋体"/>
          <w:b/>
          <w:szCs w:val="21"/>
        </w:rPr>
      </w:pPr>
      <w:r>
        <w:rPr>
          <w:rFonts w:hint="eastAsia" w:hAnsi="宋体"/>
          <w:b/>
          <w:szCs w:val="21"/>
        </w:rPr>
        <w:t>一、项目基本情况：</w:t>
      </w:r>
    </w:p>
    <w:p>
      <w:pPr>
        <w:spacing w:line="360" w:lineRule="auto"/>
        <w:ind w:firstLine="420" w:firstLineChars="200"/>
        <w:rPr>
          <w:rFonts w:hAnsi="宋体"/>
          <w:b/>
          <w:szCs w:val="21"/>
        </w:rPr>
      </w:pPr>
      <w:r>
        <w:rPr>
          <w:rFonts w:hint="eastAsia" w:ascii="宋体" w:hAnsi="宋体"/>
          <w:szCs w:val="21"/>
        </w:rPr>
        <w:t>上海国家会计学院是在朱镕基同志的亲自倡导和大力推动下，于</w:t>
      </w:r>
      <w:r>
        <w:rPr>
          <w:rFonts w:ascii="宋体" w:hAnsi="宋体"/>
          <w:szCs w:val="21"/>
        </w:rPr>
        <w:t>2000年9月正式组建。学院是财政部直属事业单位，由财政部和上海市人民政府双重领导，实行党委领导下的院长负责制。学院还是中国政府倡导设立的亚太财经与发展学院（AFDI）所在地，该学院是中国政府在APEC框架下倡导建立的第一个旨在促进区域能力建设的机构。</w:t>
      </w:r>
    </w:p>
    <w:p>
      <w:pPr>
        <w:pStyle w:val="5"/>
        <w:spacing w:line="360" w:lineRule="auto"/>
        <w:ind w:firstLine="426"/>
        <w:jc w:val="left"/>
        <w:rPr>
          <w:rFonts w:hAnsi="宋体"/>
          <w:szCs w:val="21"/>
        </w:rPr>
      </w:pPr>
      <w:r>
        <w:rPr>
          <w:rFonts w:hint="eastAsia" w:hAnsi="宋体"/>
          <w:szCs w:val="21"/>
        </w:rPr>
        <w:t>餐饮服务地点：一号餐厅、二号餐厅、三号餐厅。</w:t>
      </w:r>
    </w:p>
    <w:p>
      <w:pPr>
        <w:pStyle w:val="5"/>
        <w:spacing w:line="360" w:lineRule="auto"/>
        <w:ind w:firstLine="426"/>
        <w:jc w:val="left"/>
        <w:rPr>
          <w:rFonts w:hAnsi="宋体"/>
          <w:szCs w:val="21"/>
        </w:rPr>
      </w:pPr>
      <w:r>
        <w:rPr>
          <w:rFonts w:hint="eastAsia" w:hAnsi="宋体"/>
          <w:szCs w:val="21"/>
        </w:rPr>
        <w:t>坐落位置：上海青浦区蟠龙路</w:t>
      </w:r>
      <w:r>
        <w:rPr>
          <w:rFonts w:hAnsi="宋体"/>
          <w:szCs w:val="21"/>
        </w:rPr>
        <w:t>200号（上海国家会计学院内）。</w:t>
      </w:r>
    </w:p>
    <w:p>
      <w:pPr>
        <w:pStyle w:val="5"/>
        <w:spacing w:line="360" w:lineRule="auto"/>
        <w:ind w:firstLine="426"/>
        <w:jc w:val="left"/>
        <w:rPr>
          <w:rFonts w:hAnsi="宋体"/>
          <w:szCs w:val="21"/>
        </w:rPr>
      </w:pPr>
      <w:r>
        <w:rPr>
          <w:rFonts w:hint="eastAsia" w:hAnsi="宋体"/>
          <w:szCs w:val="21"/>
        </w:rPr>
        <w:t>一号餐厅建筑面积：</w:t>
      </w:r>
      <w:r>
        <w:rPr>
          <w:rFonts w:hAnsi="宋体"/>
          <w:szCs w:val="21"/>
        </w:rPr>
        <w:t xml:space="preserve">550 </w:t>
      </w:r>
      <w:r>
        <w:rPr>
          <w:rFonts w:hint="eastAsia" w:hAnsi="宋体"/>
          <w:szCs w:val="21"/>
        </w:rPr>
        <w:t>㎡，共有二个楼层。一楼面积</w:t>
      </w:r>
      <w:r>
        <w:rPr>
          <w:rFonts w:hAnsi="宋体"/>
          <w:szCs w:val="21"/>
        </w:rPr>
        <w:t>445㎡：用餐面积302㎡，厨房面积143㎡，无冷库；二楼面积 105㎡：用餐面积93㎡。</w:t>
      </w:r>
      <w:r>
        <w:rPr>
          <w:rFonts w:hint="eastAsia"/>
          <w:szCs w:val="21"/>
        </w:rPr>
        <w:t>二号餐厅建筑面积：1897㎡，底楼面积1340m²，二楼面积557m²，厨房面积157㎡，冷库面积：28㎡（冷冻、冷藏各一间）。</w:t>
      </w:r>
      <w:r>
        <w:rPr>
          <w:rFonts w:hint="eastAsia" w:hAnsi="宋体"/>
          <w:szCs w:val="21"/>
        </w:rPr>
        <w:t>三号餐厅建筑面积：</w:t>
      </w:r>
      <w:r>
        <w:rPr>
          <w:rFonts w:hAnsi="宋体"/>
          <w:szCs w:val="21"/>
        </w:rPr>
        <w:t>3009.40㎡，一层建筑面积1766.7m²,用餐面积866㎡，冷库面积25㎡；二层建筑面积1030.9m²，用餐面积478m²。厨房面积符合餐饮规范配比规定。餐厅内水、电、煤气设备，办公室、卫生间齐全，中央空调可全年使用，保障环境温度。</w:t>
      </w:r>
    </w:p>
    <w:p>
      <w:pPr>
        <w:spacing w:line="300" w:lineRule="auto"/>
        <w:ind w:firstLine="422" w:firstLineChars="200"/>
        <w:rPr>
          <w:rFonts w:asciiTheme="majorEastAsia" w:hAnsiTheme="majorEastAsia" w:eastAsiaTheme="majorEastAsia"/>
          <w:b/>
          <w:bCs/>
          <w:szCs w:val="21"/>
        </w:rPr>
      </w:pPr>
      <w:r>
        <w:rPr>
          <w:rFonts w:hint="eastAsia" w:asciiTheme="majorEastAsia" w:hAnsiTheme="majorEastAsia" w:eastAsiaTheme="majorEastAsia"/>
          <w:b/>
          <w:bCs/>
          <w:szCs w:val="21"/>
        </w:rPr>
        <w:t>厨房设备情况</w:t>
      </w:r>
    </w:p>
    <w:p>
      <w:pPr>
        <w:spacing w:line="300" w:lineRule="auto"/>
        <w:ind w:firstLine="422" w:firstLineChars="200"/>
        <w:rPr>
          <w:rFonts w:asciiTheme="majorEastAsia" w:hAnsiTheme="majorEastAsia" w:eastAsiaTheme="majorEastAsia"/>
          <w:b/>
          <w:bCs/>
          <w:szCs w:val="21"/>
        </w:rPr>
      </w:pPr>
      <w:r>
        <w:rPr>
          <w:rFonts w:hint="eastAsia" w:asciiTheme="majorEastAsia" w:hAnsiTheme="majorEastAsia" w:eastAsiaTheme="majorEastAsia"/>
          <w:b/>
          <w:bCs/>
          <w:szCs w:val="21"/>
        </w:rPr>
        <w:t>第一餐厅</w:t>
      </w:r>
    </w:p>
    <w:tbl>
      <w:tblPr>
        <w:tblStyle w:val="11"/>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0"/>
        <w:gridCol w:w="3969"/>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shd w:val="clear" w:color="auto" w:fill="FDE9D9" w:themeFill="accent6" w:themeFillTint="33"/>
          </w:tcPr>
          <w:p>
            <w:pPr>
              <w:spacing w:line="300" w:lineRule="auto"/>
              <w:jc w:val="center"/>
              <w:rPr>
                <w:rFonts w:ascii="宋体" w:hAnsi="宋体"/>
                <w:b/>
                <w:bCs/>
                <w:szCs w:val="22"/>
              </w:rPr>
            </w:pPr>
            <w:r>
              <w:rPr>
                <w:rFonts w:hint="eastAsia" w:ascii="宋体" w:hAnsi="宋体"/>
                <w:b/>
                <w:bCs/>
                <w:szCs w:val="22"/>
              </w:rPr>
              <w:t>序号</w:t>
            </w:r>
          </w:p>
        </w:tc>
        <w:tc>
          <w:tcPr>
            <w:tcW w:w="3969" w:type="dxa"/>
            <w:shd w:val="clear" w:color="auto" w:fill="FDE9D9" w:themeFill="accent6" w:themeFillTint="33"/>
          </w:tcPr>
          <w:p>
            <w:pPr>
              <w:spacing w:line="300" w:lineRule="auto"/>
              <w:rPr>
                <w:rFonts w:ascii="宋体" w:hAnsi="宋体"/>
                <w:b/>
                <w:bCs/>
                <w:szCs w:val="21"/>
              </w:rPr>
            </w:pPr>
            <w:r>
              <w:rPr>
                <w:rFonts w:hint="eastAsia" w:ascii="宋体" w:hAnsi="宋体"/>
                <w:b/>
                <w:bCs/>
                <w:szCs w:val="22"/>
              </w:rPr>
              <w:t>厨房设备</w:t>
            </w:r>
          </w:p>
        </w:tc>
        <w:tc>
          <w:tcPr>
            <w:tcW w:w="1134" w:type="dxa"/>
            <w:shd w:val="clear" w:color="auto" w:fill="FDE9D9" w:themeFill="accent6" w:themeFillTint="33"/>
          </w:tcPr>
          <w:p>
            <w:pPr>
              <w:spacing w:line="300" w:lineRule="auto"/>
              <w:jc w:val="center"/>
              <w:rPr>
                <w:rFonts w:ascii="宋体" w:hAnsi="宋体"/>
                <w:b/>
                <w:bCs/>
                <w:szCs w:val="21"/>
              </w:rPr>
            </w:pPr>
            <w:r>
              <w:rPr>
                <w:rFonts w:hint="eastAsia" w:ascii="宋体" w:hAnsi="宋体"/>
                <w:b/>
                <w:bCs/>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1</w:t>
            </w:r>
          </w:p>
        </w:tc>
        <w:tc>
          <w:tcPr>
            <w:tcW w:w="3969" w:type="dxa"/>
          </w:tcPr>
          <w:p>
            <w:pPr>
              <w:spacing w:line="300" w:lineRule="auto"/>
              <w:rPr>
                <w:rFonts w:ascii="宋体" w:hAnsi="宋体"/>
                <w:b/>
                <w:bCs/>
                <w:szCs w:val="21"/>
              </w:rPr>
            </w:pPr>
            <w:r>
              <w:rPr>
                <w:rFonts w:hint="eastAsia" w:ascii="宋体" w:hAnsi="宋体"/>
                <w:szCs w:val="22"/>
              </w:rPr>
              <w:t>明档加热器</w:t>
            </w:r>
          </w:p>
        </w:tc>
        <w:tc>
          <w:tcPr>
            <w:tcW w:w="1134" w:type="dxa"/>
          </w:tcPr>
          <w:p>
            <w:pPr>
              <w:spacing w:line="300" w:lineRule="auto"/>
              <w:jc w:val="center"/>
              <w:rPr>
                <w:rFonts w:ascii="宋体" w:hAnsi="宋体"/>
                <w:b/>
                <w:bCs/>
                <w:szCs w:val="21"/>
              </w:rPr>
            </w:pPr>
            <w:r>
              <w:rPr>
                <w:rFonts w:ascii="宋体" w:hAnsi="宋体"/>
                <w:szCs w:val="22"/>
              </w:rPr>
              <w:t>16个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2</w:t>
            </w:r>
          </w:p>
        </w:tc>
        <w:tc>
          <w:tcPr>
            <w:tcW w:w="3969" w:type="dxa"/>
          </w:tcPr>
          <w:p>
            <w:pPr>
              <w:spacing w:line="300" w:lineRule="auto"/>
              <w:rPr>
                <w:rFonts w:ascii="宋体" w:hAnsi="宋体"/>
                <w:b/>
                <w:bCs/>
                <w:szCs w:val="21"/>
              </w:rPr>
            </w:pPr>
            <w:r>
              <w:rPr>
                <w:rFonts w:hint="eastAsia" w:ascii="宋体" w:hAnsi="宋体"/>
                <w:szCs w:val="22"/>
              </w:rPr>
              <w:t>开水机</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2"/>
              </w:rPr>
            </w:pPr>
            <w:r>
              <w:rPr>
                <w:rFonts w:ascii="宋体" w:hAnsi="宋体"/>
                <w:szCs w:val="22"/>
              </w:rPr>
              <w:t>3</w:t>
            </w:r>
          </w:p>
        </w:tc>
        <w:tc>
          <w:tcPr>
            <w:tcW w:w="3969" w:type="dxa"/>
          </w:tcPr>
          <w:p>
            <w:pPr>
              <w:spacing w:line="300" w:lineRule="auto"/>
              <w:rPr>
                <w:rFonts w:ascii="宋体" w:hAnsi="宋体"/>
                <w:b/>
                <w:bCs/>
                <w:szCs w:val="21"/>
              </w:rPr>
            </w:pPr>
            <w:r>
              <w:rPr>
                <w:rFonts w:hint="eastAsia" w:ascii="宋体" w:hAnsi="宋体"/>
                <w:szCs w:val="22"/>
              </w:rPr>
              <w:t>制冰机</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4</w:t>
            </w:r>
          </w:p>
        </w:tc>
        <w:tc>
          <w:tcPr>
            <w:tcW w:w="3969" w:type="dxa"/>
          </w:tcPr>
          <w:p>
            <w:pPr>
              <w:spacing w:line="300" w:lineRule="auto"/>
              <w:rPr>
                <w:rFonts w:ascii="宋体" w:hAnsi="宋体"/>
                <w:b/>
                <w:bCs/>
                <w:szCs w:val="21"/>
              </w:rPr>
            </w:pPr>
            <w:r>
              <w:rPr>
                <w:rFonts w:hint="eastAsia" w:ascii="宋体" w:hAnsi="宋体"/>
                <w:szCs w:val="22"/>
              </w:rPr>
              <w:t>速冻冰箱</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5</w:t>
            </w:r>
          </w:p>
        </w:tc>
        <w:tc>
          <w:tcPr>
            <w:tcW w:w="3969" w:type="dxa"/>
          </w:tcPr>
          <w:p>
            <w:pPr>
              <w:spacing w:line="300" w:lineRule="auto"/>
              <w:rPr>
                <w:rFonts w:ascii="宋体" w:hAnsi="宋体"/>
                <w:b/>
                <w:bCs/>
                <w:szCs w:val="21"/>
              </w:rPr>
            </w:pPr>
            <w:r>
              <w:rPr>
                <w:rFonts w:hint="eastAsia" w:ascii="宋体" w:hAnsi="宋体"/>
                <w:szCs w:val="22"/>
              </w:rPr>
              <w:t>单门玻璃冰箱（留样、酸奶）</w:t>
            </w:r>
          </w:p>
        </w:tc>
        <w:tc>
          <w:tcPr>
            <w:tcW w:w="1134" w:type="dxa"/>
          </w:tcPr>
          <w:p>
            <w:pPr>
              <w:spacing w:line="300" w:lineRule="auto"/>
              <w:jc w:val="center"/>
              <w:rPr>
                <w:rFonts w:ascii="宋体" w:hAnsi="宋体"/>
                <w:b/>
                <w:bCs/>
                <w:szCs w:val="21"/>
              </w:rPr>
            </w:pPr>
            <w:r>
              <w:rPr>
                <w:rFonts w:ascii="宋体" w:hAnsi="宋体"/>
                <w:szCs w:val="22"/>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6</w:t>
            </w:r>
          </w:p>
        </w:tc>
        <w:tc>
          <w:tcPr>
            <w:tcW w:w="3969" w:type="dxa"/>
          </w:tcPr>
          <w:p>
            <w:pPr>
              <w:spacing w:line="300" w:lineRule="auto"/>
              <w:rPr>
                <w:rFonts w:ascii="宋体" w:hAnsi="宋体"/>
                <w:b/>
                <w:bCs/>
                <w:szCs w:val="21"/>
              </w:rPr>
            </w:pPr>
            <w:r>
              <w:rPr>
                <w:rFonts w:hint="eastAsia" w:ascii="宋体" w:hAnsi="宋体"/>
                <w:szCs w:val="22"/>
              </w:rPr>
              <w:t>冷藏双开冰箱</w:t>
            </w:r>
          </w:p>
        </w:tc>
        <w:tc>
          <w:tcPr>
            <w:tcW w:w="1134" w:type="dxa"/>
          </w:tcPr>
          <w:p>
            <w:pPr>
              <w:spacing w:line="300" w:lineRule="auto"/>
              <w:jc w:val="center"/>
              <w:rPr>
                <w:rFonts w:ascii="宋体" w:hAnsi="宋体"/>
                <w:b/>
                <w:bCs/>
                <w:szCs w:val="21"/>
              </w:rPr>
            </w:pPr>
            <w:r>
              <w:rPr>
                <w:rFonts w:ascii="宋体" w:hAnsi="宋体"/>
                <w:szCs w:val="22"/>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2"/>
              </w:rPr>
            </w:pPr>
            <w:r>
              <w:rPr>
                <w:rFonts w:ascii="宋体" w:hAnsi="宋体"/>
                <w:szCs w:val="22"/>
              </w:rPr>
              <w:t>7</w:t>
            </w:r>
          </w:p>
        </w:tc>
        <w:tc>
          <w:tcPr>
            <w:tcW w:w="3969" w:type="dxa"/>
          </w:tcPr>
          <w:p>
            <w:pPr>
              <w:spacing w:line="300" w:lineRule="auto"/>
              <w:rPr>
                <w:rFonts w:ascii="宋体" w:hAnsi="宋体"/>
                <w:b/>
                <w:bCs/>
                <w:szCs w:val="21"/>
              </w:rPr>
            </w:pPr>
            <w:r>
              <w:rPr>
                <w:rFonts w:hint="eastAsia" w:ascii="宋体" w:hAnsi="宋体"/>
                <w:szCs w:val="22"/>
              </w:rPr>
              <w:t>铁板炉</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8</w:t>
            </w:r>
          </w:p>
        </w:tc>
        <w:tc>
          <w:tcPr>
            <w:tcW w:w="3969" w:type="dxa"/>
          </w:tcPr>
          <w:p>
            <w:pPr>
              <w:spacing w:line="300" w:lineRule="auto"/>
              <w:rPr>
                <w:rFonts w:ascii="宋体" w:hAnsi="宋体"/>
                <w:b/>
                <w:bCs/>
                <w:szCs w:val="21"/>
              </w:rPr>
            </w:pPr>
            <w:r>
              <w:rPr>
                <w:rFonts w:hint="eastAsia" w:ascii="宋体" w:hAnsi="宋体"/>
                <w:szCs w:val="22"/>
              </w:rPr>
              <w:t>炉头</w:t>
            </w:r>
          </w:p>
        </w:tc>
        <w:tc>
          <w:tcPr>
            <w:tcW w:w="1134" w:type="dxa"/>
          </w:tcPr>
          <w:p>
            <w:pPr>
              <w:spacing w:line="300" w:lineRule="auto"/>
              <w:jc w:val="center"/>
              <w:rPr>
                <w:rFonts w:ascii="宋体" w:hAnsi="宋体"/>
                <w:b/>
                <w:bCs/>
                <w:szCs w:val="21"/>
              </w:rPr>
            </w:pPr>
            <w:r>
              <w:rPr>
                <w:rFonts w:ascii="宋体" w:hAnsi="宋体"/>
                <w:szCs w:val="22"/>
              </w:rPr>
              <w:t>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9</w:t>
            </w:r>
          </w:p>
        </w:tc>
        <w:tc>
          <w:tcPr>
            <w:tcW w:w="3969" w:type="dxa"/>
          </w:tcPr>
          <w:p>
            <w:pPr>
              <w:spacing w:line="300" w:lineRule="auto"/>
              <w:rPr>
                <w:rFonts w:ascii="宋体" w:hAnsi="宋体"/>
                <w:b/>
                <w:bCs/>
                <w:szCs w:val="21"/>
              </w:rPr>
            </w:pPr>
            <w:r>
              <w:rPr>
                <w:rFonts w:hint="eastAsia" w:ascii="宋体" w:hAnsi="宋体"/>
                <w:szCs w:val="22"/>
              </w:rPr>
              <w:t>小炉</w:t>
            </w:r>
          </w:p>
        </w:tc>
        <w:tc>
          <w:tcPr>
            <w:tcW w:w="1134" w:type="dxa"/>
          </w:tcPr>
          <w:p>
            <w:pPr>
              <w:spacing w:line="300" w:lineRule="auto"/>
              <w:jc w:val="center"/>
              <w:rPr>
                <w:rFonts w:ascii="宋体" w:hAnsi="宋体"/>
                <w:b/>
                <w:bCs/>
                <w:szCs w:val="21"/>
              </w:rPr>
            </w:pPr>
            <w:r>
              <w:rPr>
                <w:rFonts w:ascii="宋体" w:hAnsi="宋体"/>
                <w:szCs w:val="22"/>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10</w:t>
            </w:r>
          </w:p>
        </w:tc>
        <w:tc>
          <w:tcPr>
            <w:tcW w:w="3969" w:type="dxa"/>
          </w:tcPr>
          <w:p>
            <w:pPr>
              <w:spacing w:line="300" w:lineRule="auto"/>
              <w:rPr>
                <w:rFonts w:ascii="宋体" w:hAnsi="宋体"/>
                <w:b/>
                <w:bCs/>
                <w:szCs w:val="21"/>
              </w:rPr>
            </w:pPr>
            <w:r>
              <w:rPr>
                <w:rFonts w:hint="eastAsia" w:ascii="宋体" w:hAnsi="宋体"/>
                <w:szCs w:val="22"/>
              </w:rPr>
              <w:t>炸机</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2"/>
              </w:rPr>
            </w:pPr>
            <w:r>
              <w:rPr>
                <w:rFonts w:ascii="宋体" w:hAnsi="宋体"/>
                <w:szCs w:val="22"/>
              </w:rPr>
              <w:t>11</w:t>
            </w:r>
          </w:p>
        </w:tc>
        <w:tc>
          <w:tcPr>
            <w:tcW w:w="3969" w:type="dxa"/>
          </w:tcPr>
          <w:p>
            <w:pPr>
              <w:spacing w:line="300" w:lineRule="auto"/>
              <w:rPr>
                <w:rFonts w:ascii="宋体" w:hAnsi="宋体"/>
                <w:b/>
                <w:bCs/>
                <w:szCs w:val="21"/>
              </w:rPr>
            </w:pPr>
            <w:r>
              <w:rPr>
                <w:rFonts w:hint="eastAsia" w:ascii="宋体" w:hAnsi="宋体"/>
                <w:szCs w:val="22"/>
              </w:rPr>
              <w:t>煎饼机</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12</w:t>
            </w:r>
          </w:p>
        </w:tc>
        <w:tc>
          <w:tcPr>
            <w:tcW w:w="3969" w:type="dxa"/>
          </w:tcPr>
          <w:p>
            <w:pPr>
              <w:spacing w:line="300" w:lineRule="auto"/>
              <w:rPr>
                <w:rFonts w:ascii="宋体" w:hAnsi="宋体"/>
                <w:b/>
                <w:bCs/>
                <w:szCs w:val="21"/>
              </w:rPr>
            </w:pPr>
            <w:r>
              <w:rPr>
                <w:rFonts w:hint="eastAsia" w:ascii="宋体" w:hAnsi="宋体"/>
                <w:szCs w:val="22"/>
              </w:rPr>
              <w:t>四开冷藏冰箱</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13</w:t>
            </w:r>
          </w:p>
        </w:tc>
        <w:tc>
          <w:tcPr>
            <w:tcW w:w="3969" w:type="dxa"/>
          </w:tcPr>
          <w:p>
            <w:pPr>
              <w:spacing w:line="300" w:lineRule="auto"/>
              <w:rPr>
                <w:rFonts w:ascii="宋体" w:hAnsi="宋体"/>
                <w:b/>
                <w:bCs/>
                <w:szCs w:val="21"/>
              </w:rPr>
            </w:pPr>
            <w:r>
              <w:rPr>
                <w:rFonts w:hint="eastAsia" w:ascii="宋体" w:hAnsi="宋体"/>
                <w:szCs w:val="22"/>
              </w:rPr>
              <w:t>矮脚炉</w:t>
            </w:r>
          </w:p>
        </w:tc>
        <w:tc>
          <w:tcPr>
            <w:tcW w:w="1134" w:type="dxa"/>
          </w:tcPr>
          <w:p>
            <w:pPr>
              <w:spacing w:line="300" w:lineRule="auto"/>
              <w:jc w:val="center"/>
              <w:rPr>
                <w:rFonts w:ascii="宋体" w:hAnsi="宋体"/>
                <w:b/>
                <w:bCs/>
                <w:szCs w:val="21"/>
              </w:rPr>
            </w:pPr>
            <w:r>
              <w:rPr>
                <w:rFonts w:ascii="宋体" w:hAnsi="宋体"/>
                <w:szCs w:val="22"/>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14</w:t>
            </w:r>
          </w:p>
        </w:tc>
        <w:tc>
          <w:tcPr>
            <w:tcW w:w="3969" w:type="dxa"/>
          </w:tcPr>
          <w:p>
            <w:pPr>
              <w:spacing w:line="300" w:lineRule="auto"/>
              <w:rPr>
                <w:rFonts w:ascii="宋体" w:hAnsi="宋体"/>
                <w:b/>
                <w:bCs/>
                <w:szCs w:val="21"/>
              </w:rPr>
            </w:pPr>
            <w:r>
              <w:rPr>
                <w:rFonts w:hint="eastAsia" w:ascii="宋体" w:hAnsi="宋体"/>
                <w:szCs w:val="22"/>
              </w:rPr>
              <w:t>蒸箱</w:t>
            </w:r>
          </w:p>
        </w:tc>
        <w:tc>
          <w:tcPr>
            <w:tcW w:w="1134" w:type="dxa"/>
          </w:tcPr>
          <w:p>
            <w:pPr>
              <w:spacing w:line="300" w:lineRule="auto"/>
              <w:jc w:val="center"/>
              <w:rPr>
                <w:rFonts w:ascii="宋体" w:hAnsi="宋体"/>
                <w:b/>
                <w:bCs/>
                <w:szCs w:val="21"/>
              </w:rPr>
            </w:pPr>
            <w:r>
              <w:rPr>
                <w:rFonts w:ascii="宋体" w:hAnsi="宋体"/>
                <w:szCs w:val="22"/>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2"/>
              </w:rPr>
            </w:pPr>
            <w:r>
              <w:rPr>
                <w:rFonts w:ascii="宋体" w:hAnsi="宋体"/>
                <w:szCs w:val="22"/>
              </w:rPr>
              <w:t>15</w:t>
            </w:r>
          </w:p>
        </w:tc>
        <w:tc>
          <w:tcPr>
            <w:tcW w:w="3969" w:type="dxa"/>
          </w:tcPr>
          <w:p>
            <w:pPr>
              <w:spacing w:line="300" w:lineRule="auto"/>
              <w:rPr>
                <w:rFonts w:ascii="宋体" w:hAnsi="宋体"/>
                <w:b/>
                <w:bCs/>
                <w:szCs w:val="21"/>
              </w:rPr>
            </w:pPr>
            <w:r>
              <w:rPr>
                <w:rFonts w:hint="eastAsia" w:ascii="宋体" w:hAnsi="宋体"/>
                <w:szCs w:val="22"/>
              </w:rPr>
              <w:t>洗碗机</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16</w:t>
            </w:r>
          </w:p>
        </w:tc>
        <w:tc>
          <w:tcPr>
            <w:tcW w:w="3969" w:type="dxa"/>
          </w:tcPr>
          <w:p>
            <w:pPr>
              <w:spacing w:line="300" w:lineRule="auto"/>
              <w:rPr>
                <w:rFonts w:ascii="宋体" w:hAnsi="宋体"/>
                <w:b/>
                <w:bCs/>
                <w:szCs w:val="21"/>
              </w:rPr>
            </w:pPr>
            <w:r>
              <w:rPr>
                <w:rFonts w:hint="eastAsia" w:ascii="宋体" w:hAnsi="宋体"/>
                <w:szCs w:val="22"/>
              </w:rPr>
              <w:t>四开保鲜冰箱</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17</w:t>
            </w:r>
          </w:p>
        </w:tc>
        <w:tc>
          <w:tcPr>
            <w:tcW w:w="3969" w:type="dxa"/>
          </w:tcPr>
          <w:p>
            <w:pPr>
              <w:spacing w:line="300" w:lineRule="auto"/>
              <w:rPr>
                <w:rFonts w:ascii="宋体" w:hAnsi="宋体"/>
                <w:b/>
                <w:bCs/>
                <w:szCs w:val="21"/>
              </w:rPr>
            </w:pPr>
            <w:r>
              <w:rPr>
                <w:rFonts w:hint="eastAsia" w:ascii="宋体" w:hAnsi="宋体"/>
                <w:szCs w:val="22"/>
              </w:rPr>
              <w:t>双开烤箱</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18</w:t>
            </w:r>
          </w:p>
        </w:tc>
        <w:tc>
          <w:tcPr>
            <w:tcW w:w="3969" w:type="dxa"/>
          </w:tcPr>
          <w:p>
            <w:pPr>
              <w:spacing w:line="300" w:lineRule="auto"/>
              <w:rPr>
                <w:rFonts w:ascii="宋体" w:hAnsi="宋体"/>
                <w:b/>
                <w:bCs/>
                <w:szCs w:val="21"/>
              </w:rPr>
            </w:pPr>
            <w:r>
              <w:rPr>
                <w:rFonts w:hint="eastAsia" w:ascii="宋体" w:hAnsi="宋体"/>
                <w:szCs w:val="22"/>
              </w:rPr>
              <w:t>冷藏醒发箱</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2"/>
              </w:rPr>
            </w:pPr>
            <w:r>
              <w:rPr>
                <w:rFonts w:ascii="宋体" w:hAnsi="宋体"/>
                <w:szCs w:val="22"/>
              </w:rPr>
              <w:t>19</w:t>
            </w:r>
          </w:p>
        </w:tc>
        <w:tc>
          <w:tcPr>
            <w:tcW w:w="3969" w:type="dxa"/>
          </w:tcPr>
          <w:p>
            <w:pPr>
              <w:spacing w:line="300" w:lineRule="auto"/>
              <w:rPr>
                <w:rFonts w:ascii="宋体" w:hAnsi="宋体"/>
                <w:b/>
                <w:bCs/>
                <w:szCs w:val="21"/>
              </w:rPr>
            </w:pPr>
            <w:r>
              <w:rPr>
                <w:rFonts w:hint="eastAsia" w:ascii="宋体" w:hAnsi="宋体"/>
                <w:szCs w:val="22"/>
              </w:rPr>
              <w:t>搅拌机</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20</w:t>
            </w:r>
          </w:p>
        </w:tc>
        <w:tc>
          <w:tcPr>
            <w:tcW w:w="3969" w:type="dxa"/>
          </w:tcPr>
          <w:p>
            <w:pPr>
              <w:spacing w:line="300" w:lineRule="auto"/>
              <w:rPr>
                <w:rFonts w:ascii="宋体" w:hAnsi="宋体"/>
                <w:b/>
                <w:bCs/>
                <w:szCs w:val="21"/>
              </w:rPr>
            </w:pPr>
            <w:r>
              <w:rPr>
                <w:rFonts w:hint="eastAsia" w:ascii="宋体" w:hAnsi="宋体"/>
                <w:szCs w:val="22"/>
              </w:rPr>
              <w:t>开酥机</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21</w:t>
            </w:r>
          </w:p>
        </w:tc>
        <w:tc>
          <w:tcPr>
            <w:tcW w:w="3969" w:type="dxa"/>
          </w:tcPr>
          <w:p>
            <w:pPr>
              <w:spacing w:line="300" w:lineRule="auto"/>
              <w:rPr>
                <w:rFonts w:ascii="宋体" w:hAnsi="宋体"/>
                <w:b/>
                <w:bCs/>
                <w:szCs w:val="21"/>
              </w:rPr>
            </w:pPr>
            <w:r>
              <w:rPr>
                <w:rFonts w:hint="eastAsia" w:ascii="宋体" w:hAnsi="宋体"/>
                <w:szCs w:val="22"/>
              </w:rPr>
              <w:t>和面机</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22</w:t>
            </w:r>
          </w:p>
        </w:tc>
        <w:tc>
          <w:tcPr>
            <w:tcW w:w="3969" w:type="dxa"/>
          </w:tcPr>
          <w:p>
            <w:pPr>
              <w:spacing w:line="300" w:lineRule="auto"/>
              <w:rPr>
                <w:rFonts w:ascii="宋体" w:hAnsi="宋体"/>
                <w:b/>
                <w:bCs/>
                <w:szCs w:val="21"/>
              </w:rPr>
            </w:pPr>
            <w:r>
              <w:rPr>
                <w:rFonts w:hint="eastAsia" w:ascii="宋体" w:hAnsi="宋体"/>
                <w:szCs w:val="22"/>
              </w:rPr>
              <w:t>西点专用冰箱</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2"/>
              </w:rPr>
            </w:pPr>
            <w:r>
              <w:rPr>
                <w:rFonts w:ascii="宋体" w:hAnsi="宋体"/>
                <w:szCs w:val="22"/>
              </w:rPr>
              <w:t>23</w:t>
            </w:r>
          </w:p>
        </w:tc>
        <w:tc>
          <w:tcPr>
            <w:tcW w:w="3969" w:type="dxa"/>
          </w:tcPr>
          <w:p>
            <w:pPr>
              <w:spacing w:line="300" w:lineRule="auto"/>
              <w:rPr>
                <w:rFonts w:ascii="宋体" w:hAnsi="宋体"/>
                <w:b/>
                <w:bCs/>
                <w:szCs w:val="21"/>
              </w:rPr>
            </w:pPr>
            <w:r>
              <w:rPr>
                <w:rFonts w:hint="eastAsia" w:ascii="宋体" w:hAnsi="宋体"/>
                <w:szCs w:val="22"/>
              </w:rPr>
              <w:t>打蛋器</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2"/>
              </w:rPr>
            </w:pPr>
            <w:r>
              <w:rPr>
                <w:rFonts w:ascii="宋体" w:hAnsi="宋体"/>
                <w:szCs w:val="22"/>
              </w:rPr>
              <w:t>24</w:t>
            </w:r>
          </w:p>
        </w:tc>
        <w:tc>
          <w:tcPr>
            <w:tcW w:w="3969" w:type="dxa"/>
          </w:tcPr>
          <w:p>
            <w:pPr>
              <w:spacing w:line="300" w:lineRule="auto"/>
              <w:rPr>
                <w:rFonts w:ascii="宋体" w:hAnsi="宋体"/>
                <w:b/>
                <w:bCs/>
                <w:szCs w:val="21"/>
              </w:rPr>
            </w:pPr>
            <w:r>
              <w:rPr>
                <w:rFonts w:hint="eastAsia" w:ascii="宋体" w:hAnsi="宋体"/>
                <w:szCs w:val="22"/>
              </w:rPr>
              <w:t>热风循环柜</w:t>
            </w:r>
          </w:p>
        </w:tc>
        <w:tc>
          <w:tcPr>
            <w:tcW w:w="1134" w:type="dxa"/>
          </w:tcPr>
          <w:p>
            <w:pPr>
              <w:spacing w:line="300" w:lineRule="auto"/>
              <w:jc w:val="center"/>
              <w:rPr>
                <w:rFonts w:ascii="宋体" w:hAnsi="宋体"/>
                <w:b/>
                <w:bCs/>
                <w:szCs w:val="21"/>
              </w:rPr>
            </w:pPr>
            <w:r>
              <w:rPr>
                <w:rFonts w:ascii="宋体" w:hAnsi="宋体"/>
                <w:szCs w:val="22"/>
              </w:rPr>
              <w:t>1台</w:t>
            </w:r>
          </w:p>
        </w:tc>
      </w:tr>
    </w:tbl>
    <w:p>
      <w:pPr>
        <w:spacing w:line="300" w:lineRule="auto"/>
        <w:ind w:firstLine="422" w:firstLineChars="200"/>
        <w:rPr>
          <w:rFonts w:asciiTheme="majorEastAsia" w:hAnsiTheme="majorEastAsia" w:eastAsiaTheme="majorEastAsia"/>
          <w:b/>
          <w:bCs/>
          <w:szCs w:val="21"/>
        </w:rPr>
      </w:pPr>
    </w:p>
    <w:p>
      <w:pPr>
        <w:spacing w:line="300" w:lineRule="auto"/>
        <w:ind w:firstLine="422" w:firstLineChars="200"/>
        <w:rPr>
          <w:rFonts w:asciiTheme="majorEastAsia" w:hAnsiTheme="majorEastAsia" w:eastAsiaTheme="majorEastAsia"/>
          <w:b/>
          <w:bCs/>
          <w:szCs w:val="21"/>
        </w:rPr>
      </w:pPr>
      <w:r>
        <w:rPr>
          <w:rFonts w:hint="eastAsia" w:asciiTheme="majorEastAsia" w:hAnsiTheme="majorEastAsia" w:eastAsiaTheme="majorEastAsia"/>
          <w:b/>
          <w:bCs/>
          <w:szCs w:val="21"/>
        </w:rPr>
        <w:t>第二餐厅</w:t>
      </w:r>
    </w:p>
    <w:tbl>
      <w:tblPr>
        <w:tblStyle w:val="11"/>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0"/>
        <w:gridCol w:w="3969"/>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shd w:val="clear" w:color="auto" w:fill="FDE9D9" w:themeFill="accent6" w:themeFillTint="33"/>
          </w:tcPr>
          <w:p>
            <w:pPr>
              <w:spacing w:line="300" w:lineRule="auto"/>
              <w:jc w:val="center"/>
              <w:rPr>
                <w:rFonts w:ascii="宋体" w:hAnsi="宋体"/>
                <w:b/>
                <w:bCs/>
                <w:szCs w:val="21"/>
              </w:rPr>
            </w:pPr>
            <w:r>
              <w:rPr>
                <w:rFonts w:hint="eastAsia" w:ascii="宋体" w:hAnsi="宋体"/>
                <w:b/>
                <w:bCs/>
                <w:szCs w:val="22"/>
              </w:rPr>
              <w:t>序号</w:t>
            </w:r>
          </w:p>
        </w:tc>
        <w:tc>
          <w:tcPr>
            <w:tcW w:w="3969" w:type="dxa"/>
            <w:shd w:val="clear" w:color="auto" w:fill="FDE9D9" w:themeFill="accent6" w:themeFillTint="33"/>
          </w:tcPr>
          <w:p>
            <w:pPr>
              <w:spacing w:line="300" w:lineRule="auto"/>
              <w:rPr>
                <w:rFonts w:ascii="宋体" w:hAnsi="宋体"/>
                <w:b/>
                <w:bCs/>
                <w:szCs w:val="21"/>
              </w:rPr>
            </w:pPr>
            <w:r>
              <w:rPr>
                <w:rFonts w:hint="eastAsia" w:ascii="宋体" w:hAnsi="宋体"/>
                <w:b/>
                <w:bCs/>
                <w:szCs w:val="22"/>
              </w:rPr>
              <w:t>厨房设备</w:t>
            </w:r>
          </w:p>
        </w:tc>
        <w:tc>
          <w:tcPr>
            <w:tcW w:w="1134" w:type="dxa"/>
            <w:shd w:val="clear" w:color="auto" w:fill="FDE9D9" w:themeFill="accent6" w:themeFillTint="33"/>
          </w:tcPr>
          <w:p>
            <w:pPr>
              <w:spacing w:line="300" w:lineRule="auto"/>
              <w:jc w:val="center"/>
              <w:rPr>
                <w:rFonts w:ascii="宋体" w:hAnsi="宋体"/>
                <w:b/>
                <w:bCs/>
                <w:szCs w:val="21"/>
              </w:rPr>
            </w:pPr>
            <w:r>
              <w:rPr>
                <w:rFonts w:hint="eastAsia" w:ascii="宋体" w:hAnsi="宋体"/>
                <w:b/>
                <w:bCs/>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1</w:t>
            </w:r>
          </w:p>
        </w:tc>
        <w:tc>
          <w:tcPr>
            <w:tcW w:w="3969" w:type="dxa"/>
          </w:tcPr>
          <w:p>
            <w:pPr>
              <w:spacing w:line="300" w:lineRule="auto"/>
              <w:rPr>
                <w:rFonts w:ascii="宋体" w:hAnsi="宋体"/>
                <w:b/>
                <w:bCs/>
                <w:szCs w:val="21"/>
              </w:rPr>
            </w:pPr>
            <w:r>
              <w:rPr>
                <w:rFonts w:hint="eastAsia" w:ascii="宋体" w:hAnsi="宋体"/>
                <w:szCs w:val="22"/>
              </w:rPr>
              <w:t>双头大锅灶</w:t>
            </w:r>
          </w:p>
        </w:tc>
        <w:tc>
          <w:tcPr>
            <w:tcW w:w="1134" w:type="dxa"/>
          </w:tcPr>
          <w:p>
            <w:pPr>
              <w:spacing w:line="300" w:lineRule="auto"/>
              <w:jc w:val="center"/>
              <w:rPr>
                <w:rFonts w:ascii="宋体" w:hAnsi="宋体"/>
                <w:b/>
                <w:bCs/>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2</w:t>
            </w:r>
          </w:p>
        </w:tc>
        <w:tc>
          <w:tcPr>
            <w:tcW w:w="3969" w:type="dxa"/>
          </w:tcPr>
          <w:p>
            <w:pPr>
              <w:spacing w:line="300" w:lineRule="auto"/>
              <w:rPr>
                <w:rFonts w:ascii="宋体" w:hAnsi="宋体"/>
                <w:b/>
                <w:bCs/>
                <w:szCs w:val="21"/>
              </w:rPr>
            </w:pPr>
            <w:r>
              <w:rPr>
                <w:rFonts w:hint="eastAsia" w:ascii="宋体" w:hAnsi="宋体"/>
                <w:szCs w:val="22"/>
              </w:rPr>
              <w:t>单头燃气港灶</w:t>
            </w:r>
          </w:p>
        </w:tc>
        <w:tc>
          <w:tcPr>
            <w:tcW w:w="1134" w:type="dxa"/>
          </w:tcPr>
          <w:p>
            <w:pPr>
              <w:spacing w:line="300" w:lineRule="auto"/>
              <w:jc w:val="center"/>
              <w:rPr>
                <w:rFonts w:ascii="宋体" w:hAnsi="宋体"/>
                <w:b/>
                <w:bCs/>
                <w:szCs w:val="21"/>
              </w:rPr>
            </w:pPr>
            <w:r>
              <w:rPr>
                <w:rFonts w:ascii="宋体" w:hAnsi="宋体"/>
                <w:szCs w:val="22"/>
              </w:rPr>
              <w:t>2组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1"/>
              </w:rPr>
            </w:pPr>
            <w:r>
              <w:rPr>
                <w:rFonts w:ascii="宋体" w:hAnsi="宋体"/>
                <w:szCs w:val="21"/>
              </w:rPr>
              <w:t>3</w:t>
            </w:r>
          </w:p>
        </w:tc>
        <w:tc>
          <w:tcPr>
            <w:tcW w:w="3969" w:type="dxa"/>
          </w:tcPr>
          <w:p>
            <w:pPr>
              <w:spacing w:line="300" w:lineRule="auto"/>
              <w:rPr>
                <w:rFonts w:ascii="宋体" w:hAnsi="宋体"/>
                <w:b/>
                <w:bCs/>
                <w:szCs w:val="21"/>
              </w:rPr>
            </w:pPr>
            <w:r>
              <w:rPr>
                <w:rFonts w:hint="eastAsia" w:ascii="宋体" w:hAnsi="宋体"/>
                <w:szCs w:val="22"/>
              </w:rPr>
              <w:t>双炒双尾燃气港灶</w:t>
            </w:r>
          </w:p>
        </w:tc>
        <w:tc>
          <w:tcPr>
            <w:tcW w:w="1134" w:type="dxa"/>
          </w:tcPr>
          <w:p>
            <w:pPr>
              <w:spacing w:line="300" w:lineRule="auto"/>
              <w:jc w:val="center"/>
              <w:rPr>
                <w:rFonts w:ascii="宋体" w:hAnsi="宋体"/>
                <w:b/>
                <w:bCs/>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4</w:t>
            </w:r>
          </w:p>
        </w:tc>
        <w:tc>
          <w:tcPr>
            <w:tcW w:w="3969" w:type="dxa"/>
          </w:tcPr>
          <w:p>
            <w:pPr>
              <w:spacing w:line="300" w:lineRule="auto"/>
              <w:rPr>
                <w:rFonts w:ascii="宋体" w:hAnsi="宋体"/>
                <w:b/>
                <w:bCs/>
                <w:szCs w:val="21"/>
              </w:rPr>
            </w:pPr>
            <w:r>
              <w:rPr>
                <w:rFonts w:hint="eastAsia" w:ascii="宋体" w:hAnsi="宋体"/>
                <w:szCs w:val="22"/>
              </w:rPr>
              <w:t>矮脚炉（煲汤）</w:t>
            </w:r>
          </w:p>
        </w:tc>
        <w:tc>
          <w:tcPr>
            <w:tcW w:w="1134" w:type="dxa"/>
          </w:tcPr>
          <w:p>
            <w:pPr>
              <w:spacing w:line="300" w:lineRule="auto"/>
              <w:jc w:val="center"/>
              <w:rPr>
                <w:rFonts w:ascii="宋体" w:hAnsi="宋体"/>
                <w:b/>
                <w:bCs/>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5</w:t>
            </w:r>
          </w:p>
        </w:tc>
        <w:tc>
          <w:tcPr>
            <w:tcW w:w="3969" w:type="dxa"/>
          </w:tcPr>
          <w:p>
            <w:pPr>
              <w:spacing w:line="300" w:lineRule="auto"/>
              <w:rPr>
                <w:rFonts w:ascii="宋体" w:hAnsi="宋体"/>
                <w:b/>
                <w:bCs/>
                <w:szCs w:val="21"/>
              </w:rPr>
            </w:pPr>
            <w:r>
              <w:rPr>
                <w:rFonts w:hint="eastAsia" w:ascii="宋体" w:hAnsi="宋体"/>
                <w:szCs w:val="22"/>
              </w:rPr>
              <w:t>两门燃气蒸箱（宴会用）</w:t>
            </w:r>
          </w:p>
        </w:tc>
        <w:tc>
          <w:tcPr>
            <w:tcW w:w="1134" w:type="dxa"/>
          </w:tcPr>
          <w:p>
            <w:pPr>
              <w:spacing w:line="300" w:lineRule="auto"/>
              <w:jc w:val="center"/>
              <w:rPr>
                <w:rFonts w:ascii="宋体" w:hAnsi="宋体"/>
                <w:b/>
                <w:bCs/>
                <w:szCs w:val="21"/>
              </w:rPr>
            </w:pPr>
            <w:r>
              <w:rPr>
                <w:rFonts w:ascii="宋体" w:hAnsi="宋体"/>
                <w:szCs w:val="22"/>
              </w:rPr>
              <w:t>2组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6</w:t>
            </w:r>
          </w:p>
        </w:tc>
        <w:tc>
          <w:tcPr>
            <w:tcW w:w="3969" w:type="dxa"/>
          </w:tcPr>
          <w:p>
            <w:pPr>
              <w:spacing w:line="300" w:lineRule="auto"/>
              <w:rPr>
                <w:rFonts w:ascii="宋体" w:hAnsi="宋体"/>
                <w:b/>
                <w:bCs/>
                <w:szCs w:val="21"/>
              </w:rPr>
            </w:pPr>
            <w:r>
              <w:rPr>
                <w:rFonts w:hint="eastAsia" w:ascii="宋体" w:hAnsi="宋体"/>
                <w:szCs w:val="22"/>
              </w:rPr>
              <w:t>电加热保温档</w:t>
            </w:r>
          </w:p>
        </w:tc>
        <w:tc>
          <w:tcPr>
            <w:tcW w:w="1134" w:type="dxa"/>
          </w:tcPr>
          <w:p>
            <w:pPr>
              <w:spacing w:line="300" w:lineRule="auto"/>
              <w:jc w:val="center"/>
              <w:rPr>
                <w:rFonts w:ascii="宋体" w:hAnsi="宋体"/>
                <w:b/>
                <w:bCs/>
                <w:szCs w:val="21"/>
              </w:rPr>
            </w:pPr>
            <w:r>
              <w:rPr>
                <w:rFonts w:ascii="宋体" w:hAnsi="宋体"/>
                <w:szCs w:val="22"/>
              </w:rPr>
              <w:t>6组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1"/>
              </w:rPr>
            </w:pPr>
            <w:r>
              <w:rPr>
                <w:rFonts w:ascii="宋体" w:hAnsi="宋体"/>
                <w:szCs w:val="21"/>
              </w:rPr>
              <w:t>7</w:t>
            </w:r>
          </w:p>
        </w:tc>
        <w:tc>
          <w:tcPr>
            <w:tcW w:w="3969" w:type="dxa"/>
          </w:tcPr>
          <w:p>
            <w:pPr>
              <w:spacing w:line="300" w:lineRule="auto"/>
              <w:rPr>
                <w:rFonts w:ascii="宋体" w:hAnsi="宋体"/>
                <w:b/>
                <w:bCs/>
                <w:szCs w:val="21"/>
              </w:rPr>
            </w:pPr>
            <w:r>
              <w:rPr>
                <w:rFonts w:hint="eastAsia" w:ascii="宋体" w:hAnsi="宋体"/>
                <w:szCs w:val="22"/>
              </w:rPr>
              <w:t>六门冰箱（保鲜）</w:t>
            </w:r>
          </w:p>
        </w:tc>
        <w:tc>
          <w:tcPr>
            <w:tcW w:w="1134" w:type="dxa"/>
          </w:tcPr>
          <w:p>
            <w:pPr>
              <w:spacing w:line="300" w:lineRule="auto"/>
              <w:jc w:val="center"/>
              <w:rPr>
                <w:rFonts w:ascii="宋体" w:hAnsi="宋体"/>
                <w:b/>
                <w:bCs/>
                <w:szCs w:val="21"/>
              </w:rPr>
            </w:pPr>
            <w:r>
              <w:rPr>
                <w:rFonts w:ascii="宋体" w:hAnsi="宋体"/>
                <w:szCs w:val="22"/>
              </w:rPr>
              <w:t>2组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8</w:t>
            </w:r>
          </w:p>
        </w:tc>
        <w:tc>
          <w:tcPr>
            <w:tcW w:w="3969" w:type="dxa"/>
          </w:tcPr>
          <w:p>
            <w:pPr>
              <w:spacing w:line="300" w:lineRule="auto"/>
              <w:rPr>
                <w:rFonts w:ascii="宋体" w:hAnsi="宋体"/>
                <w:b/>
                <w:bCs/>
                <w:szCs w:val="21"/>
              </w:rPr>
            </w:pPr>
            <w:r>
              <w:rPr>
                <w:rFonts w:hint="eastAsia" w:ascii="宋体" w:hAnsi="宋体"/>
                <w:szCs w:val="22"/>
              </w:rPr>
              <w:t>洗碗机</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9</w:t>
            </w:r>
          </w:p>
        </w:tc>
        <w:tc>
          <w:tcPr>
            <w:tcW w:w="3969" w:type="dxa"/>
          </w:tcPr>
          <w:p>
            <w:pPr>
              <w:spacing w:line="300" w:lineRule="auto"/>
              <w:rPr>
                <w:rFonts w:ascii="宋体" w:hAnsi="宋体"/>
                <w:b/>
                <w:bCs/>
                <w:szCs w:val="21"/>
              </w:rPr>
            </w:pPr>
            <w:r>
              <w:rPr>
                <w:rFonts w:hint="eastAsia" w:ascii="宋体" w:hAnsi="宋体"/>
                <w:szCs w:val="22"/>
              </w:rPr>
              <w:t>双门烤箱</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10</w:t>
            </w:r>
          </w:p>
        </w:tc>
        <w:tc>
          <w:tcPr>
            <w:tcW w:w="3969" w:type="dxa"/>
          </w:tcPr>
          <w:p>
            <w:pPr>
              <w:spacing w:line="300" w:lineRule="auto"/>
              <w:rPr>
                <w:rFonts w:ascii="宋体" w:hAnsi="宋体"/>
                <w:b/>
                <w:bCs/>
                <w:szCs w:val="21"/>
              </w:rPr>
            </w:pPr>
            <w:r>
              <w:rPr>
                <w:rFonts w:hint="eastAsia" w:ascii="宋体" w:hAnsi="宋体"/>
                <w:szCs w:val="22"/>
              </w:rPr>
              <w:t>四门冰箱（冷菜用）</w:t>
            </w:r>
          </w:p>
        </w:tc>
        <w:tc>
          <w:tcPr>
            <w:tcW w:w="1134" w:type="dxa"/>
          </w:tcPr>
          <w:p>
            <w:pPr>
              <w:spacing w:line="300" w:lineRule="auto"/>
              <w:jc w:val="center"/>
              <w:rPr>
                <w:rFonts w:ascii="宋体" w:hAnsi="宋体"/>
                <w:b/>
                <w:bCs/>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1"/>
              </w:rPr>
            </w:pPr>
            <w:r>
              <w:rPr>
                <w:rFonts w:ascii="宋体" w:hAnsi="宋体"/>
                <w:szCs w:val="21"/>
              </w:rPr>
              <w:t>11</w:t>
            </w:r>
          </w:p>
        </w:tc>
        <w:tc>
          <w:tcPr>
            <w:tcW w:w="3969" w:type="dxa"/>
          </w:tcPr>
          <w:p>
            <w:pPr>
              <w:spacing w:line="300" w:lineRule="auto"/>
              <w:rPr>
                <w:rFonts w:ascii="宋体" w:hAnsi="宋体"/>
                <w:b/>
                <w:bCs/>
                <w:szCs w:val="21"/>
              </w:rPr>
            </w:pPr>
            <w:r>
              <w:rPr>
                <w:rFonts w:hint="eastAsia" w:ascii="宋体" w:hAnsi="宋体"/>
                <w:szCs w:val="22"/>
              </w:rPr>
              <w:t>电热水箱</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12</w:t>
            </w:r>
          </w:p>
        </w:tc>
        <w:tc>
          <w:tcPr>
            <w:tcW w:w="3969" w:type="dxa"/>
          </w:tcPr>
          <w:p>
            <w:pPr>
              <w:spacing w:line="300" w:lineRule="auto"/>
              <w:rPr>
                <w:rFonts w:ascii="宋体" w:hAnsi="宋体"/>
                <w:b/>
                <w:bCs/>
                <w:szCs w:val="21"/>
              </w:rPr>
            </w:pPr>
            <w:r>
              <w:rPr>
                <w:rFonts w:hint="eastAsia" w:ascii="宋体" w:hAnsi="宋体"/>
                <w:szCs w:val="22"/>
              </w:rPr>
              <w:t>保鲜、冷冻冷库（切配）</w:t>
            </w:r>
          </w:p>
        </w:tc>
        <w:tc>
          <w:tcPr>
            <w:tcW w:w="1134" w:type="dxa"/>
          </w:tcPr>
          <w:p>
            <w:pPr>
              <w:spacing w:line="300" w:lineRule="auto"/>
              <w:jc w:val="center"/>
              <w:rPr>
                <w:rFonts w:ascii="宋体" w:hAnsi="宋体"/>
                <w:b/>
                <w:bCs/>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13</w:t>
            </w:r>
          </w:p>
        </w:tc>
        <w:tc>
          <w:tcPr>
            <w:tcW w:w="3969" w:type="dxa"/>
          </w:tcPr>
          <w:p>
            <w:pPr>
              <w:spacing w:line="300" w:lineRule="auto"/>
              <w:rPr>
                <w:rFonts w:ascii="宋体" w:hAnsi="宋体"/>
                <w:b/>
                <w:bCs/>
                <w:szCs w:val="21"/>
              </w:rPr>
            </w:pPr>
            <w:r>
              <w:rPr>
                <w:rFonts w:hint="eastAsia" w:ascii="宋体" w:hAnsi="宋体"/>
                <w:szCs w:val="22"/>
              </w:rPr>
              <w:t>单炒燃气港灶（点心用）</w:t>
            </w:r>
          </w:p>
        </w:tc>
        <w:tc>
          <w:tcPr>
            <w:tcW w:w="1134" w:type="dxa"/>
          </w:tcPr>
          <w:p>
            <w:pPr>
              <w:spacing w:line="300" w:lineRule="auto"/>
              <w:jc w:val="center"/>
              <w:rPr>
                <w:rFonts w:ascii="宋体" w:hAnsi="宋体"/>
                <w:b/>
                <w:bCs/>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14</w:t>
            </w:r>
          </w:p>
        </w:tc>
        <w:tc>
          <w:tcPr>
            <w:tcW w:w="3969" w:type="dxa"/>
          </w:tcPr>
          <w:p>
            <w:pPr>
              <w:spacing w:line="300" w:lineRule="auto"/>
              <w:rPr>
                <w:rFonts w:ascii="宋体" w:hAnsi="宋体"/>
                <w:b/>
                <w:bCs/>
                <w:szCs w:val="21"/>
              </w:rPr>
            </w:pPr>
            <w:r>
              <w:rPr>
                <w:rFonts w:hint="eastAsia" w:ascii="宋体" w:hAnsi="宋体"/>
                <w:szCs w:val="22"/>
              </w:rPr>
              <w:t>四门保洁柜（清洁餐具摆放）</w:t>
            </w:r>
          </w:p>
        </w:tc>
        <w:tc>
          <w:tcPr>
            <w:tcW w:w="1134" w:type="dxa"/>
          </w:tcPr>
          <w:p>
            <w:pPr>
              <w:spacing w:line="300" w:lineRule="auto"/>
              <w:jc w:val="center"/>
              <w:rPr>
                <w:rFonts w:ascii="宋体" w:hAnsi="宋体"/>
                <w:b/>
                <w:bCs/>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1"/>
              </w:rPr>
            </w:pPr>
            <w:r>
              <w:rPr>
                <w:rFonts w:ascii="宋体" w:hAnsi="宋体"/>
                <w:szCs w:val="21"/>
              </w:rPr>
              <w:t>15</w:t>
            </w:r>
          </w:p>
        </w:tc>
        <w:tc>
          <w:tcPr>
            <w:tcW w:w="3969" w:type="dxa"/>
          </w:tcPr>
          <w:p>
            <w:pPr>
              <w:spacing w:line="300" w:lineRule="auto"/>
              <w:rPr>
                <w:rFonts w:ascii="宋体" w:hAnsi="宋体"/>
                <w:b/>
                <w:bCs/>
                <w:szCs w:val="21"/>
              </w:rPr>
            </w:pPr>
            <w:r>
              <w:rPr>
                <w:rFonts w:hint="eastAsia" w:ascii="宋体" w:hAnsi="宋体"/>
                <w:szCs w:val="22"/>
              </w:rPr>
              <w:t>制冰机（冷菜）</w:t>
            </w:r>
          </w:p>
        </w:tc>
        <w:tc>
          <w:tcPr>
            <w:tcW w:w="1134" w:type="dxa"/>
          </w:tcPr>
          <w:p>
            <w:pPr>
              <w:spacing w:line="300" w:lineRule="auto"/>
              <w:jc w:val="center"/>
              <w:rPr>
                <w:rFonts w:ascii="宋体" w:hAnsi="宋体"/>
                <w:b/>
                <w:bCs/>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16</w:t>
            </w:r>
          </w:p>
        </w:tc>
        <w:tc>
          <w:tcPr>
            <w:tcW w:w="3969" w:type="dxa"/>
          </w:tcPr>
          <w:p>
            <w:pPr>
              <w:spacing w:line="300" w:lineRule="auto"/>
              <w:rPr>
                <w:rFonts w:ascii="宋体" w:hAnsi="宋体"/>
                <w:b/>
                <w:bCs/>
                <w:szCs w:val="21"/>
              </w:rPr>
            </w:pPr>
            <w:r>
              <w:rPr>
                <w:rFonts w:hint="eastAsia" w:ascii="宋体" w:hAnsi="宋体"/>
                <w:szCs w:val="22"/>
              </w:rPr>
              <w:t>电热扒炉</w:t>
            </w:r>
          </w:p>
        </w:tc>
        <w:tc>
          <w:tcPr>
            <w:tcW w:w="1134" w:type="dxa"/>
          </w:tcPr>
          <w:p>
            <w:pPr>
              <w:spacing w:line="300" w:lineRule="auto"/>
              <w:jc w:val="center"/>
              <w:rPr>
                <w:rFonts w:ascii="宋体" w:hAnsi="宋体"/>
                <w:b/>
                <w:bCs/>
                <w:szCs w:val="21"/>
              </w:rPr>
            </w:pPr>
            <w:r>
              <w:rPr>
                <w:rFonts w:ascii="宋体" w:hAnsi="宋体"/>
                <w:szCs w:val="22"/>
              </w:rPr>
              <w:t>1组</w:t>
            </w:r>
          </w:p>
        </w:tc>
      </w:tr>
    </w:tbl>
    <w:p>
      <w:pPr>
        <w:spacing w:line="300" w:lineRule="auto"/>
        <w:ind w:firstLine="422" w:firstLineChars="200"/>
        <w:rPr>
          <w:rFonts w:asciiTheme="majorEastAsia" w:hAnsiTheme="majorEastAsia" w:eastAsiaTheme="majorEastAsia"/>
          <w:b/>
          <w:bCs/>
          <w:szCs w:val="21"/>
        </w:rPr>
      </w:pPr>
    </w:p>
    <w:p>
      <w:pPr>
        <w:spacing w:line="300" w:lineRule="auto"/>
        <w:ind w:firstLine="422" w:firstLineChars="200"/>
        <w:rPr>
          <w:rFonts w:asciiTheme="majorEastAsia" w:hAnsiTheme="majorEastAsia" w:eastAsiaTheme="majorEastAsia"/>
          <w:b/>
          <w:bCs/>
          <w:szCs w:val="21"/>
        </w:rPr>
      </w:pPr>
      <w:r>
        <w:rPr>
          <w:rFonts w:hint="eastAsia" w:asciiTheme="majorEastAsia" w:hAnsiTheme="majorEastAsia" w:eastAsiaTheme="majorEastAsia"/>
          <w:b/>
          <w:bCs/>
          <w:szCs w:val="21"/>
        </w:rPr>
        <w:t>第三餐厅</w:t>
      </w:r>
    </w:p>
    <w:tbl>
      <w:tblPr>
        <w:tblStyle w:val="11"/>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0"/>
        <w:gridCol w:w="3969"/>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shd w:val="clear" w:color="auto" w:fill="FDE9D9" w:themeFill="accent6" w:themeFillTint="33"/>
          </w:tcPr>
          <w:p>
            <w:pPr>
              <w:spacing w:line="300" w:lineRule="auto"/>
              <w:jc w:val="center"/>
              <w:rPr>
                <w:rFonts w:ascii="宋体" w:hAnsi="宋体"/>
                <w:b/>
                <w:bCs/>
                <w:szCs w:val="21"/>
              </w:rPr>
            </w:pPr>
            <w:r>
              <w:rPr>
                <w:rFonts w:hint="eastAsia" w:ascii="宋体" w:hAnsi="宋体"/>
                <w:b/>
                <w:bCs/>
                <w:szCs w:val="22"/>
              </w:rPr>
              <w:t>序号</w:t>
            </w:r>
          </w:p>
        </w:tc>
        <w:tc>
          <w:tcPr>
            <w:tcW w:w="3969" w:type="dxa"/>
            <w:shd w:val="clear" w:color="auto" w:fill="FDE9D9" w:themeFill="accent6" w:themeFillTint="33"/>
          </w:tcPr>
          <w:p>
            <w:pPr>
              <w:spacing w:line="300" w:lineRule="auto"/>
              <w:rPr>
                <w:rFonts w:ascii="宋体" w:hAnsi="宋体"/>
                <w:b/>
                <w:bCs/>
                <w:szCs w:val="21"/>
              </w:rPr>
            </w:pPr>
            <w:r>
              <w:rPr>
                <w:rFonts w:hint="eastAsia" w:ascii="宋体" w:hAnsi="宋体"/>
                <w:b/>
                <w:bCs/>
                <w:szCs w:val="22"/>
              </w:rPr>
              <w:t>厨房设备</w:t>
            </w:r>
          </w:p>
        </w:tc>
        <w:tc>
          <w:tcPr>
            <w:tcW w:w="1134" w:type="dxa"/>
            <w:shd w:val="clear" w:color="auto" w:fill="FDE9D9" w:themeFill="accent6" w:themeFillTint="33"/>
          </w:tcPr>
          <w:p>
            <w:pPr>
              <w:spacing w:line="300" w:lineRule="auto"/>
              <w:jc w:val="center"/>
              <w:rPr>
                <w:rFonts w:ascii="宋体" w:hAnsi="宋体"/>
                <w:b/>
                <w:bCs/>
                <w:szCs w:val="21"/>
              </w:rPr>
            </w:pPr>
            <w:r>
              <w:rPr>
                <w:rFonts w:hint="eastAsia" w:ascii="宋体" w:hAnsi="宋体"/>
                <w:b/>
                <w:bCs/>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1</w:t>
            </w:r>
          </w:p>
        </w:tc>
        <w:tc>
          <w:tcPr>
            <w:tcW w:w="3969" w:type="dxa"/>
          </w:tcPr>
          <w:p>
            <w:pPr>
              <w:spacing w:line="300" w:lineRule="auto"/>
              <w:rPr>
                <w:rFonts w:ascii="宋体" w:hAnsi="宋体"/>
                <w:szCs w:val="21"/>
              </w:rPr>
            </w:pPr>
            <w:r>
              <w:rPr>
                <w:rFonts w:hint="eastAsia" w:ascii="宋体" w:hAnsi="宋体"/>
                <w:szCs w:val="22"/>
              </w:rPr>
              <w:t>单炒燃气港灶（点心）</w:t>
            </w:r>
          </w:p>
        </w:tc>
        <w:tc>
          <w:tcPr>
            <w:tcW w:w="1134" w:type="dxa"/>
          </w:tcPr>
          <w:p>
            <w:pPr>
              <w:spacing w:line="300" w:lineRule="auto"/>
              <w:jc w:val="center"/>
              <w:rPr>
                <w:rFonts w:ascii="宋体" w:hAnsi="宋体"/>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2</w:t>
            </w:r>
          </w:p>
        </w:tc>
        <w:tc>
          <w:tcPr>
            <w:tcW w:w="3969" w:type="dxa"/>
          </w:tcPr>
          <w:p>
            <w:pPr>
              <w:spacing w:line="300" w:lineRule="auto"/>
              <w:rPr>
                <w:rFonts w:ascii="宋体" w:hAnsi="宋体"/>
                <w:szCs w:val="21"/>
              </w:rPr>
            </w:pPr>
            <w:r>
              <w:rPr>
                <w:rFonts w:hint="eastAsia" w:ascii="宋体" w:hAnsi="宋体"/>
                <w:szCs w:val="22"/>
              </w:rPr>
              <w:t>搅面机（点心）</w:t>
            </w:r>
          </w:p>
        </w:tc>
        <w:tc>
          <w:tcPr>
            <w:tcW w:w="1134" w:type="dxa"/>
          </w:tcPr>
          <w:p>
            <w:pPr>
              <w:spacing w:line="300" w:lineRule="auto"/>
              <w:jc w:val="center"/>
              <w:rPr>
                <w:rFonts w:ascii="宋体" w:hAnsi="宋体"/>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1"/>
              </w:rPr>
            </w:pPr>
            <w:r>
              <w:rPr>
                <w:rFonts w:ascii="宋体" w:hAnsi="宋体"/>
                <w:szCs w:val="21"/>
              </w:rPr>
              <w:t>3</w:t>
            </w:r>
          </w:p>
        </w:tc>
        <w:tc>
          <w:tcPr>
            <w:tcW w:w="3969" w:type="dxa"/>
          </w:tcPr>
          <w:p>
            <w:pPr>
              <w:spacing w:line="300" w:lineRule="auto"/>
              <w:rPr>
                <w:rFonts w:ascii="宋体" w:hAnsi="宋体"/>
                <w:szCs w:val="21"/>
              </w:rPr>
            </w:pPr>
            <w:r>
              <w:rPr>
                <w:rFonts w:hint="eastAsia" w:ascii="宋体" w:hAnsi="宋体"/>
                <w:szCs w:val="22"/>
              </w:rPr>
              <w:t>压面机（点心）</w:t>
            </w:r>
          </w:p>
        </w:tc>
        <w:tc>
          <w:tcPr>
            <w:tcW w:w="1134" w:type="dxa"/>
          </w:tcPr>
          <w:p>
            <w:pPr>
              <w:spacing w:line="300" w:lineRule="auto"/>
              <w:jc w:val="center"/>
              <w:rPr>
                <w:rFonts w:ascii="宋体" w:hAnsi="宋体"/>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4</w:t>
            </w:r>
          </w:p>
        </w:tc>
        <w:tc>
          <w:tcPr>
            <w:tcW w:w="3969" w:type="dxa"/>
          </w:tcPr>
          <w:p>
            <w:pPr>
              <w:spacing w:line="300" w:lineRule="auto"/>
              <w:rPr>
                <w:rFonts w:ascii="宋体" w:hAnsi="宋体"/>
                <w:szCs w:val="21"/>
              </w:rPr>
            </w:pPr>
            <w:r>
              <w:rPr>
                <w:rFonts w:hint="eastAsia" w:ascii="宋体" w:hAnsi="宋体"/>
                <w:szCs w:val="22"/>
              </w:rPr>
              <w:t>打蛋器（点心）</w:t>
            </w:r>
          </w:p>
        </w:tc>
        <w:tc>
          <w:tcPr>
            <w:tcW w:w="1134" w:type="dxa"/>
          </w:tcPr>
          <w:p>
            <w:pPr>
              <w:spacing w:line="300" w:lineRule="auto"/>
              <w:jc w:val="center"/>
              <w:rPr>
                <w:rFonts w:ascii="宋体" w:hAnsi="宋体"/>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5</w:t>
            </w:r>
          </w:p>
        </w:tc>
        <w:tc>
          <w:tcPr>
            <w:tcW w:w="3969" w:type="dxa"/>
          </w:tcPr>
          <w:p>
            <w:pPr>
              <w:spacing w:line="300" w:lineRule="auto"/>
              <w:rPr>
                <w:rFonts w:ascii="宋体" w:hAnsi="宋体"/>
                <w:szCs w:val="21"/>
              </w:rPr>
            </w:pPr>
            <w:r>
              <w:rPr>
                <w:rFonts w:hint="eastAsia" w:ascii="宋体" w:hAnsi="宋体"/>
                <w:szCs w:val="22"/>
              </w:rPr>
              <w:t>四门冰箱（点心）</w:t>
            </w:r>
          </w:p>
        </w:tc>
        <w:tc>
          <w:tcPr>
            <w:tcW w:w="1134" w:type="dxa"/>
          </w:tcPr>
          <w:p>
            <w:pPr>
              <w:spacing w:line="300" w:lineRule="auto"/>
              <w:jc w:val="center"/>
              <w:rPr>
                <w:rFonts w:ascii="宋体" w:hAnsi="宋体"/>
                <w:szCs w:val="21"/>
              </w:rPr>
            </w:pPr>
            <w:r>
              <w:rPr>
                <w:rFonts w:ascii="宋体" w:hAnsi="宋体"/>
                <w:szCs w:val="22"/>
              </w:rPr>
              <w:t>3组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6</w:t>
            </w:r>
          </w:p>
        </w:tc>
        <w:tc>
          <w:tcPr>
            <w:tcW w:w="3969" w:type="dxa"/>
          </w:tcPr>
          <w:p>
            <w:pPr>
              <w:spacing w:line="300" w:lineRule="auto"/>
              <w:rPr>
                <w:rFonts w:ascii="宋体" w:hAnsi="宋体"/>
                <w:szCs w:val="21"/>
              </w:rPr>
            </w:pPr>
            <w:r>
              <w:rPr>
                <w:rFonts w:hint="eastAsia" w:ascii="宋体" w:hAnsi="宋体"/>
                <w:szCs w:val="22"/>
              </w:rPr>
              <w:t>绞肉机（点心）</w:t>
            </w:r>
          </w:p>
        </w:tc>
        <w:tc>
          <w:tcPr>
            <w:tcW w:w="1134" w:type="dxa"/>
          </w:tcPr>
          <w:p>
            <w:pPr>
              <w:spacing w:line="300" w:lineRule="auto"/>
              <w:jc w:val="center"/>
              <w:rPr>
                <w:rFonts w:ascii="宋体" w:hAnsi="宋体"/>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1"/>
              </w:rPr>
            </w:pPr>
            <w:r>
              <w:rPr>
                <w:rFonts w:ascii="宋体" w:hAnsi="宋体"/>
                <w:szCs w:val="21"/>
              </w:rPr>
              <w:t>7</w:t>
            </w:r>
          </w:p>
        </w:tc>
        <w:tc>
          <w:tcPr>
            <w:tcW w:w="3969" w:type="dxa"/>
          </w:tcPr>
          <w:p>
            <w:pPr>
              <w:spacing w:line="300" w:lineRule="auto"/>
              <w:rPr>
                <w:rFonts w:ascii="宋体" w:hAnsi="宋体"/>
                <w:szCs w:val="21"/>
              </w:rPr>
            </w:pPr>
            <w:r>
              <w:rPr>
                <w:rFonts w:hint="eastAsia" w:ascii="宋体" w:hAnsi="宋体"/>
                <w:szCs w:val="22"/>
              </w:rPr>
              <w:t>电热开水箱（洗碗间用）</w:t>
            </w:r>
          </w:p>
        </w:tc>
        <w:tc>
          <w:tcPr>
            <w:tcW w:w="1134" w:type="dxa"/>
          </w:tcPr>
          <w:p>
            <w:pPr>
              <w:spacing w:line="300" w:lineRule="auto"/>
              <w:jc w:val="center"/>
              <w:rPr>
                <w:rFonts w:ascii="宋体" w:hAnsi="宋体"/>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8</w:t>
            </w:r>
          </w:p>
        </w:tc>
        <w:tc>
          <w:tcPr>
            <w:tcW w:w="3969" w:type="dxa"/>
          </w:tcPr>
          <w:p>
            <w:pPr>
              <w:spacing w:line="300" w:lineRule="auto"/>
              <w:rPr>
                <w:rFonts w:ascii="宋体" w:hAnsi="宋体"/>
                <w:szCs w:val="21"/>
              </w:rPr>
            </w:pPr>
            <w:r>
              <w:rPr>
                <w:rFonts w:hint="eastAsia" w:ascii="宋体" w:hAnsi="宋体"/>
                <w:szCs w:val="22"/>
              </w:rPr>
              <w:t>制冰机（厨房间用）</w:t>
            </w:r>
          </w:p>
        </w:tc>
        <w:tc>
          <w:tcPr>
            <w:tcW w:w="1134" w:type="dxa"/>
          </w:tcPr>
          <w:p>
            <w:pPr>
              <w:spacing w:line="300" w:lineRule="auto"/>
              <w:jc w:val="center"/>
              <w:rPr>
                <w:rFonts w:ascii="宋体" w:hAnsi="宋体"/>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9</w:t>
            </w:r>
          </w:p>
        </w:tc>
        <w:tc>
          <w:tcPr>
            <w:tcW w:w="3969" w:type="dxa"/>
          </w:tcPr>
          <w:p>
            <w:pPr>
              <w:spacing w:line="300" w:lineRule="auto"/>
              <w:rPr>
                <w:rFonts w:ascii="宋体" w:hAnsi="宋体"/>
                <w:szCs w:val="21"/>
              </w:rPr>
            </w:pPr>
            <w:r>
              <w:rPr>
                <w:rFonts w:hint="eastAsia" w:ascii="宋体" w:hAnsi="宋体"/>
                <w:szCs w:val="22"/>
              </w:rPr>
              <w:t>醒发箱（点心）</w:t>
            </w:r>
          </w:p>
        </w:tc>
        <w:tc>
          <w:tcPr>
            <w:tcW w:w="1134" w:type="dxa"/>
          </w:tcPr>
          <w:p>
            <w:pPr>
              <w:spacing w:line="300" w:lineRule="auto"/>
              <w:jc w:val="center"/>
              <w:rPr>
                <w:rFonts w:ascii="宋体" w:hAnsi="宋体"/>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10</w:t>
            </w:r>
          </w:p>
        </w:tc>
        <w:tc>
          <w:tcPr>
            <w:tcW w:w="3969" w:type="dxa"/>
          </w:tcPr>
          <w:p>
            <w:pPr>
              <w:spacing w:line="300" w:lineRule="auto"/>
              <w:rPr>
                <w:rFonts w:ascii="宋体" w:hAnsi="宋体"/>
                <w:szCs w:val="21"/>
              </w:rPr>
            </w:pPr>
            <w:r>
              <w:rPr>
                <w:rFonts w:hint="eastAsia" w:ascii="宋体" w:hAnsi="宋体"/>
                <w:szCs w:val="22"/>
              </w:rPr>
              <w:t>四门保洁柜（清洁餐具摆放）</w:t>
            </w:r>
          </w:p>
        </w:tc>
        <w:tc>
          <w:tcPr>
            <w:tcW w:w="1134" w:type="dxa"/>
          </w:tcPr>
          <w:p>
            <w:pPr>
              <w:spacing w:line="300" w:lineRule="auto"/>
              <w:jc w:val="center"/>
              <w:rPr>
                <w:rFonts w:ascii="宋体" w:hAnsi="宋体"/>
                <w:szCs w:val="21"/>
              </w:rPr>
            </w:pPr>
            <w:r>
              <w:rPr>
                <w:rFonts w:ascii="宋体" w:hAnsi="宋体"/>
                <w:szCs w:val="22"/>
              </w:rPr>
              <w:t>7组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1"/>
              </w:rPr>
            </w:pPr>
            <w:r>
              <w:rPr>
                <w:rFonts w:ascii="宋体" w:hAnsi="宋体"/>
                <w:szCs w:val="21"/>
              </w:rPr>
              <w:t>11</w:t>
            </w:r>
          </w:p>
        </w:tc>
        <w:tc>
          <w:tcPr>
            <w:tcW w:w="3969" w:type="dxa"/>
          </w:tcPr>
          <w:p>
            <w:pPr>
              <w:spacing w:line="300" w:lineRule="auto"/>
              <w:rPr>
                <w:rFonts w:ascii="宋体" w:hAnsi="宋体"/>
                <w:szCs w:val="21"/>
              </w:rPr>
            </w:pPr>
            <w:r>
              <w:rPr>
                <w:rFonts w:hint="eastAsia" w:ascii="宋体" w:hAnsi="宋体"/>
                <w:szCs w:val="22"/>
              </w:rPr>
              <w:t>洗碗机</w:t>
            </w:r>
          </w:p>
        </w:tc>
        <w:tc>
          <w:tcPr>
            <w:tcW w:w="1134" w:type="dxa"/>
          </w:tcPr>
          <w:p>
            <w:pPr>
              <w:spacing w:line="300" w:lineRule="auto"/>
              <w:jc w:val="center"/>
              <w:rPr>
                <w:rFonts w:ascii="宋体" w:hAnsi="宋体"/>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12</w:t>
            </w:r>
          </w:p>
        </w:tc>
        <w:tc>
          <w:tcPr>
            <w:tcW w:w="3969" w:type="dxa"/>
          </w:tcPr>
          <w:p>
            <w:pPr>
              <w:spacing w:line="300" w:lineRule="auto"/>
              <w:rPr>
                <w:rFonts w:ascii="宋体" w:hAnsi="宋体"/>
                <w:szCs w:val="21"/>
              </w:rPr>
            </w:pPr>
            <w:r>
              <w:rPr>
                <w:rFonts w:hint="eastAsia" w:ascii="宋体" w:hAnsi="宋体"/>
                <w:szCs w:val="22"/>
              </w:rPr>
              <w:t>双头大锅灶（自助餐、点心用）</w:t>
            </w:r>
          </w:p>
        </w:tc>
        <w:tc>
          <w:tcPr>
            <w:tcW w:w="1134" w:type="dxa"/>
          </w:tcPr>
          <w:p>
            <w:pPr>
              <w:spacing w:line="300" w:lineRule="auto"/>
              <w:jc w:val="center"/>
              <w:rPr>
                <w:rFonts w:ascii="宋体" w:hAnsi="宋体"/>
                <w:szCs w:val="21"/>
              </w:rPr>
            </w:pPr>
            <w:r>
              <w:rPr>
                <w:rFonts w:ascii="宋体" w:hAnsi="宋体"/>
                <w:szCs w:val="22"/>
              </w:rPr>
              <w:t>2组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13</w:t>
            </w:r>
          </w:p>
        </w:tc>
        <w:tc>
          <w:tcPr>
            <w:tcW w:w="3969" w:type="dxa"/>
          </w:tcPr>
          <w:p>
            <w:pPr>
              <w:spacing w:line="300" w:lineRule="auto"/>
              <w:rPr>
                <w:rFonts w:ascii="宋体" w:hAnsi="宋体"/>
                <w:szCs w:val="21"/>
              </w:rPr>
            </w:pPr>
            <w:r>
              <w:rPr>
                <w:rFonts w:hint="eastAsia" w:ascii="宋体" w:hAnsi="宋体"/>
                <w:szCs w:val="22"/>
              </w:rPr>
              <w:t>单头大锅灶（自助餐用）</w:t>
            </w:r>
          </w:p>
        </w:tc>
        <w:tc>
          <w:tcPr>
            <w:tcW w:w="1134" w:type="dxa"/>
          </w:tcPr>
          <w:p>
            <w:pPr>
              <w:spacing w:line="300" w:lineRule="auto"/>
              <w:jc w:val="center"/>
              <w:rPr>
                <w:rFonts w:ascii="宋体" w:hAnsi="宋体"/>
                <w:szCs w:val="21"/>
              </w:rPr>
            </w:pPr>
            <w:r>
              <w:rPr>
                <w:rFonts w:ascii="宋体" w:hAnsi="宋体"/>
                <w:szCs w:val="22"/>
              </w:rPr>
              <w:t>2组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14</w:t>
            </w:r>
          </w:p>
        </w:tc>
        <w:tc>
          <w:tcPr>
            <w:tcW w:w="3969" w:type="dxa"/>
          </w:tcPr>
          <w:p>
            <w:pPr>
              <w:spacing w:line="300" w:lineRule="auto"/>
              <w:rPr>
                <w:rFonts w:ascii="宋体" w:hAnsi="宋体"/>
                <w:szCs w:val="21"/>
              </w:rPr>
            </w:pPr>
            <w:r>
              <w:rPr>
                <w:rFonts w:hint="eastAsia" w:ascii="宋体" w:hAnsi="宋体"/>
                <w:szCs w:val="22"/>
              </w:rPr>
              <w:t>燃气扒炉（点心）</w:t>
            </w:r>
          </w:p>
        </w:tc>
        <w:tc>
          <w:tcPr>
            <w:tcW w:w="1134" w:type="dxa"/>
          </w:tcPr>
          <w:p>
            <w:pPr>
              <w:spacing w:line="300" w:lineRule="auto"/>
              <w:jc w:val="center"/>
              <w:rPr>
                <w:rFonts w:ascii="宋体" w:hAnsi="宋体"/>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1"/>
              </w:rPr>
            </w:pPr>
            <w:r>
              <w:rPr>
                <w:rFonts w:ascii="宋体" w:hAnsi="宋体"/>
                <w:szCs w:val="21"/>
              </w:rPr>
              <w:t>15</w:t>
            </w:r>
          </w:p>
        </w:tc>
        <w:tc>
          <w:tcPr>
            <w:tcW w:w="3969" w:type="dxa"/>
          </w:tcPr>
          <w:p>
            <w:pPr>
              <w:spacing w:line="300" w:lineRule="auto"/>
              <w:rPr>
                <w:rFonts w:ascii="宋体" w:hAnsi="宋体"/>
                <w:szCs w:val="21"/>
              </w:rPr>
            </w:pPr>
            <w:r>
              <w:rPr>
                <w:rFonts w:hint="eastAsia" w:ascii="宋体" w:hAnsi="宋体"/>
                <w:szCs w:val="22"/>
              </w:rPr>
              <w:t>四门冰箱（切配用）</w:t>
            </w:r>
          </w:p>
        </w:tc>
        <w:tc>
          <w:tcPr>
            <w:tcW w:w="1134" w:type="dxa"/>
          </w:tcPr>
          <w:p>
            <w:pPr>
              <w:spacing w:line="300" w:lineRule="auto"/>
              <w:jc w:val="center"/>
              <w:rPr>
                <w:rFonts w:ascii="宋体" w:hAnsi="宋体"/>
                <w:szCs w:val="21"/>
              </w:rPr>
            </w:pPr>
            <w:r>
              <w:rPr>
                <w:rFonts w:ascii="宋体" w:hAnsi="宋体"/>
                <w:szCs w:val="22"/>
              </w:rPr>
              <w:t>3组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16</w:t>
            </w:r>
          </w:p>
        </w:tc>
        <w:tc>
          <w:tcPr>
            <w:tcW w:w="3969" w:type="dxa"/>
          </w:tcPr>
          <w:p>
            <w:pPr>
              <w:spacing w:line="300" w:lineRule="auto"/>
              <w:rPr>
                <w:rFonts w:ascii="宋体" w:hAnsi="宋体"/>
                <w:szCs w:val="21"/>
              </w:rPr>
            </w:pPr>
            <w:r>
              <w:rPr>
                <w:rFonts w:hint="eastAsia" w:ascii="宋体" w:hAnsi="宋体"/>
                <w:szCs w:val="22"/>
              </w:rPr>
              <w:t>燃气生煎平底炉（点心）</w:t>
            </w:r>
          </w:p>
        </w:tc>
        <w:tc>
          <w:tcPr>
            <w:tcW w:w="1134" w:type="dxa"/>
          </w:tcPr>
          <w:p>
            <w:pPr>
              <w:spacing w:line="300" w:lineRule="auto"/>
              <w:jc w:val="center"/>
              <w:rPr>
                <w:rFonts w:ascii="宋体" w:hAnsi="宋体"/>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17</w:t>
            </w:r>
          </w:p>
        </w:tc>
        <w:tc>
          <w:tcPr>
            <w:tcW w:w="3969" w:type="dxa"/>
          </w:tcPr>
          <w:p>
            <w:pPr>
              <w:spacing w:line="300" w:lineRule="auto"/>
              <w:rPr>
                <w:rFonts w:ascii="宋体" w:hAnsi="宋体"/>
                <w:szCs w:val="21"/>
              </w:rPr>
            </w:pPr>
            <w:r>
              <w:rPr>
                <w:rFonts w:hint="eastAsia" w:ascii="宋体" w:hAnsi="宋体"/>
                <w:szCs w:val="22"/>
              </w:rPr>
              <w:t>矮脚炉（煲汤）</w:t>
            </w:r>
          </w:p>
        </w:tc>
        <w:tc>
          <w:tcPr>
            <w:tcW w:w="1134" w:type="dxa"/>
          </w:tcPr>
          <w:p>
            <w:pPr>
              <w:spacing w:line="300" w:lineRule="auto"/>
              <w:jc w:val="center"/>
              <w:rPr>
                <w:rFonts w:ascii="宋体" w:hAnsi="宋体"/>
                <w:szCs w:val="21"/>
              </w:rPr>
            </w:pPr>
            <w:r>
              <w:rPr>
                <w:rFonts w:ascii="宋体" w:hAnsi="宋体"/>
                <w:szCs w:val="22"/>
              </w:rPr>
              <w:t>2组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18</w:t>
            </w:r>
          </w:p>
        </w:tc>
        <w:tc>
          <w:tcPr>
            <w:tcW w:w="3969" w:type="dxa"/>
          </w:tcPr>
          <w:p>
            <w:pPr>
              <w:spacing w:line="300" w:lineRule="auto"/>
              <w:rPr>
                <w:rFonts w:ascii="宋体" w:hAnsi="宋体"/>
                <w:szCs w:val="21"/>
              </w:rPr>
            </w:pPr>
            <w:r>
              <w:rPr>
                <w:rFonts w:hint="eastAsia" w:ascii="宋体" w:hAnsi="宋体"/>
                <w:szCs w:val="22"/>
              </w:rPr>
              <w:t>二门冰箱（点心）</w:t>
            </w:r>
          </w:p>
        </w:tc>
        <w:tc>
          <w:tcPr>
            <w:tcW w:w="1134" w:type="dxa"/>
          </w:tcPr>
          <w:p>
            <w:pPr>
              <w:spacing w:line="300" w:lineRule="auto"/>
              <w:jc w:val="center"/>
              <w:rPr>
                <w:rFonts w:ascii="宋体" w:hAnsi="宋体"/>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1"/>
              </w:rPr>
            </w:pPr>
            <w:r>
              <w:rPr>
                <w:rFonts w:ascii="宋体" w:hAnsi="宋体"/>
                <w:szCs w:val="21"/>
              </w:rPr>
              <w:t>19</w:t>
            </w:r>
          </w:p>
        </w:tc>
        <w:tc>
          <w:tcPr>
            <w:tcW w:w="3969" w:type="dxa"/>
          </w:tcPr>
          <w:p>
            <w:pPr>
              <w:spacing w:line="300" w:lineRule="auto"/>
              <w:rPr>
                <w:rFonts w:ascii="宋体" w:hAnsi="宋体"/>
                <w:szCs w:val="21"/>
              </w:rPr>
            </w:pPr>
            <w:r>
              <w:rPr>
                <w:rFonts w:hint="eastAsia" w:ascii="宋体" w:hAnsi="宋体"/>
                <w:szCs w:val="22"/>
              </w:rPr>
              <w:t>三层烤箱</w:t>
            </w:r>
            <w:r>
              <w:rPr>
                <w:rFonts w:ascii="宋体" w:hAnsi="宋体"/>
                <w:szCs w:val="22"/>
              </w:rPr>
              <w:t>+单层烤箱</w:t>
            </w:r>
          </w:p>
        </w:tc>
        <w:tc>
          <w:tcPr>
            <w:tcW w:w="1134" w:type="dxa"/>
          </w:tcPr>
          <w:p>
            <w:pPr>
              <w:spacing w:line="300" w:lineRule="auto"/>
              <w:jc w:val="center"/>
              <w:rPr>
                <w:rFonts w:ascii="宋体" w:hAnsi="宋体"/>
                <w:szCs w:val="21"/>
              </w:rPr>
            </w:pPr>
            <w:r>
              <w:rPr>
                <w:rFonts w:ascii="宋体" w:hAnsi="宋体"/>
                <w:szCs w:val="22"/>
              </w:rPr>
              <w:t>1组+1组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20</w:t>
            </w:r>
          </w:p>
        </w:tc>
        <w:tc>
          <w:tcPr>
            <w:tcW w:w="3969" w:type="dxa"/>
          </w:tcPr>
          <w:p>
            <w:pPr>
              <w:spacing w:line="300" w:lineRule="auto"/>
              <w:rPr>
                <w:rFonts w:ascii="宋体" w:hAnsi="宋体"/>
                <w:szCs w:val="21"/>
              </w:rPr>
            </w:pPr>
            <w:r>
              <w:rPr>
                <w:rFonts w:hint="eastAsia" w:ascii="宋体" w:hAnsi="宋体"/>
                <w:szCs w:val="22"/>
              </w:rPr>
              <w:t>电煎饼炉（点心）</w:t>
            </w:r>
          </w:p>
        </w:tc>
        <w:tc>
          <w:tcPr>
            <w:tcW w:w="1134" w:type="dxa"/>
          </w:tcPr>
          <w:p>
            <w:pPr>
              <w:spacing w:line="300" w:lineRule="auto"/>
              <w:jc w:val="center"/>
              <w:rPr>
                <w:rFonts w:ascii="宋体" w:hAnsi="宋体"/>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21</w:t>
            </w:r>
          </w:p>
        </w:tc>
        <w:tc>
          <w:tcPr>
            <w:tcW w:w="3969" w:type="dxa"/>
          </w:tcPr>
          <w:p>
            <w:pPr>
              <w:spacing w:line="300" w:lineRule="auto"/>
              <w:rPr>
                <w:rFonts w:ascii="宋体" w:hAnsi="宋体"/>
                <w:szCs w:val="21"/>
              </w:rPr>
            </w:pPr>
            <w:r>
              <w:rPr>
                <w:rFonts w:hint="eastAsia" w:ascii="宋体" w:hAnsi="宋体"/>
                <w:szCs w:val="22"/>
              </w:rPr>
              <w:t>多功能燃气煮面炉（点心）</w:t>
            </w:r>
          </w:p>
        </w:tc>
        <w:tc>
          <w:tcPr>
            <w:tcW w:w="1134" w:type="dxa"/>
          </w:tcPr>
          <w:p>
            <w:pPr>
              <w:spacing w:line="300" w:lineRule="auto"/>
              <w:jc w:val="center"/>
              <w:rPr>
                <w:rFonts w:ascii="宋体" w:hAnsi="宋体"/>
                <w:szCs w:val="21"/>
              </w:rPr>
            </w:pPr>
            <w:r>
              <w:rPr>
                <w:rFonts w:ascii="宋体" w:hAnsi="宋体"/>
                <w:szCs w:val="22"/>
              </w:rPr>
              <w:t>2组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22</w:t>
            </w:r>
          </w:p>
        </w:tc>
        <w:tc>
          <w:tcPr>
            <w:tcW w:w="3969" w:type="dxa"/>
          </w:tcPr>
          <w:p>
            <w:pPr>
              <w:spacing w:line="300" w:lineRule="auto"/>
              <w:rPr>
                <w:rFonts w:ascii="宋体" w:hAnsi="宋体"/>
                <w:szCs w:val="21"/>
              </w:rPr>
            </w:pPr>
            <w:r>
              <w:rPr>
                <w:rFonts w:hint="eastAsia" w:ascii="宋体" w:hAnsi="宋体"/>
                <w:szCs w:val="22"/>
              </w:rPr>
              <w:t>三门燃气蒸箱（蒸菜、点心用）</w:t>
            </w:r>
          </w:p>
        </w:tc>
        <w:tc>
          <w:tcPr>
            <w:tcW w:w="1134" w:type="dxa"/>
          </w:tcPr>
          <w:p>
            <w:pPr>
              <w:spacing w:line="300" w:lineRule="auto"/>
              <w:jc w:val="center"/>
              <w:rPr>
                <w:rFonts w:ascii="宋体" w:hAnsi="宋体"/>
                <w:szCs w:val="21"/>
              </w:rPr>
            </w:pPr>
            <w:r>
              <w:rPr>
                <w:rFonts w:ascii="宋体" w:hAnsi="宋体"/>
                <w:szCs w:val="22"/>
              </w:rPr>
              <w:t>2组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1"/>
              </w:rPr>
            </w:pPr>
            <w:r>
              <w:rPr>
                <w:rFonts w:ascii="宋体" w:hAnsi="宋体"/>
                <w:szCs w:val="21"/>
              </w:rPr>
              <w:t>23</w:t>
            </w:r>
          </w:p>
        </w:tc>
        <w:tc>
          <w:tcPr>
            <w:tcW w:w="3969" w:type="dxa"/>
          </w:tcPr>
          <w:p>
            <w:pPr>
              <w:spacing w:line="300" w:lineRule="auto"/>
              <w:rPr>
                <w:rFonts w:ascii="宋体" w:hAnsi="宋体"/>
                <w:szCs w:val="21"/>
              </w:rPr>
            </w:pPr>
            <w:r>
              <w:rPr>
                <w:rFonts w:hint="eastAsia" w:ascii="宋体" w:hAnsi="宋体"/>
                <w:szCs w:val="22"/>
              </w:rPr>
              <w:t>二门燃气蒸饭箱（蒸饭）</w:t>
            </w:r>
          </w:p>
        </w:tc>
        <w:tc>
          <w:tcPr>
            <w:tcW w:w="1134" w:type="dxa"/>
          </w:tcPr>
          <w:p>
            <w:pPr>
              <w:spacing w:line="300" w:lineRule="auto"/>
              <w:jc w:val="center"/>
              <w:rPr>
                <w:rFonts w:ascii="宋体" w:hAnsi="宋体"/>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24</w:t>
            </w:r>
          </w:p>
        </w:tc>
        <w:tc>
          <w:tcPr>
            <w:tcW w:w="3969" w:type="dxa"/>
          </w:tcPr>
          <w:p>
            <w:pPr>
              <w:spacing w:line="300" w:lineRule="auto"/>
              <w:rPr>
                <w:rFonts w:ascii="宋体" w:hAnsi="宋体"/>
                <w:szCs w:val="21"/>
              </w:rPr>
            </w:pPr>
            <w:r>
              <w:rPr>
                <w:rFonts w:hint="eastAsia" w:ascii="宋体" w:hAnsi="宋体"/>
                <w:szCs w:val="22"/>
              </w:rPr>
              <w:t>双炒双尾燃气港灶（自助餐）</w:t>
            </w:r>
          </w:p>
        </w:tc>
        <w:tc>
          <w:tcPr>
            <w:tcW w:w="1134" w:type="dxa"/>
          </w:tcPr>
          <w:p>
            <w:pPr>
              <w:spacing w:line="300" w:lineRule="auto"/>
              <w:jc w:val="center"/>
              <w:rPr>
                <w:rFonts w:ascii="宋体" w:hAnsi="宋体"/>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25</w:t>
            </w:r>
          </w:p>
        </w:tc>
        <w:tc>
          <w:tcPr>
            <w:tcW w:w="3969" w:type="dxa"/>
          </w:tcPr>
          <w:p>
            <w:pPr>
              <w:spacing w:line="300" w:lineRule="auto"/>
              <w:rPr>
                <w:rFonts w:ascii="宋体" w:hAnsi="宋体"/>
                <w:szCs w:val="21"/>
              </w:rPr>
            </w:pPr>
            <w:r>
              <w:rPr>
                <w:rFonts w:hint="eastAsia" w:ascii="宋体" w:hAnsi="宋体"/>
                <w:szCs w:val="22"/>
              </w:rPr>
              <w:t>冷冻、冷藏冷库（切配用）</w:t>
            </w:r>
          </w:p>
        </w:tc>
        <w:tc>
          <w:tcPr>
            <w:tcW w:w="1134" w:type="dxa"/>
          </w:tcPr>
          <w:p>
            <w:pPr>
              <w:spacing w:line="300" w:lineRule="auto"/>
              <w:jc w:val="center"/>
              <w:rPr>
                <w:rFonts w:ascii="宋体" w:hAnsi="宋体"/>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26</w:t>
            </w:r>
          </w:p>
        </w:tc>
        <w:tc>
          <w:tcPr>
            <w:tcW w:w="3969" w:type="dxa"/>
          </w:tcPr>
          <w:p>
            <w:pPr>
              <w:spacing w:line="300" w:lineRule="auto"/>
              <w:rPr>
                <w:rFonts w:ascii="宋体" w:hAnsi="宋体"/>
                <w:szCs w:val="21"/>
              </w:rPr>
            </w:pPr>
            <w:r>
              <w:rPr>
                <w:rFonts w:hint="eastAsia" w:ascii="宋体" w:hAnsi="宋体"/>
                <w:szCs w:val="22"/>
              </w:rPr>
              <w:t>切菜机（点心）</w:t>
            </w:r>
          </w:p>
        </w:tc>
        <w:tc>
          <w:tcPr>
            <w:tcW w:w="1134" w:type="dxa"/>
          </w:tcPr>
          <w:p>
            <w:pPr>
              <w:spacing w:line="300" w:lineRule="auto"/>
              <w:jc w:val="center"/>
              <w:rPr>
                <w:rFonts w:ascii="宋体" w:hAnsi="宋体"/>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1"/>
              </w:rPr>
            </w:pPr>
            <w:r>
              <w:rPr>
                <w:rFonts w:ascii="宋体" w:hAnsi="宋体"/>
                <w:szCs w:val="21"/>
              </w:rPr>
              <w:t>27</w:t>
            </w:r>
          </w:p>
        </w:tc>
        <w:tc>
          <w:tcPr>
            <w:tcW w:w="3969" w:type="dxa"/>
          </w:tcPr>
          <w:p>
            <w:pPr>
              <w:spacing w:line="300" w:lineRule="auto"/>
              <w:rPr>
                <w:rFonts w:ascii="宋体" w:hAnsi="宋体"/>
                <w:szCs w:val="21"/>
              </w:rPr>
            </w:pPr>
            <w:r>
              <w:rPr>
                <w:rFonts w:hint="eastAsia" w:ascii="宋体" w:hAnsi="宋体"/>
                <w:szCs w:val="22"/>
              </w:rPr>
              <w:t>四门冰箱（冷菜用）</w:t>
            </w:r>
          </w:p>
        </w:tc>
        <w:tc>
          <w:tcPr>
            <w:tcW w:w="1134" w:type="dxa"/>
          </w:tcPr>
          <w:p>
            <w:pPr>
              <w:spacing w:line="300" w:lineRule="auto"/>
              <w:jc w:val="center"/>
              <w:rPr>
                <w:rFonts w:ascii="宋体" w:hAnsi="宋体"/>
                <w:szCs w:val="21"/>
              </w:rPr>
            </w:pPr>
            <w:r>
              <w:rPr>
                <w:rFonts w:ascii="宋体" w:hAnsi="宋体"/>
                <w:szCs w:val="22"/>
              </w:rPr>
              <w:t>3台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28</w:t>
            </w:r>
          </w:p>
        </w:tc>
        <w:tc>
          <w:tcPr>
            <w:tcW w:w="3969" w:type="dxa"/>
          </w:tcPr>
          <w:p>
            <w:pPr>
              <w:spacing w:line="300" w:lineRule="auto"/>
              <w:rPr>
                <w:rFonts w:ascii="宋体" w:hAnsi="宋体"/>
                <w:szCs w:val="21"/>
              </w:rPr>
            </w:pPr>
            <w:r>
              <w:rPr>
                <w:rFonts w:hint="eastAsia" w:ascii="宋体" w:hAnsi="宋体"/>
                <w:szCs w:val="22"/>
              </w:rPr>
              <w:t>三门燃气蒸箱（冷菜用）</w:t>
            </w:r>
          </w:p>
        </w:tc>
        <w:tc>
          <w:tcPr>
            <w:tcW w:w="1134" w:type="dxa"/>
          </w:tcPr>
          <w:p>
            <w:pPr>
              <w:spacing w:line="300" w:lineRule="auto"/>
              <w:jc w:val="center"/>
              <w:rPr>
                <w:rFonts w:ascii="宋体" w:hAnsi="宋体"/>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29</w:t>
            </w:r>
          </w:p>
        </w:tc>
        <w:tc>
          <w:tcPr>
            <w:tcW w:w="3969" w:type="dxa"/>
          </w:tcPr>
          <w:p>
            <w:pPr>
              <w:spacing w:line="300" w:lineRule="auto"/>
              <w:rPr>
                <w:rFonts w:ascii="宋体" w:hAnsi="宋体"/>
                <w:szCs w:val="21"/>
              </w:rPr>
            </w:pPr>
            <w:r>
              <w:rPr>
                <w:rFonts w:hint="eastAsia" w:ascii="宋体" w:hAnsi="宋体"/>
                <w:szCs w:val="22"/>
              </w:rPr>
              <w:t>单炒单尾燃气港灶（冷菜用）</w:t>
            </w:r>
          </w:p>
        </w:tc>
        <w:tc>
          <w:tcPr>
            <w:tcW w:w="1134" w:type="dxa"/>
          </w:tcPr>
          <w:p>
            <w:pPr>
              <w:spacing w:line="300" w:lineRule="auto"/>
              <w:jc w:val="center"/>
              <w:rPr>
                <w:rFonts w:ascii="宋体" w:hAnsi="宋体"/>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30</w:t>
            </w:r>
          </w:p>
        </w:tc>
        <w:tc>
          <w:tcPr>
            <w:tcW w:w="3969" w:type="dxa"/>
          </w:tcPr>
          <w:p>
            <w:pPr>
              <w:spacing w:line="300" w:lineRule="auto"/>
              <w:rPr>
                <w:rFonts w:ascii="宋体" w:hAnsi="宋体"/>
                <w:szCs w:val="21"/>
              </w:rPr>
            </w:pPr>
            <w:r>
              <w:rPr>
                <w:rFonts w:hint="eastAsia" w:ascii="宋体" w:hAnsi="宋体"/>
                <w:szCs w:val="22"/>
              </w:rPr>
              <w:t>双炒双尾燃气港灶（冷菜用）</w:t>
            </w:r>
          </w:p>
        </w:tc>
        <w:tc>
          <w:tcPr>
            <w:tcW w:w="1134" w:type="dxa"/>
          </w:tcPr>
          <w:p>
            <w:pPr>
              <w:spacing w:line="300" w:lineRule="auto"/>
              <w:jc w:val="center"/>
              <w:rPr>
                <w:rFonts w:ascii="宋体" w:hAnsi="宋体"/>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0" w:type="dxa"/>
          </w:tcPr>
          <w:p>
            <w:pPr>
              <w:spacing w:line="300" w:lineRule="auto"/>
              <w:jc w:val="center"/>
              <w:rPr>
                <w:rFonts w:ascii="宋体" w:hAnsi="宋体"/>
                <w:szCs w:val="21"/>
              </w:rPr>
            </w:pPr>
            <w:r>
              <w:rPr>
                <w:rFonts w:ascii="宋体" w:hAnsi="宋体"/>
                <w:szCs w:val="21"/>
              </w:rPr>
              <w:t>31</w:t>
            </w:r>
          </w:p>
        </w:tc>
        <w:tc>
          <w:tcPr>
            <w:tcW w:w="3969" w:type="dxa"/>
          </w:tcPr>
          <w:p>
            <w:pPr>
              <w:spacing w:line="300" w:lineRule="auto"/>
              <w:rPr>
                <w:rFonts w:ascii="宋体" w:hAnsi="宋体"/>
                <w:szCs w:val="21"/>
              </w:rPr>
            </w:pPr>
            <w:r>
              <w:rPr>
                <w:rFonts w:hint="eastAsia" w:ascii="宋体" w:hAnsi="宋体"/>
                <w:szCs w:val="22"/>
              </w:rPr>
              <w:t>矮脚炉（冷菜用）</w:t>
            </w:r>
          </w:p>
        </w:tc>
        <w:tc>
          <w:tcPr>
            <w:tcW w:w="1134" w:type="dxa"/>
          </w:tcPr>
          <w:p>
            <w:pPr>
              <w:spacing w:line="300" w:lineRule="auto"/>
              <w:jc w:val="center"/>
              <w:rPr>
                <w:rFonts w:ascii="宋体" w:hAnsi="宋体"/>
                <w:szCs w:val="21"/>
              </w:rPr>
            </w:pPr>
            <w:r>
              <w:rPr>
                <w:rFonts w:ascii="宋体" w:hAnsi="宋体"/>
                <w:szCs w:val="22"/>
              </w:rPr>
              <w:t>1组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32</w:t>
            </w:r>
          </w:p>
        </w:tc>
        <w:tc>
          <w:tcPr>
            <w:tcW w:w="3969" w:type="dxa"/>
          </w:tcPr>
          <w:p>
            <w:pPr>
              <w:spacing w:line="300" w:lineRule="auto"/>
              <w:rPr>
                <w:rFonts w:ascii="宋体" w:hAnsi="宋体"/>
                <w:szCs w:val="21"/>
              </w:rPr>
            </w:pPr>
            <w:r>
              <w:rPr>
                <w:rFonts w:hint="eastAsia" w:ascii="宋体" w:hAnsi="宋体"/>
                <w:szCs w:val="22"/>
              </w:rPr>
              <w:t>制冰机（冷菜用）</w:t>
            </w:r>
          </w:p>
        </w:tc>
        <w:tc>
          <w:tcPr>
            <w:tcW w:w="1134" w:type="dxa"/>
          </w:tcPr>
          <w:p>
            <w:pPr>
              <w:spacing w:line="300" w:lineRule="auto"/>
              <w:jc w:val="center"/>
              <w:rPr>
                <w:rFonts w:ascii="宋体" w:hAnsi="宋体"/>
                <w:szCs w:val="21"/>
              </w:rPr>
            </w:pPr>
            <w:r>
              <w:rPr>
                <w:rFonts w:ascii="宋体" w:hAnsi="宋体"/>
                <w:szCs w:val="22"/>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pPr>
              <w:spacing w:line="300" w:lineRule="auto"/>
              <w:jc w:val="center"/>
              <w:rPr>
                <w:rFonts w:ascii="宋体" w:hAnsi="宋体"/>
                <w:szCs w:val="21"/>
              </w:rPr>
            </w:pPr>
            <w:r>
              <w:rPr>
                <w:rFonts w:ascii="宋体" w:hAnsi="宋体"/>
                <w:szCs w:val="21"/>
              </w:rPr>
              <w:t>33</w:t>
            </w:r>
          </w:p>
        </w:tc>
        <w:tc>
          <w:tcPr>
            <w:tcW w:w="3969" w:type="dxa"/>
          </w:tcPr>
          <w:p>
            <w:pPr>
              <w:spacing w:line="300" w:lineRule="auto"/>
              <w:rPr>
                <w:rFonts w:ascii="宋体" w:hAnsi="宋体"/>
                <w:szCs w:val="21"/>
              </w:rPr>
            </w:pPr>
            <w:r>
              <w:rPr>
                <w:rFonts w:hint="eastAsia" w:ascii="宋体" w:hAnsi="宋体"/>
                <w:szCs w:val="22"/>
              </w:rPr>
              <w:t>二门冰箱（冷菜用）</w:t>
            </w:r>
          </w:p>
        </w:tc>
        <w:tc>
          <w:tcPr>
            <w:tcW w:w="1134" w:type="dxa"/>
          </w:tcPr>
          <w:p>
            <w:pPr>
              <w:spacing w:line="300" w:lineRule="auto"/>
              <w:jc w:val="center"/>
              <w:rPr>
                <w:rFonts w:ascii="宋体" w:hAnsi="宋体"/>
                <w:szCs w:val="21"/>
              </w:rPr>
            </w:pPr>
            <w:r>
              <w:rPr>
                <w:rFonts w:ascii="宋体" w:hAnsi="宋体"/>
                <w:szCs w:val="22"/>
              </w:rPr>
              <w:t>1台</w:t>
            </w:r>
          </w:p>
        </w:tc>
      </w:tr>
    </w:tbl>
    <w:p>
      <w:pPr>
        <w:pStyle w:val="5"/>
        <w:spacing w:line="360" w:lineRule="auto"/>
        <w:ind w:firstLine="422" w:firstLineChars="200"/>
        <w:rPr>
          <w:rFonts w:hAnsi="宋体"/>
          <w:b/>
          <w:szCs w:val="21"/>
        </w:rPr>
      </w:pPr>
      <w:r>
        <w:rPr>
          <w:rFonts w:hint="eastAsia" w:hAnsi="宋体"/>
          <w:b/>
          <w:bCs/>
          <w:szCs w:val="21"/>
        </w:rPr>
        <w:t>二、服务对象</w:t>
      </w:r>
    </w:p>
    <w:p>
      <w:pPr>
        <w:pStyle w:val="5"/>
        <w:spacing w:line="360" w:lineRule="auto"/>
        <w:ind w:firstLine="371" w:firstLineChars="177"/>
        <w:jc w:val="left"/>
        <w:rPr>
          <w:rFonts w:hAnsi="宋体"/>
          <w:szCs w:val="21"/>
        </w:rPr>
      </w:pPr>
      <w:r>
        <w:rPr>
          <w:rFonts w:hint="eastAsia" w:hAnsi="宋体"/>
          <w:szCs w:val="21"/>
        </w:rPr>
        <w:t>提供服务的对象为学院教职工、在院学员、全日制研究生、留学生及驻学院物业员工等。</w:t>
      </w:r>
    </w:p>
    <w:p>
      <w:pPr>
        <w:pStyle w:val="5"/>
        <w:spacing w:line="360" w:lineRule="auto"/>
        <w:ind w:firstLine="426"/>
        <w:jc w:val="left"/>
        <w:rPr>
          <w:rFonts w:hAnsi="宋体"/>
          <w:b/>
          <w:szCs w:val="21"/>
        </w:rPr>
      </w:pPr>
      <w:r>
        <w:rPr>
          <w:rFonts w:hint="eastAsia" w:hAnsi="宋体"/>
          <w:b/>
          <w:bCs/>
          <w:szCs w:val="21"/>
        </w:rPr>
        <w:t>三、服务内容及范围</w:t>
      </w:r>
    </w:p>
    <w:p>
      <w:pPr>
        <w:pStyle w:val="5"/>
        <w:spacing w:line="360" w:lineRule="auto"/>
        <w:ind w:firstLine="369" w:firstLineChars="176"/>
        <w:jc w:val="left"/>
        <w:rPr>
          <w:rFonts w:hAnsi="宋体"/>
          <w:bCs/>
          <w:szCs w:val="21"/>
        </w:rPr>
      </w:pPr>
      <w:r>
        <w:rPr>
          <w:rFonts w:hAnsi="宋体"/>
          <w:bCs/>
          <w:szCs w:val="21"/>
        </w:rPr>
        <w:t>1、供餐服务：包括食品的清洁、烹制及供应，培训班课间茶点及水果供应等；</w:t>
      </w:r>
    </w:p>
    <w:p>
      <w:pPr>
        <w:pStyle w:val="5"/>
        <w:spacing w:line="360" w:lineRule="auto"/>
        <w:ind w:firstLine="369" w:firstLineChars="176"/>
        <w:jc w:val="left"/>
        <w:rPr>
          <w:rFonts w:hAnsi="宋体"/>
          <w:bCs/>
          <w:szCs w:val="21"/>
        </w:rPr>
      </w:pPr>
      <w:r>
        <w:rPr>
          <w:rFonts w:hAnsi="宋体"/>
          <w:bCs/>
          <w:szCs w:val="21"/>
        </w:rPr>
        <w:t>2、餐厅管理：包括餐厅的食品原料采购，订餐服务，用餐服务，餐厅卫生，餐具清洗，食品卫生，环境卫生（不含餐厅卫生间），用餐场地布置(包括常规自助餐、圆桌餐及指定场地的特殊类型供餐等)，设备餐具保管，设备和设施的维护保养；</w:t>
      </w:r>
    </w:p>
    <w:p>
      <w:pPr>
        <w:pStyle w:val="5"/>
        <w:spacing w:line="360" w:lineRule="auto"/>
        <w:ind w:firstLine="369" w:firstLineChars="176"/>
        <w:jc w:val="left"/>
        <w:rPr>
          <w:rFonts w:hAnsi="宋体"/>
          <w:bCs/>
          <w:szCs w:val="21"/>
        </w:rPr>
      </w:pPr>
      <w:r>
        <w:rPr>
          <w:rFonts w:hAnsi="宋体"/>
          <w:bCs/>
          <w:szCs w:val="21"/>
        </w:rPr>
        <w:t>3、其他餐饮管理服务：包括人员管理、餐厅成本控制、餐厅消防安全、生产安全以及和餐厅相关的其他内容。</w:t>
      </w:r>
    </w:p>
    <w:p>
      <w:pPr>
        <w:pStyle w:val="5"/>
        <w:spacing w:line="360" w:lineRule="auto"/>
        <w:ind w:firstLine="413" w:firstLineChars="196"/>
        <w:jc w:val="left"/>
        <w:rPr>
          <w:rFonts w:hAnsi="宋体"/>
          <w:b/>
          <w:szCs w:val="21"/>
        </w:rPr>
      </w:pPr>
      <w:r>
        <w:rPr>
          <w:rFonts w:hint="eastAsia" w:hAnsi="宋体"/>
          <w:b/>
          <w:bCs/>
          <w:szCs w:val="21"/>
        </w:rPr>
        <w:t>四、供餐类型</w:t>
      </w:r>
    </w:p>
    <w:p>
      <w:pPr>
        <w:pStyle w:val="5"/>
        <w:spacing w:line="360" w:lineRule="auto"/>
        <w:ind w:firstLine="371" w:firstLineChars="177"/>
        <w:jc w:val="left"/>
        <w:rPr>
          <w:rFonts w:hAnsi="宋体"/>
          <w:szCs w:val="21"/>
        </w:rPr>
      </w:pPr>
      <w:r>
        <w:rPr>
          <w:rFonts w:hint="eastAsia" w:hAnsi="宋体"/>
          <w:szCs w:val="21"/>
        </w:rPr>
        <w:t>一号餐厅供餐类型：员工餐厅，以提供员工自助餐为主，同时提供宴会餐和套餐服务。</w:t>
      </w:r>
    </w:p>
    <w:p>
      <w:pPr>
        <w:pStyle w:val="5"/>
        <w:spacing w:line="360" w:lineRule="auto"/>
        <w:ind w:firstLine="371" w:firstLineChars="177"/>
        <w:jc w:val="left"/>
        <w:rPr>
          <w:rFonts w:hAnsi="宋体"/>
          <w:szCs w:val="21"/>
        </w:rPr>
      </w:pPr>
      <w:r>
        <w:rPr>
          <w:rFonts w:hint="eastAsia" w:hAnsi="宋体"/>
          <w:szCs w:val="21"/>
        </w:rPr>
        <w:t>二号餐厅供餐类型：学员餐厅，以培训高峰时段的学员自助餐分流为主，同时提供学院接待用餐、圆桌餐、套餐和夜宵等就餐服务。</w:t>
      </w:r>
    </w:p>
    <w:p>
      <w:pPr>
        <w:pStyle w:val="5"/>
        <w:spacing w:line="360" w:lineRule="auto"/>
        <w:ind w:firstLine="371" w:firstLineChars="177"/>
        <w:jc w:val="left"/>
        <w:rPr>
          <w:rFonts w:hAnsi="宋体"/>
          <w:szCs w:val="21"/>
        </w:rPr>
      </w:pPr>
      <w:r>
        <w:rPr>
          <w:rFonts w:hint="eastAsia" w:hAnsi="宋体"/>
          <w:szCs w:val="21"/>
        </w:rPr>
        <w:t>三号餐厅供餐类型：学院餐厅，一楼以供应学员标准自助餐为主，二楼提供全日制研究生、留学生、物业员工就餐等服务。</w:t>
      </w:r>
    </w:p>
    <w:p>
      <w:pPr>
        <w:pStyle w:val="5"/>
        <w:spacing w:line="360" w:lineRule="auto"/>
        <w:ind w:firstLine="426" w:firstLineChars="202"/>
        <w:jc w:val="left"/>
        <w:rPr>
          <w:rFonts w:hAnsi="宋体"/>
          <w:b/>
          <w:szCs w:val="21"/>
        </w:rPr>
      </w:pPr>
      <w:r>
        <w:rPr>
          <w:rFonts w:hint="eastAsia" w:hAnsi="宋体"/>
          <w:b/>
          <w:bCs/>
          <w:szCs w:val="21"/>
        </w:rPr>
        <w:t>五、餐厅供餐主的要方式、品种及标准要求</w:t>
      </w:r>
    </w:p>
    <w:p>
      <w:pPr>
        <w:pStyle w:val="5"/>
        <w:spacing w:line="360" w:lineRule="auto"/>
        <w:ind w:firstLine="369" w:firstLineChars="176"/>
        <w:jc w:val="left"/>
        <w:rPr>
          <w:rFonts w:hAnsi="宋体"/>
          <w:szCs w:val="21"/>
        </w:rPr>
      </w:pPr>
      <w:r>
        <w:rPr>
          <w:rFonts w:hint="eastAsia" w:hAnsi="宋体"/>
          <w:szCs w:val="21"/>
        </w:rPr>
        <w:t>投标单位需保证供餐的安全卫生、菜品根据不同季节和用餐对象，荤素搭配</w:t>
      </w:r>
      <w:r>
        <w:rPr>
          <w:rFonts w:hAnsi="宋体"/>
          <w:szCs w:val="21"/>
        </w:rPr>
        <w:t>科学</w:t>
      </w:r>
      <w:r>
        <w:rPr>
          <w:rFonts w:hint="eastAsia" w:hAnsi="宋体"/>
          <w:szCs w:val="21"/>
        </w:rPr>
        <w:t>合理、营养美味、色香味俱全。</w:t>
      </w:r>
    </w:p>
    <w:p>
      <w:pPr>
        <w:pStyle w:val="5"/>
        <w:spacing w:line="360" w:lineRule="auto"/>
        <w:ind w:firstLine="371" w:firstLineChars="176"/>
        <w:jc w:val="left"/>
        <w:rPr>
          <w:rFonts w:hAnsi="宋体"/>
          <w:szCs w:val="21"/>
        </w:rPr>
      </w:pPr>
      <w:r>
        <w:rPr>
          <w:rFonts w:hint="eastAsia" w:hAnsi="宋体"/>
          <w:b/>
          <w:bCs/>
          <w:szCs w:val="21"/>
        </w:rPr>
        <w:t>学员标准自助餐</w:t>
      </w:r>
      <w:r>
        <w:rPr>
          <w:rFonts w:hint="eastAsia" w:hAnsi="宋体"/>
          <w:szCs w:val="21"/>
        </w:rPr>
        <w:t>（周一至周日）：早餐</w:t>
      </w:r>
      <w:r>
        <w:rPr>
          <w:rFonts w:hAnsi="宋体"/>
          <w:szCs w:val="21"/>
        </w:rPr>
        <w:t>20</w:t>
      </w:r>
      <w:r>
        <w:rPr>
          <w:rFonts w:hint="eastAsia" w:hAnsi="宋体"/>
          <w:szCs w:val="21"/>
        </w:rPr>
        <w:t>元</w:t>
      </w:r>
      <w:r>
        <w:rPr>
          <w:rFonts w:hAnsi="宋体"/>
          <w:szCs w:val="21"/>
        </w:rPr>
        <w:t>/人/次，供应小菜4道、热菜6道以及面档、煎扒档等</w:t>
      </w:r>
      <w:r>
        <w:rPr>
          <w:rFonts w:hint="eastAsia" w:hAnsi="宋体"/>
          <w:szCs w:val="21"/>
        </w:rPr>
        <w:t>至少不同类型</w:t>
      </w:r>
      <w:r>
        <w:rPr>
          <w:rFonts w:hAnsi="宋体"/>
          <w:szCs w:val="21"/>
        </w:rPr>
        <w:t>30</w:t>
      </w:r>
      <w:r>
        <w:rPr>
          <w:rFonts w:hint="eastAsia" w:hAnsi="宋体"/>
          <w:szCs w:val="21"/>
        </w:rPr>
        <w:t>个品种；午、晚餐</w:t>
      </w:r>
      <w:r>
        <w:rPr>
          <w:rFonts w:hAnsi="宋体"/>
          <w:szCs w:val="21"/>
        </w:rPr>
        <w:t>50元/人/次，供应凉菜4道、热菜10道以及</w:t>
      </w:r>
      <w:r>
        <w:rPr>
          <w:rFonts w:hint="eastAsia" w:hAnsi="宋体"/>
          <w:szCs w:val="21"/>
        </w:rPr>
        <w:t>面档</w:t>
      </w:r>
      <w:r>
        <w:rPr>
          <w:rFonts w:hAnsi="宋体"/>
          <w:szCs w:val="21"/>
        </w:rPr>
        <w:t>、煎扒档等</w:t>
      </w:r>
      <w:r>
        <w:rPr>
          <w:rFonts w:hint="eastAsia" w:hAnsi="宋体"/>
          <w:szCs w:val="21"/>
        </w:rPr>
        <w:t>至少不同类型</w:t>
      </w:r>
      <w:r>
        <w:rPr>
          <w:rFonts w:hAnsi="宋体"/>
          <w:szCs w:val="21"/>
        </w:rPr>
        <w:t>35个品种。学员标准自助午、晚餐的主要品种一周内不能重复，午、晚餐每餐主菜至少有牛肉、羊肉或海鲜。</w:t>
      </w:r>
      <w:bookmarkStart w:id="0" w:name="OLE_LINK1"/>
      <w:r>
        <w:rPr>
          <w:rFonts w:hint="eastAsia" w:hAnsi="宋体"/>
          <w:szCs w:val="21"/>
        </w:rPr>
        <w:t>热菜中，大荤菜</w:t>
      </w:r>
      <w:r>
        <w:rPr>
          <w:rFonts w:hAnsi="宋体"/>
          <w:szCs w:val="21"/>
        </w:rPr>
        <w:t>5道，小荤菜4道，素菜1道，</w:t>
      </w:r>
      <w:bookmarkEnd w:id="0"/>
      <w:r>
        <w:rPr>
          <w:rFonts w:hint="eastAsia" w:hAnsi="宋体"/>
          <w:szCs w:val="21"/>
        </w:rPr>
        <w:t>菜单需报后勤部门监管审核，定期调整。</w:t>
      </w:r>
      <w:r>
        <w:rPr>
          <w:rFonts w:hint="eastAsia" w:hAnsi="宋体"/>
          <w:b/>
          <w:bCs/>
          <w:szCs w:val="21"/>
        </w:rPr>
        <w:t>餐厅团队须具备承接国际性会议的用餐接待能力。</w:t>
      </w:r>
    </w:p>
    <w:p>
      <w:pPr>
        <w:pStyle w:val="5"/>
        <w:spacing w:line="360" w:lineRule="auto"/>
        <w:ind w:firstLine="371" w:firstLineChars="176"/>
        <w:jc w:val="left"/>
        <w:rPr>
          <w:rFonts w:hAnsi="宋体"/>
          <w:szCs w:val="21"/>
        </w:rPr>
      </w:pPr>
      <w:r>
        <w:rPr>
          <w:rFonts w:hint="eastAsia" w:hAnsi="宋体"/>
          <w:b/>
          <w:bCs/>
          <w:szCs w:val="21"/>
        </w:rPr>
        <w:t>学院员工自助餐</w:t>
      </w:r>
      <w:r>
        <w:rPr>
          <w:rFonts w:hint="eastAsia" w:hAnsi="宋体"/>
          <w:szCs w:val="21"/>
        </w:rPr>
        <w:t>（周一至周五）：早餐</w:t>
      </w:r>
      <w:r>
        <w:rPr>
          <w:rFonts w:hAnsi="宋体"/>
          <w:szCs w:val="21"/>
        </w:rPr>
        <w:t>15元/人/次，至少不同类型15个品种，午餐45/元/人/次，至少不同类型20</w:t>
      </w:r>
      <w:r>
        <w:rPr>
          <w:rFonts w:hint="eastAsia" w:hAnsi="宋体"/>
          <w:szCs w:val="21"/>
        </w:rPr>
        <w:t>个品种，标准自助午餐的主要品种一周内不能重复，午餐每餐主菜至少有牛肉、羊肉或海鲜。热菜中，大荤菜</w:t>
      </w:r>
      <w:r>
        <w:rPr>
          <w:rFonts w:hAnsi="宋体"/>
          <w:szCs w:val="21"/>
        </w:rPr>
        <w:t>5道，小荤菜4道，素菜1道，汤盅、例汤各1种，菜单需报后勤部门监管审核，定期调整。</w:t>
      </w:r>
    </w:p>
    <w:p>
      <w:pPr>
        <w:pStyle w:val="5"/>
        <w:spacing w:line="360" w:lineRule="auto"/>
        <w:ind w:firstLine="371" w:firstLineChars="176"/>
        <w:jc w:val="left"/>
        <w:rPr>
          <w:rFonts w:hAnsi="宋体"/>
          <w:szCs w:val="21"/>
        </w:rPr>
      </w:pPr>
      <w:r>
        <w:rPr>
          <w:rFonts w:hint="eastAsia" w:hAnsi="宋体"/>
          <w:b/>
          <w:bCs/>
          <w:szCs w:val="21"/>
        </w:rPr>
        <w:t>研究生、留学生、物业员工餐</w:t>
      </w:r>
      <w:r>
        <w:rPr>
          <w:rFonts w:hint="eastAsia" w:hAnsi="宋体"/>
          <w:szCs w:val="21"/>
        </w:rPr>
        <w:t>（周一至周日）：早、中、晚餐采用点菜形式，早餐供应</w:t>
      </w:r>
      <w:r>
        <w:rPr>
          <w:rFonts w:hAnsi="宋体"/>
          <w:szCs w:val="21"/>
        </w:rPr>
        <w:t>热菜</w:t>
      </w:r>
      <w:r>
        <w:rPr>
          <w:rFonts w:hint="eastAsia" w:hAnsi="宋体"/>
          <w:szCs w:val="21"/>
        </w:rPr>
        <w:t>四道以及面档</w:t>
      </w:r>
      <w:r>
        <w:rPr>
          <w:rFonts w:hAnsi="宋体"/>
          <w:szCs w:val="21"/>
        </w:rPr>
        <w:t>、粗粮等</w:t>
      </w:r>
      <w:r>
        <w:rPr>
          <w:rFonts w:hint="eastAsia" w:hAnsi="宋体"/>
          <w:szCs w:val="21"/>
        </w:rPr>
        <w:t>至少不同类型</w:t>
      </w:r>
      <w:r>
        <w:rPr>
          <w:rFonts w:hAnsi="宋体"/>
          <w:szCs w:val="21"/>
        </w:rPr>
        <w:t>15个品种，午、晚餐供应热菜8道以及炸</w:t>
      </w:r>
      <w:r>
        <w:rPr>
          <w:rFonts w:hint="eastAsia" w:hAnsi="宋体"/>
          <w:szCs w:val="21"/>
        </w:rPr>
        <w:t>物</w:t>
      </w:r>
      <w:r>
        <w:rPr>
          <w:rFonts w:hAnsi="宋体"/>
          <w:szCs w:val="21"/>
        </w:rPr>
        <w:t>、</w:t>
      </w:r>
      <w:r>
        <w:rPr>
          <w:rFonts w:hint="eastAsia" w:hAnsi="宋体"/>
          <w:szCs w:val="21"/>
        </w:rPr>
        <w:t>煎扒</w:t>
      </w:r>
      <w:r>
        <w:rPr>
          <w:rFonts w:hAnsi="宋体"/>
          <w:szCs w:val="21"/>
        </w:rPr>
        <w:t>档等</w:t>
      </w:r>
      <w:r>
        <w:rPr>
          <w:rFonts w:hint="eastAsia" w:hAnsi="宋体"/>
          <w:szCs w:val="21"/>
        </w:rPr>
        <w:t>至少不同类型</w:t>
      </w:r>
      <w:r>
        <w:rPr>
          <w:rFonts w:hAnsi="宋体"/>
          <w:szCs w:val="21"/>
        </w:rPr>
        <w:t>15个品种，每天午、晚餐主菜至少有牛肉、羊肉或海鲜。热菜中，大荤菜4道，小荤菜3道，素菜1道，菜单需报后勤部门监管审核，菜肴价格需经采购人审定批准，定期调整。</w:t>
      </w:r>
    </w:p>
    <w:p>
      <w:pPr>
        <w:pStyle w:val="5"/>
        <w:spacing w:line="360" w:lineRule="auto"/>
        <w:ind w:firstLine="371" w:firstLineChars="176"/>
        <w:jc w:val="left"/>
        <w:rPr>
          <w:rFonts w:hAnsi="宋体"/>
          <w:szCs w:val="21"/>
        </w:rPr>
      </w:pPr>
      <w:r>
        <w:rPr>
          <w:rFonts w:hint="eastAsia" w:hAnsi="宋体"/>
          <w:b/>
          <w:bCs/>
          <w:szCs w:val="21"/>
        </w:rPr>
        <w:t>标准圆桌餐</w:t>
      </w:r>
      <w:r>
        <w:rPr>
          <w:rFonts w:hint="eastAsia" w:hAnsi="宋体"/>
          <w:szCs w:val="21"/>
        </w:rPr>
        <w:t>：</w:t>
      </w:r>
      <w:r>
        <w:rPr>
          <w:rFonts w:hAnsi="宋体"/>
          <w:szCs w:val="21"/>
        </w:rPr>
        <w:t>800元、1000元、1200元、1500</w:t>
      </w:r>
      <w:r>
        <w:rPr>
          <w:rFonts w:hint="eastAsia" w:hAnsi="宋体"/>
          <w:szCs w:val="21"/>
        </w:rPr>
        <w:t>元、</w:t>
      </w:r>
      <w:r>
        <w:rPr>
          <w:rFonts w:hAnsi="宋体"/>
          <w:szCs w:val="21"/>
        </w:rPr>
        <w:t>2000</w:t>
      </w:r>
      <w:r>
        <w:rPr>
          <w:rFonts w:hint="eastAsia" w:hAnsi="宋体"/>
          <w:szCs w:val="21"/>
        </w:rPr>
        <w:t>元不同档次套菜（冷菜、热菜、汤、点心、水果，不含酒水、饮料），套餐菜单需经采购人审定，定期调整。</w:t>
      </w:r>
    </w:p>
    <w:p>
      <w:pPr>
        <w:pStyle w:val="5"/>
        <w:spacing w:line="360" w:lineRule="auto"/>
        <w:ind w:firstLine="371" w:firstLineChars="176"/>
        <w:jc w:val="left"/>
        <w:rPr>
          <w:rFonts w:hAnsi="宋体"/>
          <w:szCs w:val="21"/>
        </w:rPr>
      </w:pPr>
      <w:r>
        <w:rPr>
          <w:rFonts w:hint="eastAsia" w:hAnsi="宋体"/>
          <w:b/>
          <w:bCs/>
          <w:szCs w:val="21"/>
        </w:rPr>
        <w:t>室内、室外特殊规格自助餐</w:t>
      </w:r>
      <w:r>
        <w:rPr>
          <w:rFonts w:hint="eastAsia" w:hAnsi="宋体"/>
          <w:szCs w:val="21"/>
        </w:rPr>
        <w:t>：</w:t>
      </w:r>
      <w:r>
        <w:rPr>
          <w:rFonts w:hAnsi="宋体"/>
          <w:szCs w:val="21"/>
        </w:rPr>
        <w:t>100元/人、200元/人不同档次(不含酒水饮料)，菜单根据预订情况提前提供，后勤部监管审核。</w:t>
      </w:r>
    </w:p>
    <w:p>
      <w:pPr>
        <w:pStyle w:val="5"/>
        <w:spacing w:line="360" w:lineRule="auto"/>
        <w:ind w:firstLine="371" w:firstLineChars="176"/>
        <w:jc w:val="left"/>
        <w:rPr>
          <w:rFonts w:hAnsi="宋体"/>
          <w:szCs w:val="21"/>
        </w:rPr>
      </w:pPr>
      <w:r>
        <w:rPr>
          <w:rFonts w:hint="eastAsia" w:hAnsi="宋体"/>
          <w:b/>
          <w:bCs/>
          <w:szCs w:val="21"/>
        </w:rPr>
        <w:t>接待类中、西式分餐式宴请</w:t>
      </w:r>
      <w:r>
        <w:rPr>
          <w:rFonts w:hint="eastAsia" w:hAnsi="宋体"/>
          <w:szCs w:val="21"/>
        </w:rPr>
        <w:t>：</w:t>
      </w:r>
      <w:r>
        <w:rPr>
          <w:rFonts w:hAnsi="宋体"/>
          <w:szCs w:val="21"/>
        </w:rPr>
        <w:t>100元/人、200元/人不同档次（不含酒水饮料），菜单根据预订情况提前提供，后勤部监管审核。</w:t>
      </w:r>
    </w:p>
    <w:p>
      <w:pPr>
        <w:pStyle w:val="5"/>
        <w:spacing w:line="360" w:lineRule="auto"/>
        <w:ind w:firstLine="371" w:firstLineChars="176"/>
        <w:jc w:val="left"/>
        <w:rPr>
          <w:rFonts w:hAnsi="宋体"/>
          <w:szCs w:val="21"/>
        </w:rPr>
      </w:pPr>
      <w:r>
        <w:rPr>
          <w:rFonts w:hint="eastAsia" w:hAnsi="宋体"/>
          <w:b/>
          <w:bCs/>
          <w:szCs w:val="21"/>
        </w:rPr>
        <w:t>接待类工作套餐</w:t>
      </w:r>
      <w:r>
        <w:rPr>
          <w:rFonts w:hint="eastAsia" w:hAnsi="宋体"/>
          <w:szCs w:val="21"/>
        </w:rPr>
        <w:t>：</w:t>
      </w:r>
      <w:r>
        <w:rPr>
          <w:rFonts w:hAnsi="宋体"/>
          <w:szCs w:val="21"/>
        </w:rPr>
        <w:t>80元/人（不含酒水饮料）。</w:t>
      </w:r>
    </w:p>
    <w:p>
      <w:pPr>
        <w:pStyle w:val="5"/>
        <w:spacing w:line="360" w:lineRule="auto"/>
        <w:ind w:firstLine="371" w:firstLineChars="176"/>
        <w:jc w:val="left"/>
        <w:rPr>
          <w:rFonts w:hAnsi="宋体"/>
          <w:szCs w:val="21"/>
        </w:rPr>
      </w:pPr>
      <w:r>
        <w:rPr>
          <w:rFonts w:hint="eastAsia" w:hAnsi="宋体"/>
          <w:b/>
          <w:bCs/>
          <w:szCs w:val="21"/>
        </w:rPr>
        <w:t>夜宵</w:t>
      </w:r>
      <w:r>
        <w:rPr>
          <w:rFonts w:hint="eastAsia" w:hAnsi="宋体"/>
          <w:szCs w:val="21"/>
        </w:rPr>
        <w:t>：需提供</w:t>
      </w:r>
      <w:r>
        <w:rPr>
          <w:rFonts w:hAnsi="宋体"/>
          <w:szCs w:val="21"/>
        </w:rPr>
        <w:t>40种以上品种可供选择，菜肴、饮料类价格需经采购人批准。</w:t>
      </w:r>
    </w:p>
    <w:p>
      <w:pPr>
        <w:pStyle w:val="5"/>
        <w:spacing w:line="360" w:lineRule="auto"/>
        <w:ind w:firstLine="422" w:firstLineChars="200"/>
        <w:jc w:val="left"/>
        <w:rPr>
          <w:rFonts w:hAnsi="宋体"/>
          <w:b/>
          <w:szCs w:val="21"/>
        </w:rPr>
      </w:pPr>
      <w:r>
        <w:rPr>
          <w:rFonts w:hint="eastAsia" w:hAnsi="宋体"/>
          <w:b/>
          <w:szCs w:val="21"/>
        </w:rPr>
        <w:t>六、</w:t>
      </w:r>
      <w:r>
        <w:rPr>
          <w:rFonts w:hint="eastAsia" w:hAnsi="宋体" w:cs="Courier New"/>
          <w:b/>
          <w:szCs w:val="21"/>
        </w:rPr>
        <w:t>餐厅供应时间：</w:t>
      </w:r>
    </w:p>
    <w:p>
      <w:pPr>
        <w:pStyle w:val="5"/>
        <w:spacing w:line="360" w:lineRule="auto"/>
        <w:ind w:firstLine="369" w:firstLineChars="176"/>
        <w:jc w:val="left"/>
        <w:rPr>
          <w:rFonts w:hAnsi="宋体"/>
          <w:szCs w:val="21"/>
        </w:rPr>
      </w:pPr>
      <w:r>
        <w:rPr>
          <w:rFonts w:hint="eastAsia" w:hAnsi="宋体"/>
          <w:szCs w:val="21"/>
        </w:rPr>
        <w:t>一号餐厅：早餐：</w:t>
      </w:r>
      <w:r>
        <w:rPr>
          <w:rFonts w:hAnsi="宋体"/>
          <w:szCs w:val="21"/>
        </w:rPr>
        <w:t>7:00-8:30</w:t>
      </w:r>
      <w:r>
        <w:rPr>
          <w:rFonts w:hint="eastAsia" w:hAnsi="宋体"/>
          <w:szCs w:val="21"/>
        </w:rPr>
        <w:t>；午餐：</w:t>
      </w:r>
      <w:r>
        <w:rPr>
          <w:rFonts w:hAnsi="宋体"/>
          <w:szCs w:val="21"/>
        </w:rPr>
        <w:t xml:space="preserve">11:00-13:00； </w:t>
      </w:r>
    </w:p>
    <w:p>
      <w:pPr>
        <w:pStyle w:val="5"/>
        <w:spacing w:line="360" w:lineRule="auto"/>
        <w:ind w:firstLine="369" w:firstLineChars="176"/>
        <w:jc w:val="left"/>
        <w:rPr>
          <w:rFonts w:hAnsi="宋体"/>
          <w:szCs w:val="21"/>
        </w:rPr>
      </w:pPr>
      <w:r>
        <w:rPr>
          <w:rFonts w:hint="eastAsia" w:hAnsi="宋体"/>
          <w:szCs w:val="21"/>
        </w:rPr>
        <w:t>二号餐厅：早餐：</w:t>
      </w:r>
      <w:r>
        <w:rPr>
          <w:rFonts w:hAnsi="宋体"/>
          <w:szCs w:val="21"/>
        </w:rPr>
        <w:t xml:space="preserve">7:00-8:30；午餐：11:00-13:00；晚餐：16:45-19:00；夜宵20:00-23:00; </w:t>
      </w:r>
    </w:p>
    <w:p>
      <w:pPr>
        <w:pStyle w:val="5"/>
        <w:spacing w:line="360" w:lineRule="auto"/>
        <w:ind w:firstLine="369" w:firstLineChars="176"/>
        <w:jc w:val="left"/>
        <w:rPr>
          <w:rFonts w:hAnsi="宋体"/>
          <w:szCs w:val="21"/>
        </w:rPr>
      </w:pPr>
      <w:r>
        <w:rPr>
          <w:rFonts w:hint="eastAsia" w:hAnsi="宋体"/>
          <w:szCs w:val="21"/>
        </w:rPr>
        <w:t>三号餐厅：（一楼）：早餐：</w:t>
      </w:r>
      <w:r>
        <w:rPr>
          <w:rFonts w:hAnsi="宋体"/>
          <w:szCs w:val="21"/>
        </w:rPr>
        <w:t>7:00-8:30；午餐：11:00-13:00；晚餐：17:00-19:00；（二楼）早餐：7:00-8:30；午餐：10:45-13:00；晚餐：16:45-19:00；</w:t>
      </w:r>
    </w:p>
    <w:p>
      <w:pPr>
        <w:pStyle w:val="5"/>
        <w:spacing w:line="360" w:lineRule="auto"/>
        <w:ind w:firstLine="369" w:firstLineChars="176"/>
        <w:jc w:val="left"/>
        <w:rPr>
          <w:rFonts w:hAnsi="宋体"/>
          <w:szCs w:val="21"/>
        </w:rPr>
      </w:pPr>
      <w:r>
        <w:rPr>
          <w:rFonts w:hint="eastAsia" w:hAnsi="宋体"/>
          <w:szCs w:val="21"/>
        </w:rPr>
        <w:t>各餐厅需根据学院需要临时提前或延长服务时间，宴会餐及圆桌餐时间根据用餐需要确定。</w:t>
      </w:r>
    </w:p>
    <w:p>
      <w:pPr>
        <w:pStyle w:val="5"/>
        <w:spacing w:line="360" w:lineRule="auto"/>
        <w:ind w:firstLine="413" w:firstLineChars="196"/>
        <w:jc w:val="left"/>
        <w:rPr>
          <w:rFonts w:hAnsi="宋体"/>
          <w:b/>
          <w:szCs w:val="21"/>
        </w:rPr>
      </w:pPr>
      <w:r>
        <w:rPr>
          <w:rFonts w:hint="eastAsia" w:hAnsi="宋体"/>
          <w:b/>
          <w:szCs w:val="21"/>
        </w:rPr>
        <w:t>七、收支预算方案</w:t>
      </w:r>
    </w:p>
    <w:p>
      <w:pPr>
        <w:spacing w:line="400" w:lineRule="exact"/>
        <w:ind w:firstLine="420" w:firstLineChars="200"/>
        <w:rPr>
          <w:rStyle w:val="13"/>
        </w:rPr>
      </w:pPr>
      <w:bookmarkStart w:id="1" w:name="_Hlk39070813"/>
      <w:r>
        <w:rPr>
          <w:rFonts w:hint="eastAsia" w:ascii="宋体" w:hAnsi="宋体" w:cs="微软雅黑"/>
          <w:szCs w:val="21"/>
        </w:rPr>
        <w:t>本项目为餐饮全包方式（包工包料，不允许对外经营服务），按固定餐标依据就餐人数、频次计费。本项目“预算金额：</w:t>
      </w:r>
      <w:r>
        <w:rPr>
          <w:rFonts w:ascii="宋体" w:hAnsi="宋体" w:cs="微软雅黑"/>
          <w:szCs w:val="21"/>
        </w:rPr>
        <w:t>2000万元”是指采购人根据以往历史数据预估的餐饮服务年度总营业额。</w:t>
      </w:r>
      <w:r>
        <w:rPr>
          <w:rFonts w:hint="eastAsia" w:ascii="宋体" w:hAnsi="宋体" w:cs="微软雅黑"/>
          <w:szCs w:val="21"/>
        </w:rPr>
        <w:t>最终会根据实际营业收入向中标人结算相关费用。最终结算的费用分</w:t>
      </w:r>
      <w:r>
        <w:rPr>
          <w:rStyle w:val="13"/>
          <w:rFonts w:hint="eastAsia"/>
        </w:rPr>
        <w:t>综合服务费和原料耗材费用两部分。其中：</w:t>
      </w:r>
    </w:p>
    <w:p>
      <w:pPr>
        <w:spacing w:line="400" w:lineRule="exact"/>
        <w:ind w:firstLine="420" w:firstLineChars="200"/>
        <w:rPr>
          <w:rStyle w:val="13"/>
        </w:rPr>
      </w:pPr>
      <w:r>
        <w:rPr>
          <w:rStyle w:val="13"/>
          <w:rFonts w:hint="eastAsia"/>
        </w:rPr>
        <w:t>（一）综合服务费</w:t>
      </w:r>
    </w:p>
    <w:bookmarkEnd w:id="1"/>
    <w:p>
      <w:pPr>
        <w:numPr>
          <w:ilvl w:val="255"/>
          <w:numId w:val="0"/>
        </w:numPr>
        <w:spacing w:line="400" w:lineRule="exact"/>
        <w:ind w:left="0" w:firstLine="420"/>
        <w:rPr>
          <w:rFonts w:ascii="宋体" w:hAnsi="宋体" w:cs="微软雅黑"/>
          <w:szCs w:val="21"/>
        </w:rPr>
      </w:pPr>
      <w:r>
        <w:rPr>
          <w:rFonts w:hint="eastAsia" w:ascii="宋体" w:hAnsi="宋体" w:cs="微软雅黑"/>
          <w:szCs w:val="21"/>
        </w:rPr>
        <w:t>1.综合服务费内容：包括</w:t>
      </w:r>
      <w:bookmarkStart w:id="2" w:name="_Hlk119052047"/>
      <w:r>
        <w:rPr>
          <w:rFonts w:hint="eastAsia" w:ascii="宋体" w:hAnsi="宋体" w:cs="微软雅黑"/>
          <w:szCs w:val="21"/>
        </w:rPr>
        <w:t>人工</w:t>
      </w:r>
      <w:r>
        <w:rPr>
          <w:rFonts w:hint="eastAsia" w:ascii="宋体" w:hAnsi="宋体"/>
          <w:color w:val="000000"/>
          <w:szCs w:val="21"/>
        </w:rPr>
        <w:t>（含工资、社会统筹保险金、加班工资、工作餐、相关福利（含工作服装劳保用品）、离职补偿金等与人员聘用相关的所有费用）</w:t>
      </w:r>
      <w:r>
        <w:rPr>
          <w:rFonts w:hint="eastAsia" w:ascii="宋体" w:hAnsi="宋体" w:cs="微软雅黑"/>
          <w:szCs w:val="21"/>
        </w:rPr>
        <w:t>、管理酬金、税金</w:t>
      </w:r>
      <w:bookmarkEnd w:id="2"/>
      <w:r>
        <w:rPr>
          <w:rFonts w:hint="eastAsia" w:ascii="宋体" w:hAnsi="宋体" w:cs="微软雅黑"/>
          <w:szCs w:val="21"/>
        </w:rPr>
        <w:t>。</w:t>
      </w:r>
    </w:p>
    <w:p>
      <w:pPr>
        <w:numPr>
          <w:ilvl w:val="255"/>
          <w:numId w:val="0"/>
        </w:numPr>
        <w:spacing w:line="400" w:lineRule="exact"/>
        <w:ind w:left="0" w:firstLine="420"/>
        <w:rPr>
          <w:rFonts w:ascii="宋体" w:hAnsi="宋体"/>
          <w:szCs w:val="21"/>
        </w:rPr>
      </w:pPr>
      <w:r>
        <w:rPr>
          <w:rFonts w:hint="eastAsia" w:ascii="宋体" w:hAnsi="宋体" w:cs="微软雅黑"/>
          <w:szCs w:val="21"/>
        </w:rPr>
        <w:t>2.综合服务费报价：按区间进行报价</w:t>
      </w:r>
      <w:r>
        <w:rPr>
          <w:rFonts w:hint="eastAsia" w:ascii="宋体" w:hAnsi="宋体"/>
          <w:szCs w:val="21"/>
        </w:rPr>
        <w:t>：</w:t>
      </w:r>
    </w:p>
    <w:p>
      <w:pPr>
        <w:numPr>
          <w:ilvl w:val="0"/>
          <w:numId w:val="1"/>
        </w:numPr>
        <w:spacing w:line="400" w:lineRule="exact"/>
        <w:ind w:firstLine="420"/>
        <w:rPr>
          <w:rFonts w:ascii="宋体" w:hAnsi="宋体"/>
          <w:szCs w:val="21"/>
        </w:rPr>
      </w:pPr>
      <w:r>
        <w:rPr>
          <w:rFonts w:hint="eastAsia" w:ascii="宋体" w:hAnsi="宋体"/>
          <w:szCs w:val="21"/>
        </w:rPr>
        <w:t>固定金额：全年营业收入不高于</w:t>
      </w:r>
      <w:r>
        <w:rPr>
          <w:rFonts w:ascii="宋体" w:hAnsi="宋体"/>
          <w:szCs w:val="21"/>
        </w:rPr>
        <w:t>1700万元时，综合服务费</w:t>
      </w:r>
      <w:r>
        <w:rPr>
          <w:rFonts w:hint="eastAsia" w:ascii="宋体" w:hAnsi="宋体"/>
          <w:szCs w:val="21"/>
        </w:rPr>
        <w:t>以固定金额（最高限价</w:t>
      </w:r>
      <w:r>
        <w:rPr>
          <w:rFonts w:ascii="宋体" w:hAnsi="宋体"/>
          <w:szCs w:val="21"/>
        </w:rPr>
        <w:t>619</w:t>
      </w:r>
      <w:r>
        <w:rPr>
          <w:rFonts w:hint="eastAsia" w:ascii="宋体" w:hAnsi="宋体"/>
          <w:szCs w:val="21"/>
        </w:rPr>
        <w:t>万元）进行结算。投标人在最高限价范围内进行投报；</w:t>
      </w:r>
    </w:p>
    <w:p>
      <w:pPr>
        <w:numPr>
          <w:ilvl w:val="0"/>
          <w:numId w:val="1"/>
        </w:numPr>
        <w:spacing w:line="400" w:lineRule="exact"/>
        <w:ind w:firstLine="420"/>
        <w:rPr>
          <w:rFonts w:ascii="宋体" w:hAnsi="宋体" w:cs="微软雅黑"/>
          <w:szCs w:val="21"/>
        </w:rPr>
      </w:pPr>
      <w:r>
        <w:rPr>
          <w:rFonts w:hint="eastAsia" w:ascii="宋体" w:hAnsi="宋体"/>
          <w:szCs w:val="21"/>
        </w:rPr>
        <w:t>固定比例：全年营业收入超过</w:t>
      </w:r>
      <w:r>
        <w:rPr>
          <w:rFonts w:ascii="宋体" w:hAnsi="宋体"/>
          <w:szCs w:val="21"/>
        </w:rPr>
        <w:t>1700万元时，</w:t>
      </w:r>
      <w:r>
        <w:rPr>
          <w:rFonts w:hint="eastAsia" w:ascii="宋体" w:hAnsi="宋体"/>
          <w:szCs w:val="21"/>
        </w:rPr>
        <w:t>超出部分的综合服务费以固定比例（最高限定比例为30.8%）进行结算。超出部分的综合服务费</w:t>
      </w:r>
      <w:r>
        <w:rPr>
          <w:rFonts w:ascii="宋体" w:hAnsi="宋体"/>
          <w:szCs w:val="21"/>
        </w:rPr>
        <w:t>=</w:t>
      </w:r>
      <w:r>
        <w:rPr>
          <w:rFonts w:hint="eastAsia" w:ascii="宋体" w:hAnsi="宋体"/>
          <w:szCs w:val="21"/>
        </w:rPr>
        <w:t>（总营业额</w:t>
      </w:r>
      <w:r>
        <w:rPr>
          <w:rFonts w:ascii="宋体" w:hAnsi="宋体"/>
          <w:szCs w:val="21"/>
        </w:rPr>
        <w:t>-1700</w:t>
      </w:r>
      <w:r>
        <w:rPr>
          <w:rFonts w:hint="eastAsia" w:ascii="宋体" w:hAnsi="宋体"/>
          <w:szCs w:val="21"/>
        </w:rPr>
        <w:t>万元）</w:t>
      </w:r>
      <w:r>
        <w:rPr>
          <w:rFonts w:ascii="宋体" w:hAnsi="宋体"/>
          <w:szCs w:val="21"/>
        </w:rPr>
        <w:t>*</w:t>
      </w:r>
      <w:r>
        <w:rPr>
          <w:rFonts w:hint="eastAsia" w:ascii="宋体" w:hAnsi="宋体"/>
          <w:szCs w:val="21"/>
        </w:rPr>
        <w:t>固定比例另外结算。投标人在最高限定比例范围内进行投报。</w:t>
      </w:r>
    </w:p>
    <w:p>
      <w:pPr>
        <w:numPr>
          <w:ilvl w:val="255"/>
          <w:numId w:val="0"/>
        </w:numPr>
        <w:spacing w:line="400" w:lineRule="exact"/>
        <w:ind w:firstLine="420"/>
        <w:rPr>
          <w:rFonts w:ascii="宋体" w:hAnsi="宋体" w:cs="微软雅黑"/>
          <w:szCs w:val="21"/>
        </w:rPr>
      </w:pPr>
      <w:r>
        <w:rPr>
          <w:rFonts w:hint="eastAsia" w:ascii="宋体" w:hAnsi="宋体" w:cs="微软雅黑"/>
          <w:szCs w:val="21"/>
        </w:rPr>
        <w:t>3.综合服务费结算：结算金额=中标综合服务费+中标比例*（总营业额-1700万元）</w:t>
      </w:r>
    </w:p>
    <w:p>
      <w:pPr>
        <w:numPr>
          <w:ilvl w:val="255"/>
          <w:numId w:val="0"/>
        </w:numPr>
        <w:spacing w:line="400" w:lineRule="exact"/>
        <w:ind w:firstLine="420"/>
        <w:rPr>
          <w:rFonts w:ascii="宋体" w:hAnsi="宋体"/>
          <w:szCs w:val="21"/>
        </w:rPr>
      </w:pPr>
      <w:r>
        <w:rPr>
          <w:rFonts w:hint="eastAsia" w:ascii="宋体" w:hAnsi="宋体"/>
          <w:szCs w:val="21"/>
        </w:rPr>
        <w:t>说明：如今后采购人服务需求内容或质量要求发生变动，则该综合服务费根据实际工作内容和标准重新测算。合同期内，若上海市最低工资与社保基数有调整，此部分人工费用采购人可考虑作适当调整。</w:t>
      </w:r>
    </w:p>
    <w:p>
      <w:pPr>
        <w:numPr>
          <w:ilvl w:val="0"/>
          <w:numId w:val="2"/>
        </w:numPr>
        <w:spacing w:line="400" w:lineRule="exact"/>
        <w:ind w:left="420" w:firstLine="0"/>
        <w:rPr>
          <w:rFonts w:ascii="宋体" w:hAnsi="宋体" w:cs="微软雅黑"/>
          <w:szCs w:val="21"/>
        </w:rPr>
      </w:pPr>
      <w:r>
        <w:rPr>
          <w:rFonts w:hint="eastAsia" w:ascii="宋体" w:hAnsi="宋体" w:cs="微软雅黑"/>
          <w:szCs w:val="21"/>
        </w:rPr>
        <w:t>原料耗材费用</w:t>
      </w:r>
    </w:p>
    <w:p>
      <w:pPr>
        <w:numPr>
          <w:ilvl w:val="255"/>
          <w:numId w:val="0"/>
        </w:numPr>
        <w:spacing w:line="400" w:lineRule="exact"/>
        <w:ind w:left="0" w:firstLine="420"/>
        <w:rPr>
          <w:rFonts w:ascii="宋体" w:hAnsi="宋体" w:cs="微软雅黑"/>
          <w:szCs w:val="21"/>
        </w:rPr>
      </w:pPr>
      <w:r>
        <w:rPr>
          <w:rFonts w:hint="eastAsia" w:ascii="宋体" w:hAnsi="宋体" w:cs="微软雅黑"/>
          <w:szCs w:val="21"/>
        </w:rPr>
        <w:t>1.原料耗材费用内容：原料为菜品的原材料。耗材</w:t>
      </w:r>
      <w:r>
        <w:rPr>
          <w:rFonts w:hint="eastAsia" w:hAnsi="宋体"/>
          <w:szCs w:val="21"/>
        </w:rPr>
        <w:t>包括洗涤药剂（须与现有设施设备配套）、餐巾纸、一次性纸杯、保鲜膜、零星餐用具及器皿、牙签、筷套、洗洁精、消毒药剂、抹布、快餐盒、马夹袋、餐桌布、口布、手套、口罩等。各类耗材物品必须符合食品卫生和环保要求。采购人有权对耗材情况作要求，对不符合要求的耗材物品予以禁止使用或要求投标单位及时更换，以保证学院教职员工、学员的就餐需求。</w:t>
      </w:r>
    </w:p>
    <w:p>
      <w:pPr>
        <w:numPr>
          <w:ilvl w:val="255"/>
          <w:numId w:val="0"/>
        </w:numPr>
        <w:spacing w:line="400" w:lineRule="exact"/>
        <w:ind w:firstLine="420"/>
        <w:rPr>
          <w:rFonts w:ascii="宋体" w:hAnsi="宋体" w:cs="微软雅黑"/>
          <w:szCs w:val="21"/>
        </w:rPr>
      </w:pPr>
      <w:r>
        <w:rPr>
          <w:rFonts w:hint="eastAsia" w:ascii="宋体" w:hAnsi="宋体" w:cs="微软雅黑"/>
          <w:szCs w:val="21"/>
        </w:rPr>
        <w:t>2.原料耗材费用结算：按实结算。为保证营业质量，食品原料和耗材应控制在实际营业额的</w:t>
      </w:r>
      <w:r>
        <w:rPr>
          <w:rFonts w:ascii="宋体" w:hAnsi="宋体" w:cs="微软雅黑"/>
          <w:szCs w:val="21"/>
        </w:rPr>
        <w:t>60%</w:t>
      </w:r>
      <w:r>
        <w:rPr>
          <w:rFonts w:hint="eastAsia" w:ascii="宋体" w:hAnsi="宋体" w:cs="微软雅黑"/>
          <w:szCs w:val="21"/>
        </w:rPr>
        <w:t>（允许上下浮动</w:t>
      </w:r>
      <w:r>
        <w:rPr>
          <w:rFonts w:ascii="宋体" w:hAnsi="宋体" w:cs="微软雅黑"/>
          <w:szCs w:val="21"/>
        </w:rPr>
        <w:t>1%</w:t>
      </w:r>
      <w:r>
        <w:rPr>
          <w:rFonts w:hint="eastAsia" w:ascii="宋体" w:hAnsi="宋体" w:cs="微软雅黑"/>
          <w:szCs w:val="21"/>
        </w:rPr>
        <w:t>）左右，按实际结算，超</w:t>
      </w:r>
      <w:r>
        <w:rPr>
          <w:rFonts w:ascii="宋体" w:hAnsi="宋体" w:cs="微软雅黑"/>
          <w:szCs w:val="21"/>
        </w:rPr>
        <w:t>61%的部分</w:t>
      </w:r>
      <w:r>
        <w:rPr>
          <w:rFonts w:hint="eastAsia" w:ascii="宋体" w:hAnsi="宋体" w:cs="微软雅黑"/>
          <w:szCs w:val="21"/>
        </w:rPr>
        <w:t>由投标人承担，合同金额不做调整。</w:t>
      </w:r>
    </w:p>
    <w:p>
      <w:pPr>
        <w:pStyle w:val="5"/>
        <w:spacing w:line="360" w:lineRule="auto"/>
        <w:ind w:firstLine="369" w:firstLineChars="176"/>
        <w:jc w:val="left"/>
        <w:rPr>
          <w:rFonts w:hAnsi="宋体"/>
          <w:szCs w:val="21"/>
        </w:rPr>
      </w:pPr>
      <w:r>
        <w:rPr>
          <w:rFonts w:hint="eastAsia" w:hAnsi="宋体"/>
          <w:szCs w:val="21"/>
        </w:rPr>
        <w:t>说明：另每年须从财政部指定的采购平台采购粮油等原材料，完成财政部下达给采购人每年</w:t>
      </w:r>
      <w:r>
        <w:rPr>
          <w:rFonts w:hAnsi="宋体"/>
          <w:szCs w:val="21"/>
        </w:rPr>
        <w:t>40</w:t>
      </w:r>
      <w:r>
        <w:rPr>
          <w:rFonts w:hint="eastAsia" w:hAnsi="宋体"/>
          <w:szCs w:val="21"/>
        </w:rPr>
        <w:t>万元的扶贫采购任务。（此费用计入总营业额中）</w:t>
      </w:r>
    </w:p>
    <w:p>
      <w:pPr>
        <w:pStyle w:val="5"/>
        <w:numPr>
          <w:ilvl w:val="0"/>
          <w:numId w:val="2"/>
        </w:numPr>
        <w:spacing w:line="360" w:lineRule="auto"/>
        <w:ind w:left="420" w:firstLine="0" w:firstLineChars="0"/>
        <w:jc w:val="left"/>
        <w:rPr>
          <w:rFonts w:hAnsi="宋体"/>
          <w:szCs w:val="21"/>
        </w:rPr>
      </w:pPr>
      <w:r>
        <w:rPr>
          <w:rFonts w:hint="eastAsia" w:hAnsi="宋体"/>
          <w:szCs w:val="21"/>
        </w:rPr>
        <w:t>支付方式</w:t>
      </w:r>
    </w:p>
    <w:p>
      <w:pPr>
        <w:pStyle w:val="5"/>
        <w:numPr>
          <w:ilvl w:val="255"/>
          <w:numId w:val="0"/>
        </w:numPr>
        <w:spacing w:line="360" w:lineRule="auto"/>
        <w:ind w:firstLine="0" w:firstLineChars="0"/>
        <w:jc w:val="left"/>
        <w:rPr>
          <w:rFonts w:hAnsi="宋体"/>
          <w:szCs w:val="21"/>
        </w:rPr>
      </w:pPr>
      <w:r>
        <w:rPr>
          <w:rFonts w:hint="eastAsia" w:hAnsi="宋体"/>
          <w:szCs w:val="21"/>
        </w:rPr>
        <w:t>1.合同签订后10个工作日内，中标单位向采购人支付履约保证金。</w:t>
      </w:r>
    </w:p>
    <w:p>
      <w:pPr>
        <w:pStyle w:val="5"/>
        <w:numPr>
          <w:ilvl w:val="255"/>
          <w:numId w:val="0"/>
        </w:numPr>
        <w:spacing w:line="360" w:lineRule="auto"/>
        <w:ind w:firstLine="0" w:firstLineChars="0"/>
        <w:jc w:val="left"/>
        <w:rPr>
          <w:rFonts w:hAnsi="宋体"/>
          <w:szCs w:val="21"/>
        </w:rPr>
      </w:pPr>
      <w:r>
        <w:rPr>
          <w:rFonts w:hint="eastAsia" w:hAnsi="宋体"/>
          <w:szCs w:val="21"/>
        </w:rPr>
        <w:t>2.综合服务费：第1-11个月，按（综合服务费固定金额-考核基金）/12个月标准支付，最后一个月，根据全年营业收入情况，根据采购需求要求计算后支付。其中综合服务费中的36万元作为考核基金，根据考核情况，在合同期最后一个月由采购人审核后统一支付。</w:t>
      </w:r>
    </w:p>
    <w:p>
      <w:pPr>
        <w:pStyle w:val="5"/>
        <w:numPr>
          <w:ilvl w:val="255"/>
          <w:numId w:val="0"/>
        </w:numPr>
        <w:spacing w:line="360" w:lineRule="auto"/>
        <w:ind w:firstLine="0" w:firstLineChars="0"/>
        <w:jc w:val="left"/>
        <w:rPr>
          <w:rFonts w:hAnsi="宋体"/>
          <w:szCs w:val="21"/>
        </w:rPr>
      </w:pPr>
      <w:r>
        <w:rPr>
          <w:rFonts w:hint="eastAsia" w:hAnsi="宋体"/>
          <w:szCs w:val="21"/>
        </w:rPr>
        <w:t>3.原料耗材费用：根据采购需求要求每月按实结算。</w:t>
      </w:r>
    </w:p>
    <w:p>
      <w:pPr>
        <w:pStyle w:val="5"/>
        <w:numPr>
          <w:ilvl w:val="255"/>
          <w:numId w:val="0"/>
        </w:numPr>
        <w:spacing w:line="360" w:lineRule="auto"/>
        <w:ind w:firstLine="0" w:firstLineChars="0"/>
        <w:jc w:val="left"/>
        <w:rPr>
          <w:rFonts w:hAnsi="宋体"/>
          <w:szCs w:val="21"/>
        </w:rPr>
      </w:pPr>
      <w:r>
        <w:rPr>
          <w:rFonts w:hint="eastAsia" w:hAnsi="宋体"/>
          <w:szCs w:val="21"/>
        </w:rPr>
        <w:t>4.年度考核合格后10个工作日内无息退还全部履约保证金。</w:t>
      </w:r>
    </w:p>
    <w:p>
      <w:pPr>
        <w:pStyle w:val="5"/>
        <w:numPr>
          <w:ilvl w:val="255"/>
          <w:numId w:val="0"/>
        </w:numPr>
        <w:spacing w:line="360" w:lineRule="auto"/>
        <w:ind w:firstLine="0" w:firstLineChars="0"/>
        <w:jc w:val="left"/>
        <w:rPr>
          <w:rFonts w:hAnsi="宋体"/>
          <w:szCs w:val="21"/>
        </w:rPr>
      </w:pPr>
      <w:r>
        <w:rPr>
          <w:rFonts w:hint="eastAsia" w:hAnsi="宋体"/>
          <w:szCs w:val="21"/>
        </w:rPr>
        <w:t>支付时间：双方约定综合服务费、原料耗材费用每月支付一次，由采购人于次月的15日前支付给中标单位。</w:t>
      </w:r>
    </w:p>
    <w:p>
      <w:pPr>
        <w:pStyle w:val="5"/>
        <w:numPr>
          <w:ilvl w:val="0"/>
          <w:numId w:val="2"/>
        </w:numPr>
        <w:spacing w:line="360" w:lineRule="auto"/>
        <w:ind w:left="420" w:firstLine="0" w:firstLineChars="0"/>
        <w:jc w:val="left"/>
        <w:rPr>
          <w:rFonts w:hint="eastAsia" w:hAnsi="宋体"/>
          <w:szCs w:val="21"/>
        </w:rPr>
      </w:pPr>
      <w:r>
        <w:rPr>
          <w:rFonts w:hint="eastAsia" w:hAnsi="宋体"/>
          <w:szCs w:val="21"/>
        </w:rPr>
        <w:t>其他说明</w:t>
      </w:r>
    </w:p>
    <w:p>
      <w:pPr>
        <w:numPr>
          <w:ilvl w:val="0"/>
          <w:numId w:val="3"/>
        </w:numPr>
        <w:spacing w:line="400" w:lineRule="exact"/>
        <w:rPr>
          <w:rFonts w:ascii="宋体" w:hAnsi="宋体" w:cs="微软雅黑"/>
          <w:szCs w:val="21"/>
        </w:rPr>
      </w:pPr>
      <w:r>
        <w:rPr>
          <w:rFonts w:hint="eastAsia" w:ascii="宋体" w:hAnsi="宋体" w:cs="微软雅黑"/>
          <w:szCs w:val="21"/>
        </w:rPr>
        <w:t>水、电、燃气能耗费由采购人直接支付，投标人应响应国家节能减排号召，节水节电节气。</w:t>
      </w:r>
    </w:p>
    <w:p>
      <w:pPr>
        <w:numPr>
          <w:ilvl w:val="0"/>
          <w:numId w:val="3"/>
        </w:numPr>
        <w:spacing w:line="400" w:lineRule="exact"/>
        <w:jc w:val="left"/>
        <w:rPr>
          <w:rFonts w:hAnsi="宋体"/>
          <w:szCs w:val="21"/>
        </w:rPr>
      </w:pPr>
      <w:r>
        <w:rPr>
          <w:rFonts w:hint="eastAsia" w:hAnsi="宋体"/>
          <w:szCs w:val="21"/>
        </w:rPr>
        <w:t>厨房设备的维修保养工作由采购人聘请专业的维保公司负责，费用由采购人承担。如果厨房设施、设备或餐厅家具等损坏是由投标人违章操作或管理失误等原因造成，所发生的费用由投标人承担。</w:t>
      </w:r>
    </w:p>
    <w:p>
      <w:pPr>
        <w:numPr>
          <w:ilvl w:val="0"/>
          <w:numId w:val="3"/>
        </w:numPr>
        <w:spacing w:line="400" w:lineRule="exact"/>
        <w:jc w:val="left"/>
        <w:rPr>
          <w:rFonts w:hAnsi="宋体"/>
          <w:szCs w:val="21"/>
        </w:rPr>
      </w:pPr>
      <w:r>
        <w:rPr>
          <w:rFonts w:hint="eastAsia" w:hAnsi="宋体"/>
          <w:szCs w:val="21"/>
        </w:rPr>
        <w:t>厨房脱油烟管道定期防火清洗、隔油池清掏</w:t>
      </w:r>
      <w:r>
        <w:rPr>
          <w:rFonts w:hint="eastAsia" w:hAnsi="宋体"/>
          <w:b/>
          <w:bCs/>
          <w:szCs w:val="21"/>
        </w:rPr>
        <w:t>由采购人委托专业公司承担</w:t>
      </w:r>
      <w:r>
        <w:rPr>
          <w:rFonts w:hint="eastAsia" w:hAnsi="宋体"/>
          <w:szCs w:val="21"/>
        </w:rPr>
        <w:t>，相关费用由采购人承担。投标人应予以配合，并负责日常管理监督工作。</w:t>
      </w:r>
    </w:p>
    <w:p>
      <w:pPr>
        <w:numPr>
          <w:ilvl w:val="0"/>
          <w:numId w:val="3"/>
        </w:numPr>
        <w:spacing w:line="400" w:lineRule="exact"/>
        <w:jc w:val="left"/>
        <w:rPr>
          <w:rFonts w:hAnsi="宋体"/>
          <w:szCs w:val="21"/>
        </w:rPr>
      </w:pPr>
      <w:r>
        <w:rPr>
          <w:rFonts w:hint="eastAsia" w:hAnsi="宋体"/>
          <w:szCs w:val="21"/>
        </w:rPr>
        <w:t>餐厨垃圾</w:t>
      </w:r>
      <w:r>
        <w:rPr>
          <w:rFonts w:hint="eastAsia" w:hAnsi="宋体"/>
          <w:b/>
          <w:bCs/>
          <w:szCs w:val="21"/>
        </w:rPr>
        <w:t>由采购人委托专业公司清运</w:t>
      </w:r>
      <w:r>
        <w:rPr>
          <w:rFonts w:hint="eastAsia" w:hAnsi="宋体"/>
          <w:szCs w:val="21"/>
        </w:rPr>
        <w:t>，</w:t>
      </w:r>
      <w:r>
        <w:rPr>
          <w:rFonts w:hint="eastAsia"/>
          <w:szCs w:val="21"/>
        </w:rPr>
        <w:t>相关费用由</w:t>
      </w:r>
      <w:r>
        <w:rPr>
          <w:rFonts w:hint="eastAsia" w:hAnsi="宋体"/>
          <w:szCs w:val="21"/>
        </w:rPr>
        <w:t>采购</w:t>
      </w:r>
      <w:r>
        <w:rPr>
          <w:rFonts w:hint="eastAsia"/>
          <w:szCs w:val="21"/>
        </w:rPr>
        <w:t>人承担。投标人应予以配合，</w:t>
      </w:r>
      <w:r>
        <w:rPr>
          <w:rFonts w:hint="eastAsia" w:hAnsi="宋体"/>
          <w:szCs w:val="21"/>
        </w:rPr>
        <w:t>并负责日常管理监督工作</w:t>
      </w:r>
      <w:r>
        <w:rPr>
          <w:rFonts w:hint="eastAsia"/>
          <w:szCs w:val="21"/>
        </w:rPr>
        <w:t>。</w:t>
      </w:r>
    </w:p>
    <w:p>
      <w:pPr>
        <w:numPr>
          <w:ilvl w:val="255"/>
          <w:numId w:val="0"/>
        </w:numPr>
        <w:spacing w:line="400" w:lineRule="exact"/>
        <w:ind w:left="0" w:firstLine="0"/>
        <w:jc w:val="left"/>
        <w:rPr>
          <w:rFonts w:hAnsi="宋体"/>
          <w:szCs w:val="21"/>
        </w:rPr>
      </w:pPr>
    </w:p>
    <w:p>
      <w:pPr>
        <w:pStyle w:val="5"/>
        <w:spacing w:line="360" w:lineRule="auto"/>
        <w:ind w:firstLine="422" w:firstLineChars="200"/>
        <w:jc w:val="left"/>
        <w:rPr>
          <w:rFonts w:hAnsi="宋体"/>
          <w:b/>
          <w:szCs w:val="21"/>
        </w:rPr>
      </w:pPr>
      <w:r>
        <w:rPr>
          <w:rFonts w:hint="eastAsia" w:hAnsi="宋体"/>
          <w:b/>
          <w:szCs w:val="21"/>
        </w:rPr>
        <w:t>八、服务标准</w:t>
      </w:r>
    </w:p>
    <w:p>
      <w:pPr>
        <w:pStyle w:val="5"/>
        <w:spacing w:line="360" w:lineRule="auto"/>
        <w:ind w:firstLine="369" w:firstLineChars="176"/>
        <w:jc w:val="left"/>
        <w:rPr>
          <w:rFonts w:hAnsi="宋体"/>
          <w:szCs w:val="21"/>
        </w:rPr>
      </w:pPr>
      <w:r>
        <w:rPr>
          <w:rFonts w:hint="eastAsia" w:hAnsi="宋体"/>
          <w:szCs w:val="21"/>
        </w:rPr>
        <w:t>售前服务：保持经营范围内及包干区域内的场所整洁，达到营业要求，窗明几净、从业人员着装整洁规范、食品摆放有序。</w:t>
      </w:r>
    </w:p>
    <w:p>
      <w:pPr>
        <w:pStyle w:val="5"/>
        <w:spacing w:line="360" w:lineRule="auto"/>
        <w:ind w:firstLine="369" w:firstLineChars="176"/>
        <w:jc w:val="left"/>
        <w:rPr>
          <w:rFonts w:hAnsi="宋体"/>
          <w:szCs w:val="21"/>
        </w:rPr>
      </w:pPr>
      <w:r>
        <w:rPr>
          <w:rFonts w:hint="eastAsia" w:hAnsi="宋体"/>
          <w:szCs w:val="21"/>
        </w:rPr>
        <w:t>售中服务：员工操作规范、食品安全卫生；服务人员态度亲切、热情主动；做到随时补充和整理食物，及时清理餐台，保证良好的用餐秩序。</w:t>
      </w:r>
    </w:p>
    <w:p>
      <w:pPr>
        <w:pStyle w:val="5"/>
        <w:spacing w:line="360" w:lineRule="auto"/>
        <w:ind w:firstLine="369" w:firstLineChars="176"/>
        <w:jc w:val="left"/>
        <w:rPr>
          <w:rFonts w:hAnsi="宋体"/>
          <w:szCs w:val="21"/>
        </w:rPr>
      </w:pPr>
      <w:r>
        <w:rPr>
          <w:rFonts w:hint="eastAsia" w:hAnsi="宋体"/>
          <w:szCs w:val="21"/>
        </w:rPr>
        <w:t>售后服务：餐具有专人收集，保障卫生，对投诉意见，保证</w:t>
      </w:r>
      <w:r>
        <w:rPr>
          <w:rFonts w:hAnsi="宋体"/>
          <w:szCs w:val="21"/>
        </w:rPr>
        <w:t>12小时内予以答复。</w:t>
      </w:r>
    </w:p>
    <w:p>
      <w:pPr>
        <w:pStyle w:val="5"/>
        <w:spacing w:line="360" w:lineRule="auto"/>
        <w:ind w:firstLine="369" w:firstLineChars="176"/>
        <w:jc w:val="left"/>
        <w:rPr>
          <w:rFonts w:hAnsi="宋体"/>
          <w:szCs w:val="21"/>
        </w:rPr>
      </w:pPr>
      <w:r>
        <w:rPr>
          <w:rFonts w:hint="eastAsia" w:hAnsi="宋体"/>
          <w:szCs w:val="21"/>
        </w:rPr>
        <w:t>特殊服务：根据学院要求提供个性化服务，包括打包、送餐、少数民族用餐或其它特殊要求。</w:t>
      </w:r>
    </w:p>
    <w:p>
      <w:pPr>
        <w:pStyle w:val="5"/>
        <w:spacing w:line="360" w:lineRule="auto"/>
        <w:ind w:firstLine="369" w:firstLineChars="176"/>
        <w:jc w:val="left"/>
        <w:rPr>
          <w:rFonts w:hAnsi="宋体"/>
          <w:szCs w:val="21"/>
        </w:rPr>
      </w:pPr>
      <w:r>
        <w:rPr>
          <w:rFonts w:hint="eastAsia" w:hAnsi="宋体"/>
          <w:szCs w:val="21"/>
        </w:rPr>
        <w:t>餐厅整体卫生状况保证符合政府颁布的相关标准，保证无食物中毒事故或疑似食品污染现象的发生。</w:t>
      </w:r>
      <w:bookmarkStart w:id="5" w:name="_GoBack"/>
      <w:bookmarkEnd w:id="5"/>
    </w:p>
    <w:p>
      <w:pPr>
        <w:pStyle w:val="5"/>
        <w:spacing w:line="360" w:lineRule="auto"/>
        <w:ind w:firstLine="369" w:firstLineChars="176"/>
        <w:jc w:val="left"/>
        <w:rPr>
          <w:rFonts w:hAnsi="宋体"/>
          <w:szCs w:val="21"/>
        </w:rPr>
      </w:pPr>
      <w:r>
        <w:rPr>
          <w:rFonts w:hint="eastAsia" w:hAnsi="宋体"/>
          <w:szCs w:val="21"/>
        </w:rPr>
        <w:t>餐厅所有服务管理人员按行业标准，持有效《上海市从业人员健康合格证》上岗，整体服务水平达到中高档酒店的服务标准。</w:t>
      </w:r>
    </w:p>
    <w:p>
      <w:pPr>
        <w:pStyle w:val="5"/>
        <w:spacing w:line="360" w:lineRule="auto"/>
        <w:ind w:left="440"/>
        <w:jc w:val="left"/>
        <w:rPr>
          <w:rFonts w:hAnsi="宋体"/>
          <w:b/>
          <w:szCs w:val="21"/>
        </w:rPr>
      </w:pPr>
      <w:r>
        <w:rPr>
          <w:rFonts w:hint="eastAsia" w:hAnsi="宋体"/>
          <w:b/>
          <w:szCs w:val="21"/>
        </w:rPr>
        <w:t>九、餐厅收费方式</w:t>
      </w:r>
    </w:p>
    <w:p>
      <w:pPr>
        <w:pStyle w:val="5"/>
        <w:spacing w:line="360" w:lineRule="auto"/>
        <w:ind w:firstLine="369" w:firstLineChars="176"/>
        <w:jc w:val="left"/>
        <w:rPr>
          <w:rFonts w:hAnsi="宋体"/>
          <w:szCs w:val="21"/>
        </w:rPr>
      </w:pPr>
      <w:r>
        <w:rPr>
          <w:rFonts w:hint="eastAsia" w:hAnsi="宋体"/>
          <w:szCs w:val="21"/>
        </w:rPr>
        <w:t>餐厅使用一卡通收费系统，提供刷充值卡消费服务；学院各部门以及培训项目也可签单结算；部分项目仍可使用纸质餐券收费。</w:t>
      </w:r>
    </w:p>
    <w:p>
      <w:pPr>
        <w:pStyle w:val="5"/>
        <w:spacing w:line="360" w:lineRule="auto"/>
        <w:ind w:firstLine="413" w:firstLineChars="196"/>
        <w:jc w:val="left"/>
        <w:rPr>
          <w:rFonts w:hAnsi="宋体"/>
          <w:b/>
          <w:szCs w:val="21"/>
        </w:rPr>
      </w:pPr>
      <w:r>
        <w:rPr>
          <w:rFonts w:hint="eastAsia" w:hAnsi="宋体"/>
          <w:b/>
          <w:szCs w:val="21"/>
        </w:rPr>
        <w:t>十、委托服务管理要求</w:t>
      </w:r>
    </w:p>
    <w:p>
      <w:pPr>
        <w:pStyle w:val="5"/>
        <w:spacing w:line="360" w:lineRule="auto"/>
        <w:ind w:firstLine="369" w:firstLineChars="176"/>
        <w:jc w:val="left"/>
        <w:rPr>
          <w:rFonts w:hAnsi="宋体"/>
          <w:b/>
          <w:szCs w:val="21"/>
        </w:rPr>
      </w:pPr>
      <w:r>
        <w:rPr>
          <w:rFonts w:hint="eastAsia" w:hAnsi="宋体"/>
          <w:color w:val="auto"/>
          <w:szCs w:val="21"/>
          <w:lang w:eastAsia="zh-CN"/>
        </w:rPr>
        <w:t>《</w:t>
      </w:r>
      <w:r>
        <w:rPr>
          <w:rFonts w:hint="eastAsia" w:ascii="宋体" w:hAnsi="宋体"/>
          <w:color w:val="auto"/>
          <w:szCs w:val="21"/>
        </w:rPr>
        <w:t>食品经营许可证</w:t>
      </w:r>
      <w:r>
        <w:rPr>
          <w:rFonts w:hint="eastAsia" w:hAnsi="宋体"/>
          <w:color w:val="auto"/>
          <w:szCs w:val="21"/>
          <w:lang w:eastAsia="zh-CN"/>
        </w:rPr>
        <w:t>》属“一地一证”，</w:t>
      </w:r>
      <w:r>
        <w:rPr>
          <w:rFonts w:hint="eastAsia" w:ascii="仿宋_GB2312" w:hAnsi="仿宋_GB2312" w:eastAsia="仿宋_GB2312" w:cs="仿宋_GB2312"/>
          <w:color w:val="FF0000"/>
          <w:szCs w:val="21"/>
          <w:lang w:eastAsia="zh-CN"/>
        </w:rPr>
        <w:t>★</w:t>
      </w:r>
      <w:r>
        <w:rPr>
          <w:rFonts w:hint="eastAsia" w:hAnsi="宋体"/>
          <w:color w:val="FF0000"/>
          <w:szCs w:val="21"/>
          <w:lang w:eastAsia="zh-CN"/>
        </w:rPr>
        <w:t>故投标人需承诺中标</w:t>
      </w:r>
      <w:r>
        <w:rPr>
          <w:rFonts w:hint="eastAsia" w:ascii="宋体" w:hAnsi="宋体"/>
          <w:color w:val="FF0000"/>
          <w:szCs w:val="21"/>
        </w:rPr>
        <w:t>后15天内取得</w:t>
      </w:r>
      <w:r>
        <w:rPr>
          <w:rFonts w:hint="eastAsia" w:hAnsi="宋体"/>
          <w:color w:val="FF0000"/>
          <w:szCs w:val="21"/>
          <w:lang w:eastAsia="zh-CN"/>
        </w:rPr>
        <w:t>在</w:t>
      </w:r>
      <w:r>
        <w:rPr>
          <w:rFonts w:hint="eastAsia" w:ascii="宋体" w:hAnsi="宋体"/>
          <w:color w:val="FF0000"/>
          <w:szCs w:val="21"/>
        </w:rPr>
        <w:t>本项目</w:t>
      </w:r>
      <w:r>
        <w:rPr>
          <w:rFonts w:hint="eastAsia" w:hAnsi="宋体"/>
          <w:color w:val="FF0000"/>
          <w:szCs w:val="21"/>
          <w:lang w:eastAsia="zh-CN"/>
        </w:rPr>
        <w:t>所在地合法开展</w:t>
      </w:r>
      <w:r>
        <w:rPr>
          <w:rFonts w:hint="eastAsia" w:ascii="宋体" w:hAnsi="宋体"/>
          <w:color w:val="FF0000"/>
          <w:szCs w:val="21"/>
        </w:rPr>
        <w:t>食品经营</w:t>
      </w:r>
      <w:r>
        <w:rPr>
          <w:rFonts w:hint="eastAsia" w:hAnsi="宋体"/>
          <w:color w:val="FF0000"/>
          <w:szCs w:val="21"/>
          <w:lang w:eastAsia="zh-CN"/>
        </w:rPr>
        <w:t>的《食品经营许可证》</w:t>
      </w:r>
      <w:r>
        <w:rPr>
          <w:rFonts w:hint="eastAsia" w:ascii="宋体" w:hAnsi="宋体"/>
          <w:color w:val="FF0000"/>
          <w:szCs w:val="21"/>
        </w:rPr>
        <w:t>。</w:t>
      </w:r>
    </w:p>
    <w:p>
      <w:pPr>
        <w:pStyle w:val="5"/>
        <w:spacing w:line="360" w:lineRule="auto"/>
        <w:ind w:firstLine="371" w:firstLineChars="176"/>
        <w:jc w:val="left"/>
        <w:rPr>
          <w:rFonts w:hAnsi="宋体"/>
          <w:b/>
          <w:szCs w:val="21"/>
        </w:rPr>
      </w:pPr>
      <w:r>
        <w:rPr>
          <w:rFonts w:hAnsi="宋体"/>
          <w:b/>
          <w:szCs w:val="21"/>
        </w:rPr>
        <w:t xml:space="preserve">10.1 </w:t>
      </w:r>
      <w:r>
        <w:rPr>
          <w:rFonts w:hint="eastAsia" w:hAnsi="宋体"/>
          <w:b/>
          <w:szCs w:val="21"/>
        </w:rPr>
        <w:t>服务人数及岗位配置</w:t>
      </w:r>
    </w:p>
    <w:p>
      <w:pPr>
        <w:pStyle w:val="5"/>
        <w:spacing w:line="360" w:lineRule="auto"/>
        <w:ind w:firstLine="371" w:firstLineChars="176"/>
        <w:jc w:val="left"/>
        <w:rPr>
          <w:rFonts w:hAnsi="宋体"/>
          <w:b/>
          <w:szCs w:val="21"/>
        </w:rPr>
      </w:pPr>
      <w:r>
        <w:rPr>
          <w:rFonts w:hAnsi="宋体"/>
          <w:b/>
          <w:szCs w:val="21"/>
        </w:rPr>
        <w:t>10.1.1</w:t>
      </w:r>
      <w:r>
        <w:rPr>
          <w:rFonts w:hint="eastAsia" w:hAnsi="宋体"/>
          <w:b/>
          <w:szCs w:val="21"/>
        </w:rPr>
        <w:t>餐饮服务人数由采购人根据采购人用餐需求进行合理配置，服务岗位分管理、厨房、餐厅三类，</w:t>
      </w:r>
      <w:r>
        <w:rPr>
          <w:rFonts w:hint="eastAsia" w:hAnsi="宋体"/>
          <w:b/>
          <w:color w:val="FF0000"/>
          <w:szCs w:val="21"/>
        </w:rPr>
        <w:t>★服务总人数不得少于</w:t>
      </w:r>
      <w:r>
        <w:rPr>
          <w:rFonts w:hAnsi="宋体"/>
          <w:b/>
          <w:color w:val="FF0000"/>
          <w:szCs w:val="21"/>
        </w:rPr>
        <w:t>69人</w:t>
      </w:r>
      <w:r>
        <w:rPr>
          <w:rFonts w:hint="eastAsia" w:hAnsi="宋体"/>
          <w:b/>
          <w:szCs w:val="21"/>
        </w:rPr>
        <w:t>。</w:t>
      </w:r>
    </w:p>
    <w:p>
      <w:pPr>
        <w:pStyle w:val="5"/>
        <w:spacing w:line="360" w:lineRule="auto"/>
        <w:ind w:firstLine="371" w:firstLineChars="176"/>
        <w:jc w:val="left"/>
        <w:rPr>
          <w:rFonts w:hAnsi="宋体"/>
          <w:b/>
          <w:szCs w:val="21"/>
        </w:rPr>
      </w:pPr>
      <w:r>
        <w:rPr>
          <w:rFonts w:hAnsi="宋体"/>
          <w:b/>
          <w:szCs w:val="21"/>
        </w:rPr>
        <w:t>10.1.2人员配置建议如下：</w:t>
      </w:r>
    </w:p>
    <w:tbl>
      <w:tblPr>
        <w:tblStyle w:val="10"/>
        <w:tblW w:w="6703" w:type="dxa"/>
        <w:tblInd w:w="96" w:type="dxa"/>
        <w:tblLayout w:type="fixed"/>
        <w:tblCellMar>
          <w:top w:w="0" w:type="dxa"/>
          <w:left w:w="108" w:type="dxa"/>
          <w:bottom w:w="0" w:type="dxa"/>
          <w:right w:w="108" w:type="dxa"/>
        </w:tblCellMar>
      </w:tblPr>
      <w:tblGrid>
        <w:gridCol w:w="1884"/>
        <w:gridCol w:w="3118"/>
        <w:gridCol w:w="1701"/>
      </w:tblGrid>
      <w:tr>
        <w:tblPrEx>
          <w:tblCellMar>
            <w:top w:w="0" w:type="dxa"/>
            <w:left w:w="108" w:type="dxa"/>
            <w:bottom w:w="0" w:type="dxa"/>
            <w:right w:w="108" w:type="dxa"/>
          </w:tblCellMar>
        </w:tblPrEx>
        <w:trPr>
          <w:trHeight w:val="340" w:hRule="atLeast"/>
          <w:tblHeader/>
        </w:trPr>
        <w:tc>
          <w:tcPr>
            <w:tcW w:w="1884"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b/>
                <w:bCs/>
                <w:color w:val="000000"/>
                <w:szCs w:val="21"/>
              </w:rPr>
            </w:pPr>
            <w:r>
              <w:rPr>
                <w:rFonts w:hint="eastAsia" w:ascii="宋体" w:hAnsi="宋体"/>
                <w:b/>
                <w:bCs/>
                <w:color w:val="000000"/>
                <w:kern w:val="0"/>
                <w:szCs w:val="21"/>
                <w:lang w:bidi="ar"/>
              </w:rPr>
              <w:t>类别</w:t>
            </w:r>
          </w:p>
        </w:tc>
        <w:tc>
          <w:tcPr>
            <w:tcW w:w="311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b/>
                <w:bCs/>
                <w:color w:val="000000"/>
                <w:szCs w:val="21"/>
              </w:rPr>
            </w:pPr>
            <w:r>
              <w:rPr>
                <w:rFonts w:hint="eastAsia" w:ascii="宋体" w:hAnsi="宋体"/>
                <w:b/>
                <w:bCs/>
                <w:color w:val="000000"/>
                <w:kern w:val="0"/>
                <w:szCs w:val="21"/>
                <w:lang w:bidi="ar"/>
              </w:rPr>
              <w:t>岗位</w:t>
            </w:r>
          </w:p>
        </w:tc>
        <w:tc>
          <w:tcPr>
            <w:tcW w:w="1701" w:type="dxa"/>
            <w:tcBorders>
              <w:top w:val="single" w:color="000000" w:sz="4" w:space="0"/>
              <w:left w:val="single" w:color="000000" w:sz="4" w:space="0"/>
              <w:right w:val="single" w:color="000000" w:sz="4" w:space="0"/>
            </w:tcBorders>
            <w:vAlign w:val="center"/>
          </w:tcPr>
          <w:p>
            <w:pPr>
              <w:snapToGrid w:val="0"/>
              <w:spacing w:line="240" w:lineRule="exact"/>
              <w:jc w:val="center"/>
              <w:textAlignment w:val="center"/>
              <w:rPr>
                <w:rFonts w:ascii="宋体" w:hAnsi="宋体"/>
                <w:b/>
                <w:bCs/>
                <w:color w:val="0F1115"/>
                <w:szCs w:val="21"/>
              </w:rPr>
            </w:pPr>
            <w:r>
              <w:rPr>
                <w:rFonts w:ascii="宋体" w:hAnsi="宋体"/>
                <w:b/>
                <w:bCs/>
                <w:color w:val="0F1115"/>
                <w:kern w:val="0"/>
                <w:szCs w:val="21"/>
                <w:lang w:bidi="ar"/>
              </w:rPr>
              <w:t>人数</w:t>
            </w:r>
          </w:p>
        </w:tc>
      </w:tr>
      <w:tr>
        <w:tblPrEx>
          <w:tblCellMar>
            <w:top w:w="0" w:type="dxa"/>
            <w:left w:w="108" w:type="dxa"/>
            <w:bottom w:w="0" w:type="dxa"/>
            <w:right w:w="108" w:type="dxa"/>
          </w:tblCellMar>
        </w:tblPrEx>
        <w:trPr>
          <w:trHeight w:val="340" w:hRule="atLeast"/>
        </w:trPr>
        <w:tc>
          <w:tcPr>
            <w:tcW w:w="188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color w:val="000000"/>
                <w:szCs w:val="21"/>
              </w:rPr>
            </w:pPr>
            <w:r>
              <w:rPr>
                <w:rFonts w:hint="eastAsia" w:ascii="宋体" w:hAnsi="宋体"/>
                <w:color w:val="000000"/>
                <w:szCs w:val="21"/>
              </w:rPr>
              <w:t>管理岗</w:t>
            </w:r>
          </w:p>
          <w:p>
            <w:pPr>
              <w:widowControl/>
              <w:snapToGrid w:val="0"/>
              <w:spacing w:line="240" w:lineRule="exact"/>
              <w:jc w:val="center"/>
              <w:rPr>
                <w:rFonts w:ascii="宋体" w:hAnsi="宋体"/>
                <w:color w:val="000000"/>
                <w:szCs w:val="21"/>
              </w:rPr>
            </w:pPr>
            <w:r>
              <w:rPr>
                <w:rFonts w:hint="eastAsia" w:ascii="宋体" w:hAnsi="宋体"/>
                <w:color w:val="000000"/>
                <w:szCs w:val="21"/>
              </w:rPr>
              <w:t>（</w:t>
            </w:r>
            <w:r>
              <w:rPr>
                <w:rFonts w:ascii="宋体" w:hAnsi="宋体"/>
                <w:color w:val="000000"/>
                <w:szCs w:val="21"/>
              </w:rPr>
              <w:t>5人）</w:t>
            </w:r>
          </w:p>
        </w:tc>
        <w:tc>
          <w:tcPr>
            <w:tcW w:w="311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left"/>
              <w:textAlignment w:val="center"/>
              <w:rPr>
                <w:rFonts w:ascii="宋体" w:hAnsi="宋体"/>
                <w:color w:val="000000"/>
                <w:szCs w:val="21"/>
              </w:rPr>
            </w:pPr>
            <w:r>
              <w:rPr>
                <w:rFonts w:hint="eastAsia" w:ascii="宋体" w:hAnsi="宋体"/>
                <w:color w:val="000000"/>
                <w:kern w:val="0"/>
                <w:szCs w:val="21"/>
                <w:lang w:bidi="ar"/>
              </w:rPr>
              <w:t>项目经理</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宋体" w:hAnsi="宋体"/>
                <w:color w:val="000000"/>
                <w:szCs w:val="21"/>
              </w:rPr>
            </w:pPr>
            <w:r>
              <w:rPr>
                <w:rFonts w:ascii="宋体" w:hAnsi="宋体"/>
                <w:color w:val="000000"/>
                <w:kern w:val="0"/>
                <w:szCs w:val="21"/>
                <w:lang w:bidi="ar"/>
              </w:rPr>
              <w:t>1</w:t>
            </w:r>
          </w:p>
        </w:tc>
      </w:tr>
      <w:tr>
        <w:tblPrEx>
          <w:tblCellMar>
            <w:top w:w="0" w:type="dxa"/>
            <w:left w:w="108" w:type="dxa"/>
            <w:bottom w:w="0" w:type="dxa"/>
            <w:right w:w="108" w:type="dxa"/>
          </w:tblCellMar>
        </w:tblPrEx>
        <w:trPr>
          <w:trHeight w:val="340"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left"/>
              <w:textAlignment w:val="center"/>
              <w:rPr>
                <w:rFonts w:ascii="宋体" w:hAnsi="宋体"/>
                <w:color w:val="000000"/>
                <w:kern w:val="0"/>
                <w:szCs w:val="21"/>
                <w:lang w:bidi="ar"/>
              </w:rPr>
            </w:pPr>
            <w:r>
              <w:rPr>
                <w:rFonts w:ascii="宋体" w:hAnsi="宋体"/>
                <w:color w:val="000000"/>
                <w:kern w:val="0"/>
                <w:szCs w:val="21"/>
                <w:lang w:bidi="ar"/>
              </w:rPr>
              <w:t>项目经理助理</w:t>
            </w:r>
            <w:r>
              <w:rPr>
                <w:rFonts w:hint="eastAsia" w:ascii="宋体" w:hAnsi="宋体"/>
                <w:color w:val="000000"/>
                <w:kern w:val="0"/>
                <w:szCs w:val="21"/>
                <w:lang w:bidi="ar"/>
              </w:rPr>
              <w:t>（餐厅经理）</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宋体" w:hAnsi="宋体"/>
                <w:color w:val="000000"/>
                <w:kern w:val="0"/>
                <w:szCs w:val="21"/>
                <w:lang w:bidi="ar"/>
              </w:rPr>
            </w:pPr>
            <w:r>
              <w:rPr>
                <w:rFonts w:ascii="宋体" w:hAnsi="宋体"/>
                <w:color w:val="000000"/>
                <w:kern w:val="0"/>
                <w:szCs w:val="21"/>
                <w:lang w:bidi="ar"/>
              </w:rPr>
              <w:t>1</w:t>
            </w:r>
          </w:p>
        </w:tc>
      </w:tr>
      <w:tr>
        <w:tblPrEx>
          <w:tblCellMar>
            <w:top w:w="0" w:type="dxa"/>
            <w:left w:w="108" w:type="dxa"/>
            <w:bottom w:w="0" w:type="dxa"/>
            <w:right w:w="108" w:type="dxa"/>
          </w:tblCellMar>
        </w:tblPrEx>
        <w:trPr>
          <w:trHeight w:val="340"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left"/>
              <w:textAlignment w:val="center"/>
              <w:rPr>
                <w:rFonts w:ascii="宋体" w:hAnsi="宋体"/>
                <w:color w:val="000000"/>
                <w:szCs w:val="21"/>
              </w:rPr>
            </w:pPr>
            <w:r>
              <w:rPr>
                <w:rFonts w:ascii="宋体" w:hAnsi="宋体"/>
                <w:color w:val="000000"/>
                <w:kern w:val="0"/>
                <w:szCs w:val="21"/>
                <w:lang w:bidi="ar"/>
              </w:rPr>
              <w:t>厨师长</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宋体" w:hAnsi="宋体"/>
                <w:color w:val="000000"/>
                <w:szCs w:val="21"/>
              </w:rPr>
            </w:pPr>
            <w:r>
              <w:rPr>
                <w:rFonts w:ascii="宋体" w:hAnsi="宋体"/>
                <w:color w:val="000000"/>
                <w:kern w:val="0"/>
                <w:szCs w:val="21"/>
                <w:lang w:bidi="ar"/>
              </w:rPr>
              <w:t>1</w:t>
            </w:r>
          </w:p>
        </w:tc>
      </w:tr>
      <w:tr>
        <w:tblPrEx>
          <w:tblCellMar>
            <w:top w:w="0" w:type="dxa"/>
            <w:left w:w="108" w:type="dxa"/>
            <w:bottom w:w="0" w:type="dxa"/>
            <w:right w:w="108" w:type="dxa"/>
          </w:tblCellMar>
        </w:tblPrEx>
        <w:trPr>
          <w:trHeight w:val="340"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left"/>
              <w:textAlignment w:val="center"/>
              <w:rPr>
                <w:rFonts w:ascii="宋体" w:hAnsi="宋体"/>
                <w:color w:val="000000"/>
                <w:szCs w:val="21"/>
              </w:rPr>
            </w:pPr>
            <w:r>
              <w:rPr>
                <w:rFonts w:hint="eastAsia" w:ascii="宋体" w:hAnsi="宋体"/>
                <w:color w:val="000000"/>
                <w:kern w:val="0"/>
                <w:szCs w:val="21"/>
                <w:lang w:bidi="ar"/>
              </w:rPr>
              <w:t>营运助理（文员、财务）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宋体" w:hAnsi="宋体"/>
                <w:color w:val="000000"/>
                <w:szCs w:val="21"/>
              </w:rPr>
            </w:pPr>
            <w:r>
              <w:rPr>
                <w:rFonts w:ascii="宋体" w:hAnsi="宋体"/>
                <w:color w:val="000000"/>
                <w:kern w:val="0"/>
                <w:szCs w:val="21"/>
                <w:lang w:bidi="ar"/>
              </w:rPr>
              <w:t>1</w:t>
            </w:r>
          </w:p>
        </w:tc>
      </w:tr>
      <w:tr>
        <w:tblPrEx>
          <w:tblCellMar>
            <w:top w:w="0" w:type="dxa"/>
            <w:left w:w="108" w:type="dxa"/>
            <w:bottom w:w="0" w:type="dxa"/>
            <w:right w:w="108" w:type="dxa"/>
          </w:tblCellMar>
        </w:tblPrEx>
        <w:trPr>
          <w:trHeight w:val="340"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left"/>
              <w:textAlignment w:val="center"/>
              <w:rPr>
                <w:rFonts w:ascii="宋体" w:hAnsi="宋体"/>
                <w:color w:val="000000"/>
                <w:szCs w:val="21"/>
              </w:rPr>
            </w:pPr>
            <w:r>
              <w:rPr>
                <w:rFonts w:hint="eastAsia" w:ascii="宋体" w:hAnsi="宋体"/>
                <w:color w:val="000000"/>
                <w:kern w:val="0"/>
                <w:szCs w:val="21"/>
                <w:lang w:bidi="ar"/>
              </w:rPr>
              <w:t>仓库保管员</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宋体" w:hAnsi="宋体"/>
                <w:color w:val="000000"/>
                <w:szCs w:val="21"/>
              </w:rPr>
            </w:pPr>
            <w:r>
              <w:rPr>
                <w:rFonts w:ascii="宋体" w:hAnsi="宋体"/>
                <w:color w:val="000000"/>
                <w:kern w:val="0"/>
                <w:szCs w:val="21"/>
                <w:lang w:bidi="ar"/>
              </w:rPr>
              <w:t>1</w:t>
            </w:r>
          </w:p>
        </w:tc>
      </w:tr>
      <w:tr>
        <w:tblPrEx>
          <w:tblCellMar>
            <w:top w:w="0" w:type="dxa"/>
            <w:left w:w="108" w:type="dxa"/>
            <w:bottom w:w="0" w:type="dxa"/>
            <w:right w:w="108" w:type="dxa"/>
          </w:tblCellMar>
        </w:tblPrEx>
        <w:trPr>
          <w:trHeight w:val="340" w:hRule="atLeast"/>
        </w:trPr>
        <w:tc>
          <w:tcPr>
            <w:tcW w:w="188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宋体" w:hAnsi="宋体"/>
                <w:color w:val="000000"/>
                <w:kern w:val="0"/>
                <w:szCs w:val="21"/>
                <w:lang w:bidi="ar"/>
              </w:rPr>
            </w:pPr>
            <w:r>
              <w:rPr>
                <w:rFonts w:hint="eastAsia" w:ascii="宋体" w:hAnsi="宋体"/>
                <w:color w:val="000000"/>
                <w:kern w:val="0"/>
                <w:szCs w:val="21"/>
                <w:lang w:bidi="ar"/>
              </w:rPr>
              <w:t>厨房</w:t>
            </w:r>
          </w:p>
          <w:p>
            <w:pPr>
              <w:widowControl/>
              <w:snapToGrid w:val="0"/>
              <w:spacing w:line="240" w:lineRule="exact"/>
              <w:jc w:val="center"/>
              <w:textAlignment w:val="center"/>
              <w:rPr>
                <w:rFonts w:ascii="宋体" w:hAnsi="宋体"/>
                <w:color w:val="000000"/>
                <w:szCs w:val="21"/>
              </w:rPr>
            </w:pPr>
            <w:r>
              <w:rPr>
                <w:rFonts w:hint="eastAsia" w:ascii="宋体" w:hAnsi="宋体"/>
                <w:color w:val="000000"/>
                <w:kern w:val="0"/>
                <w:szCs w:val="21"/>
                <w:lang w:bidi="ar"/>
              </w:rPr>
              <w:t>（</w:t>
            </w:r>
            <w:r>
              <w:rPr>
                <w:rFonts w:ascii="宋体" w:hAnsi="宋体"/>
                <w:color w:val="000000"/>
                <w:kern w:val="0"/>
                <w:szCs w:val="21"/>
                <w:lang w:bidi="ar"/>
              </w:rPr>
              <w:t>42人）</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left"/>
              <w:textAlignment w:val="center"/>
              <w:rPr>
                <w:rFonts w:ascii="宋体" w:hAnsi="宋体"/>
                <w:color w:val="000000"/>
                <w:szCs w:val="21"/>
              </w:rPr>
            </w:pPr>
            <w:r>
              <w:rPr>
                <w:rFonts w:ascii="宋体" w:hAnsi="宋体"/>
                <w:color w:val="000000"/>
                <w:kern w:val="0"/>
                <w:szCs w:val="21"/>
                <w:lang w:bidi="ar"/>
              </w:rPr>
              <w:t>厨师主管</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center"/>
              <w:textAlignment w:val="center"/>
              <w:rPr>
                <w:rFonts w:ascii="宋体" w:hAnsi="宋体"/>
                <w:color w:val="000000"/>
                <w:szCs w:val="21"/>
              </w:rPr>
            </w:pPr>
            <w:r>
              <w:rPr>
                <w:rFonts w:ascii="宋体" w:hAnsi="宋体"/>
                <w:color w:val="000000"/>
                <w:kern w:val="0"/>
                <w:szCs w:val="21"/>
                <w:lang w:bidi="ar"/>
              </w:rPr>
              <w:t>2</w:t>
            </w:r>
          </w:p>
        </w:tc>
      </w:tr>
      <w:tr>
        <w:tblPrEx>
          <w:tblCellMar>
            <w:top w:w="0" w:type="dxa"/>
            <w:left w:w="108" w:type="dxa"/>
            <w:bottom w:w="0" w:type="dxa"/>
            <w:right w:w="108" w:type="dxa"/>
          </w:tblCellMar>
        </w:tblPrEx>
        <w:trPr>
          <w:trHeight w:val="340"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宋体" w:hAnsi="宋体"/>
                <w:color w:val="000000"/>
                <w:kern w:val="0"/>
                <w:szCs w:val="21"/>
                <w:lang w:bidi="ar"/>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left"/>
              <w:textAlignment w:val="center"/>
              <w:rPr>
                <w:rFonts w:ascii="宋体" w:hAnsi="宋体"/>
                <w:color w:val="000000"/>
                <w:kern w:val="0"/>
                <w:szCs w:val="21"/>
                <w:lang w:bidi="ar"/>
              </w:rPr>
            </w:pPr>
            <w:r>
              <w:rPr>
                <w:rFonts w:ascii="宋体" w:hAnsi="宋体"/>
                <w:color w:val="000000"/>
                <w:kern w:val="0"/>
                <w:szCs w:val="21"/>
                <w:lang w:bidi="ar"/>
              </w:rPr>
              <w:t>厨师</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center"/>
              <w:textAlignment w:val="center"/>
              <w:rPr>
                <w:rFonts w:ascii="宋体" w:hAnsi="宋体"/>
                <w:color w:val="000000"/>
                <w:kern w:val="0"/>
                <w:szCs w:val="21"/>
                <w:lang w:bidi="ar"/>
              </w:rPr>
            </w:pPr>
            <w:r>
              <w:rPr>
                <w:rFonts w:ascii="宋体" w:hAnsi="宋体"/>
                <w:color w:val="000000"/>
                <w:kern w:val="0"/>
                <w:szCs w:val="21"/>
                <w:lang w:bidi="ar"/>
              </w:rPr>
              <w:t>6</w:t>
            </w:r>
          </w:p>
        </w:tc>
      </w:tr>
      <w:tr>
        <w:tblPrEx>
          <w:tblCellMar>
            <w:top w:w="0" w:type="dxa"/>
            <w:left w:w="108" w:type="dxa"/>
            <w:bottom w:w="0" w:type="dxa"/>
            <w:right w:w="108" w:type="dxa"/>
          </w:tblCellMar>
        </w:tblPrEx>
        <w:trPr>
          <w:trHeight w:val="340"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left"/>
              <w:textAlignment w:val="center"/>
              <w:rPr>
                <w:rFonts w:ascii="宋体" w:hAnsi="宋体"/>
                <w:color w:val="000000"/>
                <w:szCs w:val="21"/>
              </w:rPr>
            </w:pPr>
            <w:r>
              <w:rPr>
                <w:rFonts w:ascii="宋体" w:hAnsi="宋体"/>
                <w:color w:val="000000"/>
                <w:kern w:val="0"/>
                <w:szCs w:val="21"/>
                <w:lang w:bidi="ar"/>
              </w:rPr>
              <w:t>点心主管</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center"/>
              <w:textAlignment w:val="center"/>
              <w:rPr>
                <w:rFonts w:ascii="宋体" w:hAnsi="宋体"/>
                <w:color w:val="000000"/>
                <w:szCs w:val="21"/>
              </w:rPr>
            </w:pPr>
            <w:r>
              <w:rPr>
                <w:rFonts w:ascii="宋体" w:hAnsi="宋体"/>
                <w:color w:val="000000"/>
                <w:kern w:val="0"/>
                <w:szCs w:val="21"/>
                <w:lang w:bidi="ar"/>
              </w:rPr>
              <w:t>1</w:t>
            </w:r>
          </w:p>
        </w:tc>
      </w:tr>
      <w:tr>
        <w:tblPrEx>
          <w:tblCellMar>
            <w:top w:w="0" w:type="dxa"/>
            <w:left w:w="108" w:type="dxa"/>
            <w:bottom w:w="0" w:type="dxa"/>
            <w:right w:w="108" w:type="dxa"/>
          </w:tblCellMar>
        </w:tblPrEx>
        <w:trPr>
          <w:trHeight w:val="340"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left"/>
              <w:textAlignment w:val="center"/>
              <w:rPr>
                <w:rFonts w:ascii="宋体" w:hAnsi="宋体"/>
                <w:color w:val="000000"/>
                <w:szCs w:val="21"/>
              </w:rPr>
            </w:pPr>
            <w:r>
              <w:rPr>
                <w:rFonts w:ascii="宋体" w:hAnsi="宋体"/>
                <w:color w:val="000000"/>
                <w:kern w:val="0"/>
                <w:szCs w:val="21"/>
                <w:lang w:bidi="ar"/>
              </w:rPr>
              <w:t>点心师</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center"/>
              <w:textAlignment w:val="center"/>
              <w:rPr>
                <w:rFonts w:ascii="宋体" w:hAnsi="宋体"/>
                <w:color w:val="000000"/>
                <w:szCs w:val="21"/>
              </w:rPr>
            </w:pPr>
            <w:r>
              <w:rPr>
                <w:rFonts w:ascii="宋体" w:hAnsi="宋体"/>
                <w:color w:val="000000"/>
                <w:kern w:val="0"/>
                <w:szCs w:val="21"/>
                <w:lang w:bidi="ar"/>
              </w:rPr>
              <w:t>2</w:t>
            </w:r>
          </w:p>
        </w:tc>
      </w:tr>
      <w:tr>
        <w:tblPrEx>
          <w:tblCellMar>
            <w:top w:w="0" w:type="dxa"/>
            <w:left w:w="108" w:type="dxa"/>
            <w:bottom w:w="0" w:type="dxa"/>
            <w:right w:w="108" w:type="dxa"/>
          </w:tblCellMar>
        </w:tblPrEx>
        <w:trPr>
          <w:trHeight w:val="340"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left"/>
              <w:textAlignment w:val="center"/>
              <w:rPr>
                <w:rFonts w:ascii="宋体" w:hAnsi="宋体"/>
                <w:color w:val="000000"/>
                <w:kern w:val="0"/>
                <w:szCs w:val="21"/>
                <w:lang w:bidi="ar"/>
              </w:rPr>
            </w:pPr>
            <w:r>
              <w:rPr>
                <w:rFonts w:ascii="宋体" w:hAnsi="宋体"/>
                <w:color w:val="000000"/>
                <w:kern w:val="0"/>
                <w:szCs w:val="21"/>
                <w:lang w:bidi="ar"/>
              </w:rPr>
              <w:t>点心帮工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center"/>
              <w:textAlignment w:val="center"/>
              <w:rPr>
                <w:rFonts w:ascii="宋体" w:hAnsi="宋体"/>
                <w:color w:val="000000"/>
                <w:kern w:val="0"/>
                <w:szCs w:val="21"/>
                <w:lang w:bidi="ar"/>
              </w:rPr>
            </w:pPr>
            <w:r>
              <w:rPr>
                <w:rFonts w:ascii="宋体" w:hAnsi="宋体"/>
                <w:color w:val="000000"/>
                <w:kern w:val="0"/>
                <w:szCs w:val="21"/>
                <w:lang w:bidi="ar"/>
              </w:rPr>
              <w:t>4</w:t>
            </w:r>
          </w:p>
        </w:tc>
      </w:tr>
      <w:tr>
        <w:tblPrEx>
          <w:tblCellMar>
            <w:top w:w="0" w:type="dxa"/>
            <w:left w:w="108" w:type="dxa"/>
            <w:bottom w:w="0" w:type="dxa"/>
            <w:right w:w="108" w:type="dxa"/>
          </w:tblCellMar>
        </w:tblPrEx>
        <w:trPr>
          <w:trHeight w:val="340"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left"/>
              <w:textAlignment w:val="center"/>
              <w:rPr>
                <w:rFonts w:ascii="宋体" w:hAnsi="宋体"/>
                <w:color w:val="000000"/>
                <w:szCs w:val="21"/>
              </w:rPr>
            </w:pPr>
            <w:r>
              <w:rPr>
                <w:rFonts w:hint="eastAsia" w:ascii="宋体" w:hAnsi="宋体"/>
                <w:color w:val="000000"/>
                <w:kern w:val="0"/>
                <w:szCs w:val="21"/>
                <w:lang w:bidi="ar"/>
              </w:rPr>
              <w:t>切配主管</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center"/>
              <w:textAlignment w:val="center"/>
              <w:rPr>
                <w:rFonts w:ascii="宋体" w:hAnsi="宋体"/>
                <w:color w:val="000000"/>
                <w:szCs w:val="21"/>
              </w:rPr>
            </w:pPr>
            <w:r>
              <w:rPr>
                <w:rFonts w:ascii="宋体" w:hAnsi="宋体"/>
                <w:color w:val="000000"/>
                <w:kern w:val="0"/>
                <w:szCs w:val="21"/>
                <w:lang w:bidi="ar"/>
              </w:rPr>
              <w:t>2</w:t>
            </w:r>
          </w:p>
        </w:tc>
      </w:tr>
      <w:tr>
        <w:tblPrEx>
          <w:tblCellMar>
            <w:top w:w="0" w:type="dxa"/>
            <w:left w:w="108" w:type="dxa"/>
            <w:bottom w:w="0" w:type="dxa"/>
            <w:right w:w="108" w:type="dxa"/>
          </w:tblCellMar>
        </w:tblPrEx>
        <w:trPr>
          <w:trHeight w:val="340"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left"/>
              <w:textAlignment w:val="center"/>
              <w:rPr>
                <w:rFonts w:ascii="宋体" w:hAnsi="宋体"/>
                <w:color w:val="000000"/>
                <w:kern w:val="0"/>
                <w:szCs w:val="21"/>
                <w:lang w:bidi="ar"/>
              </w:rPr>
            </w:pPr>
            <w:r>
              <w:rPr>
                <w:rFonts w:ascii="宋体" w:hAnsi="宋体"/>
                <w:color w:val="000000"/>
                <w:kern w:val="0"/>
                <w:szCs w:val="21"/>
                <w:lang w:bidi="ar"/>
              </w:rPr>
              <w:t>切配</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center"/>
              <w:textAlignment w:val="center"/>
              <w:rPr>
                <w:rFonts w:ascii="宋体" w:hAnsi="宋体"/>
                <w:color w:val="000000"/>
                <w:kern w:val="0"/>
                <w:szCs w:val="21"/>
                <w:lang w:bidi="ar"/>
              </w:rPr>
            </w:pPr>
            <w:r>
              <w:rPr>
                <w:rFonts w:ascii="宋体" w:hAnsi="宋体"/>
                <w:color w:val="000000"/>
                <w:kern w:val="0"/>
                <w:szCs w:val="21"/>
                <w:lang w:bidi="ar"/>
              </w:rPr>
              <w:t>5</w:t>
            </w:r>
          </w:p>
        </w:tc>
      </w:tr>
      <w:tr>
        <w:tblPrEx>
          <w:tblCellMar>
            <w:top w:w="0" w:type="dxa"/>
            <w:left w:w="108" w:type="dxa"/>
            <w:bottom w:w="0" w:type="dxa"/>
            <w:right w:w="108" w:type="dxa"/>
          </w:tblCellMar>
        </w:tblPrEx>
        <w:trPr>
          <w:trHeight w:val="340"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left"/>
              <w:textAlignment w:val="center"/>
              <w:rPr>
                <w:rFonts w:ascii="宋体" w:hAnsi="宋体"/>
                <w:color w:val="000000"/>
                <w:szCs w:val="21"/>
              </w:rPr>
            </w:pPr>
            <w:r>
              <w:rPr>
                <w:rFonts w:hint="eastAsia" w:ascii="宋体" w:hAnsi="宋体"/>
                <w:color w:val="000000"/>
                <w:kern w:val="0"/>
                <w:szCs w:val="21"/>
                <w:lang w:bidi="ar"/>
              </w:rPr>
              <w:t>冷菜主管</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center"/>
              <w:textAlignment w:val="center"/>
              <w:rPr>
                <w:rFonts w:ascii="宋体" w:hAnsi="宋体"/>
                <w:color w:val="000000"/>
                <w:szCs w:val="21"/>
              </w:rPr>
            </w:pPr>
            <w:r>
              <w:rPr>
                <w:rFonts w:ascii="宋体" w:hAnsi="宋体"/>
                <w:color w:val="000000"/>
                <w:kern w:val="0"/>
                <w:szCs w:val="21"/>
                <w:lang w:bidi="ar"/>
              </w:rPr>
              <w:t>2</w:t>
            </w:r>
          </w:p>
        </w:tc>
      </w:tr>
      <w:tr>
        <w:tblPrEx>
          <w:tblCellMar>
            <w:top w:w="0" w:type="dxa"/>
            <w:left w:w="108" w:type="dxa"/>
            <w:bottom w:w="0" w:type="dxa"/>
            <w:right w:w="108" w:type="dxa"/>
          </w:tblCellMar>
        </w:tblPrEx>
        <w:trPr>
          <w:trHeight w:val="340"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left"/>
              <w:textAlignment w:val="center"/>
              <w:rPr>
                <w:rFonts w:ascii="宋体" w:hAnsi="宋体"/>
                <w:color w:val="000000"/>
                <w:kern w:val="0"/>
                <w:szCs w:val="21"/>
                <w:lang w:bidi="ar"/>
              </w:rPr>
            </w:pPr>
            <w:r>
              <w:rPr>
                <w:rFonts w:hint="eastAsia" w:ascii="宋体" w:hAnsi="宋体"/>
                <w:color w:val="000000"/>
                <w:kern w:val="0"/>
                <w:szCs w:val="21"/>
                <w:lang w:bidi="ar"/>
              </w:rPr>
              <w:t>砂锅厨师、铁板师傅</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center"/>
              <w:textAlignment w:val="center"/>
              <w:rPr>
                <w:rFonts w:ascii="宋体" w:hAnsi="宋体"/>
                <w:color w:val="000000"/>
                <w:szCs w:val="21"/>
              </w:rPr>
            </w:pPr>
            <w:r>
              <w:rPr>
                <w:rFonts w:ascii="宋体" w:hAnsi="宋体"/>
                <w:color w:val="000000"/>
                <w:kern w:val="0"/>
                <w:szCs w:val="21"/>
                <w:lang w:bidi="ar"/>
              </w:rPr>
              <w:t>3</w:t>
            </w:r>
          </w:p>
        </w:tc>
      </w:tr>
      <w:tr>
        <w:tblPrEx>
          <w:tblCellMar>
            <w:top w:w="0" w:type="dxa"/>
            <w:left w:w="108" w:type="dxa"/>
            <w:bottom w:w="0" w:type="dxa"/>
            <w:right w:w="108" w:type="dxa"/>
          </w:tblCellMar>
        </w:tblPrEx>
        <w:trPr>
          <w:trHeight w:val="340"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left"/>
              <w:textAlignment w:val="center"/>
              <w:rPr>
                <w:rFonts w:ascii="宋体" w:hAnsi="宋体"/>
                <w:color w:val="000000"/>
                <w:kern w:val="0"/>
                <w:szCs w:val="21"/>
                <w:lang w:bidi="ar"/>
              </w:rPr>
            </w:pPr>
            <w:r>
              <w:rPr>
                <w:rFonts w:hint="eastAsia" w:ascii="宋体" w:hAnsi="宋体"/>
                <w:color w:val="000000"/>
                <w:kern w:val="0"/>
                <w:szCs w:val="21"/>
                <w:lang w:bidi="ar"/>
              </w:rPr>
              <w:t>帮工</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center"/>
              <w:textAlignment w:val="center"/>
              <w:rPr>
                <w:rFonts w:ascii="宋体" w:hAnsi="宋体"/>
                <w:color w:val="000000"/>
                <w:szCs w:val="21"/>
              </w:rPr>
            </w:pPr>
            <w:r>
              <w:rPr>
                <w:rFonts w:ascii="宋体" w:hAnsi="宋体"/>
                <w:color w:val="000000"/>
                <w:kern w:val="0"/>
                <w:szCs w:val="21"/>
                <w:lang w:bidi="ar"/>
              </w:rPr>
              <w:t>15</w:t>
            </w:r>
          </w:p>
        </w:tc>
      </w:tr>
      <w:tr>
        <w:tblPrEx>
          <w:tblCellMar>
            <w:top w:w="0" w:type="dxa"/>
            <w:left w:w="108" w:type="dxa"/>
            <w:bottom w:w="0" w:type="dxa"/>
            <w:right w:w="108" w:type="dxa"/>
          </w:tblCellMar>
        </w:tblPrEx>
        <w:trPr>
          <w:trHeight w:val="340" w:hRule="atLeast"/>
        </w:trPr>
        <w:tc>
          <w:tcPr>
            <w:tcW w:w="188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宋体" w:hAnsi="宋体"/>
                <w:color w:val="000000"/>
                <w:kern w:val="0"/>
                <w:szCs w:val="21"/>
                <w:lang w:bidi="ar"/>
              </w:rPr>
            </w:pPr>
            <w:r>
              <w:rPr>
                <w:rFonts w:hint="eastAsia" w:ascii="宋体" w:hAnsi="宋体"/>
                <w:color w:val="000000"/>
                <w:kern w:val="0"/>
                <w:szCs w:val="21"/>
                <w:lang w:bidi="ar"/>
              </w:rPr>
              <w:t>餐厅</w:t>
            </w:r>
          </w:p>
          <w:p>
            <w:pPr>
              <w:widowControl/>
              <w:snapToGrid w:val="0"/>
              <w:spacing w:line="240" w:lineRule="exact"/>
              <w:jc w:val="center"/>
              <w:textAlignment w:val="center"/>
              <w:rPr>
                <w:rFonts w:ascii="宋体" w:hAnsi="宋体"/>
                <w:color w:val="000000"/>
                <w:szCs w:val="21"/>
              </w:rPr>
            </w:pPr>
            <w:r>
              <w:rPr>
                <w:rFonts w:hint="eastAsia" w:ascii="宋体" w:hAnsi="宋体"/>
                <w:color w:val="000000"/>
                <w:kern w:val="0"/>
                <w:szCs w:val="21"/>
                <w:lang w:bidi="ar"/>
              </w:rPr>
              <w:t>（</w:t>
            </w:r>
            <w:r>
              <w:rPr>
                <w:rFonts w:ascii="宋体" w:hAnsi="宋体"/>
                <w:color w:val="000000"/>
                <w:kern w:val="0"/>
                <w:szCs w:val="21"/>
                <w:lang w:bidi="ar"/>
              </w:rPr>
              <w:t>22人）</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left"/>
              <w:textAlignment w:val="center"/>
              <w:rPr>
                <w:rFonts w:ascii="宋体" w:hAnsi="宋体"/>
                <w:color w:val="000000"/>
                <w:kern w:val="0"/>
                <w:szCs w:val="21"/>
                <w:lang w:bidi="ar"/>
              </w:rPr>
            </w:pPr>
            <w:r>
              <w:rPr>
                <w:rFonts w:ascii="宋体" w:hAnsi="宋体"/>
                <w:color w:val="000000"/>
                <w:kern w:val="0"/>
                <w:szCs w:val="21"/>
                <w:lang w:bidi="ar"/>
              </w:rPr>
              <w:t>餐厅主管</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center"/>
              <w:rPr>
                <w:rFonts w:ascii="宋体" w:hAnsi="宋体"/>
                <w:color w:val="000000"/>
                <w:szCs w:val="21"/>
              </w:rPr>
            </w:pPr>
            <w:r>
              <w:rPr>
                <w:rFonts w:ascii="宋体" w:hAnsi="宋体"/>
                <w:color w:val="000000"/>
                <w:kern w:val="0"/>
                <w:szCs w:val="21"/>
                <w:lang w:bidi="ar"/>
              </w:rPr>
              <w:t>2</w:t>
            </w:r>
          </w:p>
        </w:tc>
      </w:tr>
      <w:tr>
        <w:tblPrEx>
          <w:tblCellMar>
            <w:top w:w="0" w:type="dxa"/>
            <w:left w:w="108" w:type="dxa"/>
            <w:bottom w:w="0" w:type="dxa"/>
            <w:right w:w="108" w:type="dxa"/>
          </w:tblCellMar>
        </w:tblPrEx>
        <w:trPr>
          <w:trHeight w:val="340"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left"/>
              <w:textAlignment w:val="center"/>
              <w:rPr>
                <w:rFonts w:ascii="宋体" w:hAnsi="宋体"/>
                <w:color w:val="000000"/>
                <w:kern w:val="0"/>
                <w:szCs w:val="21"/>
                <w:lang w:bidi="ar"/>
              </w:rPr>
            </w:pPr>
            <w:r>
              <w:rPr>
                <w:rFonts w:hint="eastAsia" w:ascii="宋体" w:hAnsi="宋体"/>
                <w:color w:val="000000"/>
                <w:kern w:val="0"/>
                <w:szCs w:val="21"/>
                <w:lang w:bidi="ar"/>
              </w:rPr>
              <w:t>服务员</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exact"/>
              <w:jc w:val="center"/>
              <w:textAlignment w:val="center"/>
              <w:rPr>
                <w:rFonts w:ascii="宋体" w:hAnsi="宋体"/>
                <w:color w:val="000000"/>
                <w:szCs w:val="21"/>
              </w:rPr>
            </w:pPr>
            <w:r>
              <w:rPr>
                <w:rFonts w:ascii="宋体" w:hAnsi="宋体"/>
                <w:color w:val="000000"/>
                <w:kern w:val="0"/>
                <w:szCs w:val="21"/>
                <w:lang w:bidi="ar"/>
              </w:rPr>
              <w:t>20</w:t>
            </w:r>
          </w:p>
        </w:tc>
      </w:tr>
      <w:tr>
        <w:tblPrEx>
          <w:tblCellMar>
            <w:top w:w="0" w:type="dxa"/>
            <w:left w:w="108" w:type="dxa"/>
            <w:bottom w:w="0" w:type="dxa"/>
            <w:right w:w="108" w:type="dxa"/>
          </w:tblCellMar>
        </w:tblPrEx>
        <w:trPr>
          <w:trHeight w:val="340" w:hRule="atLeast"/>
        </w:trPr>
        <w:tc>
          <w:tcPr>
            <w:tcW w:w="500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宋体" w:hAnsi="宋体"/>
                <w:b/>
                <w:bCs/>
                <w:color w:val="0F1115"/>
                <w:szCs w:val="21"/>
              </w:rPr>
            </w:pPr>
            <w:r>
              <w:rPr>
                <w:rFonts w:hint="eastAsia" w:ascii="宋体" w:hAnsi="宋体"/>
                <w:b/>
                <w:bCs/>
                <w:color w:val="0F1115"/>
                <w:kern w:val="0"/>
                <w:szCs w:val="21"/>
                <w:lang w:bidi="ar"/>
              </w:rPr>
              <w:t>合计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宋体" w:hAnsi="宋体"/>
                <w:b/>
                <w:bCs/>
                <w:color w:val="000000"/>
                <w:szCs w:val="21"/>
              </w:rPr>
            </w:pPr>
            <w:r>
              <w:rPr>
                <w:rFonts w:ascii="宋体" w:hAnsi="宋体"/>
                <w:b/>
                <w:bCs/>
                <w:color w:val="000000"/>
                <w:kern w:val="0"/>
                <w:szCs w:val="21"/>
                <w:lang w:bidi="ar"/>
              </w:rPr>
              <w:t>69</w:t>
            </w:r>
          </w:p>
        </w:tc>
      </w:tr>
    </w:tbl>
    <w:p>
      <w:pPr>
        <w:pStyle w:val="5"/>
        <w:spacing w:line="360" w:lineRule="auto"/>
        <w:ind w:firstLine="422" w:firstLineChars="200"/>
        <w:jc w:val="left"/>
        <w:rPr>
          <w:rFonts w:hAnsi="宋体"/>
          <w:b/>
          <w:szCs w:val="21"/>
        </w:rPr>
      </w:pPr>
      <w:r>
        <w:rPr>
          <w:rFonts w:hAnsi="宋体"/>
          <w:b/>
          <w:szCs w:val="21"/>
        </w:rPr>
        <w:t>10.1.3投标人需承诺</w:t>
      </w:r>
      <w:r>
        <w:rPr>
          <w:rFonts w:hint="eastAsia" w:hAnsi="宋体"/>
          <w:b/>
          <w:szCs w:val="21"/>
        </w:rPr>
        <w:t>尽可能接收留用原餐饮公司愿意留任的相关人员，并承诺合同到期后若未能再次中标将妥善安置未留用的相关人员，有任何劳动纠纷由投标人解决。</w:t>
      </w:r>
    </w:p>
    <w:p>
      <w:pPr>
        <w:pStyle w:val="5"/>
        <w:spacing w:line="360" w:lineRule="auto"/>
        <w:ind w:firstLine="371" w:firstLineChars="176"/>
        <w:jc w:val="left"/>
        <w:rPr>
          <w:rFonts w:hAnsi="宋体"/>
          <w:b/>
          <w:szCs w:val="21"/>
        </w:rPr>
      </w:pPr>
      <w:r>
        <w:rPr>
          <w:rFonts w:hAnsi="宋体"/>
          <w:b/>
          <w:szCs w:val="21"/>
        </w:rPr>
        <w:t>10.2人员要求</w:t>
      </w:r>
    </w:p>
    <w:p>
      <w:pPr>
        <w:pStyle w:val="5"/>
        <w:spacing w:line="360" w:lineRule="auto"/>
        <w:ind w:firstLine="369" w:firstLineChars="176"/>
        <w:jc w:val="left"/>
        <w:rPr>
          <w:rFonts w:hAnsi="宋体"/>
          <w:bCs/>
          <w:szCs w:val="21"/>
        </w:rPr>
      </w:pPr>
      <w:r>
        <w:rPr>
          <w:rFonts w:hAnsi="宋体"/>
          <w:bCs/>
          <w:szCs w:val="21"/>
        </w:rPr>
        <w:t>10.2.1岗位一般包括：</w:t>
      </w:r>
    </w:p>
    <w:p>
      <w:pPr>
        <w:pStyle w:val="5"/>
        <w:spacing w:line="360" w:lineRule="auto"/>
        <w:ind w:firstLine="369" w:firstLineChars="176"/>
        <w:jc w:val="left"/>
        <w:rPr>
          <w:rFonts w:hAnsi="宋体"/>
          <w:bCs/>
          <w:szCs w:val="21"/>
        </w:rPr>
      </w:pPr>
      <w:r>
        <w:rPr>
          <w:rFonts w:hint="eastAsia" w:hAnsi="宋体"/>
          <w:bCs/>
          <w:szCs w:val="21"/>
        </w:rPr>
        <w:t>管理岗：项目经理、项目经理助理、运营助理、厨师长、文员、财务、仓库保管员等；</w:t>
      </w:r>
    </w:p>
    <w:p>
      <w:pPr>
        <w:pStyle w:val="5"/>
        <w:spacing w:line="360" w:lineRule="auto"/>
        <w:ind w:firstLine="369" w:firstLineChars="176"/>
        <w:jc w:val="left"/>
        <w:rPr>
          <w:rFonts w:hAnsi="宋体"/>
          <w:bCs/>
          <w:szCs w:val="21"/>
        </w:rPr>
      </w:pPr>
      <w:r>
        <w:rPr>
          <w:rFonts w:hint="eastAsia" w:hAnsi="宋体"/>
          <w:bCs/>
          <w:szCs w:val="21"/>
        </w:rPr>
        <w:t>厨房：厨师、厨师主管、点心主管、切配主管、冷菜主管、砂锅厨师、铁板师傅、点心师、切配、点心帮工等；</w:t>
      </w:r>
    </w:p>
    <w:p>
      <w:pPr>
        <w:pStyle w:val="5"/>
        <w:spacing w:line="360" w:lineRule="auto"/>
        <w:ind w:firstLine="369" w:firstLineChars="176"/>
        <w:jc w:val="left"/>
        <w:rPr>
          <w:rFonts w:hAnsi="宋体"/>
          <w:bCs/>
          <w:szCs w:val="21"/>
        </w:rPr>
      </w:pPr>
      <w:r>
        <w:rPr>
          <w:rFonts w:hint="eastAsia" w:hAnsi="宋体"/>
          <w:bCs/>
          <w:szCs w:val="21"/>
        </w:rPr>
        <w:t>餐厅：</w:t>
      </w:r>
      <w:r>
        <w:rPr>
          <w:rFonts w:hAnsi="宋体"/>
          <w:color w:val="000000"/>
          <w:kern w:val="0"/>
          <w:szCs w:val="21"/>
          <w:lang w:bidi="ar"/>
        </w:rPr>
        <w:t>项目经理助理</w:t>
      </w:r>
      <w:r>
        <w:rPr>
          <w:rFonts w:hint="eastAsia" w:hAnsi="宋体"/>
          <w:color w:val="000000"/>
          <w:kern w:val="0"/>
          <w:szCs w:val="21"/>
          <w:lang w:bidi="ar"/>
        </w:rPr>
        <w:t>（</w:t>
      </w:r>
      <w:r>
        <w:rPr>
          <w:rFonts w:hint="eastAsia" w:hAnsi="宋体"/>
          <w:bCs/>
          <w:szCs w:val="21"/>
        </w:rPr>
        <w:t>餐厅经理）、餐厅主管、服务员等</w:t>
      </w:r>
    </w:p>
    <w:p>
      <w:pPr>
        <w:snapToGrid w:val="0"/>
        <w:spacing w:line="360" w:lineRule="auto"/>
        <w:ind w:firstLine="424" w:firstLineChars="202"/>
        <w:rPr>
          <w:rFonts w:hAnsi="宋体"/>
          <w:szCs w:val="21"/>
        </w:rPr>
      </w:pPr>
      <w:r>
        <w:rPr>
          <w:rFonts w:hAnsi="宋体"/>
          <w:szCs w:val="21"/>
        </w:rPr>
        <w:t>10.2.2</w:t>
      </w:r>
      <w:r>
        <w:rPr>
          <w:rFonts w:hint="eastAsia" w:hAnsi="宋体"/>
          <w:szCs w:val="21"/>
        </w:rPr>
        <w:t>项目经理：</w:t>
      </w:r>
    </w:p>
    <w:p>
      <w:pPr>
        <w:snapToGrid w:val="0"/>
        <w:spacing w:line="360" w:lineRule="auto"/>
        <w:ind w:firstLine="424" w:firstLineChars="202"/>
        <w:rPr>
          <w:rFonts w:hAnsi="宋体"/>
          <w:szCs w:val="21"/>
        </w:rPr>
      </w:pPr>
      <w:r>
        <w:rPr>
          <w:rFonts w:hint="eastAsia" w:hAnsi="宋体"/>
          <w:szCs w:val="21"/>
        </w:rPr>
        <w:t>（</w:t>
      </w:r>
      <w:r>
        <w:rPr>
          <w:rFonts w:hAnsi="宋体"/>
          <w:szCs w:val="21"/>
        </w:rPr>
        <w:t>1）</w:t>
      </w:r>
      <w:r>
        <w:rPr>
          <w:rFonts w:hint="eastAsia" w:hAnsi="宋体"/>
          <w:szCs w:val="21"/>
        </w:rPr>
        <w:t>男性</w:t>
      </w:r>
      <w:r>
        <w:rPr>
          <w:rFonts w:hAnsi="宋体"/>
          <w:szCs w:val="21"/>
        </w:rPr>
        <w:t>/年龄60</w:t>
      </w:r>
      <w:r>
        <w:rPr>
          <w:rFonts w:hint="eastAsia" w:hAnsi="宋体"/>
          <w:szCs w:val="21"/>
        </w:rPr>
        <w:t>周岁及以下或女性</w:t>
      </w:r>
      <w:r>
        <w:rPr>
          <w:rFonts w:hAnsi="宋体"/>
          <w:szCs w:val="21"/>
        </w:rPr>
        <w:t>/年龄50</w:t>
      </w:r>
      <w:r>
        <w:rPr>
          <w:rFonts w:hint="eastAsia" w:hAnsi="宋体"/>
          <w:szCs w:val="21"/>
        </w:rPr>
        <w:t>周岁及以下；</w:t>
      </w:r>
    </w:p>
    <w:p>
      <w:pPr>
        <w:snapToGrid w:val="0"/>
        <w:spacing w:line="360" w:lineRule="auto"/>
        <w:ind w:firstLine="424" w:firstLineChars="202"/>
        <w:rPr>
          <w:rFonts w:hAnsi="宋体"/>
          <w:szCs w:val="21"/>
        </w:rPr>
      </w:pPr>
      <w:r>
        <w:rPr>
          <w:rFonts w:hint="eastAsia" w:hAnsi="宋体"/>
          <w:szCs w:val="21"/>
        </w:rPr>
        <w:t>（</w:t>
      </w:r>
      <w:r>
        <w:rPr>
          <w:rFonts w:hAnsi="宋体"/>
          <w:szCs w:val="21"/>
        </w:rPr>
        <w:t>2）身体健康、品行端正，爱岗敬业；具备优秀的团队管理能力、专业素质和创新精神；</w:t>
      </w:r>
      <w:r>
        <w:rPr>
          <w:rFonts w:hint="eastAsia" w:hAnsi="宋体"/>
          <w:szCs w:val="21"/>
        </w:rPr>
        <w:t>优先考虑</w:t>
      </w:r>
      <w:r>
        <w:rPr>
          <w:rFonts w:hAnsi="宋体"/>
          <w:szCs w:val="21"/>
        </w:rPr>
        <w:t>大专（含）以上学历</w:t>
      </w:r>
      <w:r>
        <w:rPr>
          <w:rFonts w:hint="eastAsia" w:hAnsi="宋体"/>
          <w:szCs w:val="21"/>
        </w:rPr>
        <w:t>。</w:t>
      </w:r>
    </w:p>
    <w:p>
      <w:pPr>
        <w:snapToGrid w:val="0"/>
        <w:spacing w:line="360" w:lineRule="auto"/>
        <w:ind w:firstLine="424" w:firstLineChars="202"/>
        <w:rPr>
          <w:rFonts w:hAnsi="宋体"/>
          <w:szCs w:val="21"/>
        </w:rPr>
      </w:pPr>
      <w:r>
        <w:rPr>
          <w:rFonts w:hint="eastAsia" w:hAnsi="宋体"/>
          <w:szCs w:val="21"/>
        </w:rPr>
        <w:t>（</w:t>
      </w:r>
      <w:r>
        <w:rPr>
          <w:rFonts w:hAnsi="宋体"/>
          <w:szCs w:val="21"/>
        </w:rPr>
        <w:t>3）5年以上</w:t>
      </w:r>
      <w:r>
        <w:rPr>
          <w:rFonts w:hint="eastAsia"/>
          <w:szCs w:val="21"/>
        </w:rPr>
        <w:t>酒店、酒楼或团膳企业餐饮管理经验</w:t>
      </w:r>
      <w:r>
        <w:rPr>
          <w:rFonts w:hint="eastAsia" w:hAnsi="宋体"/>
          <w:szCs w:val="21"/>
        </w:rPr>
        <w:t>。有丰富的中、西餐及高规格接待服务经验，具备良好的沟通协调能力和应变能力。</w:t>
      </w:r>
      <w:r>
        <w:rPr>
          <w:rFonts w:hint="eastAsia"/>
          <w:szCs w:val="21"/>
        </w:rPr>
        <w:t>熟知《中华人民共和国食品安全法》、《中华人民共和国消防法》和食品卫生监督量化分级管理制度等；熟悉餐饮成本核算和营养学知识，能够合理配餐。</w:t>
      </w:r>
    </w:p>
    <w:p>
      <w:pPr>
        <w:snapToGrid w:val="0"/>
        <w:spacing w:line="360" w:lineRule="auto"/>
        <w:ind w:firstLine="424" w:firstLineChars="202"/>
        <w:rPr>
          <w:rFonts w:hAnsi="宋体"/>
          <w:szCs w:val="21"/>
        </w:rPr>
      </w:pPr>
      <w:r>
        <w:rPr>
          <w:rFonts w:hAnsi="宋体"/>
          <w:szCs w:val="21"/>
        </w:rPr>
        <w:t>10.2.3厨师长：身体健康，品形端正。5年以上</w:t>
      </w:r>
      <w:r>
        <w:rPr>
          <w:rFonts w:hint="eastAsia"/>
          <w:szCs w:val="21"/>
        </w:rPr>
        <w:t>酒店、酒楼或团膳企业</w:t>
      </w:r>
      <w:r>
        <w:rPr>
          <w:rFonts w:hint="eastAsia" w:hAnsi="宋体"/>
          <w:szCs w:val="21"/>
        </w:rPr>
        <w:t>厨房管理经验，需持有人社部备案机构颁发的“中式烹调师二级</w:t>
      </w:r>
      <w:r>
        <w:rPr>
          <w:rFonts w:hAnsi="宋体"/>
          <w:szCs w:val="21"/>
        </w:rPr>
        <w:t>/</w:t>
      </w:r>
      <w:r>
        <w:rPr>
          <w:rFonts w:hint="eastAsia" w:hAnsi="宋体"/>
          <w:szCs w:val="21"/>
        </w:rPr>
        <w:t>技师</w:t>
      </w:r>
      <w:r>
        <w:rPr>
          <w:rFonts w:hAnsi="宋体"/>
          <w:szCs w:val="21"/>
        </w:rPr>
        <w:t>”</w:t>
      </w:r>
      <w:r>
        <w:rPr>
          <w:rFonts w:hint="eastAsia" w:hAnsi="宋体"/>
          <w:szCs w:val="21"/>
        </w:rPr>
        <w:t>及以上职业技能等级证书。具备丰富的厨房内部管理经验，熟悉和掌握各类菜肴的烹饪工艺，善于菜肴创新和变化，重视健康搭配和营养，能适应餐饮市场的需求。</w:t>
      </w:r>
      <w:r>
        <w:rPr>
          <w:rFonts w:hint="eastAsia"/>
          <w:szCs w:val="21"/>
        </w:rPr>
        <w:t>熟知《中华人民共和国食品安全法》、《中华人民共和国消防法》和食品卫生监督量化分级管理制度，精通餐饮成本核算和营养学知识。</w:t>
      </w:r>
    </w:p>
    <w:p>
      <w:pPr>
        <w:pStyle w:val="5"/>
        <w:spacing w:line="360" w:lineRule="auto"/>
        <w:ind w:firstLine="369" w:firstLineChars="176"/>
        <w:jc w:val="left"/>
        <w:rPr>
          <w:rFonts w:hAnsi="宋体"/>
          <w:szCs w:val="21"/>
        </w:rPr>
      </w:pPr>
      <w:r>
        <w:rPr>
          <w:rFonts w:hAnsi="宋体"/>
          <w:szCs w:val="21"/>
        </w:rPr>
        <w:t>10.2.4</w:t>
      </w:r>
      <w:r>
        <w:rPr>
          <w:rFonts w:hAnsi="宋体"/>
          <w:color w:val="000000"/>
          <w:kern w:val="0"/>
          <w:szCs w:val="21"/>
          <w:lang w:bidi="ar"/>
        </w:rPr>
        <w:t>项目经理助理</w:t>
      </w:r>
      <w:r>
        <w:rPr>
          <w:rFonts w:hint="eastAsia" w:hAnsi="宋体"/>
          <w:color w:val="000000"/>
          <w:kern w:val="0"/>
          <w:szCs w:val="21"/>
          <w:lang w:bidi="ar"/>
        </w:rPr>
        <w:t>（</w:t>
      </w:r>
      <w:r>
        <w:rPr>
          <w:rFonts w:hint="eastAsia" w:hAnsi="宋体"/>
          <w:szCs w:val="21"/>
        </w:rPr>
        <w:t>餐厅经理）：身体健康，品行端正，协调能力强，具备中、西餐、冷餐会以及贵宾接待的餐饮管理和服务经验，</w:t>
      </w:r>
      <w:r>
        <w:rPr>
          <w:rFonts w:hAnsi="宋体"/>
          <w:szCs w:val="21"/>
        </w:rPr>
        <w:t xml:space="preserve"> 5年以上餐饮主管以上经历。</w:t>
      </w:r>
    </w:p>
    <w:p>
      <w:pPr>
        <w:pStyle w:val="5"/>
        <w:spacing w:line="360" w:lineRule="auto"/>
        <w:ind w:firstLine="369" w:firstLineChars="176"/>
        <w:jc w:val="left"/>
        <w:rPr>
          <w:rFonts w:hAnsi="宋体"/>
          <w:szCs w:val="21"/>
        </w:rPr>
      </w:pPr>
      <w:r>
        <w:rPr>
          <w:rFonts w:hAnsi="宋体"/>
          <w:szCs w:val="21"/>
        </w:rPr>
        <w:t>10.2.5第三餐厅主管：具备娴熟的常规自助餐服务管理能力，有高度责任心和现场处置能力，参与现场的服务。</w:t>
      </w:r>
    </w:p>
    <w:p>
      <w:pPr>
        <w:pStyle w:val="5"/>
        <w:spacing w:line="360" w:lineRule="auto"/>
        <w:ind w:firstLine="369" w:firstLineChars="176"/>
        <w:jc w:val="left"/>
        <w:rPr>
          <w:rFonts w:hAnsi="宋体"/>
          <w:szCs w:val="21"/>
        </w:rPr>
      </w:pPr>
      <w:r>
        <w:rPr>
          <w:rFonts w:hAnsi="宋体"/>
          <w:szCs w:val="21"/>
        </w:rPr>
        <w:t>10.2.6运营助理（兼餐厅文员、财务，主要负责订餐、成本核算等工作）：接受过财务、统计等专业培训；熟悉餐饮业的成本控制、统计和报表制作。要求：年龄25～45岁，思路清晰，反应敏捷，善于沟通协调，待客态度好。熟练使用计算机办公软件。</w:t>
      </w:r>
    </w:p>
    <w:p>
      <w:pPr>
        <w:pStyle w:val="5"/>
        <w:spacing w:line="360" w:lineRule="auto"/>
        <w:ind w:firstLine="369" w:firstLineChars="176"/>
        <w:jc w:val="left"/>
        <w:rPr>
          <w:rFonts w:hAnsi="宋体"/>
          <w:szCs w:val="21"/>
        </w:rPr>
      </w:pPr>
      <w:r>
        <w:rPr>
          <w:rFonts w:hAnsi="宋体"/>
          <w:szCs w:val="21"/>
        </w:rPr>
        <w:t>10.2.7餐厅员工：餐厅员工要求身体健康，其中1～2人需具备英语服务的资质和能力；服务员要求年龄18～45岁，品行端正，受过职前岗位培训；炉灶烹饪岗位厨师：要求有技术岗位等级证书；切配、点心、冷菜岗位厨师应有技术考核等级证书；厨房其他辅助人员：都应要上岗前规范培训，具备相关工作经验。</w:t>
      </w:r>
    </w:p>
    <w:p>
      <w:pPr>
        <w:pStyle w:val="4"/>
        <w:spacing w:line="360" w:lineRule="auto"/>
        <w:ind w:left="0" w:leftChars="0" w:firstLine="422" w:firstLineChars="201"/>
        <w:rPr>
          <w:rFonts w:ascii="宋体" w:hAnsi="宋体"/>
          <w:sz w:val="21"/>
          <w:szCs w:val="21"/>
        </w:rPr>
      </w:pPr>
      <w:r>
        <w:rPr>
          <w:rFonts w:ascii="宋体" w:hAnsi="宋体"/>
          <w:sz w:val="21"/>
          <w:szCs w:val="21"/>
        </w:rPr>
        <w:t>10.2.8本项目餐饮服务</w:t>
      </w:r>
      <w:r>
        <w:rPr>
          <w:rFonts w:hint="eastAsia" w:ascii="宋体" w:hAnsi="宋体"/>
          <w:bCs/>
          <w:sz w:val="21"/>
          <w:szCs w:val="21"/>
        </w:rPr>
        <w:t>范围涉及</w:t>
      </w:r>
      <w:r>
        <w:rPr>
          <w:rFonts w:hint="eastAsia" w:ascii="宋体" w:hAnsi="宋体"/>
          <w:sz w:val="21"/>
          <w:szCs w:val="21"/>
        </w:rPr>
        <w:t>外事活动，参与本项目餐饮服务的所有工作人员，必须通过政治审查。任何来历不明或有刑事犯罪记录的人员均不得参与本项目餐饮服务工作。投标人必须对此项要求严格把关，并对违反该项要求所可能出现的后果承担一切责任。</w:t>
      </w:r>
    </w:p>
    <w:p>
      <w:pPr>
        <w:pStyle w:val="5"/>
        <w:spacing w:line="360" w:lineRule="auto"/>
        <w:ind w:firstLine="371" w:firstLineChars="176"/>
        <w:jc w:val="left"/>
        <w:rPr>
          <w:rFonts w:hAnsi="宋体"/>
          <w:b/>
          <w:szCs w:val="21"/>
        </w:rPr>
      </w:pPr>
      <w:r>
        <w:rPr>
          <w:rFonts w:hAnsi="宋体"/>
          <w:b/>
          <w:szCs w:val="21"/>
        </w:rPr>
        <w:t>10.3卫生管理要求</w:t>
      </w:r>
    </w:p>
    <w:p>
      <w:pPr>
        <w:pStyle w:val="5"/>
        <w:spacing w:line="360" w:lineRule="auto"/>
        <w:ind w:firstLine="369" w:firstLineChars="176"/>
        <w:jc w:val="left"/>
        <w:rPr>
          <w:rFonts w:hAnsi="宋体"/>
          <w:szCs w:val="21"/>
        </w:rPr>
      </w:pPr>
      <w:r>
        <w:rPr>
          <w:rFonts w:hAnsi="宋体"/>
          <w:szCs w:val="21"/>
        </w:rPr>
        <w:t>10.3.1餐厅内外及周边辅助场所环境卫生达标，按《上海市餐饮业卫生管理办法》颁发的餐饮卫生标准执行。</w:t>
      </w:r>
    </w:p>
    <w:p>
      <w:pPr>
        <w:pStyle w:val="5"/>
        <w:spacing w:line="360" w:lineRule="auto"/>
        <w:ind w:firstLine="369" w:firstLineChars="176"/>
        <w:jc w:val="left"/>
        <w:rPr>
          <w:rFonts w:hAnsi="宋体"/>
          <w:szCs w:val="21"/>
        </w:rPr>
      </w:pPr>
      <w:r>
        <w:rPr>
          <w:rFonts w:hAnsi="宋体"/>
          <w:szCs w:val="21"/>
        </w:rPr>
        <w:t>10.3.2所有进货食品原料，调料、饮料、物品、用品均需符合食品卫生标准的相关规定，备特种食品原料、调料的备检《凭证》。</w:t>
      </w:r>
    </w:p>
    <w:p>
      <w:pPr>
        <w:pStyle w:val="5"/>
        <w:spacing w:line="360" w:lineRule="auto"/>
        <w:ind w:firstLine="369" w:firstLineChars="176"/>
        <w:jc w:val="left"/>
        <w:rPr>
          <w:rFonts w:hAnsi="宋体"/>
          <w:szCs w:val="21"/>
        </w:rPr>
      </w:pPr>
      <w:r>
        <w:rPr>
          <w:rFonts w:hAnsi="宋体"/>
          <w:szCs w:val="21"/>
        </w:rPr>
        <w:t>10.3.3餐厅所有从业人员必须具备有效合格的个人《上海市从业人员健康合格证》后方可上岗。</w:t>
      </w:r>
    </w:p>
    <w:p>
      <w:pPr>
        <w:pStyle w:val="5"/>
        <w:spacing w:line="360" w:lineRule="auto"/>
        <w:ind w:firstLine="369" w:firstLineChars="176"/>
        <w:jc w:val="left"/>
        <w:rPr>
          <w:rFonts w:hAnsi="宋体"/>
          <w:szCs w:val="21"/>
        </w:rPr>
      </w:pPr>
      <w:r>
        <w:rPr>
          <w:rFonts w:hAnsi="宋体"/>
          <w:szCs w:val="21"/>
        </w:rPr>
        <w:t>10.3.4严格执行餐饮业的食品从业人员的晨检报告制度。</w:t>
      </w:r>
    </w:p>
    <w:p>
      <w:pPr>
        <w:pStyle w:val="5"/>
        <w:spacing w:line="360" w:lineRule="auto"/>
        <w:ind w:firstLine="369" w:firstLineChars="176"/>
        <w:jc w:val="left"/>
        <w:rPr>
          <w:rFonts w:hAnsi="宋体"/>
          <w:szCs w:val="21"/>
        </w:rPr>
      </w:pPr>
      <w:r>
        <w:rPr>
          <w:rFonts w:hAnsi="宋体"/>
          <w:szCs w:val="21"/>
        </w:rPr>
        <w:t>10.3.5严格执行食品留样备查制度。</w:t>
      </w:r>
    </w:p>
    <w:p>
      <w:pPr>
        <w:pStyle w:val="5"/>
        <w:spacing w:line="360" w:lineRule="auto"/>
        <w:ind w:firstLine="371" w:firstLineChars="176"/>
        <w:jc w:val="left"/>
        <w:rPr>
          <w:rFonts w:hAnsi="宋体"/>
          <w:b/>
          <w:szCs w:val="21"/>
        </w:rPr>
      </w:pPr>
      <w:r>
        <w:rPr>
          <w:rFonts w:hAnsi="宋体"/>
          <w:b/>
          <w:szCs w:val="21"/>
        </w:rPr>
        <w:t>10.4管理制度要求</w:t>
      </w:r>
    </w:p>
    <w:p>
      <w:pPr>
        <w:pStyle w:val="5"/>
        <w:spacing w:line="360" w:lineRule="auto"/>
        <w:ind w:firstLine="369" w:firstLineChars="176"/>
        <w:jc w:val="left"/>
        <w:rPr>
          <w:rFonts w:hAnsi="宋体"/>
          <w:szCs w:val="21"/>
        </w:rPr>
      </w:pPr>
      <w:r>
        <w:rPr>
          <w:rFonts w:hAnsi="宋体"/>
          <w:szCs w:val="21"/>
        </w:rPr>
        <w:t>10.4.1建立健全食品原料、调料的进出库管理制度，建立进出库台账明细，接受学院监管部门的抽检核查。</w:t>
      </w:r>
    </w:p>
    <w:p>
      <w:pPr>
        <w:pStyle w:val="5"/>
        <w:spacing w:line="360" w:lineRule="auto"/>
        <w:ind w:firstLine="369" w:firstLineChars="176"/>
        <w:jc w:val="left"/>
        <w:rPr>
          <w:rFonts w:hAnsi="宋体"/>
          <w:szCs w:val="21"/>
        </w:rPr>
      </w:pPr>
      <w:r>
        <w:rPr>
          <w:rFonts w:hAnsi="宋体"/>
          <w:szCs w:val="21"/>
        </w:rPr>
        <w:t>10.4.2内部完善和建立食品原料等的采购、验收、保管、损耗制度，使用食品质量安全溯源系统，确保实时可查。</w:t>
      </w:r>
    </w:p>
    <w:p>
      <w:pPr>
        <w:pStyle w:val="5"/>
        <w:spacing w:line="360" w:lineRule="auto"/>
        <w:ind w:firstLine="369" w:firstLineChars="176"/>
        <w:jc w:val="left"/>
        <w:rPr>
          <w:rFonts w:hAnsi="宋体"/>
          <w:szCs w:val="21"/>
        </w:rPr>
      </w:pPr>
      <w:r>
        <w:rPr>
          <w:rFonts w:hAnsi="宋体"/>
          <w:szCs w:val="21"/>
        </w:rPr>
        <w:t>10.4.3建立餐厅成本控制制度。会计报表每月呈交学院相关部门审核。</w:t>
      </w:r>
    </w:p>
    <w:p>
      <w:pPr>
        <w:pStyle w:val="5"/>
        <w:spacing w:line="360" w:lineRule="auto"/>
        <w:ind w:firstLine="369" w:firstLineChars="176"/>
        <w:jc w:val="left"/>
        <w:rPr>
          <w:rFonts w:hAnsi="宋体"/>
          <w:szCs w:val="21"/>
        </w:rPr>
      </w:pPr>
      <w:r>
        <w:rPr>
          <w:rFonts w:hAnsi="宋体"/>
          <w:szCs w:val="21"/>
        </w:rPr>
        <w:t>10.4.4建立安全防范制度：餐厅外来从业人员有公安机关办理外来人员《暂住证》《身份证》；专人负责餐厅消防安全和防煤气泄漏中毒，防电气漏触电事故。</w:t>
      </w:r>
    </w:p>
    <w:p>
      <w:pPr>
        <w:pStyle w:val="5"/>
        <w:spacing w:line="360" w:lineRule="auto"/>
        <w:ind w:firstLine="369" w:firstLineChars="176"/>
        <w:jc w:val="left"/>
        <w:rPr>
          <w:rFonts w:hAnsi="宋体"/>
          <w:szCs w:val="21"/>
        </w:rPr>
      </w:pPr>
      <w:r>
        <w:rPr>
          <w:rFonts w:hAnsi="宋体"/>
          <w:szCs w:val="21"/>
        </w:rPr>
        <w:t>10.4.5建立餐厅设施、设备使用保管制度。按照要求，学院对设备、设施等固定资产实施归口管理。中标单位应对分管使用的设备负有维护与保管责任，期间若发生盗窃、人为毁损、短缺等情况，需视设备成新程度给予必要的赔偿</w:t>
      </w:r>
    </w:p>
    <w:p>
      <w:pPr>
        <w:pStyle w:val="5"/>
        <w:spacing w:line="360" w:lineRule="auto"/>
        <w:ind w:firstLine="369" w:firstLineChars="176"/>
        <w:jc w:val="left"/>
        <w:rPr>
          <w:rFonts w:hAnsi="宋体"/>
          <w:szCs w:val="21"/>
        </w:rPr>
      </w:pPr>
      <w:r>
        <w:rPr>
          <w:rFonts w:hAnsi="宋体"/>
          <w:szCs w:val="21"/>
        </w:rPr>
        <w:t>10.4.6建立学院高档接待用品使用保管制度。</w:t>
      </w:r>
    </w:p>
    <w:p>
      <w:pPr>
        <w:pStyle w:val="5"/>
        <w:spacing w:line="360" w:lineRule="auto"/>
        <w:ind w:firstLine="369" w:firstLineChars="176"/>
        <w:jc w:val="left"/>
        <w:rPr>
          <w:rFonts w:hAnsi="宋体"/>
          <w:szCs w:val="21"/>
        </w:rPr>
      </w:pPr>
      <w:r>
        <w:rPr>
          <w:rFonts w:hAnsi="宋体"/>
          <w:szCs w:val="21"/>
        </w:rPr>
        <w:t>10.4.7建立餐厅员工培训制度。</w:t>
      </w:r>
    </w:p>
    <w:p>
      <w:pPr>
        <w:pStyle w:val="5"/>
        <w:spacing w:line="360" w:lineRule="auto"/>
        <w:ind w:firstLine="371" w:firstLineChars="176"/>
        <w:jc w:val="left"/>
        <w:rPr>
          <w:rFonts w:hAnsi="宋体"/>
          <w:b/>
          <w:szCs w:val="21"/>
        </w:rPr>
      </w:pPr>
      <w:r>
        <w:rPr>
          <w:rFonts w:hAnsi="宋体"/>
          <w:b/>
          <w:szCs w:val="21"/>
        </w:rPr>
        <w:t>10.5服务要求</w:t>
      </w:r>
    </w:p>
    <w:p>
      <w:pPr>
        <w:pStyle w:val="5"/>
        <w:spacing w:line="360" w:lineRule="auto"/>
        <w:ind w:firstLine="369" w:firstLineChars="176"/>
        <w:jc w:val="left"/>
        <w:rPr>
          <w:rFonts w:hAnsi="宋体"/>
          <w:szCs w:val="21"/>
        </w:rPr>
      </w:pPr>
      <w:r>
        <w:rPr>
          <w:rFonts w:hAnsi="宋体"/>
          <w:szCs w:val="21"/>
        </w:rPr>
        <w:t>10.5.1建立餐厅的服务规范制度。</w:t>
      </w:r>
    </w:p>
    <w:p>
      <w:pPr>
        <w:pStyle w:val="5"/>
        <w:spacing w:line="360" w:lineRule="auto"/>
        <w:ind w:firstLine="369" w:firstLineChars="176"/>
        <w:jc w:val="left"/>
        <w:rPr>
          <w:rFonts w:hAnsi="宋体"/>
          <w:szCs w:val="21"/>
        </w:rPr>
      </w:pPr>
      <w:r>
        <w:rPr>
          <w:rFonts w:hAnsi="宋体"/>
          <w:szCs w:val="21"/>
        </w:rPr>
        <w:t>10.5.2餐厅团队须</w:t>
      </w:r>
      <w:bookmarkStart w:id="3" w:name="_Hlk216879007"/>
      <w:r>
        <w:rPr>
          <w:rFonts w:hint="eastAsia" w:hAnsi="宋体"/>
          <w:szCs w:val="21"/>
        </w:rPr>
        <w:t>具备承接国际性会议的用餐接待能力。</w:t>
      </w:r>
      <w:bookmarkEnd w:id="3"/>
    </w:p>
    <w:p>
      <w:pPr>
        <w:pStyle w:val="5"/>
        <w:spacing w:line="360" w:lineRule="auto"/>
        <w:ind w:firstLine="369" w:firstLineChars="176"/>
        <w:jc w:val="left"/>
        <w:rPr>
          <w:rFonts w:hAnsi="宋体"/>
          <w:szCs w:val="21"/>
        </w:rPr>
      </w:pPr>
      <w:r>
        <w:rPr>
          <w:rFonts w:hAnsi="宋体"/>
          <w:szCs w:val="21"/>
        </w:rPr>
        <w:t>10.5.3餐厅全体人员须具备较强的工作责任心和服务意识。</w:t>
      </w:r>
    </w:p>
    <w:p>
      <w:pPr>
        <w:pStyle w:val="5"/>
        <w:spacing w:line="360" w:lineRule="auto"/>
        <w:ind w:firstLine="369" w:firstLineChars="176"/>
        <w:jc w:val="left"/>
        <w:rPr>
          <w:rFonts w:hAnsi="宋体"/>
          <w:szCs w:val="21"/>
        </w:rPr>
      </w:pPr>
      <w:r>
        <w:rPr>
          <w:rFonts w:hAnsi="宋体"/>
          <w:szCs w:val="21"/>
        </w:rPr>
        <w:t>10.5.4餐厅全体人员要尽心服务客户、尊重客户，努力达到客户最大满意度。</w:t>
      </w:r>
    </w:p>
    <w:p>
      <w:pPr>
        <w:pStyle w:val="5"/>
        <w:spacing w:line="360" w:lineRule="auto"/>
        <w:ind w:firstLine="369" w:firstLineChars="176"/>
        <w:jc w:val="left"/>
        <w:rPr>
          <w:rFonts w:hAnsi="宋体"/>
          <w:szCs w:val="21"/>
        </w:rPr>
      </w:pPr>
      <w:r>
        <w:rPr>
          <w:rFonts w:hAnsi="宋体"/>
          <w:szCs w:val="21"/>
        </w:rPr>
        <w:t>10.5.5项目总经理需经常了解餐饮服务总体情况，主动听取意见，积极改进，不断摸索和提高服务标准。</w:t>
      </w:r>
    </w:p>
    <w:p>
      <w:pPr>
        <w:pStyle w:val="5"/>
        <w:spacing w:line="360" w:lineRule="auto"/>
        <w:ind w:firstLine="369" w:firstLineChars="176"/>
        <w:jc w:val="left"/>
        <w:rPr>
          <w:rFonts w:hAnsi="宋体"/>
          <w:szCs w:val="21"/>
        </w:rPr>
      </w:pPr>
      <w:r>
        <w:rPr>
          <w:rFonts w:hAnsi="宋体"/>
          <w:szCs w:val="21"/>
        </w:rPr>
        <w:t>10.5.6项目总经理需有大局意识，在遇重要活动、会议和接待任务时，给予高度重视，并全力配合。</w:t>
      </w:r>
    </w:p>
    <w:p>
      <w:pPr>
        <w:pStyle w:val="5"/>
        <w:spacing w:line="360" w:lineRule="auto"/>
        <w:ind w:firstLine="369" w:firstLineChars="176"/>
        <w:jc w:val="left"/>
        <w:rPr>
          <w:rFonts w:hAnsi="宋体"/>
          <w:szCs w:val="21"/>
        </w:rPr>
      </w:pPr>
      <w:r>
        <w:rPr>
          <w:rFonts w:hAnsi="宋体"/>
          <w:szCs w:val="21"/>
        </w:rPr>
        <w:t>10.5.7餐厅经理需具备与餐厅相关的专业服务及场地布置技能。10.5.8餐厅部分人员须具备接待重要领导和贵宾的服务能力。</w:t>
      </w:r>
    </w:p>
    <w:p>
      <w:pPr>
        <w:pStyle w:val="5"/>
        <w:spacing w:line="360" w:lineRule="auto"/>
        <w:ind w:firstLine="369" w:firstLineChars="176"/>
        <w:jc w:val="left"/>
        <w:rPr>
          <w:rFonts w:hAnsi="宋体"/>
          <w:szCs w:val="21"/>
        </w:rPr>
      </w:pPr>
      <w:r>
        <w:rPr>
          <w:rFonts w:hAnsi="宋体"/>
          <w:szCs w:val="21"/>
        </w:rPr>
        <w:t>10.5.9餐厅需具备根据采购人临时要求提供打印中英文的菜单、菜牌以及餐厅内指示牌的能力。</w:t>
      </w:r>
    </w:p>
    <w:p>
      <w:pPr>
        <w:pStyle w:val="5"/>
        <w:spacing w:line="360" w:lineRule="auto"/>
        <w:ind w:firstLine="422" w:firstLineChars="200"/>
        <w:jc w:val="left"/>
        <w:rPr>
          <w:rFonts w:hAnsi="宋体"/>
          <w:b/>
          <w:szCs w:val="21"/>
        </w:rPr>
      </w:pPr>
      <w:r>
        <w:rPr>
          <w:rFonts w:hint="eastAsia" w:hAnsi="宋体"/>
          <w:b/>
          <w:szCs w:val="21"/>
        </w:rPr>
        <w:t>十一、服务质量考核</w:t>
      </w:r>
    </w:p>
    <w:p>
      <w:pPr>
        <w:spacing w:line="360" w:lineRule="auto"/>
        <w:ind w:firstLine="420" w:firstLineChars="200"/>
        <w:rPr>
          <w:rFonts w:ascii="宋体" w:hAnsi="宋体"/>
          <w:szCs w:val="21"/>
        </w:rPr>
      </w:pPr>
      <w:r>
        <w:rPr>
          <w:rFonts w:hint="eastAsia" w:ascii="宋体" w:hAnsi="宋体"/>
          <w:szCs w:val="21"/>
        </w:rPr>
        <w:t>为加强对餐饮服务质量的管理，采购人将对项目进行服务质量考核，本项目每年度预算中包含</w:t>
      </w:r>
      <w:r>
        <w:rPr>
          <w:rFonts w:ascii="宋体" w:hAnsi="宋体"/>
          <w:szCs w:val="21"/>
        </w:rPr>
        <w:t>36</w:t>
      </w:r>
      <w:r>
        <w:rPr>
          <w:rFonts w:hint="eastAsia" w:ascii="宋体" w:hAnsi="宋体"/>
          <w:szCs w:val="21"/>
        </w:rPr>
        <w:t>万元的考核基金，考核基金应当包含在投标人的人工费用及酬金中。采购人将根据学员、教职员工、专业监管对餐饮服务质量的年度综合测评结果，审核后在合同期最后一个月支付考核基金。考核表如下：</w:t>
      </w:r>
    </w:p>
    <w:tbl>
      <w:tblPr>
        <w:tblStyle w:val="10"/>
        <w:tblpPr w:leftFromText="180" w:rightFromText="180" w:vertAnchor="text" w:horzAnchor="margin" w:tblpY="3"/>
        <w:tblW w:w="8222" w:type="dxa"/>
        <w:tblInd w:w="0" w:type="dxa"/>
        <w:tblLayout w:type="autofit"/>
        <w:tblCellMar>
          <w:top w:w="0" w:type="dxa"/>
          <w:left w:w="108" w:type="dxa"/>
          <w:bottom w:w="0" w:type="dxa"/>
          <w:right w:w="108" w:type="dxa"/>
        </w:tblCellMar>
      </w:tblPr>
      <w:tblGrid>
        <w:gridCol w:w="954"/>
        <w:gridCol w:w="1173"/>
        <w:gridCol w:w="850"/>
        <w:gridCol w:w="851"/>
        <w:gridCol w:w="850"/>
        <w:gridCol w:w="851"/>
        <w:gridCol w:w="850"/>
        <w:gridCol w:w="851"/>
        <w:gridCol w:w="992"/>
      </w:tblGrid>
      <w:tr>
        <w:tblPrEx>
          <w:tblCellMar>
            <w:top w:w="0" w:type="dxa"/>
            <w:left w:w="108" w:type="dxa"/>
            <w:bottom w:w="0" w:type="dxa"/>
            <w:right w:w="108" w:type="dxa"/>
          </w:tblCellMar>
        </w:tblPrEx>
        <w:trPr>
          <w:trHeight w:val="825" w:hRule="atLeast"/>
        </w:trPr>
        <w:tc>
          <w:tcPr>
            <w:tcW w:w="8222" w:type="dxa"/>
            <w:gridSpan w:val="9"/>
            <w:tcBorders>
              <w:top w:val="nil"/>
              <w:left w:val="nil"/>
              <w:bottom w:val="nil"/>
              <w:right w:val="nil"/>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餐饮服务综合考核表</w:t>
            </w:r>
          </w:p>
        </w:tc>
      </w:tr>
      <w:tr>
        <w:tblPrEx>
          <w:tblCellMar>
            <w:top w:w="0" w:type="dxa"/>
            <w:left w:w="108" w:type="dxa"/>
            <w:bottom w:w="0" w:type="dxa"/>
            <w:right w:w="108" w:type="dxa"/>
          </w:tblCellMar>
        </w:tblPrEx>
        <w:trPr>
          <w:trHeight w:val="570" w:hRule="atLeast"/>
        </w:trPr>
        <w:tc>
          <w:tcPr>
            <w:tcW w:w="954" w:type="dxa"/>
            <w:vMerge w:val="restart"/>
            <w:tcBorders>
              <w:top w:val="single" w:color="auto" w:sz="4" w:space="0"/>
              <w:left w:val="single" w:color="auto" w:sz="4" w:space="0"/>
              <w:bottom w:val="single" w:color="auto" w:sz="4" w:space="0"/>
              <w:right w:val="single" w:color="auto" w:sz="4" w:space="0"/>
            </w:tcBorders>
            <w:shd w:val="clear" w:color="000000" w:fill="FDE9D9"/>
            <w:noWrap/>
            <w:vAlign w:val="center"/>
          </w:tcPr>
          <w:p>
            <w:pPr>
              <w:widowControl/>
              <w:jc w:val="center"/>
              <w:rPr>
                <w:rFonts w:ascii="宋体" w:hAnsi="宋体" w:cs="宋体"/>
                <w:b/>
                <w:bCs/>
                <w:kern w:val="0"/>
                <w:szCs w:val="21"/>
              </w:rPr>
            </w:pPr>
            <w:bookmarkStart w:id="4" w:name="RANGE!A2:I3"/>
            <w:r>
              <w:rPr>
                <w:rFonts w:hint="eastAsia" w:ascii="宋体" w:hAnsi="宋体" w:cs="宋体"/>
                <w:b/>
                <w:bCs/>
                <w:kern w:val="0"/>
                <w:szCs w:val="21"/>
              </w:rPr>
              <w:t>项目</w:t>
            </w:r>
            <w:bookmarkEnd w:id="4"/>
          </w:p>
        </w:tc>
        <w:tc>
          <w:tcPr>
            <w:tcW w:w="1173" w:type="dxa"/>
            <w:vMerge w:val="restart"/>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Cs w:val="21"/>
              </w:rPr>
            </w:pPr>
            <w:r>
              <w:rPr>
                <w:rFonts w:hint="eastAsia" w:ascii="宋体" w:hAnsi="宋体" w:cs="宋体"/>
                <w:b/>
                <w:bCs/>
                <w:kern w:val="0"/>
                <w:szCs w:val="21"/>
              </w:rPr>
              <w:t>考核办法</w:t>
            </w:r>
          </w:p>
        </w:tc>
        <w:tc>
          <w:tcPr>
            <w:tcW w:w="1701" w:type="dxa"/>
            <w:gridSpan w:val="2"/>
            <w:tcBorders>
              <w:top w:val="single" w:color="auto" w:sz="4" w:space="0"/>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Cs w:val="21"/>
              </w:rPr>
            </w:pPr>
            <w:r>
              <w:rPr>
                <w:rFonts w:hint="eastAsia" w:ascii="宋体" w:hAnsi="宋体" w:cs="宋体"/>
                <w:b/>
                <w:bCs/>
                <w:kern w:val="0"/>
                <w:szCs w:val="21"/>
              </w:rPr>
              <w:t>学员打分</w:t>
            </w:r>
          </w:p>
        </w:tc>
        <w:tc>
          <w:tcPr>
            <w:tcW w:w="1701" w:type="dxa"/>
            <w:gridSpan w:val="2"/>
            <w:tcBorders>
              <w:top w:val="single" w:color="auto" w:sz="4" w:space="0"/>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Cs w:val="21"/>
              </w:rPr>
            </w:pPr>
            <w:r>
              <w:rPr>
                <w:rFonts w:hint="eastAsia" w:ascii="宋体" w:hAnsi="宋体" w:cs="宋体"/>
                <w:b/>
                <w:bCs/>
                <w:kern w:val="0"/>
                <w:szCs w:val="21"/>
              </w:rPr>
              <w:t>专业监管打分</w:t>
            </w:r>
          </w:p>
        </w:tc>
        <w:tc>
          <w:tcPr>
            <w:tcW w:w="1701" w:type="dxa"/>
            <w:gridSpan w:val="2"/>
            <w:tcBorders>
              <w:top w:val="single" w:color="auto" w:sz="4" w:space="0"/>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Cs w:val="21"/>
              </w:rPr>
            </w:pPr>
            <w:r>
              <w:rPr>
                <w:rFonts w:hint="eastAsia" w:ascii="宋体" w:hAnsi="宋体" w:cs="宋体"/>
                <w:b/>
                <w:bCs/>
                <w:kern w:val="0"/>
                <w:szCs w:val="21"/>
              </w:rPr>
              <w:t>教职工打分</w:t>
            </w:r>
          </w:p>
        </w:tc>
        <w:tc>
          <w:tcPr>
            <w:tcW w:w="992" w:type="dxa"/>
            <w:vMerge w:val="restart"/>
            <w:tcBorders>
              <w:top w:val="single" w:color="auto" w:sz="4" w:space="0"/>
              <w:left w:val="single" w:color="auto" w:sz="4" w:space="0"/>
              <w:bottom w:val="single" w:color="auto" w:sz="4" w:space="0"/>
              <w:right w:val="single" w:color="auto" w:sz="4" w:space="0"/>
            </w:tcBorders>
            <w:shd w:val="clear" w:color="000000" w:fill="FDE9D9"/>
            <w:noWrap/>
            <w:vAlign w:val="center"/>
          </w:tcPr>
          <w:p>
            <w:pPr>
              <w:widowControl/>
              <w:jc w:val="center"/>
              <w:rPr>
                <w:rFonts w:ascii="宋体" w:hAnsi="宋体" w:cs="宋体"/>
                <w:b/>
                <w:bCs/>
                <w:kern w:val="0"/>
                <w:szCs w:val="21"/>
              </w:rPr>
            </w:pPr>
            <w:r>
              <w:rPr>
                <w:rFonts w:hint="eastAsia" w:ascii="宋体" w:hAnsi="宋体" w:cs="宋体"/>
                <w:b/>
                <w:bCs/>
                <w:kern w:val="0"/>
                <w:szCs w:val="21"/>
              </w:rPr>
              <w:t>加权平均得分</w:t>
            </w:r>
          </w:p>
        </w:tc>
      </w:tr>
      <w:tr>
        <w:tblPrEx>
          <w:tblCellMar>
            <w:top w:w="0" w:type="dxa"/>
            <w:left w:w="108" w:type="dxa"/>
            <w:bottom w:w="0" w:type="dxa"/>
            <w:right w:w="108" w:type="dxa"/>
          </w:tblCellMar>
        </w:tblPrEx>
        <w:trPr>
          <w:trHeight w:val="570" w:hRule="atLeast"/>
        </w:trPr>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Cs w:val="21"/>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Cs w:val="21"/>
              </w:rPr>
            </w:pPr>
          </w:p>
        </w:tc>
        <w:tc>
          <w:tcPr>
            <w:tcW w:w="850"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Cs w:val="21"/>
              </w:rPr>
            </w:pPr>
            <w:r>
              <w:rPr>
                <w:rFonts w:hint="eastAsia" w:ascii="宋体" w:hAnsi="宋体" w:cs="宋体"/>
                <w:b/>
                <w:bCs/>
                <w:kern w:val="0"/>
                <w:szCs w:val="21"/>
              </w:rPr>
              <w:t>权重</w:t>
            </w:r>
          </w:p>
        </w:tc>
        <w:tc>
          <w:tcPr>
            <w:tcW w:w="851"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Cs w:val="21"/>
              </w:rPr>
            </w:pPr>
            <w:r>
              <w:rPr>
                <w:rFonts w:hint="eastAsia" w:ascii="宋体" w:hAnsi="宋体" w:cs="宋体"/>
                <w:b/>
                <w:bCs/>
                <w:kern w:val="0"/>
                <w:szCs w:val="21"/>
              </w:rPr>
              <w:t>得分</w:t>
            </w:r>
          </w:p>
        </w:tc>
        <w:tc>
          <w:tcPr>
            <w:tcW w:w="850"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Cs w:val="21"/>
              </w:rPr>
            </w:pPr>
            <w:r>
              <w:rPr>
                <w:rFonts w:hint="eastAsia" w:ascii="宋体" w:hAnsi="宋体" w:cs="宋体"/>
                <w:b/>
                <w:bCs/>
                <w:kern w:val="0"/>
                <w:szCs w:val="21"/>
              </w:rPr>
              <w:t>权重</w:t>
            </w:r>
          </w:p>
        </w:tc>
        <w:tc>
          <w:tcPr>
            <w:tcW w:w="851"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Cs w:val="21"/>
              </w:rPr>
            </w:pPr>
            <w:r>
              <w:rPr>
                <w:rFonts w:hint="eastAsia" w:ascii="宋体" w:hAnsi="宋体" w:cs="宋体"/>
                <w:b/>
                <w:bCs/>
                <w:kern w:val="0"/>
                <w:szCs w:val="21"/>
              </w:rPr>
              <w:t>得分</w:t>
            </w:r>
          </w:p>
        </w:tc>
        <w:tc>
          <w:tcPr>
            <w:tcW w:w="850"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Cs w:val="21"/>
              </w:rPr>
            </w:pPr>
            <w:r>
              <w:rPr>
                <w:rFonts w:hint="eastAsia" w:ascii="宋体" w:hAnsi="宋体" w:cs="宋体"/>
                <w:b/>
                <w:bCs/>
                <w:kern w:val="0"/>
                <w:szCs w:val="21"/>
              </w:rPr>
              <w:t>权重</w:t>
            </w:r>
          </w:p>
        </w:tc>
        <w:tc>
          <w:tcPr>
            <w:tcW w:w="851"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Cs w:val="21"/>
              </w:rPr>
            </w:pPr>
            <w:r>
              <w:rPr>
                <w:rFonts w:hint="eastAsia" w:ascii="宋体" w:hAnsi="宋体" w:cs="宋体"/>
                <w:b/>
                <w:bCs/>
                <w:kern w:val="0"/>
                <w:szCs w:val="21"/>
              </w:rPr>
              <w:t>得分</w:t>
            </w: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Cs w:val="21"/>
              </w:rPr>
            </w:pPr>
          </w:p>
        </w:tc>
      </w:tr>
      <w:tr>
        <w:tblPrEx>
          <w:tblCellMar>
            <w:top w:w="0" w:type="dxa"/>
            <w:left w:w="108" w:type="dxa"/>
            <w:bottom w:w="0" w:type="dxa"/>
            <w:right w:w="108" w:type="dxa"/>
          </w:tblCellMar>
        </w:tblPrEx>
        <w:trPr>
          <w:trHeight w:val="705" w:hRule="atLeast"/>
        </w:trPr>
        <w:tc>
          <w:tcPr>
            <w:tcW w:w="95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员工餐厅</w:t>
            </w:r>
          </w:p>
        </w:tc>
        <w:tc>
          <w:tcPr>
            <w:tcW w:w="11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学员、监管每月打分；教职工每年两次打分</w:t>
            </w: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50%</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50%</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FFFFFF"/>
                <w:kern w:val="0"/>
                <w:szCs w:val="21"/>
              </w:rPr>
            </w:pPr>
            <w:r>
              <w:rPr>
                <w:rFonts w:hint="eastAsia" w:ascii="宋体" w:hAnsi="宋体" w:cs="宋体"/>
                <w:color w:val="FFFFFF"/>
                <w:kern w:val="0"/>
                <w:szCs w:val="21"/>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FFFFFF"/>
                <w:kern w:val="0"/>
                <w:szCs w:val="21"/>
              </w:rPr>
            </w:pPr>
            <w:r>
              <w:rPr>
                <w:rFonts w:hint="eastAsia" w:ascii="宋体" w:hAnsi="宋体" w:cs="宋体"/>
                <w:color w:val="FFFFFF"/>
                <w:kern w:val="0"/>
                <w:szCs w:val="21"/>
              </w:rPr>
              <w:t>　</w:t>
            </w:r>
          </w:p>
        </w:tc>
      </w:tr>
      <w:tr>
        <w:tblPrEx>
          <w:tblCellMar>
            <w:top w:w="0" w:type="dxa"/>
            <w:left w:w="108" w:type="dxa"/>
            <w:bottom w:w="0" w:type="dxa"/>
            <w:right w:w="108" w:type="dxa"/>
          </w:tblCellMar>
        </w:tblPrEx>
        <w:trPr>
          <w:trHeight w:val="705" w:hRule="atLeast"/>
        </w:trPr>
        <w:tc>
          <w:tcPr>
            <w:tcW w:w="95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研究生餐厅</w:t>
            </w:r>
          </w:p>
        </w:tc>
        <w:tc>
          <w:tcPr>
            <w:tcW w:w="11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30%</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50%</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20%</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FFFFFF"/>
                <w:kern w:val="0"/>
                <w:szCs w:val="21"/>
              </w:rPr>
            </w:pPr>
            <w:r>
              <w:rPr>
                <w:rFonts w:hint="eastAsia" w:ascii="宋体" w:hAnsi="宋体" w:cs="宋体"/>
                <w:color w:val="FFFFFF"/>
                <w:kern w:val="0"/>
                <w:szCs w:val="21"/>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FFFFFF"/>
                <w:kern w:val="0"/>
                <w:szCs w:val="21"/>
              </w:rPr>
            </w:pPr>
            <w:r>
              <w:rPr>
                <w:rFonts w:hint="eastAsia" w:ascii="宋体" w:hAnsi="宋体" w:cs="宋体"/>
                <w:color w:val="FFFFFF"/>
                <w:kern w:val="0"/>
                <w:szCs w:val="21"/>
              </w:rPr>
              <w:t>　</w:t>
            </w:r>
          </w:p>
        </w:tc>
      </w:tr>
      <w:tr>
        <w:tblPrEx>
          <w:tblCellMar>
            <w:top w:w="0" w:type="dxa"/>
            <w:left w:w="108" w:type="dxa"/>
            <w:bottom w:w="0" w:type="dxa"/>
            <w:right w:w="108" w:type="dxa"/>
          </w:tblCellMar>
        </w:tblPrEx>
        <w:trPr>
          <w:trHeight w:val="705" w:hRule="atLeast"/>
        </w:trPr>
        <w:tc>
          <w:tcPr>
            <w:tcW w:w="95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培训学员餐厅</w:t>
            </w:r>
          </w:p>
        </w:tc>
        <w:tc>
          <w:tcPr>
            <w:tcW w:w="11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60%</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30%</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10%</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705" w:hRule="atLeast"/>
        </w:trPr>
        <w:tc>
          <w:tcPr>
            <w:tcW w:w="95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总分</w:t>
            </w:r>
          </w:p>
        </w:tc>
        <w:tc>
          <w:tcPr>
            <w:tcW w:w="6276" w:type="dxa"/>
            <w:gridSpan w:val="7"/>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员工餐厅得分×</w:t>
            </w:r>
            <w:r>
              <w:rPr>
                <w:rFonts w:ascii="宋体" w:hAnsi="宋体" w:cs="宋体"/>
                <w:kern w:val="0"/>
                <w:szCs w:val="21"/>
              </w:rPr>
              <w:t>20%+研究生餐厅得分×20%+培训学员餐厅得分×60%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w:t>
            </w:r>
          </w:p>
        </w:tc>
      </w:tr>
    </w:tbl>
    <w:p>
      <w:pPr>
        <w:spacing w:line="360" w:lineRule="auto"/>
        <w:ind w:firstLine="422" w:firstLineChars="200"/>
        <w:rPr>
          <w:rFonts w:ascii="宋体" w:hAnsi="宋体"/>
          <w:b/>
          <w:bCs/>
          <w:szCs w:val="21"/>
        </w:rPr>
      </w:pPr>
      <w:r>
        <w:rPr>
          <w:rFonts w:hint="eastAsia" w:ascii="宋体" w:hAnsi="宋体"/>
          <w:b/>
          <w:bCs/>
          <w:szCs w:val="21"/>
        </w:rPr>
        <w:t>考核结果等次及基金发放说明：</w:t>
      </w:r>
    </w:p>
    <w:p>
      <w:pPr>
        <w:pStyle w:val="18"/>
        <w:numPr>
          <w:ilvl w:val="0"/>
          <w:numId w:val="4"/>
        </w:numPr>
        <w:spacing w:line="360" w:lineRule="auto"/>
        <w:ind w:firstLineChars="0"/>
        <w:rPr>
          <w:rFonts w:ascii="宋体" w:hAnsi="宋体"/>
          <w:b/>
          <w:bCs/>
          <w:szCs w:val="21"/>
        </w:rPr>
      </w:pPr>
      <w:r>
        <w:rPr>
          <w:rFonts w:hint="eastAsia" w:ascii="宋体" w:hAnsi="宋体"/>
          <w:b/>
          <w:bCs/>
          <w:szCs w:val="21"/>
        </w:rPr>
        <w:t>以上打分为</w:t>
      </w:r>
      <w:r>
        <w:rPr>
          <w:rFonts w:ascii="宋体" w:hAnsi="宋体"/>
          <w:b/>
          <w:bCs/>
          <w:szCs w:val="21"/>
        </w:rPr>
        <w:t>5分制，专业监管依据“</w:t>
      </w:r>
      <w:r>
        <w:rPr>
          <w:rFonts w:hint="eastAsia" w:ascii="宋体" w:hAnsi="宋体"/>
          <w:b/>
          <w:bCs/>
          <w:szCs w:val="21"/>
        </w:rPr>
        <w:t>餐饮服务月度考核表”每月对餐饮服务质量按百分制进行打分后折算成</w:t>
      </w:r>
      <w:r>
        <w:rPr>
          <w:rFonts w:ascii="宋体" w:hAnsi="宋体"/>
          <w:b/>
          <w:bCs/>
          <w:szCs w:val="21"/>
        </w:rPr>
        <w:t>5分制计入本综合服务考核表，年底取月平均值作为专业监管打分项年度得分，教职工每半年对</w:t>
      </w:r>
      <w:r>
        <w:rPr>
          <w:rFonts w:hint="eastAsia" w:ascii="宋体" w:hAnsi="宋体"/>
          <w:b/>
          <w:bCs/>
          <w:szCs w:val="21"/>
        </w:rPr>
        <w:t>餐饮服务质量进行打分，年底取平均值作为教职工打分项年度得分，两项加权平均得分为餐饮服务最终年度考核分数。</w:t>
      </w:r>
    </w:p>
    <w:p>
      <w:pPr>
        <w:pStyle w:val="18"/>
        <w:numPr>
          <w:ilvl w:val="0"/>
          <w:numId w:val="4"/>
        </w:numPr>
        <w:spacing w:line="360" w:lineRule="auto"/>
        <w:ind w:firstLineChars="0"/>
        <w:rPr>
          <w:rFonts w:ascii="宋体" w:hAnsi="宋体"/>
          <w:b/>
          <w:bCs/>
          <w:szCs w:val="21"/>
        </w:rPr>
      </w:pPr>
      <w:r>
        <w:rPr>
          <w:rFonts w:hint="eastAsia" w:ascii="宋体" w:hAnsi="宋体"/>
          <w:b/>
          <w:bCs/>
          <w:szCs w:val="21"/>
        </w:rPr>
        <w:t>年度考核等次：</w:t>
      </w:r>
    </w:p>
    <w:p>
      <w:pPr>
        <w:spacing w:line="360" w:lineRule="auto"/>
        <w:ind w:firstLine="420" w:firstLineChars="200"/>
        <w:rPr>
          <w:rFonts w:ascii="宋体" w:hAnsi="宋体"/>
          <w:szCs w:val="21"/>
        </w:rPr>
      </w:pPr>
      <w:r>
        <w:rPr>
          <w:rFonts w:hint="eastAsia" w:ascii="宋体" w:hAnsi="宋体"/>
          <w:szCs w:val="21"/>
        </w:rPr>
        <w:t>考核</w:t>
      </w:r>
      <w:r>
        <w:rPr>
          <w:rFonts w:ascii="宋体" w:hAnsi="宋体"/>
          <w:szCs w:val="21"/>
        </w:rPr>
        <w:t>4.50</w:t>
      </w:r>
      <w:r>
        <w:rPr>
          <w:rFonts w:hint="eastAsia" w:ascii="宋体" w:hAnsi="宋体"/>
          <w:szCs w:val="21"/>
        </w:rPr>
        <w:t>分以上（含</w:t>
      </w:r>
      <w:r>
        <w:rPr>
          <w:rFonts w:ascii="宋体" w:hAnsi="宋体"/>
          <w:szCs w:val="21"/>
        </w:rPr>
        <w:t>4.50</w:t>
      </w:r>
      <w:r>
        <w:rPr>
          <w:rFonts w:hint="eastAsia" w:ascii="宋体" w:hAnsi="宋体"/>
          <w:szCs w:val="21"/>
        </w:rPr>
        <w:t>分）为优秀</w:t>
      </w:r>
      <w:r>
        <w:rPr>
          <w:rFonts w:ascii="宋体" w:hAnsi="宋体"/>
          <w:szCs w:val="21"/>
        </w:rPr>
        <w:t>,</w:t>
      </w:r>
      <w:r>
        <w:rPr>
          <w:rFonts w:hint="eastAsia" w:ascii="宋体" w:hAnsi="宋体"/>
          <w:szCs w:val="21"/>
        </w:rPr>
        <w:t>发放</w:t>
      </w:r>
      <w:r>
        <w:rPr>
          <w:rFonts w:ascii="宋体" w:hAnsi="宋体"/>
          <w:szCs w:val="21"/>
        </w:rPr>
        <w:t>100%</w:t>
      </w:r>
      <w:r>
        <w:rPr>
          <w:rFonts w:hint="eastAsia" w:ascii="宋体" w:hAnsi="宋体"/>
          <w:szCs w:val="21"/>
        </w:rPr>
        <w:t>考核基金；</w:t>
      </w:r>
    </w:p>
    <w:p>
      <w:pPr>
        <w:spacing w:line="360" w:lineRule="auto"/>
        <w:ind w:firstLine="420" w:firstLineChars="200"/>
        <w:rPr>
          <w:rFonts w:ascii="宋体" w:hAnsi="宋体"/>
          <w:szCs w:val="21"/>
        </w:rPr>
      </w:pPr>
      <w:r>
        <w:rPr>
          <w:rFonts w:hint="eastAsia" w:ascii="宋体" w:hAnsi="宋体"/>
          <w:szCs w:val="21"/>
        </w:rPr>
        <w:t>考核</w:t>
      </w:r>
      <w:r>
        <w:rPr>
          <w:rFonts w:ascii="宋体" w:hAnsi="宋体"/>
          <w:szCs w:val="21"/>
        </w:rPr>
        <w:t>4.30-4.50</w:t>
      </w:r>
      <w:r>
        <w:rPr>
          <w:rFonts w:hint="eastAsia" w:ascii="宋体" w:hAnsi="宋体"/>
          <w:szCs w:val="21"/>
        </w:rPr>
        <w:t>分（含</w:t>
      </w:r>
      <w:r>
        <w:rPr>
          <w:rFonts w:ascii="宋体" w:hAnsi="宋体"/>
          <w:szCs w:val="21"/>
        </w:rPr>
        <w:t>4.30分）为良好,</w:t>
      </w:r>
      <w:r>
        <w:rPr>
          <w:rFonts w:hint="eastAsia" w:ascii="宋体" w:hAnsi="宋体"/>
          <w:szCs w:val="21"/>
        </w:rPr>
        <w:t>发放</w:t>
      </w:r>
      <w:r>
        <w:rPr>
          <w:rFonts w:ascii="宋体" w:hAnsi="宋体"/>
          <w:szCs w:val="21"/>
        </w:rPr>
        <w:t>90%</w:t>
      </w:r>
      <w:r>
        <w:rPr>
          <w:rFonts w:hint="eastAsia" w:ascii="宋体" w:hAnsi="宋体"/>
          <w:szCs w:val="21"/>
        </w:rPr>
        <w:t>考核基金；</w:t>
      </w:r>
    </w:p>
    <w:p>
      <w:pPr>
        <w:spacing w:line="360" w:lineRule="auto"/>
        <w:ind w:firstLine="420" w:firstLineChars="200"/>
        <w:rPr>
          <w:rFonts w:ascii="宋体" w:hAnsi="宋体"/>
          <w:szCs w:val="21"/>
        </w:rPr>
      </w:pPr>
      <w:r>
        <w:rPr>
          <w:rFonts w:hint="eastAsia" w:ascii="宋体" w:hAnsi="宋体"/>
          <w:szCs w:val="21"/>
        </w:rPr>
        <w:t>考核</w:t>
      </w:r>
      <w:r>
        <w:rPr>
          <w:rFonts w:ascii="宋体" w:hAnsi="宋体"/>
          <w:szCs w:val="21"/>
        </w:rPr>
        <w:t>4.10-4.30分（含4.10分）为合格,</w:t>
      </w:r>
      <w:r>
        <w:rPr>
          <w:rFonts w:hint="eastAsia" w:ascii="宋体" w:hAnsi="宋体"/>
          <w:szCs w:val="21"/>
        </w:rPr>
        <w:t>发放</w:t>
      </w:r>
      <w:r>
        <w:rPr>
          <w:rFonts w:ascii="宋体" w:hAnsi="宋体"/>
          <w:szCs w:val="21"/>
        </w:rPr>
        <w:t>70%</w:t>
      </w:r>
      <w:r>
        <w:rPr>
          <w:rFonts w:hint="eastAsia" w:ascii="宋体" w:hAnsi="宋体"/>
          <w:szCs w:val="21"/>
        </w:rPr>
        <w:t>考核基金；</w:t>
      </w:r>
    </w:p>
    <w:p>
      <w:pPr>
        <w:spacing w:line="360" w:lineRule="auto"/>
        <w:ind w:firstLine="420" w:firstLineChars="200"/>
        <w:rPr>
          <w:rFonts w:ascii="宋体" w:hAnsi="宋体"/>
          <w:szCs w:val="21"/>
        </w:rPr>
      </w:pPr>
      <w:r>
        <w:rPr>
          <w:rFonts w:hint="eastAsia" w:ascii="宋体" w:hAnsi="宋体"/>
          <w:szCs w:val="21"/>
        </w:rPr>
        <w:t>考核</w:t>
      </w:r>
      <w:r>
        <w:rPr>
          <w:rFonts w:ascii="宋体" w:hAnsi="宋体"/>
          <w:szCs w:val="21"/>
        </w:rPr>
        <w:t>4.00-4.10分（含4.00分）为合格,</w:t>
      </w:r>
      <w:r>
        <w:rPr>
          <w:rFonts w:hint="eastAsia" w:ascii="宋体" w:hAnsi="宋体"/>
          <w:szCs w:val="21"/>
        </w:rPr>
        <w:t>发放</w:t>
      </w:r>
      <w:r>
        <w:rPr>
          <w:rFonts w:ascii="宋体" w:hAnsi="宋体"/>
          <w:szCs w:val="21"/>
        </w:rPr>
        <w:t>60%</w:t>
      </w:r>
      <w:r>
        <w:rPr>
          <w:rFonts w:hint="eastAsia" w:ascii="宋体" w:hAnsi="宋体"/>
          <w:szCs w:val="21"/>
        </w:rPr>
        <w:t>考核基金；</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考核</w:t>
      </w:r>
      <w:r>
        <w:rPr>
          <w:rFonts w:ascii="宋体" w:hAnsi="宋体"/>
          <w:color w:val="000000" w:themeColor="text1"/>
          <w:szCs w:val="21"/>
          <w14:textFill>
            <w14:solidFill>
              <w14:schemeClr w14:val="tx1"/>
            </w14:solidFill>
          </w14:textFill>
        </w:rPr>
        <w:t>4.00分以下为不合格,</w:t>
      </w:r>
      <w:r>
        <w:rPr>
          <w:rFonts w:hint="eastAsia" w:ascii="宋体" w:hAnsi="宋体"/>
          <w:color w:val="000000" w:themeColor="text1"/>
          <w:szCs w:val="21"/>
          <w14:textFill>
            <w14:solidFill>
              <w14:schemeClr w14:val="tx1"/>
            </w14:solidFill>
          </w14:textFill>
        </w:rPr>
        <w:t>不发放考核基金。</w:t>
      </w:r>
    </w:p>
    <w:p>
      <w:pPr>
        <w:pStyle w:val="18"/>
        <w:numPr>
          <w:ilvl w:val="0"/>
          <w:numId w:val="4"/>
        </w:numPr>
        <w:spacing w:line="360" w:lineRule="auto"/>
        <w:ind w:firstLineChars="0"/>
        <w:rPr>
          <w:rFonts w:ascii="宋体" w:hAnsi="宋体"/>
          <w:b/>
          <w:bCs/>
          <w:szCs w:val="21"/>
        </w:rPr>
      </w:pPr>
      <w:r>
        <w:rPr>
          <w:rFonts w:hint="eastAsia" w:ascii="宋体" w:hAnsi="宋体"/>
          <w:b/>
          <w:bCs/>
          <w:szCs w:val="21"/>
        </w:rPr>
        <w:t>年度综合考核将在合同期最后一个月汇总计算，得分</w:t>
      </w:r>
      <w:r>
        <w:rPr>
          <w:rFonts w:ascii="宋体" w:hAnsi="宋体"/>
          <w:b/>
          <w:bCs/>
          <w:szCs w:val="21"/>
        </w:rPr>
        <w:t>4.00分（含）以上为合格，低于4.00分为不合格，考核合格将续签下一年度合同，考核不合格则终止合同。</w:t>
      </w:r>
    </w:p>
    <w:p>
      <w:pPr>
        <w:pStyle w:val="18"/>
        <w:spacing w:line="360" w:lineRule="auto"/>
        <w:ind w:firstLine="0" w:firstLineChars="0"/>
        <w:rPr>
          <w:color w:val="000000" w:themeColor="text1"/>
          <w14:textFill>
            <w14:solidFill>
              <w14:schemeClr w14:val="tx1"/>
            </w14:solidFill>
          </w14:textFill>
        </w:rPr>
      </w:pPr>
    </w:p>
    <w:p>
      <w:pPr>
        <w:spacing w:line="360" w:lineRule="auto"/>
        <w:rPr>
          <w:rFonts w:ascii="宋体" w:hAnsi="宋体"/>
          <w:b/>
          <w:bCs/>
          <w:szCs w:val="21"/>
        </w:rPr>
      </w:pPr>
    </w:p>
    <w:p>
      <w:pP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br w:type="page"/>
      </w:r>
    </w:p>
    <w:p>
      <w:pPr>
        <w:pStyle w:val="5"/>
        <w:spacing w:line="360" w:lineRule="auto"/>
        <w:jc w:val="center"/>
        <w:rPr>
          <w:rFonts w:hAnsi="宋体"/>
          <w:b/>
          <w:bCs/>
          <w:szCs w:val="21"/>
        </w:rPr>
      </w:pPr>
      <w:r>
        <w:rPr>
          <w:rFonts w:hint="eastAsia" w:hAnsi="宋体"/>
          <w:b/>
          <w:bCs/>
          <w:szCs w:val="21"/>
        </w:rPr>
        <w:t>餐饮服务月度考核表</w:t>
      </w:r>
      <w:r>
        <w:rPr>
          <w:rFonts w:hAnsi="宋体"/>
          <w:b/>
          <w:bCs/>
          <w:szCs w:val="21"/>
        </w:rPr>
        <w:t xml:space="preserve">                     </w:t>
      </w:r>
    </w:p>
    <w:p>
      <w:pPr>
        <w:pStyle w:val="5"/>
        <w:spacing w:line="360" w:lineRule="auto"/>
        <w:jc w:val="right"/>
        <w:rPr>
          <w:rFonts w:hAnsi="宋体"/>
          <w:b/>
          <w:bCs/>
          <w:szCs w:val="21"/>
        </w:rPr>
      </w:pPr>
      <w:r>
        <w:rPr>
          <w:rFonts w:hint="eastAsia" w:hAnsi="宋体"/>
          <w:b/>
          <w:bCs/>
          <w:szCs w:val="21"/>
        </w:rPr>
        <w:t>（</w:t>
      </w:r>
      <w:r>
        <w:rPr>
          <w:rFonts w:hAnsi="宋体"/>
          <w:b/>
          <w:bCs/>
          <w:szCs w:val="21"/>
        </w:rPr>
        <w:t xml:space="preserve">    </w:t>
      </w:r>
      <w:r>
        <w:rPr>
          <w:rFonts w:hint="eastAsia" w:hAnsi="宋体"/>
          <w:b/>
          <w:bCs/>
          <w:szCs w:val="21"/>
        </w:rPr>
        <w:t>）月份</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822"/>
        <w:gridCol w:w="1047"/>
        <w:gridCol w:w="2732"/>
        <w:gridCol w:w="1938"/>
        <w:gridCol w:w="709"/>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trPr>
        <w:tc>
          <w:tcPr>
            <w:tcW w:w="385" w:type="pct"/>
            <w:vAlign w:val="center"/>
          </w:tcPr>
          <w:p>
            <w:pPr>
              <w:widowControl/>
              <w:adjustRightInd w:val="0"/>
              <w:snapToGrid w:val="0"/>
              <w:spacing w:line="240" w:lineRule="atLeast"/>
              <w:jc w:val="center"/>
              <w:textAlignment w:val="center"/>
              <w:rPr>
                <w:rFonts w:ascii="宋体" w:hAnsi="宋体"/>
                <w:b/>
                <w:bCs/>
                <w:color w:val="000000"/>
                <w:sz w:val="18"/>
                <w:szCs w:val="18"/>
              </w:rPr>
            </w:pPr>
            <w:r>
              <w:rPr>
                <w:rFonts w:hint="eastAsia" w:ascii="宋体" w:hAnsi="宋体"/>
                <w:b/>
                <w:bCs/>
                <w:color w:val="000000"/>
                <w:sz w:val="18"/>
                <w:szCs w:val="18"/>
              </w:rPr>
              <w:t>类别</w:t>
            </w:r>
          </w:p>
        </w:tc>
        <w:tc>
          <w:tcPr>
            <w:tcW w:w="482" w:type="pct"/>
            <w:vAlign w:val="center"/>
          </w:tcPr>
          <w:p>
            <w:pPr>
              <w:widowControl/>
              <w:adjustRightInd w:val="0"/>
              <w:snapToGrid w:val="0"/>
              <w:spacing w:line="240" w:lineRule="atLeast"/>
              <w:jc w:val="center"/>
              <w:textAlignment w:val="center"/>
              <w:rPr>
                <w:rFonts w:ascii="宋体" w:hAnsi="宋体"/>
                <w:b/>
                <w:bCs/>
                <w:color w:val="000000"/>
                <w:sz w:val="18"/>
                <w:szCs w:val="18"/>
              </w:rPr>
            </w:pPr>
            <w:r>
              <w:rPr>
                <w:rFonts w:hint="eastAsia" w:ascii="宋体" w:hAnsi="宋体"/>
                <w:b/>
                <w:bCs/>
                <w:color w:val="000000"/>
                <w:kern w:val="0"/>
                <w:sz w:val="18"/>
                <w:szCs w:val="18"/>
                <w:lang w:bidi="ar"/>
              </w:rPr>
              <w:t>项目</w:t>
            </w:r>
          </w:p>
        </w:tc>
        <w:tc>
          <w:tcPr>
            <w:tcW w:w="614" w:type="pct"/>
            <w:vAlign w:val="center"/>
          </w:tcPr>
          <w:p>
            <w:pPr>
              <w:widowControl/>
              <w:adjustRightInd w:val="0"/>
              <w:snapToGrid w:val="0"/>
              <w:spacing w:line="240" w:lineRule="atLeast"/>
              <w:jc w:val="center"/>
              <w:textAlignment w:val="center"/>
              <w:rPr>
                <w:rFonts w:ascii="宋体" w:hAnsi="宋体"/>
                <w:b/>
                <w:bCs/>
                <w:color w:val="000000"/>
                <w:sz w:val="18"/>
                <w:szCs w:val="18"/>
              </w:rPr>
            </w:pPr>
            <w:r>
              <w:rPr>
                <w:rFonts w:ascii="宋体" w:hAnsi="宋体"/>
                <w:b/>
                <w:bCs/>
                <w:color w:val="000000"/>
                <w:kern w:val="0"/>
                <w:sz w:val="18"/>
                <w:szCs w:val="18"/>
                <w:lang w:bidi="ar"/>
              </w:rPr>
              <w:t>具体</w:t>
            </w:r>
            <w:r>
              <w:rPr>
                <w:rFonts w:hint="eastAsia" w:ascii="宋体" w:hAnsi="宋体"/>
                <w:b/>
                <w:bCs/>
                <w:color w:val="000000"/>
                <w:kern w:val="0"/>
                <w:sz w:val="18"/>
                <w:szCs w:val="18"/>
                <w:lang w:bidi="ar"/>
              </w:rPr>
              <w:t>内容</w:t>
            </w:r>
          </w:p>
        </w:tc>
        <w:tc>
          <w:tcPr>
            <w:tcW w:w="1603" w:type="pct"/>
            <w:vAlign w:val="center"/>
          </w:tcPr>
          <w:p>
            <w:pPr>
              <w:widowControl/>
              <w:adjustRightInd w:val="0"/>
              <w:snapToGrid w:val="0"/>
              <w:spacing w:line="240" w:lineRule="atLeast"/>
              <w:jc w:val="center"/>
              <w:textAlignment w:val="center"/>
              <w:rPr>
                <w:rFonts w:ascii="宋体" w:hAnsi="宋体"/>
                <w:b/>
                <w:bCs/>
                <w:color w:val="000000"/>
                <w:sz w:val="18"/>
                <w:szCs w:val="18"/>
              </w:rPr>
            </w:pPr>
            <w:r>
              <w:rPr>
                <w:rFonts w:hint="eastAsia" w:ascii="宋体" w:hAnsi="宋体"/>
                <w:b/>
                <w:bCs/>
                <w:color w:val="000000"/>
                <w:sz w:val="18"/>
                <w:szCs w:val="18"/>
              </w:rPr>
              <w:t>考核标准</w:t>
            </w:r>
          </w:p>
        </w:tc>
        <w:tc>
          <w:tcPr>
            <w:tcW w:w="1137" w:type="pct"/>
            <w:vAlign w:val="center"/>
          </w:tcPr>
          <w:p>
            <w:pPr>
              <w:widowControl/>
              <w:adjustRightInd w:val="0"/>
              <w:snapToGrid w:val="0"/>
              <w:spacing w:line="240" w:lineRule="atLeast"/>
              <w:textAlignment w:val="center"/>
              <w:rPr>
                <w:rFonts w:ascii="宋体" w:hAnsi="宋体"/>
                <w:b/>
                <w:bCs/>
                <w:color w:val="000000"/>
                <w:sz w:val="18"/>
                <w:szCs w:val="18"/>
              </w:rPr>
            </w:pPr>
            <w:r>
              <w:rPr>
                <w:rFonts w:hint="eastAsia" w:ascii="宋体" w:hAnsi="宋体"/>
                <w:b/>
                <w:bCs/>
                <w:color w:val="000000"/>
                <w:sz w:val="18"/>
                <w:szCs w:val="18"/>
              </w:rPr>
              <w:t>扣分标准</w:t>
            </w:r>
          </w:p>
        </w:tc>
        <w:tc>
          <w:tcPr>
            <w:tcW w:w="416" w:type="pct"/>
            <w:vAlign w:val="center"/>
          </w:tcPr>
          <w:p>
            <w:pPr>
              <w:widowControl/>
              <w:adjustRightInd w:val="0"/>
              <w:snapToGrid w:val="0"/>
              <w:spacing w:line="240" w:lineRule="atLeast"/>
              <w:textAlignment w:val="center"/>
              <w:rPr>
                <w:rFonts w:ascii="宋体" w:hAnsi="宋体"/>
                <w:b/>
                <w:bCs/>
                <w:color w:val="000000"/>
                <w:sz w:val="18"/>
                <w:szCs w:val="18"/>
              </w:rPr>
            </w:pPr>
            <w:r>
              <w:rPr>
                <w:rFonts w:hint="eastAsia" w:ascii="宋体" w:hAnsi="宋体"/>
                <w:b/>
                <w:bCs/>
                <w:color w:val="000000"/>
                <w:sz w:val="18"/>
                <w:szCs w:val="18"/>
              </w:rPr>
              <w:t>累计扣分</w:t>
            </w:r>
          </w:p>
        </w:tc>
        <w:tc>
          <w:tcPr>
            <w:tcW w:w="362" w:type="pct"/>
            <w:vAlign w:val="center"/>
          </w:tcPr>
          <w:p>
            <w:pPr>
              <w:widowControl/>
              <w:adjustRightInd w:val="0"/>
              <w:snapToGrid w:val="0"/>
              <w:spacing w:line="240" w:lineRule="atLeast"/>
              <w:textAlignment w:val="center"/>
              <w:rPr>
                <w:rFonts w:ascii="宋体" w:hAnsi="宋体"/>
                <w:b/>
                <w:bCs/>
                <w:color w:val="000000"/>
                <w:sz w:val="18"/>
                <w:szCs w:val="18"/>
              </w:rPr>
            </w:pPr>
            <w:r>
              <w:rPr>
                <w:rFonts w:hint="eastAsia" w:ascii="宋体" w:hAnsi="宋体"/>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restart"/>
            <w:noWrap/>
            <w:vAlign w:val="center"/>
          </w:tcPr>
          <w:p>
            <w:pPr>
              <w:widowControl/>
              <w:adjustRightInd w:val="0"/>
              <w:snapToGrid w:val="0"/>
              <w:spacing w:line="240" w:lineRule="atLeast"/>
              <w:jc w:val="center"/>
              <w:textAlignment w:val="center"/>
              <w:rPr>
                <w:rFonts w:ascii="宋体" w:hAnsi="宋体"/>
                <w:color w:val="000000"/>
                <w:sz w:val="18"/>
                <w:szCs w:val="18"/>
              </w:rPr>
            </w:pPr>
            <w:r>
              <w:rPr>
                <w:rFonts w:ascii="宋体" w:hAnsi="宋体"/>
                <w:color w:val="000000"/>
                <w:kern w:val="0"/>
                <w:sz w:val="18"/>
                <w:szCs w:val="18"/>
                <w:lang w:bidi="ar"/>
              </w:rPr>
              <w:t>供餐服务</w:t>
            </w:r>
          </w:p>
        </w:tc>
        <w:tc>
          <w:tcPr>
            <w:tcW w:w="482" w:type="pct"/>
            <w:vMerge w:val="restart"/>
            <w:vAlign w:val="center"/>
          </w:tcPr>
          <w:p>
            <w:pPr>
              <w:widowControl/>
              <w:adjustRightInd w:val="0"/>
              <w:snapToGrid w:val="0"/>
              <w:spacing w:line="240" w:lineRule="atLeast"/>
              <w:jc w:val="center"/>
              <w:textAlignment w:val="center"/>
              <w:rPr>
                <w:rFonts w:ascii="宋体" w:hAnsi="宋体"/>
                <w:color w:val="000000"/>
                <w:sz w:val="18"/>
                <w:szCs w:val="18"/>
              </w:rPr>
            </w:pPr>
            <w:r>
              <w:rPr>
                <w:rFonts w:ascii="宋体" w:hAnsi="宋体"/>
                <w:color w:val="000000"/>
                <w:kern w:val="0"/>
                <w:sz w:val="18"/>
                <w:szCs w:val="18"/>
                <w:lang w:bidi="ar"/>
              </w:rPr>
              <w:t>食品清洁、烹制及供应</w:t>
            </w: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食品清洗</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合格率100%，无泥沙、杂质及残留污染物</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生熟分开执行率</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合格率100%，工具、容器、场地严格分区使用</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食品留样标准</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每餐每品种留样≥125g，冷藏保存≥48小时，留样率100%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供餐时长</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按招标需求时段足额供应，延迟</w:t>
            </w:r>
            <w:r>
              <w:rPr>
                <w:rFonts w:hint="eastAsia" w:ascii="宋体" w:hAnsi="宋体"/>
                <w:color w:val="000000"/>
                <w:kern w:val="0"/>
                <w:sz w:val="18"/>
                <w:szCs w:val="18"/>
                <w:lang w:bidi="ar"/>
              </w:rPr>
              <w:t>供餐</w:t>
            </w:r>
            <w:r>
              <w:rPr>
                <w:rFonts w:ascii="宋体" w:hAnsi="宋体"/>
                <w:color w:val="000000"/>
                <w:kern w:val="0"/>
                <w:sz w:val="18"/>
                <w:szCs w:val="18"/>
                <w:lang w:bidi="ar"/>
              </w:rPr>
              <w:t>或提前结束时间≤15分钟</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1次扣2分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供应品种保障</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按合同约定配齐品种</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1次扣2分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restart"/>
            <w:vAlign w:val="center"/>
          </w:tcPr>
          <w:p>
            <w:pPr>
              <w:widowControl/>
              <w:adjustRightInd w:val="0"/>
              <w:snapToGrid w:val="0"/>
              <w:spacing w:line="240" w:lineRule="atLeast"/>
              <w:jc w:val="center"/>
              <w:textAlignment w:val="center"/>
              <w:rPr>
                <w:rFonts w:ascii="宋体" w:hAnsi="宋体"/>
                <w:color w:val="000000"/>
                <w:sz w:val="18"/>
                <w:szCs w:val="18"/>
              </w:rPr>
            </w:pPr>
            <w:r>
              <w:rPr>
                <w:rFonts w:ascii="宋体" w:hAnsi="宋体"/>
                <w:color w:val="000000"/>
                <w:kern w:val="0"/>
                <w:sz w:val="18"/>
                <w:szCs w:val="18"/>
                <w:lang w:bidi="ar"/>
              </w:rPr>
              <w:t>培训班课间茶点及水果供应</w:t>
            </w: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供应准时率</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hint="eastAsia" w:ascii="宋体" w:hAnsi="宋体"/>
                <w:color w:val="000000"/>
                <w:kern w:val="0"/>
                <w:sz w:val="18"/>
                <w:szCs w:val="18"/>
                <w:lang w:bidi="ar"/>
              </w:rPr>
              <w:t>按照订单时间提前</w:t>
            </w:r>
            <w:r>
              <w:rPr>
                <w:rFonts w:ascii="宋体" w:hAnsi="宋体"/>
                <w:color w:val="000000"/>
                <w:kern w:val="0"/>
                <w:sz w:val="18"/>
                <w:szCs w:val="18"/>
                <w:lang w:bidi="ar"/>
              </w:rPr>
              <w:t>完成布置，准时率100%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新鲜度</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水果无腐烂、变质，茶点在保质期内，合格率100%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清洁度</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盛放容器洁净无污渍，一次性用品符合食品安全标准</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restart"/>
            <w:noWrap/>
            <w:vAlign w:val="center"/>
          </w:tcPr>
          <w:p>
            <w:pPr>
              <w:widowControl/>
              <w:adjustRightInd w:val="0"/>
              <w:snapToGrid w:val="0"/>
              <w:spacing w:line="240" w:lineRule="atLeast"/>
              <w:jc w:val="center"/>
              <w:textAlignment w:val="center"/>
              <w:rPr>
                <w:rFonts w:ascii="宋体" w:hAnsi="宋体"/>
                <w:color w:val="000000"/>
                <w:sz w:val="18"/>
                <w:szCs w:val="18"/>
              </w:rPr>
            </w:pPr>
            <w:r>
              <w:rPr>
                <w:rFonts w:ascii="宋体" w:hAnsi="宋体"/>
                <w:color w:val="000000"/>
                <w:kern w:val="0"/>
                <w:sz w:val="18"/>
                <w:szCs w:val="18"/>
                <w:lang w:bidi="ar"/>
              </w:rPr>
              <w:t>餐厅管理</w:t>
            </w:r>
          </w:p>
        </w:tc>
        <w:tc>
          <w:tcPr>
            <w:tcW w:w="482" w:type="pct"/>
            <w:vMerge w:val="restart"/>
            <w:vAlign w:val="center"/>
          </w:tcPr>
          <w:p>
            <w:pPr>
              <w:widowControl/>
              <w:adjustRightInd w:val="0"/>
              <w:snapToGrid w:val="0"/>
              <w:spacing w:line="240" w:lineRule="atLeast"/>
              <w:jc w:val="center"/>
              <w:textAlignment w:val="center"/>
              <w:rPr>
                <w:rFonts w:ascii="宋体" w:hAnsi="宋体"/>
                <w:color w:val="000000"/>
                <w:sz w:val="18"/>
                <w:szCs w:val="18"/>
              </w:rPr>
            </w:pPr>
            <w:r>
              <w:rPr>
                <w:rFonts w:ascii="宋体" w:hAnsi="宋体"/>
                <w:color w:val="000000"/>
                <w:kern w:val="0"/>
                <w:sz w:val="18"/>
                <w:szCs w:val="18"/>
                <w:lang w:bidi="ar"/>
              </w:rPr>
              <w:t>食品原料采购预订、验收</w:t>
            </w: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采购合规</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票证齐全率100%，供应商学院备案率100%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1项扣2分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验收标准</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原料新鲜无变质、无过期，感官及规格符合约定，验收合格率≥99%</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vMerge w:val="restar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库存管理</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hint="eastAsia" w:ascii="宋体" w:hAnsi="宋体"/>
                <w:color w:val="000000"/>
                <w:sz w:val="18"/>
                <w:szCs w:val="18"/>
              </w:rPr>
              <w:t>冰箱内半成品、成品规范保藏，盒带盖，盆用保鲜膜</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vMerge w:val="continue"/>
            <w:noWrap/>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1603"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冷库内食品原料有序堆放，分清冷冻冷藏，先进先出</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vMerge w:val="continue"/>
            <w:noWrap/>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1603"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粮油、干货、调味品等按规有序堆放，无过期，</w:t>
            </w:r>
            <w:r>
              <w:rPr>
                <w:rFonts w:ascii="宋体" w:hAnsi="宋体"/>
                <w:color w:val="000000"/>
                <w:kern w:val="0"/>
                <w:sz w:val="18"/>
                <w:szCs w:val="18"/>
                <w:lang w:bidi="ar"/>
              </w:rPr>
              <w:t>合格率100%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1项扣1分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restart"/>
            <w:vAlign w:val="center"/>
          </w:tcPr>
          <w:p>
            <w:pPr>
              <w:widowControl/>
              <w:adjustRightInd w:val="0"/>
              <w:snapToGrid w:val="0"/>
              <w:spacing w:line="240" w:lineRule="atLeast"/>
              <w:jc w:val="center"/>
              <w:textAlignment w:val="center"/>
              <w:rPr>
                <w:rFonts w:ascii="宋体" w:hAnsi="宋体"/>
                <w:color w:val="000000"/>
                <w:sz w:val="18"/>
                <w:szCs w:val="18"/>
              </w:rPr>
            </w:pPr>
            <w:r>
              <w:rPr>
                <w:rFonts w:ascii="宋体" w:hAnsi="宋体"/>
                <w:color w:val="000000"/>
                <w:kern w:val="0"/>
                <w:sz w:val="18"/>
                <w:szCs w:val="18"/>
                <w:lang w:bidi="ar"/>
              </w:rPr>
              <w:t>订餐服务</w:t>
            </w: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响应时效</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接到订餐需求后≤30分钟确认，紧急订餐≤15分钟反馈</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订餐准确率</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信息（人数、菜品、时间、地点）核对无误，准确率≥99.5%</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restart"/>
            <w:vAlign w:val="center"/>
          </w:tcPr>
          <w:p>
            <w:pPr>
              <w:widowControl/>
              <w:adjustRightInd w:val="0"/>
              <w:snapToGrid w:val="0"/>
              <w:spacing w:line="240" w:lineRule="atLeast"/>
              <w:jc w:val="center"/>
              <w:textAlignment w:val="center"/>
              <w:rPr>
                <w:rFonts w:ascii="宋体" w:hAnsi="宋体"/>
                <w:color w:val="000000"/>
                <w:sz w:val="18"/>
                <w:szCs w:val="18"/>
              </w:rPr>
            </w:pPr>
            <w:r>
              <w:rPr>
                <w:rFonts w:ascii="宋体" w:hAnsi="宋体"/>
                <w:color w:val="000000"/>
                <w:kern w:val="0"/>
                <w:sz w:val="18"/>
                <w:szCs w:val="18"/>
                <w:lang w:bidi="ar"/>
              </w:rPr>
              <w:t>用餐服务</w:t>
            </w: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hint="eastAsia" w:ascii="宋体" w:hAnsi="宋体"/>
                <w:color w:val="000000"/>
                <w:kern w:val="0"/>
                <w:sz w:val="18"/>
                <w:szCs w:val="18"/>
                <w:lang w:bidi="ar"/>
              </w:rPr>
              <w:t>出菜速度</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hint="eastAsia" w:ascii="宋体" w:hAnsi="宋体"/>
                <w:color w:val="000000"/>
                <w:sz w:val="18"/>
                <w:szCs w:val="18"/>
              </w:rPr>
              <w:t>供餐时段及时观察菜肴数量，及时补菜，</w:t>
            </w:r>
            <w:r>
              <w:rPr>
                <w:rFonts w:ascii="宋体" w:hAnsi="宋体"/>
                <w:color w:val="000000"/>
                <w:kern w:val="0"/>
                <w:sz w:val="18"/>
                <w:szCs w:val="18"/>
                <w:lang w:bidi="ar"/>
              </w:rPr>
              <w:t>≤</w:t>
            </w:r>
            <w:r>
              <w:rPr>
                <w:rFonts w:ascii="宋体" w:hAnsi="宋体"/>
                <w:color w:val="000000"/>
                <w:sz w:val="18"/>
                <w:szCs w:val="18"/>
              </w:rPr>
              <w:t>8分钟</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服务态度</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主动引导、耐心解答，无投诉，服务满意度≥80%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投诉</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各岗位操作规范性</w:t>
            </w:r>
          </w:p>
        </w:tc>
        <w:tc>
          <w:tcPr>
            <w:tcW w:w="1603"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销售区人员需佩戴口罩、手套，厨房戴帽，专间专人专工具</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1人次扣1分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特殊供餐保障</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圆桌餐、特殊场地供餐按约定时间完成布置，服务衔接顺畅</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restart"/>
            <w:vAlign w:val="center"/>
          </w:tcPr>
          <w:p>
            <w:pPr>
              <w:widowControl/>
              <w:adjustRightInd w:val="0"/>
              <w:snapToGrid w:val="0"/>
              <w:spacing w:line="240" w:lineRule="atLeast"/>
              <w:jc w:val="center"/>
              <w:textAlignment w:val="center"/>
              <w:rPr>
                <w:rFonts w:ascii="宋体" w:hAnsi="宋体"/>
                <w:color w:val="000000"/>
                <w:sz w:val="18"/>
                <w:szCs w:val="18"/>
              </w:rPr>
            </w:pPr>
            <w:r>
              <w:rPr>
                <w:rFonts w:ascii="宋体" w:hAnsi="宋体"/>
                <w:color w:val="000000"/>
                <w:kern w:val="0"/>
                <w:sz w:val="18"/>
                <w:szCs w:val="18"/>
                <w:lang w:bidi="ar"/>
              </w:rPr>
              <w:t>卫生管理（餐具、食品、环境）</w:t>
            </w: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餐具清洗消毒</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消毒流程执行率100%，消毒合格率100%，保洁存放规范</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食品卫生</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无腐败变质、交叉污染，食品抽检合格率100%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1次扣2分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环境卫生</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地面、桌面、墙面无油污、垃圾，实时清洁，卫生达标率100%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restart"/>
            <w:vAlign w:val="center"/>
          </w:tcPr>
          <w:p>
            <w:pPr>
              <w:widowControl/>
              <w:adjustRightInd w:val="0"/>
              <w:snapToGrid w:val="0"/>
              <w:spacing w:line="240" w:lineRule="atLeast"/>
              <w:jc w:val="center"/>
              <w:textAlignment w:val="center"/>
              <w:rPr>
                <w:rFonts w:ascii="宋体" w:hAnsi="宋体"/>
                <w:color w:val="000000"/>
                <w:sz w:val="18"/>
                <w:szCs w:val="18"/>
              </w:rPr>
            </w:pPr>
            <w:r>
              <w:rPr>
                <w:rFonts w:ascii="宋体" w:hAnsi="宋体"/>
                <w:color w:val="000000"/>
                <w:kern w:val="0"/>
                <w:sz w:val="18"/>
                <w:szCs w:val="18"/>
                <w:lang w:bidi="ar"/>
              </w:rPr>
              <w:t>用餐场地布置</w:t>
            </w: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布置准时率</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常规供餐提前30分钟完成，特殊供餐提前1小时完成，准时率100%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ascii="宋体" w:hAnsi="宋体"/>
                <w:color w:val="000000"/>
                <w:kern w:val="0"/>
                <w:sz w:val="18"/>
                <w:szCs w:val="18"/>
                <w:lang w:bidi="ar"/>
              </w:rPr>
              <w:t>布置标准</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符合供餐类型要求，客户满意度≥80%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ascii="宋体" w:hAnsi="宋体"/>
                <w:color w:val="000000"/>
                <w:kern w:val="0"/>
                <w:sz w:val="18"/>
                <w:szCs w:val="18"/>
                <w:lang w:bidi="ar"/>
              </w:rPr>
              <w:t>场地复原</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用餐结束后1小时内完成清理复原，复原达标率100%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restar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设备餐具保管与维护保养</w:t>
            </w:r>
          </w:p>
        </w:tc>
        <w:tc>
          <w:tcPr>
            <w:tcW w:w="614" w:type="pct"/>
            <w:noWrap/>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ascii="宋体" w:hAnsi="宋体"/>
                <w:color w:val="000000"/>
                <w:kern w:val="0"/>
                <w:sz w:val="18"/>
                <w:szCs w:val="18"/>
                <w:lang w:bidi="ar"/>
              </w:rPr>
              <w:t>保管规范</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分类存放、标识清晰，无丢失、破损，餐具完好率≥99.5%</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noWrap/>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ascii="宋体" w:hAnsi="宋体"/>
                <w:color w:val="000000"/>
                <w:kern w:val="0"/>
                <w:sz w:val="18"/>
                <w:szCs w:val="18"/>
                <w:lang w:bidi="ar"/>
              </w:rPr>
              <w:t>维护保养</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每日清洁、每周巡检，发现故障报修，设备运行完好率≥95%</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对院方资产无管理措施有一定损坏</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restart"/>
            <w:vAlign w:val="center"/>
          </w:tcPr>
          <w:p>
            <w:pPr>
              <w:widowControl/>
              <w:adjustRightInd w:val="0"/>
              <w:snapToGrid w:val="0"/>
              <w:spacing w:line="240" w:lineRule="atLeast"/>
              <w:jc w:val="center"/>
              <w:textAlignment w:val="center"/>
              <w:rPr>
                <w:rFonts w:ascii="宋体" w:hAnsi="宋体"/>
                <w:color w:val="000000"/>
                <w:sz w:val="18"/>
                <w:szCs w:val="18"/>
              </w:rPr>
            </w:pPr>
            <w:r>
              <w:rPr>
                <w:rFonts w:ascii="宋体" w:hAnsi="宋体"/>
                <w:color w:val="000000"/>
                <w:kern w:val="0"/>
                <w:sz w:val="18"/>
                <w:szCs w:val="18"/>
                <w:lang w:bidi="ar"/>
              </w:rPr>
              <w:t>其他餐饮管理</w:t>
            </w:r>
          </w:p>
        </w:tc>
        <w:tc>
          <w:tcPr>
            <w:tcW w:w="482" w:type="pct"/>
            <w:vMerge w:val="restart"/>
            <w:vAlign w:val="center"/>
          </w:tcPr>
          <w:p>
            <w:pPr>
              <w:widowControl/>
              <w:adjustRightInd w:val="0"/>
              <w:snapToGrid w:val="0"/>
              <w:spacing w:line="240" w:lineRule="atLeast"/>
              <w:jc w:val="center"/>
              <w:textAlignment w:val="center"/>
              <w:rPr>
                <w:rFonts w:ascii="宋体" w:hAnsi="宋体"/>
                <w:color w:val="000000"/>
                <w:sz w:val="18"/>
                <w:szCs w:val="18"/>
              </w:rPr>
            </w:pPr>
            <w:r>
              <w:rPr>
                <w:rFonts w:ascii="宋体" w:hAnsi="宋体"/>
                <w:color w:val="000000"/>
                <w:kern w:val="0"/>
                <w:sz w:val="18"/>
                <w:szCs w:val="18"/>
                <w:lang w:bidi="ar"/>
              </w:rPr>
              <w:t>人员管理</w:t>
            </w:r>
          </w:p>
        </w:tc>
        <w:tc>
          <w:tcPr>
            <w:tcW w:w="614" w:type="pct"/>
            <w:noWrap/>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ascii="宋体" w:hAnsi="宋体"/>
                <w:color w:val="000000"/>
                <w:kern w:val="0"/>
                <w:sz w:val="18"/>
                <w:szCs w:val="18"/>
                <w:lang w:bidi="ar"/>
              </w:rPr>
              <w:t>配置要求相符性</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员工有较好的精神面貌</w:t>
            </w:r>
            <w:r>
              <w:rPr>
                <w:rFonts w:hint="eastAsia" w:ascii="宋体" w:hAnsi="宋体"/>
                <w:color w:val="000000"/>
                <w:kern w:val="0"/>
                <w:sz w:val="18"/>
                <w:szCs w:val="18"/>
                <w:lang w:bidi="ar"/>
              </w:rPr>
              <w:t>，</w:t>
            </w:r>
            <w:r>
              <w:rPr>
                <w:rFonts w:ascii="宋体" w:hAnsi="宋体"/>
                <w:color w:val="000000"/>
                <w:kern w:val="0"/>
                <w:sz w:val="18"/>
                <w:szCs w:val="18"/>
                <w:lang w:bidi="ar"/>
              </w:rPr>
              <w:t>服装统一</w:t>
            </w:r>
            <w:r>
              <w:rPr>
                <w:rFonts w:hint="eastAsia" w:ascii="宋体" w:hAnsi="宋体"/>
                <w:color w:val="000000"/>
                <w:kern w:val="0"/>
                <w:sz w:val="18"/>
                <w:szCs w:val="18"/>
                <w:lang w:bidi="ar"/>
              </w:rPr>
              <w:t>，</w:t>
            </w:r>
            <w:r>
              <w:rPr>
                <w:rFonts w:ascii="宋体" w:hAnsi="宋体"/>
                <w:color w:val="000000"/>
                <w:kern w:val="0"/>
                <w:sz w:val="18"/>
                <w:szCs w:val="18"/>
                <w:lang w:bidi="ar"/>
              </w:rPr>
              <w:t>持证上岗，设备、设施按各规定进行操作管理</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1人次扣1分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ascii="宋体" w:hAnsi="宋体"/>
                <w:color w:val="000000"/>
                <w:kern w:val="0"/>
                <w:sz w:val="18"/>
                <w:szCs w:val="18"/>
                <w:lang w:bidi="ar"/>
              </w:rPr>
              <w:t>培训覆盖</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食品安全、服务规范、应急处理等培训覆盖率100%</w:t>
            </w:r>
            <w:r>
              <w:rPr>
                <w:rFonts w:hint="eastAsia" w:ascii="宋体" w:hAnsi="宋体"/>
                <w:color w:val="000000"/>
                <w:kern w:val="0"/>
                <w:sz w:val="18"/>
                <w:szCs w:val="18"/>
                <w:lang w:bidi="ar"/>
              </w:rPr>
              <w:t>，每季度</w:t>
            </w:r>
            <w:r>
              <w:rPr>
                <w:rFonts w:ascii="宋体" w:hAnsi="宋体"/>
                <w:color w:val="000000"/>
                <w:kern w:val="0"/>
                <w:sz w:val="18"/>
                <w:szCs w:val="18"/>
                <w:lang w:bidi="ar"/>
              </w:rPr>
              <w:t>≥1次</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1人扣1分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ascii="宋体" w:hAnsi="宋体"/>
                <w:color w:val="000000"/>
                <w:kern w:val="0"/>
                <w:sz w:val="18"/>
                <w:szCs w:val="18"/>
                <w:lang w:bidi="ar"/>
              </w:rPr>
              <w:t>人员到岗</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按排班足额到岗</w:t>
            </w:r>
            <w:r>
              <w:rPr>
                <w:rFonts w:hint="eastAsia" w:ascii="宋体" w:hAnsi="宋体"/>
                <w:color w:val="000000"/>
                <w:kern w:val="0"/>
                <w:sz w:val="18"/>
                <w:szCs w:val="18"/>
                <w:lang w:bidi="ar"/>
              </w:rPr>
              <w:t>，项目负责人休息、请假、长时间外出需至后勤部备案，严格执行后勤部《驻院物业负责人管理办法》</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1人次扣1分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482" w:type="pct"/>
            <w:vMerge w:val="restart"/>
            <w:vAlign w:val="center"/>
          </w:tcPr>
          <w:p>
            <w:pPr>
              <w:widowControl/>
              <w:adjustRightInd w:val="0"/>
              <w:snapToGrid w:val="0"/>
              <w:spacing w:line="240" w:lineRule="atLeast"/>
              <w:jc w:val="center"/>
              <w:textAlignment w:val="center"/>
              <w:rPr>
                <w:rFonts w:ascii="宋体" w:hAnsi="宋体"/>
                <w:color w:val="000000"/>
                <w:sz w:val="18"/>
                <w:szCs w:val="18"/>
              </w:rPr>
            </w:pPr>
            <w:r>
              <w:rPr>
                <w:rFonts w:ascii="宋体" w:hAnsi="宋体"/>
                <w:color w:val="000000"/>
                <w:kern w:val="0"/>
                <w:sz w:val="18"/>
                <w:szCs w:val="18"/>
                <w:lang w:bidi="ar"/>
              </w:rPr>
              <w:t>餐厅成本控制</w:t>
            </w:r>
          </w:p>
        </w:tc>
        <w:tc>
          <w:tcPr>
            <w:tcW w:w="614" w:type="pct"/>
            <w:noWrap/>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ascii="宋体" w:hAnsi="宋体"/>
                <w:color w:val="000000"/>
                <w:kern w:val="0"/>
                <w:sz w:val="18"/>
                <w:szCs w:val="18"/>
                <w:lang w:bidi="ar"/>
              </w:rPr>
              <w:t>食材成本率</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kern w:val="0"/>
                <w:sz w:val="18"/>
                <w:szCs w:val="18"/>
                <w:lang w:bidi="ar"/>
              </w:rPr>
              <w:t>≥</w:t>
            </w:r>
            <w:r>
              <w:rPr>
                <w:rFonts w:ascii="宋体" w:hAnsi="宋体"/>
                <w:color w:val="000000"/>
                <w:kern w:val="0"/>
                <w:sz w:val="18"/>
                <w:szCs w:val="18"/>
                <w:lang w:bidi="ar"/>
              </w:rPr>
              <w:t>60%</w:t>
            </w:r>
          </w:p>
        </w:tc>
        <w:tc>
          <w:tcPr>
            <w:tcW w:w="1137" w:type="pct"/>
            <w:vAlign w:val="center"/>
          </w:tcPr>
          <w:p>
            <w:pPr>
              <w:widowControl/>
              <w:adjustRightInd w:val="0"/>
              <w:snapToGrid w:val="0"/>
              <w:spacing w:line="240" w:lineRule="atLeast"/>
              <w:jc w:val="left"/>
              <w:textAlignment w:val="center"/>
              <w:rPr>
                <w:rFonts w:ascii="宋体" w:hAnsi="宋体"/>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1次扣5分</w:t>
            </w:r>
          </w:p>
        </w:tc>
        <w:tc>
          <w:tcPr>
            <w:tcW w:w="416" w:type="pct"/>
            <w:vAlign w:val="center"/>
          </w:tcPr>
          <w:p>
            <w:pPr>
              <w:widowControl/>
              <w:adjustRightInd w:val="0"/>
              <w:snapToGrid w:val="0"/>
              <w:spacing w:line="240" w:lineRule="atLeast"/>
              <w:jc w:val="left"/>
              <w:textAlignment w:val="center"/>
              <w:rPr>
                <w:rFonts w:ascii="宋体" w:hAnsi="宋体"/>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能耗成本</w:t>
            </w:r>
            <w:r>
              <w:rPr>
                <w:rFonts w:hint="eastAsia" w:ascii="宋体" w:hAnsi="宋体"/>
                <w:color w:val="000000"/>
                <w:kern w:val="0"/>
                <w:sz w:val="18"/>
                <w:szCs w:val="18"/>
                <w:lang w:bidi="ar"/>
              </w:rPr>
              <w:t>控制</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无浪费现象，节能措施执行率100%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违规</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ascii="宋体" w:hAnsi="宋体"/>
                <w:color w:val="000000"/>
                <w:kern w:val="0"/>
                <w:sz w:val="18"/>
                <w:szCs w:val="18"/>
                <w:lang w:bidi="ar"/>
              </w:rPr>
              <w:t>食材损耗率</w:t>
            </w:r>
          </w:p>
        </w:tc>
        <w:tc>
          <w:tcPr>
            <w:tcW w:w="1603"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ascii="宋体" w:hAnsi="宋体"/>
                <w:color w:val="000000"/>
                <w:kern w:val="0"/>
                <w:sz w:val="18"/>
                <w:szCs w:val="18"/>
                <w:lang w:bidi="ar"/>
              </w:rPr>
              <w:t>≤5%</w:t>
            </w:r>
          </w:p>
        </w:tc>
        <w:tc>
          <w:tcPr>
            <w:tcW w:w="1137" w:type="pct"/>
            <w:vAlign w:val="center"/>
          </w:tcPr>
          <w:p>
            <w:pPr>
              <w:widowControl/>
              <w:adjustRightInd w:val="0"/>
              <w:snapToGrid w:val="0"/>
              <w:spacing w:line="240" w:lineRule="atLeast"/>
              <w:jc w:val="left"/>
              <w:textAlignment w:val="center"/>
              <w:rPr>
                <w:rFonts w:ascii="宋体" w:hAnsi="宋体"/>
                <w:strike/>
                <w:color w:val="000000"/>
                <w:kern w:val="0"/>
                <w:sz w:val="18"/>
                <w:szCs w:val="18"/>
                <w:lang w:bidi="ar"/>
              </w:rPr>
            </w:pPr>
          </w:p>
        </w:tc>
        <w:tc>
          <w:tcPr>
            <w:tcW w:w="416" w:type="pct"/>
            <w:vAlign w:val="center"/>
          </w:tcPr>
          <w:p>
            <w:pPr>
              <w:widowControl/>
              <w:adjustRightInd w:val="0"/>
              <w:snapToGrid w:val="0"/>
              <w:spacing w:line="240" w:lineRule="atLeast"/>
              <w:jc w:val="left"/>
              <w:textAlignment w:val="center"/>
              <w:rPr>
                <w:rFonts w:ascii="宋体" w:hAnsi="宋体"/>
                <w:strike/>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strike/>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482" w:type="pct"/>
            <w:vMerge w:val="restart"/>
            <w:vAlign w:val="center"/>
          </w:tcPr>
          <w:p>
            <w:pPr>
              <w:widowControl/>
              <w:adjustRightInd w:val="0"/>
              <w:snapToGrid w:val="0"/>
              <w:spacing w:line="240" w:lineRule="atLeast"/>
              <w:jc w:val="center"/>
              <w:textAlignment w:val="center"/>
              <w:rPr>
                <w:rFonts w:ascii="宋体" w:hAnsi="宋体"/>
                <w:color w:val="000000"/>
                <w:sz w:val="18"/>
                <w:szCs w:val="18"/>
              </w:rPr>
            </w:pPr>
            <w:r>
              <w:rPr>
                <w:rFonts w:ascii="宋体" w:hAnsi="宋体"/>
                <w:color w:val="000000"/>
                <w:kern w:val="0"/>
                <w:sz w:val="18"/>
                <w:szCs w:val="18"/>
                <w:lang w:bidi="ar"/>
              </w:rPr>
              <w:t>消防、生产安全</w:t>
            </w: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重大安全事故</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0起，轻伤事故≤1起/年</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1次分别扣50分、5分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隐患排查</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hint="eastAsia" w:ascii="宋体" w:hAnsi="宋体"/>
                <w:color w:val="000000"/>
                <w:kern w:val="0"/>
                <w:sz w:val="18"/>
                <w:szCs w:val="18"/>
                <w:lang w:bidi="ar"/>
              </w:rPr>
              <w:t>营业结束做好“三清三关”规定工作，接受安保检查，</w:t>
            </w:r>
            <w:r>
              <w:rPr>
                <w:rFonts w:ascii="宋体" w:hAnsi="宋体"/>
                <w:color w:val="000000"/>
                <w:kern w:val="0"/>
                <w:sz w:val="18"/>
                <w:szCs w:val="18"/>
                <w:lang w:bidi="ar"/>
              </w:rPr>
              <w:t>隐患整改率100%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应急准备</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年度消防演练≥1次，员工消防知识知晓率100%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1次扣2分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482" w:type="pct"/>
            <w:vMerge w:val="restart"/>
            <w:vAlign w:val="center"/>
          </w:tcPr>
          <w:p>
            <w:pPr>
              <w:widowControl/>
              <w:adjustRightInd w:val="0"/>
              <w:snapToGrid w:val="0"/>
              <w:spacing w:line="240" w:lineRule="atLeast"/>
              <w:jc w:val="center"/>
              <w:textAlignment w:val="center"/>
              <w:rPr>
                <w:rFonts w:ascii="宋体" w:hAnsi="宋体"/>
                <w:color w:val="000000"/>
                <w:sz w:val="18"/>
                <w:szCs w:val="18"/>
              </w:rPr>
            </w:pPr>
            <w:r>
              <w:rPr>
                <w:rFonts w:ascii="宋体" w:hAnsi="宋体"/>
                <w:color w:val="000000"/>
                <w:kern w:val="0"/>
                <w:sz w:val="18"/>
                <w:szCs w:val="18"/>
                <w:lang w:bidi="ar"/>
              </w:rPr>
              <w:t>其他相关管理</w:t>
            </w: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投诉处理</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解决时效≤24小时，</w:t>
            </w:r>
            <w:r>
              <w:rPr>
                <w:rFonts w:hint="eastAsia" w:ascii="宋体" w:hAnsi="宋体"/>
                <w:color w:val="000000"/>
                <w:kern w:val="0"/>
                <w:sz w:val="18"/>
                <w:szCs w:val="18"/>
                <w:lang w:bidi="ar"/>
              </w:rPr>
              <w:t>合理的投诉</w:t>
            </w:r>
            <w:r>
              <w:rPr>
                <w:rFonts w:ascii="宋体" w:hAnsi="宋体"/>
                <w:color w:val="000000"/>
                <w:kern w:val="0"/>
                <w:sz w:val="18"/>
                <w:szCs w:val="18"/>
                <w:lang w:bidi="ar"/>
              </w:rPr>
              <w:t>处理满意率≥90%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协同配合</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与学校相关部门沟通顺畅，配合完成专项任务达标率100%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合理投诉</w:t>
            </w:r>
            <w:r>
              <w:rPr>
                <w:rFonts w:ascii="宋体" w:hAnsi="宋体"/>
                <w:color w:val="000000"/>
                <w:kern w:val="0"/>
                <w:sz w:val="18"/>
                <w:szCs w:val="18"/>
                <w:lang w:bidi="ar"/>
              </w:rPr>
              <w:t>1次扣1分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482" w:type="pct"/>
            <w:vMerge w:val="continue"/>
            <w:vAlign w:val="center"/>
          </w:tcPr>
          <w:p>
            <w:pPr>
              <w:widowControl/>
              <w:adjustRightInd w:val="0"/>
              <w:snapToGrid w:val="0"/>
              <w:spacing w:line="240" w:lineRule="atLeast"/>
              <w:jc w:val="center"/>
              <w:rPr>
                <w:rFonts w:ascii="宋体" w:hAnsi="宋体"/>
                <w:color w:val="000000"/>
                <w:sz w:val="18"/>
                <w:szCs w:val="18"/>
              </w:rPr>
            </w:pPr>
          </w:p>
        </w:tc>
        <w:tc>
          <w:tcPr>
            <w:tcW w:w="614" w:type="pct"/>
            <w:noWrap/>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档案管理</w:t>
            </w:r>
          </w:p>
        </w:tc>
        <w:tc>
          <w:tcPr>
            <w:tcW w:w="1603" w:type="pct"/>
            <w:vAlign w:val="center"/>
          </w:tcPr>
          <w:p>
            <w:pPr>
              <w:widowControl/>
              <w:adjustRightInd w:val="0"/>
              <w:snapToGrid w:val="0"/>
              <w:spacing w:line="240" w:lineRule="atLeast"/>
              <w:jc w:val="left"/>
              <w:textAlignment w:val="center"/>
              <w:rPr>
                <w:rFonts w:ascii="宋体" w:hAnsi="宋体"/>
                <w:color w:val="000000"/>
                <w:sz w:val="18"/>
                <w:szCs w:val="18"/>
              </w:rPr>
            </w:pPr>
            <w:r>
              <w:rPr>
                <w:rFonts w:ascii="宋体" w:hAnsi="宋体"/>
                <w:color w:val="000000"/>
                <w:kern w:val="0"/>
                <w:sz w:val="18"/>
                <w:szCs w:val="18"/>
                <w:lang w:bidi="ar"/>
              </w:rPr>
              <w:t>采购记录、验收凭证、培训档案、安全记录等齐全，存档率100%</w:t>
            </w:r>
          </w:p>
        </w:tc>
        <w:tc>
          <w:tcPr>
            <w:tcW w:w="1137"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r>
              <w:rPr>
                <w:rFonts w:hint="eastAsia" w:ascii="宋体" w:hAnsi="宋体"/>
                <w:color w:val="000000"/>
                <w:kern w:val="0"/>
                <w:sz w:val="18"/>
                <w:szCs w:val="18"/>
                <w:lang w:bidi="ar"/>
              </w:rPr>
              <w:t>未达标</w:t>
            </w:r>
            <w:r>
              <w:rPr>
                <w:rFonts w:ascii="宋体" w:hAnsi="宋体"/>
                <w:color w:val="000000"/>
                <w:kern w:val="0"/>
                <w:sz w:val="18"/>
                <w:szCs w:val="18"/>
                <w:lang w:bidi="ar"/>
              </w:rPr>
              <w:t>1次扣3分</w:t>
            </w:r>
          </w:p>
        </w:tc>
        <w:tc>
          <w:tcPr>
            <w:tcW w:w="416"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c>
          <w:tcPr>
            <w:tcW w:w="362" w:type="pct"/>
            <w:vAlign w:val="center"/>
          </w:tcPr>
          <w:p>
            <w:pPr>
              <w:widowControl/>
              <w:adjustRightInd w:val="0"/>
              <w:snapToGrid w:val="0"/>
              <w:spacing w:line="240" w:lineRule="atLeast"/>
              <w:jc w:val="left"/>
              <w:textAlignment w:val="center"/>
              <w:rPr>
                <w:rFonts w:ascii="宋体" w:hAnsi="宋体"/>
                <w:color w:val="000000"/>
                <w:kern w:val="0"/>
                <w:sz w:val="18"/>
                <w:szCs w:val="18"/>
                <w:lang w:bidi="ar"/>
              </w:rPr>
            </w:pPr>
          </w:p>
        </w:tc>
      </w:tr>
    </w:tbl>
    <w:p>
      <w:pPr>
        <w:spacing w:line="360" w:lineRule="auto"/>
        <w:rPr>
          <w:rFonts w:ascii="宋体" w:hAnsi="宋体"/>
          <w:b/>
          <w:bCs/>
          <w:szCs w:val="21"/>
        </w:rPr>
      </w:pPr>
      <w:r>
        <w:rPr>
          <w:rFonts w:hint="eastAsia" w:ascii="宋体" w:hAnsi="宋体"/>
          <w:b/>
          <w:bCs/>
          <w:szCs w:val="21"/>
        </w:rPr>
        <w:t>考核办法及说明</w:t>
      </w:r>
    </w:p>
    <w:p>
      <w:pPr>
        <w:pStyle w:val="18"/>
        <w:numPr>
          <w:ilvl w:val="0"/>
          <w:numId w:val="5"/>
        </w:numPr>
        <w:ind w:firstLineChars="0"/>
        <w:rPr>
          <w:rFonts w:ascii="宋体"/>
          <w:kern w:val="0"/>
        </w:rPr>
      </w:pPr>
      <w:r>
        <w:rPr>
          <w:rFonts w:hint="eastAsia" w:ascii="宋体"/>
          <w:kern w:val="0"/>
        </w:rPr>
        <w:t>本考核表为后勤部考核餐饮管理服务月度整体工作和费用支付的重要依据，每月考核一次；</w:t>
      </w:r>
    </w:p>
    <w:p>
      <w:pPr>
        <w:pStyle w:val="18"/>
        <w:numPr>
          <w:ilvl w:val="0"/>
          <w:numId w:val="5"/>
        </w:numPr>
        <w:spacing w:line="360" w:lineRule="auto"/>
        <w:ind w:firstLineChars="0"/>
        <w:rPr>
          <w:rFonts w:ascii="宋体" w:hAnsi="宋体"/>
          <w:kern w:val="0"/>
          <w:szCs w:val="21"/>
        </w:rPr>
      </w:pPr>
      <w:r>
        <w:rPr>
          <w:rFonts w:hint="eastAsia" w:ascii="宋体" w:hAnsi="宋体"/>
          <w:kern w:val="0"/>
          <w:szCs w:val="21"/>
        </w:rPr>
        <w:t>餐饮监管人员按月予以评定打分，满分为</w:t>
      </w:r>
      <w:r>
        <w:rPr>
          <w:rFonts w:ascii="宋体" w:hAnsi="宋体"/>
          <w:kern w:val="0"/>
          <w:szCs w:val="21"/>
        </w:rPr>
        <w:t>100分，扣除当月累计扣分后，最后得分折算成5分制，再</w:t>
      </w:r>
      <w:r>
        <w:rPr>
          <w:rFonts w:hint="eastAsia" w:ascii="宋体" w:hAnsi="宋体"/>
          <w:kern w:val="0"/>
          <w:szCs w:val="21"/>
        </w:rPr>
        <w:t>应用至“</w:t>
      </w:r>
      <w:r>
        <w:rPr>
          <w:rFonts w:hint="eastAsia" w:ascii="宋体" w:hAnsi="宋体" w:cs="宋体"/>
          <w:b/>
          <w:bCs/>
          <w:kern w:val="0"/>
          <w:szCs w:val="21"/>
        </w:rPr>
        <w:t>餐饮服务综合考核表</w:t>
      </w:r>
      <w:r>
        <w:rPr>
          <w:rFonts w:hint="eastAsia" w:ascii="宋体" w:hAnsi="宋体"/>
          <w:kern w:val="0"/>
          <w:szCs w:val="21"/>
        </w:rPr>
        <w:t>”；</w:t>
      </w:r>
    </w:p>
    <w:p>
      <w:pPr>
        <w:pStyle w:val="18"/>
        <w:numPr>
          <w:ilvl w:val="0"/>
          <w:numId w:val="5"/>
        </w:numPr>
        <w:spacing w:line="360" w:lineRule="auto"/>
        <w:ind w:firstLineChars="0"/>
        <w:rPr>
          <w:rFonts w:ascii="宋体" w:hAnsi="宋体"/>
          <w:kern w:val="0"/>
          <w:szCs w:val="21"/>
        </w:rPr>
      </w:pPr>
      <w:r>
        <w:rPr>
          <w:rFonts w:hint="eastAsia" w:ascii="宋体" w:hAnsi="宋体"/>
          <w:kern w:val="0"/>
          <w:szCs w:val="21"/>
        </w:rPr>
        <w:t>年度考核将在合同期最后一个月进行，由学员、教职员工、监管部门予以打分。其中学员打分占</w:t>
      </w:r>
      <w:r>
        <w:rPr>
          <w:rFonts w:ascii="宋体" w:hAnsi="宋体"/>
          <w:kern w:val="0"/>
          <w:szCs w:val="21"/>
        </w:rPr>
        <w:t>60%，教职员工打分占10%，监管部门打分占30%。得分满分为5分，4分以上为合格，低于4分为不合格。考核合格将续签下一年度合同，考核不合格则终止合同；</w:t>
      </w:r>
    </w:p>
    <w:p>
      <w:pPr>
        <w:pStyle w:val="18"/>
        <w:numPr>
          <w:ilvl w:val="0"/>
          <w:numId w:val="5"/>
        </w:numPr>
        <w:spacing w:line="360" w:lineRule="auto"/>
        <w:ind w:firstLineChars="0"/>
        <w:rPr>
          <w:rFonts w:ascii="宋体" w:hAnsi="宋体"/>
          <w:kern w:val="0"/>
          <w:szCs w:val="21"/>
        </w:rPr>
      </w:pPr>
      <w:r>
        <w:rPr>
          <w:rFonts w:hint="eastAsia" w:ascii="宋体" w:hAnsi="宋体"/>
          <w:kern w:val="0"/>
          <w:szCs w:val="21"/>
        </w:rPr>
        <w:t>本考核表考核内容与考核标准暂为参考，后续视情况适当调整，本考核办法由学院后勤部负责解释。</w:t>
      </w:r>
    </w:p>
    <w:p>
      <w:pPr>
        <w:spacing w:line="360" w:lineRule="auto"/>
        <w:rPr>
          <w:rFonts w:ascii="宋体" w:hAnsi="宋体"/>
          <w:kern w:val="0"/>
          <w:szCs w:val="21"/>
        </w:rPr>
      </w:pPr>
    </w:p>
    <w:p>
      <w:pPr>
        <w:spacing w:line="360" w:lineRule="auto"/>
        <w:jc w:val="left"/>
        <w:rPr>
          <w:rFonts w:ascii="宋体"/>
          <w:b/>
          <w:szCs w:val="21"/>
        </w:rPr>
      </w:pPr>
      <w:r>
        <w:rPr>
          <w:rFonts w:hint="eastAsia" w:ascii="宋体"/>
          <w:b/>
          <w:szCs w:val="21"/>
        </w:rPr>
        <w:t>十二、风险承担与责任认定</w:t>
      </w:r>
    </w:p>
    <w:p>
      <w:pPr>
        <w:pStyle w:val="18"/>
        <w:numPr>
          <w:ilvl w:val="0"/>
          <w:numId w:val="6"/>
        </w:numPr>
        <w:spacing w:line="360" w:lineRule="auto"/>
        <w:ind w:firstLineChars="0"/>
        <w:jc w:val="left"/>
        <w:rPr>
          <w:rFonts w:ascii="宋体" w:hAnsi="宋体" w:cs="Arial"/>
          <w:kern w:val="0"/>
          <w:szCs w:val="21"/>
        </w:rPr>
      </w:pPr>
      <w:r>
        <w:rPr>
          <w:rFonts w:hint="eastAsia" w:ascii="宋体" w:hAnsi="宋体" w:cs="Arial"/>
          <w:kern w:val="0"/>
          <w:szCs w:val="21"/>
        </w:rPr>
        <w:t>中标人的服务人员的工伤风险及相关费用，由中标人自行承担；</w:t>
      </w:r>
    </w:p>
    <w:p>
      <w:pPr>
        <w:pStyle w:val="18"/>
        <w:numPr>
          <w:ilvl w:val="0"/>
          <w:numId w:val="6"/>
        </w:numPr>
        <w:spacing w:line="360" w:lineRule="auto"/>
        <w:ind w:firstLineChars="0"/>
        <w:jc w:val="left"/>
        <w:rPr>
          <w:rFonts w:ascii="宋体" w:hAnsi="宋体" w:cs="Arial"/>
          <w:kern w:val="0"/>
          <w:szCs w:val="21"/>
        </w:rPr>
      </w:pPr>
      <w:r>
        <w:rPr>
          <w:rFonts w:hint="eastAsia" w:ascii="宋体" w:hAnsi="宋体" w:cs="Arial"/>
          <w:kern w:val="0"/>
          <w:szCs w:val="21"/>
        </w:rPr>
        <w:t>因意外事故或作业安全问题引发的人身伤亡和财产损失，中标人依法承担赔偿责任；</w:t>
      </w:r>
    </w:p>
    <w:p>
      <w:pPr>
        <w:pStyle w:val="18"/>
        <w:numPr>
          <w:ilvl w:val="0"/>
          <w:numId w:val="6"/>
        </w:numPr>
        <w:spacing w:line="360" w:lineRule="auto"/>
        <w:ind w:firstLineChars="0"/>
        <w:jc w:val="left"/>
        <w:rPr>
          <w:rFonts w:ascii="宋体" w:hAnsi="宋体" w:cs="Arial"/>
          <w:kern w:val="0"/>
          <w:szCs w:val="21"/>
        </w:rPr>
      </w:pPr>
      <w:r>
        <w:rPr>
          <w:rFonts w:hint="eastAsia" w:ascii="宋体" w:hAnsi="宋体" w:cs="Arial"/>
          <w:kern w:val="0"/>
          <w:szCs w:val="21"/>
        </w:rPr>
        <w:t>治安事件的责任认定，以公安部门裁定为准；非治安事件的责任认定，由双方协商，协商不成的，以诉讼方式认定。</w:t>
      </w:r>
    </w:p>
    <w:p>
      <w:pPr>
        <w:spacing w:line="360" w:lineRule="auto"/>
        <w:rPr>
          <w:rFonts w:ascii="宋体" w:hAnsi="宋体"/>
          <w:kern w:val="0"/>
          <w:szCs w:val="21"/>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9716"/>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A09F7"/>
    <w:multiLevelType w:val="singleLevel"/>
    <w:tmpl w:val="FF6A09F7"/>
    <w:lvl w:ilvl="0" w:tentative="0">
      <w:start w:val="2"/>
      <w:numFmt w:val="chineseCounting"/>
      <w:suff w:val="nothing"/>
      <w:lvlText w:val="（%1）"/>
      <w:lvlJc w:val="left"/>
      <w:pPr>
        <w:ind w:left="420"/>
      </w:pPr>
      <w:rPr>
        <w:rFonts w:hint="eastAsia"/>
      </w:rPr>
    </w:lvl>
  </w:abstractNum>
  <w:abstractNum w:abstractNumId="1">
    <w:nsid w:val="0DC43FCA"/>
    <w:multiLevelType w:val="multilevel"/>
    <w:tmpl w:val="0DC43FCA"/>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473796C"/>
    <w:multiLevelType w:val="multilevel"/>
    <w:tmpl w:val="2473796C"/>
    <w:lvl w:ilvl="0" w:tentative="0">
      <w:start w:val="1"/>
      <w:numFmt w:val="decimal"/>
      <w:lvlText w:val="%1."/>
      <w:lvlJc w:val="left"/>
      <w:pPr>
        <w:ind w:left="782" w:hanging="360"/>
      </w:pPr>
      <w:rPr>
        <w:rFonts w:hint="default"/>
      </w:rPr>
    </w:lvl>
    <w:lvl w:ilvl="1" w:tentative="0">
      <w:start w:val="1"/>
      <w:numFmt w:val="lowerLetter"/>
      <w:lvlText w:val="%2)"/>
      <w:lvlJc w:val="left"/>
      <w:pPr>
        <w:ind w:left="1302" w:hanging="440"/>
      </w:pPr>
    </w:lvl>
    <w:lvl w:ilvl="2" w:tentative="0">
      <w:start w:val="1"/>
      <w:numFmt w:val="lowerRoman"/>
      <w:lvlText w:val="%3."/>
      <w:lvlJc w:val="right"/>
      <w:pPr>
        <w:ind w:left="1742" w:hanging="440"/>
      </w:pPr>
    </w:lvl>
    <w:lvl w:ilvl="3" w:tentative="0">
      <w:start w:val="1"/>
      <w:numFmt w:val="decimal"/>
      <w:lvlText w:val="%4."/>
      <w:lvlJc w:val="left"/>
      <w:pPr>
        <w:ind w:left="2182" w:hanging="440"/>
      </w:pPr>
    </w:lvl>
    <w:lvl w:ilvl="4" w:tentative="0">
      <w:start w:val="1"/>
      <w:numFmt w:val="lowerLetter"/>
      <w:lvlText w:val="%5)"/>
      <w:lvlJc w:val="left"/>
      <w:pPr>
        <w:ind w:left="2622" w:hanging="440"/>
      </w:pPr>
    </w:lvl>
    <w:lvl w:ilvl="5" w:tentative="0">
      <w:start w:val="1"/>
      <w:numFmt w:val="lowerRoman"/>
      <w:lvlText w:val="%6."/>
      <w:lvlJc w:val="right"/>
      <w:pPr>
        <w:ind w:left="3062" w:hanging="440"/>
      </w:pPr>
    </w:lvl>
    <w:lvl w:ilvl="6" w:tentative="0">
      <w:start w:val="1"/>
      <w:numFmt w:val="decimal"/>
      <w:lvlText w:val="%7."/>
      <w:lvlJc w:val="left"/>
      <w:pPr>
        <w:ind w:left="3502" w:hanging="440"/>
      </w:pPr>
    </w:lvl>
    <w:lvl w:ilvl="7" w:tentative="0">
      <w:start w:val="1"/>
      <w:numFmt w:val="lowerLetter"/>
      <w:lvlText w:val="%8)"/>
      <w:lvlJc w:val="left"/>
      <w:pPr>
        <w:ind w:left="3942" w:hanging="440"/>
      </w:pPr>
    </w:lvl>
    <w:lvl w:ilvl="8" w:tentative="0">
      <w:start w:val="1"/>
      <w:numFmt w:val="lowerRoman"/>
      <w:lvlText w:val="%9."/>
      <w:lvlJc w:val="right"/>
      <w:pPr>
        <w:ind w:left="4382" w:hanging="440"/>
      </w:pPr>
    </w:lvl>
  </w:abstractNum>
  <w:abstractNum w:abstractNumId="3">
    <w:nsid w:val="2F2F1368"/>
    <w:multiLevelType w:val="singleLevel"/>
    <w:tmpl w:val="2F2F1368"/>
    <w:lvl w:ilvl="0" w:tentative="0">
      <w:start w:val="1"/>
      <w:numFmt w:val="decimal"/>
      <w:lvlText w:val="%1."/>
      <w:lvlJc w:val="left"/>
      <w:pPr>
        <w:ind w:left="425" w:hanging="425"/>
      </w:pPr>
      <w:rPr>
        <w:rFonts w:hint="default"/>
      </w:rPr>
    </w:lvl>
  </w:abstractNum>
  <w:abstractNum w:abstractNumId="4">
    <w:nsid w:val="723E7D9A"/>
    <w:multiLevelType w:val="multilevel"/>
    <w:tmpl w:val="723E7D9A"/>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76F77D69"/>
    <w:multiLevelType w:val="singleLevel"/>
    <w:tmpl w:val="76F77D69"/>
    <w:lvl w:ilvl="0" w:tentative="0">
      <w:start w:val="1"/>
      <w:numFmt w:val="decimal"/>
      <w:suff w:val="nothing"/>
      <w:lvlText w:val="（%1）"/>
      <w:lvlJc w:val="left"/>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B4"/>
    <w:rsid w:val="0000064A"/>
    <w:rsid w:val="00000B65"/>
    <w:rsid w:val="000041A3"/>
    <w:rsid w:val="00004454"/>
    <w:rsid w:val="00004911"/>
    <w:rsid w:val="00005ECD"/>
    <w:rsid w:val="00006B6D"/>
    <w:rsid w:val="000106B9"/>
    <w:rsid w:val="00012C6F"/>
    <w:rsid w:val="00012FC2"/>
    <w:rsid w:val="00014EC0"/>
    <w:rsid w:val="000156B8"/>
    <w:rsid w:val="00016FD9"/>
    <w:rsid w:val="000171C8"/>
    <w:rsid w:val="00017C97"/>
    <w:rsid w:val="00022F54"/>
    <w:rsid w:val="00023AB0"/>
    <w:rsid w:val="00024C6D"/>
    <w:rsid w:val="00025F3E"/>
    <w:rsid w:val="00026AE0"/>
    <w:rsid w:val="00027ABD"/>
    <w:rsid w:val="00030914"/>
    <w:rsid w:val="00030B75"/>
    <w:rsid w:val="00031034"/>
    <w:rsid w:val="00033C74"/>
    <w:rsid w:val="00034680"/>
    <w:rsid w:val="00034779"/>
    <w:rsid w:val="00042D4B"/>
    <w:rsid w:val="00043FF7"/>
    <w:rsid w:val="0004456C"/>
    <w:rsid w:val="00050AAB"/>
    <w:rsid w:val="00052ACD"/>
    <w:rsid w:val="0005578E"/>
    <w:rsid w:val="000610D2"/>
    <w:rsid w:val="000618E4"/>
    <w:rsid w:val="00063F73"/>
    <w:rsid w:val="000646F2"/>
    <w:rsid w:val="000668DD"/>
    <w:rsid w:val="00066AFD"/>
    <w:rsid w:val="00067DD0"/>
    <w:rsid w:val="000700C8"/>
    <w:rsid w:val="000714E1"/>
    <w:rsid w:val="00072393"/>
    <w:rsid w:val="00072A54"/>
    <w:rsid w:val="00074066"/>
    <w:rsid w:val="00074E59"/>
    <w:rsid w:val="000762C4"/>
    <w:rsid w:val="00077FD0"/>
    <w:rsid w:val="00082E5F"/>
    <w:rsid w:val="00082F58"/>
    <w:rsid w:val="00085D21"/>
    <w:rsid w:val="000867FD"/>
    <w:rsid w:val="00086F91"/>
    <w:rsid w:val="000870AF"/>
    <w:rsid w:val="00090DAC"/>
    <w:rsid w:val="000912E2"/>
    <w:rsid w:val="000925B3"/>
    <w:rsid w:val="00092D8E"/>
    <w:rsid w:val="00093B1E"/>
    <w:rsid w:val="000943E9"/>
    <w:rsid w:val="00094628"/>
    <w:rsid w:val="0009627D"/>
    <w:rsid w:val="000975F8"/>
    <w:rsid w:val="00097E2B"/>
    <w:rsid w:val="000A02A0"/>
    <w:rsid w:val="000A0CD9"/>
    <w:rsid w:val="000A4429"/>
    <w:rsid w:val="000B1301"/>
    <w:rsid w:val="000B3002"/>
    <w:rsid w:val="000B3E32"/>
    <w:rsid w:val="000B3EB2"/>
    <w:rsid w:val="000B4930"/>
    <w:rsid w:val="000B716E"/>
    <w:rsid w:val="000C242C"/>
    <w:rsid w:val="000C27C7"/>
    <w:rsid w:val="000C4997"/>
    <w:rsid w:val="000C50B7"/>
    <w:rsid w:val="000C6028"/>
    <w:rsid w:val="000C6DC0"/>
    <w:rsid w:val="000C7475"/>
    <w:rsid w:val="000D021F"/>
    <w:rsid w:val="000D0BAC"/>
    <w:rsid w:val="000D10E5"/>
    <w:rsid w:val="000D2DD4"/>
    <w:rsid w:val="000D6407"/>
    <w:rsid w:val="000D6C85"/>
    <w:rsid w:val="000D6EDE"/>
    <w:rsid w:val="000E0594"/>
    <w:rsid w:val="000E0909"/>
    <w:rsid w:val="000E16A9"/>
    <w:rsid w:val="000E2410"/>
    <w:rsid w:val="000E31E8"/>
    <w:rsid w:val="000E32CB"/>
    <w:rsid w:val="000E43B1"/>
    <w:rsid w:val="000E4D20"/>
    <w:rsid w:val="000E50DB"/>
    <w:rsid w:val="000E5324"/>
    <w:rsid w:val="000F222B"/>
    <w:rsid w:val="000F3DDA"/>
    <w:rsid w:val="000F5FBD"/>
    <w:rsid w:val="00105822"/>
    <w:rsid w:val="00110B3D"/>
    <w:rsid w:val="001112D9"/>
    <w:rsid w:val="001114B2"/>
    <w:rsid w:val="00112716"/>
    <w:rsid w:val="00112CAB"/>
    <w:rsid w:val="0011393D"/>
    <w:rsid w:val="00115A94"/>
    <w:rsid w:val="00115ECC"/>
    <w:rsid w:val="00122CB5"/>
    <w:rsid w:val="00126FAF"/>
    <w:rsid w:val="0012701A"/>
    <w:rsid w:val="00127F43"/>
    <w:rsid w:val="001323EE"/>
    <w:rsid w:val="00133CD4"/>
    <w:rsid w:val="001347CD"/>
    <w:rsid w:val="00135658"/>
    <w:rsid w:val="00136F22"/>
    <w:rsid w:val="0014057A"/>
    <w:rsid w:val="00144D89"/>
    <w:rsid w:val="001468D1"/>
    <w:rsid w:val="0014721B"/>
    <w:rsid w:val="00150254"/>
    <w:rsid w:val="00150B1F"/>
    <w:rsid w:val="001533CF"/>
    <w:rsid w:val="00153706"/>
    <w:rsid w:val="00153957"/>
    <w:rsid w:val="001539CC"/>
    <w:rsid w:val="00156028"/>
    <w:rsid w:val="00156725"/>
    <w:rsid w:val="001673E2"/>
    <w:rsid w:val="00170DAA"/>
    <w:rsid w:val="00170EDF"/>
    <w:rsid w:val="001710BD"/>
    <w:rsid w:val="00171DF4"/>
    <w:rsid w:val="0017219A"/>
    <w:rsid w:val="00175344"/>
    <w:rsid w:val="0017638B"/>
    <w:rsid w:val="00176BA7"/>
    <w:rsid w:val="0018073D"/>
    <w:rsid w:val="001811DC"/>
    <w:rsid w:val="00186B68"/>
    <w:rsid w:val="00192C6E"/>
    <w:rsid w:val="00195864"/>
    <w:rsid w:val="001961E1"/>
    <w:rsid w:val="0019648A"/>
    <w:rsid w:val="00196AE5"/>
    <w:rsid w:val="001A2198"/>
    <w:rsid w:val="001A43D8"/>
    <w:rsid w:val="001B0FBA"/>
    <w:rsid w:val="001B1421"/>
    <w:rsid w:val="001B2785"/>
    <w:rsid w:val="001B2DAF"/>
    <w:rsid w:val="001B51D6"/>
    <w:rsid w:val="001B5238"/>
    <w:rsid w:val="001B6699"/>
    <w:rsid w:val="001C005E"/>
    <w:rsid w:val="001C1B2B"/>
    <w:rsid w:val="001C3EC7"/>
    <w:rsid w:val="001C5138"/>
    <w:rsid w:val="001C6CD6"/>
    <w:rsid w:val="001C798D"/>
    <w:rsid w:val="001D0CC2"/>
    <w:rsid w:val="001D0F27"/>
    <w:rsid w:val="001D2C8A"/>
    <w:rsid w:val="001D3436"/>
    <w:rsid w:val="001D47D2"/>
    <w:rsid w:val="001D4A27"/>
    <w:rsid w:val="001E031E"/>
    <w:rsid w:val="001E069F"/>
    <w:rsid w:val="001E1801"/>
    <w:rsid w:val="001E1E78"/>
    <w:rsid w:val="001E3C25"/>
    <w:rsid w:val="001E45EB"/>
    <w:rsid w:val="001E65FB"/>
    <w:rsid w:val="001E7604"/>
    <w:rsid w:val="001E7955"/>
    <w:rsid w:val="001F0287"/>
    <w:rsid w:val="001F0C4F"/>
    <w:rsid w:val="001F1BC0"/>
    <w:rsid w:val="001F2598"/>
    <w:rsid w:val="0020152F"/>
    <w:rsid w:val="00201560"/>
    <w:rsid w:val="00201661"/>
    <w:rsid w:val="0020424A"/>
    <w:rsid w:val="00205C04"/>
    <w:rsid w:val="00206607"/>
    <w:rsid w:val="00210446"/>
    <w:rsid w:val="00210BA5"/>
    <w:rsid w:val="0021232F"/>
    <w:rsid w:val="0021282F"/>
    <w:rsid w:val="00215190"/>
    <w:rsid w:val="002163BF"/>
    <w:rsid w:val="00216BF1"/>
    <w:rsid w:val="00217CD6"/>
    <w:rsid w:val="00220386"/>
    <w:rsid w:val="002208A5"/>
    <w:rsid w:val="00221AE1"/>
    <w:rsid w:val="00221EFC"/>
    <w:rsid w:val="002222DF"/>
    <w:rsid w:val="002224D3"/>
    <w:rsid w:val="00222C4C"/>
    <w:rsid w:val="0022304E"/>
    <w:rsid w:val="002255A7"/>
    <w:rsid w:val="0022787A"/>
    <w:rsid w:val="00227D0B"/>
    <w:rsid w:val="00231168"/>
    <w:rsid w:val="0023397A"/>
    <w:rsid w:val="002346E9"/>
    <w:rsid w:val="00235D47"/>
    <w:rsid w:val="00240269"/>
    <w:rsid w:val="00240B4E"/>
    <w:rsid w:val="00241682"/>
    <w:rsid w:val="00241AB7"/>
    <w:rsid w:val="00243E7C"/>
    <w:rsid w:val="00245D44"/>
    <w:rsid w:val="00246E57"/>
    <w:rsid w:val="002513CD"/>
    <w:rsid w:val="002520E8"/>
    <w:rsid w:val="00252909"/>
    <w:rsid w:val="0025435B"/>
    <w:rsid w:val="0025622D"/>
    <w:rsid w:val="00256D40"/>
    <w:rsid w:val="00264005"/>
    <w:rsid w:val="00264396"/>
    <w:rsid w:val="0026449D"/>
    <w:rsid w:val="0027178E"/>
    <w:rsid w:val="00273AB9"/>
    <w:rsid w:val="00275531"/>
    <w:rsid w:val="002811CF"/>
    <w:rsid w:val="00283A3F"/>
    <w:rsid w:val="002846DE"/>
    <w:rsid w:val="00287173"/>
    <w:rsid w:val="00287B1A"/>
    <w:rsid w:val="00294499"/>
    <w:rsid w:val="00294BBF"/>
    <w:rsid w:val="00295719"/>
    <w:rsid w:val="00297A83"/>
    <w:rsid w:val="00297CF8"/>
    <w:rsid w:val="00297EC2"/>
    <w:rsid w:val="002A16E4"/>
    <w:rsid w:val="002A42D3"/>
    <w:rsid w:val="002A43D3"/>
    <w:rsid w:val="002A74D1"/>
    <w:rsid w:val="002B0C15"/>
    <w:rsid w:val="002B25E5"/>
    <w:rsid w:val="002B3092"/>
    <w:rsid w:val="002B46F7"/>
    <w:rsid w:val="002B5E8C"/>
    <w:rsid w:val="002C0717"/>
    <w:rsid w:val="002C0724"/>
    <w:rsid w:val="002C198A"/>
    <w:rsid w:val="002C1CEF"/>
    <w:rsid w:val="002C56CF"/>
    <w:rsid w:val="002C6AD5"/>
    <w:rsid w:val="002C74AC"/>
    <w:rsid w:val="002D3657"/>
    <w:rsid w:val="002D455F"/>
    <w:rsid w:val="002D4610"/>
    <w:rsid w:val="002D573A"/>
    <w:rsid w:val="002D5A20"/>
    <w:rsid w:val="002E446C"/>
    <w:rsid w:val="002E4CA2"/>
    <w:rsid w:val="002E6CF1"/>
    <w:rsid w:val="002E72EC"/>
    <w:rsid w:val="002E7B87"/>
    <w:rsid w:val="002F076B"/>
    <w:rsid w:val="002F2A14"/>
    <w:rsid w:val="002F3FDE"/>
    <w:rsid w:val="002F44CE"/>
    <w:rsid w:val="002F4A9C"/>
    <w:rsid w:val="002F53FB"/>
    <w:rsid w:val="002F6646"/>
    <w:rsid w:val="00302EF8"/>
    <w:rsid w:val="003035B5"/>
    <w:rsid w:val="00304300"/>
    <w:rsid w:val="00306333"/>
    <w:rsid w:val="00306561"/>
    <w:rsid w:val="00306B6F"/>
    <w:rsid w:val="003103A3"/>
    <w:rsid w:val="0031164A"/>
    <w:rsid w:val="003118E6"/>
    <w:rsid w:val="00311CF9"/>
    <w:rsid w:val="00312D4B"/>
    <w:rsid w:val="003143D4"/>
    <w:rsid w:val="00314450"/>
    <w:rsid w:val="00314E4C"/>
    <w:rsid w:val="003151E7"/>
    <w:rsid w:val="00315E4C"/>
    <w:rsid w:val="00315E74"/>
    <w:rsid w:val="00316B98"/>
    <w:rsid w:val="00317ACF"/>
    <w:rsid w:val="00321563"/>
    <w:rsid w:val="00322472"/>
    <w:rsid w:val="00323C08"/>
    <w:rsid w:val="0032586E"/>
    <w:rsid w:val="0032783A"/>
    <w:rsid w:val="003303EE"/>
    <w:rsid w:val="00331807"/>
    <w:rsid w:val="0033182E"/>
    <w:rsid w:val="00332B09"/>
    <w:rsid w:val="00335401"/>
    <w:rsid w:val="003355FA"/>
    <w:rsid w:val="00335A00"/>
    <w:rsid w:val="00335A44"/>
    <w:rsid w:val="0033639A"/>
    <w:rsid w:val="003369BE"/>
    <w:rsid w:val="003375B4"/>
    <w:rsid w:val="00343B22"/>
    <w:rsid w:val="003445F0"/>
    <w:rsid w:val="00345546"/>
    <w:rsid w:val="003461A2"/>
    <w:rsid w:val="003506F3"/>
    <w:rsid w:val="003513EE"/>
    <w:rsid w:val="003552E2"/>
    <w:rsid w:val="003566E1"/>
    <w:rsid w:val="0036413D"/>
    <w:rsid w:val="003646C1"/>
    <w:rsid w:val="00366E5C"/>
    <w:rsid w:val="0036773A"/>
    <w:rsid w:val="003722C8"/>
    <w:rsid w:val="00374410"/>
    <w:rsid w:val="00374854"/>
    <w:rsid w:val="00375E03"/>
    <w:rsid w:val="003765E6"/>
    <w:rsid w:val="00377DC3"/>
    <w:rsid w:val="0038071C"/>
    <w:rsid w:val="00381B20"/>
    <w:rsid w:val="00384549"/>
    <w:rsid w:val="00386810"/>
    <w:rsid w:val="003916B4"/>
    <w:rsid w:val="00391EB3"/>
    <w:rsid w:val="00393C14"/>
    <w:rsid w:val="003A2E07"/>
    <w:rsid w:val="003A5DB0"/>
    <w:rsid w:val="003B4A47"/>
    <w:rsid w:val="003B5BF6"/>
    <w:rsid w:val="003B701A"/>
    <w:rsid w:val="003B7C22"/>
    <w:rsid w:val="003C0C40"/>
    <w:rsid w:val="003C0DC4"/>
    <w:rsid w:val="003C1A13"/>
    <w:rsid w:val="003C30AD"/>
    <w:rsid w:val="003C415F"/>
    <w:rsid w:val="003C4736"/>
    <w:rsid w:val="003C521C"/>
    <w:rsid w:val="003C59B3"/>
    <w:rsid w:val="003C6467"/>
    <w:rsid w:val="003C661B"/>
    <w:rsid w:val="003D1517"/>
    <w:rsid w:val="003D2895"/>
    <w:rsid w:val="003D30BA"/>
    <w:rsid w:val="003D5C5D"/>
    <w:rsid w:val="003D7207"/>
    <w:rsid w:val="003E4AA2"/>
    <w:rsid w:val="003E4B00"/>
    <w:rsid w:val="003E5470"/>
    <w:rsid w:val="003E6CEC"/>
    <w:rsid w:val="003E6F82"/>
    <w:rsid w:val="003E704E"/>
    <w:rsid w:val="003F0889"/>
    <w:rsid w:val="003F0F5B"/>
    <w:rsid w:val="003F2AE7"/>
    <w:rsid w:val="003F3268"/>
    <w:rsid w:val="003F64D4"/>
    <w:rsid w:val="004006A8"/>
    <w:rsid w:val="00400FDD"/>
    <w:rsid w:val="004031AF"/>
    <w:rsid w:val="0040602B"/>
    <w:rsid w:val="004062BB"/>
    <w:rsid w:val="00406514"/>
    <w:rsid w:val="00406BE1"/>
    <w:rsid w:val="00410592"/>
    <w:rsid w:val="004105BE"/>
    <w:rsid w:val="00410640"/>
    <w:rsid w:val="00413780"/>
    <w:rsid w:val="004141B2"/>
    <w:rsid w:val="00415420"/>
    <w:rsid w:val="00415AA6"/>
    <w:rsid w:val="00415F2E"/>
    <w:rsid w:val="00417C2B"/>
    <w:rsid w:val="00432B01"/>
    <w:rsid w:val="004338E0"/>
    <w:rsid w:val="00435633"/>
    <w:rsid w:val="004441C8"/>
    <w:rsid w:val="00444C56"/>
    <w:rsid w:val="00446703"/>
    <w:rsid w:val="00446AE6"/>
    <w:rsid w:val="00451A9D"/>
    <w:rsid w:val="004523FE"/>
    <w:rsid w:val="00453BA1"/>
    <w:rsid w:val="004547D9"/>
    <w:rsid w:val="00456609"/>
    <w:rsid w:val="00457ACB"/>
    <w:rsid w:val="0046056E"/>
    <w:rsid w:val="00462A1E"/>
    <w:rsid w:val="00465C68"/>
    <w:rsid w:val="004664B5"/>
    <w:rsid w:val="0046664F"/>
    <w:rsid w:val="00467ABA"/>
    <w:rsid w:val="00472668"/>
    <w:rsid w:val="004732E7"/>
    <w:rsid w:val="004736D0"/>
    <w:rsid w:val="00474612"/>
    <w:rsid w:val="00481006"/>
    <w:rsid w:val="0048186B"/>
    <w:rsid w:val="00482444"/>
    <w:rsid w:val="00482D36"/>
    <w:rsid w:val="00483CEF"/>
    <w:rsid w:val="004854AE"/>
    <w:rsid w:val="00485A31"/>
    <w:rsid w:val="00485E75"/>
    <w:rsid w:val="00485F48"/>
    <w:rsid w:val="00487627"/>
    <w:rsid w:val="00487B48"/>
    <w:rsid w:val="0049085B"/>
    <w:rsid w:val="0049113E"/>
    <w:rsid w:val="00491FD2"/>
    <w:rsid w:val="00493BD9"/>
    <w:rsid w:val="00493C3B"/>
    <w:rsid w:val="00494102"/>
    <w:rsid w:val="004A0516"/>
    <w:rsid w:val="004A0B87"/>
    <w:rsid w:val="004A670B"/>
    <w:rsid w:val="004A7AF8"/>
    <w:rsid w:val="004B0CDA"/>
    <w:rsid w:val="004B2052"/>
    <w:rsid w:val="004B29F3"/>
    <w:rsid w:val="004B7382"/>
    <w:rsid w:val="004C0E66"/>
    <w:rsid w:val="004C10A9"/>
    <w:rsid w:val="004C3BCF"/>
    <w:rsid w:val="004C4076"/>
    <w:rsid w:val="004D0849"/>
    <w:rsid w:val="004D25E4"/>
    <w:rsid w:val="004D3C3B"/>
    <w:rsid w:val="004D4435"/>
    <w:rsid w:val="004D4F96"/>
    <w:rsid w:val="004D5003"/>
    <w:rsid w:val="004D6445"/>
    <w:rsid w:val="004E3B78"/>
    <w:rsid w:val="004E44CA"/>
    <w:rsid w:val="004E4DD0"/>
    <w:rsid w:val="004E4E26"/>
    <w:rsid w:val="004E5DBA"/>
    <w:rsid w:val="004E6708"/>
    <w:rsid w:val="004E7AF1"/>
    <w:rsid w:val="004F1FD6"/>
    <w:rsid w:val="004F2359"/>
    <w:rsid w:val="004F30D5"/>
    <w:rsid w:val="004F67CE"/>
    <w:rsid w:val="00501C7F"/>
    <w:rsid w:val="0050235A"/>
    <w:rsid w:val="00506F89"/>
    <w:rsid w:val="0051059B"/>
    <w:rsid w:val="005117B5"/>
    <w:rsid w:val="0051213C"/>
    <w:rsid w:val="005126DD"/>
    <w:rsid w:val="00516EC8"/>
    <w:rsid w:val="005174E1"/>
    <w:rsid w:val="005219A2"/>
    <w:rsid w:val="00524485"/>
    <w:rsid w:val="00531286"/>
    <w:rsid w:val="00534E6E"/>
    <w:rsid w:val="00537412"/>
    <w:rsid w:val="00537A74"/>
    <w:rsid w:val="00541A7B"/>
    <w:rsid w:val="00541B8E"/>
    <w:rsid w:val="00543028"/>
    <w:rsid w:val="0054739D"/>
    <w:rsid w:val="00550C0D"/>
    <w:rsid w:val="00550DDB"/>
    <w:rsid w:val="0055168C"/>
    <w:rsid w:val="005535E7"/>
    <w:rsid w:val="00553F1C"/>
    <w:rsid w:val="00556BD7"/>
    <w:rsid w:val="00561595"/>
    <w:rsid w:val="00563EA3"/>
    <w:rsid w:val="005641CE"/>
    <w:rsid w:val="00564774"/>
    <w:rsid w:val="0056716F"/>
    <w:rsid w:val="00567811"/>
    <w:rsid w:val="005735D5"/>
    <w:rsid w:val="00574599"/>
    <w:rsid w:val="00574D39"/>
    <w:rsid w:val="00581B50"/>
    <w:rsid w:val="00581ED2"/>
    <w:rsid w:val="00582538"/>
    <w:rsid w:val="005832D5"/>
    <w:rsid w:val="0058347E"/>
    <w:rsid w:val="005837F5"/>
    <w:rsid w:val="00585E26"/>
    <w:rsid w:val="00587440"/>
    <w:rsid w:val="00590063"/>
    <w:rsid w:val="00590F28"/>
    <w:rsid w:val="005929E0"/>
    <w:rsid w:val="00593315"/>
    <w:rsid w:val="0059622D"/>
    <w:rsid w:val="005965B0"/>
    <w:rsid w:val="00596E45"/>
    <w:rsid w:val="005A07F3"/>
    <w:rsid w:val="005A115E"/>
    <w:rsid w:val="005A200E"/>
    <w:rsid w:val="005A23AC"/>
    <w:rsid w:val="005A4BB7"/>
    <w:rsid w:val="005A7229"/>
    <w:rsid w:val="005B0995"/>
    <w:rsid w:val="005B3A50"/>
    <w:rsid w:val="005B4077"/>
    <w:rsid w:val="005B4E95"/>
    <w:rsid w:val="005B6235"/>
    <w:rsid w:val="005B6B4C"/>
    <w:rsid w:val="005B71FE"/>
    <w:rsid w:val="005C6BB2"/>
    <w:rsid w:val="005C72D5"/>
    <w:rsid w:val="005D1560"/>
    <w:rsid w:val="005D1AFB"/>
    <w:rsid w:val="005D6AFE"/>
    <w:rsid w:val="005E02F8"/>
    <w:rsid w:val="005E2D3C"/>
    <w:rsid w:val="005E2F5A"/>
    <w:rsid w:val="005E5777"/>
    <w:rsid w:val="005E6681"/>
    <w:rsid w:val="005F1D69"/>
    <w:rsid w:val="005F293E"/>
    <w:rsid w:val="005F3124"/>
    <w:rsid w:val="005F3164"/>
    <w:rsid w:val="005F3C5F"/>
    <w:rsid w:val="005F4936"/>
    <w:rsid w:val="005F59B5"/>
    <w:rsid w:val="005F6BC3"/>
    <w:rsid w:val="005F7198"/>
    <w:rsid w:val="005F7D6F"/>
    <w:rsid w:val="005F7E7B"/>
    <w:rsid w:val="00602D36"/>
    <w:rsid w:val="00602DF0"/>
    <w:rsid w:val="006030CD"/>
    <w:rsid w:val="0060474B"/>
    <w:rsid w:val="00607BBA"/>
    <w:rsid w:val="00613483"/>
    <w:rsid w:val="00614C12"/>
    <w:rsid w:val="006156C0"/>
    <w:rsid w:val="00615927"/>
    <w:rsid w:val="0061745C"/>
    <w:rsid w:val="00622C6F"/>
    <w:rsid w:val="00622DDA"/>
    <w:rsid w:val="00623365"/>
    <w:rsid w:val="00624E72"/>
    <w:rsid w:val="006255EC"/>
    <w:rsid w:val="006256CE"/>
    <w:rsid w:val="006262FD"/>
    <w:rsid w:val="0063081D"/>
    <w:rsid w:val="00631137"/>
    <w:rsid w:val="00637236"/>
    <w:rsid w:val="00640704"/>
    <w:rsid w:val="00640806"/>
    <w:rsid w:val="0064149F"/>
    <w:rsid w:val="00642A65"/>
    <w:rsid w:val="00642AF3"/>
    <w:rsid w:val="00643F37"/>
    <w:rsid w:val="006458B4"/>
    <w:rsid w:val="006469A5"/>
    <w:rsid w:val="00647AB5"/>
    <w:rsid w:val="00651147"/>
    <w:rsid w:val="00651721"/>
    <w:rsid w:val="0065230C"/>
    <w:rsid w:val="00654417"/>
    <w:rsid w:val="00654569"/>
    <w:rsid w:val="00655CCB"/>
    <w:rsid w:val="00661DC5"/>
    <w:rsid w:val="00662092"/>
    <w:rsid w:val="006640FA"/>
    <w:rsid w:val="00671C3D"/>
    <w:rsid w:val="00671E93"/>
    <w:rsid w:val="00672B24"/>
    <w:rsid w:val="00672BDA"/>
    <w:rsid w:val="00674B8D"/>
    <w:rsid w:val="006806EC"/>
    <w:rsid w:val="00686859"/>
    <w:rsid w:val="00686913"/>
    <w:rsid w:val="006934F1"/>
    <w:rsid w:val="006951AD"/>
    <w:rsid w:val="00695EA9"/>
    <w:rsid w:val="00695FB0"/>
    <w:rsid w:val="00696906"/>
    <w:rsid w:val="006A23E6"/>
    <w:rsid w:val="006A3A98"/>
    <w:rsid w:val="006A5C5D"/>
    <w:rsid w:val="006A5DD3"/>
    <w:rsid w:val="006A731E"/>
    <w:rsid w:val="006B2462"/>
    <w:rsid w:val="006B2757"/>
    <w:rsid w:val="006B7310"/>
    <w:rsid w:val="006B7731"/>
    <w:rsid w:val="006C0FCB"/>
    <w:rsid w:val="006C216E"/>
    <w:rsid w:val="006C309A"/>
    <w:rsid w:val="006C49AF"/>
    <w:rsid w:val="006C4B0F"/>
    <w:rsid w:val="006C6D04"/>
    <w:rsid w:val="006D36AA"/>
    <w:rsid w:val="006D4049"/>
    <w:rsid w:val="006D4075"/>
    <w:rsid w:val="006D67CC"/>
    <w:rsid w:val="006E14D5"/>
    <w:rsid w:val="006E3554"/>
    <w:rsid w:val="006E69F6"/>
    <w:rsid w:val="006E6E63"/>
    <w:rsid w:val="006E749F"/>
    <w:rsid w:val="006F0475"/>
    <w:rsid w:val="006F11E3"/>
    <w:rsid w:val="006F1493"/>
    <w:rsid w:val="006F277A"/>
    <w:rsid w:val="006F2A63"/>
    <w:rsid w:val="006F482F"/>
    <w:rsid w:val="006F69EA"/>
    <w:rsid w:val="00700250"/>
    <w:rsid w:val="007016AB"/>
    <w:rsid w:val="007045F8"/>
    <w:rsid w:val="00704C37"/>
    <w:rsid w:val="00704E70"/>
    <w:rsid w:val="00705080"/>
    <w:rsid w:val="00707CC7"/>
    <w:rsid w:val="00710220"/>
    <w:rsid w:val="007113E1"/>
    <w:rsid w:val="007118CB"/>
    <w:rsid w:val="00711ADE"/>
    <w:rsid w:val="007144E5"/>
    <w:rsid w:val="00714791"/>
    <w:rsid w:val="007173B7"/>
    <w:rsid w:val="00721441"/>
    <w:rsid w:val="00722498"/>
    <w:rsid w:val="00723338"/>
    <w:rsid w:val="00724B28"/>
    <w:rsid w:val="007300C0"/>
    <w:rsid w:val="0073316B"/>
    <w:rsid w:val="00733C40"/>
    <w:rsid w:val="00734C57"/>
    <w:rsid w:val="00735D22"/>
    <w:rsid w:val="00741D20"/>
    <w:rsid w:val="00745695"/>
    <w:rsid w:val="00746D88"/>
    <w:rsid w:val="00747104"/>
    <w:rsid w:val="00750173"/>
    <w:rsid w:val="00752128"/>
    <w:rsid w:val="0075228E"/>
    <w:rsid w:val="00754F22"/>
    <w:rsid w:val="007567EC"/>
    <w:rsid w:val="0076014E"/>
    <w:rsid w:val="00760594"/>
    <w:rsid w:val="00763882"/>
    <w:rsid w:val="0076463B"/>
    <w:rsid w:val="007666D8"/>
    <w:rsid w:val="007704E6"/>
    <w:rsid w:val="00771B59"/>
    <w:rsid w:val="00774B95"/>
    <w:rsid w:val="00775AE2"/>
    <w:rsid w:val="00777464"/>
    <w:rsid w:val="0077757E"/>
    <w:rsid w:val="00780582"/>
    <w:rsid w:val="00780A55"/>
    <w:rsid w:val="0078315F"/>
    <w:rsid w:val="00783D62"/>
    <w:rsid w:val="00784150"/>
    <w:rsid w:val="00784737"/>
    <w:rsid w:val="00784CC2"/>
    <w:rsid w:val="00785F62"/>
    <w:rsid w:val="00786CC6"/>
    <w:rsid w:val="0079092B"/>
    <w:rsid w:val="00792DAC"/>
    <w:rsid w:val="00793BAA"/>
    <w:rsid w:val="00793BB3"/>
    <w:rsid w:val="00797F98"/>
    <w:rsid w:val="007A102A"/>
    <w:rsid w:val="007A1CBD"/>
    <w:rsid w:val="007A2369"/>
    <w:rsid w:val="007A304B"/>
    <w:rsid w:val="007A4A6F"/>
    <w:rsid w:val="007A5857"/>
    <w:rsid w:val="007A5E70"/>
    <w:rsid w:val="007A6F2C"/>
    <w:rsid w:val="007A7EF5"/>
    <w:rsid w:val="007B0559"/>
    <w:rsid w:val="007B0C23"/>
    <w:rsid w:val="007B0E2F"/>
    <w:rsid w:val="007B114E"/>
    <w:rsid w:val="007B3ABD"/>
    <w:rsid w:val="007B4013"/>
    <w:rsid w:val="007B4A91"/>
    <w:rsid w:val="007B5854"/>
    <w:rsid w:val="007C1E38"/>
    <w:rsid w:val="007C3DD1"/>
    <w:rsid w:val="007C6307"/>
    <w:rsid w:val="007C6B79"/>
    <w:rsid w:val="007C6F57"/>
    <w:rsid w:val="007D2D68"/>
    <w:rsid w:val="007D4D8B"/>
    <w:rsid w:val="007E3251"/>
    <w:rsid w:val="007E3F78"/>
    <w:rsid w:val="007E43E3"/>
    <w:rsid w:val="007E5A7A"/>
    <w:rsid w:val="007E5B8C"/>
    <w:rsid w:val="007E6F7F"/>
    <w:rsid w:val="007E76C2"/>
    <w:rsid w:val="007F00E7"/>
    <w:rsid w:val="007F5CBA"/>
    <w:rsid w:val="007F632C"/>
    <w:rsid w:val="00801CE0"/>
    <w:rsid w:val="00802568"/>
    <w:rsid w:val="00802B38"/>
    <w:rsid w:val="00807217"/>
    <w:rsid w:val="00811CD5"/>
    <w:rsid w:val="00811E60"/>
    <w:rsid w:val="00811E7D"/>
    <w:rsid w:val="00820183"/>
    <w:rsid w:val="008205F9"/>
    <w:rsid w:val="0082265F"/>
    <w:rsid w:val="00824003"/>
    <w:rsid w:val="00826242"/>
    <w:rsid w:val="008265A0"/>
    <w:rsid w:val="008278C3"/>
    <w:rsid w:val="00832FE3"/>
    <w:rsid w:val="00834154"/>
    <w:rsid w:val="008344B0"/>
    <w:rsid w:val="0083485B"/>
    <w:rsid w:val="00835EC7"/>
    <w:rsid w:val="008369DA"/>
    <w:rsid w:val="0084008B"/>
    <w:rsid w:val="008409D9"/>
    <w:rsid w:val="00841CA6"/>
    <w:rsid w:val="00842CD7"/>
    <w:rsid w:val="00843ADB"/>
    <w:rsid w:val="00851CE4"/>
    <w:rsid w:val="00853C7C"/>
    <w:rsid w:val="00854CAD"/>
    <w:rsid w:val="00855146"/>
    <w:rsid w:val="008563A9"/>
    <w:rsid w:val="00861FD8"/>
    <w:rsid w:val="00862747"/>
    <w:rsid w:val="008631F7"/>
    <w:rsid w:val="0086387F"/>
    <w:rsid w:val="00863F5A"/>
    <w:rsid w:val="00871C15"/>
    <w:rsid w:val="00872A45"/>
    <w:rsid w:val="00874CD9"/>
    <w:rsid w:val="00875F03"/>
    <w:rsid w:val="00881684"/>
    <w:rsid w:val="00882A13"/>
    <w:rsid w:val="00884616"/>
    <w:rsid w:val="008903C0"/>
    <w:rsid w:val="0089102D"/>
    <w:rsid w:val="00893691"/>
    <w:rsid w:val="00896295"/>
    <w:rsid w:val="00897215"/>
    <w:rsid w:val="00897ED9"/>
    <w:rsid w:val="00897FBA"/>
    <w:rsid w:val="008A30AD"/>
    <w:rsid w:val="008A3765"/>
    <w:rsid w:val="008A5B29"/>
    <w:rsid w:val="008A6347"/>
    <w:rsid w:val="008A73EB"/>
    <w:rsid w:val="008B1495"/>
    <w:rsid w:val="008B326B"/>
    <w:rsid w:val="008B6CF0"/>
    <w:rsid w:val="008B7733"/>
    <w:rsid w:val="008C0D65"/>
    <w:rsid w:val="008C2DB3"/>
    <w:rsid w:val="008D245E"/>
    <w:rsid w:val="008D3696"/>
    <w:rsid w:val="008D4847"/>
    <w:rsid w:val="008D5749"/>
    <w:rsid w:val="008E07EF"/>
    <w:rsid w:val="008E19FB"/>
    <w:rsid w:val="008E2ACF"/>
    <w:rsid w:val="008E3104"/>
    <w:rsid w:val="008E3800"/>
    <w:rsid w:val="008E4E2F"/>
    <w:rsid w:val="008E65F4"/>
    <w:rsid w:val="008E6D76"/>
    <w:rsid w:val="008E7AE2"/>
    <w:rsid w:val="008E7EBA"/>
    <w:rsid w:val="008E7FF2"/>
    <w:rsid w:val="008F0A03"/>
    <w:rsid w:val="008F1D95"/>
    <w:rsid w:val="008F4AB6"/>
    <w:rsid w:val="008F5DF3"/>
    <w:rsid w:val="008F655E"/>
    <w:rsid w:val="008F73A6"/>
    <w:rsid w:val="009001DC"/>
    <w:rsid w:val="00900F7A"/>
    <w:rsid w:val="00901F00"/>
    <w:rsid w:val="00903D76"/>
    <w:rsid w:val="00907122"/>
    <w:rsid w:val="00912A41"/>
    <w:rsid w:val="00913E7B"/>
    <w:rsid w:val="00916EA0"/>
    <w:rsid w:val="00920D4F"/>
    <w:rsid w:val="009226AC"/>
    <w:rsid w:val="00922ED0"/>
    <w:rsid w:val="009268BA"/>
    <w:rsid w:val="00931C26"/>
    <w:rsid w:val="00931FC5"/>
    <w:rsid w:val="0093212B"/>
    <w:rsid w:val="0093293C"/>
    <w:rsid w:val="00933F0D"/>
    <w:rsid w:val="00940E3B"/>
    <w:rsid w:val="00941336"/>
    <w:rsid w:val="0094497B"/>
    <w:rsid w:val="00945D0C"/>
    <w:rsid w:val="00952A65"/>
    <w:rsid w:val="009533F4"/>
    <w:rsid w:val="0095369D"/>
    <w:rsid w:val="00954189"/>
    <w:rsid w:val="00956EF0"/>
    <w:rsid w:val="00960113"/>
    <w:rsid w:val="00961840"/>
    <w:rsid w:val="009624CD"/>
    <w:rsid w:val="009633E3"/>
    <w:rsid w:val="009643FC"/>
    <w:rsid w:val="00970035"/>
    <w:rsid w:val="00973A31"/>
    <w:rsid w:val="00975827"/>
    <w:rsid w:val="00980A2A"/>
    <w:rsid w:val="009811A9"/>
    <w:rsid w:val="00983365"/>
    <w:rsid w:val="00983428"/>
    <w:rsid w:val="00985236"/>
    <w:rsid w:val="00990584"/>
    <w:rsid w:val="009917A7"/>
    <w:rsid w:val="009924AC"/>
    <w:rsid w:val="00992704"/>
    <w:rsid w:val="00996CD4"/>
    <w:rsid w:val="009A00F8"/>
    <w:rsid w:val="009A026F"/>
    <w:rsid w:val="009B22F4"/>
    <w:rsid w:val="009B2E2E"/>
    <w:rsid w:val="009B611D"/>
    <w:rsid w:val="009B6721"/>
    <w:rsid w:val="009B6AB4"/>
    <w:rsid w:val="009C0CFC"/>
    <w:rsid w:val="009C3092"/>
    <w:rsid w:val="009C4EF4"/>
    <w:rsid w:val="009D20F5"/>
    <w:rsid w:val="009D247E"/>
    <w:rsid w:val="009D2952"/>
    <w:rsid w:val="009D2F5B"/>
    <w:rsid w:val="009D3192"/>
    <w:rsid w:val="009D64B4"/>
    <w:rsid w:val="009E116D"/>
    <w:rsid w:val="009E160D"/>
    <w:rsid w:val="009E2651"/>
    <w:rsid w:val="009E3F13"/>
    <w:rsid w:val="009E5A5A"/>
    <w:rsid w:val="009E6860"/>
    <w:rsid w:val="009E7D33"/>
    <w:rsid w:val="009E7DBC"/>
    <w:rsid w:val="009F4DE8"/>
    <w:rsid w:val="00A02DC0"/>
    <w:rsid w:val="00A03226"/>
    <w:rsid w:val="00A0337B"/>
    <w:rsid w:val="00A040F5"/>
    <w:rsid w:val="00A04EBA"/>
    <w:rsid w:val="00A0573B"/>
    <w:rsid w:val="00A06092"/>
    <w:rsid w:val="00A06A49"/>
    <w:rsid w:val="00A1151D"/>
    <w:rsid w:val="00A1237A"/>
    <w:rsid w:val="00A12D28"/>
    <w:rsid w:val="00A13D4E"/>
    <w:rsid w:val="00A17859"/>
    <w:rsid w:val="00A2035D"/>
    <w:rsid w:val="00A205B2"/>
    <w:rsid w:val="00A2113E"/>
    <w:rsid w:val="00A21C71"/>
    <w:rsid w:val="00A2208E"/>
    <w:rsid w:val="00A221E1"/>
    <w:rsid w:val="00A22227"/>
    <w:rsid w:val="00A22BE0"/>
    <w:rsid w:val="00A25720"/>
    <w:rsid w:val="00A25B7E"/>
    <w:rsid w:val="00A25DB5"/>
    <w:rsid w:val="00A27F40"/>
    <w:rsid w:val="00A302DB"/>
    <w:rsid w:val="00A31CC0"/>
    <w:rsid w:val="00A36196"/>
    <w:rsid w:val="00A40E42"/>
    <w:rsid w:val="00A423E8"/>
    <w:rsid w:val="00A42D9B"/>
    <w:rsid w:val="00A43181"/>
    <w:rsid w:val="00A43F83"/>
    <w:rsid w:val="00A44889"/>
    <w:rsid w:val="00A45FC8"/>
    <w:rsid w:val="00A462F3"/>
    <w:rsid w:val="00A51BF9"/>
    <w:rsid w:val="00A54788"/>
    <w:rsid w:val="00A54C4C"/>
    <w:rsid w:val="00A55285"/>
    <w:rsid w:val="00A555AF"/>
    <w:rsid w:val="00A5769C"/>
    <w:rsid w:val="00A57C15"/>
    <w:rsid w:val="00A60C9E"/>
    <w:rsid w:val="00A61D5F"/>
    <w:rsid w:val="00A62B65"/>
    <w:rsid w:val="00A62FE5"/>
    <w:rsid w:val="00A64CE9"/>
    <w:rsid w:val="00A651A5"/>
    <w:rsid w:val="00A66FCF"/>
    <w:rsid w:val="00A70EA4"/>
    <w:rsid w:val="00A7226C"/>
    <w:rsid w:val="00A729B8"/>
    <w:rsid w:val="00A75BB2"/>
    <w:rsid w:val="00A8079E"/>
    <w:rsid w:val="00A86B55"/>
    <w:rsid w:val="00A90993"/>
    <w:rsid w:val="00A9114D"/>
    <w:rsid w:val="00A913EE"/>
    <w:rsid w:val="00A9386D"/>
    <w:rsid w:val="00A95D11"/>
    <w:rsid w:val="00AA04F1"/>
    <w:rsid w:val="00AA13C9"/>
    <w:rsid w:val="00AA17A7"/>
    <w:rsid w:val="00AA6CF6"/>
    <w:rsid w:val="00AB16CC"/>
    <w:rsid w:val="00AB1EA9"/>
    <w:rsid w:val="00AB36AA"/>
    <w:rsid w:val="00AB65BB"/>
    <w:rsid w:val="00AB6D38"/>
    <w:rsid w:val="00AB7A34"/>
    <w:rsid w:val="00AC0C74"/>
    <w:rsid w:val="00AC0D61"/>
    <w:rsid w:val="00AC1FA0"/>
    <w:rsid w:val="00AC2F94"/>
    <w:rsid w:val="00AC37CD"/>
    <w:rsid w:val="00AC3CB5"/>
    <w:rsid w:val="00AC43AE"/>
    <w:rsid w:val="00AC4D4A"/>
    <w:rsid w:val="00AC523E"/>
    <w:rsid w:val="00AC5E44"/>
    <w:rsid w:val="00AC728A"/>
    <w:rsid w:val="00AC7470"/>
    <w:rsid w:val="00AD154C"/>
    <w:rsid w:val="00AD2C92"/>
    <w:rsid w:val="00AD4248"/>
    <w:rsid w:val="00AD511B"/>
    <w:rsid w:val="00AE1414"/>
    <w:rsid w:val="00AE1B5D"/>
    <w:rsid w:val="00AE3A99"/>
    <w:rsid w:val="00AE4D1F"/>
    <w:rsid w:val="00AE7ABA"/>
    <w:rsid w:val="00AF1C13"/>
    <w:rsid w:val="00AF22D2"/>
    <w:rsid w:val="00AF3EA2"/>
    <w:rsid w:val="00AF7182"/>
    <w:rsid w:val="00AF7896"/>
    <w:rsid w:val="00B0105A"/>
    <w:rsid w:val="00B0338E"/>
    <w:rsid w:val="00B04B4D"/>
    <w:rsid w:val="00B07023"/>
    <w:rsid w:val="00B10215"/>
    <w:rsid w:val="00B1054E"/>
    <w:rsid w:val="00B10AE6"/>
    <w:rsid w:val="00B11599"/>
    <w:rsid w:val="00B11854"/>
    <w:rsid w:val="00B1389F"/>
    <w:rsid w:val="00B14325"/>
    <w:rsid w:val="00B145F4"/>
    <w:rsid w:val="00B15797"/>
    <w:rsid w:val="00B172D7"/>
    <w:rsid w:val="00B17374"/>
    <w:rsid w:val="00B31A96"/>
    <w:rsid w:val="00B32293"/>
    <w:rsid w:val="00B336AF"/>
    <w:rsid w:val="00B3625A"/>
    <w:rsid w:val="00B36EFE"/>
    <w:rsid w:val="00B42287"/>
    <w:rsid w:val="00B4243D"/>
    <w:rsid w:val="00B51B9D"/>
    <w:rsid w:val="00B528D6"/>
    <w:rsid w:val="00B529B1"/>
    <w:rsid w:val="00B54902"/>
    <w:rsid w:val="00B55A65"/>
    <w:rsid w:val="00B560E9"/>
    <w:rsid w:val="00B566A3"/>
    <w:rsid w:val="00B60113"/>
    <w:rsid w:val="00B631CC"/>
    <w:rsid w:val="00B635CB"/>
    <w:rsid w:val="00B73074"/>
    <w:rsid w:val="00B74D89"/>
    <w:rsid w:val="00B74F8E"/>
    <w:rsid w:val="00B76B0F"/>
    <w:rsid w:val="00B80374"/>
    <w:rsid w:val="00B80BD8"/>
    <w:rsid w:val="00B816B5"/>
    <w:rsid w:val="00B8372B"/>
    <w:rsid w:val="00B84B5A"/>
    <w:rsid w:val="00B85544"/>
    <w:rsid w:val="00B9022D"/>
    <w:rsid w:val="00B9293A"/>
    <w:rsid w:val="00B93C98"/>
    <w:rsid w:val="00B95B6E"/>
    <w:rsid w:val="00B95C54"/>
    <w:rsid w:val="00B967E9"/>
    <w:rsid w:val="00B977B2"/>
    <w:rsid w:val="00BA0110"/>
    <w:rsid w:val="00BA1BED"/>
    <w:rsid w:val="00BA2421"/>
    <w:rsid w:val="00BA3482"/>
    <w:rsid w:val="00BA53E7"/>
    <w:rsid w:val="00BA6D90"/>
    <w:rsid w:val="00BA77EF"/>
    <w:rsid w:val="00BB04B0"/>
    <w:rsid w:val="00BB04C2"/>
    <w:rsid w:val="00BB2229"/>
    <w:rsid w:val="00BB261A"/>
    <w:rsid w:val="00BB52A4"/>
    <w:rsid w:val="00BB5ED4"/>
    <w:rsid w:val="00BB705E"/>
    <w:rsid w:val="00BC020E"/>
    <w:rsid w:val="00BC2D17"/>
    <w:rsid w:val="00BC3EFC"/>
    <w:rsid w:val="00BC61F5"/>
    <w:rsid w:val="00BC7C63"/>
    <w:rsid w:val="00BD0508"/>
    <w:rsid w:val="00BD08E4"/>
    <w:rsid w:val="00BD091C"/>
    <w:rsid w:val="00BD0B8D"/>
    <w:rsid w:val="00BD1A8D"/>
    <w:rsid w:val="00BD212C"/>
    <w:rsid w:val="00BD290A"/>
    <w:rsid w:val="00BD5DE6"/>
    <w:rsid w:val="00BD5E13"/>
    <w:rsid w:val="00BE1FAE"/>
    <w:rsid w:val="00BE2899"/>
    <w:rsid w:val="00BE5EFA"/>
    <w:rsid w:val="00BE60A5"/>
    <w:rsid w:val="00BE651E"/>
    <w:rsid w:val="00BE741B"/>
    <w:rsid w:val="00BE7A15"/>
    <w:rsid w:val="00BE7E1F"/>
    <w:rsid w:val="00BF3EB7"/>
    <w:rsid w:val="00BF3F20"/>
    <w:rsid w:val="00BF4B3A"/>
    <w:rsid w:val="00BF4CFF"/>
    <w:rsid w:val="00BF5D1F"/>
    <w:rsid w:val="00BF7F89"/>
    <w:rsid w:val="00C00AA5"/>
    <w:rsid w:val="00C02B87"/>
    <w:rsid w:val="00C03E37"/>
    <w:rsid w:val="00C06339"/>
    <w:rsid w:val="00C06AF7"/>
    <w:rsid w:val="00C071DD"/>
    <w:rsid w:val="00C07E16"/>
    <w:rsid w:val="00C103F5"/>
    <w:rsid w:val="00C155DF"/>
    <w:rsid w:val="00C15E2E"/>
    <w:rsid w:val="00C16801"/>
    <w:rsid w:val="00C200F1"/>
    <w:rsid w:val="00C2090E"/>
    <w:rsid w:val="00C20CA5"/>
    <w:rsid w:val="00C222B6"/>
    <w:rsid w:val="00C248E9"/>
    <w:rsid w:val="00C25778"/>
    <w:rsid w:val="00C2647F"/>
    <w:rsid w:val="00C334D1"/>
    <w:rsid w:val="00C33834"/>
    <w:rsid w:val="00C34443"/>
    <w:rsid w:val="00C34F82"/>
    <w:rsid w:val="00C35283"/>
    <w:rsid w:val="00C37478"/>
    <w:rsid w:val="00C37A1C"/>
    <w:rsid w:val="00C42321"/>
    <w:rsid w:val="00C44069"/>
    <w:rsid w:val="00C448DA"/>
    <w:rsid w:val="00C448DF"/>
    <w:rsid w:val="00C45308"/>
    <w:rsid w:val="00C46BBD"/>
    <w:rsid w:val="00C46CB0"/>
    <w:rsid w:val="00C50EF2"/>
    <w:rsid w:val="00C51B29"/>
    <w:rsid w:val="00C529DF"/>
    <w:rsid w:val="00C532AA"/>
    <w:rsid w:val="00C53B42"/>
    <w:rsid w:val="00C54B99"/>
    <w:rsid w:val="00C55BBF"/>
    <w:rsid w:val="00C55CFD"/>
    <w:rsid w:val="00C56064"/>
    <w:rsid w:val="00C5710C"/>
    <w:rsid w:val="00C6036A"/>
    <w:rsid w:val="00C60370"/>
    <w:rsid w:val="00C62297"/>
    <w:rsid w:val="00C63065"/>
    <w:rsid w:val="00C64359"/>
    <w:rsid w:val="00C65FF0"/>
    <w:rsid w:val="00C6637B"/>
    <w:rsid w:val="00C66F48"/>
    <w:rsid w:val="00C673B4"/>
    <w:rsid w:val="00C708B6"/>
    <w:rsid w:val="00C70AC8"/>
    <w:rsid w:val="00C71F82"/>
    <w:rsid w:val="00C7212C"/>
    <w:rsid w:val="00C73101"/>
    <w:rsid w:val="00C74018"/>
    <w:rsid w:val="00C7440C"/>
    <w:rsid w:val="00C75681"/>
    <w:rsid w:val="00C77347"/>
    <w:rsid w:val="00C77B7B"/>
    <w:rsid w:val="00C77F48"/>
    <w:rsid w:val="00C80156"/>
    <w:rsid w:val="00C801E6"/>
    <w:rsid w:val="00C80A1C"/>
    <w:rsid w:val="00C80DB3"/>
    <w:rsid w:val="00C8163E"/>
    <w:rsid w:val="00C820CA"/>
    <w:rsid w:val="00C821BF"/>
    <w:rsid w:val="00C8228D"/>
    <w:rsid w:val="00C839D3"/>
    <w:rsid w:val="00C84575"/>
    <w:rsid w:val="00C85472"/>
    <w:rsid w:val="00C85514"/>
    <w:rsid w:val="00C86367"/>
    <w:rsid w:val="00C86D13"/>
    <w:rsid w:val="00C875B1"/>
    <w:rsid w:val="00C87D62"/>
    <w:rsid w:val="00C907E4"/>
    <w:rsid w:val="00C91101"/>
    <w:rsid w:val="00C928FA"/>
    <w:rsid w:val="00CA0780"/>
    <w:rsid w:val="00CA32CE"/>
    <w:rsid w:val="00CA33F9"/>
    <w:rsid w:val="00CA4101"/>
    <w:rsid w:val="00CA4202"/>
    <w:rsid w:val="00CA69AC"/>
    <w:rsid w:val="00CA77A6"/>
    <w:rsid w:val="00CB0405"/>
    <w:rsid w:val="00CB05B4"/>
    <w:rsid w:val="00CB18D5"/>
    <w:rsid w:val="00CB2A10"/>
    <w:rsid w:val="00CB4330"/>
    <w:rsid w:val="00CC1280"/>
    <w:rsid w:val="00CC20C5"/>
    <w:rsid w:val="00CD1765"/>
    <w:rsid w:val="00CD1FBD"/>
    <w:rsid w:val="00CD278C"/>
    <w:rsid w:val="00CD2D4A"/>
    <w:rsid w:val="00CD2EC4"/>
    <w:rsid w:val="00CD5498"/>
    <w:rsid w:val="00CD649C"/>
    <w:rsid w:val="00CD651F"/>
    <w:rsid w:val="00CE36E6"/>
    <w:rsid w:val="00CE7DF4"/>
    <w:rsid w:val="00CF0CCE"/>
    <w:rsid w:val="00CF3D9A"/>
    <w:rsid w:val="00CF7C88"/>
    <w:rsid w:val="00D02BAD"/>
    <w:rsid w:val="00D041D7"/>
    <w:rsid w:val="00D041FC"/>
    <w:rsid w:val="00D04B5F"/>
    <w:rsid w:val="00D107F8"/>
    <w:rsid w:val="00D1285C"/>
    <w:rsid w:val="00D12F9D"/>
    <w:rsid w:val="00D14119"/>
    <w:rsid w:val="00D14D16"/>
    <w:rsid w:val="00D15B33"/>
    <w:rsid w:val="00D17505"/>
    <w:rsid w:val="00D17F7F"/>
    <w:rsid w:val="00D2098F"/>
    <w:rsid w:val="00D23BBA"/>
    <w:rsid w:val="00D3038A"/>
    <w:rsid w:val="00D32B9E"/>
    <w:rsid w:val="00D33B3F"/>
    <w:rsid w:val="00D34DE8"/>
    <w:rsid w:val="00D35127"/>
    <w:rsid w:val="00D353AE"/>
    <w:rsid w:val="00D35D4C"/>
    <w:rsid w:val="00D35D6D"/>
    <w:rsid w:val="00D3682D"/>
    <w:rsid w:val="00D46BB1"/>
    <w:rsid w:val="00D477BD"/>
    <w:rsid w:val="00D50FE3"/>
    <w:rsid w:val="00D57C4C"/>
    <w:rsid w:val="00D604E0"/>
    <w:rsid w:val="00D6147C"/>
    <w:rsid w:val="00D61DE8"/>
    <w:rsid w:val="00D620E3"/>
    <w:rsid w:val="00D623C8"/>
    <w:rsid w:val="00D63279"/>
    <w:rsid w:val="00D63EE9"/>
    <w:rsid w:val="00D65244"/>
    <w:rsid w:val="00D6705C"/>
    <w:rsid w:val="00D731D8"/>
    <w:rsid w:val="00D7340A"/>
    <w:rsid w:val="00D73EA0"/>
    <w:rsid w:val="00D77569"/>
    <w:rsid w:val="00D776F7"/>
    <w:rsid w:val="00D806A3"/>
    <w:rsid w:val="00D80A92"/>
    <w:rsid w:val="00D81DF6"/>
    <w:rsid w:val="00D81F10"/>
    <w:rsid w:val="00D82271"/>
    <w:rsid w:val="00D830C1"/>
    <w:rsid w:val="00D8589E"/>
    <w:rsid w:val="00D858F2"/>
    <w:rsid w:val="00D8601B"/>
    <w:rsid w:val="00D86C3E"/>
    <w:rsid w:val="00D8725E"/>
    <w:rsid w:val="00D90197"/>
    <w:rsid w:val="00D901A7"/>
    <w:rsid w:val="00D901D5"/>
    <w:rsid w:val="00D909E7"/>
    <w:rsid w:val="00D91B51"/>
    <w:rsid w:val="00D95176"/>
    <w:rsid w:val="00DA4A5A"/>
    <w:rsid w:val="00DA4FD5"/>
    <w:rsid w:val="00DA568D"/>
    <w:rsid w:val="00DA6998"/>
    <w:rsid w:val="00DA6CA3"/>
    <w:rsid w:val="00DA712C"/>
    <w:rsid w:val="00DB1DCF"/>
    <w:rsid w:val="00DB2DB6"/>
    <w:rsid w:val="00DB31F4"/>
    <w:rsid w:val="00DB3603"/>
    <w:rsid w:val="00DB3AF6"/>
    <w:rsid w:val="00DB45A6"/>
    <w:rsid w:val="00DB55BA"/>
    <w:rsid w:val="00DB59E3"/>
    <w:rsid w:val="00DB70E2"/>
    <w:rsid w:val="00DB7A92"/>
    <w:rsid w:val="00DC250B"/>
    <w:rsid w:val="00DC4B98"/>
    <w:rsid w:val="00DC6BD1"/>
    <w:rsid w:val="00DD0552"/>
    <w:rsid w:val="00DD246C"/>
    <w:rsid w:val="00DD2B11"/>
    <w:rsid w:val="00DD2B54"/>
    <w:rsid w:val="00DD411E"/>
    <w:rsid w:val="00DE2D0D"/>
    <w:rsid w:val="00DE53AB"/>
    <w:rsid w:val="00DE6642"/>
    <w:rsid w:val="00DE6AC5"/>
    <w:rsid w:val="00DE6CA8"/>
    <w:rsid w:val="00DF005E"/>
    <w:rsid w:val="00DF64E7"/>
    <w:rsid w:val="00E02317"/>
    <w:rsid w:val="00E02B1B"/>
    <w:rsid w:val="00E039F9"/>
    <w:rsid w:val="00E05EF5"/>
    <w:rsid w:val="00E060D4"/>
    <w:rsid w:val="00E07CAC"/>
    <w:rsid w:val="00E12E49"/>
    <w:rsid w:val="00E171E1"/>
    <w:rsid w:val="00E201CE"/>
    <w:rsid w:val="00E24754"/>
    <w:rsid w:val="00E24F4C"/>
    <w:rsid w:val="00E2515F"/>
    <w:rsid w:val="00E306F7"/>
    <w:rsid w:val="00E30AD7"/>
    <w:rsid w:val="00E32663"/>
    <w:rsid w:val="00E32D00"/>
    <w:rsid w:val="00E367AA"/>
    <w:rsid w:val="00E400C7"/>
    <w:rsid w:val="00E42D25"/>
    <w:rsid w:val="00E42E6A"/>
    <w:rsid w:val="00E43B25"/>
    <w:rsid w:val="00E5103B"/>
    <w:rsid w:val="00E516D1"/>
    <w:rsid w:val="00E605EE"/>
    <w:rsid w:val="00E60F77"/>
    <w:rsid w:val="00E61771"/>
    <w:rsid w:val="00E67669"/>
    <w:rsid w:val="00E7102C"/>
    <w:rsid w:val="00E71321"/>
    <w:rsid w:val="00E73C77"/>
    <w:rsid w:val="00E75E66"/>
    <w:rsid w:val="00E76939"/>
    <w:rsid w:val="00E804C2"/>
    <w:rsid w:val="00E813C8"/>
    <w:rsid w:val="00E835B2"/>
    <w:rsid w:val="00E837DC"/>
    <w:rsid w:val="00E83B83"/>
    <w:rsid w:val="00E83D6A"/>
    <w:rsid w:val="00E85654"/>
    <w:rsid w:val="00E91720"/>
    <w:rsid w:val="00E93044"/>
    <w:rsid w:val="00E94379"/>
    <w:rsid w:val="00E95E35"/>
    <w:rsid w:val="00E97DD1"/>
    <w:rsid w:val="00EA0082"/>
    <w:rsid w:val="00EA0352"/>
    <w:rsid w:val="00EA2C67"/>
    <w:rsid w:val="00EA2FE1"/>
    <w:rsid w:val="00EA418D"/>
    <w:rsid w:val="00EA7552"/>
    <w:rsid w:val="00EB0097"/>
    <w:rsid w:val="00EB04B2"/>
    <w:rsid w:val="00EB18F3"/>
    <w:rsid w:val="00EB522C"/>
    <w:rsid w:val="00EB56ED"/>
    <w:rsid w:val="00EB69B3"/>
    <w:rsid w:val="00EC11EB"/>
    <w:rsid w:val="00EC1F60"/>
    <w:rsid w:val="00EC3043"/>
    <w:rsid w:val="00EC4AC7"/>
    <w:rsid w:val="00EC6AA9"/>
    <w:rsid w:val="00EC7CCF"/>
    <w:rsid w:val="00ED1F1E"/>
    <w:rsid w:val="00ED6FF2"/>
    <w:rsid w:val="00ED7D14"/>
    <w:rsid w:val="00EE37F4"/>
    <w:rsid w:val="00EE496E"/>
    <w:rsid w:val="00EE4C21"/>
    <w:rsid w:val="00EE694A"/>
    <w:rsid w:val="00EE6D0C"/>
    <w:rsid w:val="00EF04A5"/>
    <w:rsid w:val="00EF09A8"/>
    <w:rsid w:val="00EF0D1B"/>
    <w:rsid w:val="00EF2B0B"/>
    <w:rsid w:val="00EF2D52"/>
    <w:rsid w:val="00EF617D"/>
    <w:rsid w:val="00EF6752"/>
    <w:rsid w:val="00F01EBE"/>
    <w:rsid w:val="00F021E8"/>
    <w:rsid w:val="00F024E8"/>
    <w:rsid w:val="00F05A2F"/>
    <w:rsid w:val="00F06982"/>
    <w:rsid w:val="00F126BD"/>
    <w:rsid w:val="00F12ED0"/>
    <w:rsid w:val="00F13223"/>
    <w:rsid w:val="00F1389B"/>
    <w:rsid w:val="00F138D9"/>
    <w:rsid w:val="00F14880"/>
    <w:rsid w:val="00F16896"/>
    <w:rsid w:val="00F17D1D"/>
    <w:rsid w:val="00F20E42"/>
    <w:rsid w:val="00F2158F"/>
    <w:rsid w:val="00F22875"/>
    <w:rsid w:val="00F2327D"/>
    <w:rsid w:val="00F239C7"/>
    <w:rsid w:val="00F24661"/>
    <w:rsid w:val="00F25558"/>
    <w:rsid w:val="00F307F2"/>
    <w:rsid w:val="00F3148B"/>
    <w:rsid w:val="00F31ACD"/>
    <w:rsid w:val="00F333BA"/>
    <w:rsid w:val="00F335CD"/>
    <w:rsid w:val="00F34510"/>
    <w:rsid w:val="00F35C98"/>
    <w:rsid w:val="00F368EC"/>
    <w:rsid w:val="00F36C35"/>
    <w:rsid w:val="00F4114E"/>
    <w:rsid w:val="00F43F49"/>
    <w:rsid w:val="00F4582E"/>
    <w:rsid w:val="00F45BE7"/>
    <w:rsid w:val="00F50D5B"/>
    <w:rsid w:val="00F52293"/>
    <w:rsid w:val="00F523CB"/>
    <w:rsid w:val="00F53186"/>
    <w:rsid w:val="00F606DF"/>
    <w:rsid w:val="00F636AB"/>
    <w:rsid w:val="00F63B99"/>
    <w:rsid w:val="00F64CEA"/>
    <w:rsid w:val="00F65215"/>
    <w:rsid w:val="00F67464"/>
    <w:rsid w:val="00F720C6"/>
    <w:rsid w:val="00F74F60"/>
    <w:rsid w:val="00F772ED"/>
    <w:rsid w:val="00F8214E"/>
    <w:rsid w:val="00F82960"/>
    <w:rsid w:val="00F83015"/>
    <w:rsid w:val="00F839DB"/>
    <w:rsid w:val="00F84991"/>
    <w:rsid w:val="00F85043"/>
    <w:rsid w:val="00F877F7"/>
    <w:rsid w:val="00F87B5A"/>
    <w:rsid w:val="00F87F5F"/>
    <w:rsid w:val="00F907CC"/>
    <w:rsid w:val="00F90B8A"/>
    <w:rsid w:val="00F921D2"/>
    <w:rsid w:val="00F945C6"/>
    <w:rsid w:val="00F967AE"/>
    <w:rsid w:val="00FA1680"/>
    <w:rsid w:val="00FA42CA"/>
    <w:rsid w:val="00FA5D7F"/>
    <w:rsid w:val="00FA68EF"/>
    <w:rsid w:val="00FA69B6"/>
    <w:rsid w:val="00FA6CCA"/>
    <w:rsid w:val="00FA7412"/>
    <w:rsid w:val="00FB0D9F"/>
    <w:rsid w:val="00FB0E2A"/>
    <w:rsid w:val="00FB28AB"/>
    <w:rsid w:val="00FB2B62"/>
    <w:rsid w:val="00FB3938"/>
    <w:rsid w:val="00FC098A"/>
    <w:rsid w:val="00FC12A5"/>
    <w:rsid w:val="00FC1425"/>
    <w:rsid w:val="00FC1EDB"/>
    <w:rsid w:val="00FC41F2"/>
    <w:rsid w:val="00FD0E39"/>
    <w:rsid w:val="00FD2B7A"/>
    <w:rsid w:val="00FD2D01"/>
    <w:rsid w:val="00FD588A"/>
    <w:rsid w:val="00FD733D"/>
    <w:rsid w:val="00FE0831"/>
    <w:rsid w:val="00FE098E"/>
    <w:rsid w:val="00FE166E"/>
    <w:rsid w:val="00FE1ADF"/>
    <w:rsid w:val="00FE2472"/>
    <w:rsid w:val="00FE2A78"/>
    <w:rsid w:val="00FE41FB"/>
    <w:rsid w:val="00FE4BAA"/>
    <w:rsid w:val="00FF08D4"/>
    <w:rsid w:val="00FF0A32"/>
    <w:rsid w:val="00FF1140"/>
    <w:rsid w:val="00FF1386"/>
    <w:rsid w:val="00FF1A1E"/>
    <w:rsid w:val="00FF2F46"/>
    <w:rsid w:val="00FF3E3B"/>
    <w:rsid w:val="0FABF873"/>
    <w:rsid w:val="1FDF649B"/>
    <w:rsid w:val="35AFF215"/>
    <w:rsid w:val="35F7429E"/>
    <w:rsid w:val="38527EE7"/>
    <w:rsid w:val="3D995405"/>
    <w:rsid w:val="4B3537F8"/>
    <w:rsid w:val="4B363C82"/>
    <w:rsid w:val="4D6EF16D"/>
    <w:rsid w:val="6DDBF8F3"/>
    <w:rsid w:val="6EEFF225"/>
    <w:rsid w:val="6EF90EA5"/>
    <w:rsid w:val="6EFBD736"/>
    <w:rsid w:val="6FA3E733"/>
    <w:rsid w:val="741B653D"/>
    <w:rsid w:val="77DFBF59"/>
    <w:rsid w:val="7A6FE75E"/>
    <w:rsid w:val="7B7B02C5"/>
    <w:rsid w:val="7BEE14F7"/>
    <w:rsid w:val="7D7FB4CF"/>
    <w:rsid w:val="7DECA552"/>
    <w:rsid w:val="7DFF3CB1"/>
    <w:rsid w:val="7F00635A"/>
    <w:rsid w:val="7F9B16D8"/>
    <w:rsid w:val="7FFE2AED"/>
    <w:rsid w:val="B7BD74F1"/>
    <w:rsid w:val="BB97AAA8"/>
    <w:rsid w:val="BD7E1904"/>
    <w:rsid w:val="BFDDC389"/>
    <w:rsid w:val="BFFE1867"/>
    <w:rsid w:val="C6FF6843"/>
    <w:rsid w:val="C9F56B44"/>
    <w:rsid w:val="CBFFFB86"/>
    <w:rsid w:val="D7F84912"/>
    <w:rsid w:val="DF6BDF37"/>
    <w:rsid w:val="DFEAF96E"/>
    <w:rsid w:val="E7589914"/>
    <w:rsid w:val="EAD2B7E6"/>
    <w:rsid w:val="EBCFAFA4"/>
    <w:rsid w:val="EBDBF566"/>
    <w:rsid w:val="ECAFB960"/>
    <w:rsid w:val="ECCDD652"/>
    <w:rsid w:val="EEE20E90"/>
    <w:rsid w:val="EFB649BF"/>
    <w:rsid w:val="EFFBDA8F"/>
    <w:rsid w:val="EFFDF7A7"/>
    <w:rsid w:val="F0EFBDBB"/>
    <w:rsid w:val="F3DAF84A"/>
    <w:rsid w:val="F579C904"/>
    <w:rsid w:val="F57FE88E"/>
    <w:rsid w:val="F7D7BE47"/>
    <w:rsid w:val="F7F693AF"/>
    <w:rsid w:val="F97CE357"/>
    <w:rsid w:val="FCE7CF90"/>
    <w:rsid w:val="FE70A7FE"/>
    <w:rsid w:val="FE7F4332"/>
    <w:rsid w:val="FF740599"/>
    <w:rsid w:val="FFFE48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
    <w:qFormat/>
    <w:uiPriority w:val="0"/>
    <w:pPr>
      <w:spacing w:line="360" w:lineRule="auto"/>
      <w:ind w:firstLine="480" w:firstLineChars="200"/>
    </w:pPr>
    <w:rPr>
      <w:rFonts w:asciiTheme="minorHAnsi" w:hAnsiTheme="minorHAnsi" w:cstheme="minorBidi"/>
      <w:sz w:val="24"/>
    </w:rPr>
  </w:style>
  <w:style w:type="paragraph" w:styleId="3">
    <w:name w:val="annotation text"/>
    <w:basedOn w:val="1"/>
    <w:link w:val="23"/>
    <w:unhideWhenUsed/>
    <w:qFormat/>
    <w:uiPriority w:val="99"/>
    <w:pPr>
      <w:jc w:val="left"/>
    </w:pPr>
  </w:style>
  <w:style w:type="paragraph" w:styleId="4">
    <w:name w:val="List 2"/>
    <w:basedOn w:val="1"/>
    <w:qFormat/>
    <w:uiPriority w:val="0"/>
    <w:pPr>
      <w:ind w:left="100" w:leftChars="200" w:hanging="200" w:hangingChars="200"/>
    </w:pPr>
    <w:rPr>
      <w:sz w:val="28"/>
      <w:szCs w:val="24"/>
    </w:rPr>
  </w:style>
  <w:style w:type="paragraph" w:styleId="5">
    <w:name w:val="Plain Text"/>
    <w:basedOn w:val="1"/>
    <w:link w:val="15"/>
    <w:qFormat/>
    <w:uiPriority w:val="0"/>
    <w:rPr>
      <w:rFonts w:ascii="宋体" w:hAnsi="Courier New"/>
    </w:rPr>
  </w:style>
  <w:style w:type="paragraph" w:styleId="6">
    <w:name w:val="Balloon Text"/>
    <w:basedOn w:val="1"/>
    <w:link w:val="19"/>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4"/>
    <w:semiHidden/>
    <w:unhideWhenUsed/>
    <w:qFormat/>
    <w:uiPriority w:val="99"/>
    <w:rPr>
      <w:b/>
      <w:bCs/>
    </w:rPr>
  </w:style>
  <w:style w:type="table" w:styleId="11">
    <w:name w:val="Table Grid"/>
    <w:basedOn w:val="1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basedOn w:val="12"/>
    <w:semiHidden/>
    <w:unhideWhenUsed/>
    <w:qFormat/>
    <w:uiPriority w:val="99"/>
    <w:rPr>
      <w:sz w:val="21"/>
      <w:szCs w:val="21"/>
    </w:rPr>
  </w:style>
  <w:style w:type="character" w:customStyle="1" w:styleId="14">
    <w:name w:val="纯文本 Char"/>
    <w:basedOn w:val="12"/>
    <w:semiHidden/>
    <w:qFormat/>
    <w:uiPriority w:val="99"/>
    <w:rPr>
      <w:rFonts w:ascii="宋体" w:hAnsi="Courier New" w:eastAsia="宋体" w:cs="Courier New"/>
      <w:szCs w:val="21"/>
    </w:rPr>
  </w:style>
  <w:style w:type="character" w:customStyle="1" w:styleId="15">
    <w:name w:val="纯文本 字符"/>
    <w:link w:val="5"/>
    <w:qFormat/>
    <w:uiPriority w:val="0"/>
    <w:rPr>
      <w:rFonts w:ascii="宋体" w:hAnsi="Courier New" w:eastAsia="宋体" w:cs="Times New Roman"/>
      <w:szCs w:val="20"/>
    </w:rPr>
  </w:style>
  <w:style w:type="character" w:customStyle="1" w:styleId="16">
    <w:name w:val="页眉 字符"/>
    <w:basedOn w:val="12"/>
    <w:link w:val="8"/>
    <w:qFormat/>
    <w:uiPriority w:val="99"/>
    <w:rPr>
      <w:rFonts w:ascii="Times New Roman" w:hAnsi="Times New Roman" w:eastAsia="宋体" w:cs="Times New Roman"/>
      <w:sz w:val="18"/>
      <w:szCs w:val="18"/>
    </w:rPr>
  </w:style>
  <w:style w:type="character" w:customStyle="1" w:styleId="17">
    <w:name w:val="页脚 字符"/>
    <w:basedOn w:val="12"/>
    <w:link w:val="7"/>
    <w:qFormat/>
    <w:uiPriority w:val="99"/>
    <w:rPr>
      <w:rFonts w:ascii="Times New Roman" w:hAnsi="Times New Roman" w:eastAsia="宋体" w:cs="Times New Roman"/>
      <w:sz w:val="18"/>
      <w:szCs w:val="18"/>
    </w:rPr>
  </w:style>
  <w:style w:type="paragraph" w:styleId="18">
    <w:name w:val="List Paragraph"/>
    <w:basedOn w:val="1"/>
    <w:qFormat/>
    <w:uiPriority w:val="99"/>
    <w:pPr>
      <w:ind w:firstLine="420" w:firstLineChars="200"/>
    </w:pPr>
  </w:style>
  <w:style w:type="character" w:customStyle="1" w:styleId="19">
    <w:name w:val="批注框文本 字符"/>
    <w:basedOn w:val="12"/>
    <w:link w:val="6"/>
    <w:semiHidden/>
    <w:qFormat/>
    <w:uiPriority w:val="99"/>
    <w:rPr>
      <w:rFonts w:ascii="Times New Roman" w:hAnsi="Times New Roman" w:eastAsia="宋体" w:cs="Times New Roman"/>
      <w:kern w:val="2"/>
      <w:sz w:val="18"/>
      <w:szCs w:val="18"/>
    </w:rPr>
  </w:style>
  <w:style w:type="character" w:customStyle="1" w:styleId="20">
    <w:name w:val="sub_title2"/>
    <w:basedOn w:val="12"/>
    <w:qFormat/>
    <w:uiPriority w:val="0"/>
  </w:style>
  <w:style w:type="character" w:customStyle="1" w:styleId="21">
    <w:name w:val="正文缩进 字符"/>
    <w:link w:val="2"/>
    <w:qFormat/>
    <w:uiPriority w:val="0"/>
    <w:rPr>
      <w:rFonts w:eastAsia="宋体"/>
      <w:kern w:val="2"/>
      <w:sz w:val="24"/>
    </w:rPr>
  </w:style>
  <w:style w:type="paragraph" w:customStyle="1" w:styleId="22">
    <w:name w:val="_Style 17"/>
    <w:basedOn w:val="1"/>
    <w:next w:val="18"/>
    <w:qFormat/>
    <w:uiPriority w:val="99"/>
    <w:pPr>
      <w:widowControl/>
      <w:spacing w:after="200" w:line="276" w:lineRule="auto"/>
      <w:ind w:left="720"/>
      <w:jc w:val="left"/>
    </w:pPr>
    <w:rPr>
      <w:rFonts w:ascii="Calibri" w:hAnsi="Calibri"/>
      <w:kern w:val="0"/>
      <w:sz w:val="22"/>
    </w:rPr>
  </w:style>
  <w:style w:type="character" w:customStyle="1" w:styleId="23">
    <w:name w:val="批注文字 字符"/>
    <w:basedOn w:val="12"/>
    <w:link w:val="3"/>
    <w:qFormat/>
    <w:uiPriority w:val="99"/>
    <w:rPr>
      <w:rFonts w:ascii="Times New Roman" w:hAnsi="Times New Roman" w:eastAsia="宋体" w:cs="Times New Roman"/>
      <w:kern w:val="2"/>
      <w:sz w:val="21"/>
    </w:rPr>
  </w:style>
  <w:style w:type="character" w:customStyle="1" w:styleId="24">
    <w:name w:val="批注主题 字符"/>
    <w:basedOn w:val="23"/>
    <w:link w:val="9"/>
    <w:semiHidden/>
    <w:qFormat/>
    <w:uiPriority w:val="99"/>
    <w:rPr>
      <w:rFonts w:ascii="Times New Roman" w:hAnsi="Times New Roman" w:eastAsia="宋体" w:cs="Times New Roman"/>
      <w:b/>
      <w:bCs/>
      <w:kern w:val="2"/>
      <w:sz w:val="21"/>
    </w:rPr>
  </w:style>
  <w:style w:type="paragraph" w:customStyle="1" w:styleId="25">
    <w:name w:val="修订1"/>
    <w:hidden/>
    <w:semiHidden/>
    <w:qFormat/>
    <w:uiPriority w:val="99"/>
    <w:rPr>
      <w:rFonts w:ascii="Times New Roman" w:hAnsi="Times New Roman" w:eastAsia="宋体" w:cs="Times New Roman"/>
      <w:kern w:val="2"/>
      <w:sz w:val="21"/>
      <w:lang w:val="en-US" w:eastAsia="zh-CN" w:bidi="ar-SA"/>
    </w:rPr>
  </w:style>
  <w:style w:type="paragraph" w:customStyle="1" w:styleId="26">
    <w:name w:val="Fließtext"/>
    <w:basedOn w:val="1"/>
    <w:unhideWhenUsed/>
    <w:qFormat/>
    <w:uiPriority w:val="0"/>
    <w:pPr>
      <w:overflowPunct w:val="0"/>
      <w:autoSpaceDE w:val="0"/>
      <w:autoSpaceDN w:val="0"/>
      <w:adjustRightInd w:val="0"/>
      <w:textAlignment w:val="baseline"/>
    </w:pPr>
    <w:rPr>
      <w:rFonts w:asciiTheme="minorHAnsi" w:hAnsiTheme="minorHAnsi" w:eastAsiaTheme="minorEastAsia" w:cstheme="minorBidi"/>
      <w:kern w:val="28"/>
    </w:rPr>
  </w:style>
  <w:style w:type="character" w:customStyle="1" w:styleId="27">
    <w:name w:val="font111"/>
    <w:basedOn w:val="12"/>
    <w:qFormat/>
    <w:uiPriority w:val="0"/>
    <w:rPr>
      <w:rFonts w:hint="eastAsia" w:ascii="仿宋_GB2312" w:eastAsia="仿宋_GB2312" w:cs="仿宋_GB2312"/>
      <w:color w:val="000000"/>
      <w:sz w:val="20"/>
      <w:szCs w:val="20"/>
      <w:u w:val="none"/>
    </w:rPr>
  </w:style>
  <w:style w:type="paragraph" w:customStyle="1" w:styleId="28">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29">
    <w:name w:val="修订3"/>
    <w:hidden/>
    <w:semiHidden/>
    <w:qFormat/>
    <w:uiPriority w:val="99"/>
    <w:rPr>
      <w:rFonts w:ascii="Times New Roman" w:hAnsi="Times New Roman" w:eastAsia="宋体" w:cs="Times New Roman"/>
      <w:kern w:val="2"/>
      <w:sz w:val="21"/>
      <w:lang w:val="en-US" w:eastAsia="zh-CN" w:bidi="ar-SA"/>
    </w:rPr>
  </w:style>
  <w:style w:type="paragraph" w:customStyle="1" w:styleId="30">
    <w:name w:val="修订4"/>
    <w:hidden/>
    <w:semiHidden/>
    <w:qFormat/>
    <w:uiPriority w:val="99"/>
    <w:rPr>
      <w:rFonts w:ascii="Times New Roman" w:hAnsi="Times New Roman" w:eastAsia="宋体" w:cs="Times New Roman"/>
      <w:kern w:val="2"/>
      <w:sz w:val="21"/>
      <w:lang w:val="en-US" w:eastAsia="zh-CN" w:bidi="ar-SA"/>
    </w:rPr>
  </w:style>
  <w:style w:type="paragraph" w:customStyle="1" w:styleId="31">
    <w:name w:val="修订5"/>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1618</Words>
  <Characters>9226</Characters>
  <Lines>76</Lines>
  <Paragraphs>21</Paragraphs>
  <TotalTime>0</TotalTime>
  <ScaleCrop>false</ScaleCrop>
  <LinksUpToDate>false</LinksUpToDate>
  <CharactersWithSpaces>10823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2026-01-08T03:01:00Z</dcterms:created>
  <dc:creator>liudaolin</dc:creator>
  <cp:lastModifiedBy>高际航</cp:lastModifiedBy>
  <cp:lastPrinted>2019-11-02T16:07:00Z</cp:lastPrinted>
  <dcterms:modified xsi:type="dcterms:W3CDTF">2026-01-07T16:39:18Z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A96183732ABDD1E7851B5E6920B82041_43</vt:lpwstr>
  </property>
</Properties>
</file>