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383C4">
      <w:pPr>
        <w:adjustRightInd w:val="0"/>
        <w:snapToGrid w:val="0"/>
        <w:spacing w:line="360" w:lineRule="auto"/>
        <w:jc w:val="center"/>
        <w:rPr>
          <w:rFonts w:ascii="方正小标宋简体" w:hAnsi="仿宋" w:eastAsia="方正小标宋简体" w:cs="宋体"/>
          <w:bCs/>
          <w:sz w:val="32"/>
          <w:szCs w:val="28"/>
        </w:rPr>
      </w:pPr>
      <w:r>
        <w:rPr>
          <w:rFonts w:hint="eastAsia" w:ascii="方正小标宋简体" w:hAnsi="仿宋" w:eastAsia="方正小标宋简体" w:cs="宋体"/>
          <w:bCs/>
          <w:sz w:val="32"/>
          <w:szCs w:val="28"/>
        </w:rPr>
        <w:t>上海植物园</w:t>
      </w:r>
      <w:r>
        <w:rPr>
          <w:rFonts w:hint="eastAsia" w:ascii="方正小标宋简体" w:hAnsi="仿宋" w:eastAsia="方正小标宋简体" w:cs="宋体"/>
          <w:bCs/>
          <w:sz w:val="32"/>
          <w:szCs w:val="28"/>
          <w:lang w:eastAsia="zh-CN"/>
        </w:rPr>
        <w:t>南</w:t>
      </w:r>
      <w:r>
        <w:rPr>
          <w:rFonts w:hint="eastAsia" w:ascii="方正小标宋简体" w:hAnsi="仿宋" w:eastAsia="方正小标宋简体" w:cs="宋体"/>
          <w:bCs/>
          <w:sz w:val="32"/>
          <w:szCs w:val="28"/>
        </w:rPr>
        <w:t>区园林绿化养护</w:t>
      </w:r>
    </w:p>
    <w:p w14:paraId="3186149E">
      <w:pPr>
        <w:adjustRightInd w:val="0"/>
        <w:snapToGrid w:val="0"/>
        <w:spacing w:line="360" w:lineRule="auto"/>
        <w:jc w:val="center"/>
        <w:rPr>
          <w:rFonts w:ascii="方正小标宋简体" w:hAnsi="仿宋" w:eastAsia="方正小标宋简体" w:cs="宋体"/>
          <w:bCs/>
          <w:sz w:val="32"/>
          <w:szCs w:val="28"/>
        </w:rPr>
      </w:pPr>
      <w:r>
        <w:rPr>
          <w:rFonts w:hint="eastAsia" w:ascii="方正小标宋简体" w:hAnsi="仿宋" w:eastAsia="方正小标宋简体" w:cs="宋体"/>
          <w:bCs/>
          <w:sz w:val="32"/>
          <w:szCs w:val="28"/>
        </w:rPr>
        <w:t>采购需求</w:t>
      </w:r>
    </w:p>
    <w:p w14:paraId="6C16D690">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1、项目概况</w:t>
      </w:r>
    </w:p>
    <w:p w14:paraId="5369F5EE">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1.1养护地块地理位置、面积及投资额</w:t>
      </w:r>
    </w:p>
    <w:p w14:paraId="1B0E5096">
      <w:pPr>
        <w:adjustRightInd w:val="0"/>
        <w:snapToGrid w:val="0"/>
        <w:spacing w:line="360" w:lineRule="auto"/>
        <w:ind w:firstLine="560" w:firstLineChars="200"/>
        <w:jc w:val="left"/>
        <w:rPr>
          <w:rFonts w:hint="eastAsia" w:ascii="仿宋" w:hAnsi="仿宋" w:eastAsia="仿宋"/>
          <w:sz w:val="28"/>
          <w:szCs w:val="28"/>
          <w:lang w:eastAsia="zh-CN"/>
        </w:rPr>
      </w:pPr>
      <w:r>
        <w:rPr>
          <w:rFonts w:hint="eastAsia" w:ascii="仿宋" w:hAnsi="仿宋" w:eastAsia="仿宋"/>
          <w:sz w:val="28"/>
          <w:szCs w:val="28"/>
        </w:rPr>
        <w:t>上海植物园位于徐汇区龙吴路1111号，本项目所涉及的绿化养护区域以张家塘为界瑶华桥以西张家塘以南</w:t>
      </w:r>
      <w:r>
        <w:rPr>
          <w:rFonts w:hint="eastAsia" w:ascii="仿宋" w:hAnsi="仿宋" w:eastAsia="仿宋"/>
          <w:sz w:val="28"/>
          <w:szCs w:val="28"/>
          <w:lang w:eastAsia="zh-CN"/>
        </w:rPr>
        <w:t>的上海植物园红线</w:t>
      </w:r>
      <w:r>
        <w:rPr>
          <w:rFonts w:hint="eastAsia" w:ascii="仿宋" w:hAnsi="仿宋" w:eastAsia="仿宋"/>
          <w:sz w:val="28"/>
          <w:szCs w:val="28"/>
        </w:rPr>
        <w:t>区域，</w:t>
      </w:r>
      <w:r>
        <w:rPr>
          <w:rFonts w:hint="eastAsia" w:ascii="仿宋" w:hAnsi="仿宋" w:eastAsia="仿宋"/>
          <w:sz w:val="28"/>
          <w:szCs w:val="28"/>
          <w:lang w:eastAsia="zh-CN"/>
        </w:rPr>
        <w:t>绿化</w:t>
      </w:r>
      <w:r>
        <w:rPr>
          <w:rFonts w:hint="eastAsia" w:ascii="仿宋" w:hAnsi="仿宋" w:eastAsia="仿宋"/>
          <w:sz w:val="28"/>
          <w:szCs w:val="28"/>
        </w:rPr>
        <w:t>养护面积约</w:t>
      </w:r>
      <w:r>
        <w:rPr>
          <w:rFonts w:ascii="仿宋" w:hAnsi="仿宋" w:eastAsia="仿宋"/>
          <w:sz w:val="28"/>
          <w:szCs w:val="28"/>
        </w:rPr>
        <w:t>5</w:t>
      </w:r>
      <w:r>
        <w:rPr>
          <w:rFonts w:hint="eastAsia" w:ascii="仿宋" w:hAnsi="仿宋" w:eastAsia="仿宋"/>
          <w:sz w:val="28"/>
          <w:szCs w:val="28"/>
        </w:rPr>
        <w:t>0万平方</w:t>
      </w:r>
      <w:r>
        <w:rPr>
          <w:rFonts w:hint="eastAsia" w:ascii="仿宋" w:hAnsi="仿宋" w:eastAsia="仿宋"/>
          <w:sz w:val="28"/>
          <w:szCs w:val="28"/>
          <w:highlight w:val="none"/>
        </w:rPr>
        <w:t>米</w:t>
      </w:r>
      <w:r>
        <w:rPr>
          <w:rFonts w:hint="eastAsia" w:ascii="仿宋" w:hAnsi="仿宋" w:eastAsia="仿宋"/>
          <w:sz w:val="28"/>
          <w:szCs w:val="28"/>
          <w:highlight w:val="none"/>
          <w:lang w:eastAsia="zh-CN"/>
        </w:rPr>
        <w:t>。</w:t>
      </w:r>
    </w:p>
    <w:p w14:paraId="345C63D1">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1.2养护地块养护工作主要内容包括：</w:t>
      </w:r>
    </w:p>
    <w:p w14:paraId="20C7E38B">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承包内容：乔木养护，灌木养护，地被养护，草坪养护（精养和普通），迁地保育圃地管理，有害生物防治，专类园植物抽稀调整，绿化恢复管护</w:t>
      </w:r>
      <w:r>
        <w:rPr>
          <w:rFonts w:hint="eastAsia" w:ascii="仿宋" w:hAnsi="仿宋" w:eastAsia="仿宋"/>
          <w:sz w:val="28"/>
          <w:szCs w:val="28"/>
          <w:lang w:eastAsia="zh-CN"/>
        </w:rPr>
        <w:t>，</w:t>
      </w:r>
      <w:r>
        <w:rPr>
          <w:rFonts w:hint="eastAsia" w:ascii="仿宋" w:hAnsi="仿宋" w:eastAsia="仿宋"/>
          <w:sz w:val="28"/>
          <w:szCs w:val="28"/>
        </w:rPr>
        <w:t>植物垃圾清</w:t>
      </w:r>
      <w:r>
        <w:rPr>
          <w:rFonts w:hint="eastAsia" w:ascii="仿宋" w:hAnsi="仿宋" w:eastAsia="仿宋"/>
          <w:sz w:val="28"/>
          <w:szCs w:val="28"/>
          <w:lang w:eastAsia="zh-CN"/>
        </w:rPr>
        <w:t>，</w:t>
      </w:r>
      <w:r>
        <w:rPr>
          <w:rFonts w:hint="eastAsia" w:ascii="仿宋" w:hAnsi="仿宋" w:eastAsia="仿宋" w:cs="Times New Roman"/>
          <w:sz w:val="30"/>
          <w:szCs w:val="30"/>
          <w:lang w:val="en-US" w:eastAsia="zh-CN"/>
        </w:rPr>
        <w:t>喷雾、灌溉、割草机器等设施的日常运行管理；</w:t>
      </w:r>
      <w:r>
        <w:rPr>
          <w:rFonts w:hint="eastAsia" w:ascii="仿宋" w:hAnsi="仿宋" w:eastAsia="仿宋"/>
          <w:sz w:val="28"/>
          <w:szCs w:val="28"/>
        </w:rPr>
        <w:t>协助完成</w:t>
      </w:r>
      <w:r>
        <w:rPr>
          <w:rFonts w:hint="eastAsia" w:ascii="仿宋" w:hAnsi="仿宋" w:eastAsia="仿宋"/>
          <w:sz w:val="28"/>
          <w:szCs w:val="28"/>
          <w:lang w:eastAsia="zh-CN"/>
        </w:rPr>
        <w:t>各类</w:t>
      </w:r>
      <w:r>
        <w:rPr>
          <w:rFonts w:hint="eastAsia" w:ascii="仿宋" w:hAnsi="仿宋" w:eastAsia="仿宋"/>
          <w:sz w:val="28"/>
          <w:szCs w:val="28"/>
        </w:rPr>
        <w:t>规模不等的</w:t>
      </w:r>
      <w:r>
        <w:rPr>
          <w:rFonts w:hint="eastAsia" w:ascii="仿宋" w:hAnsi="仿宋" w:eastAsia="仿宋"/>
          <w:sz w:val="28"/>
          <w:szCs w:val="28"/>
          <w:lang w:eastAsia="zh-CN"/>
        </w:rPr>
        <w:t>植物专题活动期间</w:t>
      </w:r>
      <w:r>
        <w:rPr>
          <w:rFonts w:hint="eastAsia" w:ascii="仿宋" w:hAnsi="仿宋" w:eastAsia="仿宋"/>
          <w:sz w:val="28"/>
          <w:szCs w:val="28"/>
        </w:rPr>
        <w:t>的相关保障工作，包括</w:t>
      </w:r>
      <w:r>
        <w:rPr>
          <w:rFonts w:hint="eastAsia" w:ascii="仿宋" w:hAnsi="仿宋" w:eastAsia="仿宋"/>
          <w:sz w:val="28"/>
          <w:szCs w:val="28"/>
          <w:lang w:eastAsia="zh-CN"/>
        </w:rPr>
        <w:t>活动区域</w:t>
      </w:r>
      <w:r>
        <w:rPr>
          <w:rFonts w:hint="eastAsia" w:ascii="仿宋" w:hAnsi="仿宋" w:eastAsia="仿宋"/>
          <w:sz w:val="28"/>
          <w:szCs w:val="28"/>
        </w:rPr>
        <w:t>场地清理、</w:t>
      </w:r>
      <w:r>
        <w:rPr>
          <w:rFonts w:hint="eastAsia" w:ascii="仿宋" w:hAnsi="仿宋" w:eastAsia="仿宋"/>
          <w:sz w:val="28"/>
          <w:szCs w:val="28"/>
          <w:lang w:eastAsia="zh-CN"/>
        </w:rPr>
        <w:t>活动</w:t>
      </w:r>
      <w:r>
        <w:rPr>
          <w:rFonts w:hint="eastAsia" w:ascii="仿宋" w:hAnsi="仿宋" w:eastAsia="仿宋"/>
          <w:sz w:val="28"/>
          <w:szCs w:val="28"/>
        </w:rPr>
        <w:t>材料园内运输、环境整理</w:t>
      </w:r>
      <w:r>
        <w:rPr>
          <w:rFonts w:hint="eastAsia" w:ascii="仿宋" w:hAnsi="仿宋" w:eastAsia="仿宋"/>
          <w:sz w:val="28"/>
          <w:szCs w:val="28"/>
          <w:lang w:eastAsia="zh-CN"/>
        </w:rPr>
        <w:t>、活动后场地</w:t>
      </w:r>
      <w:r>
        <w:rPr>
          <w:rFonts w:hint="eastAsia" w:ascii="仿宋" w:hAnsi="仿宋" w:eastAsia="仿宋"/>
          <w:sz w:val="28"/>
          <w:szCs w:val="28"/>
        </w:rPr>
        <w:t>恢复等相关工作</w:t>
      </w:r>
      <w:r>
        <w:rPr>
          <w:rFonts w:hint="eastAsia" w:ascii="仿宋" w:hAnsi="仿宋" w:eastAsia="仿宋"/>
          <w:sz w:val="28"/>
          <w:szCs w:val="28"/>
          <w:lang w:eastAsia="zh-CN"/>
        </w:rPr>
        <w:t>；</w:t>
      </w:r>
      <w:r>
        <w:rPr>
          <w:rFonts w:hint="eastAsia" w:ascii="仿宋" w:hAnsi="仿宋" w:eastAsia="仿宋" w:cs="Times New Roman"/>
          <w:sz w:val="30"/>
          <w:szCs w:val="30"/>
          <w:lang w:val="en-US" w:eastAsia="zh-CN"/>
        </w:rPr>
        <w:t>设施设备维保、台账记录</w:t>
      </w:r>
      <w:r>
        <w:rPr>
          <w:rFonts w:hint="eastAsia" w:ascii="仿宋" w:hAnsi="仿宋" w:eastAsia="仿宋"/>
          <w:sz w:val="28"/>
          <w:szCs w:val="28"/>
        </w:rPr>
        <w:t>等工作。园区</w:t>
      </w:r>
      <w:r>
        <w:rPr>
          <w:rFonts w:hint="eastAsia" w:ascii="仿宋" w:hAnsi="仿宋" w:eastAsia="仿宋" w:cs="Times New Roman"/>
          <w:color w:val="auto"/>
          <w:kern w:val="2"/>
          <w:sz w:val="28"/>
          <w:szCs w:val="28"/>
          <w:highlight w:val="none"/>
          <w:lang w:eastAsia="zh-CN"/>
        </w:rPr>
        <w:t>实行绿化养护分级分类管理</w:t>
      </w:r>
      <w:r>
        <w:rPr>
          <w:rFonts w:hint="eastAsia" w:ascii="仿宋" w:hAnsi="仿宋" w:eastAsia="仿宋" w:cs="Times New Roman"/>
          <w:color w:val="auto"/>
          <w:kern w:val="2"/>
          <w:sz w:val="28"/>
          <w:szCs w:val="28"/>
          <w:highlight w:val="none"/>
        </w:rPr>
        <w:t>。</w:t>
      </w:r>
      <w:r>
        <w:rPr>
          <w:rFonts w:ascii="仿宋" w:hAnsi="仿宋" w:eastAsia="仿宋" w:cs="Times New Roman"/>
          <w:color w:val="auto"/>
          <w:kern w:val="2"/>
          <w:sz w:val="28"/>
          <w:szCs w:val="28"/>
          <w:highlight w:val="none"/>
        </w:rPr>
        <w:t xml:space="preserve"> </w:t>
      </w:r>
      <w:r>
        <w:rPr>
          <w:rFonts w:hint="eastAsia" w:ascii="仿宋" w:hAnsi="仿宋" w:eastAsia="仿宋" w:cs="Times New Roman"/>
          <w:color w:val="auto"/>
          <w:kern w:val="2"/>
          <w:sz w:val="28"/>
          <w:szCs w:val="28"/>
          <w:highlight w:val="none"/>
          <w:lang w:eastAsia="zh-CN"/>
        </w:rPr>
        <w:t>一级绿地</w:t>
      </w:r>
      <w:r>
        <w:rPr>
          <w:rFonts w:hint="eastAsia" w:ascii="仿宋" w:hAnsi="仿宋" w:eastAsia="仿宋" w:cs="Times New Roman"/>
          <w:color w:val="auto"/>
          <w:kern w:val="2"/>
          <w:sz w:val="28"/>
          <w:szCs w:val="28"/>
          <w:highlight w:val="none"/>
          <w:lang w:val="en-US" w:eastAsia="zh-CN"/>
        </w:rPr>
        <w:t>58000平方米，包括1、3号门出入口内外广场、月季园、杜鹃园、牡丹园；二级绿地185780平方米，包括</w:t>
      </w:r>
      <w:r>
        <w:rPr>
          <w:rFonts w:hint="eastAsia" w:ascii="仿宋" w:hAnsi="仿宋" w:eastAsia="仿宋"/>
          <w:sz w:val="28"/>
          <w:szCs w:val="28"/>
          <w:highlight w:val="none"/>
        </w:rPr>
        <w:t>蕨类园、松柏园、木兰园、蔷薇园、槭树园、桂花园、竹园、单子叶植物区</w:t>
      </w:r>
      <w:r>
        <w:rPr>
          <w:rFonts w:hint="eastAsia" w:ascii="仿宋" w:hAnsi="仿宋" w:eastAsia="仿宋"/>
          <w:sz w:val="28"/>
          <w:szCs w:val="28"/>
          <w:highlight w:val="none"/>
          <w:lang w:eastAsia="zh-CN"/>
        </w:rPr>
        <w:t>、</w:t>
      </w:r>
      <w:r>
        <w:rPr>
          <w:rFonts w:hint="eastAsia" w:ascii="仿宋" w:hAnsi="仿宋" w:eastAsia="仿宋"/>
          <w:sz w:val="28"/>
          <w:szCs w:val="28"/>
          <w:highlight w:val="none"/>
        </w:rPr>
        <w:t>环保区、母本园</w:t>
      </w:r>
      <w:r>
        <w:rPr>
          <w:rFonts w:hint="eastAsia" w:ascii="仿宋" w:hAnsi="仿宋" w:eastAsia="仿宋"/>
          <w:sz w:val="28"/>
          <w:szCs w:val="28"/>
          <w:highlight w:val="none"/>
          <w:lang w:eastAsia="zh-CN"/>
        </w:rPr>
        <w:t>、围合专类园（</w:t>
      </w:r>
      <w:r>
        <w:rPr>
          <w:rFonts w:hint="eastAsia" w:ascii="仿宋" w:hAnsi="仿宋" w:eastAsia="仿宋"/>
          <w:sz w:val="28"/>
          <w:szCs w:val="28"/>
          <w:highlight w:val="none"/>
        </w:rPr>
        <w:t>草药园</w:t>
      </w:r>
      <w:r>
        <w:rPr>
          <w:rFonts w:hint="eastAsia" w:ascii="仿宋" w:hAnsi="仿宋" w:eastAsia="仿宋"/>
          <w:sz w:val="28"/>
          <w:szCs w:val="28"/>
          <w:highlight w:val="none"/>
          <w:lang w:eastAsia="zh-CN"/>
        </w:rPr>
        <w:t>、</w:t>
      </w:r>
      <w:r>
        <w:rPr>
          <w:rFonts w:hint="eastAsia" w:ascii="仿宋" w:hAnsi="仿宋" w:eastAsia="仿宋"/>
          <w:sz w:val="28"/>
          <w:szCs w:val="28"/>
          <w:highlight w:val="none"/>
        </w:rPr>
        <w:t>兰室</w:t>
      </w:r>
      <w:r>
        <w:rPr>
          <w:rFonts w:hint="eastAsia" w:ascii="仿宋" w:hAnsi="仿宋" w:eastAsia="仿宋"/>
          <w:sz w:val="28"/>
          <w:szCs w:val="28"/>
          <w:highlight w:val="none"/>
          <w:lang w:eastAsia="zh-CN"/>
        </w:rPr>
        <w:t>、</w:t>
      </w:r>
      <w:r>
        <w:rPr>
          <w:rFonts w:hint="eastAsia" w:ascii="仿宋" w:hAnsi="仿宋" w:eastAsia="仿宋"/>
          <w:sz w:val="28"/>
          <w:szCs w:val="28"/>
          <w:highlight w:val="none"/>
        </w:rPr>
        <w:t>盆景园</w:t>
      </w:r>
      <w:r>
        <w:rPr>
          <w:rFonts w:hint="eastAsia" w:ascii="仿宋" w:hAnsi="仿宋" w:eastAsia="仿宋"/>
          <w:sz w:val="28"/>
          <w:szCs w:val="28"/>
          <w:highlight w:val="none"/>
          <w:lang w:eastAsia="zh-CN"/>
        </w:rPr>
        <w:t>、</w:t>
      </w:r>
      <w:r>
        <w:rPr>
          <w:rFonts w:hint="eastAsia" w:ascii="仿宋" w:hAnsi="仿宋" w:eastAsia="仿宋"/>
          <w:sz w:val="28"/>
          <w:szCs w:val="28"/>
          <w:highlight w:val="none"/>
        </w:rPr>
        <w:t>展览温室群</w:t>
      </w:r>
      <w:r>
        <w:rPr>
          <w:rFonts w:hint="eastAsia" w:ascii="仿宋" w:hAnsi="仿宋" w:eastAsia="仿宋"/>
          <w:sz w:val="28"/>
          <w:szCs w:val="28"/>
          <w:highlight w:val="none"/>
          <w:lang w:eastAsia="zh-CN"/>
        </w:rPr>
        <w:t>）</w:t>
      </w:r>
      <w:r>
        <w:rPr>
          <w:rFonts w:hint="eastAsia" w:ascii="仿宋" w:hAnsi="仿宋" w:eastAsia="仿宋"/>
          <w:sz w:val="28"/>
          <w:szCs w:val="28"/>
          <w:highlight w:val="none"/>
        </w:rPr>
        <w:t>外围环境绿化等景观区域；</w:t>
      </w:r>
      <w:r>
        <w:rPr>
          <w:rFonts w:hint="eastAsia" w:ascii="仿宋" w:hAnsi="仿宋" w:eastAsia="仿宋" w:cs="Times New Roman"/>
          <w:color w:val="auto"/>
          <w:kern w:val="2"/>
          <w:sz w:val="28"/>
          <w:szCs w:val="28"/>
          <w:highlight w:val="none"/>
          <w:lang w:val="en-US" w:eastAsia="zh-CN"/>
        </w:rPr>
        <w:t>三级绿地60000平方米，非开放苗圃及保育后场区域</w:t>
      </w:r>
      <w:r>
        <w:rPr>
          <w:rFonts w:hint="eastAsia" w:ascii="仿宋" w:hAnsi="仿宋" w:eastAsia="仿宋"/>
          <w:sz w:val="28"/>
          <w:szCs w:val="28"/>
          <w:highlight w:val="none"/>
        </w:rPr>
        <w:t>。</w:t>
      </w:r>
    </w:p>
    <w:p w14:paraId="6D19E942">
      <w:pPr>
        <w:adjustRightInd w:val="0"/>
        <w:snapToGrid w:val="0"/>
        <w:spacing w:line="360" w:lineRule="auto"/>
        <w:ind w:firstLine="562" w:firstLineChars="200"/>
        <w:jc w:val="left"/>
        <w:rPr>
          <w:rFonts w:ascii="仿宋" w:hAnsi="仿宋" w:eastAsia="仿宋"/>
          <w:b/>
          <w:bCs/>
          <w:sz w:val="28"/>
          <w:szCs w:val="28"/>
        </w:rPr>
      </w:pPr>
    </w:p>
    <w:p w14:paraId="6965AAC0">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2、资格条件</w:t>
      </w:r>
    </w:p>
    <w:p w14:paraId="7DDF3DB0">
      <w:pPr>
        <w:pStyle w:val="57"/>
        <w:adjustRightInd w:val="0"/>
        <w:snapToGrid w:val="0"/>
        <w:spacing w:line="360" w:lineRule="auto"/>
        <w:ind w:firstLine="560"/>
        <w:jc w:val="left"/>
        <w:rPr>
          <w:rFonts w:ascii="仿宋" w:hAnsi="仿宋" w:eastAsia="仿宋"/>
          <w:sz w:val="28"/>
          <w:szCs w:val="28"/>
        </w:rPr>
      </w:pPr>
      <w:r>
        <w:rPr>
          <w:rFonts w:hint="eastAsia" w:ascii="仿宋" w:hAnsi="仿宋" w:eastAsia="仿宋"/>
          <w:sz w:val="28"/>
          <w:szCs w:val="28"/>
        </w:rPr>
        <w:t>见《招标文件》正文。</w:t>
      </w:r>
    </w:p>
    <w:p w14:paraId="17941A71">
      <w:pPr>
        <w:adjustRightInd w:val="0"/>
        <w:snapToGrid w:val="0"/>
        <w:spacing w:line="360" w:lineRule="auto"/>
        <w:ind w:firstLine="562" w:firstLineChars="200"/>
        <w:jc w:val="left"/>
        <w:rPr>
          <w:rFonts w:ascii="仿宋" w:hAnsi="仿宋" w:eastAsia="仿宋"/>
          <w:b/>
          <w:bCs/>
          <w:sz w:val="28"/>
          <w:szCs w:val="28"/>
        </w:rPr>
      </w:pPr>
    </w:p>
    <w:p w14:paraId="52FECB22">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3、报价范围</w:t>
      </w:r>
    </w:p>
    <w:p w14:paraId="027AAD46">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投标人投标报价应至少满足</w:t>
      </w:r>
      <w:r>
        <w:rPr>
          <w:rFonts w:hint="eastAsia" w:ascii="仿宋" w:hAnsi="仿宋" w:eastAsia="仿宋"/>
          <w:sz w:val="28"/>
          <w:szCs w:val="28"/>
          <w:lang w:eastAsia="zh-CN"/>
        </w:rPr>
        <w:t>采购需求所附</w:t>
      </w:r>
      <w:r>
        <w:rPr>
          <w:rFonts w:hint="eastAsia" w:ascii="仿宋" w:hAnsi="仿宋" w:eastAsia="仿宋"/>
          <w:sz w:val="28"/>
          <w:szCs w:val="28"/>
        </w:rPr>
        <w:t>清单要求，对于未列出的但对养护的正常运行必不可少的人工、机械、工具及其它辅助材料等，投标人有责任给予补充，且包含在投标总报价中。</w:t>
      </w:r>
    </w:p>
    <w:p w14:paraId="55ABADFA">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1</w:t>
      </w:r>
      <w:r>
        <w:rPr>
          <w:rFonts w:hint="eastAsia" w:ascii="仿宋" w:hAnsi="仿宋" w:eastAsia="仿宋"/>
          <w:sz w:val="28"/>
          <w:szCs w:val="28"/>
        </w:rPr>
        <w:t xml:space="preserve"> 工作量的确定</w:t>
      </w:r>
    </w:p>
    <w:p w14:paraId="7A3CD9FA">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养护工作量由采购人和中标供应商在订立合同前确定。中标供应商进场后，如发现实际工作量与合同约定不符，应在进场后7天内，向采购人提交养护工作量差异的报告。采购人接到报告后7天内对实际养护工作量进行确认，并在计量前3天内通知供应商，供应商为计量提供便利条件并派人参加。供应商进场后15天内，不提出养护工作量差异的报告，视为合同确定的工作量无差异；采购人收到供应商的报告后，在约定时间内不组织计量的，视为认可供应商的差异报告。</w:t>
      </w:r>
    </w:p>
    <w:p w14:paraId="1B1DF059">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经过计量，若因增加或减少的苗木量所产生的养护费变化小于等于本合同总价的5 %时，合同总价不作调整；若因苗木量减少导致养护费大于本合同总价5 %时，则从合同总价中扣除减少的苗木量养护费；若因苗木量增加导致养护费大于本合同总价5 %且小于等于本合同总价的10%时，则在合同总价中加上增加的苗木量养护费，增加后的合同总价不得超出本项目预算批复。增加的经费大于本合同总价的10%时，按相关法律法规要求另行采购。调整养护费时，工作量按实调整，单价取定均以投标文件为准。</w:t>
      </w:r>
    </w:p>
    <w:p w14:paraId="2F4FF21D">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2</w:t>
      </w:r>
      <w:r>
        <w:rPr>
          <w:rFonts w:hint="eastAsia" w:ascii="仿宋" w:hAnsi="仿宋" w:eastAsia="仿宋"/>
          <w:sz w:val="28"/>
          <w:szCs w:val="28"/>
        </w:rPr>
        <w:t>植保费用</w:t>
      </w:r>
    </w:p>
    <w:p w14:paraId="247A7A18">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植保费用请所有投标人统一按</w:t>
      </w:r>
      <w:r>
        <w:rPr>
          <w:rFonts w:hint="eastAsia" w:ascii="仿宋" w:hAnsi="仿宋" w:eastAsia="仿宋"/>
          <w:sz w:val="28"/>
          <w:szCs w:val="28"/>
          <w:highlight w:val="none"/>
        </w:rPr>
        <w:t>照</w:t>
      </w:r>
      <w:r>
        <w:rPr>
          <w:rFonts w:hint="eastAsia" w:ascii="仿宋" w:hAnsi="仿宋" w:eastAsia="仿宋"/>
          <w:sz w:val="28"/>
          <w:szCs w:val="28"/>
          <w:highlight w:val="none"/>
          <w:lang w:val="en-US" w:eastAsia="zh-CN"/>
        </w:rPr>
        <w:t>35</w:t>
      </w:r>
      <w:r>
        <w:rPr>
          <w:rFonts w:hint="eastAsia" w:ascii="仿宋" w:hAnsi="仿宋" w:eastAsia="仿宋"/>
          <w:sz w:val="28"/>
          <w:szCs w:val="28"/>
          <w:highlight w:val="none"/>
        </w:rPr>
        <w:t>万元进行投报。实施时，由园艺部门确定需求，中标供应商按照要求采购符合要求的植保药剂</w:t>
      </w:r>
      <w:r>
        <w:rPr>
          <w:rFonts w:hint="eastAsia" w:ascii="仿宋" w:hAnsi="仿宋" w:eastAsia="仿宋"/>
          <w:sz w:val="28"/>
          <w:szCs w:val="28"/>
          <w:highlight w:val="none"/>
          <w:lang w:eastAsia="zh-CN"/>
        </w:rPr>
        <w:t>、病虫害防控设施和监测服务</w:t>
      </w:r>
      <w:r>
        <w:rPr>
          <w:rFonts w:hint="eastAsia" w:ascii="仿宋" w:hAnsi="仿宋" w:eastAsia="仿宋"/>
          <w:sz w:val="28"/>
          <w:szCs w:val="28"/>
          <w:highlight w:val="none"/>
        </w:rPr>
        <w:t>，</w:t>
      </w:r>
      <w:r>
        <w:rPr>
          <w:rFonts w:hint="eastAsia" w:ascii="仿宋" w:hAnsi="仿宋" w:eastAsia="仿宋"/>
          <w:sz w:val="28"/>
          <w:szCs w:val="28"/>
        </w:rPr>
        <w:t xml:space="preserve">数量按实计量，费用参考市场行情进行结算。  </w:t>
      </w:r>
    </w:p>
    <w:p w14:paraId="58631E95">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3</w:t>
      </w:r>
      <w:r>
        <w:rPr>
          <w:rFonts w:hint="eastAsia" w:ascii="仿宋" w:hAnsi="仿宋" w:eastAsia="仿宋"/>
          <w:sz w:val="28"/>
          <w:szCs w:val="28"/>
        </w:rPr>
        <w:t>专类园植物抽稀调整</w:t>
      </w:r>
    </w:p>
    <w:p w14:paraId="53B2A57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在每年春秋两季适宜植物移栽种植的季节，需协助采购方完成专类植物</w:t>
      </w:r>
      <w:r>
        <w:rPr>
          <w:rFonts w:hint="eastAsia" w:ascii="仿宋" w:hAnsi="仿宋" w:eastAsia="仿宋"/>
          <w:sz w:val="28"/>
          <w:szCs w:val="28"/>
          <w:lang w:eastAsia="zh-CN"/>
        </w:rPr>
        <w:t>群落</w:t>
      </w:r>
      <w:r>
        <w:rPr>
          <w:rFonts w:hint="eastAsia" w:ascii="仿宋" w:hAnsi="仿宋" w:eastAsia="仿宋"/>
          <w:sz w:val="28"/>
          <w:szCs w:val="28"/>
        </w:rPr>
        <w:t>调整和更新工作，包括植物移栽、种植、土壤改良等工作（工作量</w:t>
      </w:r>
      <w:r>
        <w:rPr>
          <w:rFonts w:hint="eastAsia" w:ascii="仿宋" w:hAnsi="仿宋" w:eastAsia="仿宋"/>
          <w:sz w:val="28"/>
          <w:szCs w:val="28"/>
          <w:lang w:eastAsia="zh-CN"/>
        </w:rPr>
        <w:t>统一按</w:t>
      </w:r>
      <w:r>
        <w:rPr>
          <w:rFonts w:hint="eastAsia" w:ascii="仿宋" w:hAnsi="仿宋" w:eastAsia="仿宋"/>
          <w:sz w:val="28"/>
          <w:szCs w:val="28"/>
        </w:rPr>
        <w:t>不超过</w:t>
      </w:r>
      <w:r>
        <w:rPr>
          <w:rFonts w:hint="eastAsia" w:ascii="仿宋" w:hAnsi="仿宋" w:eastAsia="仿宋"/>
          <w:sz w:val="28"/>
          <w:szCs w:val="28"/>
          <w:lang w:eastAsia="zh-CN"/>
        </w:rPr>
        <w:t>本项目</w:t>
      </w:r>
      <w:r>
        <w:rPr>
          <w:rFonts w:hint="eastAsia" w:ascii="仿宋" w:hAnsi="仿宋" w:eastAsia="仿宋"/>
          <w:sz w:val="28"/>
          <w:szCs w:val="28"/>
        </w:rPr>
        <w:t>植物总量的5%</w:t>
      </w:r>
      <w:r>
        <w:rPr>
          <w:rFonts w:hint="eastAsia" w:ascii="仿宋" w:hAnsi="仿宋" w:eastAsia="仿宋"/>
          <w:sz w:val="28"/>
          <w:szCs w:val="28"/>
          <w:lang w:eastAsia="zh-CN"/>
        </w:rPr>
        <w:t>进行报价，实际发生时</w:t>
      </w:r>
      <w:r>
        <w:rPr>
          <w:rFonts w:hint="eastAsia" w:ascii="仿宋" w:hAnsi="仿宋" w:eastAsia="仿宋"/>
          <w:sz w:val="28"/>
          <w:szCs w:val="28"/>
        </w:rPr>
        <w:t>以签证单</w:t>
      </w:r>
      <w:r>
        <w:rPr>
          <w:rFonts w:hint="eastAsia" w:ascii="仿宋" w:hAnsi="仿宋" w:eastAsia="仿宋"/>
          <w:sz w:val="28"/>
          <w:szCs w:val="28"/>
          <w:lang w:eastAsia="zh-CN"/>
        </w:rPr>
        <w:t>形式确认</w:t>
      </w:r>
      <w:r>
        <w:rPr>
          <w:rFonts w:hint="eastAsia" w:ascii="仿宋" w:hAnsi="仿宋" w:eastAsia="仿宋"/>
          <w:sz w:val="28"/>
          <w:szCs w:val="28"/>
        </w:rPr>
        <w:t>工作量</w:t>
      </w:r>
      <w:r>
        <w:rPr>
          <w:rFonts w:hint="eastAsia" w:ascii="仿宋" w:hAnsi="仿宋" w:eastAsia="仿宋"/>
          <w:sz w:val="28"/>
          <w:szCs w:val="28"/>
          <w:lang w:eastAsia="zh-CN"/>
        </w:rPr>
        <w:t>，结算时数量按实调整，中标单价不变</w:t>
      </w:r>
      <w:r>
        <w:rPr>
          <w:rFonts w:hint="eastAsia" w:ascii="仿宋" w:hAnsi="仿宋" w:eastAsia="仿宋"/>
          <w:sz w:val="28"/>
          <w:szCs w:val="28"/>
        </w:rPr>
        <w:t>）。</w:t>
      </w:r>
    </w:p>
    <w:p w14:paraId="4D56965E">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4</w:t>
      </w:r>
      <w:r>
        <w:rPr>
          <w:rFonts w:hint="eastAsia" w:ascii="仿宋" w:hAnsi="仿宋" w:eastAsia="仿宋"/>
          <w:sz w:val="28"/>
          <w:szCs w:val="28"/>
        </w:rPr>
        <w:t>绿化恢复管护</w:t>
      </w:r>
    </w:p>
    <w:p w14:paraId="158203AB">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根据游览引起的人为破坏情况，不定期开展绿化恢复、开展相应的植物复壮和保护等管护措施（工作量</w:t>
      </w:r>
      <w:r>
        <w:rPr>
          <w:rFonts w:hint="eastAsia" w:ascii="仿宋" w:hAnsi="仿宋" w:eastAsia="仿宋"/>
          <w:sz w:val="28"/>
          <w:szCs w:val="28"/>
          <w:lang w:eastAsia="zh-CN"/>
        </w:rPr>
        <w:t>统一按</w:t>
      </w:r>
      <w:r>
        <w:rPr>
          <w:rFonts w:hint="eastAsia" w:ascii="仿宋" w:hAnsi="仿宋" w:eastAsia="仿宋"/>
          <w:sz w:val="28"/>
          <w:szCs w:val="28"/>
        </w:rPr>
        <w:t>不超过</w:t>
      </w:r>
      <w:r>
        <w:rPr>
          <w:rFonts w:hint="eastAsia" w:ascii="仿宋" w:hAnsi="仿宋" w:eastAsia="仿宋"/>
          <w:sz w:val="28"/>
          <w:szCs w:val="28"/>
          <w:lang w:eastAsia="zh-CN"/>
        </w:rPr>
        <w:t>本项目</w:t>
      </w:r>
      <w:r>
        <w:rPr>
          <w:rFonts w:hint="eastAsia" w:ascii="仿宋" w:hAnsi="仿宋" w:eastAsia="仿宋"/>
          <w:sz w:val="28"/>
          <w:szCs w:val="28"/>
        </w:rPr>
        <w:t>植物总量的5%</w:t>
      </w:r>
      <w:r>
        <w:rPr>
          <w:rFonts w:hint="eastAsia" w:ascii="仿宋" w:hAnsi="仿宋" w:eastAsia="仿宋"/>
          <w:sz w:val="28"/>
          <w:szCs w:val="28"/>
          <w:lang w:eastAsia="zh-CN"/>
        </w:rPr>
        <w:t>进行报价，实际发生时</w:t>
      </w:r>
      <w:r>
        <w:rPr>
          <w:rFonts w:hint="eastAsia" w:ascii="仿宋" w:hAnsi="仿宋" w:eastAsia="仿宋"/>
          <w:sz w:val="28"/>
          <w:szCs w:val="28"/>
        </w:rPr>
        <w:t>以签证单</w:t>
      </w:r>
      <w:r>
        <w:rPr>
          <w:rFonts w:hint="eastAsia" w:ascii="仿宋" w:hAnsi="仿宋" w:eastAsia="仿宋"/>
          <w:sz w:val="28"/>
          <w:szCs w:val="28"/>
          <w:lang w:eastAsia="zh-CN"/>
        </w:rPr>
        <w:t>形式确认</w:t>
      </w:r>
      <w:r>
        <w:rPr>
          <w:rFonts w:hint="eastAsia" w:ascii="仿宋" w:hAnsi="仿宋" w:eastAsia="仿宋"/>
          <w:sz w:val="28"/>
          <w:szCs w:val="28"/>
        </w:rPr>
        <w:t>工作量</w:t>
      </w:r>
      <w:r>
        <w:rPr>
          <w:rFonts w:hint="eastAsia" w:ascii="仿宋" w:hAnsi="仿宋" w:eastAsia="仿宋"/>
          <w:sz w:val="28"/>
          <w:szCs w:val="28"/>
          <w:lang w:eastAsia="zh-CN"/>
        </w:rPr>
        <w:t>，结算时数量按实调整，中标单价不变</w:t>
      </w:r>
      <w:r>
        <w:rPr>
          <w:rFonts w:hint="eastAsia" w:ascii="仿宋" w:hAnsi="仿宋" w:eastAsia="仿宋"/>
          <w:sz w:val="28"/>
          <w:szCs w:val="28"/>
        </w:rPr>
        <w:t>）。</w:t>
      </w:r>
    </w:p>
    <w:p w14:paraId="060BDAA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5</w:t>
      </w:r>
      <w:r>
        <w:rPr>
          <w:rFonts w:hint="eastAsia" w:ascii="仿宋" w:hAnsi="仿宋" w:eastAsia="仿宋"/>
          <w:sz w:val="28"/>
          <w:szCs w:val="28"/>
        </w:rPr>
        <w:t>迁地保育圃地管理</w:t>
      </w:r>
    </w:p>
    <w:p w14:paraId="23BB6A20">
      <w:pPr>
        <w:adjustRightInd w:val="0"/>
        <w:snapToGrid w:val="0"/>
        <w:spacing w:line="360" w:lineRule="auto"/>
        <w:ind w:firstLine="560" w:firstLineChars="200"/>
        <w:jc w:val="left"/>
        <w:rPr>
          <w:rFonts w:hint="eastAsia" w:ascii="仿宋" w:hAnsi="仿宋" w:eastAsia="仿宋"/>
          <w:sz w:val="28"/>
          <w:szCs w:val="28"/>
          <w:lang w:eastAsia="zh-CN"/>
        </w:rPr>
      </w:pPr>
      <w:r>
        <w:rPr>
          <w:rFonts w:hint="eastAsia" w:ascii="仿宋" w:hAnsi="仿宋" w:eastAsia="仿宋"/>
          <w:sz w:val="28"/>
          <w:szCs w:val="28"/>
        </w:rPr>
        <w:t>园内围栏隔离（不对公众开放）的迁地保育圃地的</w:t>
      </w:r>
      <w:r>
        <w:rPr>
          <w:rFonts w:hint="eastAsia" w:ascii="仿宋" w:hAnsi="仿宋" w:eastAsia="仿宋"/>
          <w:sz w:val="28"/>
          <w:szCs w:val="28"/>
          <w:lang w:eastAsia="zh-CN"/>
        </w:rPr>
        <w:t>环境</w:t>
      </w:r>
      <w:r>
        <w:rPr>
          <w:rFonts w:hint="eastAsia" w:ascii="仿宋" w:hAnsi="仿宋" w:eastAsia="仿宋"/>
          <w:sz w:val="28"/>
          <w:szCs w:val="28"/>
        </w:rPr>
        <w:t>日常管理</w:t>
      </w:r>
      <w:r>
        <w:rPr>
          <w:rFonts w:hint="eastAsia" w:ascii="仿宋" w:hAnsi="仿宋" w:eastAsia="仿宋"/>
          <w:sz w:val="28"/>
          <w:szCs w:val="28"/>
          <w:lang w:eastAsia="zh-CN"/>
        </w:rPr>
        <w:t>及绿地养护</w:t>
      </w:r>
      <w:r>
        <w:rPr>
          <w:rFonts w:hint="eastAsia" w:ascii="仿宋" w:hAnsi="仿宋" w:eastAsia="仿宋"/>
          <w:sz w:val="28"/>
          <w:szCs w:val="28"/>
        </w:rPr>
        <w:t>、引种苗的日常养护管理（</w:t>
      </w:r>
      <w:r>
        <w:rPr>
          <w:rFonts w:hint="eastAsia" w:ascii="仿宋" w:hAnsi="仿宋" w:eastAsia="仿宋"/>
          <w:sz w:val="28"/>
          <w:szCs w:val="28"/>
          <w:lang w:eastAsia="zh-CN"/>
        </w:rPr>
        <w:t>春秋季树木移栽，植物扦插、播种繁殖，盆栽植物换盆各一次</w:t>
      </w:r>
      <w:r>
        <w:rPr>
          <w:rFonts w:hint="eastAsia" w:ascii="仿宋" w:hAnsi="仿宋" w:eastAsia="仿宋"/>
          <w:sz w:val="28"/>
          <w:szCs w:val="28"/>
        </w:rPr>
        <w:t>等）。苗木清单</w:t>
      </w:r>
      <w:r>
        <w:rPr>
          <w:rFonts w:hint="eastAsia" w:ascii="仿宋" w:hAnsi="仿宋" w:eastAsia="仿宋"/>
          <w:sz w:val="28"/>
          <w:szCs w:val="28"/>
          <w:lang w:eastAsia="zh-CN"/>
        </w:rPr>
        <w:t>详见植物清单南区保育部分。</w:t>
      </w:r>
    </w:p>
    <w:p w14:paraId="2348CE25">
      <w:pPr>
        <w:adjustRightInd w:val="0"/>
        <w:snapToGrid w:val="0"/>
        <w:spacing w:line="360" w:lineRule="auto"/>
        <w:ind w:firstLine="562" w:firstLineChars="200"/>
        <w:jc w:val="left"/>
        <w:rPr>
          <w:rFonts w:ascii="仿宋" w:hAnsi="仿宋" w:eastAsia="仿宋"/>
          <w:b/>
          <w:sz w:val="28"/>
          <w:szCs w:val="28"/>
        </w:rPr>
      </w:pPr>
    </w:p>
    <w:p w14:paraId="21DC1D54">
      <w:pPr>
        <w:adjustRightInd w:val="0"/>
        <w:snapToGrid w:val="0"/>
        <w:spacing w:line="360" w:lineRule="auto"/>
        <w:ind w:firstLine="562" w:firstLineChars="200"/>
        <w:jc w:val="left"/>
        <w:rPr>
          <w:rFonts w:ascii="仿宋" w:hAnsi="仿宋" w:eastAsia="仿宋"/>
          <w:b/>
          <w:sz w:val="28"/>
          <w:szCs w:val="28"/>
        </w:rPr>
      </w:pPr>
      <w:r>
        <w:rPr>
          <w:rFonts w:hint="eastAsia" w:ascii="仿宋" w:hAnsi="仿宋" w:eastAsia="仿宋"/>
          <w:b/>
          <w:sz w:val="28"/>
          <w:szCs w:val="28"/>
        </w:rPr>
        <w:t>4、现场条件</w:t>
      </w:r>
    </w:p>
    <w:p w14:paraId="22A02E8E">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4.1采购方不提供办公场所、生活用房、工具间等生产及生活设施，投标单位自行安排。</w:t>
      </w:r>
    </w:p>
    <w:p w14:paraId="1E56859E">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4.2养护作业需要的用水、用电由采购方提供。</w:t>
      </w:r>
    </w:p>
    <w:p w14:paraId="0A5836DC">
      <w:pPr>
        <w:adjustRightInd w:val="0"/>
        <w:snapToGrid w:val="0"/>
        <w:spacing w:line="360" w:lineRule="auto"/>
        <w:ind w:firstLine="560" w:firstLineChars="200"/>
        <w:jc w:val="left"/>
        <w:rPr>
          <w:rFonts w:ascii="仿宋" w:hAnsi="仿宋" w:eastAsia="仿宋"/>
          <w:sz w:val="28"/>
          <w:szCs w:val="28"/>
        </w:rPr>
      </w:pPr>
    </w:p>
    <w:p w14:paraId="532792EB">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5、承包内容和范围</w:t>
      </w:r>
    </w:p>
    <w:p w14:paraId="58D205BD">
      <w:pPr>
        <w:pStyle w:val="44"/>
        <w:snapToGrid w:val="0"/>
        <w:spacing w:line="360" w:lineRule="auto"/>
        <w:ind w:firstLine="560" w:firstLineChars="200"/>
        <w:rPr>
          <w:rFonts w:hint="default" w:ascii="仿宋" w:hAnsi="仿宋" w:eastAsia="仿宋" w:cs="Times New Roman"/>
          <w:color w:val="auto"/>
          <w:kern w:val="2"/>
          <w:sz w:val="28"/>
          <w:szCs w:val="28"/>
          <w:highlight w:val="yellow"/>
          <w:lang w:val="en-US" w:eastAsia="zh-CN"/>
        </w:rPr>
      </w:pPr>
      <w:r>
        <w:rPr>
          <w:rFonts w:hint="eastAsia" w:ascii="仿宋" w:hAnsi="仿宋" w:eastAsia="仿宋" w:cs="Times New Roman"/>
          <w:color w:val="auto"/>
          <w:kern w:val="2"/>
          <w:sz w:val="28"/>
          <w:szCs w:val="28"/>
          <w:highlight w:val="yellow"/>
        </w:rPr>
        <w:t>5</w:t>
      </w:r>
      <w:r>
        <w:rPr>
          <w:rFonts w:ascii="仿宋" w:hAnsi="仿宋" w:eastAsia="仿宋" w:cs="Times New Roman"/>
          <w:color w:val="auto"/>
          <w:kern w:val="2"/>
          <w:sz w:val="28"/>
          <w:szCs w:val="28"/>
          <w:highlight w:val="yellow"/>
        </w:rPr>
        <w:t>.1</w:t>
      </w:r>
      <w:r>
        <w:rPr>
          <w:rFonts w:hint="eastAsia" w:ascii="仿宋" w:hAnsi="仿宋" w:eastAsia="仿宋" w:cs="Times New Roman"/>
          <w:color w:val="auto"/>
          <w:kern w:val="2"/>
          <w:sz w:val="28"/>
          <w:szCs w:val="28"/>
          <w:highlight w:val="yellow"/>
        </w:rPr>
        <w:t>绿地为一级二级</w:t>
      </w:r>
      <w:r>
        <w:rPr>
          <w:rFonts w:hint="eastAsia" w:ascii="仿宋" w:hAnsi="仿宋" w:eastAsia="仿宋" w:cs="Times New Roman"/>
          <w:color w:val="auto"/>
          <w:kern w:val="2"/>
          <w:sz w:val="28"/>
          <w:szCs w:val="28"/>
          <w:highlight w:val="yellow"/>
          <w:lang w:eastAsia="zh-CN"/>
        </w:rPr>
        <w:t>三级</w:t>
      </w:r>
      <w:r>
        <w:rPr>
          <w:rFonts w:hint="eastAsia" w:ascii="仿宋" w:hAnsi="仿宋" w:eastAsia="仿宋" w:cs="Times New Roman"/>
          <w:color w:val="auto"/>
          <w:kern w:val="2"/>
          <w:sz w:val="28"/>
          <w:szCs w:val="28"/>
          <w:highlight w:val="yellow"/>
        </w:rPr>
        <w:t>混合绿地。</w:t>
      </w:r>
      <w:r>
        <w:rPr>
          <w:rFonts w:ascii="仿宋" w:hAnsi="仿宋" w:eastAsia="仿宋" w:cs="Times New Roman"/>
          <w:color w:val="auto"/>
          <w:kern w:val="2"/>
          <w:sz w:val="28"/>
          <w:szCs w:val="28"/>
        </w:rPr>
        <w:t xml:space="preserve"> </w:t>
      </w:r>
    </w:p>
    <w:p w14:paraId="3AAC1B29">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.2</w:t>
      </w:r>
      <w:r>
        <w:rPr>
          <w:rFonts w:hint="eastAsia" w:ascii="仿宋" w:hAnsi="仿宋" w:eastAsia="仿宋" w:cs="Times New Roman"/>
          <w:color w:val="auto"/>
          <w:kern w:val="2"/>
          <w:sz w:val="28"/>
          <w:szCs w:val="28"/>
        </w:rPr>
        <w:t>本次招标项目不包括苗木因大幅度调整（</w:t>
      </w:r>
      <w:r>
        <w:rPr>
          <w:rFonts w:hint="eastAsia" w:ascii="仿宋" w:hAnsi="仿宋" w:eastAsia="仿宋"/>
          <w:color w:val="auto"/>
          <w:sz w:val="28"/>
          <w:szCs w:val="28"/>
        </w:rPr>
        <w:t>增加或减少的苗木量所产生的养护费在合同总价的</w:t>
      </w:r>
      <w:r>
        <w:rPr>
          <w:rFonts w:hint="eastAsia" w:ascii="仿宋" w:hAnsi="仿宋" w:eastAsia="仿宋" w:cs="Times New Roman"/>
          <w:color w:val="auto"/>
          <w:kern w:val="2"/>
          <w:sz w:val="28"/>
          <w:szCs w:val="28"/>
        </w:rPr>
        <w:t>5%以上的为大幅度</w:t>
      </w:r>
      <w:r>
        <w:rPr>
          <w:rFonts w:hint="eastAsia" w:ascii="仿宋" w:hAnsi="仿宋" w:eastAsia="仿宋" w:cs="Times New Roman"/>
          <w:bCs/>
          <w:color w:val="auto"/>
          <w:sz w:val="28"/>
          <w:szCs w:val="28"/>
        </w:rPr>
        <w:t>）</w:t>
      </w:r>
      <w:r>
        <w:rPr>
          <w:rFonts w:hint="eastAsia" w:ascii="仿宋" w:hAnsi="仿宋" w:eastAsia="仿宋" w:cs="Times New Roman"/>
          <w:color w:val="auto"/>
          <w:kern w:val="2"/>
          <w:sz w:val="28"/>
          <w:szCs w:val="28"/>
        </w:rPr>
        <w:t>而发生的挖掘、移植等工程内容；不包括因养护标准、要求变化而发生的新增苗木、花卉等的材料费用；不包括应要求进行的对外发生的防台防汛、抢险等的费用；不包括设施大修；不包括厕所保洁、清扫保洁、保安巡逻发生的人工费用。除上述内容以外，局部苗木调整和专类植物种植调整的用工包括在养护工作内，苗木由采购方提供。</w:t>
      </w:r>
      <w:r>
        <w:rPr>
          <w:rFonts w:ascii="仿宋" w:hAnsi="仿宋" w:eastAsia="仿宋" w:cs="Times New Roman"/>
          <w:color w:val="auto"/>
          <w:kern w:val="2"/>
          <w:sz w:val="28"/>
          <w:szCs w:val="28"/>
        </w:rPr>
        <w:t xml:space="preserve"> </w:t>
      </w:r>
    </w:p>
    <w:p w14:paraId="76115496">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.3</w:t>
      </w:r>
      <w:r>
        <w:rPr>
          <w:rFonts w:hint="eastAsia" w:ascii="仿宋" w:hAnsi="仿宋" w:eastAsia="仿宋" w:cs="Times New Roman"/>
          <w:color w:val="auto"/>
          <w:kern w:val="2"/>
          <w:sz w:val="28"/>
          <w:szCs w:val="28"/>
        </w:rPr>
        <w:t>如发生以上不包含在承包内容和范围内的情况，需征得采购方同意，按市场行情协商、确定，另行计算。</w:t>
      </w:r>
      <w:r>
        <w:rPr>
          <w:rFonts w:ascii="仿宋" w:hAnsi="仿宋" w:eastAsia="仿宋" w:cs="Times New Roman"/>
          <w:color w:val="auto"/>
          <w:kern w:val="2"/>
          <w:sz w:val="28"/>
          <w:szCs w:val="28"/>
        </w:rPr>
        <w:t xml:space="preserve"> </w:t>
      </w:r>
    </w:p>
    <w:p w14:paraId="51231621">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.4</w:t>
      </w:r>
      <w:r>
        <w:rPr>
          <w:rFonts w:hint="eastAsia" w:ascii="仿宋" w:hAnsi="仿宋" w:eastAsia="仿宋" w:cs="Times New Roman"/>
          <w:color w:val="auto"/>
          <w:kern w:val="2"/>
          <w:sz w:val="28"/>
          <w:szCs w:val="28"/>
        </w:rPr>
        <w:t>养护期间，若发生非</w:t>
      </w:r>
      <w:r>
        <w:rPr>
          <w:rFonts w:hint="eastAsia" w:ascii="仿宋" w:hAnsi="仿宋" w:eastAsia="仿宋" w:cs="Times New Roman"/>
          <w:color w:val="auto"/>
          <w:kern w:val="2"/>
          <w:sz w:val="28"/>
          <w:szCs w:val="28"/>
          <w:lang w:eastAsia="zh-CN"/>
        </w:rPr>
        <w:t>采购人</w:t>
      </w:r>
      <w:r>
        <w:rPr>
          <w:rFonts w:hint="eastAsia" w:ascii="仿宋" w:hAnsi="仿宋" w:eastAsia="仿宋" w:cs="Times New Roman"/>
          <w:color w:val="auto"/>
          <w:kern w:val="2"/>
          <w:sz w:val="28"/>
          <w:szCs w:val="28"/>
        </w:rPr>
        <w:t>方或自然因素，或因承包方养护管理不善造成绿地内各类苗木的死亡（包括人为践踏造成的）和建筑、道路地坪、废物箱等设施损坏，均由承包方负责补缺和修缮。</w:t>
      </w:r>
      <w:r>
        <w:rPr>
          <w:rFonts w:ascii="仿宋" w:hAnsi="仿宋" w:eastAsia="仿宋" w:cs="Times New Roman"/>
          <w:color w:val="auto"/>
          <w:kern w:val="2"/>
          <w:sz w:val="28"/>
          <w:szCs w:val="28"/>
        </w:rPr>
        <w:t xml:space="preserve"> </w:t>
      </w:r>
    </w:p>
    <w:p w14:paraId="052F3D22">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rPr>
        <w:t>5</w:t>
      </w:r>
      <w:r>
        <w:rPr>
          <w:rFonts w:ascii="仿宋" w:hAnsi="仿宋" w:eastAsia="仿宋" w:cs="Times New Roman"/>
          <w:color w:val="auto"/>
          <w:kern w:val="2"/>
          <w:sz w:val="28"/>
          <w:szCs w:val="28"/>
        </w:rPr>
        <w:t>.5</w:t>
      </w:r>
      <w:r>
        <w:rPr>
          <w:rFonts w:hint="eastAsia" w:ascii="仿宋" w:hAnsi="仿宋" w:eastAsia="仿宋" w:cs="Times New Roman"/>
          <w:color w:val="auto"/>
          <w:kern w:val="2"/>
          <w:sz w:val="28"/>
          <w:szCs w:val="28"/>
        </w:rPr>
        <w:t>因疏植而发生的多余苗木，其产权归</w:t>
      </w:r>
      <w:r>
        <w:rPr>
          <w:rFonts w:hint="eastAsia" w:ascii="仿宋" w:hAnsi="仿宋" w:eastAsia="仿宋" w:cs="Times New Roman"/>
          <w:color w:val="auto"/>
          <w:kern w:val="2"/>
          <w:sz w:val="28"/>
          <w:szCs w:val="28"/>
          <w:lang w:eastAsia="zh-CN"/>
        </w:rPr>
        <w:t>采购人</w:t>
      </w:r>
      <w:r>
        <w:rPr>
          <w:rFonts w:hint="eastAsia" w:ascii="仿宋" w:hAnsi="仿宋" w:eastAsia="仿宋" w:cs="Times New Roman"/>
          <w:color w:val="auto"/>
          <w:kern w:val="2"/>
          <w:sz w:val="28"/>
          <w:szCs w:val="28"/>
        </w:rPr>
        <w:t>所有。</w:t>
      </w:r>
      <w:r>
        <w:rPr>
          <w:rFonts w:ascii="仿宋" w:hAnsi="仿宋" w:eastAsia="仿宋" w:cs="Times New Roman"/>
          <w:color w:val="auto"/>
          <w:kern w:val="2"/>
          <w:sz w:val="28"/>
          <w:szCs w:val="28"/>
        </w:rPr>
        <w:t xml:space="preserve"> </w:t>
      </w:r>
    </w:p>
    <w:p w14:paraId="4747FD28">
      <w:pPr>
        <w:pStyle w:val="44"/>
        <w:snapToGrid w:val="0"/>
        <w:spacing w:line="360" w:lineRule="auto"/>
        <w:ind w:firstLine="562" w:firstLineChars="200"/>
        <w:rPr>
          <w:rFonts w:ascii="仿宋" w:hAnsi="仿宋" w:eastAsia="仿宋"/>
          <w:b/>
          <w:bCs/>
          <w:color w:val="auto"/>
          <w:sz w:val="28"/>
          <w:szCs w:val="28"/>
        </w:rPr>
      </w:pPr>
    </w:p>
    <w:p w14:paraId="04635D2F">
      <w:pPr>
        <w:adjustRightInd w:val="0"/>
        <w:snapToGrid w:val="0"/>
        <w:spacing w:line="360" w:lineRule="auto"/>
        <w:ind w:firstLine="562" w:firstLineChars="200"/>
        <w:jc w:val="left"/>
        <w:rPr>
          <w:rFonts w:hint="eastAsia" w:ascii="仿宋" w:hAnsi="仿宋" w:eastAsia="仿宋"/>
          <w:b/>
          <w:bCs/>
          <w:sz w:val="28"/>
          <w:szCs w:val="28"/>
          <w:lang w:eastAsia="zh-CN"/>
        </w:rPr>
      </w:pPr>
      <w:r>
        <w:rPr>
          <w:rFonts w:hint="eastAsia" w:ascii="仿宋" w:hAnsi="仿宋" w:eastAsia="仿宋"/>
          <w:b/>
          <w:bCs/>
          <w:sz w:val="28"/>
          <w:szCs w:val="28"/>
        </w:rPr>
        <w:t>6、承包期限和</w:t>
      </w:r>
      <w:r>
        <w:rPr>
          <w:rFonts w:hint="eastAsia" w:ascii="仿宋" w:hAnsi="仿宋" w:eastAsia="仿宋"/>
          <w:b/>
          <w:bCs/>
          <w:sz w:val="28"/>
          <w:szCs w:val="28"/>
          <w:lang w:eastAsia="zh-CN"/>
        </w:rPr>
        <w:t>承包方式</w:t>
      </w:r>
    </w:p>
    <w:p w14:paraId="66FB6273">
      <w:pPr>
        <w:adjustRightInd w:val="0"/>
        <w:snapToGrid w:val="0"/>
        <w:spacing w:line="360" w:lineRule="auto"/>
        <w:ind w:firstLine="560" w:firstLineChars="200"/>
        <w:jc w:val="left"/>
        <w:rPr>
          <w:rFonts w:ascii="仿宋" w:hAnsi="仿宋" w:eastAsia="仿宋"/>
          <w:sz w:val="28"/>
          <w:szCs w:val="28"/>
          <w:highlight w:val="none"/>
        </w:rPr>
      </w:pPr>
      <w:r>
        <w:rPr>
          <w:rFonts w:hint="eastAsia" w:ascii="仿宋" w:hAnsi="仿宋" w:eastAsia="仿宋"/>
          <w:sz w:val="28"/>
          <w:szCs w:val="28"/>
        </w:rPr>
        <w:t>6.1承包期限：</w:t>
      </w:r>
      <w:r>
        <w:rPr>
          <w:rFonts w:hint="eastAsia" w:ascii="仿宋" w:hAnsi="仿宋" w:eastAsia="仿宋"/>
          <w:sz w:val="28"/>
          <w:szCs w:val="28"/>
          <w:highlight w:val="none"/>
        </w:rPr>
        <w:t>本项目服务期限自合同签订之日起期限三年，采取一次招标三年沿用、分三个年度分别签订合同的方式实施，本次合同服务期限自合同签订之日起，期限一年。</w:t>
      </w:r>
    </w:p>
    <w:p w14:paraId="3317593E">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6.2承包方式：采用包工包料方式。</w:t>
      </w:r>
    </w:p>
    <w:p w14:paraId="46F0E31E">
      <w:pPr>
        <w:adjustRightInd w:val="0"/>
        <w:snapToGrid w:val="0"/>
        <w:spacing w:line="360" w:lineRule="auto"/>
        <w:ind w:firstLine="562" w:firstLineChars="200"/>
        <w:jc w:val="left"/>
        <w:rPr>
          <w:rFonts w:ascii="仿宋" w:hAnsi="仿宋" w:eastAsia="仿宋"/>
          <w:b/>
          <w:bCs/>
          <w:sz w:val="28"/>
          <w:szCs w:val="28"/>
        </w:rPr>
      </w:pPr>
    </w:p>
    <w:p w14:paraId="5A7BD74F">
      <w:pPr>
        <w:numPr>
          <w:ilvl w:val="0"/>
          <w:numId w:val="1"/>
        </w:numPr>
        <w:adjustRightInd w:val="0"/>
        <w:snapToGrid w:val="0"/>
        <w:spacing w:line="360" w:lineRule="auto"/>
        <w:ind w:firstLine="562" w:firstLineChars="200"/>
        <w:jc w:val="left"/>
        <w:rPr>
          <w:rFonts w:hint="eastAsia" w:ascii="仿宋" w:hAnsi="仿宋" w:eastAsia="仿宋"/>
          <w:b/>
          <w:bCs/>
          <w:sz w:val="28"/>
          <w:szCs w:val="28"/>
          <w:lang w:eastAsia="zh-CN"/>
        </w:rPr>
      </w:pPr>
      <w:r>
        <w:rPr>
          <w:rFonts w:hint="eastAsia" w:ascii="仿宋" w:hAnsi="仿宋" w:eastAsia="仿宋"/>
          <w:b/>
          <w:bCs/>
          <w:sz w:val="28"/>
          <w:szCs w:val="28"/>
          <w:lang w:eastAsia="zh-CN"/>
        </w:rPr>
        <w:t>养护要求</w:t>
      </w:r>
    </w:p>
    <w:p w14:paraId="524A51A4">
      <w:pPr>
        <w:numPr>
          <w:ilvl w:val="0"/>
          <w:numId w:val="0"/>
        </w:num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lang w:val="en-US" w:eastAsia="zh-CN"/>
        </w:rPr>
        <w:t>7.1</w:t>
      </w:r>
      <w:r>
        <w:rPr>
          <w:rFonts w:hint="eastAsia" w:ascii="仿宋" w:hAnsi="仿宋" w:eastAsia="仿宋"/>
          <w:b/>
          <w:bCs/>
          <w:sz w:val="28"/>
          <w:szCs w:val="28"/>
        </w:rPr>
        <w:t>养护机具和设备配备要求</w:t>
      </w:r>
    </w:p>
    <w:p w14:paraId="5BCDDE1E">
      <w:pPr>
        <w:pStyle w:val="44"/>
        <w:snapToGrid w:val="0"/>
        <w:spacing w:line="360" w:lineRule="auto"/>
        <w:ind w:firstLine="560" w:firstLineChars="200"/>
        <w:rPr>
          <w:rFonts w:hint="eastAsia" w:ascii="仿宋" w:hAnsi="仿宋" w:eastAsia="仿宋"/>
          <w:b/>
          <w:bCs/>
          <w:sz w:val="28"/>
          <w:szCs w:val="28"/>
        </w:rPr>
      </w:pPr>
      <w:r>
        <w:rPr>
          <w:rFonts w:hint="eastAsia" w:ascii="仿宋" w:hAnsi="仿宋" w:eastAsia="仿宋" w:cs="Times New Roman"/>
          <w:bCs/>
          <w:color w:val="auto"/>
          <w:sz w:val="28"/>
          <w:szCs w:val="28"/>
        </w:rPr>
        <w:t>投标单位需根据对项目需求的理解提供运输卡车、中型货运三轮电瓶车、运输三轮车、货运电瓶车、自走型剪草机、草坪割灌机、手摇式施肥机、三轮车打药机、打药机、便携式抽水泵、旋耕机、油锯、草坪切边机、绿篱机等机械设备用于本项目的绿化养护工作。</w:t>
      </w:r>
    </w:p>
    <w:p w14:paraId="52852EBF">
      <w:pPr>
        <w:adjustRightInd w:val="0"/>
        <w:snapToGrid w:val="0"/>
        <w:spacing w:line="360" w:lineRule="auto"/>
        <w:ind w:firstLine="562" w:firstLineChars="200"/>
        <w:jc w:val="left"/>
        <w:rPr>
          <w:rFonts w:ascii="仿宋" w:hAnsi="仿宋" w:eastAsia="仿宋"/>
          <w:b/>
          <w:bCs/>
          <w:color w:val="auto"/>
          <w:sz w:val="28"/>
          <w:szCs w:val="28"/>
        </w:rPr>
      </w:pPr>
      <w:r>
        <w:rPr>
          <w:rFonts w:hint="eastAsia" w:ascii="仿宋" w:hAnsi="仿宋" w:eastAsia="仿宋"/>
          <w:b/>
          <w:bCs/>
          <w:color w:val="auto"/>
          <w:sz w:val="28"/>
          <w:szCs w:val="28"/>
          <w:lang w:val="en-US" w:eastAsia="zh-CN"/>
        </w:rPr>
        <w:t>7.2</w:t>
      </w:r>
      <w:r>
        <w:rPr>
          <w:rFonts w:hint="eastAsia" w:ascii="仿宋" w:hAnsi="仿宋" w:eastAsia="仿宋"/>
          <w:b/>
          <w:bCs/>
          <w:color w:val="auto"/>
          <w:sz w:val="28"/>
          <w:szCs w:val="28"/>
        </w:rPr>
        <w:t xml:space="preserve">养护队组要求： </w:t>
      </w:r>
      <w:bookmarkStart w:id="2" w:name="_GoBack"/>
      <w:bookmarkEnd w:id="2"/>
    </w:p>
    <w:p w14:paraId="1F139E44">
      <w:pPr>
        <w:adjustRightInd w:val="0"/>
        <w:snapToGrid w:val="0"/>
        <w:spacing w:line="360" w:lineRule="auto"/>
        <w:ind w:firstLine="560" w:firstLineChars="200"/>
        <w:jc w:val="left"/>
        <w:rPr>
          <w:rFonts w:ascii="仿宋" w:hAnsi="仿宋" w:eastAsia="仿宋"/>
          <w:color w:val="auto"/>
          <w:sz w:val="28"/>
          <w:szCs w:val="28"/>
        </w:rPr>
      </w:pPr>
      <w:r>
        <w:rPr>
          <w:rFonts w:hint="eastAsia" w:ascii="仿宋" w:hAnsi="仿宋" w:eastAsia="仿宋"/>
          <w:color w:val="auto"/>
          <w:sz w:val="28"/>
          <w:szCs w:val="28"/>
          <w:lang w:val="en-US" w:eastAsia="zh-CN"/>
        </w:rPr>
        <w:t>7.2.1</w:t>
      </w:r>
      <w:r>
        <w:rPr>
          <w:rFonts w:hint="eastAsia" w:ascii="仿宋" w:hAnsi="仿宋" w:eastAsia="仿宋"/>
          <w:color w:val="auto"/>
          <w:sz w:val="28"/>
          <w:szCs w:val="28"/>
        </w:rPr>
        <w:t>养护工人数配备需满足：</w:t>
      </w:r>
    </w:p>
    <w:tbl>
      <w:tblPr>
        <w:tblStyle w:val="19"/>
        <w:tblW w:w="8492" w:type="dxa"/>
        <w:jc w:val="center"/>
        <w:tblLayout w:type="fixed"/>
        <w:tblCellMar>
          <w:top w:w="0" w:type="dxa"/>
          <w:left w:w="108" w:type="dxa"/>
          <w:bottom w:w="0" w:type="dxa"/>
          <w:right w:w="108" w:type="dxa"/>
        </w:tblCellMar>
      </w:tblPr>
      <w:tblGrid>
        <w:gridCol w:w="1213"/>
        <w:gridCol w:w="1637"/>
        <w:gridCol w:w="1276"/>
        <w:gridCol w:w="1559"/>
        <w:gridCol w:w="1418"/>
        <w:gridCol w:w="1389"/>
      </w:tblGrid>
      <w:tr w14:paraId="56FC0829">
        <w:tblPrEx>
          <w:tblCellMar>
            <w:top w:w="0" w:type="dxa"/>
            <w:left w:w="108" w:type="dxa"/>
            <w:bottom w:w="0" w:type="dxa"/>
            <w:right w:w="108" w:type="dxa"/>
          </w:tblCellMar>
        </w:tblPrEx>
        <w:trPr>
          <w:trHeight w:val="483" w:hRule="atLeast"/>
          <w:jc w:val="center"/>
        </w:trPr>
        <w:tc>
          <w:tcPr>
            <w:tcW w:w="1213" w:type="dxa"/>
            <w:tcBorders>
              <w:top w:val="single" w:color="auto" w:sz="4" w:space="0"/>
              <w:left w:val="single" w:color="auto" w:sz="4" w:space="0"/>
              <w:bottom w:val="single" w:color="auto" w:sz="4" w:space="0"/>
              <w:right w:val="single" w:color="auto" w:sz="4" w:space="0"/>
            </w:tcBorders>
            <w:vAlign w:val="center"/>
          </w:tcPr>
          <w:p w14:paraId="54C100BE">
            <w:pPr>
              <w:adjustRightInd w:val="0"/>
              <w:snapToGrid w:val="0"/>
              <w:spacing w:line="360" w:lineRule="auto"/>
              <w:jc w:val="left"/>
              <w:rPr>
                <w:rFonts w:ascii="仿宋" w:hAnsi="仿宋" w:eastAsia="仿宋"/>
                <w:color w:val="auto"/>
                <w:sz w:val="22"/>
                <w:szCs w:val="28"/>
              </w:rPr>
            </w:pPr>
          </w:p>
        </w:tc>
        <w:tc>
          <w:tcPr>
            <w:tcW w:w="7279" w:type="dxa"/>
            <w:gridSpan w:val="5"/>
            <w:tcBorders>
              <w:top w:val="single" w:color="auto" w:sz="4" w:space="0"/>
              <w:left w:val="nil"/>
              <w:bottom w:val="single" w:color="auto" w:sz="4" w:space="0"/>
              <w:right w:val="single" w:color="auto" w:sz="4" w:space="0"/>
            </w:tcBorders>
            <w:vAlign w:val="center"/>
          </w:tcPr>
          <w:p w14:paraId="2CB80B0E">
            <w:pPr>
              <w:adjustRightInd w:val="0"/>
              <w:snapToGrid w:val="0"/>
              <w:spacing w:line="360" w:lineRule="auto"/>
              <w:jc w:val="left"/>
              <w:rPr>
                <w:rFonts w:ascii="仿宋" w:hAnsi="仿宋" w:eastAsia="仿宋"/>
                <w:color w:val="auto"/>
                <w:sz w:val="22"/>
                <w:szCs w:val="28"/>
              </w:rPr>
            </w:pPr>
            <w:r>
              <w:rPr>
                <w:rFonts w:hint="eastAsia" w:ascii="仿宋" w:hAnsi="仿宋" w:eastAsia="仿宋"/>
                <w:color w:val="auto"/>
                <w:sz w:val="22"/>
                <w:szCs w:val="28"/>
              </w:rPr>
              <w:t>养护人员</w:t>
            </w:r>
          </w:p>
        </w:tc>
      </w:tr>
      <w:tr w14:paraId="42732165">
        <w:tblPrEx>
          <w:tblCellMar>
            <w:top w:w="0" w:type="dxa"/>
            <w:left w:w="108" w:type="dxa"/>
            <w:bottom w:w="0" w:type="dxa"/>
            <w:right w:w="108" w:type="dxa"/>
          </w:tblCellMar>
        </w:tblPrEx>
        <w:trPr>
          <w:trHeight w:val="563" w:hRule="atLeast"/>
          <w:jc w:val="center"/>
        </w:trPr>
        <w:tc>
          <w:tcPr>
            <w:tcW w:w="1213" w:type="dxa"/>
            <w:tcBorders>
              <w:top w:val="nil"/>
              <w:left w:val="single" w:color="auto" w:sz="4" w:space="0"/>
              <w:bottom w:val="single" w:color="auto" w:sz="4" w:space="0"/>
              <w:right w:val="single" w:color="auto" w:sz="4" w:space="0"/>
            </w:tcBorders>
            <w:vAlign w:val="center"/>
          </w:tcPr>
          <w:p w14:paraId="4C5362AC">
            <w:pPr>
              <w:adjustRightInd w:val="0"/>
              <w:snapToGrid w:val="0"/>
              <w:spacing w:line="360" w:lineRule="auto"/>
              <w:jc w:val="left"/>
              <w:rPr>
                <w:rFonts w:ascii="仿宋" w:hAnsi="仿宋" w:eastAsia="仿宋"/>
                <w:color w:val="auto"/>
                <w:sz w:val="22"/>
                <w:szCs w:val="28"/>
              </w:rPr>
            </w:pPr>
            <w:r>
              <w:rPr>
                <w:rFonts w:hint="eastAsia" w:ascii="仿宋" w:hAnsi="仿宋" w:eastAsia="仿宋"/>
                <w:color w:val="auto"/>
                <w:sz w:val="22"/>
                <w:szCs w:val="28"/>
              </w:rPr>
              <w:t>标段名称</w:t>
            </w:r>
          </w:p>
        </w:tc>
        <w:tc>
          <w:tcPr>
            <w:tcW w:w="1637" w:type="dxa"/>
            <w:tcBorders>
              <w:top w:val="nil"/>
              <w:left w:val="nil"/>
              <w:bottom w:val="single" w:color="auto" w:sz="4" w:space="0"/>
              <w:right w:val="single" w:color="auto" w:sz="4" w:space="0"/>
            </w:tcBorders>
            <w:vAlign w:val="center"/>
          </w:tcPr>
          <w:p w14:paraId="796C490F">
            <w:pPr>
              <w:adjustRightInd w:val="0"/>
              <w:snapToGrid w:val="0"/>
              <w:spacing w:line="360" w:lineRule="auto"/>
              <w:jc w:val="left"/>
              <w:rPr>
                <w:rFonts w:ascii="仿宋" w:hAnsi="仿宋" w:eastAsia="仿宋"/>
                <w:color w:val="auto"/>
                <w:sz w:val="22"/>
                <w:szCs w:val="28"/>
              </w:rPr>
            </w:pPr>
            <w:r>
              <w:rPr>
                <w:rFonts w:hint="eastAsia" w:ascii="仿宋" w:hAnsi="仿宋" w:eastAsia="仿宋"/>
                <w:color w:val="auto"/>
                <w:sz w:val="22"/>
                <w:szCs w:val="28"/>
              </w:rPr>
              <w:t>绿化工初级</w:t>
            </w:r>
            <w:r>
              <w:rPr>
                <w:rFonts w:hint="eastAsia"/>
                <w:color w:val="auto"/>
                <w:vertAlign w:val="baseline"/>
                <w:lang w:eastAsia="zh-CN"/>
              </w:rPr>
              <w:t>/五级</w:t>
            </w:r>
          </w:p>
        </w:tc>
        <w:tc>
          <w:tcPr>
            <w:tcW w:w="1276" w:type="dxa"/>
            <w:tcBorders>
              <w:top w:val="nil"/>
              <w:left w:val="nil"/>
              <w:bottom w:val="single" w:color="auto" w:sz="4" w:space="0"/>
              <w:right w:val="single" w:color="auto" w:sz="4" w:space="0"/>
            </w:tcBorders>
            <w:vAlign w:val="center"/>
          </w:tcPr>
          <w:p w14:paraId="7F13AB06">
            <w:pPr>
              <w:adjustRightInd w:val="0"/>
              <w:snapToGrid w:val="0"/>
              <w:spacing w:line="360" w:lineRule="auto"/>
              <w:jc w:val="left"/>
              <w:rPr>
                <w:rFonts w:ascii="仿宋" w:hAnsi="仿宋" w:eastAsia="仿宋"/>
                <w:color w:val="auto"/>
                <w:sz w:val="22"/>
                <w:szCs w:val="28"/>
              </w:rPr>
            </w:pPr>
            <w:r>
              <w:rPr>
                <w:rFonts w:hint="eastAsia" w:ascii="仿宋" w:hAnsi="仿宋" w:eastAsia="仿宋"/>
                <w:color w:val="auto"/>
                <w:sz w:val="22"/>
                <w:szCs w:val="28"/>
              </w:rPr>
              <w:t>绿化工中级</w:t>
            </w:r>
            <w:r>
              <w:rPr>
                <w:rFonts w:hint="eastAsia"/>
                <w:color w:val="auto"/>
                <w:vertAlign w:val="baseline"/>
                <w:lang w:eastAsia="zh-CN"/>
              </w:rPr>
              <w:t>/四级</w:t>
            </w:r>
          </w:p>
        </w:tc>
        <w:tc>
          <w:tcPr>
            <w:tcW w:w="1559" w:type="dxa"/>
            <w:tcBorders>
              <w:top w:val="nil"/>
              <w:left w:val="nil"/>
              <w:bottom w:val="single" w:color="auto" w:sz="4" w:space="0"/>
              <w:right w:val="single" w:color="auto" w:sz="4" w:space="0"/>
            </w:tcBorders>
            <w:vAlign w:val="center"/>
          </w:tcPr>
          <w:p w14:paraId="4A64D48A">
            <w:pPr>
              <w:adjustRightInd w:val="0"/>
              <w:snapToGrid w:val="0"/>
              <w:spacing w:line="360" w:lineRule="auto"/>
              <w:jc w:val="left"/>
              <w:rPr>
                <w:rFonts w:ascii="仿宋" w:hAnsi="仿宋" w:eastAsia="仿宋"/>
                <w:color w:val="auto"/>
                <w:sz w:val="22"/>
                <w:szCs w:val="28"/>
              </w:rPr>
            </w:pPr>
            <w:r>
              <w:rPr>
                <w:rFonts w:hint="eastAsia" w:ascii="仿宋" w:hAnsi="仿宋" w:eastAsia="仿宋"/>
                <w:color w:val="auto"/>
                <w:sz w:val="22"/>
                <w:szCs w:val="28"/>
              </w:rPr>
              <w:t>绿化</w:t>
            </w:r>
            <w:r>
              <w:rPr>
                <w:rFonts w:hint="eastAsia" w:ascii="仿宋" w:hAnsi="仿宋" w:eastAsia="仿宋"/>
                <w:color w:val="auto"/>
                <w:sz w:val="22"/>
                <w:szCs w:val="28"/>
                <w:lang w:eastAsia="zh-CN"/>
              </w:rPr>
              <w:t>工</w:t>
            </w:r>
            <w:r>
              <w:rPr>
                <w:rFonts w:hint="eastAsia"/>
                <w:color w:val="auto"/>
                <w:vertAlign w:val="baseline"/>
                <w:lang w:eastAsia="zh-CN"/>
              </w:rPr>
              <w:t>三级/高级</w:t>
            </w:r>
          </w:p>
        </w:tc>
        <w:tc>
          <w:tcPr>
            <w:tcW w:w="1418" w:type="dxa"/>
            <w:tcBorders>
              <w:top w:val="nil"/>
              <w:left w:val="nil"/>
              <w:bottom w:val="single" w:color="auto" w:sz="4" w:space="0"/>
              <w:right w:val="single" w:color="auto" w:sz="4" w:space="0"/>
            </w:tcBorders>
            <w:vAlign w:val="center"/>
          </w:tcPr>
          <w:p w14:paraId="4884A5F9">
            <w:pPr>
              <w:adjustRightInd w:val="0"/>
              <w:snapToGrid w:val="0"/>
              <w:spacing w:line="360" w:lineRule="auto"/>
              <w:jc w:val="left"/>
              <w:rPr>
                <w:rFonts w:ascii="仿宋" w:hAnsi="仿宋" w:eastAsia="仿宋"/>
                <w:color w:val="auto"/>
                <w:sz w:val="22"/>
                <w:szCs w:val="28"/>
              </w:rPr>
            </w:pPr>
            <w:r>
              <w:rPr>
                <w:rFonts w:hint="eastAsia"/>
                <w:color w:val="auto"/>
                <w:vertAlign w:val="baseline"/>
                <w:lang w:eastAsia="zh-CN"/>
              </w:rPr>
              <w:t>园林绿化工二级/技师</w:t>
            </w:r>
          </w:p>
        </w:tc>
        <w:tc>
          <w:tcPr>
            <w:tcW w:w="1389" w:type="dxa"/>
            <w:tcBorders>
              <w:top w:val="nil"/>
              <w:left w:val="nil"/>
              <w:bottom w:val="single" w:color="auto" w:sz="4" w:space="0"/>
              <w:right w:val="single" w:color="auto" w:sz="4" w:space="0"/>
            </w:tcBorders>
            <w:vAlign w:val="center"/>
          </w:tcPr>
          <w:p w14:paraId="64457C9B">
            <w:pPr>
              <w:adjustRightInd w:val="0"/>
              <w:snapToGrid w:val="0"/>
              <w:spacing w:line="360" w:lineRule="auto"/>
              <w:jc w:val="left"/>
              <w:rPr>
                <w:rFonts w:ascii="仿宋" w:hAnsi="仿宋" w:eastAsia="仿宋"/>
                <w:color w:val="auto"/>
                <w:sz w:val="22"/>
                <w:szCs w:val="28"/>
              </w:rPr>
            </w:pPr>
            <w:r>
              <w:rPr>
                <w:rFonts w:hint="eastAsia" w:ascii="仿宋" w:hAnsi="仿宋" w:eastAsia="仿宋"/>
                <w:color w:val="auto"/>
                <w:sz w:val="22"/>
                <w:szCs w:val="28"/>
                <w:lang w:eastAsia="zh-CN"/>
              </w:rPr>
              <w:t>★</w:t>
            </w:r>
            <w:r>
              <w:rPr>
                <w:rFonts w:hint="eastAsia" w:ascii="仿宋" w:hAnsi="仿宋" w:eastAsia="仿宋"/>
                <w:color w:val="auto"/>
                <w:sz w:val="22"/>
                <w:szCs w:val="28"/>
              </w:rPr>
              <w:t>总人数</w:t>
            </w:r>
          </w:p>
        </w:tc>
      </w:tr>
      <w:tr w14:paraId="462E2484">
        <w:tblPrEx>
          <w:tblCellMar>
            <w:top w:w="0" w:type="dxa"/>
            <w:left w:w="108" w:type="dxa"/>
            <w:bottom w:w="0" w:type="dxa"/>
            <w:right w:w="108" w:type="dxa"/>
          </w:tblCellMar>
        </w:tblPrEx>
        <w:trPr>
          <w:trHeight w:val="487" w:hRule="atLeast"/>
          <w:jc w:val="center"/>
        </w:trPr>
        <w:tc>
          <w:tcPr>
            <w:tcW w:w="1213" w:type="dxa"/>
            <w:tcBorders>
              <w:top w:val="nil"/>
              <w:left w:val="single" w:color="auto" w:sz="4" w:space="0"/>
              <w:bottom w:val="single" w:color="auto" w:sz="4" w:space="0"/>
              <w:right w:val="single" w:color="auto" w:sz="4" w:space="0"/>
            </w:tcBorders>
            <w:vAlign w:val="center"/>
          </w:tcPr>
          <w:p w14:paraId="41A79425">
            <w:pPr>
              <w:adjustRightInd w:val="0"/>
              <w:snapToGrid w:val="0"/>
              <w:spacing w:line="360" w:lineRule="auto"/>
              <w:jc w:val="left"/>
              <w:rPr>
                <w:rFonts w:ascii="仿宋" w:hAnsi="仿宋" w:eastAsia="仿宋"/>
                <w:sz w:val="22"/>
                <w:szCs w:val="28"/>
              </w:rPr>
            </w:pPr>
            <w:r>
              <w:rPr>
                <w:rFonts w:hint="eastAsia" w:ascii="仿宋" w:hAnsi="仿宋" w:eastAsia="仿宋" w:cs="宋体"/>
                <w:kern w:val="0"/>
                <w:sz w:val="22"/>
                <w:szCs w:val="28"/>
              </w:rPr>
              <w:t>园区标段</w:t>
            </w:r>
          </w:p>
        </w:tc>
        <w:tc>
          <w:tcPr>
            <w:tcW w:w="1637" w:type="dxa"/>
            <w:tcBorders>
              <w:top w:val="nil"/>
              <w:left w:val="nil"/>
              <w:bottom w:val="single" w:color="auto" w:sz="4" w:space="0"/>
              <w:right w:val="single" w:color="auto" w:sz="4" w:space="0"/>
            </w:tcBorders>
            <w:vAlign w:val="center"/>
          </w:tcPr>
          <w:p w14:paraId="6B505FDA">
            <w:pPr>
              <w:adjustRightInd w:val="0"/>
              <w:snapToGrid w:val="0"/>
              <w:spacing w:line="360" w:lineRule="auto"/>
              <w:jc w:val="left"/>
              <w:rPr>
                <w:rFonts w:ascii="仿宋" w:hAnsi="仿宋" w:eastAsia="仿宋"/>
                <w:sz w:val="22"/>
                <w:szCs w:val="28"/>
              </w:rPr>
            </w:pPr>
            <w:r>
              <w:rPr>
                <w:rFonts w:hint="eastAsia" w:ascii="仿宋" w:hAnsi="仿宋" w:eastAsia="仿宋"/>
                <w:sz w:val="22"/>
                <w:szCs w:val="28"/>
                <w:lang w:val="en-US" w:eastAsia="zh-CN"/>
              </w:rPr>
              <w:t>3</w:t>
            </w:r>
            <w:r>
              <w:rPr>
                <w:rFonts w:hint="eastAsia" w:ascii="仿宋" w:hAnsi="仿宋" w:eastAsia="仿宋"/>
                <w:sz w:val="22"/>
                <w:szCs w:val="28"/>
              </w:rPr>
              <w:t>7人</w:t>
            </w:r>
          </w:p>
        </w:tc>
        <w:tc>
          <w:tcPr>
            <w:tcW w:w="1276" w:type="dxa"/>
            <w:tcBorders>
              <w:top w:val="nil"/>
              <w:left w:val="nil"/>
              <w:bottom w:val="single" w:color="auto" w:sz="4" w:space="0"/>
              <w:right w:val="single" w:color="auto" w:sz="4" w:space="0"/>
            </w:tcBorders>
            <w:vAlign w:val="center"/>
          </w:tcPr>
          <w:p w14:paraId="6C62CD04">
            <w:pPr>
              <w:adjustRightInd w:val="0"/>
              <w:snapToGrid w:val="0"/>
              <w:spacing w:line="360" w:lineRule="auto"/>
              <w:jc w:val="left"/>
              <w:rPr>
                <w:rFonts w:ascii="仿宋" w:hAnsi="仿宋" w:eastAsia="仿宋"/>
                <w:sz w:val="22"/>
                <w:szCs w:val="28"/>
              </w:rPr>
            </w:pPr>
            <w:r>
              <w:rPr>
                <w:rFonts w:hint="eastAsia" w:ascii="仿宋" w:hAnsi="仿宋" w:eastAsia="仿宋"/>
                <w:sz w:val="22"/>
                <w:szCs w:val="28"/>
                <w:lang w:val="en-US" w:eastAsia="zh-CN"/>
              </w:rPr>
              <w:t>11</w:t>
            </w:r>
            <w:r>
              <w:rPr>
                <w:rFonts w:hint="eastAsia" w:ascii="仿宋" w:hAnsi="仿宋" w:eastAsia="仿宋"/>
                <w:sz w:val="22"/>
                <w:szCs w:val="28"/>
              </w:rPr>
              <w:t>人</w:t>
            </w:r>
          </w:p>
        </w:tc>
        <w:tc>
          <w:tcPr>
            <w:tcW w:w="1559" w:type="dxa"/>
            <w:tcBorders>
              <w:top w:val="nil"/>
              <w:left w:val="nil"/>
              <w:bottom w:val="single" w:color="auto" w:sz="4" w:space="0"/>
              <w:right w:val="single" w:color="auto" w:sz="4" w:space="0"/>
            </w:tcBorders>
            <w:vAlign w:val="center"/>
          </w:tcPr>
          <w:p w14:paraId="42747C04">
            <w:pPr>
              <w:adjustRightInd w:val="0"/>
              <w:snapToGrid w:val="0"/>
              <w:spacing w:line="360" w:lineRule="auto"/>
              <w:jc w:val="left"/>
              <w:rPr>
                <w:rFonts w:ascii="仿宋" w:hAnsi="仿宋" w:eastAsia="仿宋"/>
                <w:sz w:val="22"/>
                <w:szCs w:val="28"/>
              </w:rPr>
            </w:pPr>
            <w:r>
              <w:rPr>
                <w:rFonts w:hint="eastAsia" w:ascii="仿宋" w:hAnsi="仿宋" w:eastAsia="仿宋"/>
                <w:sz w:val="22"/>
                <w:szCs w:val="28"/>
                <w:lang w:val="en-US" w:eastAsia="zh-CN"/>
              </w:rPr>
              <w:t>10</w:t>
            </w:r>
            <w:r>
              <w:rPr>
                <w:rFonts w:hint="eastAsia" w:ascii="仿宋" w:hAnsi="仿宋" w:eastAsia="仿宋"/>
                <w:sz w:val="22"/>
                <w:szCs w:val="28"/>
              </w:rPr>
              <w:t>人</w:t>
            </w:r>
          </w:p>
        </w:tc>
        <w:tc>
          <w:tcPr>
            <w:tcW w:w="1418" w:type="dxa"/>
            <w:tcBorders>
              <w:top w:val="nil"/>
              <w:left w:val="nil"/>
              <w:bottom w:val="single" w:color="auto" w:sz="4" w:space="0"/>
              <w:right w:val="single" w:color="auto" w:sz="4" w:space="0"/>
            </w:tcBorders>
            <w:vAlign w:val="center"/>
          </w:tcPr>
          <w:p w14:paraId="51DE57D5">
            <w:pPr>
              <w:adjustRightInd w:val="0"/>
              <w:snapToGrid w:val="0"/>
              <w:spacing w:line="360" w:lineRule="auto"/>
              <w:jc w:val="left"/>
              <w:rPr>
                <w:rFonts w:ascii="仿宋" w:hAnsi="仿宋" w:eastAsia="仿宋"/>
                <w:sz w:val="22"/>
                <w:szCs w:val="28"/>
              </w:rPr>
            </w:pPr>
            <w:r>
              <w:rPr>
                <w:rFonts w:hint="eastAsia" w:ascii="仿宋" w:hAnsi="仿宋" w:eastAsia="仿宋"/>
                <w:sz w:val="22"/>
                <w:szCs w:val="28"/>
              </w:rPr>
              <w:t>2人</w:t>
            </w:r>
          </w:p>
        </w:tc>
        <w:tc>
          <w:tcPr>
            <w:tcW w:w="1389" w:type="dxa"/>
            <w:tcBorders>
              <w:top w:val="nil"/>
              <w:left w:val="nil"/>
              <w:bottom w:val="single" w:color="auto" w:sz="4" w:space="0"/>
              <w:right w:val="single" w:color="auto" w:sz="4" w:space="0"/>
            </w:tcBorders>
            <w:vAlign w:val="center"/>
          </w:tcPr>
          <w:p w14:paraId="70F9F9EF">
            <w:pPr>
              <w:adjustRightInd w:val="0"/>
              <w:snapToGrid w:val="0"/>
              <w:spacing w:line="360" w:lineRule="auto"/>
              <w:jc w:val="left"/>
              <w:rPr>
                <w:rFonts w:ascii="仿宋" w:hAnsi="仿宋" w:eastAsia="仿宋"/>
                <w:sz w:val="22"/>
                <w:szCs w:val="28"/>
              </w:rPr>
            </w:pPr>
            <w:r>
              <w:rPr>
                <w:rFonts w:hint="eastAsia" w:ascii="仿宋" w:hAnsi="仿宋" w:eastAsia="仿宋"/>
                <w:sz w:val="22"/>
                <w:szCs w:val="28"/>
                <w:lang w:eastAsia="zh-CN"/>
              </w:rPr>
              <w:t>★</w:t>
            </w:r>
            <w:r>
              <w:rPr>
                <w:rFonts w:hint="eastAsia" w:ascii="仿宋" w:hAnsi="仿宋" w:eastAsia="仿宋"/>
                <w:sz w:val="22"/>
                <w:szCs w:val="28"/>
              </w:rPr>
              <w:t>60人</w:t>
            </w:r>
          </w:p>
        </w:tc>
      </w:tr>
      <w:tr w14:paraId="7976C7A8">
        <w:tblPrEx>
          <w:tblCellMar>
            <w:top w:w="0" w:type="dxa"/>
            <w:left w:w="108" w:type="dxa"/>
            <w:bottom w:w="0" w:type="dxa"/>
            <w:right w:w="108" w:type="dxa"/>
          </w:tblCellMar>
        </w:tblPrEx>
        <w:trPr>
          <w:trHeight w:val="629" w:hRule="atLeast"/>
          <w:jc w:val="center"/>
        </w:trPr>
        <w:tc>
          <w:tcPr>
            <w:tcW w:w="1213" w:type="dxa"/>
            <w:tcBorders>
              <w:top w:val="nil"/>
              <w:left w:val="single" w:color="auto" w:sz="4" w:space="0"/>
              <w:bottom w:val="single" w:color="auto" w:sz="4" w:space="0"/>
              <w:right w:val="single" w:color="auto" w:sz="4" w:space="0"/>
            </w:tcBorders>
            <w:vAlign w:val="center"/>
          </w:tcPr>
          <w:p w14:paraId="75286930">
            <w:pPr>
              <w:adjustRightInd w:val="0"/>
              <w:snapToGrid w:val="0"/>
              <w:spacing w:line="360" w:lineRule="auto"/>
              <w:jc w:val="left"/>
              <w:rPr>
                <w:rFonts w:ascii="仿宋" w:hAnsi="仿宋" w:eastAsia="仿宋"/>
                <w:bCs/>
                <w:sz w:val="22"/>
                <w:szCs w:val="28"/>
              </w:rPr>
            </w:pPr>
          </w:p>
        </w:tc>
        <w:tc>
          <w:tcPr>
            <w:tcW w:w="7279" w:type="dxa"/>
            <w:gridSpan w:val="5"/>
            <w:tcBorders>
              <w:top w:val="single" w:color="auto" w:sz="4" w:space="0"/>
              <w:left w:val="nil"/>
              <w:bottom w:val="single" w:color="auto" w:sz="4" w:space="0"/>
              <w:right w:val="single" w:color="000000" w:sz="4" w:space="0"/>
            </w:tcBorders>
            <w:vAlign w:val="center"/>
          </w:tcPr>
          <w:p w14:paraId="3E5CD27A">
            <w:pPr>
              <w:widowControl/>
              <w:adjustRightInd w:val="0"/>
              <w:snapToGrid w:val="0"/>
              <w:spacing w:line="360" w:lineRule="auto"/>
              <w:jc w:val="left"/>
              <w:rPr>
                <w:rFonts w:ascii="仿宋" w:hAnsi="仿宋" w:eastAsia="仿宋" w:cs="宋体"/>
                <w:kern w:val="0"/>
                <w:sz w:val="22"/>
                <w:szCs w:val="28"/>
              </w:rPr>
            </w:pPr>
            <w:r>
              <w:rPr>
                <w:rFonts w:hint="eastAsia" w:ascii="仿宋" w:hAnsi="仿宋" w:eastAsia="仿宋" w:cs="宋体"/>
                <w:kern w:val="0"/>
                <w:sz w:val="22"/>
                <w:szCs w:val="28"/>
              </w:rPr>
              <w:t>养护人员年龄须在60周岁以下，其中年龄50岁以下的不低于20%；</w:t>
            </w:r>
          </w:p>
          <w:p w14:paraId="4543AE7F">
            <w:pPr>
              <w:widowControl/>
              <w:adjustRightInd w:val="0"/>
              <w:snapToGrid w:val="0"/>
              <w:spacing w:line="360" w:lineRule="auto"/>
              <w:jc w:val="left"/>
              <w:rPr>
                <w:rFonts w:ascii="仿宋" w:hAnsi="仿宋" w:eastAsia="仿宋" w:cs="宋体"/>
                <w:kern w:val="0"/>
                <w:sz w:val="22"/>
                <w:szCs w:val="28"/>
              </w:rPr>
            </w:pPr>
            <w:r>
              <w:rPr>
                <w:rFonts w:hint="eastAsia" w:ascii="仿宋" w:hAnsi="仿宋" w:eastAsia="仿宋" w:cs="宋体"/>
                <w:kern w:val="0"/>
                <w:sz w:val="22"/>
                <w:szCs w:val="28"/>
              </w:rPr>
              <w:t>配备具有专业背景的植保人员2名；</w:t>
            </w:r>
          </w:p>
          <w:p w14:paraId="592B1F22">
            <w:pPr>
              <w:widowControl/>
              <w:adjustRightInd w:val="0"/>
              <w:snapToGrid w:val="0"/>
              <w:spacing w:line="360" w:lineRule="auto"/>
              <w:jc w:val="left"/>
              <w:rPr>
                <w:rFonts w:ascii="仿宋" w:hAnsi="仿宋" w:eastAsia="仿宋" w:cs="宋体"/>
                <w:kern w:val="0"/>
                <w:sz w:val="22"/>
                <w:szCs w:val="28"/>
              </w:rPr>
            </w:pPr>
            <w:r>
              <w:rPr>
                <w:rFonts w:hint="eastAsia" w:ascii="仿宋" w:hAnsi="仿宋" w:eastAsia="仿宋" w:cs="宋体"/>
                <w:kern w:val="0"/>
                <w:sz w:val="22"/>
                <w:szCs w:val="28"/>
              </w:rPr>
              <w:t>修剪人员需固定4名，以便接受相关培训</w:t>
            </w:r>
          </w:p>
          <w:p w14:paraId="16B5F5F3">
            <w:pPr>
              <w:adjustRightInd w:val="0"/>
              <w:snapToGrid w:val="0"/>
              <w:spacing w:line="360" w:lineRule="auto"/>
              <w:jc w:val="left"/>
              <w:rPr>
                <w:rFonts w:ascii="仿宋" w:hAnsi="仿宋" w:eastAsia="仿宋"/>
                <w:sz w:val="22"/>
                <w:szCs w:val="28"/>
              </w:rPr>
            </w:pPr>
            <w:r>
              <w:rPr>
                <w:rFonts w:hint="eastAsia" w:ascii="仿宋" w:hAnsi="仿宋" w:eastAsia="仿宋"/>
                <w:sz w:val="22"/>
                <w:szCs w:val="28"/>
              </w:rPr>
              <w:t>技术人员专职配合植物信息统计、物候记录、植物铭牌维护</w:t>
            </w:r>
            <w:r>
              <w:rPr>
                <w:rFonts w:ascii="仿宋" w:hAnsi="仿宋" w:eastAsia="仿宋"/>
                <w:sz w:val="22"/>
                <w:szCs w:val="28"/>
              </w:rPr>
              <w:t>1</w:t>
            </w:r>
            <w:r>
              <w:rPr>
                <w:rFonts w:hint="eastAsia" w:ascii="仿宋" w:hAnsi="仿宋" w:eastAsia="仿宋"/>
                <w:sz w:val="22"/>
                <w:szCs w:val="28"/>
              </w:rPr>
              <w:t>人。（要求年龄</w:t>
            </w:r>
            <w:r>
              <w:rPr>
                <w:rFonts w:ascii="仿宋" w:hAnsi="仿宋" w:eastAsia="仿宋"/>
                <w:sz w:val="22"/>
                <w:szCs w:val="28"/>
              </w:rPr>
              <w:t>40</w:t>
            </w:r>
            <w:r>
              <w:rPr>
                <w:rFonts w:hint="eastAsia" w:ascii="仿宋" w:hAnsi="仿宋" w:eastAsia="仿宋"/>
                <w:sz w:val="22"/>
                <w:szCs w:val="28"/>
              </w:rPr>
              <w:t>周岁以下，能够处理计算机文字和表格）。</w:t>
            </w:r>
          </w:p>
          <w:p w14:paraId="4C00AC89">
            <w:pPr>
              <w:widowControl/>
              <w:adjustRightInd w:val="0"/>
              <w:snapToGrid w:val="0"/>
              <w:spacing w:line="360" w:lineRule="auto"/>
              <w:jc w:val="left"/>
              <w:rPr>
                <w:rFonts w:ascii="仿宋" w:hAnsi="仿宋" w:eastAsia="仿宋"/>
                <w:sz w:val="22"/>
                <w:szCs w:val="28"/>
              </w:rPr>
            </w:pPr>
            <w:r>
              <w:rPr>
                <w:rFonts w:hint="eastAsia" w:ascii="仿宋" w:hAnsi="仿宋" w:eastAsia="仿宋"/>
                <w:sz w:val="22"/>
                <w:szCs w:val="28"/>
              </w:rPr>
              <w:t>每年的人员流动必须不超过</w:t>
            </w:r>
            <w:r>
              <w:rPr>
                <w:rFonts w:ascii="仿宋" w:hAnsi="仿宋" w:eastAsia="仿宋"/>
                <w:sz w:val="22"/>
                <w:szCs w:val="28"/>
              </w:rPr>
              <w:t>30%</w:t>
            </w:r>
            <w:r>
              <w:rPr>
                <w:rFonts w:hint="eastAsia" w:ascii="仿宋" w:hAnsi="仿宋" w:eastAsia="仿宋"/>
                <w:sz w:val="22"/>
                <w:szCs w:val="28"/>
              </w:rPr>
              <w:t>，项目经理、管理人员、植保人员、修剪人员及主要养护技术骨干要保持稳定，要保持最少三年不变，其他人员如有变动必须提前以书面方式报备园艺景观部。</w:t>
            </w:r>
          </w:p>
          <w:p w14:paraId="26949B22">
            <w:pPr>
              <w:widowControl/>
              <w:adjustRightInd w:val="0"/>
              <w:snapToGrid w:val="0"/>
              <w:spacing w:line="360" w:lineRule="auto"/>
              <w:jc w:val="left"/>
              <w:rPr>
                <w:rFonts w:ascii="仿宋" w:hAnsi="仿宋" w:eastAsia="仿宋" w:cs="宋体"/>
                <w:kern w:val="0"/>
                <w:sz w:val="22"/>
                <w:szCs w:val="28"/>
              </w:rPr>
            </w:pPr>
            <w:r>
              <w:rPr>
                <w:rFonts w:ascii="仿宋" w:hAnsi="仿宋" w:eastAsia="仿宋" w:cs="宋体"/>
                <w:kern w:val="0"/>
                <w:sz w:val="22"/>
                <w:szCs w:val="28"/>
              </w:rPr>
              <w:t>新招聘需经过养护公司和</w:t>
            </w:r>
            <w:r>
              <w:rPr>
                <w:rFonts w:hint="eastAsia" w:ascii="仿宋" w:hAnsi="仿宋" w:eastAsia="仿宋" w:cs="宋体"/>
                <w:kern w:val="0"/>
                <w:sz w:val="22"/>
                <w:szCs w:val="28"/>
              </w:rPr>
              <w:t>园艺科</w:t>
            </w:r>
            <w:r>
              <w:rPr>
                <w:rFonts w:ascii="仿宋" w:hAnsi="仿宋" w:eastAsia="仿宋" w:cs="宋体"/>
                <w:kern w:val="0"/>
                <w:sz w:val="22"/>
                <w:szCs w:val="28"/>
              </w:rPr>
              <w:t>块面负责人共同面试。</w:t>
            </w:r>
          </w:p>
          <w:p w14:paraId="064B997B">
            <w:pPr>
              <w:adjustRightInd w:val="0"/>
              <w:snapToGrid w:val="0"/>
              <w:spacing w:line="360" w:lineRule="auto"/>
              <w:jc w:val="left"/>
              <w:rPr>
                <w:rFonts w:ascii="仿宋" w:hAnsi="仿宋" w:eastAsia="仿宋"/>
                <w:bCs/>
                <w:sz w:val="22"/>
                <w:szCs w:val="28"/>
              </w:rPr>
            </w:pPr>
            <w:r>
              <w:rPr>
                <w:rFonts w:hint="eastAsia" w:ascii="仿宋" w:hAnsi="仿宋" w:eastAsia="仿宋" w:cs="宋体"/>
                <w:kern w:val="0"/>
                <w:sz w:val="22"/>
                <w:szCs w:val="28"/>
              </w:rPr>
              <w:t>养护公司主要技术人员在工作块面上分工，根据块面工作需要进行统一安排。</w:t>
            </w:r>
          </w:p>
        </w:tc>
      </w:tr>
    </w:tbl>
    <w:p w14:paraId="5E655090">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lang w:val="en-US" w:eastAsia="zh-CN"/>
        </w:rPr>
        <w:t>7.2.2</w:t>
      </w:r>
      <w:r>
        <w:rPr>
          <w:rFonts w:hint="eastAsia" w:ascii="仿宋" w:hAnsi="仿宋" w:eastAsia="仿宋"/>
          <w:sz w:val="28"/>
          <w:szCs w:val="28"/>
        </w:rPr>
        <w:t>项目</w:t>
      </w:r>
      <w:r>
        <w:rPr>
          <w:rFonts w:hint="eastAsia" w:ascii="仿宋" w:hAnsi="仿宋" w:eastAsia="仿宋"/>
          <w:sz w:val="28"/>
          <w:szCs w:val="28"/>
          <w:lang w:eastAsia="zh-CN"/>
        </w:rPr>
        <w:t>经理</w:t>
      </w:r>
      <w:r>
        <w:rPr>
          <w:rFonts w:hint="eastAsia" w:ascii="仿宋" w:hAnsi="仿宋" w:eastAsia="仿宋"/>
          <w:sz w:val="28"/>
          <w:szCs w:val="28"/>
        </w:rPr>
        <w:t>要求：</w:t>
      </w:r>
    </w:p>
    <w:p w14:paraId="336E7D6C">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年龄： 55周岁以下</w:t>
      </w:r>
    </w:p>
    <w:p w14:paraId="475F1E2C">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职称： 高级职称及以上</w:t>
      </w:r>
    </w:p>
    <w:p w14:paraId="0F20639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经验： 具有5年以上类似养护项目的从业经验</w:t>
      </w:r>
    </w:p>
    <w:p w14:paraId="182ECC30">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学历： 本科以上</w:t>
      </w:r>
    </w:p>
    <w:p w14:paraId="6A81F9F7">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lang w:val="en-US" w:eastAsia="zh-CN"/>
        </w:rPr>
        <w:t>7.2.3</w:t>
      </w:r>
      <w:r>
        <w:rPr>
          <w:rFonts w:hint="eastAsia" w:ascii="仿宋" w:hAnsi="仿宋" w:eastAsia="仿宋"/>
          <w:sz w:val="28"/>
          <w:szCs w:val="28"/>
        </w:rPr>
        <w:t>项目管理人职责：</w:t>
      </w:r>
    </w:p>
    <w:p w14:paraId="1B728D3A">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7.2.3.1</w:t>
      </w:r>
      <w:r>
        <w:rPr>
          <w:rFonts w:hint="eastAsia" w:ascii="仿宋" w:hAnsi="仿宋" w:eastAsia="仿宋" w:cs="Times New Roman"/>
          <w:color w:val="auto"/>
          <w:kern w:val="2"/>
          <w:sz w:val="28"/>
          <w:szCs w:val="28"/>
        </w:rPr>
        <w:t>遵守国家法律法规，遵守上海植物园的管理制度和园艺科养护管理制度</w:t>
      </w:r>
    </w:p>
    <w:p w14:paraId="3D6CE65D">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7.2.3.2</w:t>
      </w:r>
      <w:r>
        <w:rPr>
          <w:rFonts w:hint="eastAsia" w:ascii="仿宋" w:hAnsi="仿宋" w:eastAsia="仿宋" w:cs="Times New Roman"/>
          <w:color w:val="auto"/>
          <w:kern w:val="2"/>
          <w:sz w:val="28"/>
          <w:szCs w:val="28"/>
        </w:rPr>
        <w:t>负责对养护标段进行全面的计划、组织、协调和质量控制</w:t>
      </w:r>
    </w:p>
    <w:p w14:paraId="33B50F02">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7.2.3.3</w:t>
      </w:r>
      <w:r>
        <w:rPr>
          <w:rFonts w:hint="eastAsia" w:ascii="仿宋" w:hAnsi="仿宋" w:eastAsia="仿宋" w:cs="Times New Roman"/>
          <w:color w:val="auto"/>
          <w:kern w:val="2"/>
          <w:sz w:val="28"/>
          <w:szCs w:val="28"/>
        </w:rPr>
        <w:t>负责养护标段的安全生产和文明施工</w:t>
      </w:r>
    </w:p>
    <w:p w14:paraId="517A8D8C">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7.2.3.4</w:t>
      </w:r>
      <w:r>
        <w:rPr>
          <w:rFonts w:hint="eastAsia" w:ascii="仿宋" w:hAnsi="仿宋" w:eastAsia="仿宋" w:cs="Times New Roman"/>
          <w:color w:val="auto"/>
          <w:kern w:val="2"/>
          <w:sz w:val="28"/>
          <w:szCs w:val="28"/>
        </w:rPr>
        <w:t>负责编制年度和月度的养护计划和年度养护总结，书面提交园艺科</w:t>
      </w:r>
    </w:p>
    <w:p w14:paraId="61C621EF">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7.2.3.5</w:t>
      </w:r>
      <w:r>
        <w:rPr>
          <w:rFonts w:hint="eastAsia" w:ascii="仿宋" w:hAnsi="仿宋" w:eastAsia="仿宋" w:cs="Times New Roman"/>
          <w:color w:val="auto"/>
          <w:kern w:val="2"/>
          <w:sz w:val="28"/>
          <w:szCs w:val="28"/>
        </w:rPr>
        <w:t>负责对养护中存在的薄弱环节制定针对性的优化提升方案</w:t>
      </w:r>
    </w:p>
    <w:p w14:paraId="2180C878">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w:t>
      </w:r>
      <w:r>
        <w:rPr>
          <w:rFonts w:hint="eastAsia" w:ascii="仿宋" w:hAnsi="仿宋" w:eastAsia="仿宋" w:cs="Times New Roman"/>
          <w:color w:val="auto"/>
          <w:kern w:val="2"/>
          <w:sz w:val="28"/>
          <w:szCs w:val="28"/>
        </w:rPr>
        <w:t>6负责对养护考核的结果和过程中存在的问题进行及时整改，整改时间符合园艺科的管理规定</w:t>
      </w:r>
    </w:p>
    <w:p w14:paraId="369DF2B9">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7.2.3.7</w:t>
      </w:r>
      <w:r>
        <w:rPr>
          <w:rFonts w:hint="eastAsia" w:ascii="仿宋" w:hAnsi="仿宋" w:eastAsia="仿宋" w:cs="Times New Roman"/>
          <w:color w:val="auto"/>
          <w:kern w:val="2"/>
          <w:sz w:val="28"/>
          <w:szCs w:val="28"/>
        </w:rPr>
        <w:t>负责落实园方活植物管理和年度引种进专类园的工作配合</w:t>
      </w:r>
    </w:p>
    <w:p w14:paraId="0EBE83C4">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7.2.3.</w:t>
      </w:r>
      <w:r>
        <w:rPr>
          <w:rFonts w:hint="eastAsia" w:ascii="仿宋" w:hAnsi="仿宋" w:eastAsia="仿宋" w:cs="Times New Roman"/>
          <w:color w:val="auto"/>
          <w:kern w:val="2"/>
          <w:sz w:val="28"/>
          <w:szCs w:val="28"/>
        </w:rPr>
        <w:t>8负责配合园艺改造项目实施与日常养护之间的协调</w:t>
      </w:r>
    </w:p>
    <w:p w14:paraId="138AC46D">
      <w:pPr>
        <w:pStyle w:val="44"/>
        <w:snapToGrid w:val="0"/>
        <w:spacing w:line="360" w:lineRule="auto"/>
        <w:ind w:firstLine="560" w:firstLineChars="200"/>
        <w:rPr>
          <w:rFonts w:ascii="仿宋" w:hAnsi="仿宋" w:eastAsia="仿宋" w:cs="Times New Roman"/>
          <w:color w:val="auto"/>
          <w:kern w:val="2"/>
          <w:sz w:val="28"/>
          <w:szCs w:val="28"/>
        </w:rPr>
      </w:pPr>
      <w:r>
        <w:rPr>
          <w:rFonts w:hint="eastAsia" w:ascii="仿宋" w:hAnsi="仿宋" w:eastAsia="仿宋" w:cs="Times New Roman"/>
          <w:color w:val="auto"/>
          <w:kern w:val="2"/>
          <w:sz w:val="28"/>
          <w:szCs w:val="28"/>
          <w:lang w:val="en-US" w:eastAsia="zh-CN"/>
        </w:rPr>
        <w:t>7.2.4</w:t>
      </w:r>
      <w:r>
        <w:rPr>
          <w:rFonts w:hint="eastAsia" w:ascii="仿宋" w:hAnsi="仿宋" w:eastAsia="仿宋" w:cs="Times New Roman"/>
          <w:color w:val="auto"/>
          <w:kern w:val="2"/>
          <w:sz w:val="28"/>
          <w:szCs w:val="28"/>
        </w:rPr>
        <w:t>其他人员要求</w:t>
      </w:r>
    </w:p>
    <w:p w14:paraId="270332BC">
      <w:pPr>
        <w:pStyle w:val="44"/>
        <w:numPr>
          <w:ilvl w:val="0"/>
          <w:numId w:val="2"/>
        </w:numPr>
        <w:snapToGrid w:val="0"/>
        <w:spacing w:line="360" w:lineRule="auto"/>
        <w:ind w:firstLine="560" w:firstLineChars="200"/>
        <w:rPr>
          <w:rFonts w:hint="eastAsia" w:ascii="仿宋" w:hAnsi="仿宋" w:eastAsia="仿宋" w:cs="Times New Roman"/>
          <w:color w:val="auto"/>
          <w:kern w:val="2"/>
          <w:sz w:val="28"/>
          <w:szCs w:val="28"/>
        </w:rPr>
      </w:pPr>
      <w:r>
        <w:rPr>
          <w:rFonts w:hint="eastAsia" w:ascii="仿宋" w:hAnsi="仿宋" w:eastAsia="仿宋" w:cs="Times New Roman"/>
          <w:color w:val="auto"/>
          <w:kern w:val="2"/>
          <w:sz w:val="28"/>
          <w:szCs w:val="28"/>
        </w:rPr>
        <w:t>供应商应在投标文件中体现项目负责人及项目五大员（施工员、材料员、资料员、质检员、安全员）的相关执业证书或证明文件，上述内容将作为相关评分项的评分依据。</w:t>
      </w:r>
    </w:p>
    <w:p w14:paraId="783A23DA">
      <w:pPr>
        <w:numPr>
          <w:ilvl w:val="0"/>
          <w:numId w:val="2"/>
        </w:numPr>
        <w:ind w:firstLine="560" w:firstLineChars="200"/>
        <w:jc w:val="left"/>
        <w:rPr>
          <w:rFonts w:hint="eastAsia" w:ascii="仿宋" w:hAnsi="仿宋" w:eastAsia="仿宋" w:cs="Times New Roman"/>
          <w:color w:val="auto"/>
          <w:kern w:val="2"/>
          <w:sz w:val="28"/>
          <w:szCs w:val="28"/>
          <w:lang w:val="en-US" w:eastAsia="zh-CN"/>
        </w:rPr>
      </w:pPr>
      <w:r>
        <w:rPr>
          <w:rFonts w:hint="eastAsia" w:ascii="仿宋" w:hAnsi="仿宋" w:eastAsia="仿宋" w:cs="Times New Roman"/>
          <w:color w:val="auto"/>
          <w:kern w:val="2"/>
          <w:sz w:val="28"/>
          <w:szCs w:val="28"/>
          <w:lang w:val="en-US" w:eastAsia="zh-CN"/>
        </w:rPr>
        <w:t>供应商应按照以下要求设置安全管理员，并在投标文件中提供人员名单：</w:t>
      </w:r>
    </w:p>
    <w:p w14:paraId="7CB1FB51">
      <w:pPr>
        <w:numPr>
          <w:ilvl w:val="-1"/>
          <w:numId w:val="0"/>
        </w:numPr>
        <w:ind w:firstLine="0" w:firstLineChars="0"/>
        <w:jc w:val="center"/>
        <w:rPr>
          <w:sz w:val="24"/>
          <w:szCs w:val="24"/>
        </w:rPr>
      </w:pPr>
      <w:r>
        <w:rPr>
          <w:rFonts w:hint="eastAsia"/>
          <w:sz w:val="24"/>
          <w:szCs w:val="24"/>
        </w:rPr>
        <w:t>安全管理人员资质及排班要求</w:t>
      </w:r>
    </w:p>
    <w:p w14:paraId="02ACC12B">
      <w:pPr>
        <w:rPr>
          <w:sz w:val="24"/>
          <w:szCs w:val="24"/>
        </w:rPr>
      </w:pPr>
      <w:r>
        <w:rPr>
          <w:sz w:val="24"/>
          <w:szCs w:val="24"/>
        </w:rPr>
        <w:t xml:space="preserve"> </w:t>
      </w:r>
    </w:p>
    <w:p w14:paraId="6C9C3FAC">
      <w:pPr>
        <w:rPr>
          <w:rFonts w:hint="eastAsia" w:ascii="仿宋" w:hAnsi="仿宋" w:eastAsia="仿宋"/>
          <w:color w:val="auto"/>
          <w:sz w:val="28"/>
          <w:szCs w:val="28"/>
        </w:rPr>
      </w:pPr>
      <w:r>
        <w:rPr>
          <w:rFonts w:hint="eastAsia" w:ascii="仿宋" w:hAnsi="仿宋" w:eastAsia="仿宋"/>
          <w:color w:val="auto"/>
          <w:sz w:val="28"/>
          <w:szCs w:val="28"/>
        </w:rPr>
        <w:t>一、 安全管理人员资质要求</w:t>
      </w:r>
    </w:p>
    <w:p w14:paraId="760CF823">
      <w:pPr>
        <w:rPr>
          <w:rFonts w:hint="eastAsia" w:ascii="仿宋" w:hAnsi="仿宋" w:eastAsia="仿宋"/>
          <w:color w:val="auto"/>
          <w:sz w:val="28"/>
          <w:szCs w:val="28"/>
        </w:rPr>
      </w:pPr>
      <w:r>
        <w:rPr>
          <w:rFonts w:hint="eastAsia" w:ascii="仿宋" w:hAnsi="仿宋" w:eastAsia="仿宋"/>
          <w:color w:val="auto"/>
          <w:sz w:val="28"/>
          <w:szCs w:val="28"/>
          <w:lang w:eastAsia="zh-CN"/>
        </w:rPr>
        <w:t>①</w:t>
      </w:r>
      <w:r>
        <w:rPr>
          <w:rFonts w:hint="eastAsia" w:ascii="仿宋" w:hAnsi="仿宋" w:eastAsia="仿宋"/>
          <w:color w:val="auto"/>
          <w:sz w:val="28"/>
          <w:szCs w:val="28"/>
        </w:rPr>
        <w:t>本项目配备安全管理人员（可兼职）不少于2名，所有人员需年满18周岁，身体健康，具备与本岗位相匹配的安全生产知识和管理能力。</w:t>
      </w:r>
    </w:p>
    <w:p w14:paraId="71D4421A">
      <w:pPr>
        <w:rPr>
          <w:rFonts w:hint="eastAsia" w:ascii="仿宋" w:hAnsi="仿宋" w:eastAsia="仿宋"/>
          <w:color w:val="auto"/>
          <w:sz w:val="28"/>
          <w:szCs w:val="28"/>
        </w:rPr>
      </w:pPr>
      <w:r>
        <w:rPr>
          <w:rFonts w:hint="eastAsia" w:ascii="仿宋" w:hAnsi="仿宋" w:eastAsia="仿宋"/>
          <w:color w:val="auto"/>
          <w:sz w:val="28"/>
          <w:szCs w:val="28"/>
          <w:lang w:eastAsia="zh-CN"/>
        </w:rPr>
        <w:t>②</w:t>
      </w:r>
      <w:r>
        <w:rPr>
          <w:rFonts w:hint="eastAsia" w:ascii="仿宋" w:hAnsi="仿宋" w:eastAsia="仿宋"/>
          <w:color w:val="auto"/>
          <w:sz w:val="28"/>
          <w:szCs w:val="28"/>
        </w:rPr>
        <w:t>安全管理人员需熟悉国家、地方及行业关于安全生产的法律法规、标准规范，掌握本项目的安全风险点及管控措施，具备良好的沟通协调能力和应急处置能力，能够独立开展安全隐患排查、安全教育培训、安全检查记录及整改跟踪等工作。</w:t>
      </w:r>
    </w:p>
    <w:p w14:paraId="6C42CF84">
      <w:pPr>
        <w:rPr>
          <w:rFonts w:hint="eastAsia" w:ascii="仿宋" w:hAnsi="仿宋" w:eastAsia="仿宋"/>
          <w:color w:val="auto"/>
          <w:sz w:val="28"/>
          <w:szCs w:val="28"/>
        </w:rPr>
      </w:pPr>
      <w:r>
        <w:rPr>
          <w:rFonts w:hint="eastAsia" w:ascii="仿宋" w:hAnsi="仿宋" w:eastAsia="仿宋"/>
          <w:color w:val="auto"/>
          <w:sz w:val="28"/>
          <w:szCs w:val="28"/>
        </w:rPr>
        <w:t>二、 安全管理人员排班要求</w:t>
      </w:r>
    </w:p>
    <w:p w14:paraId="2DBA1A5E">
      <w:pPr>
        <w:rPr>
          <w:rFonts w:hint="eastAsia" w:ascii="仿宋" w:hAnsi="仿宋" w:eastAsia="仿宋"/>
          <w:color w:val="auto"/>
          <w:sz w:val="28"/>
          <w:szCs w:val="28"/>
        </w:rPr>
      </w:pPr>
      <w:r>
        <w:rPr>
          <w:rFonts w:hint="eastAsia" w:ascii="仿宋" w:hAnsi="仿宋" w:eastAsia="仿宋"/>
          <w:color w:val="auto"/>
          <w:sz w:val="28"/>
          <w:szCs w:val="28"/>
          <w:lang w:eastAsia="zh-CN"/>
        </w:rPr>
        <w:t>①</w:t>
      </w:r>
      <w:r>
        <w:rPr>
          <w:rFonts w:hint="eastAsia" w:ascii="仿宋" w:hAnsi="仿宋" w:eastAsia="仿宋"/>
          <w:color w:val="auto"/>
          <w:sz w:val="28"/>
          <w:szCs w:val="28"/>
        </w:rPr>
        <w:t> 实行每周7天无间断在岗值守制度，确保养护期间安全岗位在岗人数不少于1人。</w:t>
      </w:r>
    </w:p>
    <w:p w14:paraId="06BBE905">
      <w:pPr>
        <w:pStyle w:val="44"/>
        <w:numPr>
          <w:ilvl w:val="-1"/>
          <w:numId w:val="0"/>
        </w:numPr>
        <w:snapToGrid w:val="0"/>
        <w:spacing w:line="360" w:lineRule="auto"/>
        <w:ind w:firstLine="0" w:firstLineChars="0"/>
        <w:rPr>
          <w:rFonts w:hint="eastAsia" w:ascii="仿宋" w:hAnsi="仿宋" w:eastAsia="仿宋" w:cs="Times New Roman"/>
          <w:color w:val="auto"/>
          <w:kern w:val="2"/>
          <w:sz w:val="28"/>
          <w:szCs w:val="28"/>
          <w:lang w:val="en-US" w:eastAsia="zh-CN"/>
        </w:rPr>
      </w:pPr>
      <w:r>
        <w:rPr>
          <w:rFonts w:hint="eastAsia" w:ascii="仿宋" w:hAnsi="仿宋" w:eastAsia="仿宋"/>
          <w:color w:val="auto"/>
          <w:sz w:val="28"/>
          <w:szCs w:val="28"/>
          <w:lang w:eastAsia="zh-CN"/>
        </w:rPr>
        <w:t>②</w:t>
      </w:r>
      <w:r>
        <w:rPr>
          <w:rFonts w:hint="eastAsia" w:ascii="仿宋" w:hAnsi="仿宋" w:eastAsia="仿宋" w:cs="Times New Roman"/>
          <w:color w:val="auto"/>
          <w:kern w:val="2"/>
          <w:sz w:val="28"/>
          <w:szCs w:val="28"/>
        </w:rPr>
        <w:t> 建立排班台账，详细记录每日在岗人员姓名、值班时段、联系方式及交接班情况，交接班时需对当日安全隐患、重点管控事项等进行书面交接确认。</w:t>
      </w:r>
    </w:p>
    <w:p w14:paraId="3007A2C4">
      <w:pPr>
        <w:pStyle w:val="44"/>
        <w:snapToGrid w:val="0"/>
        <w:spacing w:line="360" w:lineRule="auto"/>
        <w:ind w:firstLine="560" w:firstLineChars="200"/>
        <w:rPr>
          <w:rFonts w:hint="eastAsia" w:ascii="仿宋" w:hAnsi="仿宋" w:eastAsia="仿宋" w:cs="Times New Roman"/>
          <w:color w:val="auto"/>
          <w:kern w:val="2"/>
          <w:sz w:val="28"/>
          <w:szCs w:val="28"/>
        </w:rPr>
      </w:pPr>
    </w:p>
    <w:p w14:paraId="60396005">
      <w:pPr>
        <w:numPr>
          <w:ilvl w:val="0"/>
          <w:numId w:val="0"/>
        </w:numPr>
        <w:adjustRightInd w:val="0"/>
        <w:snapToGrid w:val="0"/>
        <w:spacing w:line="360" w:lineRule="auto"/>
        <w:ind w:firstLine="562" w:firstLineChars="200"/>
        <w:jc w:val="left"/>
        <w:rPr>
          <w:rFonts w:hint="eastAsia" w:ascii="仿宋" w:hAnsi="仿宋" w:eastAsia="仿宋"/>
          <w:b/>
          <w:sz w:val="28"/>
          <w:szCs w:val="28"/>
          <w:lang w:eastAsia="zh-CN"/>
        </w:rPr>
      </w:pPr>
      <w:r>
        <w:rPr>
          <w:rFonts w:hint="eastAsia" w:ascii="仿宋" w:hAnsi="仿宋" w:eastAsia="仿宋"/>
          <w:b/>
          <w:sz w:val="28"/>
          <w:szCs w:val="28"/>
          <w:lang w:val="en-US" w:eastAsia="zh-CN"/>
        </w:rPr>
        <w:t>8、</w:t>
      </w:r>
      <w:r>
        <w:rPr>
          <w:rFonts w:hint="eastAsia" w:ascii="仿宋" w:hAnsi="仿宋" w:eastAsia="仿宋"/>
          <w:b/>
          <w:sz w:val="28"/>
          <w:szCs w:val="28"/>
        </w:rPr>
        <w:t>养护技术规范</w:t>
      </w:r>
      <w:r>
        <w:rPr>
          <w:rFonts w:hint="eastAsia" w:ascii="仿宋" w:hAnsi="仿宋" w:eastAsia="仿宋"/>
          <w:b/>
          <w:sz w:val="28"/>
          <w:szCs w:val="28"/>
          <w:lang w:eastAsia="zh-CN"/>
        </w:rPr>
        <w:t>和安全管理</w:t>
      </w:r>
    </w:p>
    <w:p w14:paraId="6C489CC5">
      <w:pPr>
        <w:adjustRightInd w:val="0"/>
        <w:snapToGrid w:val="0"/>
        <w:spacing w:line="360" w:lineRule="auto"/>
        <w:ind w:firstLine="560" w:firstLineChars="200"/>
        <w:jc w:val="left"/>
        <w:rPr>
          <w:rFonts w:hint="default" w:ascii="仿宋" w:hAnsi="仿宋" w:eastAsia="仿宋"/>
          <w:b/>
          <w:sz w:val="28"/>
          <w:szCs w:val="28"/>
          <w:highlight w:val="none"/>
          <w:lang w:val="en-US" w:eastAsia="zh-CN"/>
        </w:rPr>
      </w:pPr>
      <w:r>
        <w:rPr>
          <w:rFonts w:hint="eastAsia" w:ascii="仿宋" w:hAnsi="仿宋" w:eastAsia="仿宋"/>
          <w:sz w:val="28"/>
          <w:szCs w:val="28"/>
          <w:highlight w:val="none"/>
        </w:rPr>
        <w:t>供应商</w:t>
      </w:r>
      <w:r>
        <w:rPr>
          <w:rFonts w:hint="eastAsia" w:ascii="仿宋" w:hAnsi="仿宋" w:eastAsia="仿宋"/>
          <w:sz w:val="28"/>
          <w:szCs w:val="28"/>
          <w:highlight w:val="none"/>
          <w:lang w:eastAsia="zh-CN"/>
        </w:rPr>
        <w:t>在实施各项工作中，因严格按照相关的行业技术规范、标准的要求落实，并</w:t>
      </w:r>
      <w:r>
        <w:rPr>
          <w:rFonts w:hint="eastAsia" w:ascii="仿宋" w:hAnsi="仿宋" w:eastAsia="仿宋"/>
          <w:sz w:val="28"/>
          <w:szCs w:val="28"/>
          <w:highlight w:val="none"/>
        </w:rPr>
        <w:t>高度重视养护</w:t>
      </w:r>
      <w:r>
        <w:rPr>
          <w:rFonts w:hint="eastAsia" w:ascii="仿宋" w:hAnsi="仿宋" w:eastAsia="仿宋"/>
          <w:sz w:val="28"/>
          <w:szCs w:val="28"/>
          <w:highlight w:val="none"/>
          <w:lang w:eastAsia="zh-CN"/>
        </w:rPr>
        <w:t>人员</w:t>
      </w:r>
      <w:r>
        <w:rPr>
          <w:rFonts w:hint="eastAsia" w:ascii="仿宋" w:hAnsi="仿宋" w:eastAsia="仿宋"/>
          <w:sz w:val="28"/>
          <w:szCs w:val="28"/>
          <w:highlight w:val="none"/>
        </w:rPr>
        <w:t>在现场操作</w:t>
      </w:r>
      <w:r>
        <w:rPr>
          <w:rFonts w:hint="eastAsia" w:ascii="仿宋" w:hAnsi="仿宋" w:eastAsia="仿宋"/>
          <w:sz w:val="28"/>
          <w:szCs w:val="28"/>
          <w:highlight w:val="none"/>
          <w:lang w:eastAsia="zh-CN"/>
        </w:rPr>
        <w:t>前、中、后的技术培训、安全培训，定期开展</w:t>
      </w:r>
      <w:r>
        <w:rPr>
          <w:rFonts w:hint="eastAsia" w:ascii="仿宋" w:hAnsi="仿宋" w:eastAsia="仿宋"/>
          <w:sz w:val="28"/>
          <w:szCs w:val="28"/>
          <w:highlight w:val="none"/>
        </w:rPr>
        <w:t>上岗安全知识教育</w:t>
      </w:r>
      <w:r>
        <w:rPr>
          <w:rFonts w:hint="eastAsia" w:ascii="仿宋" w:hAnsi="仿宋" w:eastAsia="仿宋"/>
          <w:sz w:val="28"/>
          <w:szCs w:val="28"/>
          <w:highlight w:val="none"/>
          <w:lang w:eastAsia="zh-CN"/>
        </w:rPr>
        <w:t>、安全检查等工作</w:t>
      </w:r>
      <w:r>
        <w:rPr>
          <w:rFonts w:hint="eastAsia" w:ascii="仿宋" w:hAnsi="仿宋" w:eastAsia="仿宋"/>
          <w:sz w:val="28"/>
          <w:szCs w:val="28"/>
          <w:highlight w:val="none"/>
        </w:rPr>
        <w:t>，</w:t>
      </w:r>
      <w:r>
        <w:rPr>
          <w:rFonts w:hint="eastAsia" w:ascii="仿宋" w:hAnsi="仿宋" w:eastAsia="仿宋"/>
          <w:sz w:val="28"/>
          <w:szCs w:val="28"/>
          <w:highlight w:val="none"/>
          <w:lang w:eastAsia="zh-CN"/>
        </w:rPr>
        <w:t>确保项目的安全开展。</w:t>
      </w:r>
    </w:p>
    <w:p w14:paraId="134B44FE">
      <w:pPr>
        <w:pStyle w:val="14"/>
        <w:adjustRightInd w:val="0"/>
        <w:snapToGrid w:val="0"/>
        <w:spacing w:before="0" w:after="0" w:line="360" w:lineRule="auto"/>
        <w:ind w:firstLine="562" w:firstLineChars="200"/>
        <w:jc w:val="left"/>
        <w:rPr>
          <w:rFonts w:ascii="仿宋" w:hAnsi="仿宋" w:eastAsia="仿宋"/>
          <w:sz w:val="28"/>
          <w:szCs w:val="28"/>
        </w:rPr>
      </w:pPr>
      <w:bookmarkStart w:id="0" w:name="_Toc503349664"/>
      <w:r>
        <w:rPr>
          <w:rFonts w:hint="eastAsia" w:ascii="仿宋" w:hAnsi="仿宋" w:eastAsia="仿宋"/>
          <w:sz w:val="28"/>
          <w:szCs w:val="28"/>
        </w:rPr>
        <w:t xml:space="preserve"> 养护技术规范（包括但不限于）</w:t>
      </w:r>
      <w:bookmarkEnd w:id="0"/>
    </w:p>
    <w:p w14:paraId="10A7A960">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《园林植物栽植技术规程》</w:t>
      </w:r>
      <w:r>
        <w:rPr>
          <w:rFonts w:ascii="仿宋" w:hAnsi="仿宋" w:eastAsia="仿宋"/>
          <w:sz w:val="28"/>
          <w:szCs w:val="28"/>
        </w:rPr>
        <w:t xml:space="preserve">  2011</w:t>
      </w:r>
      <w:r>
        <w:rPr>
          <w:rFonts w:hint="eastAsia" w:ascii="仿宋" w:hAnsi="仿宋" w:eastAsia="仿宋"/>
          <w:sz w:val="28"/>
          <w:szCs w:val="28"/>
        </w:rPr>
        <w:t>年版</w:t>
      </w:r>
      <w:r>
        <w:rPr>
          <w:rFonts w:ascii="仿宋" w:hAnsi="仿宋" w:eastAsia="仿宋"/>
          <w:sz w:val="28"/>
          <w:szCs w:val="28"/>
        </w:rPr>
        <w:t xml:space="preserve"> </w:t>
      </w:r>
    </w:p>
    <w:p w14:paraId="3C154108">
      <w:pPr>
        <w:adjustRightInd w:val="0"/>
        <w:snapToGrid w:val="0"/>
        <w:spacing w:line="360" w:lineRule="auto"/>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《园林绿化养护</w:t>
      </w:r>
      <w:r>
        <w:rPr>
          <w:rFonts w:hint="eastAsia" w:ascii="仿宋" w:hAnsi="仿宋" w:eastAsia="仿宋"/>
          <w:sz w:val="28"/>
          <w:szCs w:val="28"/>
          <w:highlight w:val="none"/>
          <w:lang w:eastAsia="zh-CN"/>
        </w:rPr>
        <w:t>标准</w:t>
      </w:r>
      <w:r>
        <w:rPr>
          <w:rFonts w:hint="eastAsia" w:ascii="仿宋" w:hAnsi="仿宋" w:eastAsia="仿宋"/>
          <w:sz w:val="28"/>
          <w:szCs w:val="28"/>
          <w:highlight w:val="none"/>
        </w:rPr>
        <w:t>》</w:t>
      </w:r>
      <w:r>
        <w:rPr>
          <w:rFonts w:ascii="仿宋" w:hAnsi="仿宋" w:eastAsia="仿宋"/>
          <w:sz w:val="28"/>
          <w:szCs w:val="28"/>
          <w:highlight w:val="none"/>
        </w:rPr>
        <w:t xml:space="preserve">  DG/TJ08-19-20</w:t>
      </w:r>
      <w:r>
        <w:rPr>
          <w:rFonts w:hint="eastAsia" w:ascii="仿宋" w:hAnsi="仿宋" w:eastAsia="仿宋"/>
          <w:sz w:val="28"/>
          <w:szCs w:val="28"/>
          <w:highlight w:val="none"/>
          <w:lang w:val="en-US" w:eastAsia="zh-CN"/>
        </w:rPr>
        <w:t>23</w:t>
      </w:r>
      <w:r>
        <w:rPr>
          <w:rFonts w:ascii="仿宋" w:hAnsi="仿宋" w:eastAsia="仿宋"/>
          <w:sz w:val="28"/>
          <w:szCs w:val="28"/>
          <w:highlight w:val="none"/>
        </w:rPr>
        <w:t xml:space="preserve">   J11852-20</w:t>
      </w:r>
      <w:r>
        <w:rPr>
          <w:rFonts w:hint="eastAsia" w:ascii="仿宋" w:hAnsi="仿宋" w:eastAsia="仿宋"/>
          <w:sz w:val="28"/>
          <w:szCs w:val="28"/>
          <w:highlight w:val="none"/>
          <w:lang w:val="en-US" w:eastAsia="zh-CN"/>
        </w:rPr>
        <w:t>23</w:t>
      </w:r>
      <w:r>
        <w:rPr>
          <w:rFonts w:ascii="仿宋" w:hAnsi="仿宋" w:eastAsia="仿宋"/>
          <w:sz w:val="28"/>
          <w:szCs w:val="28"/>
          <w:highlight w:val="none"/>
        </w:rPr>
        <w:t xml:space="preserve"> </w:t>
      </w:r>
    </w:p>
    <w:p w14:paraId="30CCFA05">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《上海绿化植物保护技术规程》（试行</w:t>
      </w:r>
      <w:r>
        <w:rPr>
          <w:rFonts w:ascii="仿宋" w:hAnsi="仿宋" w:eastAsia="仿宋"/>
          <w:sz w:val="28"/>
          <w:szCs w:val="28"/>
        </w:rPr>
        <w:t>2007</w:t>
      </w:r>
      <w:r>
        <w:rPr>
          <w:rFonts w:hint="eastAsia" w:ascii="仿宋" w:hAnsi="仿宋" w:eastAsia="仿宋"/>
          <w:sz w:val="28"/>
          <w:szCs w:val="28"/>
        </w:rPr>
        <w:t>年版）</w:t>
      </w:r>
      <w:r>
        <w:rPr>
          <w:rFonts w:ascii="仿宋" w:hAnsi="仿宋" w:eastAsia="仿宋"/>
          <w:sz w:val="28"/>
          <w:szCs w:val="28"/>
        </w:rPr>
        <w:t xml:space="preserve"> </w:t>
      </w:r>
    </w:p>
    <w:p w14:paraId="1355C981">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《园林绿化养护技术等级标准》</w:t>
      </w:r>
      <w:r>
        <w:rPr>
          <w:rFonts w:ascii="仿宋" w:hAnsi="仿宋" w:eastAsia="仿宋"/>
          <w:sz w:val="28"/>
          <w:szCs w:val="28"/>
        </w:rPr>
        <w:t xml:space="preserve">  DG/TJ08-702-2011    </w:t>
      </w:r>
    </w:p>
    <w:p w14:paraId="5016BA2D">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《行道树养护技术规程》（试行版）</w:t>
      </w:r>
      <w:r>
        <w:rPr>
          <w:rFonts w:ascii="仿宋" w:hAnsi="仿宋" w:eastAsia="仿宋"/>
          <w:sz w:val="28"/>
          <w:szCs w:val="28"/>
        </w:rPr>
        <w:t xml:space="preserve"> </w:t>
      </w:r>
    </w:p>
    <w:p w14:paraId="587806C5">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《大树移植技术规程》</w:t>
      </w:r>
      <w:r>
        <w:rPr>
          <w:rFonts w:ascii="仿宋" w:hAnsi="仿宋" w:eastAsia="仿宋"/>
          <w:sz w:val="28"/>
          <w:szCs w:val="28"/>
        </w:rPr>
        <w:t xml:space="preserve">      DBJ08-53-96 </w:t>
      </w:r>
    </w:p>
    <w:p w14:paraId="0E40DF8D">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《园林栽植土质量标准》</w:t>
      </w:r>
      <w:r>
        <w:rPr>
          <w:rFonts w:ascii="仿宋" w:hAnsi="仿宋" w:eastAsia="仿宋"/>
          <w:sz w:val="28"/>
          <w:szCs w:val="28"/>
        </w:rPr>
        <w:t xml:space="preserve">    DBJ08-231-98 </w:t>
      </w:r>
    </w:p>
    <w:p w14:paraId="44BE253D">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《草坪建植和草坪养护管理的技术规程》</w:t>
      </w:r>
      <w:r>
        <w:rPr>
          <w:rFonts w:ascii="仿宋" w:hAnsi="仿宋" w:eastAsia="仿宋"/>
          <w:sz w:val="28"/>
          <w:szCs w:val="28"/>
        </w:rPr>
        <w:t xml:space="preserve">   DBJ08-67-97 </w:t>
      </w:r>
    </w:p>
    <w:p w14:paraId="3CCD57D7">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《花坛、花境技术规程》</w:t>
      </w:r>
      <w:r>
        <w:rPr>
          <w:rFonts w:ascii="仿宋" w:hAnsi="仿宋" w:eastAsia="仿宋"/>
          <w:sz w:val="28"/>
          <w:szCs w:val="28"/>
        </w:rPr>
        <w:t xml:space="preserve">  DBJ08-66-97 </w:t>
      </w:r>
    </w:p>
    <w:p w14:paraId="04B9917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《垂直绿化技术规程》</w:t>
      </w:r>
      <w:r>
        <w:rPr>
          <w:rFonts w:ascii="仿宋" w:hAnsi="仿宋" w:eastAsia="仿宋"/>
          <w:sz w:val="28"/>
          <w:szCs w:val="28"/>
        </w:rPr>
        <w:t xml:space="preserve">   DBJ08-75-98 </w:t>
      </w:r>
    </w:p>
    <w:p w14:paraId="4B8C4BDB">
      <w:pPr>
        <w:adjustRightInd w:val="0"/>
        <w:snapToGrid w:val="0"/>
        <w:spacing w:line="360" w:lineRule="auto"/>
        <w:ind w:firstLine="560" w:firstLineChars="200"/>
        <w:jc w:val="left"/>
        <w:rPr>
          <w:rFonts w:hint="eastAsia" w:ascii="仿宋" w:hAnsi="仿宋" w:eastAsia="仿宋"/>
          <w:sz w:val="28"/>
          <w:szCs w:val="28"/>
        </w:rPr>
      </w:pPr>
      <w:r>
        <w:rPr>
          <w:rFonts w:hint="eastAsia" w:ascii="仿宋" w:hAnsi="仿宋" w:eastAsia="仿宋"/>
          <w:sz w:val="28"/>
          <w:szCs w:val="28"/>
        </w:rPr>
        <w:t>《上海市植物铭牌设置规范》（试行</w:t>
      </w:r>
      <w:r>
        <w:rPr>
          <w:rFonts w:ascii="仿宋" w:hAnsi="仿宋" w:eastAsia="仿宋"/>
          <w:sz w:val="28"/>
          <w:szCs w:val="28"/>
        </w:rPr>
        <w:t>2007</w:t>
      </w:r>
      <w:r>
        <w:rPr>
          <w:rFonts w:hint="eastAsia" w:ascii="仿宋" w:hAnsi="仿宋" w:eastAsia="仿宋"/>
          <w:sz w:val="28"/>
          <w:szCs w:val="28"/>
        </w:rPr>
        <w:t>版）</w:t>
      </w:r>
    </w:p>
    <w:p w14:paraId="0C3D5BAA">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以上技术规程如有更新的，则按新标准执行</w:t>
      </w:r>
      <w:r>
        <w:rPr>
          <w:rFonts w:ascii="仿宋" w:hAnsi="仿宋" w:eastAsia="仿宋"/>
          <w:sz w:val="28"/>
          <w:szCs w:val="28"/>
        </w:rPr>
        <w:t xml:space="preserve"> </w:t>
      </w:r>
    </w:p>
    <w:p w14:paraId="126513B3">
      <w:pPr>
        <w:adjustRightInd w:val="0"/>
        <w:snapToGrid w:val="0"/>
        <w:spacing w:line="360" w:lineRule="auto"/>
        <w:ind w:firstLine="562" w:firstLineChars="200"/>
        <w:jc w:val="left"/>
        <w:rPr>
          <w:rFonts w:hint="eastAsia" w:ascii="仿宋" w:hAnsi="仿宋" w:eastAsia="仿宋"/>
          <w:b/>
          <w:bCs/>
          <w:sz w:val="28"/>
          <w:szCs w:val="28"/>
        </w:rPr>
      </w:pPr>
    </w:p>
    <w:p w14:paraId="335CEBED">
      <w:pPr>
        <w:adjustRightInd w:val="0"/>
        <w:snapToGrid w:val="0"/>
        <w:spacing w:line="360" w:lineRule="auto"/>
        <w:ind w:firstLine="562" w:firstLineChars="200"/>
        <w:jc w:val="left"/>
        <w:rPr>
          <w:rFonts w:ascii="仿宋" w:hAnsi="仿宋" w:eastAsia="仿宋"/>
          <w:b/>
          <w:bCs/>
          <w:sz w:val="28"/>
          <w:szCs w:val="28"/>
        </w:rPr>
      </w:pPr>
      <w:r>
        <w:rPr>
          <w:rFonts w:hint="eastAsia" w:ascii="仿宋" w:hAnsi="仿宋" w:eastAsia="仿宋"/>
          <w:b/>
          <w:bCs/>
          <w:sz w:val="28"/>
          <w:szCs w:val="28"/>
        </w:rPr>
        <w:t>9、养护考核</w:t>
      </w:r>
    </w:p>
    <w:p w14:paraId="529EB431">
      <w:pPr>
        <w:adjustRightInd w:val="0"/>
        <w:snapToGrid w:val="0"/>
        <w:spacing w:line="360" w:lineRule="auto"/>
        <w:ind w:firstLine="560" w:firstLineChars="200"/>
        <w:jc w:val="left"/>
        <w:rPr>
          <w:rFonts w:hint="eastAsia" w:ascii="仿宋" w:hAnsi="仿宋" w:eastAsia="仿宋"/>
          <w:color w:val="auto"/>
          <w:sz w:val="28"/>
          <w:szCs w:val="28"/>
        </w:rPr>
      </w:pPr>
      <w:r>
        <w:rPr>
          <w:rFonts w:hint="eastAsia" w:ascii="仿宋" w:hAnsi="仿宋" w:eastAsia="仿宋"/>
          <w:color w:val="auto"/>
          <w:sz w:val="28"/>
          <w:szCs w:val="28"/>
        </w:rPr>
        <w:t>9.1采购方根据国家现行的养护标准及</w:t>
      </w:r>
      <w:r>
        <w:rPr>
          <w:rFonts w:hint="eastAsia" w:ascii="仿宋" w:hAnsi="仿宋" w:eastAsia="仿宋"/>
          <w:color w:val="auto"/>
          <w:sz w:val="28"/>
          <w:szCs w:val="28"/>
          <w:highlight w:val="none"/>
        </w:rPr>
        <w:t>上海植物园养护</w:t>
      </w:r>
      <w:r>
        <w:rPr>
          <w:rFonts w:hint="eastAsia" w:ascii="仿宋" w:hAnsi="仿宋" w:eastAsia="仿宋"/>
          <w:color w:val="auto"/>
          <w:sz w:val="28"/>
          <w:szCs w:val="28"/>
          <w:highlight w:val="none"/>
          <w:lang w:eastAsia="zh-CN"/>
        </w:rPr>
        <w:t>管理、考核及作业规范</w:t>
      </w:r>
      <w:r>
        <w:rPr>
          <w:rFonts w:hint="eastAsia" w:ascii="仿宋" w:hAnsi="仿宋" w:eastAsia="仿宋"/>
          <w:color w:val="auto"/>
          <w:sz w:val="28"/>
          <w:szCs w:val="28"/>
        </w:rPr>
        <w:t>的要求进行随机检查和定期考核，发现养护质量达不到约定标准的部分，采购方可要求供应商采取补种、更换、重做、修复等一切补救措施，直到符合约定标准。因供应商原因达不到约定标准，由供应商承担由于采取补救措施而产生的一切费用。</w:t>
      </w:r>
    </w:p>
    <w:p w14:paraId="12CEA62E">
      <w:pPr>
        <w:adjustRightInd w:val="0"/>
        <w:snapToGrid w:val="0"/>
        <w:spacing w:line="360" w:lineRule="auto"/>
        <w:ind w:firstLine="560" w:firstLineChars="200"/>
        <w:jc w:val="left"/>
        <w:rPr>
          <w:rFonts w:hint="eastAsia" w:ascii="仿宋" w:hAnsi="仿宋" w:eastAsia="仿宋" w:cs="Times New Roman"/>
          <w:color w:val="auto"/>
          <w:kern w:val="2"/>
          <w:sz w:val="28"/>
          <w:szCs w:val="28"/>
          <w:highlight w:val="none"/>
          <w:lang w:eastAsia="zh-CN"/>
        </w:rPr>
      </w:pPr>
      <w:r>
        <w:rPr>
          <w:rFonts w:hint="eastAsia" w:ascii="仿宋" w:hAnsi="仿宋" w:eastAsia="仿宋" w:cs="Times New Roman"/>
          <w:color w:val="auto"/>
          <w:kern w:val="2"/>
          <w:sz w:val="28"/>
          <w:szCs w:val="28"/>
          <w:highlight w:val="none"/>
        </w:rPr>
        <w:t>养护执行的标准见</w:t>
      </w:r>
      <w:r>
        <w:rPr>
          <w:rFonts w:hint="eastAsia" w:ascii="仿宋" w:hAnsi="仿宋" w:eastAsia="仿宋"/>
          <w:sz w:val="28"/>
          <w:szCs w:val="28"/>
          <w:highlight w:val="none"/>
        </w:rPr>
        <w:t>《上海植物园绿化养护标准》</w:t>
      </w:r>
      <w:r>
        <w:rPr>
          <w:rFonts w:hint="eastAsia" w:ascii="仿宋" w:hAnsi="仿宋" w:eastAsia="仿宋"/>
          <w:sz w:val="28"/>
          <w:szCs w:val="28"/>
          <w:highlight w:val="none"/>
          <w:lang w:eastAsia="zh-CN"/>
        </w:rPr>
        <w:t>、</w:t>
      </w:r>
      <w:r>
        <w:rPr>
          <w:rFonts w:hint="eastAsia" w:ascii="仿宋" w:hAnsi="仿宋" w:eastAsia="仿宋"/>
          <w:sz w:val="28"/>
          <w:szCs w:val="28"/>
          <w:highlight w:val="none"/>
        </w:rPr>
        <w:t>《上海植物园绿化养护考核评分表》</w:t>
      </w:r>
      <w:r>
        <w:rPr>
          <w:rFonts w:hint="eastAsia" w:ascii="仿宋" w:hAnsi="仿宋" w:eastAsia="仿宋"/>
          <w:sz w:val="28"/>
          <w:szCs w:val="28"/>
          <w:highlight w:val="none"/>
          <w:lang w:eastAsia="zh-CN"/>
        </w:rPr>
        <w:t>、《上海植物园活植物管理办法》（</w:t>
      </w:r>
      <w:r>
        <w:rPr>
          <w:rFonts w:hint="eastAsia" w:ascii="仿宋" w:hAnsi="仿宋" w:eastAsia="仿宋"/>
          <w:sz w:val="28"/>
          <w:szCs w:val="28"/>
          <w:highlight w:val="none"/>
          <w:lang w:val="en-US" w:eastAsia="zh-CN"/>
        </w:rPr>
        <w:t>2019版</w:t>
      </w:r>
      <w:r>
        <w:rPr>
          <w:rFonts w:hint="eastAsia" w:ascii="仿宋" w:hAnsi="仿宋" w:eastAsia="仿宋"/>
          <w:sz w:val="28"/>
          <w:szCs w:val="28"/>
          <w:highlight w:val="none"/>
          <w:lang w:eastAsia="zh-CN"/>
        </w:rPr>
        <w:t>）</w:t>
      </w:r>
    </w:p>
    <w:p w14:paraId="47DCB073">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sz w:val="28"/>
          <w:szCs w:val="28"/>
        </w:rPr>
        <w:t>9.2检查和考核的时间、标准、奖惩措施，双方约定如下：</w:t>
      </w:r>
    </w:p>
    <w:p w14:paraId="1002315C">
      <w:pPr>
        <w:adjustRightInd w:val="0"/>
        <w:snapToGrid w:val="0"/>
        <w:spacing w:line="360" w:lineRule="auto"/>
        <w:ind w:firstLine="560" w:firstLineChars="200"/>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）考核时间和标准</w:t>
      </w:r>
    </w:p>
    <w:p w14:paraId="3476349F">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接受全年养护考核</w:t>
      </w:r>
      <w:r>
        <w:rPr>
          <w:rFonts w:hint="eastAsia" w:ascii="仿宋" w:hAnsi="仿宋" w:eastAsia="仿宋"/>
          <w:sz w:val="28"/>
          <w:szCs w:val="28"/>
          <w:lang w:val="en-US" w:eastAsia="zh-CN"/>
        </w:rPr>
        <w:t>12</w:t>
      </w:r>
      <w:r>
        <w:rPr>
          <w:rFonts w:hint="eastAsia" w:ascii="仿宋" w:hAnsi="仿宋" w:eastAsia="仿宋"/>
          <w:sz w:val="28"/>
          <w:szCs w:val="28"/>
        </w:rPr>
        <w:t>次（每月</w:t>
      </w:r>
      <w:r>
        <w:rPr>
          <w:rFonts w:ascii="仿宋" w:hAnsi="仿宋" w:eastAsia="仿宋"/>
          <w:sz w:val="28"/>
          <w:szCs w:val="28"/>
        </w:rPr>
        <w:t>1</w:t>
      </w:r>
      <w:r>
        <w:rPr>
          <w:rFonts w:hint="eastAsia" w:ascii="仿宋" w:hAnsi="仿宋" w:eastAsia="仿宋"/>
          <w:sz w:val="28"/>
          <w:szCs w:val="28"/>
        </w:rPr>
        <w:t>次）、第三方专业机构随机抽查后的考核；每次考核结果以书面形式告知养护单位，</w:t>
      </w:r>
      <w:bookmarkStart w:id="1" w:name="_Hlk62565659"/>
      <w:r>
        <w:rPr>
          <w:rFonts w:hint="eastAsia" w:ascii="仿宋" w:hAnsi="仿宋" w:eastAsia="仿宋"/>
          <w:sz w:val="28"/>
          <w:szCs w:val="28"/>
        </w:rPr>
        <w:t>养护单位需在</w:t>
      </w:r>
      <w:r>
        <w:rPr>
          <w:rFonts w:ascii="仿宋" w:hAnsi="仿宋" w:eastAsia="仿宋"/>
          <w:sz w:val="28"/>
          <w:szCs w:val="28"/>
        </w:rPr>
        <w:t>1</w:t>
      </w:r>
      <w:r>
        <w:rPr>
          <w:rFonts w:hint="eastAsia" w:ascii="仿宋" w:hAnsi="仿宋" w:eastAsia="仿宋"/>
          <w:sz w:val="28"/>
          <w:szCs w:val="28"/>
        </w:rPr>
        <w:t>周内进行书面回复，</w:t>
      </w:r>
      <w:r>
        <w:rPr>
          <w:rFonts w:ascii="仿宋" w:hAnsi="仿宋" w:eastAsia="仿宋"/>
          <w:sz w:val="28"/>
          <w:szCs w:val="28"/>
        </w:rPr>
        <w:t>2</w:t>
      </w:r>
      <w:r>
        <w:rPr>
          <w:rFonts w:hint="eastAsia" w:ascii="仿宋" w:hAnsi="仿宋" w:eastAsia="仿宋"/>
          <w:sz w:val="28"/>
          <w:szCs w:val="28"/>
        </w:rPr>
        <w:t>周内完成反馈问题的整改，若确实遇到不能完成的，</w:t>
      </w:r>
      <w:bookmarkEnd w:id="1"/>
      <w:r>
        <w:rPr>
          <w:rFonts w:hint="eastAsia" w:ascii="仿宋" w:hAnsi="仿宋" w:eastAsia="仿宋"/>
          <w:sz w:val="28"/>
          <w:szCs w:val="28"/>
        </w:rPr>
        <w:t>须书面报备原因及调整计划。</w:t>
      </w:r>
    </w:p>
    <w:p w14:paraId="15048674">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养护考核85分以上为合格。</w:t>
      </w:r>
    </w:p>
    <w:p w14:paraId="3AFDB0E6">
      <w:pPr>
        <w:adjustRightInd w:val="0"/>
        <w:snapToGrid w:val="0"/>
        <w:spacing w:line="360" w:lineRule="auto"/>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）奖惩措施</w:t>
      </w:r>
    </w:p>
    <w:p w14:paraId="2929D685">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a．供应商出现养护月度考核不合格的情况、扣除履约保证金的25%。</w:t>
      </w:r>
    </w:p>
    <w:p w14:paraId="05A17BAA">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b．供应商出现拒绝履行采购方提出的整改要求，且采购方提出的要求与养护考核标准是一致的情况，扣除履约保证金的50%。</w:t>
      </w:r>
    </w:p>
    <w:p w14:paraId="4086817F">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c．供应商出现年度考核排名垫底，且考核结果为不合格的情况，扣除履约保证金的100%。</w:t>
      </w:r>
    </w:p>
    <w:p w14:paraId="187AD79D">
      <w:pPr>
        <w:topLinePunct/>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3）如发生以下情形，</w:t>
      </w:r>
      <w:r>
        <w:rPr>
          <w:rFonts w:hint="eastAsia" w:ascii="仿宋" w:hAnsi="仿宋" w:eastAsia="仿宋"/>
          <w:bCs/>
          <w:sz w:val="28"/>
          <w:szCs w:val="28"/>
          <w:lang w:eastAsia="zh-CN"/>
        </w:rPr>
        <w:t>采购人</w:t>
      </w:r>
      <w:r>
        <w:rPr>
          <w:rFonts w:hint="eastAsia" w:ascii="仿宋" w:hAnsi="仿宋" w:eastAsia="仿宋"/>
          <w:bCs/>
          <w:sz w:val="28"/>
          <w:szCs w:val="28"/>
        </w:rPr>
        <w:t>有权追究供应商违约责任直至解除本合同。</w:t>
      </w:r>
    </w:p>
    <w:p w14:paraId="7DC84467">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a.出现中标方每年违反采购方规章制度三次及以上且被园区管理部门通告整改的情况；</w:t>
      </w:r>
    </w:p>
    <w:p w14:paraId="666010C8">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b.出现中标方被游客或其他社会机构投诉每年超过3次的情况；</w:t>
      </w:r>
    </w:p>
    <w:p w14:paraId="667EE1CB">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c.出现中标方养护人员配备的数量和等级不符合合同要求，采购方发出正式整改单后的3个月内未整改完成的情况；</w:t>
      </w:r>
    </w:p>
    <w:p w14:paraId="70BE0130">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d.出现中标方在采购方场地内的作业人员和管理人员触犯国家法律被司法机关调查的情况；</w:t>
      </w:r>
    </w:p>
    <w:p w14:paraId="15AC74C6">
      <w:pPr>
        <w:pStyle w:val="30"/>
        <w:adjustRightInd w:val="0"/>
        <w:snapToGrid w:val="0"/>
        <w:spacing w:after="0" w:line="360" w:lineRule="auto"/>
        <w:ind w:left="0" w:firstLine="560" w:firstLineChars="200"/>
        <w:rPr>
          <w:rFonts w:ascii="仿宋" w:hAnsi="仿宋" w:eastAsia="仿宋"/>
          <w:sz w:val="28"/>
          <w:szCs w:val="28"/>
        </w:rPr>
      </w:pPr>
      <w:r>
        <w:rPr>
          <w:rFonts w:hint="eastAsia" w:ascii="仿宋" w:hAnsi="仿宋" w:eastAsia="仿宋"/>
          <w:sz w:val="28"/>
          <w:szCs w:val="28"/>
        </w:rPr>
        <w:t>e.出现中标方触犯国家法律，被司法机关调查的情况；</w:t>
      </w:r>
    </w:p>
    <w:p w14:paraId="71A3B953">
      <w:pPr>
        <w:pStyle w:val="30"/>
        <w:adjustRightInd w:val="0"/>
        <w:snapToGrid w:val="0"/>
        <w:spacing w:after="0" w:line="360" w:lineRule="auto"/>
        <w:ind w:left="0" w:firstLine="560" w:firstLineChars="200"/>
        <w:rPr>
          <w:rFonts w:ascii="仿宋" w:hAnsi="仿宋" w:eastAsia="仿宋" w:cs="Times New Roman"/>
          <w:b/>
          <w:bCs/>
          <w:color w:val="auto"/>
          <w:kern w:val="2"/>
          <w:sz w:val="28"/>
          <w:szCs w:val="28"/>
        </w:rPr>
      </w:pPr>
      <w:r>
        <w:rPr>
          <w:rFonts w:hint="eastAsia" w:ascii="仿宋" w:hAnsi="仿宋" w:eastAsia="仿宋"/>
          <w:sz w:val="28"/>
          <w:szCs w:val="28"/>
        </w:rPr>
        <w:t>f.出现中标方在生产过程中出现重大安全事故，被相关部门调查的情况</w:t>
      </w:r>
      <w:r>
        <w:rPr>
          <w:rFonts w:hint="eastAsia" w:ascii="仿宋" w:hAnsi="仿宋" w:eastAsia="仿宋"/>
          <w:sz w:val="28"/>
          <w:szCs w:val="28"/>
          <w:lang w:eastAsia="zh-CN"/>
        </w:rPr>
        <w:t>。</w:t>
      </w:r>
      <w:r>
        <w:rPr>
          <w:rFonts w:ascii="仿宋" w:hAnsi="仿宋" w:eastAsia="仿宋" w:cs="Times New Roman"/>
          <w:b/>
          <w:bCs/>
          <w:color w:val="auto"/>
          <w:kern w:val="2"/>
          <w:sz w:val="28"/>
          <w:szCs w:val="28"/>
        </w:rPr>
        <w:t xml:space="preserve">                          </w:t>
      </w:r>
    </w:p>
    <w:p w14:paraId="504742DC">
      <w:pPr>
        <w:adjustRightInd w:val="0"/>
        <w:snapToGrid w:val="0"/>
        <w:spacing w:line="360" w:lineRule="auto"/>
        <w:ind w:firstLine="562" w:firstLineChars="200"/>
        <w:jc w:val="left"/>
        <w:rPr>
          <w:rFonts w:ascii="仿宋" w:hAnsi="仿宋" w:eastAsia="仿宋"/>
          <w:b/>
          <w:bCs/>
          <w:sz w:val="28"/>
          <w:szCs w:val="28"/>
        </w:rPr>
      </w:pPr>
    </w:p>
    <w:p w14:paraId="5A06FDE4">
      <w:pPr>
        <w:adjustRightInd w:val="0"/>
        <w:snapToGrid w:val="0"/>
        <w:spacing w:line="360" w:lineRule="auto"/>
        <w:ind w:firstLine="562" w:firstLineChars="200"/>
        <w:jc w:val="left"/>
        <w:rPr>
          <w:rFonts w:ascii="仿宋" w:hAnsi="仿宋" w:eastAsia="仿宋"/>
          <w:b/>
          <w:sz w:val="28"/>
          <w:szCs w:val="28"/>
        </w:rPr>
      </w:pPr>
      <w:r>
        <w:rPr>
          <w:rFonts w:hint="eastAsia" w:ascii="仿宋" w:hAnsi="仿宋" w:eastAsia="仿宋"/>
          <w:b/>
          <w:bCs/>
          <w:sz w:val="28"/>
          <w:szCs w:val="28"/>
          <w:lang w:val="en-US" w:eastAsia="zh-CN"/>
        </w:rPr>
        <w:t>10</w:t>
      </w:r>
      <w:r>
        <w:rPr>
          <w:rFonts w:hint="eastAsia" w:ascii="仿宋" w:hAnsi="仿宋" w:eastAsia="仿宋"/>
          <w:b/>
          <w:bCs/>
          <w:sz w:val="28"/>
          <w:szCs w:val="28"/>
        </w:rPr>
        <w:t>、</w:t>
      </w:r>
      <w:r>
        <w:rPr>
          <w:rFonts w:hint="eastAsia" w:ascii="仿宋" w:hAnsi="仿宋" w:eastAsia="仿宋"/>
          <w:b/>
          <w:sz w:val="28"/>
          <w:szCs w:val="28"/>
        </w:rPr>
        <w:t>履约保证金的管理</w:t>
      </w:r>
    </w:p>
    <w:p w14:paraId="09ECE9A7">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.1、保证金的收取</w:t>
      </w:r>
    </w:p>
    <w:p w14:paraId="6EBDD507">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.1.1本园对养护承包单位收取履约保证金，保证金额的收取比例见《招标文件》正文，保证金暂存于本园公共账户或以银行保函的方式</w:t>
      </w:r>
      <w:r>
        <w:rPr>
          <w:rFonts w:hint="eastAsia" w:ascii="仿宋" w:hAnsi="仿宋" w:eastAsia="仿宋"/>
          <w:bCs/>
          <w:sz w:val="28"/>
          <w:szCs w:val="28"/>
          <w:highlight w:val="none"/>
        </w:rPr>
        <w:t>。</w:t>
      </w:r>
    </w:p>
    <w:p w14:paraId="3DE5087D">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.1.2养护项目中标单位签订养护合同后，一周完成支付。</w:t>
      </w:r>
    </w:p>
    <w:p w14:paraId="401F0A1D">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.1.3保证金制度的要求写入招标文件，并在签署相关合同时写明专有条款。</w:t>
      </w:r>
    </w:p>
    <w:p w14:paraId="3D1302D4">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.2考核办法</w:t>
      </w:r>
    </w:p>
    <w:p w14:paraId="631D0436">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.2.1由考核小组进行巡查考核，根据实际情况开展考核。</w:t>
      </w:r>
    </w:p>
    <w:p w14:paraId="3AEB49D1">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.2.2考核总分为100分，考核得分85分以上（含85分）为合格。</w:t>
      </w:r>
    </w:p>
    <w:p w14:paraId="37E69A20">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.2.3考核小组由园委派专家组成，专家人员一般不少于2人。</w:t>
      </w:r>
    </w:p>
    <w:p w14:paraId="2427D23E">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2.4养护考核后，园将考核结果以书面形式告知养护承包单位，同时将未达标的内容以工作联系单的形式下发养护承包单位（工作联系单至少一式两份，相关业务部门需备份留存）。养护承包单位应及时整改并做出书面回复，未及时履行上述整改意见的，下期考核时未达标的内容将进行双倍扣分。</w:t>
      </w:r>
    </w:p>
    <w:p w14:paraId="1D00388A">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.3保证金的返还</w:t>
      </w:r>
    </w:p>
    <w:p w14:paraId="0389EEEF">
      <w:pPr>
        <w:adjustRightInd w:val="0"/>
        <w:snapToGrid w:val="0"/>
        <w:spacing w:line="360" w:lineRule="auto"/>
        <w:ind w:firstLine="560" w:firstLineChars="200"/>
        <w:jc w:val="left"/>
        <w:rPr>
          <w:rFonts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.3.1根据年度养护考核结果，由相关业务部门报园党政领导班子会议确认是否返还年度保证金。</w:t>
      </w:r>
    </w:p>
    <w:p w14:paraId="25F2B253">
      <w:pPr>
        <w:adjustRightInd w:val="0"/>
        <w:snapToGrid w:val="0"/>
        <w:spacing w:line="360" w:lineRule="auto"/>
        <w:ind w:firstLine="560" w:firstLineChars="200"/>
        <w:jc w:val="left"/>
        <w:rPr>
          <w:rFonts w:hint="eastAsia" w:ascii="仿宋" w:hAnsi="仿宋" w:eastAsia="仿宋"/>
          <w:bCs/>
          <w:sz w:val="28"/>
          <w:szCs w:val="28"/>
        </w:rPr>
      </w:pPr>
      <w:r>
        <w:rPr>
          <w:rFonts w:hint="eastAsia" w:ascii="仿宋" w:hAnsi="仿宋" w:eastAsia="仿宋"/>
          <w:bCs/>
          <w:sz w:val="28"/>
          <w:szCs w:val="28"/>
        </w:rPr>
        <w:t>1</w:t>
      </w:r>
      <w:r>
        <w:rPr>
          <w:rFonts w:hint="eastAsia" w:ascii="仿宋" w:hAnsi="仿宋" w:eastAsia="仿宋"/>
          <w:bCs/>
          <w:sz w:val="28"/>
          <w:szCs w:val="28"/>
          <w:lang w:val="en-US" w:eastAsia="zh-CN"/>
        </w:rPr>
        <w:t>0</w:t>
      </w:r>
      <w:r>
        <w:rPr>
          <w:rFonts w:hint="eastAsia" w:ascii="仿宋" w:hAnsi="仿宋" w:eastAsia="仿宋"/>
          <w:bCs/>
          <w:sz w:val="28"/>
          <w:szCs w:val="28"/>
        </w:rPr>
        <w:t>.3.2经确认考核合格的，本园于养护合同期满后一周内予以返还。考核不合格的，养护公司需对不合格的区域进行相应整改，如及时整改且经考核合格的，保证金予以返还；如不予整改或整改后仍不合格的，保证金不予返还并作为聘请第三方公司进行整改的费用。</w:t>
      </w:r>
    </w:p>
    <w:p w14:paraId="7E0047BA">
      <w:pPr>
        <w:numPr>
          <w:ilvl w:val="0"/>
          <w:numId w:val="3"/>
        </w:numPr>
        <w:adjustRightInd w:val="0"/>
        <w:snapToGrid w:val="0"/>
        <w:spacing w:line="360" w:lineRule="auto"/>
        <w:ind w:firstLine="562" w:firstLineChars="200"/>
        <w:jc w:val="left"/>
        <w:rPr>
          <w:rFonts w:hint="eastAsia" w:ascii="仿宋" w:hAnsi="仿宋" w:eastAsia="仿宋"/>
          <w:b/>
          <w:sz w:val="28"/>
          <w:szCs w:val="28"/>
          <w:lang w:eastAsia="zh-CN"/>
        </w:rPr>
      </w:pPr>
      <w:r>
        <w:rPr>
          <w:rFonts w:hint="eastAsia" w:ascii="仿宋" w:hAnsi="仿宋" w:eastAsia="仿宋"/>
          <w:b/>
          <w:sz w:val="28"/>
          <w:szCs w:val="28"/>
          <w:lang w:eastAsia="zh-CN"/>
        </w:rPr>
        <w:t>支付方式</w:t>
      </w:r>
    </w:p>
    <w:p w14:paraId="0647C015">
      <w:pPr>
        <w:numPr>
          <w:ilvl w:val="0"/>
          <w:numId w:val="4"/>
        </w:numPr>
        <w:adjustRightInd w:val="0"/>
        <w:snapToGrid w:val="0"/>
        <w:spacing w:line="360" w:lineRule="auto"/>
        <w:ind w:firstLine="0" w:firstLineChars="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双方约定按季度支付合同款。中标单位在完成一个季度的服务工作后，采购人根据合同规定的标准对中标单位的服务情况进行考核，考核合格后10个工作日内支付该季度服务费（扣除绿化恢复管护与抽稀调整费用）。2.绿化恢复管护与抽稀调整费用分两次按半年度支付，按实结算、审价结果确认后10个工作日内支付。</w:t>
      </w:r>
    </w:p>
    <w:p w14:paraId="634A5D37">
      <w:pPr>
        <w:numPr>
          <w:ilvl w:val="0"/>
          <w:numId w:val="0"/>
        </w:numPr>
        <w:adjustRightInd w:val="0"/>
        <w:snapToGrid w:val="0"/>
        <w:spacing w:line="360" w:lineRule="auto"/>
        <w:ind w:firstLine="560" w:firstLineChars="200"/>
        <w:jc w:val="left"/>
        <w:rPr>
          <w:rFonts w:hint="eastAsia" w:ascii="仿宋" w:hAnsi="仿宋" w:eastAsia="仿宋"/>
          <w:bCs/>
          <w:sz w:val="28"/>
          <w:szCs w:val="28"/>
          <w:lang w:val="en-US" w:eastAsia="zh-CN"/>
        </w:rPr>
      </w:pPr>
    </w:p>
    <w:p w14:paraId="3887D010">
      <w:pPr>
        <w:numPr>
          <w:ilvl w:val="-1"/>
          <w:numId w:val="0"/>
        </w:numPr>
        <w:adjustRightInd w:val="0"/>
        <w:snapToGrid w:val="0"/>
        <w:spacing w:line="360" w:lineRule="auto"/>
        <w:ind w:firstLine="0" w:firstLineChars="0"/>
        <w:jc w:val="left"/>
        <w:rPr>
          <w:rFonts w:hint="eastAsia" w:ascii="仿宋" w:hAnsi="仿宋" w:eastAsia="仿宋"/>
          <w:bCs/>
          <w:sz w:val="28"/>
          <w:szCs w:val="28"/>
          <w:lang w:val="en-US" w:eastAsia="zh-CN"/>
        </w:rPr>
      </w:pPr>
      <w:r>
        <w:rPr>
          <w:rFonts w:hint="eastAsia" w:ascii="仿宋" w:hAnsi="仿宋" w:eastAsia="仿宋"/>
          <w:bCs/>
          <w:sz w:val="28"/>
          <w:szCs w:val="28"/>
          <w:lang w:val="en-US" w:eastAsia="zh-CN"/>
        </w:rPr>
        <w:t>12、其他要求：</w:t>
      </w:r>
    </w:p>
    <w:p w14:paraId="543ED104">
      <w:pPr>
        <w:jc w:val="center"/>
        <w:rPr>
          <w:rFonts w:hint="eastAsia" w:ascii="仿宋" w:hAnsi="仿宋" w:eastAsia="仿宋"/>
          <w:bCs/>
          <w:sz w:val="28"/>
          <w:szCs w:val="28"/>
          <w:lang w:val="en-US" w:eastAsia="zh-CN"/>
        </w:rPr>
      </w:pPr>
      <w:r>
        <w:rPr>
          <w:rFonts w:hint="eastAsia" w:ascii="仿宋" w:hAnsi="仿宋" w:eastAsia="仿宋"/>
          <w:bCs/>
          <w:sz w:val="28"/>
          <w:szCs w:val="28"/>
          <w:lang w:val="en-US" w:eastAsia="zh-CN"/>
        </w:rPr>
        <w:t>供应商需对本项目安全管理相关事项提供承诺函，具体格式如下：</w:t>
      </w:r>
    </w:p>
    <w:p w14:paraId="5C16307F">
      <w:pPr>
        <w:jc w:val="center"/>
        <w:rPr>
          <w:rFonts w:hint="eastAsia" w:ascii="仿宋" w:hAnsi="仿宋" w:eastAsia="仿宋"/>
          <w:bCs/>
          <w:sz w:val="28"/>
          <w:szCs w:val="28"/>
          <w:lang w:val="en-US" w:eastAsia="zh-CN"/>
        </w:rPr>
      </w:pPr>
    </w:p>
    <w:p w14:paraId="6B63A5C9">
      <w:pPr>
        <w:jc w:val="left"/>
        <w:rPr>
          <w:rFonts w:hint="eastAsia"/>
          <w:sz w:val="24"/>
          <w:szCs w:val="24"/>
        </w:rPr>
      </w:pPr>
      <w:r>
        <w:rPr>
          <w:rFonts w:hint="eastAsia"/>
          <w:sz w:val="24"/>
          <w:szCs w:val="24"/>
        </w:rPr>
        <w:br w:type="page"/>
      </w:r>
    </w:p>
    <w:p w14:paraId="11FC6914">
      <w:pPr>
        <w:jc w:val="center"/>
        <w:rPr>
          <w:rFonts w:hint="eastAsia"/>
          <w:sz w:val="24"/>
          <w:szCs w:val="24"/>
        </w:rPr>
      </w:pPr>
      <w:r>
        <w:rPr>
          <w:rFonts w:hint="eastAsia"/>
          <w:sz w:val="24"/>
          <w:szCs w:val="24"/>
        </w:rPr>
        <w:t>承诺书</w:t>
      </w:r>
    </w:p>
    <w:p w14:paraId="48AFDA95">
      <w:pPr>
        <w:rPr>
          <w:sz w:val="24"/>
          <w:szCs w:val="24"/>
        </w:rPr>
      </w:pPr>
      <w:r>
        <w:rPr>
          <w:sz w:val="24"/>
          <w:szCs w:val="24"/>
        </w:rPr>
        <w:t xml:space="preserve"> </w:t>
      </w:r>
    </w:p>
    <w:p w14:paraId="0F75D8AB">
      <w:pPr>
        <w:rPr>
          <w:rFonts w:hint="eastAsia"/>
          <w:sz w:val="24"/>
          <w:szCs w:val="24"/>
        </w:rPr>
      </w:pPr>
      <w:r>
        <w:rPr>
          <w:rFonts w:hint="eastAsia"/>
          <w:sz w:val="24"/>
          <w:szCs w:val="24"/>
        </w:rPr>
        <w:t>本单位就</w:t>
      </w:r>
      <w:r>
        <w:rPr>
          <w:rFonts w:hint="eastAsia"/>
          <w:sz w:val="24"/>
          <w:szCs w:val="24"/>
          <w:lang w:eastAsia="zh-CN"/>
        </w:rPr>
        <w:t>本项目</w:t>
      </w:r>
      <w:r>
        <w:rPr>
          <w:rFonts w:hint="eastAsia"/>
          <w:sz w:val="24"/>
          <w:szCs w:val="24"/>
        </w:rPr>
        <w:t>相关</w:t>
      </w:r>
      <w:r>
        <w:rPr>
          <w:rFonts w:hint="eastAsia"/>
          <w:sz w:val="24"/>
          <w:szCs w:val="24"/>
          <w:lang w:eastAsia="zh-CN"/>
        </w:rPr>
        <w:t>安全</w:t>
      </w:r>
      <w:r>
        <w:rPr>
          <w:rFonts w:hint="eastAsia"/>
          <w:sz w:val="24"/>
          <w:szCs w:val="24"/>
        </w:rPr>
        <w:t>事宜郑重作出如下承诺：</w:t>
      </w:r>
    </w:p>
    <w:p w14:paraId="1F41C2C5">
      <w:pPr>
        <w:rPr>
          <w:sz w:val="24"/>
          <w:szCs w:val="24"/>
        </w:rPr>
      </w:pPr>
      <w:r>
        <w:rPr>
          <w:sz w:val="24"/>
          <w:szCs w:val="24"/>
        </w:rPr>
        <w:t xml:space="preserve"> </w:t>
      </w:r>
    </w:p>
    <w:p w14:paraId="5C650017">
      <w:pPr>
        <w:rPr>
          <w:rFonts w:hint="eastAsia"/>
          <w:sz w:val="24"/>
          <w:szCs w:val="24"/>
        </w:rPr>
      </w:pPr>
      <w:r>
        <w:rPr>
          <w:rFonts w:hint="eastAsia"/>
          <w:sz w:val="24"/>
          <w:szCs w:val="24"/>
        </w:rPr>
        <w:t>一、本单位近三年内（自____年____月____日至____年____月____日），在生产经营、项目建设、业务开展等所有相关活动中，未发生一般及以上等级安全事故，未发生造成人员伤亡、重大财产损失或恶劣社会影响的安全责任事件，未因安全管理问题被行业主管部门通报批评、行政处罚或列入失信名单。</w:t>
      </w:r>
    </w:p>
    <w:p w14:paraId="079FAFB0">
      <w:pPr>
        <w:rPr>
          <w:sz w:val="24"/>
          <w:szCs w:val="24"/>
        </w:rPr>
      </w:pPr>
      <w:r>
        <w:rPr>
          <w:sz w:val="24"/>
          <w:szCs w:val="24"/>
        </w:rPr>
        <w:t xml:space="preserve"> </w:t>
      </w:r>
    </w:p>
    <w:p w14:paraId="1C5B9E2F">
      <w:pPr>
        <w:rPr>
          <w:rFonts w:hint="eastAsia"/>
          <w:sz w:val="24"/>
          <w:szCs w:val="24"/>
        </w:rPr>
      </w:pPr>
      <w:r>
        <w:rPr>
          <w:rFonts w:hint="eastAsia"/>
          <w:sz w:val="24"/>
          <w:szCs w:val="24"/>
        </w:rPr>
        <w:t>二、</w:t>
      </w:r>
      <w:r>
        <w:rPr>
          <w:rFonts w:hint="eastAsia"/>
          <w:sz w:val="24"/>
          <w:szCs w:val="24"/>
          <w:lang w:eastAsia="zh-CN"/>
        </w:rPr>
        <w:t>在本项目履约过程中</w:t>
      </w:r>
      <w:r>
        <w:rPr>
          <w:rFonts w:hint="eastAsia"/>
          <w:sz w:val="24"/>
          <w:szCs w:val="24"/>
        </w:rPr>
        <w:t>严格遵守国家、地方及行业关于安全生产、消防安全、工程建设安全等方面的法律法规、规章制度及标准规范，建立健全安全管理体系，落实安全主体责任，定期开展安全隐患排查整治，确保各项安全措施执行到位。</w:t>
      </w:r>
    </w:p>
    <w:p w14:paraId="22F1DDCA">
      <w:pPr>
        <w:rPr>
          <w:sz w:val="24"/>
          <w:szCs w:val="24"/>
        </w:rPr>
      </w:pPr>
      <w:r>
        <w:rPr>
          <w:sz w:val="24"/>
          <w:szCs w:val="24"/>
        </w:rPr>
        <w:t xml:space="preserve"> </w:t>
      </w:r>
    </w:p>
    <w:p w14:paraId="63AE71E0">
      <w:pPr>
        <w:rPr>
          <w:rFonts w:hint="eastAsia"/>
          <w:sz w:val="24"/>
          <w:szCs w:val="24"/>
        </w:rPr>
      </w:pPr>
      <w:r>
        <w:rPr>
          <w:rFonts w:hint="eastAsia"/>
          <w:sz w:val="24"/>
          <w:szCs w:val="24"/>
        </w:rPr>
        <w:t>三、若本单位存在隐瞒、谎报近三年安全事故情况，或在后续工作中违反安全管理规定、发生安全事故的，自愿接受甲方依据合同约定、法律法规作出的全部处理决定，由此造成的一切损失和法律责任，均由本单位自行承担。</w:t>
      </w:r>
    </w:p>
    <w:p w14:paraId="08AA47AB">
      <w:pPr>
        <w:rPr>
          <w:sz w:val="24"/>
          <w:szCs w:val="24"/>
        </w:rPr>
      </w:pPr>
      <w:r>
        <w:rPr>
          <w:sz w:val="24"/>
          <w:szCs w:val="24"/>
        </w:rPr>
        <w:t xml:space="preserve"> </w:t>
      </w:r>
    </w:p>
    <w:p w14:paraId="59A8E80C">
      <w:pPr>
        <w:rPr>
          <w:rFonts w:hint="eastAsia"/>
          <w:sz w:val="24"/>
          <w:szCs w:val="24"/>
        </w:rPr>
      </w:pPr>
      <w:r>
        <w:rPr>
          <w:rFonts w:hint="eastAsia"/>
          <w:sz w:val="24"/>
          <w:szCs w:val="24"/>
        </w:rPr>
        <w:t>四、本承诺书内容真实、有效、完整，系本单位真实意思表示，如有虚假，愿承担相应的法律责任。</w:t>
      </w:r>
    </w:p>
    <w:p w14:paraId="255EB420">
      <w:pPr>
        <w:rPr>
          <w:sz w:val="24"/>
          <w:szCs w:val="24"/>
        </w:rPr>
      </w:pPr>
      <w:r>
        <w:rPr>
          <w:sz w:val="24"/>
          <w:szCs w:val="24"/>
        </w:rPr>
        <w:t xml:space="preserve"> </w:t>
      </w:r>
    </w:p>
    <w:p w14:paraId="0C588F78">
      <w:pPr>
        <w:rPr>
          <w:sz w:val="24"/>
          <w:szCs w:val="24"/>
        </w:rPr>
      </w:pPr>
      <w:r>
        <w:rPr>
          <w:sz w:val="24"/>
          <w:szCs w:val="24"/>
        </w:rPr>
        <w:t xml:space="preserve"> </w:t>
      </w:r>
    </w:p>
    <w:p w14:paraId="293D0277">
      <w:pPr>
        <w:rPr>
          <w:rFonts w:hint="eastAsia"/>
          <w:sz w:val="24"/>
          <w:szCs w:val="24"/>
        </w:rPr>
      </w:pPr>
      <w:r>
        <w:rPr>
          <w:rFonts w:hint="eastAsia"/>
          <w:sz w:val="24"/>
          <w:szCs w:val="24"/>
        </w:rPr>
        <w:t>承诺单位（盖章）：____________________</w:t>
      </w:r>
    </w:p>
    <w:p w14:paraId="1ED102E8">
      <w:pPr>
        <w:rPr>
          <w:rFonts w:hint="eastAsia"/>
          <w:sz w:val="24"/>
          <w:szCs w:val="24"/>
        </w:rPr>
      </w:pPr>
      <w:r>
        <w:rPr>
          <w:rFonts w:hint="eastAsia"/>
          <w:sz w:val="24"/>
          <w:szCs w:val="24"/>
        </w:rPr>
        <w:t>法定代表人（签字）：________________</w:t>
      </w:r>
    </w:p>
    <w:p w14:paraId="7673C1BD">
      <w:pPr>
        <w:rPr>
          <w:rFonts w:hint="eastAsia"/>
          <w:sz w:val="24"/>
          <w:szCs w:val="24"/>
        </w:rPr>
      </w:pPr>
      <w:r>
        <w:rPr>
          <w:rFonts w:hint="eastAsia"/>
          <w:sz w:val="24"/>
          <w:szCs w:val="24"/>
        </w:rPr>
        <w:t>统一社会信用代码：____________________</w:t>
      </w:r>
    </w:p>
    <w:p w14:paraId="420F672F">
      <w:pPr>
        <w:rPr>
          <w:rFonts w:hint="eastAsia"/>
          <w:sz w:val="24"/>
          <w:szCs w:val="24"/>
        </w:rPr>
      </w:pPr>
      <w:r>
        <w:rPr>
          <w:rFonts w:hint="eastAsia"/>
          <w:sz w:val="24"/>
          <w:szCs w:val="24"/>
        </w:rPr>
        <w:t>联系电话：____________________</w:t>
      </w:r>
    </w:p>
    <w:p w14:paraId="377675FE">
      <w:pPr>
        <w:rPr>
          <w:sz w:val="24"/>
          <w:szCs w:val="24"/>
        </w:rPr>
      </w:pPr>
      <w:r>
        <w:rPr>
          <w:rFonts w:hint="eastAsia"/>
          <w:sz w:val="24"/>
          <w:szCs w:val="24"/>
        </w:rPr>
        <w:t>承诺日期：____年____月____日</w:t>
      </w:r>
    </w:p>
    <w:p w14:paraId="2EEE1FCD">
      <w:pPr>
        <w:numPr>
          <w:ilvl w:val="-1"/>
          <w:numId w:val="0"/>
        </w:numPr>
        <w:adjustRightInd w:val="0"/>
        <w:snapToGrid w:val="0"/>
        <w:spacing w:line="360" w:lineRule="auto"/>
        <w:ind w:firstLine="560" w:firstLineChars="200"/>
        <w:jc w:val="left"/>
        <w:rPr>
          <w:rFonts w:hint="default" w:ascii="仿宋" w:hAnsi="仿宋" w:eastAsia="仿宋"/>
          <w:bCs/>
          <w:sz w:val="28"/>
          <w:szCs w:val="28"/>
          <w:lang w:val="en-US" w:eastAsia="zh-CN"/>
        </w:rPr>
      </w:pPr>
    </w:p>
    <w:p w14:paraId="2FCD51D4">
      <w:pPr>
        <w:adjustRightInd w:val="0"/>
        <w:snapToGrid w:val="0"/>
        <w:spacing w:line="360" w:lineRule="auto"/>
        <w:ind w:firstLine="560" w:firstLineChars="200"/>
        <w:jc w:val="left"/>
        <w:rPr>
          <w:rFonts w:hint="eastAsia" w:ascii="仿宋" w:hAnsi="仿宋" w:eastAsia="仿宋"/>
          <w:bCs/>
          <w:sz w:val="28"/>
          <w:szCs w:val="28"/>
        </w:rPr>
      </w:pPr>
    </w:p>
    <w:p w14:paraId="6EA04F57">
      <w:pPr>
        <w:widowControl/>
        <w:adjustRightInd w:val="0"/>
        <w:snapToGrid w:val="0"/>
        <w:spacing w:line="360" w:lineRule="auto"/>
        <w:ind w:firstLine="562" w:firstLineChars="200"/>
        <w:jc w:val="left"/>
        <w:rPr>
          <w:rFonts w:ascii="仿宋" w:hAnsi="仿宋" w:eastAsia="仿宋" w:cs="宋体"/>
          <w:b/>
          <w:bCs/>
          <w:sz w:val="28"/>
          <w:szCs w:val="28"/>
        </w:rPr>
      </w:pPr>
      <w:r>
        <w:rPr>
          <w:rFonts w:ascii="仿宋" w:hAnsi="仿宋" w:eastAsia="仿宋" w:cs="宋体"/>
          <w:b/>
          <w:bCs/>
          <w:sz w:val="28"/>
          <w:szCs w:val="28"/>
        </w:rPr>
        <w:br w:type="page"/>
      </w:r>
    </w:p>
    <w:p w14:paraId="39D8829D">
      <w:pPr>
        <w:adjustRightInd w:val="0"/>
        <w:snapToGrid w:val="0"/>
        <w:spacing w:line="360" w:lineRule="auto"/>
        <w:jc w:val="center"/>
        <w:rPr>
          <w:rFonts w:ascii="仿宋" w:hAnsi="仿宋" w:eastAsia="仿宋"/>
          <w:b/>
          <w:bCs/>
          <w:sz w:val="28"/>
          <w:szCs w:val="28"/>
        </w:rPr>
      </w:pPr>
      <w:r>
        <w:rPr>
          <w:rFonts w:hint="eastAsia" w:ascii="仿宋" w:hAnsi="仿宋" w:eastAsia="仿宋" w:cs="宋体"/>
          <w:b/>
          <w:bCs/>
          <w:sz w:val="28"/>
          <w:szCs w:val="28"/>
        </w:rPr>
        <w:t>上海植物园绿化养护标准</w:t>
      </w:r>
    </w:p>
    <w:p w14:paraId="5E197B4E">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1 </w:t>
      </w:r>
      <w:r>
        <w:rPr>
          <w:rFonts w:hint="eastAsia" w:ascii="仿宋" w:hAnsi="仿宋" w:eastAsia="仿宋" w:cs="宋体"/>
          <w:b/>
          <w:bCs/>
          <w:sz w:val="28"/>
          <w:szCs w:val="28"/>
        </w:rPr>
        <w:t>总则</w:t>
      </w:r>
    </w:p>
    <w:p w14:paraId="06EFB19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1.1</w:t>
      </w:r>
      <w:r>
        <w:rPr>
          <w:rFonts w:hint="eastAsia" w:ascii="仿宋" w:hAnsi="仿宋" w:eastAsia="仿宋" w:cs="宋体"/>
          <w:sz w:val="28"/>
          <w:szCs w:val="28"/>
        </w:rPr>
        <w:t>上海植物园园艺科负责园区绿化养护管理，各标段现场养护单位作业必须服从园艺科的管理。</w:t>
      </w:r>
    </w:p>
    <w:p w14:paraId="78C6F68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1.2</w:t>
      </w:r>
      <w:r>
        <w:rPr>
          <w:rFonts w:hint="eastAsia" w:ascii="仿宋" w:hAnsi="仿宋" w:eastAsia="仿宋" w:cs="宋体"/>
          <w:sz w:val="28"/>
          <w:szCs w:val="28"/>
        </w:rPr>
        <w:t>本养护标准适用于上海植物园内，由甲乙双方共同执行，并共同成立考核小组定期考核。</w:t>
      </w:r>
    </w:p>
    <w:p w14:paraId="7F358325">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2 </w:t>
      </w:r>
      <w:r>
        <w:rPr>
          <w:rFonts w:hint="eastAsia" w:ascii="仿宋" w:hAnsi="仿宋" w:eastAsia="仿宋" w:cs="宋体"/>
          <w:b/>
          <w:bCs/>
          <w:sz w:val="28"/>
          <w:szCs w:val="28"/>
        </w:rPr>
        <w:t>景观面貌</w:t>
      </w:r>
    </w:p>
    <w:p w14:paraId="2B942B4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w:t>
      </w:r>
      <w:r>
        <w:rPr>
          <w:rFonts w:hint="eastAsia" w:ascii="仿宋" w:hAnsi="仿宋" w:eastAsia="仿宋" w:cs="宋体"/>
          <w:sz w:val="28"/>
          <w:szCs w:val="28"/>
        </w:rPr>
        <w:t>乔木</w:t>
      </w:r>
    </w:p>
    <w:p w14:paraId="428FE6A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w:t>
      </w:r>
      <w:r>
        <w:rPr>
          <w:rFonts w:hint="eastAsia" w:ascii="仿宋" w:hAnsi="仿宋" w:eastAsia="仿宋" w:cs="宋体"/>
          <w:sz w:val="28"/>
          <w:szCs w:val="28"/>
        </w:rPr>
        <w:t>枝条分布均匀，疏密度合适</w:t>
      </w:r>
    </w:p>
    <w:p w14:paraId="035B33A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w:t>
      </w:r>
      <w:r>
        <w:rPr>
          <w:rFonts w:hint="eastAsia" w:ascii="仿宋" w:hAnsi="仿宋" w:eastAsia="仿宋" w:cs="宋体"/>
          <w:sz w:val="28"/>
          <w:szCs w:val="28"/>
        </w:rPr>
        <w:t>无明显枯枝</w:t>
      </w:r>
    </w:p>
    <w:p w14:paraId="523DED9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w:t>
      </w:r>
      <w:r>
        <w:rPr>
          <w:rFonts w:hint="eastAsia" w:ascii="仿宋" w:hAnsi="仿宋" w:eastAsia="仿宋" w:cs="宋体"/>
          <w:sz w:val="28"/>
          <w:szCs w:val="28"/>
        </w:rPr>
        <w:t>主干无萌蘖枝</w:t>
      </w:r>
    </w:p>
    <w:p w14:paraId="3507519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2.1.4</w:t>
      </w:r>
      <w:r>
        <w:rPr>
          <w:rFonts w:hint="eastAsia" w:ascii="仿宋" w:hAnsi="仿宋" w:eastAsia="仿宋" w:cs="宋体"/>
          <w:sz w:val="28"/>
          <w:szCs w:val="28"/>
        </w:rPr>
        <w:t>无明显的病虫害危害症状</w:t>
      </w:r>
    </w:p>
    <w:p w14:paraId="142EE56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2.1.5</w:t>
      </w:r>
      <w:r>
        <w:rPr>
          <w:rFonts w:hint="eastAsia" w:ascii="仿宋" w:hAnsi="仿宋" w:eastAsia="仿宋" w:cs="宋体"/>
          <w:sz w:val="28"/>
          <w:szCs w:val="28"/>
        </w:rPr>
        <w:t>无倾斜、倒伏植株</w:t>
      </w:r>
    </w:p>
    <w:p w14:paraId="16DBBD2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2.1.6</w:t>
      </w:r>
      <w:r>
        <w:rPr>
          <w:rFonts w:hint="eastAsia" w:ascii="仿宋" w:hAnsi="仿宋" w:eastAsia="仿宋" w:cs="宋体"/>
          <w:sz w:val="28"/>
          <w:szCs w:val="28"/>
        </w:rPr>
        <w:t>无黄化现象</w:t>
      </w:r>
    </w:p>
    <w:p w14:paraId="46A57C6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2.1.7</w:t>
      </w:r>
      <w:r>
        <w:rPr>
          <w:rFonts w:hint="eastAsia" w:ascii="仿宋" w:hAnsi="仿宋" w:eastAsia="仿宋" w:cs="宋体"/>
          <w:sz w:val="28"/>
          <w:szCs w:val="28"/>
        </w:rPr>
        <w:t>无死亡植株</w:t>
      </w:r>
    </w:p>
    <w:p w14:paraId="255A1BF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w:t>
      </w:r>
      <w:r>
        <w:rPr>
          <w:rFonts w:hint="eastAsia" w:ascii="仿宋" w:hAnsi="仿宋" w:eastAsia="仿宋" w:cs="宋体"/>
          <w:sz w:val="28"/>
          <w:szCs w:val="28"/>
        </w:rPr>
        <w:t>灌木</w:t>
      </w:r>
    </w:p>
    <w:p w14:paraId="3F24436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w:t>
      </w:r>
      <w:r>
        <w:rPr>
          <w:rFonts w:hint="eastAsia" w:ascii="仿宋" w:hAnsi="仿宋" w:eastAsia="仿宋" w:cs="宋体"/>
          <w:sz w:val="28"/>
          <w:szCs w:val="28"/>
        </w:rPr>
        <w:t>花灌木</w:t>
      </w:r>
    </w:p>
    <w:p w14:paraId="76F5815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2.2.1.1</w:t>
      </w:r>
      <w:r>
        <w:rPr>
          <w:rFonts w:hint="eastAsia" w:ascii="仿宋" w:hAnsi="仿宋" w:eastAsia="仿宋" w:cs="宋体"/>
          <w:sz w:val="28"/>
          <w:szCs w:val="28"/>
        </w:rPr>
        <w:t>花期和果期正常，一致性高</w:t>
      </w:r>
    </w:p>
    <w:p w14:paraId="3EB3339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2.2.1.2</w:t>
      </w:r>
      <w:r>
        <w:rPr>
          <w:rFonts w:hint="eastAsia" w:ascii="仿宋" w:hAnsi="仿宋" w:eastAsia="仿宋" w:cs="宋体"/>
          <w:sz w:val="28"/>
          <w:szCs w:val="28"/>
        </w:rPr>
        <w:t>株型完整饱满，无明显偏冠、空缺</w:t>
      </w:r>
    </w:p>
    <w:p w14:paraId="477A14E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2.2.1.3</w:t>
      </w:r>
      <w:r>
        <w:rPr>
          <w:rFonts w:hint="eastAsia" w:ascii="仿宋" w:hAnsi="仿宋" w:eastAsia="仿宋" w:cs="宋体"/>
          <w:sz w:val="28"/>
          <w:szCs w:val="28"/>
        </w:rPr>
        <w:t>无明显病虫害危害症状</w:t>
      </w:r>
    </w:p>
    <w:p w14:paraId="5112F81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2.2.1.4</w:t>
      </w:r>
      <w:r>
        <w:rPr>
          <w:rFonts w:hint="eastAsia" w:ascii="仿宋" w:hAnsi="仿宋" w:eastAsia="仿宋" w:cs="宋体"/>
          <w:sz w:val="28"/>
          <w:szCs w:val="28"/>
        </w:rPr>
        <w:t>无残花，无徒长枝</w:t>
      </w:r>
    </w:p>
    <w:p w14:paraId="56B4BCB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2.2.1.5</w:t>
      </w:r>
      <w:r>
        <w:rPr>
          <w:rFonts w:hint="eastAsia" w:ascii="仿宋" w:hAnsi="仿宋" w:eastAsia="仿宋" w:cs="宋体"/>
          <w:sz w:val="28"/>
          <w:szCs w:val="28"/>
        </w:rPr>
        <w:t>无倾斜、倒伏植株</w:t>
      </w:r>
    </w:p>
    <w:p w14:paraId="4942AE5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2.2.1.6</w:t>
      </w:r>
      <w:r>
        <w:rPr>
          <w:rFonts w:hint="eastAsia" w:ascii="仿宋" w:hAnsi="仿宋" w:eastAsia="仿宋" w:cs="宋体"/>
          <w:sz w:val="28"/>
          <w:szCs w:val="28"/>
        </w:rPr>
        <w:t>无死亡植株</w:t>
      </w:r>
    </w:p>
    <w:p w14:paraId="35B52DE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w:t>
      </w:r>
      <w:r>
        <w:rPr>
          <w:rFonts w:hint="eastAsia" w:ascii="仿宋" w:hAnsi="仿宋" w:eastAsia="仿宋" w:cs="宋体"/>
          <w:sz w:val="28"/>
          <w:szCs w:val="28"/>
        </w:rPr>
        <w:t>片植灌木</w:t>
      </w:r>
    </w:p>
    <w:p w14:paraId="65A01BA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2.2.2.1</w:t>
      </w:r>
      <w:r>
        <w:rPr>
          <w:rFonts w:hint="eastAsia" w:ascii="仿宋" w:hAnsi="仿宋" w:eastAsia="仿宋" w:cs="宋体"/>
          <w:sz w:val="28"/>
          <w:szCs w:val="28"/>
        </w:rPr>
        <w:t>植株整体高度基本一致，无高低落差超过</w:t>
      </w:r>
      <w:r>
        <w:rPr>
          <w:rFonts w:ascii="仿宋" w:hAnsi="仿宋" w:eastAsia="仿宋" w:cs="宋体"/>
          <w:sz w:val="28"/>
          <w:szCs w:val="28"/>
        </w:rPr>
        <w:t>10</w:t>
      </w:r>
      <w:r>
        <w:rPr>
          <w:rFonts w:hint="eastAsia" w:ascii="仿宋" w:hAnsi="仿宋" w:eastAsia="仿宋" w:cs="宋体"/>
          <w:sz w:val="28"/>
          <w:szCs w:val="28"/>
        </w:rPr>
        <w:t>厘米的现象</w:t>
      </w:r>
    </w:p>
    <w:p w14:paraId="6173B0B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2.2.2.2</w:t>
      </w:r>
      <w:r>
        <w:rPr>
          <w:rFonts w:hint="eastAsia" w:ascii="仿宋" w:hAnsi="仿宋" w:eastAsia="仿宋" w:cs="宋体"/>
          <w:sz w:val="28"/>
          <w:szCs w:val="28"/>
        </w:rPr>
        <w:t>片植灌木丛内无杂物（砖块、塑料、纸张等）</w:t>
      </w:r>
    </w:p>
    <w:p w14:paraId="4848725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2.2.2.3</w:t>
      </w:r>
      <w:r>
        <w:rPr>
          <w:rFonts w:hint="eastAsia" w:ascii="仿宋" w:hAnsi="仿宋" w:eastAsia="仿宋" w:cs="宋体"/>
          <w:sz w:val="28"/>
          <w:szCs w:val="28"/>
        </w:rPr>
        <w:t>无明显枯枝</w:t>
      </w:r>
    </w:p>
    <w:p w14:paraId="2FAACF7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2.2.2.4</w:t>
      </w:r>
      <w:r>
        <w:rPr>
          <w:rFonts w:hint="eastAsia" w:ascii="仿宋" w:hAnsi="仿宋" w:eastAsia="仿宋" w:cs="宋体"/>
          <w:sz w:val="28"/>
          <w:szCs w:val="28"/>
        </w:rPr>
        <w:t>无缺株、死亡植株</w:t>
      </w:r>
    </w:p>
    <w:p w14:paraId="7F35998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2.2.2.5</w:t>
      </w:r>
      <w:r>
        <w:rPr>
          <w:rFonts w:hint="eastAsia" w:ascii="仿宋" w:hAnsi="仿宋" w:eastAsia="仿宋" w:cs="宋体"/>
          <w:sz w:val="28"/>
          <w:szCs w:val="28"/>
        </w:rPr>
        <w:t>无明显的病虫害危害症状</w:t>
      </w:r>
    </w:p>
    <w:p w14:paraId="7F38A23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w:t>
      </w:r>
      <w:r>
        <w:rPr>
          <w:rFonts w:hint="eastAsia" w:ascii="仿宋" w:hAnsi="仿宋" w:eastAsia="仿宋" w:cs="宋体"/>
          <w:sz w:val="28"/>
          <w:szCs w:val="28"/>
        </w:rPr>
        <w:t>整形灌木</w:t>
      </w:r>
    </w:p>
    <w:p w14:paraId="2489CE7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2.2.3.1</w:t>
      </w:r>
      <w:r>
        <w:rPr>
          <w:rFonts w:hint="eastAsia" w:ascii="仿宋" w:hAnsi="仿宋" w:eastAsia="仿宋" w:cs="宋体"/>
          <w:sz w:val="28"/>
          <w:szCs w:val="28"/>
        </w:rPr>
        <w:t>表面平整，无漏洞，无缺刻</w:t>
      </w:r>
    </w:p>
    <w:p w14:paraId="100A3C1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2.2.3.2</w:t>
      </w:r>
      <w:r>
        <w:rPr>
          <w:rFonts w:hint="eastAsia" w:ascii="仿宋" w:hAnsi="仿宋" w:eastAsia="仿宋" w:cs="宋体"/>
          <w:sz w:val="28"/>
          <w:szCs w:val="28"/>
        </w:rPr>
        <w:t>平面型绿篱三面平整，直线处笔直，球、弧型绿篱球形圆整、弧面圆润</w:t>
      </w:r>
    </w:p>
    <w:p w14:paraId="74DFB534">
      <w:pPr>
        <w:adjustRightInd w:val="0"/>
        <w:snapToGrid w:val="0"/>
        <w:spacing w:line="360" w:lineRule="auto"/>
        <w:ind w:firstLine="560" w:firstLineChars="200"/>
        <w:jc w:val="left"/>
        <w:rPr>
          <w:rFonts w:ascii="仿宋" w:hAnsi="仿宋" w:eastAsia="仿宋" w:cs="宋体"/>
          <w:sz w:val="28"/>
          <w:szCs w:val="28"/>
        </w:rPr>
      </w:pPr>
      <w:r>
        <w:rPr>
          <w:rFonts w:ascii="仿宋" w:hAnsi="仿宋" w:eastAsia="仿宋" w:cs="宋体"/>
          <w:sz w:val="28"/>
          <w:szCs w:val="28"/>
        </w:rPr>
        <w:t>2.2.3.3</w:t>
      </w:r>
      <w:r>
        <w:rPr>
          <w:rFonts w:hint="eastAsia" w:ascii="仿宋" w:hAnsi="仿宋" w:eastAsia="仿宋" w:cs="宋体"/>
          <w:sz w:val="28"/>
          <w:szCs w:val="28"/>
        </w:rPr>
        <w:t>无缺失、死亡植株</w:t>
      </w:r>
    </w:p>
    <w:p w14:paraId="1045AE1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2.2.3.4</w:t>
      </w:r>
      <w:r>
        <w:rPr>
          <w:rFonts w:hint="eastAsia" w:ascii="仿宋" w:hAnsi="仿宋" w:eastAsia="仿宋" w:cs="宋体"/>
          <w:sz w:val="28"/>
          <w:szCs w:val="28"/>
        </w:rPr>
        <w:t>无明显的病虫害危害症状</w:t>
      </w:r>
    </w:p>
    <w:p w14:paraId="2EA419A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w:t>
      </w:r>
      <w:r>
        <w:rPr>
          <w:rFonts w:hint="eastAsia" w:ascii="仿宋" w:hAnsi="仿宋" w:eastAsia="仿宋" w:cs="宋体"/>
          <w:sz w:val="28"/>
          <w:szCs w:val="28"/>
        </w:rPr>
        <w:t>地被</w:t>
      </w:r>
    </w:p>
    <w:p w14:paraId="1B76340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2.3.1</w:t>
      </w:r>
      <w:r>
        <w:rPr>
          <w:rFonts w:hint="eastAsia" w:ascii="仿宋" w:hAnsi="仿宋" w:eastAsia="仿宋" w:cs="宋体"/>
          <w:sz w:val="28"/>
          <w:szCs w:val="28"/>
        </w:rPr>
        <w:t>生长季覆盖率高，黄土不裸露</w:t>
      </w:r>
    </w:p>
    <w:p w14:paraId="3BC6FBD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2.3.2</w:t>
      </w:r>
      <w:r>
        <w:rPr>
          <w:rFonts w:hint="eastAsia" w:ascii="仿宋" w:hAnsi="仿宋" w:eastAsia="仿宋" w:cs="宋体"/>
          <w:sz w:val="28"/>
          <w:szCs w:val="28"/>
        </w:rPr>
        <w:t>花期正常，一致性高，同一品种花期间隔不超过</w:t>
      </w:r>
      <w:r>
        <w:rPr>
          <w:rFonts w:ascii="仿宋" w:hAnsi="仿宋" w:eastAsia="仿宋" w:cs="宋体"/>
          <w:sz w:val="28"/>
          <w:szCs w:val="28"/>
        </w:rPr>
        <w:t>5</w:t>
      </w:r>
      <w:r>
        <w:rPr>
          <w:rFonts w:hint="eastAsia" w:ascii="仿宋" w:hAnsi="仿宋" w:eastAsia="仿宋" w:cs="宋体"/>
          <w:sz w:val="28"/>
          <w:szCs w:val="28"/>
        </w:rPr>
        <w:t>天</w:t>
      </w:r>
    </w:p>
    <w:p w14:paraId="1ADB429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2.3.3</w:t>
      </w:r>
      <w:r>
        <w:rPr>
          <w:rFonts w:hint="eastAsia" w:ascii="仿宋" w:hAnsi="仿宋" w:eastAsia="仿宋" w:cs="宋体"/>
          <w:sz w:val="28"/>
          <w:szCs w:val="28"/>
        </w:rPr>
        <w:t>生长季无空秃、死亡植株</w:t>
      </w:r>
    </w:p>
    <w:p w14:paraId="6B51C27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2.3.4</w:t>
      </w:r>
      <w:r>
        <w:rPr>
          <w:rFonts w:hint="eastAsia" w:ascii="仿宋" w:hAnsi="仿宋" w:eastAsia="仿宋" w:cs="宋体"/>
          <w:sz w:val="28"/>
          <w:szCs w:val="28"/>
        </w:rPr>
        <w:t>无残花，无黄叶、枯叶</w:t>
      </w:r>
    </w:p>
    <w:p w14:paraId="222596E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2.3.5</w:t>
      </w:r>
      <w:r>
        <w:rPr>
          <w:rFonts w:hint="eastAsia" w:ascii="仿宋" w:hAnsi="仿宋" w:eastAsia="仿宋" w:cs="宋体"/>
          <w:sz w:val="28"/>
          <w:szCs w:val="28"/>
        </w:rPr>
        <w:t>无超过地被高度的杂草</w:t>
      </w:r>
    </w:p>
    <w:p w14:paraId="110C339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2.3.6</w:t>
      </w:r>
      <w:r>
        <w:rPr>
          <w:rFonts w:hint="eastAsia" w:ascii="仿宋" w:hAnsi="仿宋" w:eastAsia="仿宋" w:cs="宋体"/>
          <w:sz w:val="28"/>
          <w:szCs w:val="28"/>
        </w:rPr>
        <w:t>无明显的病虫害危害症状</w:t>
      </w:r>
    </w:p>
    <w:p w14:paraId="57B674D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w:t>
      </w:r>
      <w:r>
        <w:rPr>
          <w:rFonts w:hint="eastAsia" w:ascii="仿宋" w:hAnsi="仿宋" w:eastAsia="仿宋" w:cs="宋体"/>
          <w:sz w:val="28"/>
          <w:szCs w:val="28"/>
        </w:rPr>
        <w:t>草坪</w:t>
      </w:r>
    </w:p>
    <w:p w14:paraId="5E3A2EF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2.4.1</w:t>
      </w:r>
      <w:r>
        <w:rPr>
          <w:rFonts w:hint="eastAsia" w:ascii="仿宋" w:hAnsi="仿宋" w:eastAsia="仿宋" w:cs="宋体"/>
          <w:sz w:val="28"/>
          <w:szCs w:val="28"/>
        </w:rPr>
        <w:t>色泽正常，高度一致，生长期无发黄现象</w:t>
      </w:r>
    </w:p>
    <w:p w14:paraId="7FBD5E0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2.4.2</w:t>
      </w:r>
      <w:r>
        <w:rPr>
          <w:rFonts w:hint="eastAsia" w:ascii="仿宋" w:hAnsi="仿宋" w:eastAsia="仿宋" w:cs="宋体"/>
          <w:sz w:val="28"/>
          <w:szCs w:val="28"/>
        </w:rPr>
        <w:t>边缘清晰整齐，无生长至硬质景观上的现象发生</w:t>
      </w:r>
    </w:p>
    <w:p w14:paraId="5378BB3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2.4.3</w:t>
      </w:r>
      <w:r>
        <w:rPr>
          <w:rFonts w:hint="eastAsia" w:ascii="仿宋" w:hAnsi="仿宋" w:eastAsia="仿宋" w:cs="宋体"/>
          <w:sz w:val="28"/>
          <w:szCs w:val="28"/>
        </w:rPr>
        <w:t>无双子叶杂草，无明显的单子叶杂草发生</w:t>
      </w:r>
    </w:p>
    <w:p w14:paraId="7FB6913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2.4.4</w:t>
      </w:r>
      <w:r>
        <w:rPr>
          <w:rFonts w:hint="eastAsia" w:ascii="仿宋" w:hAnsi="仿宋" w:eastAsia="仿宋" w:cs="宋体"/>
          <w:sz w:val="28"/>
          <w:szCs w:val="28"/>
        </w:rPr>
        <w:t>无草屑残留，无明显枯枝、落叶覆盖</w:t>
      </w:r>
    </w:p>
    <w:p w14:paraId="65E3647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2.4.5</w:t>
      </w:r>
      <w:r>
        <w:rPr>
          <w:rFonts w:hint="eastAsia" w:ascii="仿宋" w:hAnsi="仿宋" w:eastAsia="仿宋" w:cs="宋体"/>
          <w:sz w:val="28"/>
          <w:szCs w:val="28"/>
        </w:rPr>
        <w:t>无明显的病虫害危害症状</w:t>
      </w:r>
    </w:p>
    <w:p w14:paraId="467D882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2.4.6</w:t>
      </w:r>
      <w:r>
        <w:rPr>
          <w:rFonts w:hint="eastAsia" w:ascii="仿宋" w:hAnsi="仿宋" w:eastAsia="仿宋" w:cs="宋体"/>
          <w:sz w:val="28"/>
          <w:szCs w:val="28"/>
        </w:rPr>
        <w:t>无空秃超过</w:t>
      </w:r>
      <w:r>
        <w:rPr>
          <w:rFonts w:ascii="仿宋" w:hAnsi="仿宋" w:eastAsia="仿宋" w:cs="宋体"/>
          <w:sz w:val="28"/>
          <w:szCs w:val="28"/>
        </w:rPr>
        <w:t>0.5m</w:t>
      </w:r>
      <w:r>
        <w:rPr>
          <w:rFonts w:ascii="仿宋" w:hAnsi="仿宋" w:eastAsia="仿宋" w:cs="宋体"/>
          <w:sz w:val="28"/>
          <w:szCs w:val="28"/>
          <w:vertAlign w:val="superscript"/>
        </w:rPr>
        <w:t>2</w:t>
      </w:r>
      <w:r>
        <w:rPr>
          <w:rFonts w:hint="eastAsia" w:ascii="仿宋" w:hAnsi="仿宋" w:eastAsia="仿宋" w:cs="宋体"/>
          <w:sz w:val="28"/>
          <w:szCs w:val="28"/>
        </w:rPr>
        <w:t>的现象</w:t>
      </w:r>
    </w:p>
    <w:p w14:paraId="1B7A600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w:t>
      </w:r>
      <w:r>
        <w:rPr>
          <w:rFonts w:hint="eastAsia" w:ascii="仿宋" w:hAnsi="仿宋" w:eastAsia="仿宋" w:cs="宋体"/>
          <w:sz w:val="28"/>
          <w:szCs w:val="28"/>
        </w:rPr>
        <w:t>花坛</w:t>
      </w:r>
    </w:p>
    <w:p w14:paraId="1C1F04B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2.5.1</w:t>
      </w:r>
      <w:r>
        <w:rPr>
          <w:rFonts w:hint="eastAsia" w:ascii="仿宋" w:hAnsi="仿宋" w:eastAsia="仿宋" w:cs="宋体"/>
          <w:sz w:val="28"/>
          <w:szCs w:val="28"/>
        </w:rPr>
        <w:t>花期统一</w:t>
      </w:r>
    </w:p>
    <w:p w14:paraId="7833DA3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2.5.2</w:t>
      </w:r>
      <w:r>
        <w:rPr>
          <w:rFonts w:hint="eastAsia" w:ascii="仿宋" w:hAnsi="仿宋" w:eastAsia="仿宋" w:cs="宋体"/>
          <w:sz w:val="28"/>
          <w:szCs w:val="28"/>
        </w:rPr>
        <w:t>种植后</w:t>
      </w:r>
      <w:r>
        <w:rPr>
          <w:rFonts w:ascii="仿宋" w:hAnsi="仿宋" w:eastAsia="仿宋" w:cs="宋体"/>
          <w:sz w:val="28"/>
          <w:szCs w:val="28"/>
        </w:rPr>
        <w:t>3</w:t>
      </w:r>
      <w:r>
        <w:rPr>
          <w:rFonts w:hint="eastAsia" w:ascii="仿宋" w:hAnsi="仿宋" w:eastAsia="仿宋" w:cs="宋体"/>
          <w:sz w:val="28"/>
          <w:szCs w:val="28"/>
        </w:rPr>
        <w:t>天内即达到良好的观赏效果，观花型草花有</w:t>
      </w:r>
      <w:r>
        <w:rPr>
          <w:rFonts w:ascii="仿宋" w:hAnsi="仿宋" w:eastAsia="仿宋" w:cs="宋体"/>
          <w:sz w:val="28"/>
          <w:szCs w:val="28"/>
        </w:rPr>
        <w:t>90%</w:t>
      </w:r>
      <w:r>
        <w:rPr>
          <w:rFonts w:hint="eastAsia" w:ascii="仿宋" w:hAnsi="仿宋" w:eastAsia="仿宋" w:cs="宋体"/>
          <w:sz w:val="28"/>
          <w:szCs w:val="28"/>
        </w:rPr>
        <w:t>以上的植株开花</w:t>
      </w:r>
      <w:r>
        <w:rPr>
          <w:rFonts w:ascii="仿宋" w:hAnsi="仿宋" w:eastAsia="仿宋" w:cs="宋体"/>
          <w:sz w:val="28"/>
          <w:szCs w:val="28"/>
        </w:rPr>
        <w:t xml:space="preserve"> </w:t>
      </w:r>
    </w:p>
    <w:p w14:paraId="684BB62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2.5.3</w:t>
      </w:r>
      <w:r>
        <w:rPr>
          <w:rFonts w:hint="eastAsia" w:ascii="仿宋" w:hAnsi="仿宋" w:eastAsia="仿宋" w:cs="宋体"/>
          <w:sz w:val="28"/>
          <w:szCs w:val="28"/>
        </w:rPr>
        <w:t>色彩艳丽，图案规整</w:t>
      </w:r>
    </w:p>
    <w:p w14:paraId="1DE0322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2.5.4</w:t>
      </w:r>
      <w:r>
        <w:rPr>
          <w:rFonts w:hint="eastAsia" w:ascii="仿宋" w:hAnsi="仿宋" w:eastAsia="仿宋" w:cs="宋体"/>
          <w:sz w:val="28"/>
          <w:szCs w:val="28"/>
        </w:rPr>
        <w:t>株行距整齐，黄土不裸露</w:t>
      </w:r>
    </w:p>
    <w:p w14:paraId="2ECBBA1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2.5.5</w:t>
      </w:r>
      <w:r>
        <w:rPr>
          <w:rFonts w:hint="eastAsia" w:ascii="仿宋" w:hAnsi="仿宋" w:eastAsia="仿宋" w:cs="宋体"/>
          <w:sz w:val="28"/>
          <w:szCs w:val="28"/>
        </w:rPr>
        <w:t>无残花、黄叶、枯叶残留</w:t>
      </w:r>
    </w:p>
    <w:p w14:paraId="018FF33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2.5.6</w:t>
      </w:r>
      <w:r>
        <w:rPr>
          <w:rFonts w:hint="eastAsia" w:ascii="仿宋" w:hAnsi="仿宋" w:eastAsia="仿宋" w:cs="宋体"/>
          <w:sz w:val="28"/>
          <w:szCs w:val="28"/>
        </w:rPr>
        <w:t>更换及时，间歇期不超过</w:t>
      </w:r>
      <w:r>
        <w:rPr>
          <w:rFonts w:ascii="仿宋" w:hAnsi="仿宋" w:eastAsia="仿宋" w:cs="宋体"/>
          <w:sz w:val="28"/>
          <w:szCs w:val="28"/>
        </w:rPr>
        <w:t>5</w:t>
      </w:r>
      <w:r>
        <w:rPr>
          <w:rFonts w:hint="eastAsia" w:ascii="仿宋" w:hAnsi="仿宋" w:eastAsia="仿宋" w:cs="宋体"/>
          <w:sz w:val="28"/>
          <w:szCs w:val="28"/>
        </w:rPr>
        <w:t>天</w:t>
      </w:r>
    </w:p>
    <w:p w14:paraId="6244AB6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2.5.7</w:t>
      </w:r>
      <w:r>
        <w:rPr>
          <w:rFonts w:hint="eastAsia" w:ascii="仿宋" w:hAnsi="仿宋" w:eastAsia="仿宋" w:cs="宋体"/>
          <w:sz w:val="28"/>
          <w:szCs w:val="28"/>
        </w:rPr>
        <w:t>无超过草花高度的杂草</w:t>
      </w:r>
    </w:p>
    <w:p w14:paraId="63941E8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2.5.8</w:t>
      </w:r>
      <w:r>
        <w:rPr>
          <w:rFonts w:hint="eastAsia" w:ascii="仿宋" w:hAnsi="仿宋" w:eastAsia="仿宋" w:cs="宋体"/>
          <w:sz w:val="28"/>
          <w:szCs w:val="28"/>
        </w:rPr>
        <w:t>无明显的病虫害危害症状</w:t>
      </w:r>
    </w:p>
    <w:p w14:paraId="73FF514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w:t>
      </w:r>
      <w:r>
        <w:rPr>
          <w:rFonts w:hint="eastAsia" w:ascii="仿宋" w:hAnsi="仿宋" w:eastAsia="仿宋" w:cs="宋体"/>
          <w:sz w:val="28"/>
          <w:szCs w:val="28"/>
        </w:rPr>
        <w:t>花境</w:t>
      </w:r>
    </w:p>
    <w:p w14:paraId="197C8ED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2.6.1</w:t>
      </w:r>
      <w:r>
        <w:rPr>
          <w:rFonts w:hint="eastAsia" w:ascii="仿宋" w:hAnsi="仿宋" w:eastAsia="仿宋" w:cs="宋体"/>
          <w:sz w:val="28"/>
          <w:szCs w:val="28"/>
        </w:rPr>
        <w:t>层次保持良好，无相互穿插和挤压的现象</w:t>
      </w:r>
    </w:p>
    <w:p w14:paraId="7E517A0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2.6.2</w:t>
      </w:r>
      <w:r>
        <w:rPr>
          <w:rFonts w:hint="eastAsia" w:ascii="仿宋" w:hAnsi="仿宋" w:eastAsia="仿宋" w:cs="宋体"/>
          <w:sz w:val="28"/>
          <w:szCs w:val="28"/>
        </w:rPr>
        <w:t>各种开花植物花期正常</w:t>
      </w:r>
    </w:p>
    <w:p w14:paraId="0266EC5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2.6.3</w:t>
      </w:r>
      <w:r>
        <w:rPr>
          <w:rFonts w:hint="eastAsia" w:ascii="仿宋" w:hAnsi="仿宋" w:eastAsia="仿宋" w:cs="宋体"/>
          <w:sz w:val="28"/>
          <w:szCs w:val="28"/>
        </w:rPr>
        <w:t>无残花、黄叶、枯叶、枯枝残留</w:t>
      </w:r>
    </w:p>
    <w:p w14:paraId="328412B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2.6.4</w:t>
      </w:r>
      <w:r>
        <w:rPr>
          <w:rFonts w:hint="eastAsia" w:ascii="仿宋" w:hAnsi="仿宋" w:eastAsia="仿宋" w:cs="宋体"/>
          <w:sz w:val="28"/>
          <w:szCs w:val="28"/>
        </w:rPr>
        <w:t>无超过花镜植物高度的杂草</w:t>
      </w:r>
    </w:p>
    <w:p w14:paraId="1EBEA41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2.6.5</w:t>
      </w:r>
      <w:r>
        <w:rPr>
          <w:rFonts w:hint="eastAsia" w:ascii="仿宋" w:hAnsi="仿宋" w:eastAsia="仿宋" w:cs="宋体"/>
          <w:sz w:val="28"/>
          <w:szCs w:val="28"/>
        </w:rPr>
        <w:t>植物生长期黄土不裸露</w:t>
      </w:r>
    </w:p>
    <w:p w14:paraId="3C16ED5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2.6.6</w:t>
      </w:r>
      <w:r>
        <w:rPr>
          <w:rFonts w:hint="eastAsia" w:ascii="仿宋" w:hAnsi="仿宋" w:eastAsia="仿宋" w:cs="宋体"/>
          <w:sz w:val="28"/>
          <w:szCs w:val="28"/>
        </w:rPr>
        <w:t>长势不良植物须及时更新</w:t>
      </w:r>
    </w:p>
    <w:p w14:paraId="02AE098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2.6.7</w:t>
      </w:r>
      <w:r>
        <w:rPr>
          <w:rFonts w:hint="eastAsia" w:ascii="仿宋" w:hAnsi="仿宋" w:eastAsia="仿宋" w:cs="宋体"/>
          <w:sz w:val="28"/>
          <w:szCs w:val="28"/>
        </w:rPr>
        <w:t>无明显的病虫害危害症状</w:t>
      </w:r>
    </w:p>
    <w:p w14:paraId="4B47A39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w:t>
      </w:r>
      <w:r>
        <w:rPr>
          <w:rFonts w:hint="eastAsia" w:ascii="仿宋" w:hAnsi="仿宋" w:eastAsia="仿宋" w:cs="宋体"/>
          <w:sz w:val="28"/>
          <w:szCs w:val="28"/>
        </w:rPr>
        <w:t>竹类</w:t>
      </w:r>
    </w:p>
    <w:p w14:paraId="33FA8E5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2.7.1</w:t>
      </w:r>
      <w:r>
        <w:rPr>
          <w:rFonts w:hint="eastAsia" w:ascii="仿宋" w:hAnsi="仿宋" w:eastAsia="仿宋" w:cs="宋体"/>
          <w:sz w:val="28"/>
          <w:szCs w:val="28"/>
        </w:rPr>
        <w:t>无倒伏和倾斜超过</w:t>
      </w:r>
      <w:r>
        <w:rPr>
          <w:rFonts w:ascii="仿宋" w:hAnsi="仿宋" w:eastAsia="仿宋" w:cs="宋体"/>
          <w:sz w:val="28"/>
          <w:szCs w:val="28"/>
        </w:rPr>
        <w:t>45</w:t>
      </w:r>
      <w:r>
        <w:rPr>
          <w:rFonts w:hint="eastAsia" w:ascii="仿宋" w:hAnsi="仿宋" w:eastAsia="仿宋" w:cs="宋体"/>
          <w:sz w:val="28"/>
          <w:szCs w:val="28"/>
        </w:rPr>
        <w:t>度的植株</w:t>
      </w:r>
    </w:p>
    <w:p w14:paraId="0297E30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2.7.2</w:t>
      </w:r>
      <w:r>
        <w:rPr>
          <w:rFonts w:hint="eastAsia" w:ascii="仿宋" w:hAnsi="仿宋" w:eastAsia="仿宋" w:cs="宋体"/>
          <w:sz w:val="28"/>
          <w:szCs w:val="28"/>
        </w:rPr>
        <w:t>新老更新及时，无大量衰老植株</w:t>
      </w:r>
    </w:p>
    <w:p w14:paraId="1735A94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2.7.3</w:t>
      </w:r>
      <w:r>
        <w:rPr>
          <w:rFonts w:hint="eastAsia" w:ascii="仿宋" w:hAnsi="仿宋" w:eastAsia="仿宋" w:cs="宋体"/>
          <w:sz w:val="28"/>
          <w:szCs w:val="28"/>
        </w:rPr>
        <w:t>色泽干净、无霉污</w:t>
      </w:r>
    </w:p>
    <w:p w14:paraId="3AFDC13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2.7.4</w:t>
      </w:r>
      <w:r>
        <w:rPr>
          <w:rFonts w:hint="eastAsia" w:ascii="仿宋" w:hAnsi="仿宋" w:eastAsia="仿宋" w:cs="宋体"/>
          <w:sz w:val="28"/>
          <w:szCs w:val="28"/>
        </w:rPr>
        <w:t>地下茎无穿插到种植区域之外的现象</w:t>
      </w:r>
    </w:p>
    <w:p w14:paraId="5669D98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2.7.5</w:t>
      </w:r>
      <w:r>
        <w:rPr>
          <w:rFonts w:hint="eastAsia" w:ascii="仿宋" w:hAnsi="仿宋" w:eastAsia="仿宋" w:cs="宋体"/>
          <w:sz w:val="28"/>
          <w:szCs w:val="28"/>
        </w:rPr>
        <w:t>无明显的病虫害危害症状</w:t>
      </w:r>
    </w:p>
    <w:p w14:paraId="5443164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w:t>
      </w:r>
      <w:r>
        <w:rPr>
          <w:rFonts w:hint="eastAsia" w:ascii="仿宋" w:hAnsi="仿宋" w:eastAsia="仿宋" w:cs="宋体"/>
          <w:sz w:val="28"/>
          <w:szCs w:val="28"/>
        </w:rPr>
        <w:t>攀援植物</w:t>
      </w:r>
    </w:p>
    <w:p w14:paraId="289AAB3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2.8.1</w:t>
      </w:r>
      <w:r>
        <w:rPr>
          <w:rFonts w:hint="eastAsia" w:ascii="仿宋" w:hAnsi="仿宋" w:eastAsia="仿宋" w:cs="宋体"/>
          <w:sz w:val="28"/>
          <w:szCs w:val="28"/>
        </w:rPr>
        <w:t>及时修剪，无悬挂的枯枝，无枯叶堆积</w:t>
      </w:r>
    </w:p>
    <w:p w14:paraId="4F717F0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2.8.2</w:t>
      </w:r>
      <w:r>
        <w:rPr>
          <w:rFonts w:hint="eastAsia" w:ascii="仿宋" w:hAnsi="仿宋" w:eastAsia="仿宋" w:cs="宋体"/>
          <w:sz w:val="28"/>
          <w:szCs w:val="28"/>
        </w:rPr>
        <w:t>无下垂影响到交通的枝条</w:t>
      </w:r>
    </w:p>
    <w:p w14:paraId="0A53ED7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2.8.3</w:t>
      </w:r>
      <w:r>
        <w:rPr>
          <w:rFonts w:hint="eastAsia" w:ascii="仿宋" w:hAnsi="仿宋" w:eastAsia="仿宋" w:cs="宋体"/>
          <w:sz w:val="28"/>
          <w:szCs w:val="28"/>
        </w:rPr>
        <w:t>牵引有序</w:t>
      </w:r>
    </w:p>
    <w:p w14:paraId="3052DA1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2.8.4</w:t>
      </w:r>
      <w:r>
        <w:rPr>
          <w:rFonts w:hint="eastAsia" w:ascii="仿宋" w:hAnsi="仿宋" w:eastAsia="仿宋" w:cs="宋体"/>
          <w:sz w:val="28"/>
          <w:szCs w:val="28"/>
        </w:rPr>
        <w:t>无明显的病虫害危害症状</w:t>
      </w:r>
    </w:p>
    <w:p w14:paraId="54896E4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w:t>
      </w:r>
      <w:r>
        <w:rPr>
          <w:rFonts w:hint="eastAsia" w:ascii="仿宋" w:hAnsi="仿宋" w:eastAsia="仿宋" w:cs="宋体"/>
          <w:sz w:val="28"/>
          <w:szCs w:val="28"/>
        </w:rPr>
        <w:t>水生植物</w:t>
      </w:r>
    </w:p>
    <w:p w14:paraId="064199F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2.9.1</w:t>
      </w:r>
      <w:r>
        <w:rPr>
          <w:rFonts w:hint="eastAsia" w:ascii="仿宋" w:hAnsi="仿宋" w:eastAsia="仿宋" w:cs="宋体"/>
          <w:sz w:val="28"/>
          <w:szCs w:val="28"/>
        </w:rPr>
        <w:t>无残花、黄叶、枯叶；</w:t>
      </w:r>
    </w:p>
    <w:p w14:paraId="2335E20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2.9.2</w:t>
      </w:r>
      <w:r>
        <w:rPr>
          <w:rFonts w:hint="eastAsia" w:ascii="仿宋" w:hAnsi="仿宋" w:eastAsia="仿宋" w:cs="宋体"/>
          <w:sz w:val="28"/>
          <w:szCs w:val="28"/>
        </w:rPr>
        <w:t>无折断、倒伏植株</w:t>
      </w:r>
    </w:p>
    <w:p w14:paraId="76BA0D1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2.9.3</w:t>
      </w:r>
      <w:r>
        <w:rPr>
          <w:rFonts w:hint="eastAsia" w:ascii="仿宋" w:hAnsi="仿宋" w:eastAsia="仿宋" w:cs="宋体"/>
          <w:sz w:val="28"/>
          <w:szCs w:val="28"/>
        </w:rPr>
        <w:t>无杂草和其他外来水生植物</w:t>
      </w:r>
    </w:p>
    <w:p w14:paraId="0130914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2.9.4</w:t>
      </w:r>
      <w:r>
        <w:rPr>
          <w:rFonts w:hint="eastAsia" w:ascii="仿宋" w:hAnsi="仿宋" w:eastAsia="仿宋" w:cs="宋体"/>
          <w:sz w:val="28"/>
          <w:szCs w:val="28"/>
        </w:rPr>
        <w:t>更新及时，梳理、控制得当，无相互挤压现象</w:t>
      </w:r>
    </w:p>
    <w:p w14:paraId="02FB818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2.9.5</w:t>
      </w:r>
      <w:r>
        <w:rPr>
          <w:rFonts w:hint="eastAsia" w:ascii="仿宋" w:hAnsi="仿宋" w:eastAsia="仿宋" w:cs="宋体"/>
          <w:sz w:val="28"/>
          <w:szCs w:val="28"/>
        </w:rPr>
        <w:t>无明显的病虫害危害症状</w:t>
      </w:r>
    </w:p>
    <w:p w14:paraId="06C30C1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w:t>
      </w:r>
      <w:r>
        <w:rPr>
          <w:rFonts w:hint="eastAsia" w:ascii="仿宋" w:hAnsi="仿宋" w:eastAsia="仿宋" w:cs="宋体"/>
          <w:sz w:val="28"/>
          <w:szCs w:val="28"/>
        </w:rPr>
        <w:t>水面保洁</w:t>
      </w:r>
    </w:p>
    <w:p w14:paraId="0E1FE1A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2.10.1</w:t>
      </w:r>
      <w:r>
        <w:rPr>
          <w:rFonts w:hint="eastAsia" w:ascii="仿宋" w:hAnsi="仿宋" w:eastAsia="仿宋" w:cs="宋体"/>
          <w:sz w:val="28"/>
          <w:szCs w:val="28"/>
        </w:rPr>
        <w:t>水面干净，水域内无生活垃圾</w:t>
      </w:r>
    </w:p>
    <w:p w14:paraId="64C90CC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2.10.2</w:t>
      </w:r>
      <w:r>
        <w:rPr>
          <w:rFonts w:hint="eastAsia" w:ascii="仿宋" w:hAnsi="仿宋" w:eastAsia="仿宋" w:cs="宋体"/>
          <w:sz w:val="28"/>
          <w:szCs w:val="28"/>
        </w:rPr>
        <w:t>岸边无明显的修剪后的植物残留物</w:t>
      </w:r>
    </w:p>
    <w:p w14:paraId="69453B9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2.10.3</w:t>
      </w:r>
      <w:r>
        <w:rPr>
          <w:rFonts w:hint="eastAsia" w:ascii="仿宋" w:hAnsi="仿宋" w:eastAsia="仿宋" w:cs="宋体"/>
          <w:sz w:val="28"/>
          <w:szCs w:val="28"/>
        </w:rPr>
        <w:t>岸边无大型建筑垃圾和其他杂物</w:t>
      </w:r>
    </w:p>
    <w:p w14:paraId="0DC40E3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w:t>
      </w:r>
      <w:r>
        <w:rPr>
          <w:rFonts w:hint="eastAsia" w:ascii="仿宋" w:hAnsi="仿宋" w:eastAsia="仿宋" w:cs="宋体"/>
          <w:sz w:val="28"/>
          <w:szCs w:val="28"/>
        </w:rPr>
        <w:t>树穴</w:t>
      </w:r>
    </w:p>
    <w:p w14:paraId="3AB45BE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2.11.1</w:t>
      </w:r>
      <w:r>
        <w:rPr>
          <w:rFonts w:hint="eastAsia" w:ascii="仿宋" w:hAnsi="仿宋" w:eastAsia="仿宋" w:cs="宋体"/>
          <w:sz w:val="28"/>
          <w:szCs w:val="28"/>
        </w:rPr>
        <w:t>树穴大小适度，形状圆整，覆土厚度在植株最表层根系上的</w:t>
      </w:r>
      <w:r>
        <w:rPr>
          <w:rFonts w:ascii="仿宋" w:hAnsi="仿宋" w:eastAsia="仿宋" w:cs="宋体"/>
          <w:sz w:val="28"/>
          <w:szCs w:val="28"/>
        </w:rPr>
        <w:t>5cm</w:t>
      </w:r>
      <w:r>
        <w:rPr>
          <w:rFonts w:hint="eastAsia" w:ascii="仿宋" w:hAnsi="仿宋" w:eastAsia="仿宋" w:cs="宋体"/>
          <w:sz w:val="28"/>
          <w:szCs w:val="28"/>
        </w:rPr>
        <w:t>以内</w:t>
      </w:r>
    </w:p>
    <w:p w14:paraId="1D9A822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2.11.2</w:t>
      </w:r>
      <w:r>
        <w:rPr>
          <w:rFonts w:hint="eastAsia" w:ascii="仿宋" w:hAnsi="仿宋" w:eastAsia="仿宋" w:cs="宋体"/>
          <w:sz w:val="28"/>
          <w:szCs w:val="28"/>
        </w:rPr>
        <w:t>表面无杂草、草根、石块和其他杂物</w:t>
      </w:r>
    </w:p>
    <w:p w14:paraId="7445D8F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2.11.3</w:t>
      </w:r>
      <w:r>
        <w:rPr>
          <w:rFonts w:hint="eastAsia" w:ascii="仿宋" w:hAnsi="仿宋" w:eastAsia="仿宋" w:cs="宋体"/>
          <w:sz w:val="28"/>
          <w:szCs w:val="28"/>
        </w:rPr>
        <w:t>表面土壤粒径不超过</w:t>
      </w:r>
      <w:r>
        <w:rPr>
          <w:rFonts w:ascii="仿宋" w:hAnsi="仿宋" w:eastAsia="仿宋" w:cs="宋体"/>
          <w:sz w:val="28"/>
          <w:szCs w:val="28"/>
        </w:rPr>
        <w:t>2cm</w:t>
      </w:r>
    </w:p>
    <w:p w14:paraId="2D53DD8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2.11.4</w:t>
      </w:r>
      <w:r>
        <w:rPr>
          <w:rFonts w:hint="eastAsia" w:ascii="仿宋" w:hAnsi="仿宋" w:eastAsia="仿宋" w:cs="宋体"/>
          <w:sz w:val="28"/>
          <w:szCs w:val="28"/>
        </w:rPr>
        <w:t>切边宽度、深度不超过</w:t>
      </w:r>
      <w:r>
        <w:rPr>
          <w:rFonts w:ascii="仿宋" w:hAnsi="仿宋" w:eastAsia="仿宋" w:cs="宋体"/>
          <w:sz w:val="28"/>
          <w:szCs w:val="28"/>
        </w:rPr>
        <w:t>5cm</w:t>
      </w:r>
    </w:p>
    <w:p w14:paraId="141D6D3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2.11.5</w:t>
      </w:r>
      <w:r>
        <w:rPr>
          <w:rFonts w:hint="eastAsia" w:ascii="仿宋" w:hAnsi="仿宋" w:eastAsia="仿宋" w:cs="宋体"/>
          <w:sz w:val="28"/>
          <w:szCs w:val="28"/>
        </w:rPr>
        <w:t>树穴范围内无积水</w:t>
      </w:r>
    </w:p>
    <w:p w14:paraId="592F087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w:t>
      </w:r>
      <w:r>
        <w:rPr>
          <w:rFonts w:hint="eastAsia" w:ascii="仿宋" w:hAnsi="仿宋" w:eastAsia="仿宋" w:cs="宋体"/>
          <w:sz w:val="28"/>
          <w:szCs w:val="28"/>
        </w:rPr>
        <w:t>林缘线</w:t>
      </w:r>
    </w:p>
    <w:p w14:paraId="2073EE6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2.12.1</w:t>
      </w:r>
      <w:r>
        <w:rPr>
          <w:rFonts w:hint="eastAsia" w:ascii="仿宋" w:hAnsi="仿宋" w:eastAsia="仿宋" w:cs="宋体"/>
          <w:sz w:val="28"/>
          <w:szCs w:val="28"/>
        </w:rPr>
        <w:t>线条清晰、整齐、流畅</w:t>
      </w:r>
    </w:p>
    <w:p w14:paraId="758B90E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2.12.2</w:t>
      </w:r>
      <w:r>
        <w:rPr>
          <w:rFonts w:hint="eastAsia" w:ascii="仿宋" w:hAnsi="仿宋" w:eastAsia="仿宋" w:cs="宋体"/>
          <w:sz w:val="28"/>
          <w:szCs w:val="28"/>
        </w:rPr>
        <w:t>切边宽度、深度不超过</w:t>
      </w:r>
      <w:r>
        <w:rPr>
          <w:rFonts w:ascii="仿宋" w:hAnsi="仿宋" w:eastAsia="仿宋" w:cs="宋体"/>
          <w:sz w:val="28"/>
          <w:szCs w:val="28"/>
        </w:rPr>
        <w:t>5cm</w:t>
      </w:r>
    </w:p>
    <w:p w14:paraId="6A57542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2.12.3</w:t>
      </w:r>
      <w:r>
        <w:rPr>
          <w:rFonts w:hint="eastAsia" w:ascii="仿宋" w:hAnsi="仿宋" w:eastAsia="仿宋" w:cs="宋体"/>
          <w:sz w:val="28"/>
          <w:szCs w:val="28"/>
        </w:rPr>
        <w:t>林缘线内无杂草、无积水、无杂物</w:t>
      </w:r>
    </w:p>
    <w:p w14:paraId="5DD4BD0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w:t>
      </w:r>
      <w:r>
        <w:rPr>
          <w:rFonts w:hint="eastAsia" w:ascii="仿宋" w:hAnsi="仿宋" w:eastAsia="仿宋" w:cs="宋体"/>
          <w:sz w:val="28"/>
          <w:szCs w:val="28"/>
        </w:rPr>
        <w:t>山体</w:t>
      </w:r>
    </w:p>
    <w:p w14:paraId="759D5D1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2.13.1</w:t>
      </w:r>
      <w:r>
        <w:rPr>
          <w:rFonts w:hint="eastAsia" w:ascii="仿宋" w:hAnsi="仿宋" w:eastAsia="仿宋" w:cs="宋体"/>
          <w:sz w:val="28"/>
          <w:szCs w:val="28"/>
        </w:rPr>
        <w:t>道路整洁，道路及周边无生活垃圾</w:t>
      </w:r>
    </w:p>
    <w:p w14:paraId="1F1C4DB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2.13.2</w:t>
      </w:r>
      <w:r>
        <w:rPr>
          <w:rFonts w:hint="eastAsia" w:ascii="仿宋" w:hAnsi="仿宋" w:eastAsia="仿宋" w:cs="宋体"/>
          <w:sz w:val="28"/>
          <w:szCs w:val="28"/>
        </w:rPr>
        <w:t>无大量的枯枝落叶堆积</w:t>
      </w:r>
    </w:p>
    <w:p w14:paraId="3AA9D97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1.13.3</w:t>
      </w:r>
      <w:r>
        <w:rPr>
          <w:rFonts w:hint="eastAsia" w:ascii="仿宋" w:hAnsi="仿宋" w:eastAsia="仿宋" w:cs="宋体"/>
          <w:sz w:val="28"/>
          <w:szCs w:val="28"/>
        </w:rPr>
        <w:t>道路两边</w:t>
      </w:r>
      <w:r>
        <w:rPr>
          <w:rFonts w:ascii="仿宋" w:hAnsi="仿宋" w:eastAsia="仿宋" w:cs="宋体"/>
          <w:sz w:val="28"/>
          <w:szCs w:val="28"/>
        </w:rPr>
        <w:t>3</w:t>
      </w:r>
      <w:r>
        <w:rPr>
          <w:rFonts w:hint="eastAsia" w:ascii="仿宋" w:hAnsi="仿宋" w:eastAsia="仿宋" w:cs="宋体"/>
          <w:sz w:val="28"/>
          <w:szCs w:val="28"/>
        </w:rPr>
        <w:t>米内无悬挂的大型枯枝和其他悬挂物</w:t>
      </w:r>
    </w:p>
    <w:p w14:paraId="578B36D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2.13.4</w:t>
      </w:r>
      <w:r>
        <w:rPr>
          <w:rFonts w:hint="eastAsia" w:ascii="仿宋" w:hAnsi="仿宋" w:eastAsia="仿宋" w:cs="宋体"/>
          <w:sz w:val="28"/>
          <w:szCs w:val="28"/>
        </w:rPr>
        <w:t>警示牌和各种标示标牌无植物遮挡</w:t>
      </w:r>
    </w:p>
    <w:p w14:paraId="4344714B">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3 </w:t>
      </w:r>
      <w:r>
        <w:rPr>
          <w:rFonts w:hint="eastAsia" w:ascii="仿宋" w:hAnsi="仿宋" w:eastAsia="仿宋" w:cs="宋体"/>
          <w:b/>
          <w:bCs/>
          <w:sz w:val="28"/>
          <w:szCs w:val="28"/>
        </w:rPr>
        <w:t>技术措施</w:t>
      </w:r>
    </w:p>
    <w:p w14:paraId="35B6028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w:t>
      </w:r>
      <w:r>
        <w:rPr>
          <w:rFonts w:hint="eastAsia" w:ascii="仿宋" w:hAnsi="仿宋" w:eastAsia="仿宋" w:cs="宋体"/>
          <w:sz w:val="28"/>
          <w:szCs w:val="28"/>
        </w:rPr>
        <w:t>松土</w:t>
      </w:r>
    </w:p>
    <w:p w14:paraId="618FEE5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w:t>
      </w:r>
      <w:r>
        <w:rPr>
          <w:rFonts w:hint="eastAsia" w:ascii="仿宋" w:hAnsi="仿宋" w:eastAsia="仿宋" w:cs="宋体"/>
          <w:sz w:val="28"/>
          <w:szCs w:val="28"/>
        </w:rPr>
        <w:t>裸露地土壤必须保持疏松</w:t>
      </w:r>
    </w:p>
    <w:p w14:paraId="560EFFD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3.1.2</w:t>
      </w:r>
      <w:r>
        <w:rPr>
          <w:rFonts w:hint="eastAsia" w:ascii="仿宋" w:hAnsi="仿宋" w:eastAsia="仿宋" w:cs="宋体"/>
          <w:sz w:val="28"/>
          <w:szCs w:val="28"/>
        </w:rPr>
        <w:t>花境、花坛、地被植物和小型灌木丛松土须用小型锄头，避免伤害植物</w:t>
      </w:r>
    </w:p>
    <w:p w14:paraId="2AFECEE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w:t>
      </w:r>
      <w:r>
        <w:rPr>
          <w:rFonts w:hint="eastAsia" w:ascii="仿宋" w:hAnsi="仿宋" w:eastAsia="仿宋" w:cs="宋体"/>
          <w:sz w:val="28"/>
          <w:szCs w:val="28"/>
        </w:rPr>
        <w:t>灌溉后、雨后、被踩踏后必须及时松土</w:t>
      </w:r>
    </w:p>
    <w:p w14:paraId="62B1CE6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w:t>
      </w:r>
      <w:r>
        <w:rPr>
          <w:rFonts w:hint="eastAsia" w:ascii="仿宋" w:hAnsi="仿宋" w:eastAsia="仿宋" w:cs="宋体"/>
          <w:sz w:val="28"/>
          <w:szCs w:val="28"/>
        </w:rPr>
        <w:t>杂草清除</w:t>
      </w:r>
    </w:p>
    <w:p w14:paraId="5A40496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3.2.1</w:t>
      </w:r>
      <w:r>
        <w:rPr>
          <w:rFonts w:hint="eastAsia" w:ascii="仿宋" w:hAnsi="仿宋" w:eastAsia="仿宋" w:cs="宋体"/>
          <w:sz w:val="28"/>
          <w:szCs w:val="28"/>
        </w:rPr>
        <w:t>及时清除杂草，必须连根拔除或挑除</w:t>
      </w:r>
    </w:p>
    <w:p w14:paraId="3545069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3.2.2</w:t>
      </w:r>
      <w:r>
        <w:rPr>
          <w:rFonts w:hint="eastAsia" w:ascii="仿宋" w:hAnsi="仿宋" w:eastAsia="仿宋" w:cs="宋体"/>
          <w:sz w:val="28"/>
          <w:szCs w:val="28"/>
        </w:rPr>
        <w:t>作业时小心谨慎，避免伤害到植物</w:t>
      </w:r>
    </w:p>
    <w:p w14:paraId="6E2115C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3.2.3</w:t>
      </w:r>
      <w:r>
        <w:rPr>
          <w:rFonts w:hint="eastAsia" w:ascii="仿宋" w:hAnsi="仿宋" w:eastAsia="仿宋" w:cs="宋体"/>
          <w:sz w:val="28"/>
          <w:szCs w:val="28"/>
        </w:rPr>
        <w:t>有地被、花境、花坛等植物的种植区，作业时严禁坐在小凳子上操作</w:t>
      </w:r>
    </w:p>
    <w:p w14:paraId="7379A55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3.2.4</w:t>
      </w:r>
      <w:r>
        <w:rPr>
          <w:rFonts w:hint="eastAsia" w:ascii="仿宋" w:hAnsi="仿宋" w:eastAsia="仿宋" w:cs="宋体"/>
          <w:sz w:val="28"/>
          <w:szCs w:val="28"/>
        </w:rPr>
        <w:t>作业后产生的坑洼及时整平</w:t>
      </w:r>
    </w:p>
    <w:p w14:paraId="6A5302A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3.2.5</w:t>
      </w:r>
      <w:r>
        <w:rPr>
          <w:rFonts w:hint="eastAsia" w:ascii="仿宋" w:hAnsi="仿宋" w:eastAsia="仿宋" w:cs="宋体"/>
          <w:sz w:val="28"/>
          <w:szCs w:val="28"/>
        </w:rPr>
        <w:t>全园禁止使用化学除草剂</w:t>
      </w:r>
    </w:p>
    <w:p w14:paraId="7E8DADA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w:t>
      </w:r>
      <w:r>
        <w:rPr>
          <w:rFonts w:hint="eastAsia" w:ascii="仿宋" w:hAnsi="仿宋" w:eastAsia="仿宋" w:cs="宋体"/>
          <w:sz w:val="28"/>
          <w:szCs w:val="28"/>
        </w:rPr>
        <w:t>施肥</w:t>
      </w:r>
    </w:p>
    <w:p w14:paraId="35794C5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w:t>
      </w:r>
      <w:r>
        <w:rPr>
          <w:rFonts w:hint="eastAsia" w:ascii="仿宋" w:hAnsi="仿宋" w:eastAsia="仿宋" w:cs="宋体"/>
          <w:sz w:val="28"/>
          <w:szCs w:val="28"/>
        </w:rPr>
        <w:t>叶面肥</w:t>
      </w:r>
    </w:p>
    <w:p w14:paraId="0B28714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3.3.1.1</w:t>
      </w:r>
      <w:r>
        <w:rPr>
          <w:rFonts w:hint="eastAsia" w:ascii="仿宋" w:hAnsi="仿宋" w:eastAsia="仿宋" w:cs="宋体"/>
          <w:sz w:val="28"/>
          <w:szCs w:val="28"/>
        </w:rPr>
        <w:t>根据植物生长要求，每年对植物喷施</w:t>
      </w:r>
      <w:r>
        <w:rPr>
          <w:rFonts w:ascii="仿宋" w:hAnsi="仿宋" w:eastAsia="仿宋" w:cs="宋体"/>
          <w:sz w:val="28"/>
          <w:szCs w:val="28"/>
        </w:rPr>
        <w:t>2</w:t>
      </w:r>
      <w:r>
        <w:rPr>
          <w:rFonts w:hint="eastAsia" w:ascii="仿宋" w:hAnsi="仿宋" w:eastAsia="仿宋" w:cs="宋体"/>
          <w:sz w:val="28"/>
          <w:szCs w:val="28"/>
        </w:rPr>
        <w:t>次以上叶面肥</w:t>
      </w:r>
    </w:p>
    <w:p w14:paraId="1F56148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3.3.1.2</w:t>
      </w:r>
      <w:r>
        <w:rPr>
          <w:rFonts w:hint="eastAsia" w:ascii="仿宋" w:hAnsi="仿宋" w:eastAsia="仿宋" w:cs="宋体"/>
          <w:sz w:val="28"/>
          <w:szCs w:val="28"/>
        </w:rPr>
        <w:t>叶面肥以氮肥为主，合理施肥</w:t>
      </w:r>
    </w:p>
    <w:p w14:paraId="545750A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3.3.1.3</w:t>
      </w:r>
      <w:r>
        <w:rPr>
          <w:rFonts w:hint="eastAsia" w:ascii="仿宋" w:hAnsi="仿宋" w:eastAsia="仿宋" w:cs="宋体"/>
          <w:sz w:val="28"/>
          <w:szCs w:val="28"/>
        </w:rPr>
        <w:t>肥料要在水中充分溶解后进行喷施</w:t>
      </w:r>
    </w:p>
    <w:p w14:paraId="55BB8DD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3.3.1.4</w:t>
      </w:r>
      <w:r>
        <w:rPr>
          <w:rFonts w:hint="eastAsia" w:ascii="仿宋" w:hAnsi="仿宋" w:eastAsia="仿宋" w:cs="宋体"/>
          <w:sz w:val="28"/>
          <w:szCs w:val="28"/>
        </w:rPr>
        <w:t>施肥时要喷洒到位，叶面和叶背均要淋到</w:t>
      </w:r>
    </w:p>
    <w:p w14:paraId="2C4BC20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w:t>
      </w:r>
      <w:r>
        <w:rPr>
          <w:rFonts w:hint="eastAsia" w:ascii="仿宋" w:hAnsi="仿宋" w:eastAsia="仿宋" w:cs="宋体"/>
          <w:sz w:val="28"/>
          <w:szCs w:val="28"/>
        </w:rPr>
        <w:t>生长期复合肥</w:t>
      </w:r>
    </w:p>
    <w:p w14:paraId="2BFAD73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3.3.2.1</w:t>
      </w:r>
      <w:r>
        <w:rPr>
          <w:rFonts w:hint="eastAsia" w:ascii="仿宋" w:hAnsi="仿宋" w:eastAsia="仿宋" w:cs="宋体"/>
          <w:sz w:val="28"/>
          <w:szCs w:val="28"/>
        </w:rPr>
        <w:t>施肥时间在</w:t>
      </w:r>
      <w:r>
        <w:rPr>
          <w:rFonts w:ascii="仿宋" w:hAnsi="仿宋" w:eastAsia="仿宋" w:cs="宋体"/>
          <w:sz w:val="28"/>
          <w:szCs w:val="28"/>
        </w:rPr>
        <w:t>5</w:t>
      </w:r>
      <w:r>
        <w:rPr>
          <w:rFonts w:hint="eastAsia" w:ascii="仿宋" w:hAnsi="仿宋" w:eastAsia="仿宋" w:cs="宋体"/>
          <w:sz w:val="28"/>
          <w:szCs w:val="28"/>
        </w:rPr>
        <w:t>月中下旬</w:t>
      </w:r>
    </w:p>
    <w:p w14:paraId="06BDCDA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3.3.2.2</w:t>
      </w:r>
      <w:r>
        <w:rPr>
          <w:rFonts w:hint="eastAsia" w:ascii="仿宋" w:hAnsi="仿宋" w:eastAsia="仿宋" w:cs="宋体"/>
          <w:sz w:val="28"/>
          <w:szCs w:val="28"/>
        </w:rPr>
        <w:t>乔灌木施在树冠垂直投影外围，按比例挖深约</w:t>
      </w:r>
      <w:r>
        <w:rPr>
          <w:rFonts w:ascii="仿宋" w:hAnsi="仿宋" w:eastAsia="仿宋" w:cs="宋体"/>
          <w:sz w:val="28"/>
          <w:szCs w:val="28"/>
        </w:rPr>
        <w:t>20cm</w:t>
      </w:r>
      <w:r>
        <w:rPr>
          <w:rFonts w:hint="eastAsia" w:ascii="仿宋" w:hAnsi="仿宋" w:eastAsia="仿宋" w:cs="宋体"/>
          <w:sz w:val="28"/>
          <w:szCs w:val="28"/>
        </w:rPr>
        <w:t>洞把复合肥平均埋入，平均用量为</w:t>
      </w:r>
      <w:r>
        <w:rPr>
          <w:rFonts w:ascii="仿宋" w:hAnsi="仿宋" w:eastAsia="仿宋" w:cs="宋体"/>
          <w:sz w:val="28"/>
          <w:szCs w:val="28"/>
        </w:rPr>
        <w:t>0.5kg/</w:t>
      </w:r>
      <w:r>
        <w:rPr>
          <w:rFonts w:hint="eastAsia" w:ascii="仿宋" w:hAnsi="仿宋" w:eastAsia="仿宋" w:cs="宋体"/>
          <w:sz w:val="28"/>
          <w:szCs w:val="28"/>
        </w:rPr>
        <w:t>株</w:t>
      </w:r>
    </w:p>
    <w:p w14:paraId="71BBA7D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3.3.2.3</w:t>
      </w:r>
      <w:r>
        <w:rPr>
          <w:rFonts w:hint="eastAsia" w:ascii="仿宋" w:hAnsi="仿宋" w:eastAsia="仿宋" w:cs="宋体"/>
          <w:sz w:val="28"/>
          <w:szCs w:val="28"/>
        </w:rPr>
        <w:t>片植型灌木、地被、花境以撒施颗粒复合肥为主，用量为</w:t>
      </w:r>
      <w:r>
        <w:rPr>
          <w:rFonts w:ascii="仿宋" w:hAnsi="仿宋" w:eastAsia="仿宋" w:cs="宋体"/>
          <w:sz w:val="28"/>
          <w:szCs w:val="28"/>
        </w:rPr>
        <w:t>10g/ m</w:t>
      </w:r>
      <w:r>
        <w:rPr>
          <w:rFonts w:ascii="仿宋" w:hAnsi="仿宋" w:eastAsia="仿宋" w:cs="宋体"/>
          <w:sz w:val="28"/>
          <w:szCs w:val="28"/>
          <w:vertAlign w:val="superscript"/>
        </w:rPr>
        <w:t>2</w:t>
      </w:r>
      <w:r>
        <w:rPr>
          <w:rFonts w:hint="eastAsia" w:ascii="仿宋" w:hAnsi="仿宋" w:eastAsia="仿宋" w:cs="宋体"/>
          <w:sz w:val="28"/>
          <w:szCs w:val="28"/>
        </w:rPr>
        <w:t>，撒施复合肥前要确认土壤处于湿润的状态，且撒在植株的株行距间，严禁撒在植株叶片上</w:t>
      </w:r>
    </w:p>
    <w:p w14:paraId="5064FA9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3.3.2.4</w:t>
      </w:r>
      <w:r>
        <w:rPr>
          <w:rFonts w:hint="eastAsia" w:ascii="仿宋" w:hAnsi="仿宋" w:eastAsia="仿宋" w:cs="宋体"/>
          <w:sz w:val="28"/>
          <w:szCs w:val="28"/>
        </w:rPr>
        <w:t>复合肥选用</w:t>
      </w:r>
      <w:r>
        <w:rPr>
          <w:rFonts w:ascii="仿宋" w:hAnsi="仿宋" w:eastAsia="仿宋" w:cs="宋体"/>
          <w:sz w:val="28"/>
          <w:szCs w:val="28"/>
        </w:rPr>
        <w:t>40%</w:t>
      </w:r>
      <w:r>
        <w:rPr>
          <w:rFonts w:hint="eastAsia" w:ascii="仿宋" w:hAnsi="仿宋" w:eastAsia="仿宋" w:cs="宋体"/>
          <w:sz w:val="28"/>
          <w:szCs w:val="28"/>
        </w:rPr>
        <w:t>的中浓度产品</w:t>
      </w:r>
    </w:p>
    <w:p w14:paraId="2BE4D1F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w:t>
      </w:r>
      <w:r>
        <w:rPr>
          <w:rFonts w:hint="eastAsia" w:ascii="仿宋" w:hAnsi="仿宋" w:eastAsia="仿宋" w:cs="宋体"/>
          <w:sz w:val="28"/>
          <w:szCs w:val="28"/>
        </w:rPr>
        <w:t>基肥</w:t>
      </w:r>
    </w:p>
    <w:p w14:paraId="67CF33F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3.3.3.1</w:t>
      </w:r>
      <w:r>
        <w:rPr>
          <w:rFonts w:hint="eastAsia" w:ascii="仿宋" w:hAnsi="仿宋" w:eastAsia="仿宋" w:cs="宋体"/>
          <w:sz w:val="28"/>
          <w:szCs w:val="28"/>
        </w:rPr>
        <w:t>植物在冬季休眠后至冰冻前施一次基肥，基肥需用腐熟的有机肥</w:t>
      </w:r>
    </w:p>
    <w:p w14:paraId="436E994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3.3.3.2</w:t>
      </w:r>
      <w:r>
        <w:rPr>
          <w:rFonts w:hint="eastAsia" w:ascii="仿宋" w:hAnsi="仿宋" w:eastAsia="仿宋" w:cs="宋体"/>
          <w:sz w:val="28"/>
          <w:szCs w:val="28"/>
        </w:rPr>
        <w:t>乔灌木施肥范围在树冠垂直投影外围，开环状或半环状沟，深度</w:t>
      </w:r>
      <w:r>
        <w:rPr>
          <w:rFonts w:ascii="仿宋" w:hAnsi="仿宋" w:eastAsia="仿宋" w:cs="宋体"/>
          <w:sz w:val="28"/>
          <w:szCs w:val="28"/>
        </w:rPr>
        <w:t>30cm</w:t>
      </w:r>
      <w:r>
        <w:rPr>
          <w:rFonts w:hint="eastAsia" w:ascii="仿宋" w:hAnsi="仿宋" w:eastAsia="仿宋" w:cs="宋体"/>
          <w:sz w:val="28"/>
          <w:szCs w:val="28"/>
        </w:rPr>
        <w:t>，平均用量为</w:t>
      </w:r>
      <w:r>
        <w:rPr>
          <w:rFonts w:ascii="仿宋" w:hAnsi="仿宋" w:eastAsia="仿宋" w:cs="宋体"/>
          <w:sz w:val="28"/>
          <w:szCs w:val="28"/>
        </w:rPr>
        <w:t>50kg/</w:t>
      </w:r>
      <w:r>
        <w:rPr>
          <w:rFonts w:hint="eastAsia" w:ascii="仿宋" w:hAnsi="仿宋" w:eastAsia="仿宋" w:cs="宋体"/>
          <w:sz w:val="28"/>
          <w:szCs w:val="28"/>
        </w:rPr>
        <w:t>株</w:t>
      </w:r>
    </w:p>
    <w:p w14:paraId="4CFDB15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3.3.3.3</w:t>
      </w:r>
      <w:r>
        <w:rPr>
          <w:rFonts w:hint="eastAsia" w:ascii="仿宋" w:hAnsi="仿宋" w:eastAsia="仿宋" w:cs="宋体"/>
          <w:sz w:val="28"/>
          <w:szCs w:val="28"/>
        </w:rPr>
        <w:t>片植灌木、地被、花坛用量为</w:t>
      </w:r>
      <w:r>
        <w:rPr>
          <w:rFonts w:ascii="仿宋" w:hAnsi="仿宋" w:eastAsia="仿宋" w:cs="宋体"/>
          <w:sz w:val="28"/>
          <w:szCs w:val="28"/>
        </w:rPr>
        <w:t>5kg/m2</w:t>
      </w:r>
      <w:r>
        <w:rPr>
          <w:rFonts w:hint="eastAsia" w:ascii="仿宋" w:hAnsi="仿宋" w:eastAsia="仿宋" w:cs="宋体"/>
          <w:sz w:val="28"/>
          <w:szCs w:val="28"/>
        </w:rPr>
        <w:t>，有条件的区域开小型沟穴埋入，其他的可撒施表面</w:t>
      </w:r>
    </w:p>
    <w:p w14:paraId="5BAB78D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w:t>
      </w:r>
      <w:r>
        <w:rPr>
          <w:rFonts w:hint="eastAsia" w:ascii="仿宋" w:hAnsi="仿宋" w:eastAsia="仿宋" w:cs="宋体"/>
          <w:sz w:val="28"/>
          <w:szCs w:val="28"/>
        </w:rPr>
        <w:t>草坪施肥</w:t>
      </w:r>
    </w:p>
    <w:p w14:paraId="3C71935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3.3.4.1</w:t>
      </w:r>
      <w:r>
        <w:rPr>
          <w:rFonts w:hint="eastAsia" w:ascii="仿宋" w:hAnsi="仿宋" w:eastAsia="仿宋" w:cs="宋体"/>
          <w:sz w:val="28"/>
          <w:szCs w:val="28"/>
        </w:rPr>
        <w:t>暖季型草坪每年施肥</w:t>
      </w:r>
      <w:r>
        <w:rPr>
          <w:rFonts w:ascii="仿宋" w:hAnsi="仿宋" w:eastAsia="仿宋" w:cs="宋体"/>
          <w:sz w:val="28"/>
          <w:szCs w:val="28"/>
        </w:rPr>
        <w:t>3</w:t>
      </w:r>
      <w:r>
        <w:rPr>
          <w:rFonts w:hint="eastAsia" w:ascii="仿宋" w:hAnsi="仿宋" w:eastAsia="仿宋" w:cs="宋体"/>
          <w:sz w:val="28"/>
          <w:szCs w:val="28"/>
        </w:rPr>
        <w:t>次，</w:t>
      </w:r>
      <w:r>
        <w:rPr>
          <w:rFonts w:ascii="仿宋" w:hAnsi="仿宋" w:eastAsia="仿宋" w:cs="宋体"/>
          <w:sz w:val="28"/>
          <w:szCs w:val="28"/>
        </w:rPr>
        <w:t>4-5</w:t>
      </w:r>
      <w:r>
        <w:rPr>
          <w:rFonts w:hint="eastAsia" w:ascii="仿宋" w:hAnsi="仿宋" w:eastAsia="仿宋" w:cs="宋体"/>
          <w:sz w:val="28"/>
          <w:szCs w:val="28"/>
        </w:rPr>
        <w:t>月一次，</w:t>
      </w:r>
      <w:r>
        <w:rPr>
          <w:rFonts w:ascii="仿宋" w:hAnsi="仿宋" w:eastAsia="仿宋" w:cs="宋体"/>
          <w:sz w:val="28"/>
          <w:szCs w:val="28"/>
        </w:rPr>
        <w:t>6</w:t>
      </w:r>
      <w:r>
        <w:rPr>
          <w:rFonts w:hint="eastAsia" w:ascii="仿宋" w:hAnsi="仿宋" w:eastAsia="仿宋" w:cs="宋体"/>
          <w:sz w:val="28"/>
          <w:szCs w:val="28"/>
        </w:rPr>
        <w:t>月底一次，</w:t>
      </w:r>
      <w:r>
        <w:rPr>
          <w:rFonts w:ascii="仿宋" w:hAnsi="仿宋" w:eastAsia="仿宋" w:cs="宋体"/>
          <w:sz w:val="28"/>
          <w:szCs w:val="28"/>
        </w:rPr>
        <w:t>9</w:t>
      </w:r>
      <w:r>
        <w:rPr>
          <w:rFonts w:hint="eastAsia" w:ascii="仿宋" w:hAnsi="仿宋" w:eastAsia="仿宋" w:cs="宋体"/>
          <w:sz w:val="28"/>
          <w:szCs w:val="28"/>
        </w:rPr>
        <w:t>月一次，</w:t>
      </w:r>
      <w:r>
        <w:rPr>
          <w:rFonts w:ascii="仿宋" w:hAnsi="仿宋" w:eastAsia="仿宋" w:cs="宋体"/>
          <w:sz w:val="28"/>
          <w:szCs w:val="28"/>
        </w:rPr>
        <w:t>4-5</w:t>
      </w:r>
      <w:r>
        <w:rPr>
          <w:rFonts w:hint="eastAsia" w:ascii="仿宋" w:hAnsi="仿宋" w:eastAsia="仿宋" w:cs="宋体"/>
          <w:sz w:val="28"/>
          <w:szCs w:val="28"/>
        </w:rPr>
        <w:t>月使用速效氮肥，</w:t>
      </w:r>
      <w:r>
        <w:rPr>
          <w:rFonts w:ascii="仿宋" w:hAnsi="仿宋" w:eastAsia="仿宋" w:cs="宋体"/>
          <w:sz w:val="28"/>
          <w:szCs w:val="28"/>
        </w:rPr>
        <w:t>6</w:t>
      </w:r>
      <w:r>
        <w:rPr>
          <w:rFonts w:hint="eastAsia" w:ascii="仿宋" w:hAnsi="仿宋" w:eastAsia="仿宋" w:cs="宋体"/>
          <w:sz w:val="28"/>
          <w:szCs w:val="28"/>
        </w:rPr>
        <w:t>、</w:t>
      </w:r>
      <w:r>
        <w:rPr>
          <w:rFonts w:ascii="仿宋" w:hAnsi="仿宋" w:eastAsia="仿宋" w:cs="宋体"/>
          <w:sz w:val="28"/>
          <w:szCs w:val="28"/>
        </w:rPr>
        <w:t>9</w:t>
      </w:r>
      <w:r>
        <w:rPr>
          <w:rFonts w:hint="eastAsia" w:ascii="仿宋" w:hAnsi="仿宋" w:eastAsia="仿宋" w:cs="宋体"/>
          <w:sz w:val="28"/>
          <w:szCs w:val="28"/>
        </w:rPr>
        <w:t>月使用缓释氮肥，用量</w:t>
      </w:r>
      <w:r>
        <w:rPr>
          <w:rFonts w:ascii="仿宋" w:hAnsi="仿宋" w:eastAsia="仿宋" w:cs="宋体"/>
          <w:sz w:val="28"/>
          <w:szCs w:val="28"/>
        </w:rPr>
        <w:t>5</w:t>
      </w:r>
      <w:r>
        <w:rPr>
          <w:rFonts w:hint="eastAsia" w:ascii="仿宋" w:hAnsi="仿宋" w:eastAsia="仿宋" w:cs="宋体"/>
          <w:sz w:val="28"/>
          <w:szCs w:val="28"/>
        </w:rPr>
        <w:t>克</w:t>
      </w:r>
      <w:r>
        <w:rPr>
          <w:rFonts w:ascii="仿宋" w:hAnsi="仿宋" w:eastAsia="仿宋" w:cs="宋体"/>
          <w:sz w:val="28"/>
          <w:szCs w:val="28"/>
        </w:rPr>
        <w:t>/ m</w:t>
      </w:r>
      <w:r>
        <w:rPr>
          <w:rFonts w:ascii="仿宋" w:hAnsi="仿宋" w:eastAsia="仿宋" w:cs="宋体"/>
          <w:sz w:val="28"/>
          <w:szCs w:val="28"/>
          <w:vertAlign w:val="superscript"/>
        </w:rPr>
        <w:t>2</w:t>
      </w:r>
    </w:p>
    <w:p w14:paraId="51D7E29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3.3.4.2</w:t>
      </w:r>
      <w:r>
        <w:rPr>
          <w:rFonts w:hint="eastAsia" w:ascii="仿宋" w:hAnsi="仿宋" w:eastAsia="仿宋" w:cs="宋体"/>
          <w:sz w:val="28"/>
          <w:szCs w:val="28"/>
        </w:rPr>
        <w:t>冷季型草坪展叶后施</w:t>
      </w:r>
      <w:r>
        <w:rPr>
          <w:rFonts w:ascii="仿宋" w:hAnsi="仿宋" w:eastAsia="仿宋" w:cs="宋体"/>
          <w:sz w:val="28"/>
          <w:szCs w:val="28"/>
        </w:rPr>
        <w:t>2</w:t>
      </w:r>
      <w:r>
        <w:rPr>
          <w:rFonts w:hint="eastAsia" w:ascii="仿宋" w:hAnsi="仿宋" w:eastAsia="仿宋" w:cs="宋体"/>
          <w:sz w:val="28"/>
          <w:szCs w:val="28"/>
        </w:rPr>
        <w:t>次氮肥，用量</w:t>
      </w:r>
      <w:r>
        <w:rPr>
          <w:rFonts w:ascii="仿宋" w:hAnsi="仿宋" w:eastAsia="仿宋" w:cs="宋体"/>
          <w:sz w:val="28"/>
          <w:szCs w:val="28"/>
        </w:rPr>
        <w:t>5</w:t>
      </w:r>
      <w:r>
        <w:rPr>
          <w:rFonts w:hint="eastAsia" w:ascii="仿宋" w:hAnsi="仿宋" w:eastAsia="仿宋" w:cs="宋体"/>
          <w:sz w:val="28"/>
          <w:szCs w:val="28"/>
        </w:rPr>
        <w:t>克</w:t>
      </w:r>
      <w:r>
        <w:rPr>
          <w:rFonts w:ascii="仿宋" w:hAnsi="仿宋" w:eastAsia="仿宋" w:cs="宋体"/>
          <w:sz w:val="28"/>
          <w:szCs w:val="28"/>
        </w:rPr>
        <w:t>/ m</w:t>
      </w:r>
      <w:r>
        <w:rPr>
          <w:rFonts w:ascii="仿宋" w:hAnsi="仿宋" w:eastAsia="仿宋" w:cs="宋体"/>
          <w:sz w:val="28"/>
          <w:szCs w:val="28"/>
          <w:vertAlign w:val="superscript"/>
        </w:rPr>
        <w:t>2</w:t>
      </w:r>
    </w:p>
    <w:p w14:paraId="2E5F8C1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3.3.4.3</w:t>
      </w:r>
      <w:r>
        <w:rPr>
          <w:rFonts w:hint="eastAsia" w:ascii="仿宋" w:hAnsi="仿宋" w:eastAsia="仿宋" w:cs="宋体"/>
          <w:sz w:val="28"/>
          <w:szCs w:val="28"/>
        </w:rPr>
        <w:t>施肥要在清除杂草后进行，施肥前要进行割草</w:t>
      </w:r>
    </w:p>
    <w:p w14:paraId="64412D1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3.3.4.4</w:t>
      </w:r>
      <w:r>
        <w:rPr>
          <w:rFonts w:hint="eastAsia" w:ascii="仿宋" w:hAnsi="仿宋" w:eastAsia="仿宋" w:cs="宋体"/>
          <w:sz w:val="28"/>
          <w:szCs w:val="28"/>
        </w:rPr>
        <w:t>使用施肥机均匀施在草坪表面，施肥后要进行喷淋</w:t>
      </w:r>
    </w:p>
    <w:p w14:paraId="68EFE3D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3.3.4.5</w:t>
      </w:r>
      <w:r>
        <w:rPr>
          <w:rFonts w:hint="eastAsia" w:ascii="仿宋" w:hAnsi="仿宋" w:eastAsia="仿宋" w:cs="宋体"/>
          <w:sz w:val="28"/>
          <w:szCs w:val="28"/>
        </w:rPr>
        <w:t>施肥后的一周内禁止割草。</w:t>
      </w:r>
    </w:p>
    <w:p w14:paraId="5742C81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3.3.5</w:t>
      </w:r>
      <w:r>
        <w:rPr>
          <w:rFonts w:hint="eastAsia" w:ascii="仿宋" w:hAnsi="仿宋" w:eastAsia="仿宋" w:cs="宋体"/>
          <w:sz w:val="28"/>
          <w:szCs w:val="28"/>
        </w:rPr>
        <w:t>施肥宜在晴天的下午</w:t>
      </w:r>
      <w:r>
        <w:rPr>
          <w:rFonts w:ascii="仿宋" w:hAnsi="仿宋" w:eastAsia="仿宋" w:cs="宋体"/>
          <w:sz w:val="28"/>
          <w:szCs w:val="28"/>
        </w:rPr>
        <w:t>3</w:t>
      </w:r>
      <w:r>
        <w:rPr>
          <w:rFonts w:hint="eastAsia" w:ascii="仿宋" w:hAnsi="仿宋" w:eastAsia="仿宋" w:cs="宋体"/>
          <w:sz w:val="28"/>
          <w:szCs w:val="28"/>
        </w:rPr>
        <w:t>点以后或阴天进行，严禁在雨天、高温烈日下施肥</w:t>
      </w:r>
    </w:p>
    <w:p w14:paraId="46C065C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3.3.6</w:t>
      </w:r>
      <w:r>
        <w:rPr>
          <w:rFonts w:hint="eastAsia" w:ascii="仿宋" w:hAnsi="仿宋" w:eastAsia="仿宋" w:cs="宋体"/>
          <w:sz w:val="28"/>
          <w:szCs w:val="28"/>
        </w:rPr>
        <w:t>肥料由园艺科统一采购</w:t>
      </w:r>
    </w:p>
    <w:p w14:paraId="75BFC56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w:t>
      </w:r>
      <w:r>
        <w:rPr>
          <w:rFonts w:hint="eastAsia" w:ascii="仿宋" w:hAnsi="仿宋" w:eastAsia="仿宋" w:cs="宋体"/>
          <w:sz w:val="28"/>
          <w:szCs w:val="28"/>
        </w:rPr>
        <w:t>浇水和保湿</w:t>
      </w:r>
    </w:p>
    <w:p w14:paraId="57743B0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3.4.1</w:t>
      </w:r>
      <w:r>
        <w:rPr>
          <w:rFonts w:hint="eastAsia" w:ascii="仿宋" w:hAnsi="仿宋" w:eastAsia="仿宋" w:cs="宋体"/>
          <w:sz w:val="28"/>
          <w:szCs w:val="28"/>
        </w:rPr>
        <w:t>新种植物、地被、花境植物、草花和小型非片植型灌木进行浇水时必须控制水流压力，并选择管材口径在</w:t>
      </w:r>
      <w:r>
        <w:rPr>
          <w:rFonts w:ascii="仿宋" w:hAnsi="仿宋" w:eastAsia="仿宋" w:cs="宋体"/>
          <w:sz w:val="28"/>
          <w:szCs w:val="28"/>
        </w:rPr>
        <w:t>20mm—25mm</w:t>
      </w:r>
      <w:r>
        <w:rPr>
          <w:rFonts w:hint="eastAsia" w:ascii="仿宋" w:hAnsi="仿宋" w:eastAsia="仿宋" w:cs="宋体"/>
          <w:sz w:val="28"/>
          <w:szCs w:val="28"/>
        </w:rPr>
        <w:t>之间的产品</w:t>
      </w:r>
    </w:p>
    <w:p w14:paraId="3CEC8AF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3.4.2</w:t>
      </w:r>
      <w:r>
        <w:rPr>
          <w:rFonts w:hint="eastAsia" w:ascii="仿宋" w:hAnsi="仿宋" w:eastAsia="仿宋" w:cs="宋体"/>
          <w:sz w:val="28"/>
          <w:szCs w:val="28"/>
        </w:rPr>
        <w:t>浇灌大型乔木，大面积木本灌木时禁止使用直流型水枪</w:t>
      </w:r>
    </w:p>
    <w:p w14:paraId="7DE8265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3.4.3</w:t>
      </w:r>
      <w:r>
        <w:rPr>
          <w:rFonts w:hint="eastAsia" w:ascii="仿宋" w:hAnsi="仿宋" w:eastAsia="仿宋" w:cs="宋体"/>
          <w:sz w:val="28"/>
          <w:szCs w:val="28"/>
        </w:rPr>
        <w:t>禁止长时间冲淋同一地点，浇水后植株不倒伏</w:t>
      </w:r>
    </w:p>
    <w:p w14:paraId="253815D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3.4.4</w:t>
      </w:r>
      <w:r>
        <w:rPr>
          <w:rFonts w:hint="eastAsia" w:ascii="仿宋" w:hAnsi="仿宋" w:eastAsia="仿宋" w:cs="宋体"/>
          <w:sz w:val="28"/>
          <w:szCs w:val="28"/>
        </w:rPr>
        <w:t>对只需要喷雾保湿的植物，必须选择有半雾状功能的小型水枪</w:t>
      </w:r>
    </w:p>
    <w:p w14:paraId="4B6B8D7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3.4.5</w:t>
      </w:r>
      <w:r>
        <w:rPr>
          <w:rFonts w:hint="eastAsia" w:ascii="仿宋" w:hAnsi="仿宋" w:eastAsia="仿宋" w:cs="宋体"/>
          <w:sz w:val="28"/>
          <w:szCs w:val="28"/>
        </w:rPr>
        <w:t>生长季节内的植物，除雨天外，乔灌木每周至少浇</w:t>
      </w:r>
      <w:r>
        <w:rPr>
          <w:rFonts w:ascii="仿宋" w:hAnsi="仿宋" w:eastAsia="仿宋" w:cs="宋体"/>
          <w:sz w:val="28"/>
          <w:szCs w:val="28"/>
        </w:rPr>
        <w:t>1</w:t>
      </w:r>
      <w:r>
        <w:rPr>
          <w:rFonts w:hint="eastAsia" w:ascii="仿宋" w:hAnsi="仿宋" w:eastAsia="仿宋" w:cs="宋体"/>
          <w:sz w:val="28"/>
          <w:szCs w:val="28"/>
        </w:rPr>
        <w:t>次水，草本、地被、花镜、草花等浅根系植物至少每周浇</w:t>
      </w:r>
      <w:r>
        <w:rPr>
          <w:rFonts w:ascii="仿宋" w:hAnsi="仿宋" w:eastAsia="仿宋" w:cs="宋体"/>
          <w:sz w:val="28"/>
          <w:szCs w:val="28"/>
        </w:rPr>
        <w:t>3</w:t>
      </w:r>
      <w:r>
        <w:rPr>
          <w:rFonts w:hint="eastAsia" w:ascii="仿宋" w:hAnsi="仿宋" w:eastAsia="仿宋" w:cs="宋体"/>
          <w:sz w:val="28"/>
          <w:szCs w:val="28"/>
        </w:rPr>
        <w:t>次，旱季须每天早晚进行喷雾</w:t>
      </w:r>
    </w:p>
    <w:p w14:paraId="3F62BF1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3.4.6</w:t>
      </w:r>
      <w:r>
        <w:rPr>
          <w:rFonts w:hint="eastAsia" w:ascii="仿宋" w:hAnsi="仿宋" w:eastAsia="仿宋" w:cs="宋体"/>
          <w:sz w:val="28"/>
          <w:szCs w:val="28"/>
        </w:rPr>
        <w:t>无降雨的情况下，草坪每周必须浇水</w:t>
      </w:r>
      <w:r>
        <w:rPr>
          <w:rFonts w:ascii="仿宋" w:hAnsi="仿宋" w:eastAsia="仿宋" w:cs="宋体"/>
          <w:sz w:val="28"/>
          <w:szCs w:val="28"/>
        </w:rPr>
        <w:t>1</w:t>
      </w:r>
      <w:r>
        <w:rPr>
          <w:rFonts w:hint="eastAsia" w:ascii="仿宋" w:hAnsi="仿宋" w:eastAsia="仿宋" w:cs="宋体"/>
          <w:sz w:val="28"/>
          <w:szCs w:val="28"/>
        </w:rPr>
        <w:t>次</w:t>
      </w:r>
    </w:p>
    <w:p w14:paraId="3B45C76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3.4.7</w:t>
      </w:r>
      <w:r>
        <w:rPr>
          <w:rFonts w:hint="eastAsia" w:ascii="仿宋" w:hAnsi="仿宋" w:eastAsia="仿宋" w:cs="宋体"/>
          <w:sz w:val="28"/>
          <w:szCs w:val="28"/>
        </w:rPr>
        <w:t>高温季节禁止在上午</w:t>
      </w:r>
      <w:r>
        <w:rPr>
          <w:rFonts w:ascii="仿宋" w:hAnsi="仿宋" w:eastAsia="仿宋" w:cs="宋体"/>
          <w:sz w:val="28"/>
          <w:szCs w:val="28"/>
        </w:rPr>
        <w:t>9</w:t>
      </w:r>
      <w:r>
        <w:rPr>
          <w:rFonts w:hint="eastAsia" w:ascii="仿宋" w:hAnsi="仿宋" w:eastAsia="仿宋" w:cs="宋体"/>
          <w:sz w:val="28"/>
          <w:szCs w:val="28"/>
        </w:rPr>
        <w:t>点至下午</w:t>
      </w:r>
      <w:r>
        <w:rPr>
          <w:rFonts w:ascii="仿宋" w:hAnsi="仿宋" w:eastAsia="仿宋" w:cs="宋体"/>
          <w:sz w:val="28"/>
          <w:szCs w:val="28"/>
        </w:rPr>
        <w:t>4</w:t>
      </w:r>
      <w:r>
        <w:rPr>
          <w:rFonts w:hint="eastAsia" w:ascii="仿宋" w:hAnsi="仿宋" w:eastAsia="仿宋" w:cs="宋体"/>
          <w:sz w:val="28"/>
          <w:szCs w:val="28"/>
        </w:rPr>
        <w:t>点之间的时间段进行浇水</w:t>
      </w:r>
    </w:p>
    <w:p w14:paraId="5AEB5C54">
      <w:pPr>
        <w:adjustRightInd w:val="0"/>
        <w:snapToGrid w:val="0"/>
        <w:spacing w:line="360" w:lineRule="auto"/>
        <w:ind w:firstLine="560" w:firstLineChars="200"/>
        <w:jc w:val="left"/>
        <w:rPr>
          <w:rFonts w:ascii="仿宋" w:hAnsi="仿宋" w:eastAsia="仿宋" w:cs="宋体"/>
          <w:sz w:val="28"/>
          <w:szCs w:val="28"/>
        </w:rPr>
      </w:pPr>
      <w:r>
        <w:rPr>
          <w:rFonts w:ascii="仿宋" w:hAnsi="仿宋" w:eastAsia="仿宋" w:cs="宋体"/>
          <w:sz w:val="28"/>
          <w:szCs w:val="28"/>
        </w:rPr>
        <w:t>3.4.8</w:t>
      </w:r>
      <w:r>
        <w:rPr>
          <w:rFonts w:hint="eastAsia" w:ascii="仿宋" w:hAnsi="仿宋" w:eastAsia="仿宋" w:cs="宋体"/>
          <w:sz w:val="28"/>
          <w:szCs w:val="28"/>
        </w:rPr>
        <w:t>浇水后无积水现象</w:t>
      </w:r>
    </w:p>
    <w:p w14:paraId="39A5A321">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cs="宋体"/>
          <w:sz w:val="28"/>
          <w:szCs w:val="28"/>
        </w:rPr>
        <w:t>3.4.9 严禁使用消防龙头浇水</w:t>
      </w:r>
    </w:p>
    <w:p w14:paraId="6E87504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w:t>
      </w:r>
      <w:r>
        <w:rPr>
          <w:rFonts w:hint="eastAsia" w:ascii="仿宋" w:hAnsi="仿宋" w:eastAsia="仿宋" w:cs="宋体"/>
          <w:sz w:val="28"/>
          <w:szCs w:val="28"/>
        </w:rPr>
        <w:t>病虫害防治</w:t>
      </w:r>
    </w:p>
    <w:p w14:paraId="1F40190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3.5.1</w:t>
      </w:r>
      <w:r>
        <w:rPr>
          <w:rFonts w:hint="eastAsia" w:ascii="仿宋" w:hAnsi="仿宋" w:eastAsia="仿宋" w:cs="宋体"/>
          <w:sz w:val="28"/>
          <w:szCs w:val="28"/>
        </w:rPr>
        <w:t>病虫害防治要根据园艺科的植保信息进行</w:t>
      </w:r>
    </w:p>
    <w:p w14:paraId="3B555E1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3.5.2</w:t>
      </w:r>
      <w:r>
        <w:rPr>
          <w:rFonts w:hint="eastAsia" w:ascii="仿宋" w:hAnsi="仿宋" w:eastAsia="仿宋" w:cs="宋体"/>
          <w:sz w:val="28"/>
          <w:szCs w:val="28"/>
        </w:rPr>
        <w:t>严格按照园艺科的要求配置药剂种类</w:t>
      </w:r>
    </w:p>
    <w:p w14:paraId="7890F60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3.5.3</w:t>
      </w:r>
      <w:r>
        <w:rPr>
          <w:rFonts w:hint="eastAsia" w:ascii="仿宋" w:hAnsi="仿宋" w:eastAsia="仿宋" w:cs="宋体"/>
          <w:sz w:val="28"/>
          <w:szCs w:val="28"/>
        </w:rPr>
        <w:t>严格遵守药剂使用比例，配置时须使用有刻度标记的量杯</w:t>
      </w:r>
    </w:p>
    <w:p w14:paraId="5D439A1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3.5.4</w:t>
      </w:r>
      <w:r>
        <w:rPr>
          <w:rFonts w:hint="eastAsia" w:ascii="仿宋" w:hAnsi="仿宋" w:eastAsia="仿宋" w:cs="宋体"/>
          <w:sz w:val="28"/>
          <w:szCs w:val="28"/>
        </w:rPr>
        <w:t>机械喷撒理论扬程达到</w:t>
      </w:r>
      <w:r>
        <w:rPr>
          <w:rFonts w:ascii="仿宋" w:hAnsi="仿宋" w:eastAsia="仿宋" w:cs="宋体"/>
          <w:sz w:val="28"/>
          <w:szCs w:val="28"/>
        </w:rPr>
        <w:t>20m</w:t>
      </w:r>
    </w:p>
    <w:p w14:paraId="5D8AA2C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3.5.5</w:t>
      </w:r>
      <w:r>
        <w:rPr>
          <w:rFonts w:hint="eastAsia" w:ascii="仿宋" w:hAnsi="仿宋" w:eastAsia="仿宋" w:cs="宋体"/>
          <w:sz w:val="28"/>
          <w:szCs w:val="28"/>
        </w:rPr>
        <w:t>每次病虫害防治后必须提供防治记录表</w:t>
      </w:r>
    </w:p>
    <w:p w14:paraId="3434F11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w:t>
      </w:r>
      <w:r>
        <w:rPr>
          <w:rFonts w:hint="eastAsia" w:ascii="仿宋" w:hAnsi="仿宋" w:eastAsia="仿宋" w:cs="宋体"/>
          <w:sz w:val="28"/>
          <w:szCs w:val="28"/>
        </w:rPr>
        <w:t>植物调整和补充</w:t>
      </w:r>
    </w:p>
    <w:p w14:paraId="694DB17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3.6.1</w:t>
      </w:r>
      <w:r>
        <w:rPr>
          <w:rFonts w:hint="eastAsia" w:ascii="仿宋" w:hAnsi="仿宋" w:eastAsia="仿宋" w:cs="宋体"/>
          <w:sz w:val="28"/>
          <w:szCs w:val="28"/>
        </w:rPr>
        <w:t>植物调整和补充须根据园艺科要求进行</w:t>
      </w:r>
    </w:p>
    <w:p w14:paraId="151EC7F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3.6.2</w:t>
      </w:r>
      <w:r>
        <w:rPr>
          <w:rFonts w:hint="eastAsia" w:ascii="仿宋" w:hAnsi="仿宋" w:eastAsia="仿宋" w:cs="宋体"/>
          <w:sz w:val="28"/>
          <w:szCs w:val="28"/>
        </w:rPr>
        <w:t>调整和补充前须提供方案和详细的种植记录</w:t>
      </w:r>
    </w:p>
    <w:p w14:paraId="676DE65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3.6.3</w:t>
      </w:r>
      <w:r>
        <w:rPr>
          <w:rFonts w:hint="eastAsia" w:ascii="仿宋" w:hAnsi="仿宋" w:eastAsia="仿宋" w:cs="宋体"/>
          <w:sz w:val="28"/>
          <w:szCs w:val="28"/>
        </w:rPr>
        <w:t>起挖树苗的土球规格符合树木移植规定</w:t>
      </w:r>
    </w:p>
    <w:p w14:paraId="14169B1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3.6.4</w:t>
      </w:r>
      <w:r>
        <w:rPr>
          <w:rFonts w:hint="eastAsia" w:ascii="仿宋" w:hAnsi="仿宋" w:eastAsia="仿宋" w:cs="宋体"/>
          <w:sz w:val="28"/>
          <w:szCs w:val="28"/>
        </w:rPr>
        <w:t>外来苗木须备齐检疫证明</w:t>
      </w:r>
    </w:p>
    <w:p w14:paraId="60EC49EF">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w:t>
      </w:r>
      <w:r>
        <w:rPr>
          <w:rFonts w:hint="eastAsia" w:ascii="仿宋" w:hAnsi="仿宋" w:eastAsia="仿宋" w:cs="宋体"/>
          <w:sz w:val="28"/>
          <w:szCs w:val="28"/>
        </w:rPr>
        <w:t>修剪</w:t>
      </w:r>
    </w:p>
    <w:p w14:paraId="190FA35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3.7.1</w:t>
      </w:r>
      <w:r>
        <w:rPr>
          <w:rFonts w:hint="eastAsia" w:ascii="仿宋" w:hAnsi="仿宋" w:eastAsia="仿宋" w:cs="宋体"/>
          <w:sz w:val="28"/>
          <w:szCs w:val="28"/>
        </w:rPr>
        <w:t>乔木每年春季进行一次疏芽理枝，修剪后无明显大于</w:t>
      </w:r>
      <w:r>
        <w:rPr>
          <w:rFonts w:ascii="仿宋" w:hAnsi="仿宋" w:eastAsia="仿宋" w:cs="宋体"/>
          <w:sz w:val="28"/>
          <w:szCs w:val="28"/>
        </w:rPr>
        <w:t>5cm</w:t>
      </w:r>
      <w:r>
        <w:rPr>
          <w:rFonts w:hint="eastAsia" w:ascii="仿宋" w:hAnsi="仿宋" w:eastAsia="仿宋" w:cs="宋体"/>
          <w:sz w:val="28"/>
          <w:szCs w:val="28"/>
        </w:rPr>
        <w:t>的短桩留存；一级分叉上无萌蘖枝</w:t>
      </w:r>
    </w:p>
    <w:p w14:paraId="3216F5E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3.7.2</w:t>
      </w:r>
      <w:r>
        <w:rPr>
          <w:rFonts w:hint="eastAsia" w:ascii="仿宋" w:hAnsi="仿宋" w:eastAsia="仿宋" w:cs="宋体"/>
          <w:sz w:val="28"/>
          <w:szCs w:val="28"/>
        </w:rPr>
        <w:t>整形植物每年修剪</w:t>
      </w:r>
      <w:r>
        <w:rPr>
          <w:rFonts w:ascii="仿宋" w:hAnsi="仿宋" w:eastAsia="仿宋" w:cs="宋体"/>
          <w:sz w:val="28"/>
          <w:szCs w:val="28"/>
        </w:rPr>
        <w:t>4</w:t>
      </w:r>
      <w:r>
        <w:rPr>
          <w:rFonts w:hint="eastAsia" w:ascii="仿宋" w:hAnsi="仿宋" w:eastAsia="仿宋" w:cs="宋体"/>
          <w:sz w:val="28"/>
          <w:szCs w:val="28"/>
        </w:rPr>
        <w:t>次，</w:t>
      </w:r>
      <w:r>
        <w:rPr>
          <w:rFonts w:ascii="仿宋" w:hAnsi="仿宋" w:eastAsia="仿宋" w:cs="宋体"/>
          <w:sz w:val="28"/>
          <w:szCs w:val="28"/>
        </w:rPr>
        <w:t>4</w:t>
      </w:r>
      <w:r>
        <w:rPr>
          <w:rFonts w:hint="eastAsia" w:ascii="仿宋" w:hAnsi="仿宋" w:eastAsia="仿宋" w:cs="宋体"/>
          <w:sz w:val="28"/>
          <w:szCs w:val="28"/>
        </w:rPr>
        <w:t>月中旬、</w:t>
      </w:r>
      <w:r>
        <w:rPr>
          <w:rFonts w:ascii="仿宋" w:hAnsi="仿宋" w:eastAsia="仿宋" w:cs="宋体"/>
          <w:sz w:val="28"/>
          <w:szCs w:val="28"/>
        </w:rPr>
        <w:t>6</w:t>
      </w:r>
      <w:r>
        <w:rPr>
          <w:rFonts w:hint="eastAsia" w:ascii="仿宋" w:hAnsi="仿宋" w:eastAsia="仿宋" w:cs="宋体"/>
          <w:sz w:val="28"/>
          <w:szCs w:val="28"/>
        </w:rPr>
        <w:t>月中旬、</w:t>
      </w:r>
      <w:r>
        <w:rPr>
          <w:rFonts w:ascii="仿宋" w:hAnsi="仿宋" w:eastAsia="仿宋" w:cs="宋体"/>
          <w:sz w:val="28"/>
          <w:szCs w:val="28"/>
        </w:rPr>
        <w:t>9</w:t>
      </w:r>
      <w:r>
        <w:rPr>
          <w:rFonts w:hint="eastAsia" w:ascii="仿宋" w:hAnsi="仿宋" w:eastAsia="仿宋" w:cs="宋体"/>
          <w:sz w:val="28"/>
          <w:szCs w:val="28"/>
        </w:rPr>
        <w:t>月下旬，</w:t>
      </w:r>
      <w:r>
        <w:rPr>
          <w:rFonts w:ascii="仿宋" w:hAnsi="仿宋" w:eastAsia="仿宋" w:cs="宋体"/>
          <w:sz w:val="28"/>
          <w:szCs w:val="28"/>
        </w:rPr>
        <w:t>11</w:t>
      </w:r>
      <w:r>
        <w:rPr>
          <w:rFonts w:hint="eastAsia" w:ascii="仿宋" w:hAnsi="仿宋" w:eastAsia="仿宋" w:cs="宋体"/>
          <w:sz w:val="28"/>
          <w:szCs w:val="28"/>
        </w:rPr>
        <w:t>月下旬；观花植物花后修剪</w:t>
      </w:r>
    </w:p>
    <w:p w14:paraId="529654B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3.7.3</w:t>
      </w:r>
      <w:r>
        <w:rPr>
          <w:rFonts w:hint="eastAsia" w:ascii="仿宋" w:hAnsi="仿宋" w:eastAsia="仿宋" w:cs="宋体"/>
          <w:sz w:val="28"/>
          <w:szCs w:val="28"/>
        </w:rPr>
        <w:t>多次开花的草本植物随花期跟踪修剪，确保能多次开花，植株丰满健康</w:t>
      </w:r>
    </w:p>
    <w:p w14:paraId="2972694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3.7.4</w:t>
      </w:r>
      <w:r>
        <w:rPr>
          <w:rFonts w:hint="eastAsia" w:ascii="仿宋" w:hAnsi="仿宋" w:eastAsia="仿宋" w:cs="宋体"/>
          <w:sz w:val="28"/>
          <w:szCs w:val="28"/>
        </w:rPr>
        <w:t>花灌木花后必须修剪，修剪部位准确，无大量修剪掉开花枝条的现象；观果植物除外</w:t>
      </w:r>
    </w:p>
    <w:p w14:paraId="35CF320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3.7.5</w:t>
      </w:r>
      <w:r>
        <w:rPr>
          <w:rFonts w:hint="eastAsia" w:ascii="仿宋" w:hAnsi="仿宋" w:eastAsia="仿宋" w:cs="宋体"/>
          <w:sz w:val="28"/>
          <w:szCs w:val="28"/>
        </w:rPr>
        <w:t>根据园艺科要求，部分水生植物花后须进行一次整株修剪</w:t>
      </w:r>
    </w:p>
    <w:p w14:paraId="1E7B5A7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3.7.6</w:t>
      </w:r>
      <w:r>
        <w:rPr>
          <w:rFonts w:hint="eastAsia" w:ascii="仿宋" w:hAnsi="仿宋" w:eastAsia="仿宋" w:cs="宋体"/>
          <w:sz w:val="28"/>
          <w:szCs w:val="28"/>
        </w:rPr>
        <w:t>水生植物冬季修剪的留茬高度在离水面</w:t>
      </w:r>
      <w:r>
        <w:rPr>
          <w:rFonts w:ascii="仿宋" w:hAnsi="仿宋" w:eastAsia="仿宋" w:cs="宋体"/>
          <w:sz w:val="28"/>
          <w:szCs w:val="28"/>
        </w:rPr>
        <w:t>15cm</w:t>
      </w:r>
      <w:r>
        <w:rPr>
          <w:rFonts w:hint="eastAsia" w:ascii="仿宋" w:hAnsi="仿宋" w:eastAsia="仿宋" w:cs="宋体"/>
          <w:sz w:val="28"/>
          <w:szCs w:val="28"/>
        </w:rPr>
        <w:t>处</w:t>
      </w:r>
    </w:p>
    <w:p w14:paraId="2CF26A4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3.7.7</w:t>
      </w:r>
      <w:r>
        <w:rPr>
          <w:rFonts w:hint="eastAsia" w:ascii="仿宋" w:hAnsi="仿宋" w:eastAsia="仿宋" w:cs="宋体"/>
          <w:sz w:val="28"/>
          <w:szCs w:val="28"/>
        </w:rPr>
        <w:t>沉水植物的整体高度控制在水下</w:t>
      </w:r>
      <w:r>
        <w:rPr>
          <w:rFonts w:ascii="仿宋" w:hAnsi="仿宋" w:eastAsia="仿宋" w:cs="宋体"/>
          <w:sz w:val="28"/>
          <w:szCs w:val="28"/>
        </w:rPr>
        <w:t>10cm</w:t>
      </w:r>
    </w:p>
    <w:p w14:paraId="2C6BEA6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3.7.8</w:t>
      </w:r>
      <w:r>
        <w:rPr>
          <w:rFonts w:hint="eastAsia" w:ascii="仿宋" w:hAnsi="仿宋" w:eastAsia="仿宋" w:cs="宋体"/>
          <w:sz w:val="28"/>
          <w:szCs w:val="28"/>
        </w:rPr>
        <w:t>需要强修剪或回缩修剪的植物，作业前必须告知园艺科，得到允许后方可进行操作。</w:t>
      </w:r>
    </w:p>
    <w:p w14:paraId="6A4E195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3.7.9</w:t>
      </w:r>
      <w:r>
        <w:rPr>
          <w:rFonts w:hint="eastAsia" w:ascii="仿宋" w:hAnsi="仿宋" w:eastAsia="仿宋" w:cs="宋体"/>
          <w:sz w:val="28"/>
          <w:szCs w:val="28"/>
        </w:rPr>
        <w:t>根据园艺科要求，部分具冬态观赏效果的草本和水生植物的修剪随植株状态而定</w:t>
      </w:r>
    </w:p>
    <w:p w14:paraId="643C06F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3.7.10</w:t>
      </w:r>
      <w:r>
        <w:rPr>
          <w:rFonts w:hint="eastAsia" w:ascii="仿宋" w:hAnsi="仿宋" w:eastAsia="仿宋" w:cs="宋体"/>
          <w:sz w:val="28"/>
          <w:szCs w:val="28"/>
        </w:rPr>
        <w:t>根据园艺科要求，对部分植物进行更新修剪</w:t>
      </w:r>
    </w:p>
    <w:p w14:paraId="4F615E2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w:t>
      </w:r>
      <w:r>
        <w:rPr>
          <w:rFonts w:hint="eastAsia" w:ascii="仿宋" w:hAnsi="仿宋" w:eastAsia="仿宋" w:cs="宋体"/>
          <w:sz w:val="28"/>
          <w:szCs w:val="28"/>
        </w:rPr>
        <w:t>草坪修剪</w:t>
      </w:r>
    </w:p>
    <w:p w14:paraId="40DC204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3.8.1</w:t>
      </w:r>
      <w:r>
        <w:rPr>
          <w:rFonts w:hint="eastAsia" w:ascii="仿宋" w:hAnsi="仿宋" w:eastAsia="仿宋" w:cs="宋体"/>
          <w:sz w:val="28"/>
          <w:szCs w:val="28"/>
        </w:rPr>
        <w:t>割草前必须对作业环境进行清理，捡去石块、树枝和其他杂物</w:t>
      </w:r>
    </w:p>
    <w:p w14:paraId="0105CD0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3.8.2</w:t>
      </w:r>
      <w:r>
        <w:rPr>
          <w:rFonts w:hint="eastAsia" w:ascii="仿宋" w:hAnsi="仿宋" w:eastAsia="仿宋" w:cs="宋体"/>
          <w:sz w:val="28"/>
          <w:szCs w:val="28"/>
        </w:rPr>
        <w:t>剪割草坪的机械必须配置集草器</w:t>
      </w:r>
    </w:p>
    <w:p w14:paraId="5871DB8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3.8.3</w:t>
      </w:r>
      <w:r>
        <w:rPr>
          <w:rFonts w:hint="eastAsia" w:ascii="仿宋" w:hAnsi="仿宋" w:eastAsia="仿宋" w:cs="宋体"/>
          <w:sz w:val="28"/>
          <w:szCs w:val="28"/>
        </w:rPr>
        <w:t>结缕草成坪高度不低于</w:t>
      </w:r>
      <w:r>
        <w:rPr>
          <w:rFonts w:ascii="仿宋" w:hAnsi="仿宋" w:eastAsia="仿宋" w:cs="宋体"/>
          <w:sz w:val="28"/>
          <w:szCs w:val="28"/>
        </w:rPr>
        <w:t>5cm</w:t>
      </w:r>
      <w:r>
        <w:rPr>
          <w:rFonts w:hint="eastAsia" w:ascii="仿宋" w:hAnsi="仿宋" w:eastAsia="仿宋" w:cs="宋体"/>
          <w:sz w:val="28"/>
          <w:szCs w:val="28"/>
        </w:rPr>
        <w:t>，最高不超过</w:t>
      </w:r>
      <w:r>
        <w:rPr>
          <w:rFonts w:ascii="仿宋" w:hAnsi="仿宋" w:eastAsia="仿宋" w:cs="宋体"/>
          <w:sz w:val="28"/>
          <w:szCs w:val="28"/>
        </w:rPr>
        <w:t>8cm</w:t>
      </w:r>
    </w:p>
    <w:p w14:paraId="408B8D2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3.8.4</w:t>
      </w:r>
      <w:r>
        <w:rPr>
          <w:rFonts w:hint="eastAsia" w:ascii="仿宋" w:hAnsi="仿宋" w:eastAsia="仿宋" w:cs="宋体"/>
          <w:sz w:val="28"/>
          <w:szCs w:val="28"/>
        </w:rPr>
        <w:t>百慕大成坪高度不低于</w:t>
      </w:r>
      <w:r>
        <w:rPr>
          <w:rFonts w:ascii="仿宋" w:hAnsi="仿宋" w:eastAsia="仿宋" w:cs="宋体"/>
          <w:sz w:val="28"/>
          <w:szCs w:val="28"/>
        </w:rPr>
        <w:t>4cm</w:t>
      </w:r>
      <w:r>
        <w:rPr>
          <w:rFonts w:hint="eastAsia" w:ascii="仿宋" w:hAnsi="仿宋" w:eastAsia="仿宋" w:cs="宋体"/>
          <w:sz w:val="28"/>
          <w:szCs w:val="28"/>
        </w:rPr>
        <w:t>，最高不超过</w:t>
      </w:r>
      <w:r>
        <w:rPr>
          <w:rFonts w:ascii="仿宋" w:hAnsi="仿宋" w:eastAsia="仿宋" w:cs="宋体"/>
          <w:sz w:val="28"/>
          <w:szCs w:val="28"/>
        </w:rPr>
        <w:t>8cm</w:t>
      </w:r>
      <w:r>
        <w:rPr>
          <w:rFonts w:hint="eastAsia" w:ascii="仿宋" w:hAnsi="仿宋" w:eastAsia="仿宋" w:cs="宋体"/>
          <w:sz w:val="28"/>
          <w:szCs w:val="28"/>
        </w:rPr>
        <w:t>；冷季型草坪控制在</w:t>
      </w:r>
      <w:r>
        <w:rPr>
          <w:rFonts w:ascii="仿宋" w:hAnsi="仿宋" w:eastAsia="仿宋" w:cs="宋体"/>
          <w:sz w:val="28"/>
          <w:szCs w:val="28"/>
        </w:rPr>
        <w:t>6-8cm</w:t>
      </w:r>
    </w:p>
    <w:p w14:paraId="7AD5CDB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3.8.5</w:t>
      </w:r>
      <w:r>
        <w:rPr>
          <w:rFonts w:hint="eastAsia" w:ascii="仿宋" w:hAnsi="仿宋" w:eastAsia="仿宋" w:cs="宋体"/>
          <w:sz w:val="28"/>
          <w:szCs w:val="28"/>
        </w:rPr>
        <w:t>草坪边缘和硬质景观之间的距离不超过</w:t>
      </w:r>
      <w:r>
        <w:rPr>
          <w:rFonts w:ascii="仿宋" w:hAnsi="仿宋" w:eastAsia="仿宋" w:cs="宋体"/>
          <w:sz w:val="28"/>
          <w:szCs w:val="28"/>
        </w:rPr>
        <w:t>2cm</w:t>
      </w:r>
    </w:p>
    <w:p w14:paraId="297F0E1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w:t>
      </w:r>
      <w:r>
        <w:rPr>
          <w:rFonts w:hint="eastAsia" w:ascii="仿宋" w:hAnsi="仿宋" w:eastAsia="仿宋" w:cs="宋体"/>
          <w:sz w:val="28"/>
          <w:szCs w:val="28"/>
        </w:rPr>
        <w:t>花坛种植</w:t>
      </w:r>
    </w:p>
    <w:p w14:paraId="1A12A39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3.9.1</w:t>
      </w:r>
      <w:r>
        <w:rPr>
          <w:rFonts w:hint="eastAsia" w:ascii="仿宋" w:hAnsi="仿宋" w:eastAsia="仿宋" w:cs="宋体"/>
          <w:sz w:val="28"/>
          <w:szCs w:val="28"/>
        </w:rPr>
        <w:t>花坛种植必须有详细的计划方案，图案、品种、花色的清单目录等</w:t>
      </w:r>
    </w:p>
    <w:p w14:paraId="7367D83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3.9.2</w:t>
      </w:r>
      <w:r>
        <w:rPr>
          <w:rFonts w:hint="eastAsia" w:ascii="仿宋" w:hAnsi="仿宋" w:eastAsia="仿宋" w:cs="宋体"/>
          <w:sz w:val="28"/>
          <w:szCs w:val="28"/>
        </w:rPr>
        <w:t>换花前必须对种植地进行中耕翻地</w:t>
      </w:r>
    </w:p>
    <w:p w14:paraId="1C62E8D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3.9.3</w:t>
      </w:r>
      <w:r>
        <w:rPr>
          <w:rFonts w:hint="eastAsia" w:ascii="仿宋" w:hAnsi="仿宋" w:eastAsia="仿宋" w:cs="宋体"/>
          <w:sz w:val="28"/>
          <w:szCs w:val="28"/>
        </w:rPr>
        <w:t>种植前必须平整完种植地，完成图案放样</w:t>
      </w:r>
    </w:p>
    <w:p w14:paraId="455BBD5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w:t>
      </w:r>
      <w:r>
        <w:rPr>
          <w:rFonts w:hint="eastAsia" w:ascii="仿宋" w:hAnsi="仿宋" w:eastAsia="仿宋" w:cs="宋体"/>
          <w:sz w:val="28"/>
          <w:szCs w:val="28"/>
        </w:rPr>
        <w:t>支撑与绑扎</w:t>
      </w:r>
      <w:r>
        <w:rPr>
          <w:rFonts w:ascii="仿宋" w:hAnsi="仿宋" w:eastAsia="仿宋" w:cs="宋体"/>
          <w:sz w:val="28"/>
          <w:szCs w:val="28"/>
        </w:rPr>
        <w:t xml:space="preserve"> </w:t>
      </w:r>
    </w:p>
    <w:p w14:paraId="4BE4081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3.10.1</w:t>
      </w:r>
      <w:r>
        <w:rPr>
          <w:rFonts w:hint="eastAsia" w:ascii="仿宋" w:hAnsi="仿宋" w:eastAsia="仿宋" w:cs="宋体"/>
          <w:sz w:val="28"/>
          <w:szCs w:val="28"/>
        </w:rPr>
        <w:t>每年必须对支撑物进行检查更新</w:t>
      </w:r>
    </w:p>
    <w:p w14:paraId="498B55C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3.10.2</w:t>
      </w:r>
      <w:r>
        <w:rPr>
          <w:rFonts w:hint="eastAsia" w:ascii="仿宋" w:hAnsi="仿宋" w:eastAsia="仿宋" w:cs="宋体"/>
          <w:sz w:val="28"/>
          <w:szCs w:val="28"/>
        </w:rPr>
        <w:t>每年对绑扎部位进行更换，无铁丝嵌入树身的现象</w:t>
      </w:r>
    </w:p>
    <w:p w14:paraId="520DCB4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3.10.3</w:t>
      </w:r>
      <w:r>
        <w:rPr>
          <w:rFonts w:hint="eastAsia" w:ascii="仿宋" w:hAnsi="仿宋" w:eastAsia="仿宋" w:cs="宋体"/>
          <w:sz w:val="28"/>
          <w:szCs w:val="28"/>
        </w:rPr>
        <w:t>桩底部必须有地桩支撑，无外露的铁丝头</w:t>
      </w:r>
    </w:p>
    <w:p w14:paraId="37C197D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3.10.4</w:t>
      </w:r>
      <w:r>
        <w:rPr>
          <w:rFonts w:hint="eastAsia" w:ascii="仿宋" w:hAnsi="仿宋" w:eastAsia="仿宋" w:cs="宋体"/>
          <w:sz w:val="28"/>
          <w:szCs w:val="28"/>
        </w:rPr>
        <w:t>支撑物无松动现象</w:t>
      </w:r>
    </w:p>
    <w:p w14:paraId="4CD4D37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w:t>
      </w:r>
      <w:r>
        <w:rPr>
          <w:rFonts w:hint="eastAsia" w:ascii="仿宋" w:hAnsi="仿宋" w:eastAsia="仿宋" w:cs="宋体"/>
          <w:sz w:val="28"/>
          <w:szCs w:val="28"/>
        </w:rPr>
        <w:t>工完场清</w:t>
      </w:r>
    </w:p>
    <w:p w14:paraId="70757D8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3.11.1</w:t>
      </w:r>
      <w:r>
        <w:rPr>
          <w:rFonts w:hint="eastAsia" w:ascii="仿宋" w:hAnsi="仿宋" w:eastAsia="仿宋" w:cs="宋体"/>
          <w:sz w:val="28"/>
          <w:szCs w:val="28"/>
        </w:rPr>
        <w:t>养护废弃物随时清运，无留置超过</w:t>
      </w:r>
      <w:r>
        <w:rPr>
          <w:rFonts w:ascii="仿宋" w:hAnsi="仿宋" w:eastAsia="仿宋" w:cs="宋体"/>
          <w:sz w:val="28"/>
          <w:szCs w:val="28"/>
        </w:rPr>
        <w:t>2</w:t>
      </w:r>
      <w:r>
        <w:rPr>
          <w:rFonts w:hint="eastAsia" w:ascii="仿宋" w:hAnsi="仿宋" w:eastAsia="仿宋" w:cs="宋体"/>
          <w:sz w:val="28"/>
          <w:szCs w:val="28"/>
        </w:rPr>
        <w:t>小时的现象</w:t>
      </w:r>
    </w:p>
    <w:p w14:paraId="11BC50A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3.11.2</w:t>
      </w:r>
      <w:r>
        <w:rPr>
          <w:rFonts w:hint="eastAsia" w:ascii="仿宋" w:hAnsi="仿宋" w:eastAsia="仿宋" w:cs="宋体"/>
          <w:sz w:val="28"/>
          <w:szCs w:val="28"/>
        </w:rPr>
        <w:t>遇大型活动时养护产生的废弃物必须直接装车，无堆放现象</w:t>
      </w:r>
    </w:p>
    <w:p w14:paraId="41286AB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3.11.3</w:t>
      </w:r>
      <w:r>
        <w:rPr>
          <w:rFonts w:hint="eastAsia" w:ascii="仿宋" w:hAnsi="仿宋" w:eastAsia="仿宋" w:cs="宋体"/>
          <w:sz w:val="28"/>
          <w:szCs w:val="28"/>
        </w:rPr>
        <w:t>遗落在路面的废弃物及时清理，保证路面整洁</w:t>
      </w:r>
    </w:p>
    <w:p w14:paraId="485AAF6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3.12</w:t>
      </w:r>
      <w:r>
        <w:rPr>
          <w:rFonts w:hint="eastAsia" w:ascii="仿宋" w:hAnsi="仿宋" w:eastAsia="仿宋" w:cs="宋体"/>
          <w:sz w:val="28"/>
          <w:szCs w:val="28"/>
        </w:rPr>
        <w:t>养护废弃物处理</w:t>
      </w:r>
    </w:p>
    <w:p w14:paraId="2F9BB94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3.12.1</w:t>
      </w:r>
      <w:r>
        <w:rPr>
          <w:rFonts w:hint="eastAsia" w:ascii="仿宋" w:hAnsi="仿宋" w:eastAsia="仿宋" w:cs="宋体"/>
          <w:sz w:val="28"/>
          <w:szCs w:val="28"/>
        </w:rPr>
        <w:t>养护产生的废弃物根据园艺科要求分类堆放</w:t>
      </w:r>
    </w:p>
    <w:p w14:paraId="4C223C62">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3.10.2</w:t>
      </w:r>
      <w:r>
        <w:rPr>
          <w:rFonts w:hint="eastAsia" w:ascii="仿宋" w:hAnsi="仿宋" w:eastAsia="仿宋" w:cs="宋体"/>
          <w:sz w:val="28"/>
          <w:szCs w:val="28"/>
        </w:rPr>
        <w:t>废弃物堆放现场由各养护单位轮流值守，定期更换</w:t>
      </w:r>
    </w:p>
    <w:p w14:paraId="35D33C9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3.10.3</w:t>
      </w:r>
      <w:r>
        <w:rPr>
          <w:rFonts w:hint="eastAsia" w:ascii="仿宋" w:hAnsi="仿宋" w:eastAsia="仿宋" w:cs="宋体"/>
          <w:sz w:val="28"/>
          <w:szCs w:val="28"/>
        </w:rPr>
        <w:t>值守人员必须引导和协助堆放废弃物，保证废弃物堆放有序</w:t>
      </w:r>
    </w:p>
    <w:p w14:paraId="29DEF09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w:t>
      </w:r>
      <w:r>
        <w:rPr>
          <w:rFonts w:hint="eastAsia" w:ascii="仿宋" w:hAnsi="仿宋" w:eastAsia="仿宋" w:cs="宋体"/>
          <w:sz w:val="28"/>
          <w:szCs w:val="28"/>
        </w:rPr>
        <w:t>养护计划、总结与档案</w:t>
      </w:r>
    </w:p>
    <w:p w14:paraId="59706A7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3.13.1</w:t>
      </w:r>
      <w:r>
        <w:rPr>
          <w:rFonts w:hint="eastAsia" w:ascii="仿宋" w:hAnsi="仿宋" w:eastAsia="仿宋" w:cs="宋体"/>
          <w:sz w:val="28"/>
          <w:szCs w:val="28"/>
        </w:rPr>
        <w:t>养护单位做好养护台帐，</w:t>
      </w:r>
    </w:p>
    <w:p w14:paraId="3B501C8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3.13.2</w:t>
      </w:r>
      <w:r>
        <w:rPr>
          <w:rFonts w:hint="eastAsia" w:ascii="仿宋" w:hAnsi="仿宋" w:eastAsia="仿宋" w:cs="宋体"/>
          <w:sz w:val="28"/>
          <w:szCs w:val="28"/>
        </w:rPr>
        <w:t>每月初必须提交当月养护计划，月底提交计划执行报告，并提交整改方案</w:t>
      </w:r>
    </w:p>
    <w:p w14:paraId="2854A06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3.13.3</w:t>
      </w:r>
      <w:r>
        <w:rPr>
          <w:rFonts w:hint="eastAsia" w:ascii="仿宋" w:hAnsi="仿宋" w:eastAsia="仿宋" w:cs="宋体"/>
          <w:sz w:val="28"/>
          <w:szCs w:val="28"/>
        </w:rPr>
        <w:t>各类养护档案记录完整，无遗漏和错记，定期提交园艺科归档</w:t>
      </w:r>
    </w:p>
    <w:p w14:paraId="14FED017">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4 </w:t>
      </w:r>
      <w:r>
        <w:rPr>
          <w:rFonts w:hint="eastAsia" w:ascii="仿宋" w:hAnsi="仿宋" w:eastAsia="仿宋" w:cs="宋体"/>
          <w:b/>
          <w:bCs/>
          <w:sz w:val="28"/>
          <w:szCs w:val="28"/>
        </w:rPr>
        <w:t>安全生产</w:t>
      </w:r>
    </w:p>
    <w:p w14:paraId="59CD330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4.1</w:t>
      </w:r>
      <w:r>
        <w:rPr>
          <w:rFonts w:hint="eastAsia" w:ascii="仿宋" w:hAnsi="仿宋" w:eastAsia="仿宋" w:cs="宋体"/>
          <w:sz w:val="28"/>
          <w:szCs w:val="28"/>
        </w:rPr>
        <w:t>劳动防护</w:t>
      </w:r>
    </w:p>
    <w:p w14:paraId="0966130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4.1.1</w:t>
      </w:r>
      <w:r>
        <w:rPr>
          <w:rFonts w:hint="eastAsia" w:ascii="仿宋" w:hAnsi="仿宋" w:eastAsia="仿宋" w:cs="宋体"/>
          <w:sz w:val="28"/>
          <w:szCs w:val="28"/>
        </w:rPr>
        <w:t>养护作业前，劳动防护用品必须配备齐全</w:t>
      </w:r>
    </w:p>
    <w:p w14:paraId="76DD8CBC">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4.1.2</w:t>
      </w:r>
      <w:r>
        <w:rPr>
          <w:rFonts w:hint="eastAsia" w:ascii="仿宋" w:hAnsi="仿宋" w:eastAsia="仿宋" w:cs="宋体"/>
          <w:sz w:val="28"/>
          <w:szCs w:val="28"/>
        </w:rPr>
        <w:t>养护作业时，必须佩带相关的防护用具</w:t>
      </w:r>
    </w:p>
    <w:p w14:paraId="06142656">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w:t>
      </w:r>
      <w:r>
        <w:rPr>
          <w:rFonts w:hint="eastAsia" w:ascii="仿宋" w:hAnsi="仿宋" w:eastAsia="仿宋" w:cs="宋体"/>
          <w:sz w:val="28"/>
          <w:szCs w:val="28"/>
        </w:rPr>
        <w:t>机械操作</w:t>
      </w:r>
    </w:p>
    <w:p w14:paraId="7816EC71">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4.2.1</w:t>
      </w:r>
      <w:r>
        <w:rPr>
          <w:rFonts w:hint="eastAsia" w:ascii="仿宋" w:hAnsi="仿宋" w:eastAsia="仿宋" w:cs="宋体"/>
          <w:sz w:val="28"/>
          <w:szCs w:val="28"/>
        </w:rPr>
        <w:t>机械作业时必须持证上岗，规范操作</w:t>
      </w:r>
    </w:p>
    <w:p w14:paraId="15CF144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4.2.2</w:t>
      </w:r>
      <w:r>
        <w:rPr>
          <w:rFonts w:hint="eastAsia" w:ascii="仿宋" w:hAnsi="仿宋" w:eastAsia="仿宋" w:cs="宋体"/>
          <w:sz w:val="28"/>
          <w:szCs w:val="28"/>
        </w:rPr>
        <w:t>禁止无安装消音器的园林机械在园中进行作业</w:t>
      </w:r>
    </w:p>
    <w:p w14:paraId="67315B8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4.2.3</w:t>
      </w:r>
      <w:r>
        <w:rPr>
          <w:rFonts w:hint="eastAsia" w:ascii="仿宋" w:hAnsi="仿宋" w:eastAsia="仿宋" w:cs="宋体"/>
          <w:sz w:val="28"/>
          <w:szCs w:val="28"/>
        </w:rPr>
        <w:t>养护工具随身携带，统一管理，严禁随地乱放</w:t>
      </w:r>
    </w:p>
    <w:p w14:paraId="044B2FD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4.2.4</w:t>
      </w:r>
      <w:r>
        <w:rPr>
          <w:rFonts w:hint="eastAsia" w:ascii="仿宋" w:hAnsi="仿宋" w:eastAsia="仿宋" w:cs="宋体"/>
          <w:sz w:val="28"/>
          <w:szCs w:val="28"/>
        </w:rPr>
        <w:t>园区作业时，长度超过</w:t>
      </w:r>
      <w:r>
        <w:rPr>
          <w:rFonts w:ascii="仿宋" w:hAnsi="仿宋" w:eastAsia="仿宋" w:cs="宋体"/>
          <w:sz w:val="28"/>
          <w:szCs w:val="28"/>
        </w:rPr>
        <w:t>2m</w:t>
      </w:r>
      <w:r>
        <w:rPr>
          <w:rFonts w:hint="eastAsia" w:ascii="仿宋" w:hAnsi="仿宋" w:eastAsia="仿宋" w:cs="宋体"/>
          <w:sz w:val="28"/>
          <w:szCs w:val="28"/>
        </w:rPr>
        <w:t>以上的工具在不使用时必须平放在地面</w:t>
      </w:r>
    </w:p>
    <w:p w14:paraId="1F8D6F1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4.2.5</w:t>
      </w:r>
      <w:r>
        <w:rPr>
          <w:rFonts w:hint="eastAsia" w:ascii="仿宋" w:hAnsi="仿宋" w:eastAsia="仿宋" w:cs="宋体"/>
          <w:sz w:val="28"/>
          <w:szCs w:val="28"/>
        </w:rPr>
        <w:t>操作机械时必须，做好维护警示，注意周围情况，防止伤及他人，人员密集时应避开或停止操作</w:t>
      </w:r>
    </w:p>
    <w:p w14:paraId="1AAC381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4.2.6</w:t>
      </w:r>
      <w:r>
        <w:rPr>
          <w:rFonts w:hint="eastAsia" w:ascii="仿宋" w:hAnsi="仿宋" w:eastAsia="仿宋" w:cs="宋体"/>
          <w:sz w:val="28"/>
          <w:szCs w:val="28"/>
        </w:rPr>
        <w:t>机械操作时必须佩带相关的防护用具</w:t>
      </w:r>
    </w:p>
    <w:p w14:paraId="613B886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w:t>
      </w:r>
      <w:r>
        <w:rPr>
          <w:rFonts w:hint="eastAsia" w:ascii="仿宋" w:hAnsi="仿宋" w:eastAsia="仿宋" w:cs="宋体"/>
          <w:sz w:val="28"/>
          <w:szCs w:val="28"/>
        </w:rPr>
        <w:t>养护车辆管理</w:t>
      </w:r>
    </w:p>
    <w:p w14:paraId="2D8B209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4.3.1</w:t>
      </w:r>
      <w:r>
        <w:rPr>
          <w:rFonts w:hint="eastAsia" w:ascii="仿宋" w:hAnsi="仿宋" w:eastAsia="仿宋" w:cs="宋体"/>
          <w:sz w:val="28"/>
          <w:szCs w:val="28"/>
        </w:rPr>
        <w:t>养护车辆驾驶人员必须持证上岗</w:t>
      </w:r>
    </w:p>
    <w:p w14:paraId="6559250E">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4.3.2</w:t>
      </w:r>
      <w:r>
        <w:rPr>
          <w:rFonts w:hint="eastAsia" w:ascii="仿宋" w:hAnsi="仿宋" w:eastAsia="仿宋" w:cs="宋体"/>
          <w:sz w:val="28"/>
          <w:szCs w:val="28"/>
        </w:rPr>
        <w:t>禁止车辆在园内鸣笛</w:t>
      </w:r>
    </w:p>
    <w:p w14:paraId="3A3B263B">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4.3.3</w:t>
      </w:r>
      <w:r>
        <w:rPr>
          <w:rFonts w:hint="eastAsia" w:ascii="仿宋" w:hAnsi="仿宋" w:eastAsia="仿宋" w:cs="宋体"/>
          <w:sz w:val="28"/>
          <w:szCs w:val="28"/>
        </w:rPr>
        <w:t>园内车辆行驶速度小于</w:t>
      </w:r>
      <w:r>
        <w:rPr>
          <w:rFonts w:ascii="仿宋" w:hAnsi="仿宋" w:eastAsia="仿宋" w:cs="宋体"/>
          <w:sz w:val="28"/>
          <w:szCs w:val="28"/>
        </w:rPr>
        <w:t>15</w:t>
      </w:r>
      <w:r>
        <w:rPr>
          <w:rFonts w:hint="eastAsia" w:ascii="仿宋" w:hAnsi="仿宋" w:eastAsia="仿宋" w:cs="宋体"/>
          <w:sz w:val="28"/>
          <w:szCs w:val="28"/>
        </w:rPr>
        <w:t>码；</w:t>
      </w:r>
    </w:p>
    <w:p w14:paraId="6139A39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4.3.4</w:t>
      </w:r>
      <w:r>
        <w:rPr>
          <w:rFonts w:hint="eastAsia" w:ascii="仿宋" w:hAnsi="仿宋" w:eastAsia="仿宋" w:cs="宋体"/>
          <w:sz w:val="28"/>
          <w:szCs w:val="28"/>
        </w:rPr>
        <w:t>车辆行驶须避客让行，禁止车辆穿越人群，遇大量游客时必须停止行驶</w:t>
      </w:r>
    </w:p>
    <w:p w14:paraId="13D87E36">
      <w:pPr>
        <w:adjustRightInd w:val="0"/>
        <w:snapToGrid w:val="0"/>
        <w:spacing w:line="360" w:lineRule="auto"/>
        <w:ind w:firstLine="560" w:firstLineChars="200"/>
        <w:jc w:val="left"/>
        <w:rPr>
          <w:rFonts w:ascii="仿宋" w:hAnsi="仿宋" w:eastAsia="仿宋" w:cs="宋体"/>
          <w:sz w:val="28"/>
          <w:szCs w:val="28"/>
        </w:rPr>
      </w:pPr>
      <w:r>
        <w:rPr>
          <w:rFonts w:ascii="仿宋" w:hAnsi="仿宋" w:eastAsia="仿宋" w:cs="宋体"/>
          <w:sz w:val="28"/>
          <w:szCs w:val="28"/>
        </w:rPr>
        <w:t>4.3.5</w:t>
      </w:r>
      <w:r>
        <w:rPr>
          <w:rFonts w:hint="eastAsia" w:ascii="仿宋" w:hAnsi="仿宋" w:eastAsia="仿宋" w:cs="宋体"/>
          <w:sz w:val="28"/>
          <w:szCs w:val="28"/>
        </w:rPr>
        <w:t>禁止车辆驶入园区内木制面板桥</w:t>
      </w:r>
    </w:p>
    <w:p w14:paraId="415294F4">
      <w:pPr>
        <w:adjustRightInd w:val="0"/>
        <w:snapToGrid w:val="0"/>
        <w:spacing w:line="360" w:lineRule="auto"/>
        <w:ind w:firstLine="560" w:firstLineChars="200"/>
        <w:jc w:val="left"/>
        <w:rPr>
          <w:rFonts w:ascii="仿宋" w:hAnsi="仿宋" w:eastAsia="仿宋"/>
          <w:sz w:val="28"/>
          <w:szCs w:val="28"/>
        </w:rPr>
      </w:pPr>
      <w:r>
        <w:rPr>
          <w:rFonts w:hint="eastAsia" w:ascii="仿宋" w:hAnsi="仿宋" w:eastAsia="仿宋" w:cs="宋体"/>
          <w:sz w:val="28"/>
          <w:szCs w:val="28"/>
        </w:rPr>
        <w:t>4.3.6 非养护机动车辆严禁在园内行驶</w:t>
      </w:r>
    </w:p>
    <w:p w14:paraId="6CA66BA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4.4</w:t>
      </w:r>
      <w:r>
        <w:rPr>
          <w:rFonts w:hint="eastAsia" w:ascii="仿宋" w:hAnsi="仿宋" w:eastAsia="仿宋" w:cs="宋体"/>
          <w:sz w:val="28"/>
          <w:szCs w:val="28"/>
        </w:rPr>
        <w:t>高空作业</w:t>
      </w:r>
    </w:p>
    <w:p w14:paraId="1F2F4CD0">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4.4.1</w:t>
      </w:r>
      <w:r>
        <w:rPr>
          <w:rFonts w:hint="eastAsia" w:ascii="仿宋" w:hAnsi="仿宋" w:eastAsia="仿宋" w:cs="宋体"/>
          <w:sz w:val="28"/>
          <w:szCs w:val="28"/>
        </w:rPr>
        <w:t>离地面</w:t>
      </w:r>
      <w:r>
        <w:rPr>
          <w:rFonts w:ascii="仿宋" w:hAnsi="仿宋" w:eastAsia="仿宋" w:cs="宋体"/>
          <w:sz w:val="28"/>
          <w:szCs w:val="28"/>
        </w:rPr>
        <w:t>2.5m</w:t>
      </w:r>
      <w:r>
        <w:rPr>
          <w:rFonts w:hint="eastAsia" w:ascii="仿宋" w:hAnsi="仿宋" w:eastAsia="仿宋" w:cs="宋体"/>
          <w:sz w:val="28"/>
          <w:szCs w:val="28"/>
        </w:rPr>
        <w:t>以上进行作业时必须佩戴安全带和安全帽；</w:t>
      </w:r>
    </w:p>
    <w:p w14:paraId="09E8CE14">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4.4.2</w:t>
      </w:r>
      <w:r>
        <w:rPr>
          <w:rFonts w:hint="eastAsia" w:ascii="仿宋" w:hAnsi="仿宋" w:eastAsia="仿宋" w:cs="宋体"/>
          <w:sz w:val="28"/>
          <w:szCs w:val="28"/>
        </w:rPr>
        <w:t>高空作业进行时，地面必须竖立警示牌或警示围栏，并有人员在地面进行协助、疏导</w:t>
      </w:r>
    </w:p>
    <w:p w14:paraId="1FE8106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4.5</w:t>
      </w:r>
      <w:r>
        <w:rPr>
          <w:rFonts w:hint="eastAsia" w:ascii="仿宋" w:hAnsi="仿宋" w:eastAsia="仿宋" w:cs="宋体"/>
          <w:sz w:val="28"/>
          <w:szCs w:val="28"/>
        </w:rPr>
        <w:t>防台防汛</w:t>
      </w:r>
    </w:p>
    <w:p w14:paraId="40521043">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4.5.1</w:t>
      </w:r>
      <w:r>
        <w:rPr>
          <w:rFonts w:hint="eastAsia" w:ascii="仿宋" w:hAnsi="仿宋" w:eastAsia="仿宋" w:cs="宋体"/>
          <w:sz w:val="28"/>
          <w:szCs w:val="28"/>
        </w:rPr>
        <w:t>根据上海植物园防台防汛要求，备好防台抢险的必要物资</w:t>
      </w:r>
    </w:p>
    <w:p w14:paraId="00432DC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4.5.2</w:t>
      </w:r>
      <w:r>
        <w:rPr>
          <w:rFonts w:hint="eastAsia" w:ascii="仿宋" w:hAnsi="仿宋" w:eastAsia="仿宋" w:cs="宋体"/>
          <w:sz w:val="28"/>
          <w:szCs w:val="28"/>
        </w:rPr>
        <w:t>必须提供防台人员的名单和联系方式，服从上海植物园防台工作小组的统一指挥</w:t>
      </w:r>
    </w:p>
    <w:p w14:paraId="3BA92764">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5 </w:t>
      </w:r>
      <w:r>
        <w:rPr>
          <w:rFonts w:hint="eastAsia" w:ascii="仿宋" w:hAnsi="仿宋" w:eastAsia="仿宋" w:cs="宋体"/>
          <w:b/>
          <w:bCs/>
          <w:sz w:val="28"/>
          <w:szCs w:val="28"/>
        </w:rPr>
        <w:t>仪容举止</w:t>
      </w:r>
    </w:p>
    <w:p w14:paraId="06DFEFE8">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5.1</w:t>
      </w:r>
      <w:r>
        <w:rPr>
          <w:rFonts w:hint="eastAsia" w:ascii="仿宋" w:hAnsi="仿宋" w:eastAsia="仿宋" w:cs="宋体"/>
          <w:sz w:val="28"/>
          <w:szCs w:val="28"/>
        </w:rPr>
        <w:t>养护单位必须统一着装，服装上有单位标识</w:t>
      </w:r>
    </w:p>
    <w:p w14:paraId="0F218C4A">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5.2</w:t>
      </w:r>
      <w:r>
        <w:rPr>
          <w:rFonts w:hint="eastAsia" w:ascii="仿宋" w:hAnsi="仿宋" w:eastAsia="仿宋" w:cs="宋体"/>
          <w:sz w:val="28"/>
          <w:szCs w:val="28"/>
        </w:rPr>
        <w:t>禁止赤膊、穿拖鞋等不雅行为发生</w:t>
      </w:r>
    </w:p>
    <w:p w14:paraId="0B829D1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5.3</w:t>
      </w:r>
      <w:r>
        <w:rPr>
          <w:rFonts w:hint="eastAsia" w:ascii="仿宋" w:hAnsi="仿宋" w:eastAsia="仿宋" w:cs="宋体"/>
          <w:sz w:val="28"/>
          <w:szCs w:val="28"/>
        </w:rPr>
        <w:t>禁止在园内的各种桌椅上睡觉</w:t>
      </w:r>
    </w:p>
    <w:p w14:paraId="3ECDD497">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5.4</w:t>
      </w:r>
      <w:r>
        <w:rPr>
          <w:rFonts w:hint="eastAsia" w:ascii="仿宋" w:hAnsi="仿宋" w:eastAsia="仿宋" w:cs="宋体"/>
          <w:sz w:val="28"/>
          <w:szCs w:val="28"/>
        </w:rPr>
        <w:t>禁止与游客发生争执</w:t>
      </w:r>
    </w:p>
    <w:p w14:paraId="06029502">
      <w:pPr>
        <w:adjustRightInd w:val="0"/>
        <w:snapToGrid w:val="0"/>
        <w:spacing w:line="360" w:lineRule="auto"/>
        <w:ind w:firstLine="562" w:firstLineChars="200"/>
        <w:jc w:val="left"/>
        <w:rPr>
          <w:rFonts w:ascii="仿宋" w:hAnsi="仿宋" w:eastAsia="仿宋"/>
          <w:b/>
          <w:bCs/>
          <w:sz w:val="28"/>
          <w:szCs w:val="28"/>
        </w:rPr>
      </w:pPr>
      <w:r>
        <w:rPr>
          <w:rFonts w:ascii="仿宋" w:hAnsi="仿宋" w:eastAsia="仿宋"/>
          <w:b/>
          <w:bCs/>
          <w:sz w:val="28"/>
          <w:szCs w:val="28"/>
        </w:rPr>
        <w:t xml:space="preserve">6 </w:t>
      </w:r>
      <w:r>
        <w:rPr>
          <w:rFonts w:hint="eastAsia" w:ascii="仿宋" w:hAnsi="仿宋" w:eastAsia="仿宋" w:cs="宋体"/>
          <w:b/>
          <w:bCs/>
          <w:sz w:val="28"/>
          <w:szCs w:val="28"/>
        </w:rPr>
        <w:t>作息制度</w:t>
      </w:r>
    </w:p>
    <w:p w14:paraId="11D6A6D5">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6.1</w:t>
      </w:r>
      <w:r>
        <w:rPr>
          <w:rFonts w:hint="eastAsia" w:ascii="仿宋" w:hAnsi="仿宋" w:eastAsia="仿宋" w:cs="宋体"/>
          <w:sz w:val="28"/>
          <w:szCs w:val="28"/>
        </w:rPr>
        <w:t>必须有明确的作息制度</w:t>
      </w:r>
    </w:p>
    <w:p w14:paraId="1FA640DD">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6.2</w:t>
      </w:r>
      <w:r>
        <w:rPr>
          <w:rFonts w:hint="eastAsia" w:ascii="仿宋" w:hAnsi="仿宋" w:eastAsia="仿宋" w:cs="宋体"/>
          <w:sz w:val="28"/>
          <w:szCs w:val="28"/>
        </w:rPr>
        <w:t>作息制度的更改必须提前通知园艺科</w:t>
      </w:r>
    </w:p>
    <w:p w14:paraId="65ED6559">
      <w:pPr>
        <w:adjustRightInd w:val="0"/>
        <w:snapToGrid w:val="0"/>
        <w:spacing w:line="360" w:lineRule="auto"/>
        <w:ind w:firstLine="560" w:firstLineChars="200"/>
        <w:jc w:val="left"/>
        <w:rPr>
          <w:rFonts w:ascii="仿宋" w:hAnsi="仿宋" w:eastAsia="仿宋"/>
          <w:sz w:val="28"/>
          <w:szCs w:val="28"/>
        </w:rPr>
      </w:pPr>
      <w:r>
        <w:rPr>
          <w:rFonts w:ascii="仿宋" w:hAnsi="仿宋" w:eastAsia="仿宋" w:cs="宋体"/>
          <w:sz w:val="28"/>
          <w:szCs w:val="28"/>
        </w:rPr>
        <w:t>6.3</w:t>
      </w:r>
      <w:r>
        <w:rPr>
          <w:rFonts w:hint="eastAsia" w:ascii="仿宋" w:hAnsi="仿宋" w:eastAsia="仿宋" w:cs="宋体"/>
          <w:sz w:val="28"/>
          <w:szCs w:val="28"/>
        </w:rPr>
        <w:t>国定节假日期间除必要的浇水养护外不得进行大规模的、机械类的作业，浇水养护如用水泵必须在早上</w:t>
      </w:r>
      <w:r>
        <w:rPr>
          <w:rFonts w:ascii="仿宋" w:hAnsi="仿宋" w:eastAsia="仿宋" w:cs="宋体"/>
          <w:sz w:val="28"/>
          <w:szCs w:val="28"/>
        </w:rPr>
        <w:t>8</w:t>
      </w:r>
      <w:r>
        <w:rPr>
          <w:rFonts w:hint="eastAsia" w:ascii="仿宋" w:hAnsi="仿宋" w:eastAsia="仿宋" w:cs="宋体"/>
          <w:sz w:val="28"/>
          <w:szCs w:val="28"/>
        </w:rPr>
        <w:t>点前和晚上</w:t>
      </w:r>
      <w:r>
        <w:rPr>
          <w:rFonts w:ascii="仿宋" w:hAnsi="仿宋" w:eastAsia="仿宋" w:cs="宋体"/>
          <w:sz w:val="28"/>
          <w:szCs w:val="28"/>
        </w:rPr>
        <w:t>4</w:t>
      </w:r>
      <w:r>
        <w:rPr>
          <w:rFonts w:hint="eastAsia" w:ascii="仿宋" w:hAnsi="仿宋" w:eastAsia="仿宋" w:cs="宋体"/>
          <w:sz w:val="28"/>
          <w:szCs w:val="28"/>
        </w:rPr>
        <w:t>点后进行</w:t>
      </w:r>
    </w:p>
    <w:p w14:paraId="71E60FE4">
      <w:pPr>
        <w:adjustRightInd w:val="0"/>
        <w:snapToGrid w:val="0"/>
        <w:spacing w:line="360" w:lineRule="auto"/>
        <w:ind w:firstLine="560" w:firstLineChars="200"/>
        <w:jc w:val="left"/>
        <w:rPr>
          <w:rFonts w:hint="eastAsia" w:ascii="仿宋" w:hAnsi="仿宋" w:eastAsia="仿宋" w:cs="宋体"/>
          <w:sz w:val="28"/>
          <w:szCs w:val="28"/>
        </w:rPr>
      </w:pPr>
      <w:r>
        <w:rPr>
          <w:rFonts w:ascii="仿宋" w:hAnsi="仿宋" w:eastAsia="仿宋" w:cs="宋体"/>
          <w:sz w:val="28"/>
          <w:szCs w:val="28"/>
        </w:rPr>
        <w:t>6.4</w:t>
      </w:r>
      <w:r>
        <w:rPr>
          <w:rFonts w:hint="eastAsia" w:ascii="仿宋" w:hAnsi="仿宋" w:eastAsia="仿宋" w:cs="宋体"/>
          <w:sz w:val="28"/>
          <w:szCs w:val="28"/>
        </w:rPr>
        <w:t>发生临时性事件时须根据园方的要求集合或解散现场作业人员</w:t>
      </w:r>
    </w:p>
    <w:p w14:paraId="5FB1ABF4">
      <w:pPr>
        <w:adjustRightInd w:val="0"/>
        <w:snapToGrid w:val="0"/>
        <w:spacing w:line="360" w:lineRule="auto"/>
        <w:ind w:firstLine="560" w:firstLineChars="200"/>
        <w:jc w:val="left"/>
        <w:rPr>
          <w:rFonts w:hint="eastAsia" w:ascii="仿宋" w:hAnsi="仿宋" w:eastAsia="仿宋" w:cs="宋体"/>
          <w:sz w:val="28"/>
          <w:szCs w:val="28"/>
        </w:rPr>
      </w:pPr>
    </w:p>
    <w:p w14:paraId="2AC06B8B">
      <w:pPr>
        <w:adjustRightInd w:val="0"/>
        <w:snapToGrid w:val="0"/>
        <w:spacing w:line="360" w:lineRule="auto"/>
        <w:ind w:firstLine="560" w:firstLineChars="200"/>
        <w:jc w:val="left"/>
        <w:rPr>
          <w:rFonts w:hint="eastAsia" w:ascii="仿宋" w:hAnsi="仿宋" w:eastAsia="仿宋" w:cs="宋体"/>
          <w:sz w:val="28"/>
          <w:szCs w:val="28"/>
        </w:rPr>
      </w:pPr>
    </w:p>
    <w:p w14:paraId="3696ABE6">
      <w:pPr>
        <w:adjustRightInd w:val="0"/>
        <w:snapToGrid w:val="0"/>
        <w:spacing w:line="360" w:lineRule="auto"/>
        <w:ind w:firstLine="560" w:firstLineChars="200"/>
        <w:jc w:val="left"/>
        <w:rPr>
          <w:rFonts w:hint="eastAsia" w:ascii="仿宋" w:hAnsi="仿宋" w:eastAsia="仿宋" w:cs="宋体"/>
          <w:sz w:val="28"/>
          <w:szCs w:val="28"/>
        </w:rPr>
      </w:pPr>
    </w:p>
    <w:p w14:paraId="639B347E">
      <w:pPr>
        <w:adjustRightInd w:val="0"/>
        <w:snapToGrid w:val="0"/>
        <w:spacing w:line="360" w:lineRule="auto"/>
        <w:jc w:val="left"/>
        <w:rPr>
          <w:rFonts w:hint="eastAsia" w:ascii="仿宋" w:hAnsi="仿宋" w:eastAsia="仿宋" w:cs="宋体"/>
          <w:sz w:val="28"/>
          <w:szCs w:val="28"/>
        </w:rPr>
      </w:pPr>
    </w:p>
    <w:p w14:paraId="42F3E07D">
      <w:pPr>
        <w:adjustRightInd w:val="0"/>
        <w:snapToGrid w:val="0"/>
        <w:spacing w:line="360" w:lineRule="auto"/>
        <w:ind w:firstLine="562" w:firstLineChars="200"/>
        <w:jc w:val="left"/>
        <w:rPr>
          <w:rFonts w:ascii="仿宋" w:hAnsi="仿宋" w:eastAsia="仿宋"/>
          <w:b/>
          <w:bCs/>
          <w:sz w:val="28"/>
          <w:szCs w:val="28"/>
        </w:rPr>
      </w:pPr>
    </w:p>
    <w:tbl>
      <w:tblPr>
        <w:tblStyle w:val="19"/>
        <w:tblW w:w="9236" w:type="dxa"/>
        <w:tblInd w:w="108" w:type="dxa"/>
        <w:tblLayout w:type="autofit"/>
        <w:tblCellMar>
          <w:top w:w="0" w:type="dxa"/>
          <w:left w:w="108" w:type="dxa"/>
          <w:bottom w:w="0" w:type="dxa"/>
          <w:right w:w="108" w:type="dxa"/>
        </w:tblCellMar>
      </w:tblPr>
      <w:tblGrid>
        <w:gridCol w:w="3384"/>
        <w:gridCol w:w="875"/>
        <w:gridCol w:w="874"/>
        <w:gridCol w:w="1587"/>
        <w:gridCol w:w="816"/>
        <w:gridCol w:w="600"/>
        <w:gridCol w:w="82"/>
        <w:gridCol w:w="771"/>
        <w:gridCol w:w="225"/>
        <w:gridCol w:w="22"/>
      </w:tblGrid>
      <w:tr w14:paraId="0ADF6FC5">
        <w:tblPrEx>
          <w:tblCellMar>
            <w:top w:w="0" w:type="dxa"/>
            <w:left w:w="108" w:type="dxa"/>
            <w:bottom w:w="0" w:type="dxa"/>
            <w:right w:w="108" w:type="dxa"/>
          </w:tblCellMar>
        </w:tblPrEx>
        <w:trPr>
          <w:gridAfter w:val="1"/>
          <w:wAfter w:w="22" w:type="dxa"/>
          <w:trHeight w:val="660" w:hRule="atLeast"/>
        </w:trPr>
        <w:tc>
          <w:tcPr>
            <w:tcW w:w="9214" w:type="dxa"/>
            <w:gridSpan w:val="9"/>
            <w:tcBorders>
              <w:top w:val="nil"/>
              <w:left w:val="nil"/>
              <w:bottom w:val="nil"/>
              <w:right w:val="nil"/>
            </w:tcBorders>
            <w:shd w:val="clear" w:color="auto" w:fill="auto"/>
            <w:vAlign w:val="center"/>
          </w:tcPr>
          <w:p w14:paraId="051E85CD">
            <w:pPr>
              <w:widowControl/>
              <w:jc w:val="center"/>
              <w:rPr>
                <w:rFonts w:ascii="仿宋_GB2312" w:hAnsi="宋体" w:eastAsia="仿宋_GB2312" w:cs="宋体"/>
                <w:b/>
                <w:bCs/>
                <w:kern w:val="0"/>
                <w:sz w:val="32"/>
                <w:szCs w:val="32"/>
              </w:rPr>
            </w:pPr>
            <w:r>
              <w:rPr>
                <w:rFonts w:hint="eastAsia" w:ascii="仿宋_GB2312" w:hAnsi="宋体" w:eastAsia="仿宋_GB2312" w:cs="宋体"/>
                <w:b/>
                <w:bCs/>
                <w:kern w:val="0"/>
                <w:sz w:val="32"/>
                <w:szCs w:val="32"/>
              </w:rPr>
              <w:t>上海植物园专类园养护考核评分表（2022修订版）</w:t>
            </w:r>
          </w:p>
        </w:tc>
      </w:tr>
      <w:tr w14:paraId="50058C2F">
        <w:tblPrEx>
          <w:tblCellMar>
            <w:top w:w="0" w:type="dxa"/>
            <w:left w:w="108" w:type="dxa"/>
            <w:bottom w:w="0" w:type="dxa"/>
            <w:right w:w="108" w:type="dxa"/>
          </w:tblCellMar>
        </w:tblPrEx>
        <w:trPr>
          <w:gridAfter w:val="1"/>
          <w:wAfter w:w="22" w:type="dxa"/>
          <w:trHeight w:val="375" w:hRule="atLeast"/>
        </w:trPr>
        <w:tc>
          <w:tcPr>
            <w:tcW w:w="3500" w:type="dxa"/>
            <w:tcBorders>
              <w:top w:val="nil"/>
              <w:left w:val="nil"/>
              <w:bottom w:val="single" w:color="auto" w:sz="4" w:space="0"/>
              <w:right w:val="nil"/>
            </w:tcBorders>
            <w:shd w:val="clear" w:color="auto" w:fill="auto"/>
            <w:vAlign w:val="center"/>
          </w:tcPr>
          <w:p w14:paraId="524C89CA">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考核区域：</w:t>
            </w:r>
            <w:r>
              <w:rPr>
                <w:rFonts w:ascii="仿宋_GB2312" w:hAnsi="宋体" w:eastAsia="仿宋_GB2312" w:cs="宋体"/>
                <w:b/>
                <w:bCs/>
                <w:kern w:val="0"/>
                <w:sz w:val="18"/>
                <w:szCs w:val="18"/>
              </w:rPr>
              <w:t xml:space="preserve">                             </w:t>
            </w:r>
          </w:p>
        </w:tc>
        <w:tc>
          <w:tcPr>
            <w:tcW w:w="1800" w:type="dxa"/>
            <w:gridSpan w:val="2"/>
            <w:tcBorders>
              <w:top w:val="nil"/>
              <w:left w:val="nil"/>
              <w:bottom w:val="single" w:color="auto" w:sz="4" w:space="0"/>
              <w:right w:val="nil"/>
            </w:tcBorders>
            <w:shd w:val="clear" w:color="auto" w:fill="auto"/>
            <w:vAlign w:val="center"/>
          </w:tcPr>
          <w:p w14:paraId="2AFA9D16">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考核日期：</w:t>
            </w:r>
          </w:p>
        </w:tc>
        <w:tc>
          <w:tcPr>
            <w:tcW w:w="1646" w:type="dxa"/>
            <w:tcBorders>
              <w:top w:val="nil"/>
              <w:left w:val="nil"/>
              <w:bottom w:val="single" w:color="auto" w:sz="4" w:space="0"/>
              <w:right w:val="nil"/>
            </w:tcBorders>
            <w:shd w:val="clear" w:color="auto" w:fill="auto"/>
            <w:vAlign w:val="center"/>
          </w:tcPr>
          <w:p w14:paraId="5D24B7A9">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2268" w:type="dxa"/>
            <w:gridSpan w:val="5"/>
            <w:tcBorders>
              <w:top w:val="nil"/>
              <w:left w:val="nil"/>
              <w:bottom w:val="single" w:color="auto" w:sz="4" w:space="0"/>
              <w:right w:val="nil"/>
            </w:tcBorders>
            <w:shd w:val="clear" w:color="auto" w:fill="auto"/>
            <w:vAlign w:val="center"/>
          </w:tcPr>
          <w:p w14:paraId="5B1DAF86">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考核人</w:t>
            </w:r>
            <w:r>
              <w:rPr>
                <w:rFonts w:ascii="仿宋_GB2312" w:hAnsi="宋体" w:eastAsia="仿宋_GB2312" w:cs="宋体"/>
                <w:b/>
                <w:bCs/>
                <w:kern w:val="0"/>
                <w:sz w:val="18"/>
                <w:szCs w:val="18"/>
              </w:rPr>
              <w:t>:</w:t>
            </w:r>
          </w:p>
        </w:tc>
      </w:tr>
      <w:tr w14:paraId="3B13BEA3">
        <w:tblPrEx>
          <w:tblCellMar>
            <w:top w:w="0" w:type="dxa"/>
            <w:left w:w="108" w:type="dxa"/>
            <w:bottom w:w="0" w:type="dxa"/>
            <w:right w:w="108" w:type="dxa"/>
          </w:tblCellMar>
        </w:tblPrEx>
        <w:trPr>
          <w:gridAfter w:val="1"/>
          <w:wAfter w:w="22" w:type="dxa"/>
          <w:trHeight w:val="285" w:hRule="atLeast"/>
        </w:trPr>
        <w:tc>
          <w:tcPr>
            <w:tcW w:w="6946" w:type="dxa"/>
            <w:gridSpan w:val="4"/>
            <w:tcBorders>
              <w:top w:val="single" w:color="auto" w:sz="4" w:space="0"/>
              <w:left w:val="single" w:color="auto" w:sz="4" w:space="0"/>
              <w:bottom w:val="nil"/>
              <w:right w:val="nil"/>
            </w:tcBorders>
            <w:shd w:val="clear" w:color="auto" w:fill="auto"/>
            <w:vAlign w:val="center"/>
          </w:tcPr>
          <w:p w14:paraId="4B7237CD">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考核项目</w:t>
            </w:r>
          </w:p>
        </w:tc>
        <w:tc>
          <w:tcPr>
            <w:tcW w:w="734" w:type="dxa"/>
            <w:tcBorders>
              <w:top w:val="nil"/>
              <w:left w:val="single" w:color="auto" w:sz="4" w:space="0"/>
              <w:bottom w:val="single" w:color="auto" w:sz="4" w:space="0"/>
              <w:right w:val="single" w:color="auto" w:sz="4" w:space="0"/>
            </w:tcBorders>
            <w:shd w:val="clear" w:color="auto" w:fill="auto"/>
            <w:vAlign w:val="center"/>
          </w:tcPr>
          <w:p w14:paraId="7F09CEC8">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满分</w:t>
            </w:r>
            <w:r>
              <w:rPr>
                <w:rFonts w:ascii="仿宋_GB2312" w:hAnsi="宋体" w:eastAsia="仿宋_GB2312" w:cs="宋体"/>
                <w:b/>
                <w:bCs/>
                <w:kern w:val="0"/>
                <w:sz w:val="18"/>
                <w:szCs w:val="18"/>
              </w:rPr>
              <w:t xml:space="preserve"> </w:t>
            </w:r>
          </w:p>
        </w:tc>
        <w:tc>
          <w:tcPr>
            <w:tcW w:w="684" w:type="dxa"/>
            <w:gridSpan w:val="2"/>
            <w:tcBorders>
              <w:top w:val="nil"/>
              <w:left w:val="nil"/>
              <w:bottom w:val="single" w:color="auto" w:sz="4" w:space="0"/>
              <w:right w:val="single" w:color="auto" w:sz="4" w:space="0"/>
            </w:tcBorders>
            <w:shd w:val="clear" w:color="auto" w:fill="auto"/>
            <w:vAlign w:val="center"/>
          </w:tcPr>
          <w:p w14:paraId="7C7C0F26">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扣分</w:t>
            </w:r>
          </w:p>
        </w:tc>
        <w:tc>
          <w:tcPr>
            <w:tcW w:w="850" w:type="dxa"/>
            <w:gridSpan w:val="2"/>
            <w:tcBorders>
              <w:top w:val="nil"/>
              <w:left w:val="nil"/>
              <w:bottom w:val="single" w:color="auto" w:sz="4" w:space="0"/>
              <w:right w:val="single" w:color="auto" w:sz="4" w:space="0"/>
            </w:tcBorders>
            <w:shd w:val="clear" w:color="auto" w:fill="auto"/>
            <w:vAlign w:val="center"/>
          </w:tcPr>
          <w:p w14:paraId="6788C3AE">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说明</w:t>
            </w:r>
          </w:p>
        </w:tc>
      </w:tr>
      <w:tr w14:paraId="7CBA2D6B">
        <w:tblPrEx>
          <w:tblCellMar>
            <w:top w:w="0" w:type="dxa"/>
            <w:left w:w="108" w:type="dxa"/>
            <w:bottom w:w="0" w:type="dxa"/>
            <w:right w:w="108" w:type="dxa"/>
          </w:tblCellMar>
        </w:tblPrEx>
        <w:trPr>
          <w:gridAfter w:val="1"/>
          <w:wAfter w:w="22" w:type="dxa"/>
          <w:trHeight w:val="375"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2A08C223">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1.技术措施（总计15分）</w:t>
            </w:r>
          </w:p>
        </w:tc>
      </w:tr>
      <w:tr w14:paraId="6EDE13D9">
        <w:tblPrEx>
          <w:tblCellMar>
            <w:top w:w="0" w:type="dxa"/>
            <w:left w:w="108" w:type="dxa"/>
            <w:bottom w:w="0" w:type="dxa"/>
            <w:right w:w="108" w:type="dxa"/>
          </w:tblCellMar>
        </w:tblPrEx>
        <w:trPr>
          <w:gridAfter w:val="1"/>
          <w:wAfter w:w="22" w:type="dxa"/>
          <w:trHeight w:val="58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29E0521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1.1每月制定养护工作计划，每月25日以书面形式上报；（3分。迟报一天扣1分，节假日和特殊原因除外。不提交养护计划，当月考核不合格）</w:t>
            </w:r>
          </w:p>
        </w:tc>
        <w:tc>
          <w:tcPr>
            <w:tcW w:w="734" w:type="dxa"/>
            <w:vMerge w:val="restart"/>
            <w:tcBorders>
              <w:top w:val="nil"/>
              <w:left w:val="single" w:color="auto" w:sz="4" w:space="0"/>
              <w:bottom w:val="single" w:color="000000" w:sz="4" w:space="0"/>
              <w:right w:val="single" w:color="auto" w:sz="4" w:space="0"/>
            </w:tcBorders>
            <w:shd w:val="clear" w:color="auto" w:fill="auto"/>
            <w:vAlign w:val="center"/>
          </w:tcPr>
          <w:p w14:paraId="761F0507">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684" w:type="dxa"/>
            <w:gridSpan w:val="2"/>
            <w:tcBorders>
              <w:top w:val="nil"/>
              <w:left w:val="nil"/>
              <w:bottom w:val="single" w:color="auto" w:sz="4" w:space="0"/>
              <w:right w:val="single" w:color="auto" w:sz="4" w:space="0"/>
            </w:tcBorders>
            <w:shd w:val="clear" w:color="auto" w:fill="auto"/>
            <w:vAlign w:val="center"/>
          </w:tcPr>
          <w:p w14:paraId="6E19B19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2FD7DEF3">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该部分将对照日常养护工作执行情况评定</w:t>
            </w:r>
          </w:p>
        </w:tc>
      </w:tr>
      <w:tr w14:paraId="1697CD0E">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6B121B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1.2按照提交的养护月计划实施养护工作；（2分。未按照计划进行的工作，每一项扣1分，扣完为止）</w:t>
            </w:r>
          </w:p>
        </w:tc>
        <w:tc>
          <w:tcPr>
            <w:tcW w:w="734" w:type="dxa"/>
            <w:vMerge w:val="continue"/>
            <w:tcBorders>
              <w:top w:val="nil"/>
              <w:left w:val="single" w:color="auto" w:sz="4" w:space="0"/>
              <w:bottom w:val="single" w:color="000000" w:sz="4" w:space="0"/>
              <w:right w:val="single" w:color="auto" w:sz="4" w:space="0"/>
            </w:tcBorders>
            <w:vAlign w:val="center"/>
          </w:tcPr>
          <w:p w14:paraId="07C5AFC2">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B513AA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F35E090">
            <w:pPr>
              <w:widowControl/>
              <w:jc w:val="left"/>
              <w:rPr>
                <w:rFonts w:ascii="仿宋_GB2312" w:hAnsi="宋体" w:eastAsia="仿宋_GB2312" w:cs="宋体"/>
                <w:kern w:val="0"/>
                <w:sz w:val="18"/>
                <w:szCs w:val="18"/>
              </w:rPr>
            </w:pPr>
          </w:p>
        </w:tc>
      </w:tr>
      <w:tr w14:paraId="1519AA6C">
        <w:tblPrEx>
          <w:tblCellMar>
            <w:top w:w="0" w:type="dxa"/>
            <w:left w:w="108" w:type="dxa"/>
            <w:bottom w:w="0" w:type="dxa"/>
            <w:right w:w="108" w:type="dxa"/>
          </w:tblCellMar>
        </w:tblPrEx>
        <w:trPr>
          <w:gridAfter w:val="1"/>
          <w:wAfter w:w="22" w:type="dxa"/>
          <w:trHeight w:val="42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01E574C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1.3按时完成养护月计划任务；（2分。未完成一项扣1分，扣完为止）</w:t>
            </w:r>
          </w:p>
        </w:tc>
        <w:tc>
          <w:tcPr>
            <w:tcW w:w="734" w:type="dxa"/>
            <w:vMerge w:val="continue"/>
            <w:tcBorders>
              <w:top w:val="nil"/>
              <w:left w:val="single" w:color="auto" w:sz="4" w:space="0"/>
              <w:bottom w:val="single" w:color="000000" w:sz="4" w:space="0"/>
              <w:right w:val="single" w:color="auto" w:sz="4" w:space="0"/>
            </w:tcBorders>
            <w:vAlign w:val="center"/>
          </w:tcPr>
          <w:p w14:paraId="445CD9ED">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1CEF586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07A4B31">
            <w:pPr>
              <w:widowControl/>
              <w:jc w:val="left"/>
              <w:rPr>
                <w:rFonts w:ascii="仿宋_GB2312" w:hAnsi="宋体" w:eastAsia="仿宋_GB2312" w:cs="宋体"/>
                <w:kern w:val="0"/>
                <w:sz w:val="18"/>
                <w:szCs w:val="18"/>
              </w:rPr>
            </w:pPr>
          </w:p>
        </w:tc>
      </w:tr>
      <w:tr w14:paraId="0CC3279F">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23F25CCB">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1.4对突发任务能进行合理的安排，积极配合，按时完成；（2分。不配合，不作为，未能按时完成每次扣1分）</w:t>
            </w:r>
          </w:p>
        </w:tc>
        <w:tc>
          <w:tcPr>
            <w:tcW w:w="734" w:type="dxa"/>
            <w:vMerge w:val="continue"/>
            <w:tcBorders>
              <w:top w:val="nil"/>
              <w:left w:val="single" w:color="auto" w:sz="4" w:space="0"/>
              <w:bottom w:val="single" w:color="000000" w:sz="4" w:space="0"/>
              <w:right w:val="single" w:color="auto" w:sz="4" w:space="0"/>
            </w:tcBorders>
            <w:vAlign w:val="center"/>
          </w:tcPr>
          <w:p w14:paraId="3FA3410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6997CD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8C33C84">
            <w:pPr>
              <w:widowControl/>
              <w:jc w:val="left"/>
              <w:rPr>
                <w:rFonts w:ascii="仿宋_GB2312" w:hAnsi="宋体" w:eastAsia="仿宋_GB2312" w:cs="宋体"/>
                <w:kern w:val="0"/>
                <w:sz w:val="18"/>
                <w:szCs w:val="18"/>
              </w:rPr>
            </w:pPr>
          </w:p>
        </w:tc>
      </w:tr>
      <w:tr w14:paraId="6878468E">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6708A76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1.5发现问题能妥善解决，不能解决的及时上报；</w:t>
            </w:r>
            <w:r>
              <w:rPr>
                <w:rFonts w:hint="eastAsia" w:ascii="仿宋_GB2312" w:hAnsi="宋体" w:eastAsia="仿宋_GB2312" w:cs="宋体"/>
                <w:kern w:val="0"/>
                <w:sz w:val="18"/>
                <w:szCs w:val="18"/>
              </w:rPr>
              <w:t>（未报每次扣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70B3FA7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CD0E21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16B8648">
            <w:pPr>
              <w:widowControl/>
              <w:jc w:val="left"/>
              <w:rPr>
                <w:rFonts w:ascii="仿宋_GB2312" w:hAnsi="宋体" w:eastAsia="仿宋_GB2312" w:cs="宋体"/>
                <w:kern w:val="0"/>
                <w:sz w:val="18"/>
                <w:szCs w:val="18"/>
              </w:rPr>
            </w:pPr>
          </w:p>
        </w:tc>
      </w:tr>
      <w:tr w14:paraId="44394D84">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7BF2E0C0">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1.6按照上月整改单的要求及时进行整改；（5分，未完成一项扣1分）</w:t>
            </w:r>
          </w:p>
        </w:tc>
        <w:tc>
          <w:tcPr>
            <w:tcW w:w="734" w:type="dxa"/>
            <w:vMerge w:val="continue"/>
            <w:tcBorders>
              <w:top w:val="nil"/>
              <w:left w:val="single" w:color="auto" w:sz="4" w:space="0"/>
              <w:bottom w:val="single" w:color="000000" w:sz="4" w:space="0"/>
              <w:right w:val="single" w:color="auto" w:sz="4" w:space="0"/>
            </w:tcBorders>
            <w:vAlign w:val="center"/>
          </w:tcPr>
          <w:p w14:paraId="6538198C">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10394A9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7B2E9C79">
            <w:pPr>
              <w:widowControl/>
              <w:jc w:val="left"/>
              <w:rPr>
                <w:rFonts w:ascii="仿宋_GB2312" w:hAnsi="宋体" w:eastAsia="仿宋_GB2312" w:cs="宋体"/>
                <w:kern w:val="0"/>
                <w:sz w:val="18"/>
                <w:szCs w:val="18"/>
              </w:rPr>
            </w:pPr>
          </w:p>
        </w:tc>
      </w:tr>
      <w:tr w14:paraId="0C7BEFDC">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D03092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1.7准确详实记录</w:t>
            </w:r>
            <w:r>
              <w:rPr>
                <w:rFonts w:hint="eastAsia" w:ascii="仿宋_GB2312" w:hAnsi="宋体" w:eastAsia="仿宋_GB2312" w:cs="宋体"/>
                <w:kern w:val="0"/>
                <w:sz w:val="18"/>
                <w:szCs w:val="18"/>
              </w:rPr>
              <w:t>养护台账，并于次月</w:t>
            </w:r>
            <w:r>
              <w:rPr>
                <w:rFonts w:ascii="仿宋_GB2312" w:hAnsi="宋体" w:eastAsia="仿宋_GB2312" w:cs="宋体"/>
                <w:kern w:val="0"/>
                <w:sz w:val="18"/>
                <w:szCs w:val="18"/>
              </w:rPr>
              <w:t>5日前交专类园主管。迟交一天扣1分，节假日和特殊原因除外。（3分）</w:t>
            </w:r>
          </w:p>
        </w:tc>
        <w:tc>
          <w:tcPr>
            <w:tcW w:w="734" w:type="dxa"/>
            <w:vMerge w:val="continue"/>
            <w:tcBorders>
              <w:top w:val="nil"/>
              <w:left w:val="single" w:color="auto" w:sz="4" w:space="0"/>
              <w:bottom w:val="single" w:color="000000" w:sz="4" w:space="0"/>
              <w:right w:val="single" w:color="auto" w:sz="4" w:space="0"/>
            </w:tcBorders>
            <w:vAlign w:val="center"/>
          </w:tcPr>
          <w:p w14:paraId="5A94A858">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5D2AF6D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0FE60663">
            <w:pPr>
              <w:widowControl/>
              <w:jc w:val="left"/>
              <w:rPr>
                <w:rFonts w:ascii="仿宋_GB2312" w:hAnsi="宋体" w:eastAsia="仿宋_GB2312" w:cs="宋体"/>
                <w:kern w:val="0"/>
                <w:sz w:val="18"/>
                <w:szCs w:val="18"/>
              </w:rPr>
            </w:pPr>
          </w:p>
        </w:tc>
      </w:tr>
      <w:tr w14:paraId="55E0DD1C">
        <w:tblPrEx>
          <w:tblCellMar>
            <w:top w:w="0" w:type="dxa"/>
            <w:left w:w="108" w:type="dxa"/>
            <w:bottom w:w="0" w:type="dxa"/>
            <w:right w:w="108" w:type="dxa"/>
          </w:tblCellMar>
        </w:tblPrEx>
        <w:trPr>
          <w:gridAfter w:val="1"/>
          <w:wAfter w:w="22" w:type="dxa"/>
          <w:trHeight w:val="31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D28E3A2">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小计</w:t>
            </w:r>
          </w:p>
        </w:tc>
        <w:tc>
          <w:tcPr>
            <w:tcW w:w="1418" w:type="dxa"/>
            <w:gridSpan w:val="3"/>
            <w:tcBorders>
              <w:top w:val="single" w:color="auto" w:sz="4" w:space="0"/>
              <w:left w:val="nil"/>
              <w:bottom w:val="single" w:color="auto" w:sz="4" w:space="0"/>
              <w:right w:val="nil"/>
            </w:tcBorders>
            <w:shd w:val="clear" w:color="auto" w:fill="auto"/>
            <w:vAlign w:val="center"/>
          </w:tcPr>
          <w:p w14:paraId="7A094E2E">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single" w:color="auto" w:sz="4" w:space="0"/>
              <w:bottom w:val="single" w:color="auto" w:sz="4" w:space="0"/>
              <w:right w:val="single" w:color="auto" w:sz="4" w:space="0"/>
            </w:tcBorders>
            <w:shd w:val="clear" w:color="auto" w:fill="auto"/>
            <w:vAlign w:val="center"/>
          </w:tcPr>
          <w:p w14:paraId="7373218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D9AA680">
        <w:tblPrEx>
          <w:tblCellMar>
            <w:top w:w="0" w:type="dxa"/>
            <w:left w:w="108" w:type="dxa"/>
            <w:bottom w:w="0" w:type="dxa"/>
            <w:right w:w="108" w:type="dxa"/>
          </w:tblCellMar>
        </w:tblPrEx>
        <w:trPr>
          <w:gridAfter w:val="1"/>
          <w:wAfter w:w="22" w:type="dxa"/>
          <w:trHeight w:val="315" w:hRule="atLeast"/>
        </w:trPr>
        <w:tc>
          <w:tcPr>
            <w:tcW w:w="3500" w:type="dxa"/>
            <w:tcBorders>
              <w:top w:val="nil"/>
              <w:left w:val="single" w:color="auto" w:sz="4" w:space="0"/>
              <w:bottom w:val="single" w:color="auto" w:sz="4" w:space="0"/>
              <w:right w:val="nil"/>
            </w:tcBorders>
            <w:shd w:val="clear" w:color="auto" w:fill="auto"/>
            <w:vAlign w:val="center"/>
          </w:tcPr>
          <w:p w14:paraId="341EEBC4">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2.养护质量（总计70分）</w:t>
            </w:r>
          </w:p>
        </w:tc>
        <w:tc>
          <w:tcPr>
            <w:tcW w:w="900" w:type="dxa"/>
            <w:tcBorders>
              <w:top w:val="nil"/>
              <w:left w:val="nil"/>
              <w:bottom w:val="single" w:color="auto" w:sz="4" w:space="0"/>
              <w:right w:val="nil"/>
            </w:tcBorders>
            <w:shd w:val="clear" w:color="auto" w:fill="auto"/>
            <w:vAlign w:val="center"/>
          </w:tcPr>
          <w:p w14:paraId="52B6230B">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900" w:type="dxa"/>
            <w:tcBorders>
              <w:top w:val="nil"/>
              <w:left w:val="nil"/>
              <w:bottom w:val="single" w:color="auto" w:sz="4" w:space="0"/>
              <w:right w:val="nil"/>
            </w:tcBorders>
            <w:shd w:val="clear" w:color="auto" w:fill="auto"/>
            <w:vAlign w:val="center"/>
          </w:tcPr>
          <w:p w14:paraId="5E4B60AB">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1646" w:type="dxa"/>
            <w:tcBorders>
              <w:top w:val="nil"/>
              <w:left w:val="nil"/>
              <w:bottom w:val="single" w:color="auto" w:sz="4" w:space="0"/>
              <w:right w:val="nil"/>
            </w:tcBorders>
            <w:shd w:val="clear" w:color="auto" w:fill="auto"/>
            <w:vAlign w:val="center"/>
          </w:tcPr>
          <w:p w14:paraId="7F579830">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734" w:type="dxa"/>
            <w:tcBorders>
              <w:top w:val="nil"/>
              <w:left w:val="nil"/>
              <w:bottom w:val="single" w:color="auto" w:sz="4" w:space="0"/>
              <w:right w:val="nil"/>
            </w:tcBorders>
            <w:shd w:val="clear" w:color="auto" w:fill="auto"/>
            <w:vAlign w:val="center"/>
          </w:tcPr>
          <w:p w14:paraId="506888D2">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684" w:type="dxa"/>
            <w:gridSpan w:val="2"/>
            <w:tcBorders>
              <w:top w:val="nil"/>
              <w:left w:val="nil"/>
              <w:bottom w:val="single" w:color="auto" w:sz="4" w:space="0"/>
              <w:right w:val="nil"/>
            </w:tcBorders>
            <w:shd w:val="clear" w:color="auto" w:fill="auto"/>
            <w:vAlign w:val="center"/>
          </w:tcPr>
          <w:p w14:paraId="7EEFB3A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nil"/>
              <w:bottom w:val="single" w:color="auto" w:sz="4" w:space="0"/>
              <w:right w:val="single" w:color="auto" w:sz="4" w:space="0"/>
            </w:tcBorders>
            <w:shd w:val="clear" w:color="auto" w:fill="auto"/>
            <w:vAlign w:val="center"/>
          </w:tcPr>
          <w:p w14:paraId="19944FD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85E0487">
        <w:tblPrEx>
          <w:tblCellMar>
            <w:top w:w="0" w:type="dxa"/>
            <w:left w:w="108" w:type="dxa"/>
            <w:bottom w:w="0" w:type="dxa"/>
            <w:right w:w="108" w:type="dxa"/>
          </w:tblCellMar>
        </w:tblPrEx>
        <w:trPr>
          <w:gridAfter w:val="1"/>
          <w:wAfter w:w="22" w:type="dxa"/>
          <w:trHeight w:val="315"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23BFE307">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2.1乔灌木（20分）</w:t>
            </w:r>
          </w:p>
        </w:tc>
      </w:tr>
      <w:tr w14:paraId="541FD49E">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DED5FB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2.1.1有明显的枯枝、枯叶、</w:t>
            </w:r>
            <w:r>
              <w:rPr>
                <w:rFonts w:hint="eastAsia" w:ascii="仿宋_GB2312" w:hAnsi="宋体" w:eastAsia="仿宋_GB2312" w:cs="宋体"/>
                <w:kern w:val="0"/>
                <w:sz w:val="18"/>
                <w:szCs w:val="18"/>
              </w:rPr>
              <w:t>徒长枝、内堂枝等，每处扣</w:t>
            </w:r>
            <w:r>
              <w:rPr>
                <w:rFonts w:ascii="仿宋_GB2312" w:hAnsi="宋体" w:eastAsia="仿宋_GB2312" w:cs="宋体"/>
                <w:kern w:val="0"/>
                <w:sz w:val="18"/>
                <w:szCs w:val="18"/>
              </w:rPr>
              <w:t>1分</w:t>
            </w:r>
            <w:r>
              <w:rPr>
                <w:rFonts w:hint="eastAsia" w:ascii="仿宋_GB2312" w:hAnsi="宋体" w:eastAsia="仿宋_GB2312" w:cs="宋体"/>
                <w:kern w:val="0"/>
                <w:sz w:val="18"/>
                <w:szCs w:val="18"/>
              </w:rPr>
              <w:t>；</w:t>
            </w:r>
          </w:p>
        </w:tc>
        <w:tc>
          <w:tcPr>
            <w:tcW w:w="734" w:type="dxa"/>
            <w:vMerge w:val="restart"/>
            <w:tcBorders>
              <w:top w:val="nil"/>
              <w:left w:val="single" w:color="auto" w:sz="4" w:space="0"/>
              <w:bottom w:val="single" w:color="000000" w:sz="4" w:space="0"/>
              <w:right w:val="nil"/>
            </w:tcBorders>
            <w:shd w:val="clear" w:color="auto" w:fill="auto"/>
            <w:vAlign w:val="center"/>
          </w:tcPr>
          <w:p w14:paraId="588D03E7">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20</w:t>
            </w: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7436478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2CAC24BD">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B17980A">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D3B8D7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2.1.2发生明显的病虫害危害症状，每处扣1分；</w:t>
            </w:r>
          </w:p>
        </w:tc>
        <w:tc>
          <w:tcPr>
            <w:tcW w:w="734" w:type="dxa"/>
            <w:vMerge w:val="continue"/>
            <w:tcBorders>
              <w:top w:val="nil"/>
              <w:left w:val="single" w:color="auto" w:sz="4" w:space="0"/>
              <w:bottom w:val="single" w:color="000000" w:sz="4" w:space="0"/>
              <w:right w:val="nil"/>
            </w:tcBorders>
            <w:vAlign w:val="center"/>
          </w:tcPr>
          <w:p w14:paraId="1F68BD0E">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02B6FD3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016B048">
            <w:pPr>
              <w:widowControl/>
              <w:jc w:val="left"/>
              <w:rPr>
                <w:rFonts w:ascii="仿宋_GB2312" w:hAnsi="宋体" w:eastAsia="仿宋_GB2312" w:cs="宋体"/>
                <w:kern w:val="0"/>
                <w:sz w:val="18"/>
                <w:szCs w:val="18"/>
              </w:rPr>
            </w:pPr>
          </w:p>
        </w:tc>
      </w:tr>
      <w:tr w14:paraId="0B3D3654">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68A05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2.1.3树木（竹子）明显倾斜或倒伏未扶正（清理），每处扣1分；</w:t>
            </w:r>
          </w:p>
        </w:tc>
        <w:tc>
          <w:tcPr>
            <w:tcW w:w="734" w:type="dxa"/>
            <w:vMerge w:val="continue"/>
            <w:tcBorders>
              <w:top w:val="nil"/>
              <w:left w:val="single" w:color="auto" w:sz="4" w:space="0"/>
              <w:bottom w:val="single" w:color="000000" w:sz="4" w:space="0"/>
              <w:right w:val="nil"/>
            </w:tcBorders>
            <w:vAlign w:val="center"/>
          </w:tcPr>
          <w:p w14:paraId="1E9B8B1E">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5F6EB4C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E824809">
            <w:pPr>
              <w:widowControl/>
              <w:jc w:val="left"/>
              <w:rPr>
                <w:rFonts w:ascii="仿宋_GB2312" w:hAnsi="宋体" w:eastAsia="仿宋_GB2312" w:cs="宋体"/>
                <w:kern w:val="0"/>
                <w:sz w:val="18"/>
                <w:szCs w:val="18"/>
              </w:rPr>
            </w:pPr>
          </w:p>
        </w:tc>
      </w:tr>
      <w:tr w14:paraId="2A7C213D">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CC3CAC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2.1.4有死亡植株未淘汰，扣2分；</w:t>
            </w:r>
          </w:p>
        </w:tc>
        <w:tc>
          <w:tcPr>
            <w:tcW w:w="734" w:type="dxa"/>
            <w:vMerge w:val="continue"/>
            <w:tcBorders>
              <w:top w:val="nil"/>
              <w:left w:val="single" w:color="auto" w:sz="4" w:space="0"/>
              <w:bottom w:val="single" w:color="000000" w:sz="4" w:space="0"/>
              <w:right w:val="nil"/>
            </w:tcBorders>
            <w:vAlign w:val="center"/>
          </w:tcPr>
          <w:p w14:paraId="0858C6C6">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70EF2F4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DEF86A5">
            <w:pPr>
              <w:widowControl/>
              <w:jc w:val="left"/>
              <w:rPr>
                <w:rFonts w:ascii="仿宋_GB2312" w:hAnsi="宋体" w:eastAsia="仿宋_GB2312" w:cs="宋体"/>
                <w:kern w:val="0"/>
                <w:sz w:val="18"/>
                <w:szCs w:val="18"/>
              </w:rPr>
            </w:pPr>
          </w:p>
        </w:tc>
      </w:tr>
      <w:tr w14:paraId="13468AF4">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9A688A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2.1.5树穴内有明显积水，扣1分；</w:t>
            </w:r>
          </w:p>
        </w:tc>
        <w:tc>
          <w:tcPr>
            <w:tcW w:w="734" w:type="dxa"/>
            <w:vMerge w:val="continue"/>
            <w:tcBorders>
              <w:top w:val="nil"/>
              <w:left w:val="single" w:color="auto" w:sz="4" w:space="0"/>
              <w:bottom w:val="single" w:color="000000" w:sz="4" w:space="0"/>
              <w:right w:val="nil"/>
            </w:tcBorders>
            <w:vAlign w:val="center"/>
          </w:tcPr>
          <w:p w14:paraId="32D49011">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793221D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13F1E4D">
            <w:pPr>
              <w:widowControl/>
              <w:jc w:val="left"/>
              <w:rPr>
                <w:rFonts w:ascii="仿宋_GB2312" w:hAnsi="宋体" w:eastAsia="仿宋_GB2312" w:cs="宋体"/>
                <w:kern w:val="0"/>
                <w:sz w:val="18"/>
                <w:szCs w:val="18"/>
              </w:rPr>
            </w:pPr>
          </w:p>
        </w:tc>
      </w:tr>
      <w:tr w14:paraId="3AB1D985">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EBAFBA0">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2.1.6树穴土壤板结</w:t>
            </w:r>
            <w:r>
              <w:rPr>
                <w:rFonts w:hint="eastAsia" w:ascii="仿宋_GB2312" w:hAnsi="宋体" w:eastAsia="仿宋_GB2312" w:cs="宋体"/>
                <w:kern w:val="0"/>
                <w:sz w:val="18"/>
                <w:szCs w:val="18"/>
              </w:rPr>
              <w:t>未及时松土，每处扣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nil"/>
            </w:tcBorders>
            <w:vAlign w:val="center"/>
          </w:tcPr>
          <w:p w14:paraId="5D772222">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512E082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84A4EE7">
            <w:pPr>
              <w:widowControl/>
              <w:jc w:val="left"/>
              <w:rPr>
                <w:rFonts w:ascii="仿宋_GB2312" w:hAnsi="宋体" w:eastAsia="仿宋_GB2312" w:cs="宋体"/>
                <w:kern w:val="0"/>
                <w:sz w:val="18"/>
                <w:szCs w:val="18"/>
              </w:rPr>
            </w:pPr>
          </w:p>
        </w:tc>
      </w:tr>
      <w:tr w14:paraId="24C1B065">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B52B94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2.1.7有杂草、杂藤、籽出苗，每处扣1分；</w:t>
            </w:r>
          </w:p>
        </w:tc>
        <w:tc>
          <w:tcPr>
            <w:tcW w:w="734" w:type="dxa"/>
            <w:vMerge w:val="continue"/>
            <w:tcBorders>
              <w:top w:val="nil"/>
              <w:left w:val="single" w:color="auto" w:sz="4" w:space="0"/>
              <w:bottom w:val="single" w:color="000000" w:sz="4" w:space="0"/>
              <w:right w:val="nil"/>
            </w:tcBorders>
            <w:vAlign w:val="center"/>
          </w:tcPr>
          <w:p w14:paraId="26B86D62">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63341FA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D08DAF8">
            <w:pPr>
              <w:widowControl/>
              <w:jc w:val="left"/>
              <w:rPr>
                <w:rFonts w:ascii="仿宋_GB2312" w:hAnsi="宋体" w:eastAsia="仿宋_GB2312" w:cs="宋体"/>
                <w:kern w:val="0"/>
                <w:sz w:val="18"/>
                <w:szCs w:val="18"/>
              </w:rPr>
            </w:pPr>
          </w:p>
        </w:tc>
      </w:tr>
      <w:tr w14:paraId="36B346C7">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7732EC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2.1.8乔木支撑破旧、松动、断裂，草绳松散，扣2分；</w:t>
            </w:r>
          </w:p>
        </w:tc>
        <w:tc>
          <w:tcPr>
            <w:tcW w:w="734" w:type="dxa"/>
            <w:vMerge w:val="continue"/>
            <w:tcBorders>
              <w:top w:val="nil"/>
              <w:left w:val="single" w:color="auto" w:sz="4" w:space="0"/>
              <w:bottom w:val="single" w:color="000000" w:sz="4" w:space="0"/>
              <w:right w:val="nil"/>
            </w:tcBorders>
            <w:vAlign w:val="center"/>
          </w:tcPr>
          <w:p w14:paraId="447BC962">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3058AF6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C87CA7A">
            <w:pPr>
              <w:widowControl/>
              <w:jc w:val="left"/>
              <w:rPr>
                <w:rFonts w:ascii="仿宋_GB2312" w:hAnsi="宋体" w:eastAsia="仿宋_GB2312" w:cs="宋体"/>
                <w:kern w:val="0"/>
                <w:sz w:val="18"/>
                <w:szCs w:val="18"/>
              </w:rPr>
            </w:pPr>
          </w:p>
        </w:tc>
      </w:tr>
      <w:tr w14:paraId="471E45BF">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69400D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2.1.9有绑扎物</w:t>
            </w:r>
            <w:r>
              <w:rPr>
                <w:rFonts w:hint="eastAsia" w:ascii="仿宋_GB2312" w:hAnsi="宋体" w:eastAsia="仿宋_GB2312" w:cs="宋体"/>
                <w:kern w:val="0"/>
                <w:sz w:val="18"/>
                <w:szCs w:val="18"/>
              </w:rPr>
              <w:t>影响树体生长或游客遗留绑带未及时清理，每处扣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nil"/>
            </w:tcBorders>
            <w:vAlign w:val="center"/>
          </w:tcPr>
          <w:p w14:paraId="518538D4">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0ED77FEE">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CBBA574">
            <w:pPr>
              <w:widowControl/>
              <w:jc w:val="left"/>
              <w:rPr>
                <w:rFonts w:ascii="仿宋_GB2312" w:hAnsi="宋体" w:eastAsia="仿宋_GB2312" w:cs="宋体"/>
                <w:kern w:val="0"/>
                <w:sz w:val="18"/>
                <w:szCs w:val="18"/>
              </w:rPr>
            </w:pPr>
          </w:p>
        </w:tc>
      </w:tr>
      <w:tr w14:paraId="0FCFF560">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DDB46D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2.1.10片植灌木</w:t>
            </w:r>
            <w:r>
              <w:rPr>
                <w:rFonts w:hint="eastAsia" w:ascii="仿宋_GB2312" w:hAnsi="宋体" w:eastAsia="仿宋_GB2312" w:cs="宋体"/>
                <w:kern w:val="0"/>
                <w:sz w:val="18"/>
                <w:szCs w:val="18"/>
              </w:rPr>
              <w:t>空秃超过</w:t>
            </w:r>
            <w:r>
              <w:rPr>
                <w:rFonts w:ascii="仿宋_GB2312" w:hAnsi="宋体" w:eastAsia="仿宋_GB2312" w:cs="宋体"/>
                <w:kern w:val="0"/>
                <w:sz w:val="18"/>
                <w:szCs w:val="18"/>
              </w:rPr>
              <w:t>1平方米，扣1分；</w:t>
            </w:r>
          </w:p>
        </w:tc>
        <w:tc>
          <w:tcPr>
            <w:tcW w:w="734" w:type="dxa"/>
            <w:vMerge w:val="continue"/>
            <w:tcBorders>
              <w:top w:val="nil"/>
              <w:left w:val="single" w:color="auto" w:sz="4" w:space="0"/>
              <w:bottom w:val="single" w:color="000000" w:sz="4" w:space="0"/>
              <w:right w:val="nil"/>
            </w:tcBorders>
            <w:vAlign w:val="center"/>
          </w:tcPr>
          <w:p w14:paraId="639C0A5B">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1845248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DB98991">
            <w:pPr>
              <w:widowControl/>
              <w:jc w:val="left"/>
              <w:rPr>
                <w:rFonts w:ascii="仿宋_GB2312" w:hAnsi="宋体" w:eastAsia="仿宋_GB2312" w:cs="宋体"/>
                <w:kern w:val="0"/>
                <w:sz w:val="18"/>
                <w:szCs w:val="18"/>
              </w:rPr>
            </w:pPr>
          </w:p>
        </w:tc>
      </w:tr>
      <w:tr w14:paraId="2367211E">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F47647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2.1.11乔灌木未及时修剪或修剪不当，</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nil"/>
            </w:tcBorders>
            <w:vAlign w:val="center"/>
          </w:tcPr>
          <w:p w14:paraId="56A62FC1">
            <w:pPr>
              <w:widowControl/>
              <w:jc w:val="left"/>
              <w:rPr>
                <w:rFonts w:ascii="仿宋_GB2312" w:hAnsi="宋体" w:eastAsia="仿宋_GB2312" w:cs="宋体"/>
                <w:kern w:val="0"/>
                <w:sz w:val="18"/>
                <w:szCs w:val="18"/>
              </w:rPr>
            </w:pPr>
          </w:p>
        </w:tc>
        <w:tc>
          <w:tcPr>
            <w:tcW w:w="684" w:type="dxa"/>
            <w:gridSpan w:val="2"/>
            <w:tcBorders>
              <w:top w:val="nil"/>
              <w:left w:val="single" w:color="auto" w:sz="4" w:space="0"/>
              <w:bottom w:val="single" w:color="auto" w:sz="4" w:space="0"/>
              <w:right w:val="single" w:color="auto" w:sz="4" w:space="0"/>
            </w:tcBorders>
            <w:shd w:val="clear" w:color="auto" w:fill="auto"/>
            <w:vAlign w:val="center"/>
          </w:tcPr>
          <w:p w14:paraId="26B17C3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0AF1E85E">
            <w:pPr>
              <w:widowControl/>
              <w:jc w:val="left"/>
              <w:rPr>
                <w:rFonts w:ascii="仿宋_GB2312" w:hAnsi="宋体" w:eastAsia="仿宋_GB2312" w:cs="宋体"/>
                <w:kern w:val="0"/>
                <w:sz w:val="18"/>
                <w:szCs w:val="18"/>
              </w:rPr>
            </w:pPr>
          </w:p>
        </w:tc>
      </w:tr>
      <w:tr w14:paraId="70BEBE33">
        <w:tblPrEx>
          <w:tblCellMar>
            <w:top w:w="0" w:type="dxa"/>
            <w:left w:w="108" w:type="dxa"/>
            <w:bottom w:w="0" w:type="dxa"/>
            <w:right w:w="108" w:type="dxa"/>
          </w:tblCellMar>
        </w:tblPrEx>
        <w:trPr>
          <w:gridAfter w:val="1"/>
          <w:wAfter w:w="22" w:type="dxa"/>
          <w:trHeight w:val="330"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153BD704">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2.2地被植物、藤本植物（15分）</w:t>
            </w:r>
          </w:p>
        </w:tc>
      </w:tr>
      <w:tr w14:paraId="70B1E4B1">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4A67D1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2.2.1出现明显</w:t>
            </w:r>
            <w:r>
              <w:rPr>
                <w:rFonts w:hint="eastAsia" w:ascii="仿宋_GB2312" w:hAnsi="宋体" w:eastAsia="仿宋_GB2312" w:cs="宋体"/>
                <w:kern w:val="0"/>
                <w:sz w:val="18"/>
                <w:szCs w:val="18"/>
              </w:rPr>
              <w:t>空秃超过</w:t>
            </w:r>
            <w:r>
              <w:rPr>
                <w:rFonts w:ascii="仿宋_GB2312" w:hAnsi="宋体" w:eastAsia="仿宋_GB2312" w:cs="宋体"/>
                <w:kern w:val="0"/>
                <w:sz w:val="18"/>
                <w:szCs w:val="18"/>
              </w:rPr>
              <w:t>1平方米，每处扣1分；</w:t>
            </w:r>
          </w:p>
        </w:tc>
        <w:tc>
          <w:tcPr>
            <w:tcW w:w="734" w:type="dxa"/>
            <w:vMerge w:val="restart"/>
            <w:tcBorders>
              <w:top w:val="nil"/>
              <w:left w:val="single" w:color="auto" w:sz="4" w:space="0"/>
              <w:bottom w:val="single" w:color="000000" w:sz="4" w:space="0"/>
              <w:right w:val="single" w:color="auto" w:sz="4" w:space="0"/>
            </w:tcBorders>
            <w:shd w:val="clear" w:color="auto" w:fill="auto"/>
            <w:vAlign w:val="center"/>
          </w:tcPr>
          <w:p w14:paraId="23AAAA66">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684" w:type="dxa"/>
            <w:gridSpan w:val="2"/>
            <w:tcBorders>
              <w:top w:val="nil"/>
              <w:left w:val="nil"/>
              <w:bottom w:val="single" w:color="auto" w:sz="4" w:space="0"/>
              <w:right w:val="single" w:color="auto" w:sz="4" w:space="0"/>
            </w:tcBorders>
            <w:shd w:val="clear" w:color="auto" w:fill="auto"/>
            <w:vAlign w:val="center"/>
          </w:tcPr>
          <w:p w14:paraId="4A4CF25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22DDDFE3">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33FB858">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CD38F5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2.2.2有明显的枯枝、枯叶，每处扣1分；</w:t>
            </w:r>
          </w:p>
        </w:tc>
        <w:tc>
          <w:tcPr>
            <w:tcW w:w="734" w:type="dxa"/>
            <w:vMerge w:val="continue"/>
            <w:tcBorders>
              <w:top w:val="nil"/>
              <w:left w:val="single" w:color="auto" w:sz="4" w:space="0"/>
              <w:bottom w:val="single" w:color="000000" w:sz="4" w:space="0"/>
              <w:right w:val="single" w:color="auto" w:sz="4" w:space="0"/>
            </w:tcBorders>
            <w:vAlign w:val="center"/>
          </w:tcPr>
          <w:p w14:paraId="32CC9454">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ABA716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4C96EC0">
            <w:pPr>
              <w:widowControl/>
              <w:jc w:val="left"/>
              <w:rPr>
                <w:rFonts w:ascii="仿宋_GB2312" w:hAnsi="宋体" w:eastAsia="仿宋_GB2312" w:cs="宋体"/>
                <w:kern w:val="0"/>
                <w:sz w:val="18"/>
                <w:szCs w:val="18"/>
              </w:rPr>
            </w:pPr>
          </w:p>
        </w:tc>
      </w:tr>
      <w:tr w14:paraId="5ECEF496">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6945C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2.2.3出现明显残花超过1平方米，扣1分；</w:t>
            </w:r>
          </w:p>
        </w:tc>
        <w:tc>
          <w:tcPr>
            <w:tcW w:w="734" w:type="dxa"/>
            <w:vMerge w:val="continue"/>
            <w:tcBorders>
              <w:top w:val="nil"/>
              <w:left w:val="single" w:color="auto" w:sz="4" w:space="0"/>
              <w:bottom w:val="single" w:color="000000" w:sz="4" w:space="0"/>
              <w:right w:val="single" w:color="auto" w:sz="4" w:space="0"/>
            </w:tcBorders>
            <w:vAlign w:val="center"/>
          </w:tcPr>
          <w:p w14:paraId="6F2504D1">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114EAAA0">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F05C200">
            <w:pPr>
              <w:widowControl/>
              <w:jc w:val="left"/>
              <w:rPr>
                <w:rFonts w:ascii="仿宋_GB2312" w:hAnsi="宋体" w:eastAsia="仿宋_GB2312" w:cs="宋体"/>
                <w:kern w:val="0"/>
                <w:sz w:val="18"/>
                <w:szCs w:val="18"/>
              </w:rPr>
            </w:pPr>
          </w:p>
        </w:tc>
      </w:tr>
      <w:tr w14:paraId="3DFD54F3">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31B35F">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2.2.4有超过地被高度的杂草，扣1分；</w:t>
            </w:r>
          </w:p>
        </w:tc>
        <w:tc>
          <w:tcPr>
            <w:tcW w:w="734" w:type="dxa"/>
            <w:vMerge w:val="continue"/>
            <w:tcBorders>
              <w:top w:val="nil"/>
              <w:left w:val="single" w:color="auto" w:sz="4" w:space="0"/>
              <w:bottom w:val="single" w:color="000000" w:sz="4" w:space="0"/>
              <w:right w:val="single" w:color="auto" w:sz="4" w:space="0"/>
            </w:tcBorders>
            <w:vAlign w:val="center"/>
          </w:tcPr>
          <w:p w14:paraId="5A0023F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6B261A1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2ACAD37">
            <w:pPr>
              <w:widowControl/>
              <w:jc w:val="left"/>
              <w:rPr>
                <w:rFonts w:ascii="仿宋_GB2312" w:hAnsi="宋体" w:eastAsia="仿宋_GB2312" w:cs="宋体"/>
                <w:kern w:val="0"/>
                <w:sz w:val="18"/>
                <w:szCs w:val="18"/>
              </w:rPr>
            </w:pPr>
          </w:p>
        </w:tc>
      </w:tr>
      <w:tr w14:paraId="7CB0AE9C">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838A41B">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2.2.5有一枝黄花、菟丝子、黄</w:t>
            </w:r>
            <w:r>
              <w:rPr>
                <w:rFonts w:hint="eastAsia" w:ascii="仿宋_GB2312" w:hAnsi="宋体" w:eastAsia="仿宋_GB2312" w:cs="宋体"/>
                <w:kern w:val="0"/>
                <w:sz w:val="18"/>
                <w:szCs w:val="18"/>
              </w:rPr>
              <w:t>鹌菜、二年蓬等恶性杂草，每处扣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1C5DD52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A1C52A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BD1F3FB">
            <w:pPr>
              <w:widowControl/>
              <w:jc w:val="left"/>
              <w:rPr>
                <w:rFonts w:ascii="仿宋_GB2312" w:hAnsi="宋体" w:eastAsia="仿宋_GB2312" w:cs="宋体"/>
                <w:kern w:val="0"/>
                <w:sz w:val="18"/>
                <w:szCs w:val="18"/>
              </w:rPr>
            </w:pPr>
          </w:p>
        </w:tc>
      </w:tr>
      <w:tr w14:paraId="06128B5C">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8DCA41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2.2.6发生明显的病虫害危害症状或</w:t>
            </w:r>
            <w:r>
              <w:rPr>
                <w:rFonts w:hint="eastAsia" w:ascii="仿宋_GB2312" w:hAnsi="宋体" w:eastAsia="仿宋_GB2312" w:cs="宋体"/>
                <w:kern w:val="0"/>
                <w:sz w:val="18"/>
                <w:szCs w:val="18"/>
              </w:rPr>
              <w:t>萎焉，每处扣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1A32E981">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657A861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673D1659">
            <w:pPr>
              <w:widowControl/>
              <w:jc w:val="left"/>
              <w:rPr>
                <w:rFonts w:ascii="仿宋_GB2312" w:hAnsi="宋体" w:eastAsia="仿宋_GB2312" w:cs="宋体"/>
                <w:kern w:val="0"/>
                <w:sz w:val="18"/>
                <w:szCs w:val="18"/>
              </w:rPr>
            </w:pPr>
          </w:p>
        </w:tc>
      </w:tr>
      <w:tr w14:paraId="110CE1D5">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7444B2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2.2.7地被种植区域积水明显，扣1分；</w:t>
            </w:r>
          </w:p>
        </w:tc>
        <w:tc>
          <w:tcPr>
            <w:tcW w:w="734" w:type="dxa"/>
            <w:vMerge w:val="continue"/>
            <w:tcBorders>
              <w:top w:val="nil"/>
              <w:left w:val="single" w:color="auto" w:sz="4" w:space="0"/>
              <w:bottom w:val="single" w:color="000000" w:sz="4" w:space="0"/>
              <w:right w:val="single" w:color="auto" w:sz="4" w:space="0"/>
            </w:tcBorders>
            <w:vAlign w:val="center"/>
          </w:tcPr>
          <w:p w14:paraId="41DF0D5A">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5B046CE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E46C74B">
            <w:pPr>
              <w:widowControl/>
              <w:jc w:val="left"/>
              <w:rPr>
                <w:rFonts w:ascii="仿宋_GB2312" w:hAnsi="宋体" w:eastAsia="仿宋_GB2312" w:cs="宋体"/>
                <w:kern w:val="0"/>
                <w:sz w:val="18"/>
                <w:szCs w:val="18"/>
              </w:rPr>
            </w:pPr>
          </w:p>
        </w:tc>
      </w:tr>
      <w:tr w14:paraId="288CDDB3">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15A92C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2.2.8藤本植物</w:t>
            </w:r>
            <w:r>
              <w:rPr>
                <w:rFonts w:hint="eastAsia" w:ascii="仿宋_GB2312" w:hAnsi="宋体" w:eastAsia="仿宋_GB2312" w:cs="宋体"/>
                <w:kern w:val="0"/>
                <w:sz w:val="18"/>
                <w:szCs w:val="18"/>
              </w:rPr>
              <w:t>未及时牵引、绑扎和修剪，每处扣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76A58EDB">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694309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160D6379">
            <w:pPr>
              <w:widowControl/>
              <w:jc w:val="left"/>
              <w:rPr>
                <w:rFonts w:ascii="仿宋_GB2312" w:hAnsi="宋体" w:eastAsia="仿宋_GB2312" w:cs="宋体"/>
                <w:kern w:val="0"/>
                <w:sz w:val="18"/>
                <w:szCs w:val="18"/>
              </w:rPr>
            </w:pPr>
          </w:p>
        </w:tc>
      </w:tr>
      <w:tr w14:paraId="2C34B69F">
        <w:tblPrEx>
          <w:tblCellMar>
            <w:top w:w="0" w:type="dxa"/>
            <w:left w:w="108" w:type="dxa"/>
            <w:bottom w:w="0" w:type="dxa"/>
            <w:right w:w="108" w:type="dxa"/>
          </w:tblCellMar>
        </w:tblPrEx>
        <w:trPr>
          <w:gridAfter w:val="1"/>
          <w:wAfter w:w="22" w:type="dxa"/>
          <w:trHeight w:val="300"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6F7595E2">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2.3草坪（10分）</w:t>
            </w:r>
          </w:p>
        </w:tc>
      </w:tr>
      <w:tr w14:paraId="7F4FA00B">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4CFB2D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2.3.1</w:t>
            </w:r>
            <w:r>
              <w:rPr>
                <w:rFonts w:hint="eastAsia" w:ascii="仿宋_GB2312" w:hAnsi="宋体" w:eastAsia="仿宋_GB2312" w:cs="宋体"/>
                <w:kern w:val="0"/>
                <w:sz w:val="18"/>
                <w:szCs w:val="18"/>
              </w:rPr>
              <w:t>生长期发生枯萎，发黄现象，扣</w:t>
            </w:r>
            <w:r>
              <w:rPr>
                <w:rFonts w:ascii="仿宋_GB2312" w:hAnsi="宋体" w:eastAsia="仿宋_GB2312" w:cs="宋体"/>
                <w:kern w:val="0"/>
                <w:sz w:val="18"/>
                <w:szCs w:val="18"/>
              </w:rPr>
              <w:t>1分；</w:t>
            </w:r>
          </w:p>
        </w:tc>
        <w:tc>
          <w:tcPr>
            <w:tcW w:w="734" w:type="dxa"/>
            <w:vMerge w:val="restart"/>
            <w:tcBorders>
              <w:top w:val="nil"/>
              <w:left w:val="single" w:color="auto" w:sz="4" w:space="0"/>
              <w:bottom w:val="single" w:color="000000" w:sz="4" w:space="0"/>
              <w:right w:val="single" w:color="auto" w:sz="4" w:space="0"/>
            </w:tcBorders>
            <w:shd w:val="clear" w:color="auto" w:fill="auto"/>
            <w:vAlign w:val="center"/>
          </w:tcPr>
          <w:p w14:paraId="3F729339">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684" w:type="dxa"/>
            <w:gridSpan w:val="2"/>
            <w:tcBorders>
              <w:top w:val="nil"/>
              <w:left w:val="nil"/>
              <w:bottom w:val="single" w:color="auto" w:sz="4" w:space="0"/>
              <w:right w:val="single" w:color="auto" w:sz="4" w:space="0"/>
            </w:tcBorders>
            <w:shd w:val="clear" w:color="auto" w:fill="auto"/>
            <w:vAlign w:val="center"/>
          </w:tcPr>
          <w:p w14:paraId="468026A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2E67AD3C">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291CD69">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467AFD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2.3.2发生大量杂草（杂草面积超10%的，视为大量），每处扣1分；</w:t>
            </w:r>
          </w:p>
        </w:tc>
        <w:tc>
          <w:tcPr>
            <w:tcW w:w="734" w:type="dxa"/>
            <w:vMerge w:val="continue"/>
            <w:tcBorders>
              <w:top w:val="nil"/>
              <w:left w:val="single" w:color="auto" w:sz="4" w:space="0"/>
              <w:bottom w:val="single" w:color="000000" w:sz="4" w:space="0"/>
              <w:right w:val="single" w:color="auto" w:sz="4" w:space="0"/>
            </w:tcBorders>
            <w:vAlign w:val="center"/>
          </w:tcPr>
          <w:p w14:paraId="0182E618">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54EF14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025DBFE9">
            <w:pPr>
              <w:widowControl/>
              <w:jc w:val="left"/>
              <w:rPr>
                <w:rFonts w:ascii="仿宋_GB2312" w:hAnsi="宋体" w:eastAsia="仿宋_GB2312" w:cs="宋体"/>
                <w:kern w:val="0"/>
                <w:sz w:val="18"/>
                <w:szCs w:val="18"/>
              </w:rPr>
            </w:pPr>
          </w:p>
        </w:tc>
      </w:tr>
      <w:tr w14:paraId="1274265B">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AD3E3F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2.3.3出现明显积水（积水面积超5㎡的，视为明显积水），</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 xml:space="preserve">1分； </w:t>
            </w:r>
          </w:p>
        </w:tc>
        <w:tc>
          <w:tcPr>
            <w:tcW w:w="734" w:type="dxa"/>
            <w:vMerge w:val="continue"/>
            <w:tcBorders>
              <w:top w:val="nil"/>
              <w:left w:val="single" w:color="auto" w:sz="4" w:space="0"/>
              <w:bottom w:val="single" w:color="000000" w:sz="4" w:space="0"/>
              <w:right w:val="single" w:color="auto" w:sz="4" w:space="0"/>
            </w:tcBorders>
            <w:vAlign w:val="center"/>
          </w:tcPr>
          <w:p w14:paraId="1DA396AC">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37A2BF1">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9786EC5">
            <w:pPr>
              <w:widowControl/>
              <w:jc w:val="left"/>
              <w:rPr>
                <w:rFonts w:ascii="仿宋_GB2312" w:hAnsi="宋体" w:eastAsia="仿宋_GB2312" w:cs="宋体"/>
                <w:kern w:val="0"/>
                <w:sz w:val="18"/>
                <w:szCs w:val="18"/>
              </w:rPr>
            </w:pPr>
          </w:p>
        </w:tc>
      </w:tr>
      <w:tr w14:paraId="000C90BD">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2A1D82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2.3.4出现</w:t>
            </w:r>
            <w:r>
              <w:rPr>
                <w:rFonts w:hint="eastAsia" w:ascii="仿宋_GB2312" w:hAnsi="宋体" w:eastAsia="仿宋_GB2312" w:cs="宋体"/>
                <w:kern w:val="0"/>
                <w:sz w:val="18"/>
                <w:szCs w:val="18"/>
              </w:rPr>
              <w:t>明显空秃现象（空秃面积超</w:t>
            </w:r>
            <w:r>
              <w:rPr>
                <w:rFonts w:ascii="仿宋_GB2312" w:hAnsi="宋体" w:eastAsia="仿宋_GB2312" w:cs="宋体"/>
                <w:kern w:val="0"/>
                <w:sz w:val="18"/>
                <w:szCs w:val="18"/>
              </w:rPr>
              <w:t>1m</w:t>
            </w:r>
            <w:r>
              <w:rPr>
                <w:rFonts w:ascii="仿宋_GB2312" w:hAnsi="宋体" w:eastAsia="仿宋_GB2312" w:cs="宋体"/>
                <w:kern w:val="0"/>
                <w:sz w:val="18"/>
                <w:szCs w:val="18"/>
                <w:vertAlign w:val="superscript"/>
              </w:rPr>
              <w:t>2</w:t>
            </w:r>
            <w:r>
              <w:rPr>
                <w:rFonts w:hint="eastAsia" w:ascii="仿宋_GB2312" w:hAnsi="宋体" w:eastAsia="仿宋_GB2312" w:cs="宋体"/>
                <w:kern w:val="0"/>
                <w:sz w:val="18"/>
                <w:szCs w:val="18"/>
              </w:rPr>
              <w:t>视为明显空秃），每处扣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3C20F9D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52213A2">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077FDE7">
            <w:pPr>
              <w:widowControl/>
              <w:jc w:val="left"/>
              <w:rPr>
                <w:rFonts w:ascii="仿宋_GB2312" w:hAnsi="宋体" w:eastAsia="仿宋_GB2312" w:cs="宋体"/>
                <w:kern w:val="0"/>
                <w:sz w:val="18"/>
                <w:szCs w:val="18"/>
              </w:rPr>
            </w:pPr>
          </w:p>
        </w:tc>
      </w:tr>
      <w:tr w14:paraId="1E1CBFD5">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CF2677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2.3.5检查时草坪高度超出8厘米，</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7F6AD202">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AA7AD2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4AC35E8C">
            <w:pPr>
              <w:widowControl/>
              <w:jc w:val="left"/>
              <w:rPr>
                <w:rFonts w:ascii="仿宋_GB2312" w:hAnsi="宋体" w:eastAsia="仿宋_GB2312" w:cs="宋体"/>
                <w:kern w:val="0"/>
                <w:sz w:val="18"/>
                <w:szCs w:val="18"/>
              </w:rPr>
            </w:pPr>
          </w:p>
        </w:tc>
      </w:tr>
      <w:tr w14:paraId="039127E6">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3EBA72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2.3.6大片草坪有明显高低不平整，</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45D42D1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4F4242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A9F0B9B">
            <w:pPr>
              <w:widowControl/>
              <w:jc w:val="left"/>
              <w:rPr>
                <w:rFonts w:ascii="仿宋_GB2312" w:hAnsi="宋体" w:eastAsia="仿宋_GB2312" w:cs="宋体"/>
                <w:kern w:val="0"/>
                <w:sz w:val="18"/>
                <w:szCs w:val="18"/>
              </w:rPr>
            </w:pPr>
          </w:p>
        </w:tc>
      </w:tr>
      <w:tr w14:paraId="7985F750">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76E6F6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2.3.7草坪未切边或</w:t>
            </w:r>
            <w:r>
              <w:rPr>
                <w:rFonts w:hint="eastAsia" w:ascii="仿宋_GB2312" w:hAnsi="宋体" w:eastAsia="仿宋_GB2312" w:cs="宋体"/>
                <w:kern w:val="0"/>
                <w:sz w:val="18"/>
                <w:szCs w:val="18"/>
              </w:rPr>
              <w:t>被围桩等物体压到后不及时纠正，每处扣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696C05A9">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57E7892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58519622">
            <w:pPr>
              <w:widowControl/>
              <w:jc w:val="left"/>
              <w:rPr>
                <w:rFonts w:ascii="仿宋_GB2312" w:hAnsi="宋体" w:eastAsia="仿宋_GB2312" w:cs="宋体"/>
                <w:kern w:val="0"/>
                <w:sz w:val="18"/>
                <w:szCs w:val="18"/>
              </w:rPr>
            </w:pPr>
          </w:p>
        </w:tc>
      </w:tr>
      <w:tr w14:paraId="3AD65C19">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78BA4A6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2.3.8</w:t>
            </w:r>
            <w:r>
              <w:rPr>
                <w:rFonts w:hint="eastAsia" w:ascii="仿宋_GB2312" w:hAnsi="宋体" w:eastAsia="仿宋_GB2312" w:cs="宋体"/>
                <w:kern w:val="0"/>
                <w:sz w:val="18"/>
                <w:szCs w:val="18"/>
              </w:rPr>
              <w:t>精养草坪未按时播撒草籽或播撒不规范，每处扣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single" w:color="000000" w:sz="4" w:space="0"/>
              <w:right w:val="single" w:color="auto" w:sz="4" w:space="0"/>
            </w:tcBorders>
            <w:vAlign w:val="center"/>
          </w:tcPr>
          <w:p w14:paraId="5BA0A8D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343A96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21F95FB4">
            <w:pPr>
              <w:widowControl/>
              <w:jc w:val="left"/>
              <w:rPr>
                <w:rFonts w:ascii="仿宋_GB2312" w:hAnsi="宋体" w:eastAsia="仿宋_GB2312" w:cs="宋体"/>
                <w:kern w:val="0"/>
                <w:sz w:val="18"/>
                <w:szCs w:val="18"/>
              </w:rPr>
            </w:pPr>
          </w:p>
        </w:tc>
      </w:tr>
      <w:tr w14:paraId="67411159">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4D59D5E">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2.3.9草坪上有大量</w:t>
            </w:r>
            <w:r>
              <w:rPr>
                <w:rFonts w:hint="eastAsia" w:ascii="仿宋_GB2312" w:hAnsi="宋体" w:eastAsia="仿宋_GB2312" w:cs="宋体"/>
                <w:kern w:val="0"/>
                <w:sz w:val="18"/>
                <w:szCs w:val="18"/>
              </w:rPr>
              <w:t>枯落叶，下达指令后未及时清理，扣</w:t>
            </w:r>
            <w:r>
              <w:rPr>
                <w:rFonts w:ascii="仿宋_GB2312" w:hAnsi="宋体" w:eastAsia="仿宋_GB2312" w:cs="宋体"/>
                <w:kern w:val="0"/>
                <w:sz w:val="18"/>
                <w:szCs w:val="18"/>
              </w:rPr>
              <w:t>1分；</w:t>
            </w:r>
          </w:p>
        </w:tc>
        <w:tc>
          <w:tcPr>
            <w:tcW w:w="734" w:type="dxa"/>
            <w:vMerge w:val="continue"/>
            <w:tcBorders>
              <w:top w:val="nil"/>
              <w:left w:val="single" w:color="auto" w:sz="4" w:space="0"/>
              <w:bottom w:val="single" w:color="000000" w:sz="4" w:space="0"/>
              <w:right w:val="single" w:color="auto" w:sz="4" w:space="0"/>
            </w:tcBorders>
            <w:vAlign w:val="center"/>
          </w:tcPr>
          <w:p w14:paraId="5D6C17B8">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0B94A878">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000000" w:sz="4" w:space="0"/>
              <w:right w:val="single" w:color="auto" w:sz="4" w:space="0"/>
            </w:tcBorders>
            <w:vAlign w:val="center"/>
          </w:tcPr>
          <w:p w14:paraId="3A378D2C">
            <w:pPr>
              <w:widowControl/>
              <w:jc w:val="left"/>
              <w:rPr>
                <w:rFonts w:ascii="仿宋_GB2312" w:hAnsi="宋体" w:eastAsia="仿宋_GB2312" w:cs="宋体"/>
                <w:kern w:val="0"/>
                <w:sz w:val="18"/>
                <w:szCs w:val="18"/>
              </w:rPr>
            </w:pPr>
          </w:p>
        </w:tc>
      </w:tr>
      <w:tr w14:paraId="27AFC54D">
        <w:tblPrEx>
          <w:tblCellMar>
            <w:top w:w="0" w:type="dxa"/>
            <w:left w:w="108" w:type="dxa"/>
            <w:bottom w:w="0" w:type="dxa"/>
            <w:right w:w="108" w:type="dxa"/>
          </w:tblCellMar>
        </w:tblPrEx>
        <w:trPr>
          <w:gridAfter w:val="1"/>
          <w:wAfter w:w="22" w:type="dxa"/>
          <w:trHeight w:val="345"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45C40D1C">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2.4绿化调整（8分）</w:t>
            </w:r>
          </w:p>
        </w:tc>
      </w:tr>
      <w:tr w14:paraId="4C51107A">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E2EDA4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2.4.1园内种植不规范（土壤改良不达标，土球过深或过浅或未全覆盖等），每处扣1分；</w:t>
            </w:r>
          </w:p>
        </w:tc>
        <w:tc>
          <w:tcPr>
            <w:tcW w:w="734" w:type="dxa"/>
            <w:vMerge w:val="restart"/>
            <w:tcBorders>
              <w:top w:val="nil"/>
              <w:left w:val="single" w:color="auto" w:sz="4" w:space="0"/>
              <w:bottom w:val="nil"/>
              <w:right w:val="single" w:color="auto" w:sz="4" w:space="0"/>
            </w:tcBorders>
            <w:shd w:val="clear" w:color="auto" w:fill="auto"/>
            <w:vAlign w:val="center"/>
          </w:tcPr>
          <w:p w14:paraId="0ACA8DBF">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8</w:t>
            </w:r>
          </w:p>
        </w:tc>
        <w:tc>
          <w:tcPr>
            <w:tcW w:w="684" w:type="dxa"/>
            <w:gridSpan w:val="2"/>
            <w:tcBorders>
              <w:top w:val="nil"/>
              <w:left w:val="nil"/>
              <w:bottom w:val="single" w:color="auto" w:sz="4" w:space="0"/>
              <w:right w:val="single" w:color="auto" w:sz="4" w:space="0"/>
            </w:tcBorders>
            <w:shd w:val="clear" w:color="auto" w:fill="auto"/>
            <w:vAlign w:val="center"/>
          </w:tcPr>
          <w:p w14:paraId="6868DC6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nil"/>
              <w:right w:val="single" w:color="auto" w:sz="4" w:space="0"/>
            </w:tcBorders>
            <w:shd w:val="clear" w:color="auto" w:fill="auto"/>
            <w:vAlign w:val="center"/>
          </w:tcPr>
          <w:p w14:paraId="3AC09D5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787D8CB">
        <w:tblPrEx>
          <w:tblCellMar>
            <w:top w:w="0" w:type="dxa"/>
            <w:left w:w="108" w:type="dxa"/>
            <w:bottom w:w="0" w:type="dxa"/>
            <w:right w:w="108" w:type="dxa"/>
          </w:tblCellMar>
        </w:tblPrEx>
        <w:trPr>
          <w:gridAfter w:val="1"/>
          <w:wAfter w:w="22" w:type="dxa"/>
          <w:trHeight w:val="40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1171D1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2.4.2园内移栽养护期内成活率≥98%（低于98%，每个百分点扣2分）；</w:t>
            </w:r>
          </w:p>
        </w:tc>
        <w:tc>
          <w:tcPr>
            <w:tcW w:w="734" w:type="dxa"/>
            <w:vMerge w:val="continue"/>
            <w:tcBorders>
              <w:top w:val="nil"/>
              <w:left w:val="single" w:color="auto" w:sz="4" w:space="0"/>
              <w:bottom w:val="nil"/>
              <w:right w:val="single" w:color="auto" w:sz="4" w:space="0"/>
            </w:tcBorders>
            <w:vAlign w:val="center"/>
          </w:tcPr>
          <w:p w14:paraId="7CDB04C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69A6E2A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6F9B103D">
            <w:pPr>
              <w:widowControl/>
              <w:jc w:val="left"/>
              <w:rPr>
                <w:rFonts w:ascii="仿宋_GB2312" w:hAnsi="宋体" w:eastAsia="仿宋_GB2312" w:cs="宋体"/>
                <w:kern w:val="0"/>
                <w:sz w:val="18"/>
                <w:szCs w:val="18"/>
              </w:rPr>
            </w:pPr>
          </w:p>
        </w:tc>
      </w:tr>
      <w:tr w14:paraId="78F590F6">
        <w:tblPrEx>
          <w:tblCellMar>
            <w:top w:w="0" w:type="dxa"/>
            <w:left w:w="108" w:type="dxa"/>
            <w:bottom w:w="0" w:type="dxa"/>
            <w:right w:w="108" w:type="dxa"/>
          </w:tblCellMar>
        </w:tblPrEx>
        <w:trPr>
          <w:gridAfter w:val="1"/>
          <w:wAfter w:w="22" w:type="dxa"/>
          <w:trHeight w:val="40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2E0414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2.4.3大树成活率≥98%（低于98%的，每个百分点扣1分）；</w:t>
            </w:r>
          </w:p>
        </w:tc>
        <w:tc>
          <w:tcPr>
            <w:tcW w:w="734" w:type="dxa"/>
            <w:vMerge w:val="continue"/>
            <w:tcBorders>
              <w:top w:val="nil"/>
              <w:left w:val="single" w:color="auto" w:sz="4" w:space="0"/>
              <w:bottom w:val="nil"/>
              <w:right w:val="single" w:color="auto" w:sz="4" w:space="0"/>
            </w:tcBorders>
            <w:vAlign w:val="center"/>
          </w:tcPr>
          <w:p w14:paraId="2420F8B2">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C38A1C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029F22FA">
            <w:pPr>
              <w:widowControl/>
              <w:jc w:val="left"/>
              <w:rPr>
                <w:rFonts w:ascii="仿宋_GB2312" w:hAnsi="宋体" w:eastAsia="仿宋_GB2312" w:cs="宋体"/>
                <w:kern w:val="0"/>
                <w:sz w:val="18"/>
                <w:szCs w:val="18"/>
              </w:rPr>
            </w:pPr>
          </w:p>
        </w:tc>
      </w:tr>
      <w:tr w14:paraId="773FE468">
        <w:tblPrEx>
          <w:tblCellMar>
            <w:top w:w="0" w:type="dxa"/>
            <w:left w:w="108" w:type="dxa"/>
            <w:bottom w:w="0" w:type="dxa"/>
            <w:right w:w="108" w:type="dxa"/>
          </w:tblCellMar>
        </w:tblPrEx>
        <w:trPr>
          <w:gridAfter w:val="1"/>
          <w:wAfter w:w="22" w:type="dxa"/>
          <w:trHeight w:val="40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708218A">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2.4.4外来苗木成活率98%以上（低于98%的，每个百分点扣1分）；</w:t>
            </w:r>
          </w:p>
        </w:tc>
        <w:tc>
          <w:tcPr>
            <w:tcW w:w="734" w:type="dxa"/>
            <w:vMerge w:val="continue"/>
            <w:tcBorders>
              <w:top w:val="nil"/>
              <w:left w:val="single" w:color="auto" w:sz="4" w:space="0"/>
              <w:bottom w:val="nil"/>
              <w:right w:val="single" w:color="auto" w:sz="4" w:space="0"/>
            </w:tcBorders>
            <w:vAlign w:val="center"/>
          </w:tcPr>
          <w:p w14:paraId="2353B3F9">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7E2D38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51F70BFC">
            <w:pPr>
              <w:widowControl/>
              <w:jc w:val="left"/>
              <w:rPr>
                <w:rFonts w:ascii="仿宋_GB2312" w:hAnsi="宋体" w:eastAsia="仿宋_GB2312" w:cs="宋体"/>
                <w:kern w:val="0"/>
                <w:sz w:val="18"/>
                <w:szCs w:val="18"/>
              </w:rPr>
            </w:pPr>
          </w:p>
        </w:tc>
      </w:tr>
      <w:tr w14:paraId="56FF7850">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8CA721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2.4.5养护期内，发生</w:t>
            </w:r>
            <w:r>
              <w:rPr>
                <w:rFonts w:hint="eastAsia" w:ascii="仿宋_GB2312" w:hAnsi="宋体" w:eastAsia="仿宋_GB2312" w:cs="宋体"/>
                <w:kern w:val="0"/>
                <w:sz w:val="18"/>
                <w:szCs w:val="18"/>
              </w:rPr>
              <w:t>不告知专类园主管进行交接就断养情况，扣</w:t>
            </w:r>
            <w:r>
              <w:rPr>
                <w:rFonts w:ascii="仿宋_GB2312" w:hAnsi="宋体" w:eastAsia="仿宋_GB2312" w:cs="宋体"/>
                <w:kern w:val="0"/>
                <w:sz w:val="18"/>
                <w:szCs w:val="18"/>
              </w:rPr>
              <w:t>5分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1DAD21C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0653C1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36B8869B">
            <w:pPr>
              <w:widowControl/>
              <w:jc w:val="left"/>
              <w:rPr>
                <w:rFonts w:ascii="仿宋_GB2312" w:hAnsi="宋体" w:eastAsia="仿宋_GB2312" w:cs="宋体"/>
                <w:kern w:val="0"/>
                <w:sz w:val="18"/>
                <w:szCs w:val="18"/>
              </w:rPr>
            </w:pPr>
          </w:p>
        </w:tc>
      </w:tr>
      <w:tr w14:paraId="16ACED30">
        <w:tblPrEx>
          <w:tblCellMar>
            <w:top w:w="0" w:type="dxa"/>
            <w:left w:w="108" w:type="dxa"/>
            <w:bottom w:w="0" w:type="dxa"/>
            <w:right w:w="108" w:type="dxa"/>
          </w:tblCellMar>
        </w:tblPrEx>
        <w:trPr>
          <w:gridAfter w:val="1"/>
          <w:wAfter w:w="22" w:type="dxa"/>
          <w:trHeight w:val="390" w:hRule="atLeast"/>
        </w:trPr>
        <w:tc>
          <w:tcPr>
            <w:tcW w:w="9214" w:type="dxa"/>
            <w:gridSpan w:val="9"/>
            <w:tcBorders>
              <w:top w:val="single" w:color="auto" w:sz="4" w:space="0"/>
              <w:left w:val="single" w:color="auto" w:sz="4" w:space="0"/>
              <w:bottom w:val="single" w:color="auto" w:sz="4" w:space="0"/>
              <w:right w:val="single" w:color="000000" w:sz="4" w:space="0"/>
            </w:tcBorders>
            <w:shd w:val="clear" w:color="auto" w:fill="auto"/>
            <w:vAlign w:val="center"/>
          </w:tcPr>
          <w:p w14:paraId="47608D78">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2.5作业规范（17分）</w:t>
            </w:r>
          </w:p>
        </w:tc>
      </w:tr>
      <w:tr w14:paraId="1514F0E9">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3B3BD59">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2.5.1工具、车辆胡乱摆放在园区内（含草坪上），</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restart"/>
            <w:tcBorders>
              <w:top w:val="nil"/>
              <w:left w:val="single" w:color="auto" w:sz="4" w:space="0"/>
              <w:bottom w:val="nil"/>
              <w:right w:val="single" w:color="auto" w:sz="4" w:space="0"/>
            </w:tcBorders>
            <w:shd w:val="clear" w:color="auto" w:fill="auto"/>
            <w:vAlign w:val="center"/>
          </w:tcPr>
          <w:p w14:paraId="7577ED88">
            <w:pPr>
              <w:widowControl/>
              <w:jc w:val="center"/>
              <w:rPr>
                <w:rFonts w:ascii="仿宋_GB2312" w:hAnsi="宋体" w:eastAsia="仿宋_GB2312" w:cs="宋体"/>
                <w:kern w:val="0"/>
                <w:sz w:val="18"/>
                <w:szCs w:val="18"/>
              </w:rPr>
            </w:pPr>
            <w:r>
              <w:rPr>
                <w:rFonts w:ascii="仿宋_GB2312" w:hAnsi="宋体" w:eastAsia="仿宋_GB2312" w:cs="宋体"/>
                <w:kern w:val="0"/>
                <w:sz w:val="18"/>
                <w:szCs w:val="18"/>
              </w:rPr>
              <w:t>17</w:t>
            </w:r>
          </w:p>
        </w:tc>
        <w:tc>
          <w:tcPr>
            <w:tcW w:w="684" w:type="dxa"/>
            <w:gridSpan w:val="2"/>
            <w:tcBorders>
              <w:top w:val="nil"/>
              <w:left w:val="nil"/>
              <w:bottom w:val="single" w:color="auto" w:sz="4" w:space="0"/>
              <w:right w:val="single" w:color="auto" w:sz="4" w:space="0"/>
            </w:tcBorders>
            <w:shd w:val="clear" w:color="auto" w:fill="auto"/>
            <w:vAlign w:val="center"/>
          </w:tcPr>
          <w:p w14:paraId="307957E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nil"/>
              <w:right w:val="single" w:color="auto" w:sz="4" w:space="0"/>
            </w:tcBorders>
            <w:shd w:val="clear" w:color="auto" w:fill="auto"/>
            <w:vAlign w:val="center"/>
          </w:tcPr>
          <w:p w14:paraId="15D75760">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4115612">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81B577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2.5.2擅自使用消防龙头浇水的，每发现1次扣2分；</w:t>
            </w:r>
          </w:p>
        </w:tc>
        <w:tc>
          <w:tcPr>
            <w:tcW w:w="734" w:type="dxa"/>
            <w:vMerge w:val="continue"/>
            <w:tcBorders>
              <w:top w:val="nil"/>
              <w:left w:val="single" w:color="auto" w:sz="4" w:space="0"/>
              <w:bottom w:val="nil"/>
              <w:right w:val="single" w:color="auto" w:sz="4" w:space="0"/>
            </w:tcBorders>
            <w:vAlign w:val="center"/>
          </w:tcPr>
          <w:p w14:paraId="2FD16E0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37981525">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218A7744">
            <w:pPr>
              <w:widowControl/>
              <w:jc w:val="left"/>
              <w:rPr>
                <w:rFonts w:ascii="仿宋_GB2312" w:hAnsi="宋体" w:eastAsia="仿宋_GB2312" w:cs="宋体"/>
                <w:kern w:val="0"/>
                <w:sz w:val="18"/>
                <w:szCs w:val="18"/>
              </w:rPr>
            </w:pPr>
          </w:p>
        </w:tc>
      </w:tr>
      <w:tr w14:paraId="520B7050">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66F77AC">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2.5.3杂草、枯叶等作业垃圾在林下堆放的，</w:t>
            </w:r>
            <w:r>
              <w:rPr>
                <w:rFonts w:hint="eastAsia" w:ascii="仿宋_GB2312" w:hAnsi="宋体" w:eastAsia="仿宋_GB2312" w:cs="宋体"/>
                <w:kern w:val="0"/>
                <w:sz w:val="18"/>
                <w:szCs w:val="18"/>
              </w:rPr>
              <w:t>每处扣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7044C5B7">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582D3A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7F01E12E">
            <w:pPr>
              <w:widowControl/>
              <w:jc w:val="left"/>
              <w:rPr>
                <w:rFonts w:ascii="仿宋_GB2312" w:hAnsi="宋体" w:eastAsia="仿宋_GB2312" w:cs="宋体"/>
                <w:kern w:val="0"/>
                <w:sz w:val="18"/>
                <w:szCs w:val="18"/>
              </w:rPr>
            </w:pPr>
          </w:p>
        </w:tc>
      </w:tr>
      <w:tr w14:paraId="3E1C80E6">
        <w:tblPrEx>
          <w:tblCellMar>
            <w:top w:w="0" w:type="dxa"/>
            <w:left w:w="108" w:type="dxa"/>
            <w:bottom w:w="0" w:type="dxa"/>
            <w:right w:w="108" w:type="dxa"/>
          </w:tblCellMar>
        </w:tblPrEx>
        <w:trPr>
          <w:gridAfter w:val="1"/>
          <w:wAfter w:w="22" w:type="dxa"/>
          <w:trHeight w:val="60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1460E2F">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2.5.4工完场清，垃圾清运不及时（过夜视为清运不及时）或倾倒在指定堆场以外，每处扣2分；</w:t>
            </w:r>
          </w:p>
        </w:tc>
        <w:tc>
          <w:tcPr>
            <w:tcW w:w="734" w:type="dxa"/>
            <w:vMerge w:val="continue"/>
            <w:tcBorders>
              <w:top w:val="nil"/>
              <w:left w:val="single" w:color="auto" w:sz="4" w:space="0"/>
              <w:bottom w:val="nil"/>
              <w:right w:val="single" w:color="auto" w:sz="4" w:space="0"/>
            </w:tcBorders>
            <w:vAlign w:val="center"/>
          </w:tcPr>
          <w:p w14:paraId="3A9E2926">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54DCA1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483CA69E">
            <w:pPr>
              <w:widowControl/>
              <w:jc w:val="left"/>
              <w:rPr>
                <w:rFonts w:ascii="仿宋_GB2312" w:hAnsi="宋体" w:eastAsia="仿宋_GB2312" w:cs="宋体"/>
                <w:kern w:val="0"/>
                <w:sz w:val="18"/>
                <w:szCs w:val="18"/>
              </w:rPr>
            </w:pPr>
          </w:p>
        </w:tc>
      </w:tr>
      <w:tr w14:paraId="223433E9">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8D4C7C6">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2.5.5绿化区内有明显果皮、石块、烟蒂、</w:t>
            </w:r>
            <w:r>
              <w:rPr>
                <w:rFonts w:hint="eastAsia" w:ascii="仿宋_GB2312" w:hAnsi="宋体" w:eastAsia="仿宋_GB2312" w:cs="宋体"/>
                <w:kern w:val="0"/>
                <w:sz w:val="18"/>
                <w:szCs w:val="18"/>
              </w:rPr>
              <w:t>白色垃圾等，每处扣</w:t>
            </w:r>
            <w:r>
              <w:rPr>
                <w:rFonts w:ascii="仿宋_GB2312" w:hAnsi="宋体" w:eastAsia="仿宋_GB2312" w:cs="宋体"/>
                <w:kern w:val="0"/>
                <w:sz w:val="18"/>
                <w:szCs w:val="18"/>
              </w:rPr>
              <w:t>1分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2DFEF89B">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58B2A15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28948527">
            <w:pPr>
              <w:widowControl/>
              <w:jc w:val="left"/>
              <w:rPr>
                <w:rFonts w:ascii="仿宋_GB2312" w:hAnsi="宋体" w:eastAsia="仿宋_GB2312" w:cs="宋体"/>
                <w:kern w:val="0"/>
                <w:sz w:val="18"/>
                <w:szCs w:val="18"/>
              </w:rPr>
            </w:pPr>
          </w:p>
        </w:tc>
      </w:tr>
      <w:tr w14:paraId="3C3C9043">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3BB20E7">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2.5.6日常养护浇水、</w:t>
            </w:r>
            <w:r>
              <w:rPr>
                <w:rFonts w:hint="eastAsia" w:ascii="仿宋_GB2312" w:hAnsi="宋体" w:eastAsia="仿宋_GB2312" w:cs="宋体"/>
                <w:kern w:val="0"/>
                <w:sz w:val="18"/>
                <w:szCs w:val="18"/>
              </w:rPr>
              <w:t>施肥不及时或不规范，每次扣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12138D72">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71BF7A5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565C04C6">
            <w:pPr>
              <w:widowControl/>
              <w:jc w:val="left"/>
              <w:rPr>
                <w:rFonts w:ascii="仿宋_GB2312" w:hAnsi="宋体" w:eastAsia="仿宋_GB2312" w:cs="宋体"/>
                <w:kern w:val="0"/>
                <w:sz w:val="18"/>
                <w:szCs w:val="18"/>
              </w:rPr>
            </w:pPr>
          </w:p>
        </w:tc>
      </w:tr>
      <w:tr w14:paraId="6A210C70">
        <w:tblPrEx>
          <w:tblCellMar>
            <w:top w:w="0" w:type="dxa"/>
            <w:left w:w="108" w:type="dxa"/>
            <w:bottom w:w="0" w:type="dxa"/>
            <w:right w:w="108" w:type="dxa"/>
          </w:tblCellMar>
        </w:tblPrEx>
        <w:trPr>
          <w:gridAfter w:val="1"/>
          <w:wAfter w:w="22" w:type="dxa"/>
          <w:trHeight w:val="6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4CC9B0">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2.5.7大型作业或施工期间，作业不规范（</w:t>
            </w:r>
            <w:r>
              <w:rPr>
                <w:rFonts w:hint="eastAsia" w:ascii="仿宋_GB2312" w:hAnsi="宋体" w:eastAsia="仿宋_GB2312" w:cs="宋体"/>
                <w:kern w:val="0"/>
                <w:sz w:val="18"/>
                <w:szCs w:val="18"/>
              </w:rPr>
              <w:t>未围拉护栏、不挂提示牌、高空作业未带安全帽安全带、工完不清场等），每处扣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nil"/>
              <w:right w:val="single" w:color="auto" w:sz="4" w:space="0"/>
            </w:tcBorders>
            <w:vAlign w:val="center"/>
          </w:tcPr>
          <w:p w14:paraId="3AD1B0C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2ABAFA24">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163C5A03">
            <w:pPr>
              <w:widowControl/>
              <w:jc w:val="left"/>
              <w:rPr>
                <w:rFonts w:ascii="仿宋_GB2312" w:hAnsi="宋体" w:eastAsia="仿宋_GB2312" w:cs="宋体"/>
                <w:kern w:val="0"/>
                <w:sz w:val="18"/>
                <w:szCs w:val="18"/>
              </w:rPr>
            </w:pPr>
          </w:p>
        </w:tc>
      </w:tr>
      <w:tr w14:paraId="3ABAE357">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3B2BD9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2.5.8围绳松散、</w:t>
            </w:r>
            <w:r>
              <w:rPr>
                <w:rFonts w:hint="eastAsia" w:ascii="仿宋_GB2312" w:hAnsi="宋体" w:eastAsia="仿宋_GB2312" w:cs="宋体"/>
                <w:kern w:val="0"/>
                <w:sz w:val="18"/>
                <w:szCs w:val="18"/>
              </w:rPr>
              <w:t>提示牌倾斜破损、围桩倾倒、标牌散落，每处扣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1ED1776D">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437765D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67BFA85B">
            <w:pPr>
              <w:widowControl/>
              <w:jc w:val="left"/>
              <w:rPr>
                <w:rFonts w:ascii="仿宋_GB2312" w:hAnsi="宋体" w:eastAsia="仿宋_GB2312" w:cs="宋体"/>
                <w:kern w:val="0"/>
                <w:sz w:val="18"/>
                <w:szCs w:val="18"/>
              </w:rPr>
            </w:pPr>
          </w:p>
        </w:tc>
      </w:tr>
      <w:tr w14:paraId="55CDD7E1">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D36A2C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2.5.9季节性防护措施未到位</w:t>
            </w:r>
            <w:r>
              <w:rPr>
                <w:rFonts w:hint="eastAsia" w:ascii="仿宋_GB2312" w:hAnsi="宋体" w:eastAsia="仿宋_GB2312" w:cs="宋体"/>
                <w:kern w:val="0"/>
                <w:sz w:val="18"/>
                <w:szCs w:val="18"/>
              </w:rPr>
              <w:t>或不规范，每处扣</w:t>
            </w:r>
            <w:r>
              <w:rPr>
                <w:rFonts w:ascii="仿宋_GB2312" w:hAnsi="宋体" w:eastAsia="仿宋_GB2312" w:cs="宋体"/>
                <w:kern w:val="0"/>
                <w:sz w:val="18"/>
                <w:szCs w:val="18"/>
              </w:rPr>
              <w:t>2分；</w:t>
            </w:r>
          </w:p>
        </w:tc>
        <w:tc>
          <w:tcPr>
            <w:tcW w:w="734" w:type="dxa"/>
            <w:vMerge w:val="continue"/>
            <w:tcBorders>
              <w:top w:val="nil"/>
              <w:left w:val="single" w:color="auto" w:sz="4" w:space="0"/>
              <w:bottom w:val="nil"/>
              <w:right w:val="single" w:color="auto" w:sz="4" w:space="0"/>
            </w:tcBorders>
            <w:vAlign w:val="center"/>
          </w:tcPr>
          <w:p w14:paraId="79352758">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6553A2C7">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4890C402">
            <w:pPr>
              <w:widowControl/>
              <w:jc w:val="left"/>
              <w:rPr>
                <w:rFonts w:ascii="仿宋_GB2312" w:hAnsi="宋体" w:eastAsia="仿宋_GB2312" w:cs="宋体"/>
                <w:kern w:val="0"/>
                <w:sz w:val="18"/>
                <w:szCs w:val="18"/>
              </w:rPr>
            </w:pPr>
          </w:p>
        </w:tc>
      </w:tr>
      <w:tr w14:paraId="02F98293">
        <w:tblPrEx>
          <w:tblCellMar>
            <w:top w:w="0" w:type="dxa"/>
            <w:left w:w="108" w:type="dxa"/>
            <w:bottom w:w="0" w:type="dxa"/>
            <w:right w:w="108" w:type="dxa"/>
          </w:tblCellMar>
        </w:tblPrEx>
        <w:trPr>
          <w:gridAfter w:val="1"/>
          <w:wAfter w:w="22" w:type="dxa"/>
          <w:trHeight w:val="39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292D6E2">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2.5.10植保喷药时，</w:t>
            </w:r>
            <w:r>
              <w:rPr>
                <w:rFonts w:hint="eastAsia" w:ascii="仿宋_GB2312" w:hAnsi="宋体" w:eastAsia="仿宋_GB2312" w:cs="宋体"/>
                <w:kern w:val="0"/>
                <w:sz w:val="18"/>
                <w:szCs w:val="18"/>
              </w:rPr>
              <w:t>未错峰客流，扣</w:t>
            </w:r>
            <w:r>
              <w:rPr>
                <w:rFonts w:ascii="仿宋_GB2312" w:hAnsi="宋体" w:eastAsia="仿宋_GB2312" w:cs="宋体"/>
                <w:kern w:val="0"/>
                <w:sz w:val="18"/>
                <w:szCs w:val="18"/>
              </w:rPr>
              <w:t>2分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nil"/>
              <w:right w:val="single" w:color="auto" w:sz="4" w:space="0"/>
            </w:tcBorders>
            <w:vAlign w:val="center"/>
          </w:tcPr>
          <w:p w14:paraId="462688F6">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single" w:color="auto" w:sz="4" w:space="0"/>
            </w:tcBorders>
            <w:shd w:val="clear" w:color="auto" w:fill="auto"/>
            <w:vAlign w:val="center"/>
          </w:tcPr>
          <w:p w14:paraId="13873E7A">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nil"/>
              <w:right w:val="single" w:color="auto" w:sz="4" w:space="0"/>
            </w:tcBorders>
            <w:vAlign w:val="center"/>
          </w:tcPr>
          <w:p w14:paraId="08777D75">
            <w:pPr>
              <w:widowControl/>
              <w:jc w:val="left"/>
              <w:rPr>
                <w:rFonts w:ascii="仿宋_GB2312" w:hAnsi="宋体" w:eastAsia="仿宋_GB2312" w:cs="宋体"/>
                <w:kern w:val="0"/>
                <w:sz w:val="18"/>
                <w:szCs w:val="18"/>
              </w:rPr>
            </w:pPr>
          </w:p>
        </w:tc>
      </w:tr>
      <w:tr w14:paraId="75F7DBD1">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7BFD621">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小计</w:t>
            </w:r>
          </w:p>
        </w:tc>
        <w:tc>
          <w:tcPr>
            <w:tcW w:w="1418" w:type="dxa"/>
            <w:gridSpan w:val="3"/>
            <w:tcBorders>
              <w:top w:val="single" w:color="auto" w:sz="4" w:space="0"/>
              <w:left w:val="nil"/>
              <w:bottom w:val="single" w:color="auto" w:sz="4" w:space="0"/>
              <w:right w:val="nil"/>
            </w:tcBorders>
            <w:shd w:val="clear" w:color="auto" w:fill="auto"/>
            <w:vAlign w:val="center"/>
          </w:tcPr>
          <w:p w14:paraId="786C5854">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8B39D9">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8577CF9">
        <w:tblPrEx>
          <w:tblCellMar>
            <w:top w:w="0" w:type="dxa"/>
            <w:left w:w="108" w:type="dxa"/>
            <w:bottom w:w="0" w:type="dxa"/>
            <w:right w:w="108" w:type="dxa"/>
          </w:tblCellMar>
        </w:tblPrEx>
        <w:trPr>
          <w:gridAfter w:val="1"/>
          <w:wAfter w:w="22" w:type="dxa"/>
          <w:trHeight w:val="420" w:hRule="atLeast"/>
        </w:trPr>
        <w:tc>
          <w:tcPr>
            <w:tcW w:w="3500" w:type="dxa"/>
            <w:tcBorders>
              <w:top w:val="nil"/>
              <w:left w:val="single" w:color="auto" w:sz="4" w:space="0"/>
              <w:bottom w:val="single" w:color="auto" w:sz="4" w:space="0"/>
              <w:right w:val="nil"/>
            </w:tcBorders>
            <w:shd w:val="clear" w:color="auto" w:fill="auto"/>
            <w:vAlign w:val="center"/>
          </w:tcPr>
          <w:p w14:paraId="51F427B5">
            <w:pPr>
              <w:widowControl/>
              <w:jc w:val="left"/>
              <w:rPr>
                <w:rFonts w:ascii="仿宋_GB2312" w:hAnsi="宋体" w:eastAsia="仿宋_GB2312" w:cs="宋体"/>
                <w:b/>
                <w:bCs/>
                <w:kern w:val="0"/>
                <w:sz w:val="18"/>
                <w:szCs w:val="18"/>
              </w:rPr>
            </w:pPr>
            <w:r>
              <w:rPr>
                <w:rFonts w:ascii="仿宋_GB2312" w:hAnsi="宋体" w:eastAsia="仿宋_GB2312" w:cs="宋体"/>
                <w:b/>
                <w:bCs/>
                <w:kern w:val="0"/>
                <w:sz w:val="18"/>
                <w:szCs w:val="18"/>
              </w:rPr>
              <w:t>3.作业人员（总计15分）</w:t>
            </w:r>
          </w:p>
        </w:tc>
        <w:tc>
          <w:tcPr>
            <w:tcW w:w="900" w:type="dxa"/>
            <w:tcBorders>
              <w:top w:val="nil"/>
              <w:left w:val="nil"/>
              <w:bottom w:val="single" w:color="auto" w:sz="4" w:space="0"/>
              <w:right w:val="nil"/>
            </w:tcBorders>
            <w:shd w:val="clear" w:color="auto" w:fill="auto"/>
            <w:vAlign w:val="center"/>
          </w:tcPr>
          <w:p w14:paraId="1E79CCF5">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900" w:type="dxa"/>
            <w:tcBorders>
              <w:top w:val="nil"/>
              <w:left w:val="nil"/>
              <w:bottom w:val="single" w:color="auto" w:sz="4" w:space="0"/>
              <w:right w:val="nil"/>
            </w:tcBorders>
            <w:shd w:val="clear" w:color="auto" w:fill="auto"/>
            <w:vAlign w:val="center"/>
          </w:tcPr>
          <w:p w14:paraId="7C19DBEE">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1646" w:type="dxa"/>
            <w:tcBorders>
              <w:top w:val="nil"/>
              <w:left w:val="nil"/>
              <w:bottom w:val="single" w:color="auto" w:sz="4" w:space="0"/>
              <w:right w:val="nil"/>
            </w:tcBorders>
            <w:shd w:val="clear" w:color="auto" w:fill="auto"/>
            <w:vAlign w:val="center"/>
          </w:tcPr>
          <w:p w14:paraId="582244ED">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734" w:type="dxa"/>
            <w:tcBorders>
              <w:top w:val="nil"/>
              <w:left w:val="nil"/>
              <w:bottom w:val="single" w:color="auto" w:sz="4" w:space="0"/>
              <w:right w:val="nil"/>
            </w:tcBorders>
            <w:shd w:val="clear" w:color="auto" w:fill="auto"/>
            <w:vAlign w:val="center"/>
          </w:tcPr>
          <w:p w14:paraId="14B91F55">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684" w:type="dxa"/>
            <w:gridSpan w:val="2"/>
            <w:tcBorders>
              <w:top w:val="nil"/>
              <w:left w:val="nil"/>
              <w:bottom w:val="single" w:color="auto" w:sz="4" w:space="0"/>
              <w:right w:val="nil"/>
            </w:tcBorders>
            <w:shd w:val="clear" w:color="auto" w:fill="auto"/>
            <w:vAlign w:val="center"/>
          </w:tcPr>
          <w:p w14:paraId="3C713CC4">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c>
          <w:tcPr>
            <w:tcW w:w="850" w:type="dxa"/>
            <w:gridSpan w:val="2"/>
            <w:tcBorders>
              <w:top w:val="nil"/>
              <w:left w:val="nil"/>
              <w:bottom w:val="single" w:color="auto" w:sz="4" w:space="0"/>
              <w:right w:val="single" w:color="auto" w:sz="4" w:space="0"/>
            </w:tcBorders>
            <w:shd w:val="clear" w:color="auto" w:fill="auto"/>
            <w:vAlign w:val="center"/>
          </w:tcPr>
          <w:p w14:paraId="7F2228E6">
            <w:pPr>
              <w:widowControl/>
              <w:jc w:val="left"/>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　</w:t>
            </w:r>
          </w:p>
        </w:tc>
      </w:tr>
      <w:tr w14:paraId="134C49A0">
        <w:tblPrEx>
          <w:tblCellMar>
            <w:top w:w="0" w:type="dxa"/>
            <w:left w:w="108" w:type="dxa"/>
            <w:bottom w:w="0" w:type="dxa"/>
            <w:right w:w="108" w:type="dxa"/>
          </w:tblCellMar>
        </w:tblPrEx>
        <w:trPr>
          <w:gridAfter w:val="1"/>
          <w:wAfter w:w="22" w:type="dxa"/>
          <w:trHeight w:val="34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AFEBC4D">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3.1</w:t>
            </w:r>
            <w:r>
              <w:rPr>
                <w:rFonts w:hint="eastAsia" w:ascii="仿宋_GB2312" w:hAnsi="宋体" w:eastAsia="仿宋_GB2312" w:cs="宋体"/>
                <w:kern w:val="0"/>
                <w:sz w:val="18"/>
                <w:szCs w:val="18"/>
              </w:rPr>
              <w:t>工作期间需着统一工作服，未穿着每人每次扣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restart"/>
            <w:tcBorders>
              <w:top w:val="nil"/>
              <w:left w:val="single" w:color="auto" w:sz="4" w:space="0"/>
              <w:bottom w:val="single" w:color="auto" w:sz="4" w:space="0"/>
              <w:right w:val="single" w:color="auto" w:sz="4" w:space="0"/>
            </w:tcBorders>
            <w:shd w:val="clear" w:color="auto" w:fill="auto"/>
            <w:vAlign w:val="center"/>
          </w:tcPr>
          <w:p w14:paraId="3343B0DD">
            <w:pPr>
              <w:widowControl/>
              <w:spacing w:after="120"/>
              <w:ind w:left="420" w:leftChars="200"/>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684" w:type="dxa"/>
            <w:gridSpan w:val="2"/>
            <w:tcBorders>
              <w:top w:val="nil"/>
              <w:left w:val="nil"/>
              <w:bottom w:val="single" w:color="auto" w:sz="4" w:space="0"/>
              <w:right w:val="nil"/>
            </w:tcBorders>
            <w:shd w:val="clear" w:color="auto" w:fill="auto"/>
            <w:vAlign w:val="center"/>
          </w:tcPr>
          <w:p w14:paraId="5791F01C">
            <w:pPr>
              <w:widowControl/>
              <w:spacing w:after="120"/>
              <w:ind w:left="420" w:leftChars="200"/>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38CF2FC1">
            <w:pPr>
              <w:widowControl/>
              <w:spacing w:after="120"/>
              <w:ind w:left="420" w:leftChars="20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该部分将对参考日常巡查台账记录评定。</w:t>
            </w:r>
          </w:p>
        </w:tc>
      </w:tr>
      <w:tr w14:paraId="0D6A5D05">
        <w:tblPrEx>
          <w:tblCellMar>
            <w:top w:w="0" w:type="dxa"/>
            <w:left w:w="108" w:type="dxa"/>
            <w:bottom w:w="0" w:type="dxa"/>
            <w:right w:w="108" w:type="dxa"/>
          </w:tblCellMar>
        </w:tblPrEx>
        <w:trPr>
          <w:gridAfter w:val="1"/>
          <w:wAfter w:w="22" w:type="dxa"/>
          <w:trHeight w:val="61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58DF0B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3.2工作时间从事与岗位无关事务，包括聚众闲聊，翻园内垃圾箱收集废品，晾晒衣物，种菜（含生产区）等，</w:t>
            </w:r>
            <w:r>
              <w:rPr>
                <w:rFonts w:hint="eastAsia" w:ascii="仿宋_GB2312" w:hAnsi="宋体" w:eastAsia="仿宋_GB2312" w:cs="宋体"/>
                <w:kern w:val="0"/>
                <w:sz w:val="18"/>
                <w:szCs w:val="18"/>
              </w:rPr>
              <w:t>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773AAF2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42E2DCA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798541F9">
            <w:pPr>
              <w:widowControl/>
              <w:jc w:val="left"/>
              <w:rPr>
                <w:rFonts w:ascii="仿宋_GB2312" w:hAnsi="宋体" w:eastAsia="仿宋_GB2312" w:cs="宋体"/>
                <w:kern w:val="0"/>
                <w:sz w:val="18"/>
                <w:szCs w:val="18"/>
              </w:rPr>
            </w:pPr>
          </w:p>
        </w:tc>
      </w:tr>
      <w:tr w14:paraId="621B6804">
        <w:tblPrEx>
          <w:tblCellMar>
            <w:top w:w="0" w:type="dxa"/>
            <w:left w:w="108" w:type="dxa"/>
            <w:bottom w:w="0" w:type="dxa"/>
            <w:right w:w="108" w:type="dxa"/>
          </w:tblCellMar>
        </w:tblPrEx>
        <w:trPr>
          <w:gridAfter w:val="1"/>
          <w:wAfter w:w="22" w:type="dxa"/>
          <w:trHeight w:val="58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AF41E6B">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3.3工作时间有在园内睡觉、</w:t>
            </w:r>
            <w:r>
              <w:rPr>
                <w:rFonts w:hint="eastAsia" w:ascii="仿宋_GB2312" w:hAnsi="宋体" w:eastAsia="仿宋_GB2312" w:cs="宋体"/>
                <w:kern w:val="0"/>
                <w:sz w:val="18"/>
                <w:szCs w:val="18"/>
              </w:rPr>
              <w:t>展示区内抽烟、讲粗话脏话等不文明行为，每次扣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5BB77B35">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13119E83">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7CA4D870">
            <w:pPr>
              <w:widowControl/>
              <w:jc w:val="left"/>
              <w:rPr>
                <w:rFonts w:ascii="仿宋_GB2312" w:hAnsi="宋体" w:eastAsia="仿宋_GB2312" w:cs="宋体"/>
                <w:kern w:val="0"/>
                <w:sz w:val="18"/>
                <w:szCs w:val="18"/>
              </w:rPr>
            </w:pPr>
          </w:p>
        </w:tc>
      </w:tr>
      <w:tr w14:paraId="43B9F12C">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EE25F4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3.4在</w:t>
            </w:r>
            <w:r>
              <w:rPr>
                <w:rFonts w:hint="eastAsia" w:ascii="仿宋_GB2312" w:hAnsi="宋体" w:eastAsia="仿宋_GB2312" w:cs="宋体"/>
                <w:kern w:val="0"/>
                <w:sz w:val="18"/>
                <w:szCs w:val="18"/>
              </w:rPr>
              <w:t>园内开放区域堆放杂物及私人物品，每次扣</w:t>
            </w:r>
            <w:r>
              <w:rPr>
                <w:rFonts w:ascii="仿宋_GB2312" w:hAnsi="宋体" w:eastAsia="仿宋_GB2312" w:cs="宋体"/>
                <w:kern w:val="0"/>
                <w:sz w:val="18"/>
                <w:szCs w:val="18"/>
              </w:rPr>
              <w:t>3分；</w:t>
            </w:r>
          </w:p>
        </w:tc>
        <w:tc>
          <w:tcPr>
            <w:tcW w:w="734" w:type="dxa"/>
            <w:vMerge w:val="continue"/>
            <w:tcBorders>
              <w:top w:val="nil"/>
              <w:left w:val="single" w:color="auto" w:sz="4" w:space="0"/>
              <w:bottom w:val="single" w:color="auto" w:sz="4" w:space="0"/>
              <w:right w:val="single" w:color="auto" w:sz="4" w:space="0"/>
            </w:tcBorders>
            <w:vAlign w:val="center"/>
          </w:tcPr>
          <w:p w14:paraId="4247E004">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4D65466D">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3DDA2E10">
            <w:pPr>
              <w:widowControl/>
              <w:jc w:val="left"/>
              <w:rPr>
                <w:rFonts w:ascii="仿宋_GB2312" w:hAnsi="宋体" w:eastAsia="仿宋_GB2312" w:cs="宋体"/>
                <w:kern w:val="0"/>
                <w:sz w:val="18"/>
                <w:szCs w:val="18"/>
              </w:rPr>
            </w:pPr>
          </w:p>
        </w:tc>
      </w:tr>
      <w:tr w14:paraId="19CA07F9">
        <w:tblPrEx>
          <w:tblCellMar>
            <w:top w:w="0" w:type="dxa"/>
            <w:left w:w="108" w:type="dxa"/>
            <w:bottom w:w="0" w:type="dxa"/>
            <w:right w:w="108" w:type="dxa"/>
          </w:tblCellMar>
        </w:tblPrEx>
        <w:trPr>
          <w:gridAfter w:val="1"/>
          <w:wAfter w:w="22" w:type="dxa"/>
          <w:trHeight w:val="330"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FD9D6A3">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3.5与游客或园内工作人员发生争执，</w:t>
            </w:r>
            <w:r>
              <w:rPr>
                <w:rFonts w:hint="eastAsia" w:ascii="仿宋_GB2312" w:hAnsi="宋体" w:eastAsia="仿宋_GB2312" w:cs="宋体"/>
                <w:kern w:val="0"/>
                <w:sz w:val="18"/>
                <w:szCs w:val="18"/>
              </w:rPr>
              <w:t>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16A28599">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41A7B53F">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3D555A1B">
            <w:pPr>
              <w:widowControl/>
              <w:jc w:val="left"/>
              <w:rPr>
                <w:rFonts w:ascii="仿宋_GB2312" w:hAnsi="宋体" w:eastAsia="仿宋_GB2312" w:cs="宋体"/>
                <w:kern w:val="0"/>
                <w:sz w:val="18"/>
                <w:szCs w:val="18"/>
              </w:rPr>
            </w:pPr>
          </w:p>
        </w:tc>
      </w:tr>
      <w:tr w14:paraId="37F13396">
        <w:tblPrEx>
          <w:tblCellMar>
            <w:top w:w="0" w:type="dxa"/>
            <w:left w:w="108" w:type="dxa"/>
            <w:bottom w:w="0" w:type="dxa"/>
            <w:right w:w="108" w:type="dxa"/>
          </w:tblCellMar>
        </w:tblPrEx>
        <w:trPr>
          <w:gridAfter w:val="1"/>
          <w:wAfter w:w="22" w:type="dxa"/>
          <w:trHeight w:val="61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386BFC5">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3.6在</w:t>
            </w:r>
            <w:r>
              <w:rPr>
                <w:rFonts w:hint="eastAsia" w:ascii="仿宋_GB2312" w:hAnsi="宋体" w:eastAsia="仿宋_GB2312" w:cs="宋体"/>
                <w:kern w:val="0"/>
                <w:sz w:val="18"/>
                <w:szCs w:val="18"/>
              </w:rPr>
              <w:t>园期间发生未规范使用车辆情况（包括无证驾驶，驾驶无牌车辆，临停未熄火等），每次扣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0671DB86">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2B73FF5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5F22615D">
            <w:pPr>
              <w:widowControl/>
              <w:jc w:val="left"/>
              <w:rPr>
                <w:rFonts w:ascii="仿宋_GB2312" w:hAnsi="宋体" w:eastAsia="仿宋_GB2312" w:cs="宋体"/>
                <w:kern w:val="0"/>
                <w:sz w:val="18"/>
                <w:szCs w:val="18"/>
              </w:rPr>
            </w:pPr>
          </w:p>
        </w:tc>
      </w:tr>
      <w:tr w14:paraId="5F8878F7">
        <w:tblPrEx>
          <w:tblCellMar>
            <w:top w:w="0" w:type="dxa"/>
            <w:left w:w="108" w:type="dxa"/>
            <w:bottom w:w="0" w:type="dxa"/>
            <w:right w:w="108" w:type="dxa"/>
          </w:tblCellMar>
        </w:tblPrEx>
        <w:trPr>
          <w:gridAfter w:val="1"/>
          <w:wAfter w:w="22" w:type="dxa"/>
          <w:trHeight w:val="61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6F9796F">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3.7违反园内规章制度</w:t>
            </w:r>
            <w:r>
              <w:rPr>
                <w:rFonts w:hint="eastAsia" w:ascii="仿宋_GB2312" w:hAnsi="宋体" w:eastAsia="仿宋_GB2312" w:cs="宋体"/>
                <w:kern w:val="0"/>
                <w:sz w:val="18"/>
                <w:szCs w:val="18"/>
              </w:rPr>
              <w:t>（含常态化防疫要求），每次扣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，累计</w:t>
            </w:r>
            <w:r>
              <w:rPr>
                <w:rFonts w:ascii="仿宋_GB2312" w:hAnsi="宋体" w:eastAsia="仿宋_GB2312" w:cs="宋体"/>
                <w:kern w:val="0"/>
                <w:sz w:val="18"/>
                <w:szCs w:val="18"/>
              </w:rPr>
              <w:t>3次以上（含3次），当月考核不合格；</w:t>
            </w:r>
          </w:p>
        </w:tc>
        <w:tc>
          <w:tcPr>
            <w:tcW w:w="734" w:type="dxa"/>
            <w:vMerge w:val="continue"/>
            <w:tcBorders>
              <w:top w:val="nil"/>
              <w:left w:val="single" w:color="auto" w:sz="4" w:space="0"/>
              <w:bottom w:val="single" w:color="auto" w:sz="4" w:space="0"/>
              <w:right w:val="single" w:color="auto" w:sz="4" w:space="0"/>
            </w:tcBorders>
            <w:vAlign w:val="center"/>
          </w:tcPr>
          <w:p w14:paraId="6A8AE2D1">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5A2957E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54234753">
            <w:pPr>
              <w:widowControl/>
              <w:jc w:val="left"/>
              <w:rPr>
                <w:rFonts w:ascii="仿宋_GB2312" w:hAnsi="宋体" w:eastAsia="仿宋_GB2312" w:cs="宋体"/>
                <w:kern w:val="0"/>
                <w:sz w:val="18"/>
                <w:szCs w:val="18"/>
              </w:rPr>
            </w:pPr>
          </w:p>
        </w:tc>
      </w:tr>
      <w:tr w14:paraId="3FD9BD3D">
        <w:tblPrEx>
          <w:tblCellMar>
            <w:top w:w="0" w:type="dxa"/>
            <w:left w:w="108" w:type="dxa"/>
            <w:bottom w:w="0" w:type="dxa"/>
            <w:right w:w="108" w:type="dxa"/>
          </w:tblCellMar>
        </w:tblPrEx>
        <w:trPr>
          <w:gridAfter w:val="1"/>
          <w:wAfter w:w="22" w:type="dxa"/>
          <w:trHeight w:val="375" w:hRule="atLeast"/>
        </w:trPr>
        <w:tc>
          <w:tcPr>
            <w:tcW w:w="694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5A6E948">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3.8机械作业时，未持证上岗，</w:t>
            </w:r>
            <w:r>
              <w:rPr>
                <w:rFonts w:hint="eastAsia" w:ascii="仿宋_GB2312" w:hAnsi="宋体" w:eastAsia="仿宋_GB2312" w:cs="宋体"/>
                <w:kern w:val="0"/>
                <w:sz w:val="18"/>
                <w:szCs w:val="18"/>
              </w:rPr>
              <w:t>每次扣</w:t>
            </w:r>
            <w:r>
              <w:rPr>
                <w:rFonts w:ascii="仿宋_GB2312" w:hAnsi="宋体" w:eastAsia="仿宋_GB2312" w:cs="宋体"/>
                <w:kern w:val="0"/>
                <w:sz w:val="18"/>
                <w:szCs w:val="18"/>
              </w:rPr>
              <w:t>3分</w:t>
            </w:r>
            <w:r>
              <w:rPr>
                <w:rFonts w:hint="eastAsia" w:ascii="仿宋_GB2312" w:hAnsi="宋体" w:eastAsia="仿宋_GB2312" w:cs="宋体"/>
                <w:kern w:val="0"/>
                <w:sz w:val="18"/>
                <w:szCs w:val="18"/>
              </w:rPr>
              <w:t>。</w:t>
            </w:r>
          </w:p>
        </w:tc>
        <w:tc>
          <w:tcPr>
            <w:tcW w:w="734" w:type="dxa"/>
            <w:vMerge w:val="continue"/>
            <w:tcBorders>
              <w:top w:val="nil"/>
              <w:left w:val="single" w:color="auto" w:sz="4" w:space="0"/>
              <w:bottom w:val="single" w:color="auto" w:sz="4" w:space="0"/>
              <w:right w:val="single" w:color="auto" w:sz="4" w:space="0"/>
            </w:tcBorders>
            <w:vAlign w:val="center"/>
          </w:tcPr>
          <w:p w14:paraId="3A57C24F">
            <w:pPr>
              <w:widowControl/>
              <w:jc w:val="left"/>
              <w:rPr>
                <w:rFonts w:ascii="仿宋_GB2312" w:hAnsi="宋体" w:eastAsia="仿宋_GB2312" w:cs="宋体"/>
                <w:kern w:val="0"/>
                <w:sz w:val="18"/>
                <w:szCs w:val="18"/>
              </w:rPr>
            </w:pPr>
          </w:p>
        </w:tc>
        <w:tc>
          <w:tcPr>
            <w:tcW w:w="684" w:type="dxa"/>
            <w:gridSpan w:val="2"/>
            <w:tcBorders>
              <w:top w:val="nil"/>
              <w:left w:val="nil"/>
              <w:bottom w:val="single" w:color="auto" w:sz="4" w:space="0"/>
              <w:right w:val="nil"/>
            </w:tcBorders>
            <w:shd w:val="clear" w:color="auto" w:fill="auto"/>
            <w:vAlign w:val="center"/>
          </w:tcPr>
          <w:p w14:paraId="6D39C3B6">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vMerge w:val="continue"/>
            <w:tcBorders>
              <w:top w:val="nil"/>
              <w:left w:val="single" w:color="auto" w:sz="4" w:space="0"/>
              <w:bottom w:val="single" w:color="auto" w:sz="4" w:space="0"/>
              <w:right w:val="single" w:color="auto" w:sz="4" w:space="0"/>
            </w:tcBorders>
            <w:vAlign w:val="center"/>
          </w:tcPr>
          <w:p w14:paraId="67A4076D">
            <w:pPr>
              <w:widowControl/>
              <w:jc w:val="left"/>
              <w:rPr>
                <w:rFonts w:ascii="仿宋_GB2312" w:hAnsi="宋体" w:eastAsia="仿宋_GB2312" w:cs="宋体"/>
                <w:kern w:val="0"/>
                <w:sz w:val="18"/>
                <w:szCs w:val="18"/>
              </w:rPr>
            </w:pPr>
          </w:p>
        </w:tc>
      </w:tr>
      <w:tr w14:paraId="110C9692">
        <w:tblPrEx>
          <w:tblCellMar>
            <w:top w:w="0" w:type="dxa"/>
            <w:left w:w="108" w:type="dxa"/>
            <w:bottom w:w="0" w:type="dxa"/>
            <w:right w:w="108" w:type="dxa"/>
          </w:tblCellMar>
        </w:tblPrEx>
        <w:trPr>
          <w:gridAfter w:val="1"/>
          <w:wAfter w:w="22" w:type="dxa"/>
          <w:trHeight w:val="315"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1CBFBF69">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小计</w:t>
            </w:r>
          </w:p>
        </w:tc>
        <w:tc>
          <w:tcPr>
            <w:tcW w:w="1418" w:type="dxa"/>
            <w:gridSpan w:val="3"/>
            <w:tcBorders>
              <w:top w:val="single" w:color="auto" w:sz="4" w:space="0"/>
              <w:left w:val="nil"/>
              <w:bottom w:val="single" w:color="auto" w:sz="4" w:space="0"/>
              <w:right w:val="nil"/>
            </w:tcBorders>
            <w:shd w:val="clear" w:color="auto" w:fill="auto"/>
            <w:vAlign w:val="center"/>
          </w:tcPr>
          <w:p w14:paraId="01663948">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single" w:color="auto" w:sz="4" w:space="0"/>
              <w:bottom w:val="single" w:color="auto" w:sz="4" w:space="0"/>
              <w:right w:val="single" w:color="auto" w:sz="4" w:space="0"/>
            </w:tcBorders>
            <w:shd w:val="clear" w:color="auto" w:fill="auto"/>
            <w:vAlign w:val="center"/>
          </w:tcPr>
          <w:p w14:paraId="5D9092BC">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D5DDAFA">
        <w:tblPrEx>
          <w:tblCellMar>
            <w:top w:w="0" w:type="dxa"/>
            <w:left w:w="108" w:type="dxa"/>
            <w:bottom w:w="0" w:type="dxa"/>
            <w:right w:w="108" w:type="dxa"/>
          </w:tblCellMar>
        </w:tblPrEx>
        <w:trPr>
          <w:gridAfter w:val="1"/>
          <w:wAfter w:w="22" w:type="dxa"/>
          <w:trHeight w:val="360" w:hRule="atLeast"/>
        </w:trPr>
        <w:tc>
          <w:tcPr>
            <w:tcW w:w="6946"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14:paraId="47F692E6">
            <w:pPr>
              <w:widowControl/>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总计</w:t>
            </w:r>
          </w:p>
        </w:tc>
        <w:tc>
          <w:tcPr>
            <w:tcW w:w="1418" w:type="dxa"/>
            <w:gridSpan w:val="3"/>
            <w:tcBorders>
              <w:top w:val="single" w:color="auto" w:sz="4" w:space="0"/>
              <w:left w:val="nil"/>
              <w:bottom w:val="single" w:color="auto" w:sz="4" w:space="0"/>
              <w:right w:val="nil"/>
            </w:tcBorders>
            <w:shd w:val="clear" w:color="auto" w:fill="auto"/>
            <w:vAlign w:val="center"/>
          </w:tcPr>
          <w:p w14:paraId="510446E1">
            <w:pPr>
              <w:widowControl/>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850" w:type="dxa"/>
            <w:gridSpan w:val="2"/>
            <w:tcBorders>
              <w:top w:val="nil"/>
              <w:left w:val="single" w:color="auto" w:sz="4" w:space="0"/>
              <w:bottom w:val="single" w:color="auto" w:sz="4" w:space="0"/>
              <w:right w:val="single" w:color="auto" w:sz="4" w:space="0"/>
            </w:tcBorders>
            <w:shd w:val="clear" w:color="auto" w:fill="auto"/>
            <w:vAlign w:val="center"/>
          </w:tcPr>
          <w:p w14:paraId="1CCA89AB">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CC3A7B9">
        <w:tblPrEx>
          <w:tblCellMar>
            <w:top w:w="0" w:type="dxa"/>
            <w:left w:w="108" w:type="dxa"/>
            <w:bottom w:w="0" w:type="dxa"/>
            <w:right w:w="108" w:type="dxa"/>
          </w:tblCellMar>
        </w:tblPrEx>
        <w:trPr>
          <w:trHeight w:val="360" w:hRule="atLeast"/>
        </w:trPr>
        <w:tc>
          <w:tcPr>
            <w:tcW w:w="3500" w:type="dxa"/>
            <w:tcBorders>
              <w:top w:val="nil"/>
              <w:left w:val="nil"/>
              <w:bottom w:val="nil"/>
              <w:right w:val="nil"/>
            </w:tcBorders>
            <w:shd w:val="clear" w:color="auto" w:fill="auto"/>
            <w:vAlign w:val="center"/>
          </w:tcPr>
          <w:p w14:paraId="42F75A2D">
            <w:pPr>
              <w:widowControl/>
              <w:jc w:val="left"/>
              <w:rPr>
                <w:rFonts w:ascii="仿宋_GB2312" w:hAnsi="宋体" w:eastAsia="仿宋_GB2312" w:cs="宋体"/>
                <w:b/>
                <w:bCs/>
                <w:kern w:val="0"/>
                <w:sz w:val="24"/>
              </w:rPr>
            </w:pPr>
            <w:r>
              <w:rPr>
                <w:rFonts w:hint="eastAsia" w:ascii="仿宋_GB2312" w:hAnsi="宋体" w:eastAsia="仿宋_GB2312" w:cs="宋体"/>
                <w:b/>
                <w:bCs/>
                <w:kern w:val="0"/>
                <w:sz w:val="24"/>
              </w:rPr>
              <w:t>说明：</w:t>
            </w:r>
          </w:p>
        </w:tc>
        <w:tc>
          <w:tcPr>
            <w:tcW w:w="900" w:type="dxa"/>
            <w:tcBorders>
              <w:top w:val="nil"/>
              <w:left w:val="nil"/>
              <w:bottom w:val="nil"/>
              <w:right w:val="nil"/>
            </w:tcBorders>
            <w:shd w:val="clear" w:color="auto" w:fill="auto"/>
            <w:vAlign w:val="center"/>
          </w:tcPr>
          <w:p w14:paraId="69FC2C4E">
            <w:pPr>
              <w:widowControl/>
              <w:jc w:val="left"/>
              <w:rPr>
                <w:rFonts w:ascii="仿宋_GB2312" w:hAnsi="宋体" w:eastAsia="仿宋_GB2312" w:cs="宋体"/>
                <w:b/>
                <w:bCs/>
                <w:kern w:val="0"/>
                <w:sz w:val="24"/>
              </w:rPr>
            </w:pPr>
          </w:p>
        </w:tc>
        <w:tc>
          <w:tcPr>
            <w:tcW w:w="900" w:type="dxa"/>
            <w:tcBorders>
              <w:top w:val="nil"/>
              <w:left w:val="nil"/>
              <w:bottom w:val="nil"/>
              <w:right w:val="nil"/>
            </w:tcBorders>
            <w:shd w:val="clear" w:color="auto" w:fill="auto"/>
            <w:vAlign w:val="center"/>
          </w:tcPr>
          <w:p w14:paraId="489D8EC4">
            <w:pPr>
              <w:widowControl/>
              <w:jc w:val="left"/>
              <w:rPr>
                <w:rFonts w:ascii="仿宋_GB2312" w:hAnsi="宋体" w:eastAsia="仿宋_GB2312" w:cs="宋体"/>
                <w:b/>
                <w:bCs/>
                <w:kern w:val="0"/>
                <w:sz w:val="24"/>
              </w:rPr>
            </w:pPr>
          </w:p>
        </w:tc>
        <w:tc>
          <w:tcPr>
            <w:tcW w:w="2380" w:type="dxa"/>
            <w:gridSpan w:val="2"/>
            <w:tcBorders>
              <w:top w:val="nil"/>
              <w:left w:val="nil"/>
              <w:bottom w:val="nil"/>
              <w:right w:val="nil"/>
            </w:tcBorders>
            <w:shd w:val="clear" w:color="auto" w:fill="auto"/>
            <w:vAlign w:val="center"/>
          </w:tcPr>
          <w:p w14:paraId="3C4E8887">
            <w:pPr>
              <w:widowControl/>
              <w:jc w:val="left"/>
              <w:rPr>
                <w:rFonts w:ascii="仿宋_GB2312" w:hAnsi="宋体" w:eastAsia="仿宋_GB2312" w:cs="宋体"/>
                <w:b/>
                <w:bCs/>
                <w:kern w:val="0"/>
                <w:sz w:val="24"/>
              </w:rPr>
            </w:pPr>
          </w:p>
        </w:tc>
        <w:tc>
          <w:tcPr>
            <w:tcW w:w="600" w:type="dxa"/>
            <w:tcBorders>
              <w:top w:val="nil"/>
              <w:left w:val="nil"/>
              <w:bottom w:val="nil"/>
              <w:right w:val="nil"/>
            </w:tcBorders>
            <w:shd w:val="clear" w:color="auto" w:fill="auto"/>
            <w:vAlign w:val="center"/>
          </w:tcPr>
          <w:p w14:paraId="048BF99D">
            <w:pPr>
              <w:widowControl/>
              <w:jc w:val="center"/>
              <w:rPr>
                <w:rFonts w:ascii="仿宋_GB2312" w:hAnsi="宋体" w:eastAsia="仿宋_GB2312" w:cs="宋体"/>
                <w:kern w:val="0"/>
                <w:sz w:val="24"/>
              </w:rPr>
            </w:pPr>
          </w:p>
        </w:tc>
        <w:tc>
          <w:tcPr>
            <w:tcW w:w="720" w:type="dxa"/>
            <w:gridSpan w:val="2"/>
            <w:tcBorders>
              <w:top w:val="nil"/>
              <w:left w:val="nil"/>
              <w:bottom w:val="nil"/>
              <w:right w:val="nil"/>
            </w:tcBorders>
            <w:shd w:val="clear" w:color="auto" w:fill="auto"/>
            <w:vAlign w:val="center"/>
          </w:tcPr>
          <w:p w14:paraId="19BA48C5">
            <w:pPr>
              <w:widowControl/>
              <w:jc w:val="left"/>
              <w:rPr>
                <w:rFonts w:ascii="仿宋_GB2312" w:hAnsi="宋体" w:eastAsia="仿宋_GB2312" w:cs="宋体"/>
                <w:kern w:val="0"/>
                <w:sz w:val="24"/>
              </w:rPr>
            </w:pPr>
          </w:p>
        </w:tc>
        <w:tc>
          <w:tcPr>
            <w:tcW w:w="236" w:type="dxa"/>
            <w:gridSpan w:val="2"/>
            <w:tcBorders>
              <w:top w:val="nil"/>
              <w:left w:val="nil"/>
              <w:bottom w:val="nil"/>
              <w:right w:val="nil"/>
            </w:tcBorders>
            <w:shd w:val="clear" w:color="auto" w:fill="auto"/>
            <w:vAlign w:val="center"/>
          </w:tcPr>
          <w:p w14:paraId="20D8D1BA">
            <w:pPr>
              <w:widowControl/>
              <w:jc w:val="left"/>
              <w:rPr>
                <w:rFonts w:ascii="仿宋_GB2312" w:hAnsi="宋体" w:eastAsia="仿宋_GB2312" w:cs="宋体"/>
                <w:kern w:val="0"/>
                <w:sz w:val="24"/>
              </w:rPr>
            </w:pPr>
          </w:p>
        </w:tc>
      </w:tr>
      <w:tr w14:paraId="664F5EC4">
        <w:tblPrEx>
          <w:tblCellMar>
            <w:top w:w="0" w:type="dxa"/>
            <w:left w:w="108" w:type="dxa"/>
            <w:bottom w:w="0" w:type="dxa"/>
            <w:right w:w="108" w:type="dxa"/>
          </w:tblCellMar>
        </w:tblPrEx>
        <w:trPr>
          <w:gridAfter w:val="1"/>
          <w:wAfter w:w="22" w:type="dxa"/>
          <w:trHeight w:val="570" w:hRule="atLeast"/>
        </w:trPr>
        <w:tc>
          <w:tcPr>
            <w:tcW w:w="9214" w:type="dxa"/>
            <w:gridSpan w:val="9"/>
            <w:tcBorders>
              <w:top w:val="nil"/>
              <w:left w:val="nil"/>
              <w:bottom w:val="nil"/>
              <w:right w:val="nil"/>
            </w:tcBorders>
            <w:shd w:val="clear" w:color="auto" w:fill="auto"/>
            <w:vAlign w:val="center"/>
          </w:tcPr>
          <w:p w14:paraId="6B111F18">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一、上海植物园园艺科作为园艺主管部门对养护承包单位的养护质量进行检查考核。考核的结果作为对养护承包方的养护质量评价、养护经费拨付的重要依据。</w:t>
            </w:r>
          </w:p>
        </w:tc>
      </w:tr>
      <w:tr w14:paraId="119AC75B">
        <w:tblPrEx>
          <w:tblCellMar>
            <w:top w:w="0" w:type="dxa"/>
            <w:left w:w="108" w:type="dxa"/>
            <w:bottom w:w="0" w:type="dxa"/>
            <w:right w:w="108" w:type="dxa"/>
          </w:tblCellMar>
        </w:tblPrEx>
        <w:trPr>
          <w:gridAfter w:val="1"/>
          <w:wAfter w:w="22" w:type="dxa"/>
          <w:trHeight w:val="300" w:hRule="atLeast"/>
        </w:trPr>
        <w:tc>
          <w:tcPr>
            <w:tcW w:w="9214" w:type="dxa"/>
            <w:gridSpan w:val="9"/>
            <w:tcBorders>
              <w:top w:val="nil"/>
              <w:left w:val="nil"/>
              <w:bottom w:val="nil"/>
              <w:right w:val="nil"/>
            </w:tcBorders>
            <w:shd w:val="clear" w:color="auto" w:fill="auto"/>
            <w:vAlign w:val="center"/>
          </w:tcPr>
          <w:p w14:paraId="0F0FF4F7">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二、考核标准参考《上海市园林绿化养护技术等级标准》，结合上海植物园自身实际情况编制</w:t>
            </w:r>
          </w:p>
        </w:tc>
      </w:tr>
      <w:tr w14:paraId="15D406EE">
        <w:tblPrEx>
          <w:tblCellMar>
            <w:top w:w="0" w:type="dxa"/>
            <w:left w:w="108" w:type="dxa"/>
            <w:bottom w:w="0" w:type="dxa"/>
            <w:right w:w="108" w:type="dxa"/>
          </w:tblCellMar>
        </w:tblPrEx>
        <w:trPr>
          <w:gridAfter w:val="1"/>
          <w:wAfter w:w="22" w:type="dxa"/>
          <w:trHeight w:val="300" w:hRule="atLeast"/>
        </w:trPr>
        <w:tc>
          <w:tcPr>
            <w:tcW w:w="9214" w:type="dxa"/>
            <w:gridSpan w:val="9"/>
            <w:tcBorders>
              <w:top w:val="nil"/>
              <w:left w:val="nil"/>
              <w:bottom w:val="nil"/>
              <w:right w:val="nil"/>
            </w:tcBorders>
            <w:shd w:val="clear" w:color="auto" w:fill="auto"/>
            <w:vAlign w:val="center"/>
          </w:tcPr>
          <w:p w14:paraId="6E08C03C">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三、考核总分值100 分，考核得分85分以上为合格，考核结果将作为养护保证金制度参考依据</w:t>
            </w:r>
          </w:p>
        </w:tc>
      </w:tr>
      <w:tr w14:paraId="0C5B24F6">
        <w:tblPrEx>
          <w:tblCellMar>
            <w:top w:w="0" w:type="dxa"/>
            <w:left w:w="108" w:type="dxa"/>
            <w:bottom w:w="0" w:type="dxa"/>
            <w:right w:w="108" w:type="dxa"/>
          </w:tblCellMar>
        </w:tblPrEx>
        <w:trPr>
          <w:gridAfter w:val="1"/>
          <w:wAfter w:w="22" w:type="dxa"/>
          <w:trHeight w:val="690" w:hRule="atLeast"/>
        </w:trPr>
        <w:tc>
          <w:tcPr>
            <w:tcW w:w="9214" w:type="dxa"/>
            <w:gridSpan w:val="9"/>
            <w:tcBorders>
              <w:top w:val="nil"/>
              <w:left w:val="nil"/>
              <w:bottom w:val="nil"/>
              <w:right w:val="nil"/>
            </w:tcBorders>
            <w:shd w:val="clear" w:color="auto" w:fill="auto"/>
            <w:vAlign w:val="center"/>
          </w:tcPr>
          <w:p w14:paraId="155C5E62">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四、考核周期和内容：每两月进行一次巡查考核，由园艺科、监理和养护公司共同参与。考核内容依据各专类园提供的养护月计划，分别从技术措施、养护质量、作业人员三方面，考核其工作实施、完成进度和质量情况。</w:t>
            </w:r>
          </w:p>
        </w:tc>
      </w:tr>
      <w:tr w14:paraId="103D583E">
        <w:tblPrEx>
          <w:tblCellMar>
            <w:top w:w="0" w:type="dxa"/>
            <w:left w:w="108" w:type="dxa"/>
            <w:bottom w:w="0" w:type="dxa"/>
            <w:right w:w="108" w:type="dxa"/>
          </w:tblCellMar>
        </w:tblPrEx>
        <w:trPr>
          <w:gridAfter w:val="1"/>
          <w:wAfter w:w="22" w:type="dxa"/>
          <w:trHeight w:val="555" w:hRule="atLeast"/>
        </w:trPr>
        <w:tc>
          <w:tcPr>
            <w:tcW w:w="9214" w:type="dxa"/>
            <w:gridSpan w:val="9"/>
            <w:tcBorders>
              <w:top w:val="nil"/>
              <w:left w:val="nil"/>
              <w:bottom w:val="nil"/>
              <w:right w:val="nil"/>
            </w:tcBorders>
            <w:shd w:val="clear" w:color="auto" w:fill="auto"/>
            <w:vAlign w:val="center"/>
          </w:tcPr>
          <w:p w14:paraId="6707085E">
            <w:pPr>
              <w:widowControl/>
              <w:rPr>
                <w:rFonts w:ascii="仿宋_GB2312" w:hAnsi="宋体" w:eastAsia="仿宋_GB2312" w:cs="宋体"/>
                <w:kern w:val="0"/>
                <w:sz w:val="20"/>
                <w:szCs w:val="20"/>
              </w:rPr>
            </w:pPr>
            <w:r>
              <w:rPr>
                <w:rFonts w:hint="eastAsia" w:ascii="仿宋_GB2312" w:hAnsi="宋体" w:eastAsia="仿宋_GB2312" w:cs="宋体"/>
                <w:kern w:val="0"/>
                <w:sz w:val="20"/>
                <w:szCs w:val="20"/>
              </w:rPr>
              <w:t>五、考核反馈与整改：每次考核后，园艺科将以书面形式将考核结果告知养护单位；当月养护考核后，园艺科将未达标的内容以工作联系单形式下发养护单位，养护单位在2日内必须做出书面整改回复。</w:t>
            </w:r>
          </w:p>
        </w:tc>
      </w:tr>
    </w:tbl>
    <w:p w14:paraId="091A708A">
      <w:pPr>
        <w:pStyle w:val="3"/>
        <w:keepNext w:val="0"/>
        <w:keepLines w:val="0"/>
        <w:tabs>
          <w:tab w:val="clear" w:pos="1473"/>
        </w:tabs>
        <w:snapToGrid w:val="0"/>
        <w:spacing w:before="0" w:after="0" w:line="360" w:lineRule="auto"/>
        <w:ind w:left="0" w:firstLine="562" w:firstLineChars="200"/>
        <w:jc w:val="left"/>
        <w:rPr>
          <w:rFonts w:ascii="仿宋" w:hAnsi="仿宋" w:eastAsia="仿宋"/>
          <w:sz w:val="28"/>
          <w:szCs w:val="28"/>
        </w:rPr>
      </w:pPr>
    </w:p>
    <w:p w14:paraId="5CE27604">
      <w:pPr>
        <w:adjustRightInd w:val="0"/>
        <w:snapToGrid w:val="0"/>
        <w:spacing w:line="360" w:lineRule="auto"/>
        <w:jc w:val="left"/>
        <w:rPr>
          <w:rFonts w:ascii="仿宋" w:hAnsi="仿宋" w:eastAsia="仿宋"/>
          <w:sz w:val="28"/>
          <w:szCs w:val="28"/>
        </w:rPr>
      </w:pPr>
    </w:p>
    <w:sectPr>
      <w:headerReference r:id="rId3" w:type="default"/>
      <w:footerReference r:id="rId4" w:type="default"/>
      <w:pgSz w:w="11907" w:h="16840"/>
      <w:pgMar w:top="1247" w:right="1418" w:bottom="1247" w:left="1418"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CESI黑体-GB13000"/>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文泉驿微米黑">
    <w:panose1 w:val="020B0606030804020204"/>
    <w:charset w:val="86"/>
    <w:family w:val="auto"/>
    <w:pitch w:val="default"/>
    <w:sig w:usb0="E10002EF" w:usb1="6BDFFCFB" w:usb2="00800036" w:usb3="00000000" w:csb0="603E019F" w:csb1="DFD70000"/>
  </w:font>
  <w:font w:name="等线">
    <w:altName w:val="Noto Sans CJK SC"/>
    <w:panose1 w:val="00000000000000000000"/>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等线">
    <w:altName w:val="Noto Sans CJK SC"/>
    <w:panose1 w:val="00000000000000000000"/>
    <w:charset w:val="86"/>
    <w:family w:val="auto"/>
    <w:pitch w:val="default"/>
    <w:sig w:usb0="00000000" w:usb1="00000000" w:usb2="00000000" w:usb3="00000000" w:csb0="00000000" w:csb1="00000000"/>
  </w:font>
  <w:font w:name="等线">
    <w:altName w:val="Noto Sans CJK SC"/>
    <w:panose1 w:val="00000000000000000000"/>
    <w:charset w:val="00"/>
    <w:family w:val="auto"/>
    <w:pitch w:val="default"/>
    <w:sig w:usb0="00000000" w:usb1="00000000" w:usb2="00000000" w:usb3="00000000" w:csb0="00000000" w:csb1="00000000"/>
  </w:font>
  <w:font w:name="CESI黑体-GB13000">
    <w:panose1 w:val="02000500000000000000"/>
    <w:charset w:val="86"/>
    <w:family w:val="auto"/>
    <w:pitch w:val="default"/>
    <w:sig w:usb0="800002BF" w:usb1="38CF7CF8" w:usb2="00000016" w:usb3="00000000" w:csb0="0004000F"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等线 Light">
    <w:altName w:val="国标仿宋"/>
    <w:panose1 w:val="00000000000000000000"/>
    <w:charset w:val="86"/>
    <w:family w:val="auto"/>
    <w:pitch w:val="default"/>
    <w:sig w:usb0="00000000" w:usb1="00000000" w:usb2="00000016" w:usb3="00000000" w:csb0="0004000F" w:csb1="00000000"/>
  </w:font>
  <w:font w:name="国标仿宋">
    <w:panose1 w:val="02000500000000000000"/>
    <w:charset w:val="86"/>
    <w:family w:val="auto"/>
    <w:pitch w:val="default"/>
    <w:sig w:usb0="A00002BF" w:usb1="38C77CFA" w:usb2="00000016" w:usb3="00000000" w:csb0="00060007" w:csb1="00000000"/>
  </w:font>
  <w:font w:name="方正小标宋简体">
    <w:panose1 w:val="02010601030101010101"/>
    <w:charset w:val="86"/>
    <w:family w:val="script"/>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GWZT-EN">
    <w:panose1 w:val="020204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20635"/>
    </w:sdtPr>
    <w:sdtContent>
      <w:sdt>
        <w:sdtPr>
          <w:id w:val="171357217"/>
        </w:sdtPr>
        <w:sdtContent>
          <w:p w14:paraId="201ACE49">
            <w:pPr>
              <w:pStyle w:val="12"/>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sdtContent>
      </w:sdt>
    </w:sdtContent>
  </w:sdt>
  <w:p w14:paraId="0C1FA111">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C08CF">
    <w:pPr>
      <w:jc w:val="center"/>
      <w:rPr>
        <w:color w:val="FFFFFF"/>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6679CF"/>
    <w:multiLevelType w:val="singleLevel"/>
    <w:tmpl w:val="D66679CF"/>
    <w:lvl w:ilvl="0" w:tentative="0">
      <w:start w:val="7"/>
      <w:numFmt w:val="decimal"/>
      <w:suff w:val="nothing"/>
      <w:lvlText w:val="%1、"/>
      <w:lvlJc w:val="left"/>
    </w:lvl>
  </w:abstractNum>
  <w:abstractNum w:abstractNumId="1">
    <w:nsid w:val="DFAF1AFD"/>
    <w:multiLevelType w:val="singleLevel"/>
    <w:tmpl w:val="DFAF1AFD"/>
    <w:lvl w:ilvl="0" w:tentative="0">
      <w:start w:val="1"/>
      <w:numFmt w:val="decimal"/>
      <w:lvlText w:val="%1."/>
      <w:lvlJc w:val="left"/>
      <w:pPr>
        <w:tabs>
          <w:tab w:val="left" w:pos="312"/>
        </w:tabs>
      </w:pPr>
    </w:lvl>
  </w:abstractNum>
  <w:abstractNum w:abstractNumId="2">
    <w:nsid w:val="F9FA4209"/>
    <w:multiLevelType w:val="singleLevel"/>
    <w:tmpl w:val="F9FA4209"/>
    <w:lvl w:ilvl="0" w:tentative="0">
      <w:start w:val="1"/>
      <w:numFmt w:val="decimal"/>
      <w:lvlText w:val="%1."/>
      <w:lvlJc w:val="left"/>
      <w:pPr>
        <w:tabs>
          <w:tab w:val="left" w:pos="312"/>
        </w:tabs>
      </w:pPr>
    </w:lvl>
  </w:abstractNum>
  <w:abstractNum w:abstractNumId="3">
    <w:nsid w:val="FDFFBAE2"/>
    <w:multiLevelType w:val="singleLevel"/>
    <w:tmpl w:val="FDFFBAE2"/>
    <w:lvl w:ilvl="0" w:tentative="0">
      <w:start w:val="1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lMzJiYTgyNTJkM2E5NzA5NDNiNGU0YmVkYTRiODEifQ=="/>
  </w:docVars>
  <w:rsids>
    <w:rsidRoot w:val="00183470"/>
    <w:rsid w:val="00020139"/>
    <w:rsid w:val="00020460"/>
    <w:rsid w:val="00054E75"/>
    <w:rsid w:val="000722D8"/>
    <w:rsid w:val="00073945"/>
    <w:rsid w:val="000843B8"/>
    <w:rsid w:val="001009F4"/>
    <w:rsid w:val="00126E6A"/>
    <w:rsid w:val="00134C22"/>
    <w:rsid w:val="00137E09"/>
    <w:rsid w:val="00142C31"/>
    <w:rsid w:val="00156CAB"/>
    <w:rsid w:val="00167D9F"/>
    <w:rsid w:val="00170D16"/>
    <w:rsid w:val="00171155"/>
    <w:rsid w:val="00183470"/>
    <w:rsid w:val="001C19FB"/>
    <w:rsid w:val="001D20A9"/>
    <w:rsid w:val="001F0021"/>
    <w:rsid w:val="002048F7"/>
    <w:rsid w:val="0023572E"/>
    <w:rsid w:val="0024103D"/>
    <w:rsid w:val="00241F6F"/>
    <w:rsid w:val="00247C84"/>
    <w:rsid w:val="00287C77"/>
    <w:rsid w:val="00295131"/>
    <w:rsid w:val="002A3E56"/>
    <w:rsid w:val="002D48F8"/>
    <w:rsid w:val="0030281E"/>
    <w:rsid w:val="00345772"/>
    <w:rsid w:val="0036064E"/>
    <w:rsid w:val="00393207"/>
    <w:rsid w:val="003D0501"/>
    <w:rsid w:val="00414207"/>
    <w:rsid w:val="00435069"/>
    <w:rsid w:val="00453342"/>
    <w:rsid w:val="00453EC5"/>
    <w:rsid w:val="00460308"/>
    <w:rsid w:val="004F0848"/>
    <w:rsid w:val="005149CF"/>
    <w:rsid w:val="00573C22"/>
    <w:rsid w:val="00592FDC"/>
    <w:rsid w:val="005C1D70"/>
    <w:rsid w:val="005F76A0"/>
    <w:rsid w:val="006100CD"/>
    <w:rsid w:val="00656063"/>
    <w:rsid w:val="00681578"/>
    <w:rsid w:val="006B7DB2"/>
    <w:rsid w:val="006D41B6"/>
    <w:rsid w:val="00716B1C"/>
    <w:rsid w:val="00717A61"/>
    <w:rsid w:val="007302F7"/>
    <w:rsid w:val="00786EE1"/>
    <w:rsid w:val="007E1A47"/>
    <w:rsid w:val="008005F5"/>
    <w:rsid w:val="00842568"/>
    <w:rsid w:val="00874166"/>
    <w:rsid w:val="0088218F"/>
    <w:rsid w:val="00885B36"/>
    <w:rsid w:val="008B5C57"/>
    <w:rsid w:val="008D31B8"/>
    <w:rsid w:val="00921B2B"/>
    <w:rsid w:val="00941513"/>
    <w:rsid w:val="009C7A93"/>
    <w:rsid w:val="00A56050"/>
    <w:rsid w:val="00A57C53"/>
    <w:rsid w:val="00A629CD"/>
    <w:rsid w:val="00A85F90"/>
    <w:rsid w:val="00AA39B6"/>
    <w:rsid w:val="00AE0795"/>
    <w:rsid w:val="00AF2DBB"/>
    <w:rsid w:val="00AF3D09"/>
    <w:rsid w:val="00B020F5"/>
    <w:rsid w:val="00B02ABA"/>
    <w:rsid w:val="00B10FA2"/>
    <w:rsid w:val="00B7563D"/>
    <w:rsid w:val="00B81195"/>
    <w:rsid w:val="00BC0014"/>
    <w:rsid w:val="00BC4661"/>
    <w:rsid w:val="00C63430"/>
    <w:rsid w:val="00C87C44"/>
    <w:rsid w:val="00CB44E7"/>
    <w:rsid w:val="00D01914"/>
    <w:rsid w:val="00D2056F"/>
    <w:rsid w:val="00D26879"/>
    <w:rsid w:val="00D37FEE"/>
    <w:rsid w:val="00D96804"/>
    <w:rsid w:val="00DB2AB1"/>
    <w:rsid w:val="00E05AC6"/>
    <w:rsid w:val="00E214B0"/>
    <w:rsid w:val="00E258B2"/>
    <w:rsid w:val="00E409DB"/>
    <w:rsid w:val="00E549CC"/>
    <w:rsid w:val="00E62ADF"/>
    <w:rsid w:val="00E66C7C"/>
    <w:rsid w:val="00E70543"/>
    <w:rsid w:val="00E86304"/>
    <w:rsid w:val="00EB1C94"/>
    <w:rsid w:val="00EC2F1D"/>
    <w:rsid w:val="00EC7C84"/>
    <w:rsid w:val="00EF0EB0"/>
    <w:rsid w:val="00F14ED0"/>
    <w:rsid w:val="00F23699"/>
    <w:rsid w:val="00F4343B"/>
    <w:rsid w:val="00F54809"/>
    <w:rsid w:val="00F64CFD"/>
    <w:rsid w:val="00F75980"/>
    <w:rsid w:val="00F858BE"/>
    <w:rsid w:val="00FD25D0"/>
    <w:rsid w:val="00FE7D38"/>
    <w:rsid w:val="00FE7D8B"/>
    <w:rsid w:val="102354A3"/>
    <w:rsid w:val="1EDF7443"/>
    <w:rsid w:val="1F7F6027"/>
    <w:rsid w:val="1FF7A7A5"/>
    <w:rsid w:val="27AF8495"/>
    <w:rsid w:val="2C67626D"/>
    <w:rsid w:val="2FEB39BF"/>
    <w:rsid w:val="34573D57"/>
    <w:rsid w:val="37F752DC"/>
    <w:rsid w:val="3B613298"/>
    <w:rsid w:val="3E2FA3EC"/>
    <w:rsid w:val="3EFC6257"/>
    <w:rsid w:val="3FBF8AAC"/>
    <w:rsid w:val="3FDF70D4"/>
    <w:rsid w:val="42190420"/>
    <w:rsid w:val="43227236"/>
    <w:rsid w:val="4AFF7FD5"/>
    <w:rsid w:val="4FB1A432"/>
    <w:rsid w:val="5C911ED3"/>
    <w:rsid w:val="607FB4FD"/>
    <w:rsid w:val="6BEEBF5F"/>
    <w:rsid w:val="6DAFDE23"/>
    <w:rsid w:val="6F6D5525"/>
    <w:rsid w:val="6FFD4571"/>
    <w:rsid w:val="72E8193B"/>
    <w:rsid w:val="72EB7DDB"/>
    <w:rsid w:val="7976FFCE"/>
    <w:rsid w:val="7BB6090F"/>
    <w:rsid w:val="7BFA9ECC"/>
    <w:rsid w:val="7BFF8532"/>
    <w:rsid w:val="7D3B45AF"/>
    <w:rsid w:val="7DC9EE38"/>
    <w:rsid w:val="7EB093E8"/>
    <w:rsid w:val="7EFF0D5B"/>
    <w:rsid w:val="7F1F48D2"/>
    <w:rsid w:val="7FB3FB1F"/>
    <w:rsid w:val="9A9B85CA"/>
    <w:rsid w:val="BDFBE03E"/>
    <w:rsid w:val="BF14D037"/>
    <w:rsid w:val="BF7FB2D1"/>
    <w:rsid w:val="BFEEA705"/>
    <w:rsid w:val="DAFDC61D"/>
    <w:rsid w:val="DD7DDC2E"/>
    <w:rsid w:val="DD7F7E98"/>
    <w:rsid w:val="DFD69918"/>
    <w:rsid w:val="DFFBD625"/>
    <w:rsid w:val="EE571B1B"/>
    <w:rsid w:val="EFEF73EB"/>
    <w:rsid w:val="F17F9F18"/>
    <w:rsid w:val="F9C1C9D9"/>
    <w:rsid w:val="FAFF0005"/>
    <w:rsid w:val="FBBEE47E"/>
    <w:rsid w:val="FDDFC5A5"/>
    <w:rsid w:val="FFD3B343"/>
    <w:rsid w:val="FFE3C6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kern w:val="44"/>
      <w:sz w:val="44"/>
      <w:szCs w:val="20"/>
    </w:rPr>
  </w:style>
  <w:style w:type="paragraph" w:styleId="3">
    <w:name w:val="heading 2"/>
    <w:basedOn w:val="1"/>
    <w:next w:val="1"/>
    <w:link w:val="52"/>
    <w:qFormat/>
    <w:uiPriority w:val="9"/>
    <w:pPr>
      <w:keepNext/>
      <w:keepLines/>
      <w:tabs>
        <w:tab w:val="left" w:pos="1473"/>
      </w:tabs>
      <w:adjustRightInd w:val="0"/>
      <w:spacing w:before="260" w:after="260" w:line="416" w:lineRule="atLeast"/>
      <w:ind w:left="1473" w:hanging="720"/>
      <w:textAlignment w:val="baseline"/>
      <w:outlineLvl w:val="1"/>
    </w:pPr>
    <w:rPr>
      <w:rFonts w:ascii="Arial" w:hAnsi="Arial" w:eastAsia="黑体"/>
      <w:b/>
      <w:kern w:val="0"/>
      <w:sz w:val="32"/>
      <w:szCs w:val="20"/>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7"/>
    <w:semiHidden/>
    <w:unhideWhenUsed/>
    <w:qFormat/>
    <w:uiPriority w:val="0"/>
    <w:pPr>
      <w:jc w:val="left"/>
    </w:pPr>
  </w:style>
  <w:style w:type="paragraph" w:styleId="5">
    <w:name w:val="Body Text 3"/>
    <w:basedOn w:val="1"/>
    <w:link w:val="32"/>
    <w:qFormat/>
    <w:uiPriority w:val="0"/>
    <w:pPr>
      <w:spacing w:after="120"/>
    </w:pPr>
    <w:rPr>
      <w:sz w:val="16"/>
      <w:szCs w:val="16"/>
    </w:rPr>
  </w:style>
  <w:style w:type="paragraph" w:styleId="6">
    <w:name w:val="Body Text"/>
    <w:basedOn w:val="1"/>
    <w:link w:val="39"/>
    <w:qFormat/>
    <w:uiPriority w:val="0"/>
    <w:rPr>
      <w:rFonts w:ascii="宋体" w:hAnsi="宋体"/>
      <w:sz w:val="28"/>
    </w:rPr>
  </w:style>
  <w:style w:type="paragraph" w:styleId="7">
    <w:name w:val="Body Text Indent"/>
    <w:basedOn w:val="1"/>
    <w:link w:val="33"/>
    <w:qFormat/>
    <w:uiPriority w:val="0"/>
    <w:pPr>
      <w:spacing w:after="120"/>
      <w:ind w:left="420" w:leftChars="200"/>
    </w:pPr>
  </w:style>
  <w:style w:type="paragraph" w:styleId="8">
    <w:name w:val="Plain Text"/>
    <w:basedOn w:val="1"/>
    <w:link w:val="29"/>
    <w:qFormat/>
    <w:uiPriority w:val="0"/>
    <w:rPr>
      <w:rFonts w:hint="eastAsia" w:ascii="宋体" w:hAnsi="Courier New"/>
      <w:szCs w:val="20"/>
    </w:rPr>
  </w:style>
  <w:style w:type="paragraph" w:styleId="9">
    <w:name w:val="Date"/>
    <w:basedOn w:val="1"/>
    <w:next w:val="1"/>
    <w:link w:val="36"/>
    <w:qFormat/>
    <w:uiPriority w:val="0"/>
    <w:pPr>
      <w:adjustRightInd w:val="0"/>
      <w:spacing w:line="312" w:lineRule="atLeast"/>
      <w:textAlignment w:val="baseline"/>
    </w:pPr>
    <w:rPr>
      <w:rFonts w:ascii="宋体"/>
      <w:kern w:val="0"/>
      <w:sz w:val="28"/>
      <w:szCs w:val="20"/>
    </w:rPr>
  </w:style>
  <w:style w:type="paragraph" w:styleId="10">
    <w:name w:val="Body Text Indent 2"/>
    <w:basedOn w:val="1"/>
    <w:link w:val="31"/>
    <w:qFormat/>
    <w:uiPriority w:val="0"/>
    <w:pPr>
      <w:ind w:firstLine="540"/>
    </w:pPr>
    <w:rPr>
      <w:spacing w:val="2"/>
      <w:sz w:val="28"/>
      <w:szCs w:val="20"/>
    </w:rPr>
  </w:style>
  <w:style w:type="paragraph" w:styleId="11">
    <w:name w:val="Balloon Text"/>
    <w:basedOn w:val="1"/>
    <w:link w:val="51"/>
    <w:semiHidden/>
    <w:qFormat/>
    <w:uiPriority w:val="99"/>
    <w:rPr>
      <w:sz w:val="18"/>
      <w:szCs w:val="18"/>
    </w:rPr>
  </w:style>
  <w:style w:type="paragraph" w:styleId="12">
    <w:name w:val="footer"/>
    <w:basedOn w:val="1"/>
    <w:link w:val="26"/>
    <w:unhideWhenUsed/>
    <w:qFormat/>
    <w:uiPriority w:val="99"/>
    <w:pPr>
      <w:tabs>
        <w:tab w:val="center" w:pos="4153"/>
        <w:tab w:val="right" w:pos="8306"/>
      </w:tabs>
      <w:snapToGrid w:val="0"/>
      <w:jc w:val="left"/>
    </w:pPr>
    <w:rPr>
      <w:sz w:val="18"/>
      <w:szCs w:val="18"/>
    </w:rPr>
  </w:style>
  <w:style w:type="paragraph" w:styleId="13">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49"/>
    <w:qFormat/>
    <w:uiPriority w:val="0"/>
    <w:pPr>
      <w:spacing w:before="240" w:after="60" w:line="312" w:lineRule="auto"/>
      <w:jc w:val="center"/>
      <w:outlineLvl w:val="1"/>
    </w:pPr>
    <w:rPr>
      <w:rFonts w:ascii="Cambria" w:hAnsi="Cambria"/>
      <w:b/>
      <w:bCs/>
      <w:kern w:val="28"/>
      <w:sz w:val="32"/>
      <w:szCs w:val="32"/>
    </w:rPr>
  </w:style>
  <w:style w:type="paragraph" w:styleId="15">
    <w:name w:val="Body Text Indent 3"/>
    <w:basedOn w:val="1"/>
    <w:link w:val="34"/>
    <w:qFormat/>
    <w:uiPriority w:val="0"/>
    <w:pPr>
      <w:spacing w:after="120"/>
      <w:ind w:left="420" w:leftChars="200"/>
    </w:pPr>
    <w:rPr>
      <w:sz w:val="16"/>
      <w:szCs w:val="16"/>
    </w:rPr>
  </w:style>
  <w:style w:type="paragraph" w:styleId="16">
    <w:name w:val="Body Text 2"/>
    <w:basedOn w:val="1"/>
    <w:link w:val="40"/>
    <w:qFormat/>
    <w:uiPriority w:val="0"/>
    <w:pPr>
      <w:spacing w:after="120" w:line="480" w:lineRule="auto"/>
    </w:pPr>
  </w:style>
  <w:style w:type="paragraph" w:styleId="17">
    <w:name w:val="HTML Preformatted"/>
    <w:basedOn w:val="1"/>
    <w:link w:val="4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8">
    <w:name w:val="annotation subject"/>
    <w:basedOn w:val="4"/>
    <w:next w:val="4"/>
    <w:link w:val="38"/>
    <w:semiHidden/>
    <w:qFormat/>
    <w:uiPriority w:val="0"/>
    <w:rPr>
      <w:b/>
      <w:bCs/>
    </w:rPr>
  </w:style>
  <w:style w:type="table" w:styleId="20">
    <w:name w:val="Table Grid"/>
    <w:basedOn w:val="19"/>
    <w:qFormat/>
    <w:uiPriority w:val="59"/>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Hyperlink"/>
    <w:qFormat/>
    <w:uiPriority w:val="99"/>
    <w:rPr>
      <w:color w:val="0000FF"/>
      <w:u w:val="single"/>
    </w:rPr>
  </w:style>
  <w:style w:type="character" w:styleId="24">
    <w:name w:val="annotation reference"/>
    <w:semiHidden/>
    <w:qFormat/>
    <w:uiPriority w:val="0"/>
    <w:rPr>
      <w:sz w:val="21"/>
      <w:szCs w:val="21"/>
    </w:rPr>
  </w:style>
  <w:style w:type="character" w:customStyle="1" w:styleId="25">
    <w:name w:val="页眉 Char1"/>
    <w:basedOn w:val="21"/>
    <w:link w:val="13"/>
    <w:qFormat/>
    <w:uiPriority w:val="99"/>
    <w:rPr>
      <w:sz w:val="18"/>
      <w:szCs w:val="18"/>
    </w:rPr>
  </w:style>
  <w:style w:type="character" w:customStyle="1" w:styleId="26">
    <w:name w:val="页脚 Char1"/>
    <w:basedOn w:val="21"/>
    <w:link w:val="12"/>
    <w:qFormat/>
    <w:uiPriority w:val="99"/>
    <w:rPr>
      <w:sz w:val="18"/>
      <w:szCs w:val="18"/>
    </w:rPr>
  </w:style>
  <w:style w:type="character" w:customStyle="1" w:styleId="27">
    <w:name w:val="标题 1 Char"/>
    <w:basedOn w:val="21"/>
    <w:link w:val="2"/>
    <w:qFormat/>
    <w:uiPriority w:val="0"/>
    <w:rPr>
      <w:rFonts w:ascii="Times New Roman" w:hAnsi="Times New Roman" w:eastAsia="宋体" w:cs="Times New Roman"/>
      <w:b/>
      <w:kern w:val="44"/>
      <w:sz w:val="44"/>
      <w:szCs w:val="20"/>
    </w:rPr>
  </w:style>
  <w:style w:type="character" w:customStyle="1" w:styleId="28">
    <w:name w:val="标题 2 字符"/>
    <w:basedOn w:val="21"/>
    <w:qFormat/>
    <w:uiPriority w:val="9"/>
    <w:rPr>
      <w:rFonts w:asciiTheme="majorHAnsi" w:hAnsiTheme="majorHAnsi" w:eastAsiaTheme="majorEastAsia" w:cstheme="majorBidi"/>
      <w:b/>
      <w:bCs/>
      <w:sz w:val="32"/>
      <w:szCs w:val="32"/>
    </w:rPr>
  </w:style>
  <w:style w:type="character" w:customStyle="1" w:styleId="29">
    <w:name w:val="纯文本 Char"/>
    <w:basedOn w:val="21"/>
    <w:link w:val="8"/>
    <w:qFormat/>
    <w:uiPriority w:val="0"/>
    <w:rPr>
      <w:rFonts w:ascii="宋体" w:hAnsi="Courier New" w:eastAsia="宋体" w:cs="Times New Roman"/>
      <w:szCs w:val="20"/>
    </w:rPr>
  </w:style>
  <w:style w:type="paragraph" w:customStyle="1" w:styleId="30">
    <w:name w:val="_Style 16"/>
    <w:basedOn w:val="1"/>
    <w:next w:val="1"/>
    <w:unhideWhenUsed/>
    <w:qFormat/>
    <w:uiPriority w:val="39"/>
    <w:pPr>
      <w:widowControl/>
      <w:spacing w:after="100" w:line="276" w:lineRule="auto"/>
      <w:ind w:left="440"/>
      <w:jc w:val="left"/>
    </w:pPr>
    <w:rPr>
      <w:rFonts w:ascii="Calibri" w:hAnsi="Calibri"/>
      <w:kern w:val="0"/>
      <w:sz w:val="22"/>
      <w:szCs w:val="22"/>
    </w:rPr>
  </w:style>
  <w:style w:type="character" w:customStyle="1" w:styleId="31">
    <w:name w:val="正文文本缩进 2 Char"/>
    <w:basedOn w:val="21"/>
    <w:link w:val="10"/>
    <w:qFormat/>
    <w:uiPriority w:val="0"/>
    <w:rPr>
      <w:rFonts w:ascii="Times New Roman" w:hAnsi="Times New Roman" w:eastAsia="宋体" w:cs="Times New Roman"/>
      <w:spacing w:val="2"/>
      <w:sz w:val="28"/>
      <w:szCs w:val="20"/>
    </w:rPr>
  </w:style>
  <w:style w:type="character" w:customStyle="1" w:styleId="32">
    <w:name w:val="正文文本 3 Char"/>
    <w:basedOn w:val="21"/>
    <w:link w:val="5"/>
    <w:qFormat/>
    <w:uiPriority w:val="0"/>
    <w:rPr>
      <w:rFonts w:ascii="Times New Roman" w:hAnsi="Times New Roman" w:eastAsia="宋体" w:cs="Times New Roman"/>
      <w:sz w:val="16"/>
      <w:szCs w:val="16"/>
    </w:rPr>
  </w:style>
  <w:style w:type="character" w:customStyle="1" w:styleId="33">
    <w:name w:val="正文文本缩进 Char"/>
    <w:basedOn w:val="21"/>
    <w:link w:val="7"/>
    <w:qFormat/>
    <w:uiPriority w:val="0"/>
    <w:rPr>
      <w:rFonts w:ascii="Times New Roman" w:hAnsi="Times New Roman" w:eastAsia="宋体" w:cs="Times New Roman"/>
      <w:szCs w:val="24"/>
    </w:rPr>
  </w:style>
  <w:style w:type="character" w:customStyle="1" w:styleId="34">
    <w:name w:val="正文文本缩进 3 Char"/>
    <w:basedOn w:val="21"/>
    <w:link w:val="15"/>
    <w:qFormat/>
    <w:uiPriority w:val="0"/>
    <w:rPr>
      <w:rFonts w:ascii="Times New Roman" w:hAnsi="Times New Roman" w:eastAsia="宋体" w:cs="Times New Roman"/>
      <w:sz w:val="16"/>
      <w:szCs w:val="16"/>
    </w:rPr>
  </w:style>
  <w:style w:type="character" w:customStyle="1" w:styleId="35">
    <w:name w:val="批注框文本 字符"/>
    <w:basedOn w:val="21"/>
    <w:semiHidden/>
    <w:qFormat/>
    <w:uiPriority w:val="99"/>
    <w:rPr>
      <w:rFonts w:ascii="Times New Roman" w:hAnsi="Times New Roman" w:eastAsia="宋体" w:cs="Times New Roman"/>
      <w:sz w:val="18"/>
      <w:szCs w:val="18"/>
    </w:rPr>
  </w:style>
  <w:style w:type="character" w:customStyle="1" w:styleId="36">
    <w:name w:val="日期 Char"/>
    <w:basedOn w:val="21"/>
    <w:link w:val="9"/>
    <w:qFormat/>
    <w:uiPriority w:val="0"/>
    <w:rPr>
      <w:rFonts w:ascii="宋体" w:hAnsi="Times New Roman" w:eastAsia="宋体" w:cs="Times New Roman"/>
      <w:kern w:val="0"/>
      <w:sz w:val="28"/>
      <w:szCs w:val="20"/>
    </w:rPr>
  </w:style>
  <w:style w:type="character" w:customStyle="1" w:styleId="37">
    <w:name w:val="批注文字 Char"/>
    <w:basedOn w:val="21"/>
    <w:link w:val="4"/>
    <w:semiHidden/>
    <w:qFormat/>
    <w:uiPriority w:val="99"/>
    <w:rPr>
      <w:rFonts w:ascii="Times New Roman" w:hAnsi="Times New Roman" w:eastAsia="宋体" w:cs="Times New Roman"/>
      <w:szCs w:val="24"/>
    </w:rPr>
  </w:style>
  <w:style w:type="character" w:customStyle="1" w:styleId="38">
    <w:name w:val="批注主题 Char"/>
    <w:basedOn w:val="37"/>
    <w:link w:val="18"/>
    <w:semiHidden/>
    <w:qFormat/>
    <w:uiPriority w:val="0"/>
    <w:rPr>
      <w:rFonts w:ascii="Times New Roman" w:hAnsi="Times New Roman" w:eastAsia="宋体" w:cs="Times New Roman"/>
      <w:b/>
      <w:bCs/>
      <w:szCs w:val="24"/>
    </w:rPr>
  </w:style>
  <w:style w:type="character" w:customStyle="1" w:styleId="39">
    <w:name w:val="正文文本 Char"/>
    <w:basedOn w:val="21"/>
    <w:link w:val="6"/>
    <w:qFormat/>
    <w:uiPriority w:val="0"/>
    <w:rPr>
      <w:rFonts w:ascii="宋体" w:hAnsi="宋体" w:eastAsia="宋体" w:cs="Times New Roman"/>
      <w:sz w:val="28"/>
      <w:szCs w:val="24"/>
    </w:rPr>
  </w:style>
  <w:style w:type="character" w:customStyle="1" w:styleId="40">
    <w:name w:val="正文文本 2 Char"/>
    <w:basedOn w:val="21"/>
    <w:link w:val="16"/>
    <w:qFormat/>
    <w:uiPriority w:val="0"/>
    <w:rPr>
      <w:rFonts w:ascii="Times New Roman" w:hAnsi="Times New Roman" w:eastAsia="宋体" w:cs="Times New Roman"/>
      <w:szCs w:val="24"/>
    </w:rPr>
  </w:style>
  <w:style w:type="paragraph" w:customStyle="1" w:styleId="41">
    <w:name w:val="p0"/>
    <w:basedOn w:val="1"/>
    <w:qFormat/>
    <w:uiPriority w:val="0"/>
    <w:pPr>
      <w:widowControl/>
    </w:pPr>
    <w:rPr>
      <w:kern w:val="0"/>
      <w:szCs w:val="21"/>
    </w:rPr>
  </w:style>
  <w:style w:type="paragraph" w:customStyle="1" w:styleId="42">
    <w:name w:val="Char Char Char Char"/>
    <w:basedOn w:val="1"/>
    <w:qFormat/>
    <w:uiPriority w:val="0"/>
    <w:pPr>
      <w:spacing w:line="360" w:lineRule="auto"/>
      <w:jc w:val="center"/>
    </w:pPr>
  </w:style>
  <w:style w:type="paragraph" w:styleId="43">
    <w:name w:val="No Spacing"/>
    <w:qFormat/>
    <w:uiPriority w:val="1"/>
    <w:rPr>
      <w:rFonts w:ascii="Calibri" w:hAnsi="Calibri" w:eastAsia="宋体" w:cs="Times New Roman"/>
      <w:sz w:val="22"/>
      <w:szCs w:val="22"/>
      <w:lang w:val="en-US" w:eastAsia="zh-CN" w:bidi="ar-SA"/>
    </w:rPr>
  </w:style>
  <w:style w:type="paragraph" w:customStyle="1" w:styleId="4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5">
    <w:name w:val="三级无"/>
    <w:basedOn w:val="1"/>
    <w:qFormat/>
    <w:uiPriority w:val="0"/>
    <w:pPr>
      <w:widowControl/>
      <w:jc w:val="left"/>
      <w:outlineLvl w:val="4"/>
    </w:pPr>
    <w:rPr>
      <w:rFonts w:ascii="宋体"/>
      <w:kern w:val="0"/>
      <w:szCs w:val="21"/>
    </w:rPr>
  </w:style>
  <w:style w:type="character" w:customStyle="1" w:styleId="46">
    <w:name w:val="HTML 预设格式 字符"/>
    <w:basedOn w:val="21"/>
    <w:semiHidden/>
    <w:qFormat/>
    <w:uiPriority w:val="99"/>
    <w:rPr>
      <w:rFonts w:ascii="Courier New" w:hAnsi="Courier New" w:eastAsia="宋体" w:cs="Courier New"/>
      <w:sz w:val="20"/>
      <w:szCs w:val="20"/>
    </w:rPr>
  </w:style>
  <w:style w:type="character" w:customStyle="1" w:styleId="47">
    <w:name w:val="HTML 预设格式 Char"/>
    <w:link w:val="17"/>
    <w:qFormat/>
    <w:uiPriority w:val="99"/>
    <w:rPr>
      <w:rFonts w:ascii="宋体" w:hAnsi="宋体" w:eastAsia="宋体" w:cs="Times New Roman"/>
      <w:kern w:val="0"/>
      <w:sz w:val="24"/>
      <w:szCs w:val="24"/>
    </w:rPr>
  </w:style>
  <w:style w:type="character" w:customStyle="1" w:styleId="48">
    <w:name w:val="副标题 字符"/>
    <w:basedOn w:val="21"/>
    <w:qFormat/>
    <w:uiPriority w:val="11"/>
    <w:rPr>
      <w:b/>
      <w:bCs/>
      <w:kern w:val="28"/>
      <w:sz w:val="32"/>
      <w:szCs w:val="32"/>
    </w:rPr>
  </w:style>
  <w:style w:type="character" w:customStyle="1" w:styleId="49">
    <w:name w:val="副标题 Char"/>
    <w:link w:val="14"/>
    <w:qFormat/>
    <w:uiPriority w:val="0"/>
    <w:rPr>
      <w:rFonts w:ascii="Cambria" w:hAnsi="Cambria" w:eastAsia="宋体" w:cs="Times New Roman"/>
      <w:b/>
      <w:bCs/>
      <w:kern w:val="28"/>
      <w:sz w:val="32"/>
      <w:szCs w:val="32"/>
    </w:rPr>
  </w:style>
  <w:style w:type="paragraph" w:customStyle="1" w:styleId="50">
    <w:name w:val="TOC 标题1"/>
    <w:basedOn w:val="2"/>
    <w:next w:val="1"/>
    <w:semiHidden/>
    <w:unhideWhenUsed/>
    <w:qFormat/>
    <w:uiPriority w:val="39"/>
    <w:pPr>
      <w:widowControl/>
      <w:spacing w:before="480" w:after="0" w:line="276" w:lineRule="auto"/>
      <w:jc w:val="left"/>
      <w:outlineLvl w:val="9"/>
    </w:pPr>
    <w:rPr>
      <w:rFonts w:ascii="Cambria" w:hAnsi="Cambria"/>
      <w:bCs/>
      <w:color w:val="365F91"/>
      <w:kern w:val="0"/>
      <w:sz w:val="28"/>
      <w:szCs w:val="28"/>
    </w:rPr>
  </w:style>
  <w:style w:type="character" w:customStyle="1" w:styleId="51">
    <w:name w:val="批注框文本 Char"/>
    <w:link w:val="11"/>
    <w:semiHidden/>
    <w:qFormat/>
    <w:uiPriority w:val="99"/>
    <w:rPr>
      <w:rFonts w:ascii="Times New Roman" w:hAnsi="Times New Roman" w:eastAsia="宋体" w:cs="Times New Roman"/>
      <w:sz w:val="18"/>
      <w:szCs w:val="18"/>
    </w:rPr>
  </w:style>
  <w:style w:type="character" w:customStyle="1" w:styleId="52">
    <w:name w:val="标题 2 Char"/>
    <w:link w:val="3"/>
    <w:qFormat/>
    <w:uiPriority w:val="9"/>
    <w:rPr>
      <w:rFonts w:ascii="Arial" w:hAnsi="Arial" w:eastAsia="黑体" w:cs="Times New Roman"/>
      <w:b/>
      <w:kern w:val="0"/>
      <w:sz w:val="32"/>
      <w:szCs w:val="20"/>
    </w:rPr>
  </w:style>
  <w:style w:type="character" w:customStyle="1" w:styleId="53">
    <w:name w:val="页眉 Char"/>
    <w:qFormat/>
    <w:uiPriority w:val="99"/>
    <w:rPr>
      <w:kern w:val="2"/>
      <w:sz w:val="18"/>
    </w:rPr>
  </w:style>
  <w:style w:type="character" w:customStyle="1" w:styleId="54">
    <w:name w:val="页脚 Char"/>
    <w:qFormat/>
    <w:uiPriority w:val="99"/>
    <w:rPr>
      <w:kern w:val="2"/>
      <w:sz w:val="18"/>
    </w:rPr>
  </w:style>
  <w:style w:type="paragraph" w:customStyle="1" w:styleId="55">
    <w:name w:val="修订1"/>
    <w:hidden/>
    <w:semiHidden/>
    <w:qFormat/>
    <w:uiPriority w:val="99"/>
    <w:rPr>
      <w:rFonts w:ascii="Times New Roman" w:hAnsi="Times New Roman" w:eastAsia="宋体" w:cs="Times New Roman"/>
      <w:kern w:val="2"/>
      <w:sz w:val="21"/>
      <w:szCs w:val="24"/>
      <w:lang w:val="en-US" w:eastAsia="zh-CN" w:bidi="ar-SA"/>
    </w:rPr>
  </w:style>
  <w:style w:type="paragraph" w:styleId="56">
    <w:name w:val="List Paragraph"/>
    <w:basedOn w:val="1"/>
    <w:qFormat/>
    <w:uiPriority w:val="34"/>
    <w:pPr>
      <w:ind w:firstLine="420" w:firstLineChars="200"/>
    </w:pPr>
  </w:style>
  <w:style w:type="paragraph" w:customStyle="1" w:styleId="57">
    <w:name w:val="列出段落1"/>
    <w:basedOn w:val="1"/>
    <w:qFormat/>
    <w:uiPriority w:val="34"/>
    <w:pPr>
      <w:ind w:firstLine="420" w:firstLineChars="200"/>
    </w:pPr>
  </w:style>
  <w:style w:type="paragraph" w:customStyle="1" w:styleId="58">
    <w:name w:val="段"/>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23</Pages>
  <Words>6237</Words>
  <Characters>7182</Characters>
  <Lines>730</Lines>
  <Paragraphs>407</Paragraphs>
  <TotalTime>173</TotalTime>
  <ScaleCrop>false</ScaleCrop>
  <LinksUpToDate>false</LinksUpToDate>
  <CharactersWithSpaces>7274</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2023-04-03T14:16:00Z</dcterms:created>
  <dc:creator>云鹏 蔡</dc:creator>
  <cp:lastModifiedBy>顾文林</cp:lastModifiedBy>
  <cp:lastPrinted>2025-11-02T11:24:00Z</cp:lastPrinted>
  <dcterms:modified xsi:type="dcterms:W3CDTF">2026-01-05T10:52:27Z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ICV">
    <vt:lpwstr>648DC1E45B354549938192FF95C3200E_13</vt:lpwstr>
  </property>
  <property fmtid="{D5CDD505-2E9C-101B-9397-08002B2CF9AE}" pid="4" name="KSOTemplateDocerSaveRecord">
    <vt:lpwstr>eyJoZGlkIjoiZjg4NjZlNDlhYmFlMjI1ODg2MDY4NzViODc2Njc3ZTIiLCJ1c2VySWQiOiI0MjI0NTgwNjUifQ==</vt:lpwstr>
  </property>
</Properties>
</file>