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C3B03">
      <w:pPr>
        <w:pStyle w:val="2"/>
        <w:spacing w:before="0" w:line="360" w:lineRule="auto"/>
        <w:jc w:val="center"/>
        <w:rPr>
          <w:rFonts w:hint="eastAsia"/>
          <w:sz w:val="36"/>
          <w:szCs w:val="36"/>
          <w:highlight w:val="none"/>
        </w:rPr>
      </w:pPr>
      <w:bookmarkStart w:id="0" w:name="_Toc414957520"/>
      <w:bookmarkStart w:id="1" w:name="_Toc318455527"/>
      <w:bookmarkStart w:id="2" w:name="_Toc318531519"/>
      <w:bookmarkStart w:id="3" w:name="_Toc318455670"/>
      <w:bookmarkStart w:id="4" w:name="_Toc318531548"/>
      <w:bookmarkStart w:id="5" w:name="_Toc414957202"/>
      <w:bookmarkStart w:id="6" w:name="_Toc29157677"/>
      <w:bookmarkStart w:id="7" w:name="_Toc439067672"/>
      <w:r>
        <w:rPr>
          <w:rFonts w:hint="eastAsia"/>
          <w:sz w:val="36"/>
          <w:szCs w:val="36"/>
          <w:highlight w:val="none"/>
        </w:rPr>
        <w:t xml:space="preserve"> </w:t>
      </w:r>
      <w:bookmarkEnd w:id="0"/>
      <w:bookmarkEnd w:id="1"/>
      <w:bookmarkEnd w:id="2"/>
      <w:bookmarkEnd w:id="3"/>
      <w:bookmarkEnd w:id="4"/>
      <w:bookmarkEnd w:id="5"/>
      <w:r>
        <w:rPr>
          <w:rFonts w:hint="eastAsia"/>
          <w:sz w:val="36"/>
          <w:szCs w:val="36"/>
          <w:highlight w:val="none"/>
        </w:rPr>
        <w:t>项目需求</w:t>
      </w:r>
      <w:bookmarkEnd w:id="6"/>
      <w:bookmarkEnd w:id="7"/>
    </w:p>
    <w:p w14:paraId="2ECED7C2">
      <w:pPr>
        <w:numPr>
          <w:ilvl w:val="0"/>
          <w:numId w:val="1"/>
        </w:numPr>
        <w:tabs>
          <w:tab w:val="left" w:pos="616"/>
          <w:tab w:val="clear" w:pos="480"/>
        </w:tabs>
        <w:spacing w:before="429" w:beforeLines="150" w:after="286" w:afterLines="100" w:line="360" w:lineRule="auto"/>
        <w:ind w:left="508" w:hanging="508" w:hangingChars="230"/>
        <w:outlineLvl w:val="0"/>
        <w:rPr>
          <w:rFonts w:hint="eastAsia" w:ascii="宋体" w:hAnsi="宋体" w:cs="宋体"/>
          <w:b/>
          <w:sz w:val="22"/>
          <w:szCs w:val="22"/>
          <w:highlight w:val="none"/>
        </w:rPr>
      </w:pPr>
      <w:bookmarkStart w:id="8" w:name="_Toc369517668"/>
      <w:r>
        <w:rPr>
          <w:rFonts w:hint="eastAsia" w:ascii="宋体" w:hAnsi="宋体" w:cs="宋体"/>
          <w:b/>
          <w:sz w:val="22"/>
          <w:szCs w:val="22"/>
          <w:highlight w:val="none"/>
        </w:rPr>
        <w:t>委托物业管理概况</w:t>
      </w:r>
      <w:bookmarkEnd w:id="8"/>
    </w:p>
    <w:p w14:paraId="44722810">
      <w:pPr>
        <w:numPr>
          <w:ilvl w:val="1"/>
          <w:numId w:val="2"/>
        </w:numPr>
        <w:tabs>
          <w:tab w:val="left" w:pos="567"/>
        </w:tabs>
        <w:spacing w:after="143" w:afterLines="50" w:line="360" w:lineRule="auto"/>
        <w:outlineLvl w:val="1"/>
        <w:rPr>
          <w:rFonts w:hint="eastAsia" w:ascii="宋体" w:hAnsi="宋体" w:cs="宋体"/>
          <w:sz w:val="22"/>
          <w:szCs w:val="22"/>
          <w:highlight w:val="none"/>
        </w:rPr>
      </w:pPr>
      <w:bookmarkStart w:id="9" w:name="_Toc334748664"/>
      <w:bookmarkStart w:id="10" w:name="_Toc334748795"/>
      <w:bookmarkStart w:id="11" w:name="_Toc359363507"/>
      <w:r>
        <w:rPr>
          <w:rFonts w:hint="eastAsia" w:ascii="宋体" w:hAnsi="宋体" w:cs="宋体"/>
          <w:sz w:val="22"/>
          <w:szCs w:val="22"/>
          <w:highlight w:val="none"/>
        </w:rPr>
        <w:t>物业项目概述</w:t>
      </w:r>
      <w:bookmarkEnd w:id="9"/>
      <w:bookmarkEnd w:id="10"/>
      <w:bookmarkEnd w:id="11"/>
      <w:r>
        <w:rPr>
          <w:rFonts w:hint="eastAsia" w:ascii="宋体" w:hAnsi="宋体" w:cs="宋体"/>
          <w:sz w:val="22"/>
          <w:szCs w:val="22"/>
          <w:highlight w:val="none"/>
        </w:rPr>
        <w:t>：</w:t>
      </w:r>
    </w:p>
    <w:p w14:paraId="16CC70F8">
      <w:pPr>
        <w:pStyle w:val="7"/>
        <w:numPr>
          <w:ilvl w:val="0"/>
          <w:numId w:val="3"/>
        </w:numPr>
        <w:tabs>
          <w:tab w:val="left" w:pos="993"/>
        </w:tabs>
        <w:spacing w:line="360" w:lineRule="auto"/>
        <w:ind w:left="0" w:firstLine="103" w:firstLineChars="47"/>
        <w:rPr>
          <w:rFonts w:hint="eastAsia" w:ascii="宋体" w:hAnsi="宋体" w:cs="宋体"/>
          <w:sz w:val="22"/>
          <w:szCs w:val="22"/>
          <w:highlight w:val="none"/>
        </w:rPr>
      </w:pPr>
      <w:r>
        <w:rPr>
          <w:rFonts w:hint="eastAsia" w:ascii="宋体" w:hAnsi="宋体" w:cs="宋体"/>
          <w:sz w:val="22"/>
          <w:szCs w:val="22"/>
          <w:highlight w:val="none"/>
        </w:rPr>
        <w:t>物业名称：上海科学院五里桥路219号（人才公寓）。</w:t>
      </w:r>
    </w:p>
    <w:p w14:paraId="6986BA14">
      <w:pPr>
        <w:pStyle w:val="7"/>
        <w:numPr>
          <w:ilvl w:val="0"/>
          <w:numId w:val="3"/>
        </w:numPr>
        <w:tabs>
          <w:tab w:val="left" w:pos="993"/>
        </w:tabs>
        <w:spacing w:line="360" w:lineRule="auto"/>
        <w:ind w:left="0" w:firstLine="103" w:firstLineChars="47"/>
        <w:rPr>
          <w:rFonts w:hint="eastAsia" w:ascii="宋体" w:hAnsi="宋体" w:cs="宋体"/>
          <w:sz w:val="22"/>
          <w:szCs w:val="22"/>
          <w:highlight w:val="none"/>
        </w:rPr>
      </w:pPr>
      <w:r>
        <w:rPr>
          <w:rFonts w:hint="eastAsia" w:ascii="宋体" w:hAnsi="宋体" w:cs="宋体"/>
          <w:sz w:val="22"/>
          <w:szCs w:val="22"/>
          <w:highlight w:val="none"/>
        </w:rPr>
        <w:t>物业类型：人才公寓、专家楼等。</w:t>
      </w:r>
    </w:p>
    <w:p w14:paraId="7C449291">
      <w:pPr>
        <w:pStyle w:val="7"/>
        <w:numPr>
          <w:ilvl w:val="0"/>
          <w:numId w:val="3"/>
        </w:numPr>
        <w:tabs>
          <w:tab w:val="left" w:pos="993"/>
        </w:tabs>
        <w:spacing w:line="360" w:lineRule="auto"/>
        <w:ind w:left="0" w:firstLine="103" w:firstLineChars="47"/>
        <w:rPr>
          <w:rFonts w:hint="eastAsia" w:ascii="宋体" w:hAnsi="宋体" w:cs="宋体"/>
          <w:sz w:val="22"/>
          <w:szCs w:val="22"/>
          <w:highlight w:val="none"/>
        </w:rPr>
      </w:pPr>
      <w:r>
        <w:rPr>
          <w:rFonts w:hint="eastAsia" w:ascii="宋体" w:hAnsi="宋体" w:cs="宋体"/>
          <w:sz w:val="22"/>
          <w:szCs w:val="22"/>
          <w:highlight w:val="none"/>
        </w:rPr>
        <w:t>坐落位置：上海市黄浦区五里桥路219号。</w:t>
      </w:r>
    </w:p>
    <w:p w14:paraId="05A8DFD9">
      <w:pPr>
        <w:pStyle w:val="7"/>
        <w:numPr>
          <w:ilvl w:val="0"/>
          <w:numId w:val="3"/>
        </w:numPr>
        <w:tabs>
          <w:tab w:val="left" w:pos="993"/>
          <w:tab w:val="left" w:pos="2268"/>
        </w:tabs>
        <w:spacing w:line="360" w:lineRule="auto"/>
        <w:ind w:left="2158" w:leftChars="68" w:hanging="2015" w:hangingChars="916"/>
        <w:jc w:val="left"/>
        <w:rPr>
          <w:rFonts w:hint="eastAsia" w:ascii="宋体" w:hAnsi="宋体" w:cs="宋体"/>
          <w:sz w:val="22"/>
          <w:szCs w:val="22"/>
          <w:highlight w:val="none"/>
        </w:rPr>
      </w:pPr>
      <w:r>
        <w:rPr>
          <w:rFonts w:hint="eastAsia" w:ascii="宋体" w:hAnsi="宋体" w:cs="宋体"/>
          <w:sz w:val="22"/>
          <w:szCs w:val="22"/>
          <w:highlight w:val="none"/>
        </w:rPr>
        <w:t>四至位置：东至局门路、南至五里桥路、西至蒙自路、北至斜土路。</w:t>
      </w:r>
    </w:p>
    <w:p w14:paraId="5474CB24">
      <w:pPr>
        <w:pStyle w:val="7"/>
        <w:numPr>
          <w:ilvl w:val="0"/>
          <w:numId w:val="3"/>
        </w:numPr>
        <w:tabs>
          <w:tab w:val="left" w:pos="993"/>
        </w:tabs>
        <w:spacing w:after="143" w:afterLines="50" w:line="360" w:lineRule="auto"/>
        <w:ind w:left="2158" w:leftChars="68" w:hanging="2015" w:hangingChars="916"/>
        <w:rPr>
          <w:rFonts w:hint="eastAsia" w:ascii="宋体" w:hAnsi="宋体" w:cs="宋体"/>
          <w:sz w:val="22"/>
          <w:szCs w:val="22"/>
          <w:highlight w:val="none"/>
        </w:rPr>
      </w:pPr>
      <w:r>
        <w:rPr>
          <w:rFonts w:hint="eastAsia" w:ascii="宋体" w:hAnsi="宋体" w:cs="宋体"/>
          <w:sz w:val="22"/>
          <w:szCs w:val="22"/>
          <w:highlight w:val="none"/>
        </w:rPr>
        <w:t>建筑面积</w:t>
      </w:r>
      <w:r>
        <w:rPr>
          <w:rFonts w:hint="eastAsia" w:ascii="宋体" w:hAnsi="宋体" w:cs="宋体"/>
          <w:spacing w:val="-2"/>
          <w:sz w:val="22"/>
          <w:szCs w:val="22"/>
          <w:highlight w:val="none"/>
        </w:rPr>
        <w:t>：9583平方米，具体分布详见下表：</w:t>
      </w:r>
    </w:p>
    <w:tbl>
      <w:tblPr>
        <w:tblStyle w:val="5"/>
        <w:tblW w:w="43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138"/>
        <w:gridCol w:w="2864"/>
        <w:gridCol w:w="2386"/>
        <w:gridCol w:w="1098"/>
      </w:tblGrid>
      <w:tr w14:paraId="70CA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tblHeader/>
          <w:jc w:val="center"/>
        </w:trPr>
        <w:tc>
          <w:tcPr>
            <w:tcW w:w="760" w:type="pct"/>
            <w:noWrap w:val="0"/>
            <w:vAlign w:val="center"/>
          </w:tcPr>
          <w:p w14:paraId="418DA15A">
            <w:pPr>
              <w:widowControl/>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序号</w:t>
            </w:r>
          </w:p>
        </w:tc>
        <w:tc>
          <w:tcPr>
            <w:tcW w:w="1912" w:type="pct"/>
            <w:noWrap w:val="0"/>
            <w:vAlign w:val="center"/>
          </w:tcPr>
          <w:p w14:paraId="79673707">
            <w:pPr>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数据名称</w:t>
            </w:r>
          </w:p>
        </w:tc>
        <w:tc>
          <w:tcPr>
            <w:tcW w:w="1593" w:type="pct"/>
            <w:noWrap w:val="0"/>
            <w:vAlign w:val="center"/>
          </w:tcPr>
          <w:p w14:paraId="5AEDA985">
            <w:pPr>
              <w:widowControl/>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面积（m</w:t>
            </w:r>
            <w:r>
              <w:rPr>
                <w:rFonts w:hint="eastAsia" w:ascii="宋体" w:hAnsi="宋体" w:cs="宋体"/>
                <w:b/>
                <w:kern w:val="0"/>
                <w:sz w:val="22"/>
                <w:szCs w:val="22"/>
                <w:highlight w:val="none"/>
                <w:vertAlign w:val="superscript"/>
              </w:rPr>
              <w:t>2</w:t>
            </w:r>
            <w:r>
              <w:rPr>
                <w:rFonts w:hint="eastAsia" w:ascii="宋体" w:hAnsi="宋体" w:cs="宋体"/>
                <w:b/>
                <w:kern w:val="0"/>
                <w:sz w:val="22"/>
                <w:szCs w:val="22"/>
                <w:highlight w:val="none"/>
              </w:rPr>
              <w:t>）</w:t>
            </w:r>
          </w:p>
        </w:tc>
        <w:tc>
          <w:tcPr>
            <w:tcW w:w="733" w:type="pct"/>
            <w:noWrap w:val="0"/>
            <w:vAlign w:val="center"/>
          </w:tcPr>
          <w:p w14:paraId="286DFAFF">
            <w:pPr>
              <w:widowControl/>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备  注</w:t>
            </w:r>
          </w:p>
        </w:tc>
      </w:tr>
      <w:tr w14:paraId="241B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760" w:type="pct"/>
            <w:noWrap w:val="0"/>
            <w:vAlign w:val="center"/>
          </w:tcPr>
          <w:p w14:paraId="4CE35CD1">
            <w:pPr>
              <w:widowControl/>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1</w:t>
            </w:r>
          </w:p>
        </w:tc>
        <w:tc>
          <w:tcPr>
            <w:tcW w:w="1912" w:type="pct"/>
            <w:noWrap w:val="0"/>
            <w:vAlign w:val="center"/>
          </w:tcPr>
          <w:p w14:paraId="336A595F">
            <w:pPr>
              <w:ind w:left="2" w:leftChars="1" w:firstLine="102" w:firstLineChars="46"/>
              <w:rPr>
                <w:rFonts w:hint="eastAsia" w:ascii="宋体" w:hAnsi="宋体" w:cs="宋体"/>
                <w:b/>
                <w:kern w:val="0"/>
                <w:sz w:val="22"/>
                <w:szCs w:val="22"/>
                <w:highlight w:val="none"/>
              </w:rPr>
            </w:pPr>
            <w:r>
              <w:rPr>
                <w:rFonts w:hint="eastAsia" w:ascii="宋体" w:hAnsi="宋体" w:cs="宋体"/>
                <w:b/>
                <w:kern w:val="0"/>
                <w:sz w:val="22"/>
                <w:szCs w:val="22"/>
                <w:highlight w:val="none"/>
              </w:rPr>
              <w:t>占地面积</w:t>
            </w:r>
          </w:p>
        </w:tc>
        <w:tc>
          <w:tcPr>
            <w:tcW w:w="1593" w:type="pct"/>
            <w:noWrap w:val="0"/>
            <w:vAlign w:val="center"/>
          </w:tcPr>
          <w:p w14:paraId="70049A50">
            <w:pPr>
              <w:widowControl/>
              <w:ind w:right="174" w:rightChars="83"/>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3106</w:t>
            </w:r>
          </w:p>
        </w:tc>
        <w:tc>
          <w:tcPr>
            <w:tcW w:w="733" w:type="pct"/>
            <w:noWrap w:val="0"/>
            <w:vAlign w:val="center"/>
          </w:tcPr>
          <w:p w14:paraId="505CB90A">
            <w:pPr>
              <w:widowControl/>
              <w:jc w:val="left"/>
              <w:rPr>
                <w:rFonts w:hint="eastAsia" w:ascii="宋体" w:hAnsi="宋体" w:cs="宋体"/>
                <w:kern w:val="0"/>
                <w:sz w:val="22"/>
                <w:szCs w:val="22"/>
                <w:highlight w:val="none"/>
              </w:rPr>
            </w:pPr>
          </w:p>
        </w:tc>
      </w:tr>
      <w:tr w14:paraId="28AB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760" w:type="pct"/>
            <w:noWrap w:val="0"/>
            <w:vAlign w:val="center"/>
          </w:tcPr>
          <w:p w14:paraId="0ECC887B">
            <w:pPr>
              <w:widowControl/>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2</w:t>
            </w:r>
          </w:p>
        </w:tc>
        <w:tc>
          <w:tcPr>
            <w:tcW w:w="1912" w:type="pct"/>
            <w:noWrap w:val="0"/>
            <w:vAlign w:val="center"/>
          </w:tcPr>
          <w:p w14:paraId="24A47556">
            <w:pPr>
              <w:ind w:left="2" w:leftChars="1" w:firstLine="102" w:firstLineChars="46"/>
              <w:rPr>
                <w:rFonts w:hint="eastAsia" w:ascii="宋体" w:hAnsi="宋体" w:cs="宋体"/>
                <w:b/>
                <w:kern w:val="0"/>
                <w:sz w:val="22"/>
                <w:szCs w:val="22"/>
                <w:highlight w:val="none"/>
              </w:rPr>
            </w:pPr>
            <w:r>
              <w:rPr>
                <w:rFonts w:hint="eastAsia" w:ascii="宋体" w:hAnsi="宋体" w:cs="宋体"/>
                <w:b/>
                <w:kern w:val="0"/>
                <w:sz w:val="22"/>
                <w:szCs w:val="22"/>
                <w:highlight w:val="none"/>
              </w:rPr>
              <w:t>总建筑面积</w:t>
            </w:r>
          </w:p>
        </w:tc>
        <w:tc>
          <w:tcPr>
            <w:tcW w:w="1593" w:type="pct"/>
            <w:noWrap w:val="0"/>
            <w:vAlign w:val="center"/>
          </w:tcPr>
          <w:p w14:paraId="04D939F0">
            <w:pPr>
              <w:widowControl/>
              <w:ind w:right="174" w:rightChars="83"/>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9583</w:t>
            </w:r>
          </w:p>
        </w:tc>
        <w:tc>
          <w:tcPr>
            <w:tcW w:w="733" w:type="pct"/>
            <w:noWrap w:val="0"/>
            <w:vAlign w:val="center"/>
          </w:tcPr>
          <w:p w14:paraId="3BB8EB2E">
            <w:pPr>
              <w:widowControl/>
              <w:jc w:val="left"/>
              <w:rPr>
                <w:rFonts w:hint="eastAsia" w:ascii="宋体" w:hAnsi="宋体" w:cs="宋体"/>
                <w:kern w:val="0"/>
                <w:sz w:val="22"/>
                <w:szCs w:val="22"/>
                <w:highlight w:val="none"/>
              </w:rPr>
            </w:pPr>
          </w:p>
        </w:tc>
      </w:tr>
      <w:tr w14:paraId="722B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760" w:type="pct"/>
            <w:noWrap w:val="0"/>
            <w:vAlign w:val="center"/>
          </w:tcPr>
          <w:p w14:paraId="713F382D">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1912" w:type="pct"/>
            <w:noWrap w:val="0"/>
            <w:vAlign w:val="center"/>
          </w:tcPr>
          <w:p w14:paraId="06F4F1A1">
            <w:pPr>
              <w:ind w:left="2" w:leftChars="1" w:firstLine="102" w:firstLineChars="46"/>
              <w:rPr>
                <w:rFonts w:hint="eastAsia" w:ascii="宋体" w:hAnsi="宋体" w:cs="宋体"/>
                <w:kern w:val="0"/>
                <w:sz w:val="22"/>
                <w:szCs w:val="22"/>
                <w:highlight w:val="none"/>
              </w:rPr>
            </w:pPr>
            <w:r>
              <w:rPr>
                <w:rFonts w:hint="eastAsia" w:ascii="宋体" w:hAnsi="宋体" w:cs="宋体"/>
                <w:b/>
                <w:kern w:val="0"/>
                <w:sz w:val="22"/>
                <w:szCs w:val="22"/>
                <w:highlight w:val="none"/>
              </w:rPr>
              <w:t>停车场</w:t>
            </w:r>
          </w:p>
        </w:tc>
        <w:tc>
          <w:tcPr>
            <w:tcW w:w="1593" w:type="pct"/>
            <w:noWrap w:val="0"/>
            <w:vAlign w:val="center"/>
          </w:tcPr>
          <w:p w14:paraId="3FABF95F">
            <w:pPr>
              <w:widowControl/>
              <w:ind w:right="174" w:rightChars="83"/>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370</w:t>
            </w:r>
          </w:p>
        </w:tc>
        <w:tc>
          <w:tcPr>
            <w:tcW w:w="733" w:type="pct"/>
            <w:noWrap w:val="0"/>
            <w:vAlign w:val="center"/>
          </w:tcPr>
          <w:p w14:paraId="1B736AF0">
            <w:pPr>
              <w:widowControl/>
              <w:spacing w:line="200" w:lineRule="exact"/>
              <w:jc w:val="left"/>
              <w:rPr>
                <w:rFonts w:hint="eastAsia" w:ascii="宋体" w:hAnsi="宋体" w:cs="宋体"/>
                <w:kern w:val="0"/>
                <w:sz w:val="22"/>
                <w:szCs w:val="22"/>
                <w:highlight w:val="none"/>
              </w:rPr>
            </w:pPr>
          </w:p>
        </w:tc>
      </w:tr>
      <w:tr w14:paraId="6A7B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760" w:type="pct"/>
            <w:noWrap w:val="0"/>
            <w:vAlign w:val="center"/>
          </w:tcPr>
          <w:p w14:paraId="57769035">
            <w:pPr>
              <w:widowControl/>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4</w:t>
            </w:r>
          </w:p>
        </w:tc>
        <w:tc>
          <w:tcPr>
            <w:tcW w:w="1912" w:type="pct"/>
            <w:noWrap w:val="0"/>
            <w:vAlign w:val="center"/>
          </w:tcPr>
          <w:p w14:paraId="2E219C36">
            <w:pPr>
              <w:ind w:left="2" w:leftChars="1" w:firstLine="102" w:firstLineChars="46"/>
              <w:rPr>
                <w:rFonts w:hint="eastAsia" w:ascii="宋体" w:hAnsi="宋体" w:cs="宋体"/>
                <w:b/>
                <w:kern w:val="0"/>
                <w:sz w:val="22"/>
                <w:szCs w:val="22"/>
                <w:highlight w:val="none"/>
              </w:rPr>
            </w:pPr>
            <w:r>
              <w:rPr>
                <w:rFonts w:hint="eastAsia" w:ascii="宋体" w:hAnsi="宋体" w:cs="宋体"/>
                <w:b/>
                <w:kern w:val="0"/>
                <w:sz w:val="22"/>
                <w:szCs w:val="22"/>
                <w:highlight w:val="none"/>
              </w:rPr>
              <w:t>绿化面积</w:t>
            </w:r>
          </w:p>
        </w:tc>
        <w:tc>
          <w:tcPr>
            <w:tcW w:w="1593" w:type="pct"/>
            <w:noWrap w:val="0"/>
            <w:vAlign w:val="center"/>
          </w:tcPr>
          <w:p w14:paraId="4F4A1CE4">
            <w:pPr>
              <w:widowControl/>
              <w:ind w:right="174" w:rightChars="83"/>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1064</w:t>
            </w:r>
          </w:p>
        </w:tc>
        <w:tc>
          <w:tcPr>
            <w:tcW w:w="733" w:type="pct"/>
            <w:noWrap w:val="0"/>
            <w:vAlign w:val="center"/>
          </w:tcPr>
          <w:p w14:paraId="15864611">
            <w:pPr>
              <w:widowControl/>
              <w:jc w:val="left"/>
              <w:rPr>
                <w:rFonts w:hint="eastAsia" w:ascii="宋体" w:hAnsi="宋体" w:cs="宋体"/>
                <w:b/>
                <w:kern w:val="0"/>
                <w:sz w:val="22"/>
                <w:szCs w:val="22"/>
                <w:highlight w:val="none"/>
              </w:rPr>
            </w:pPr>
          </w:p>
        </w:tc>
      </w:tr>
      <w:tr w14:paraId="2948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760" w:type="pct"/>
            <w:noWrap w:val="0"/>
            <w:vAlign w:val="center"/>
          </w:tcPr>
          <w:p w14:paraId="0BFB8DCC">
            <w:pPr>
              <w:widowControl/>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5</w:t>
            </w:r>
          </w:p>
        </w:tc>
        <w:tc>
          <w:tcPr>
            <w:tcW w:w="1912" w:type="pct"/>
            <w:noWrap w:val="0"/>
            <w:vAlign w:val="center"/>
          </w:tcPr>
          <w:p w14:paraId="05C9D391">
            <w:pPr>
              <w:ind w:left="2" w:leftChars="1" w:firstLine="102" w:firstLineChars="46"/>
              <w:rPr>
                <w:rFonts w:hint="eastAsia" w:ascii="宋体" w:hAnsi="宋体" w:cs="宋体"/>
                <w:b/>
                <w:kern w:val="0"/>
                <w:sz w:val="22"/>
                <w:szCs w:val="22"/>
                <w:highlight w:val="none"/>
              </w:rPr>
            </w:pPr>
            <w:r>
              <w:rPr>
                <w:rFonts w:hint="eastAsia" w:ascii="宋体" w:hAnsi="宋体" w:cs="宋体"/>
                <w:b/>
                <w:kern w:val="0"/>
                <w:sz w:val="22"/>
                <w:szCs w:val="22"/>
                <w:highlight w:val="none"/>
              </w:rPr>
              <w:t>道路面积</w:t>
            </w:r>
          </w:p>
        </w:tc>
        <w:tc>
          <w:tcPr>
            <w:tcW w:w="1593" w:type="pct"/>
            <w:noWrap w:val="0"/>
            <w:vAlign w:val="center"/>
          </w:tcPr>
          <w:p w14:paraId="4D62C092">
            <w:pPr>
              <w:widowControl/>
              <w:ind w:right="174" w:rightChars="83"/>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340</w:t>
            </w:r>
          </w:p>
        </w:tc>
        <w:tc>
          <w:tcPr>
            <w:tcW w:w="733" w:type="pct"/>
            <w:noWrap w:val="0"/>
            <w:vAlign w:val="center"/>
          </w:tcPr>
          <w:p w14:paraId="2EDA4B9C">
            <w:pPr>
              <w:widowControl/>
              <w:jc w:val="left"/>
              <w:rPr>
                <w:rFonts w:hint="eastAsia" w:ascii="宋体" w:hAnsi="宋体" w:cs="宋体"/>
                <w:b/>
                <w:kern w:val="0"/>
                <w:sz w:val="22"/>
                <w:szCs w:val="22"/>
                <w:highlight w:val="none"/>
              </w:rPr>
            </w:pPr>
          </w:p>
        </w:tc>
      </w:tr>
    </w:tbl>
    <w:p w14:paraId="5CEEB81C">
      <w:pPr>
        <w:numPr>
          <w:ilvl w:val="1"/>
          <w:numId w:val="2"/>
        </w:numPr>
        <w:tabs>
          <w:tab w:val="left" w:pos="567"/>
        </w:tabs>
        <w:spacing w:before="429" w:beforeLines="150" w:after="143" w:afterLines="50" w:line="360" w:lineRule="auto"/>
        <w:outlineLvl w:val="1"/>
        <w:rPr>
          <w:rFonts w:hint="eastAsia" w:ascii="宋体" w:hAnsi="宋体" w:eastAsia="宋体" w:cs="宋体"/>
          <w:sz w:val="22"/>
          <w:szCs w:val="22"/>
          <w:highlight w:val="none"/>
        </w:rPr>
      </w:pPr>
      <w:r>
        <w:rPr>
          <w:rFonts w:hint="eastAsia" w:ascii="宋体" w:hAnsi="宋体" w:eastAsia="宋体" w:cs="宋体"/>
          <w:sz w:val="22"/>
          <w:szCs w:val="22"/>
          <w:highlight w:val="none"/>
        </w:rPr>
        <w:t>按五里桥人才公寓入住情况以及物业实际提供的管理服务，支付当年物业管理服务费。</w:t>
      </w:r>
    </w:p>
    <w:p w14:paraId="6ED522FC">
      <w:pPr>
        <w:numPr>
          <w:ilvl w:val="1"/>
          <w:numId w:val="2"/>
        </w:numPr>
        <w:tabs>
          <w:tab w:val="left" w:pos="567"/>
        </w:tabs>
        <w:spacing w:before="429" w:beforeLines="150" w:after="143" w:afterLines="50" w:line="360" w:lineRule="auto"/>
        <w:outlineLvl w:val="1"/>
        <w:rPr>
          <w:rFonts w:hint="eastAsia" w:ascii="宋体" w:hAnsi="宋体" w:cs="宋体"/>
          <w:sz w:val="22"/>
          <w:szCs w:val="22"/>
          <w:highlight w:val="none"/>
        </w:rPr>
      </w:pPr>
      <w:r>
        <w:rPr>
          <w:rFonts w:hint="eastAsia" w:ascii="宋体" w:hAnsi="宋体" w:cs="宋体"/>
          <w:sz w:val="22"/>
          <w:szCs w:val="22"/>
          <w:highlight w:val="none"/>
        </w:rPr>
        <w:t>门卫情况：</w:t>
      </w:r>
    </w:p>
    <w:p w14:paraId="3F6DDC78">
      <w:pPr>
        <w:pStyle w:val="7"/>
        <w:tabs>
          <w:tab w:val="left" w:pos="993"/>
        </w:tabs>
        <w:spacing w:line="360" w:lineRule="auto"/>
        <w:ind w:firstLine="110" w:firstLineChars="50"/>
        <w:rPr>
          <w:rFonts w:hint="eastAsia" w:ascii="宋体" w:hAnsi="宋体" w:cs="宋体"/>
          <w:sz w:val="22"/>
          <w:szCs w:val="22"/>
          <w:highlight w:val="none"/>
        </w:rPr>
      </w:pPr>
      <w:r>
        <w:rPr>
          <w:rFonts w:hint="eastAsia" w:ascii="宋体" w:hAnsi="宋体" w:cs="宋体"/>
          <w:sz w:val="22"/>
          <w:szCs w:val="22"/>
          <w:highlight w:val="none"/>
        </w:rPr>
        <w:t>（1）门卫：五里桥路二个。</w:t>
      </w:r>
    </w:p>
    <w:p w14:paraId="2218F3CA">
      <w:pPr>
        <w:pStyle w:val="7"/>
        <w:tabs>
          <w:tab w:val="left" w:pos="993"/>
        </w:tabs>
        <w:spacing w:line="360" w:lineRule="auto"/>
        <w:ind w:firstLine="110" w:firstLineChars="50"/>
        <w:rPr>
          <w:rFonts w:hint="eastAsia" w:ascii="宋体" w:hAnsi="宋体" w:cs="宋体"/>
          <w:sz w:val="22"/>
          <w:szCs w:val="22"/>
          <w:highlight w:val="none"/>
        </w:rPr>
      </w:pPr>
      <w:r>
        <w:rPr>
          <w:rFonts w:hint="eastAsia" w:ascii="宋体" w:hAnsi="宋体" w:cs="宋体"/>
          <w:sz w:val="22"/>
          <w:szCs w:val="22"/>
          <w:highlight w:val="none"/>
        </w:rPr>
        <w:t>（2）五里桥路门卫间内设置消防控制系统及监控控制系统各壹套。</w:t>
      </w:r>
    </w:p>
    <w:p w14:paraId="0CB2699E">
      <w:pPr>
        <w:pStyle w:val="7"/>
        <w:tabs>
          <w:tab w:val="left" w:pos="993"/>
        </w:tabs>
        <w:spacing w:line="360" w:lineRule="auto"/>
        <w:ind w:firstLine="110" w:firstLineChars="50"/>
        <w:rPr>
          <w:rFonts w:hint="eastAsia" w:ascii="宋体" w:hAnsi="宋体" w:cs="宋体"/>
          <w:sz w:val="22"/>
          <w:szCs w:val="22"/>
          <w:highlight w:val="none"/>
        </w:rPr>
      </w:pPr>
      <w:r>
        <w:rPr>
          <w:rFonts w:hint="eastAsia" w:ascii="宋体" w:hAnsi="宋体" w:cs="宋体"/>
          <w:sz w:val="22"/>
          <w:szCs w:val="22"/>
          <w:highlight w:val="none"/>
        </w:rPr>
        <w:t>（3）五里桥路设置门卫道闸一个，区域内有停车位26个。</w:t>
      </w:r>
    </w:p>
    <w:p w14:paraId="419AAAE6">
      <w:pPr>
        <w:numPr>
          <w:ilvl w:val="1"/>
          <w:numId w:val="2"/>
        </w:numPr>
        <w:tabs>
          <w:tab w:val="left" w:pos="567"/>
        </w:tabs>
        <w:spacing w:before="429" w:beforeLines="150" w:after="143" w:afterLines="50" w:line="360" w:lineRule="auto"/>
        <w:outlineLvl w:val="1"/>
        <w:rPr>
          <w:rFonts w:hint="eastAsia" w:ascii="宋体" w:hAnsi="宋体" w:cs="宋体"/>
          <w:sz w:val="22"/>
          <w:szCs w:val="22"/>
          <w:highlight w:val="none"/>
        </w:rPr>
      </w:pPr>
      <w:r>
        <w:rPr>
          <w:rFonts w:hint="eastAsia" w:ascii="宋体" w:hAnsi="宋体" w:cs="宋体"/>
          <w:sz w:val="22"/>
          <w:szCs w:val="22"/>
          <w:highlight w:val="none"/>
        </w:rPr>
        <w:t>设备设施概况（以现场实际数量为准）：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193"/>
        <w:gridCol w:w="2321"/>
        <w:gridCol w:w="654"/>
        <w:gridCol w:w="651"/>
        <w:gridCol w:w="3089"/>
      </w:tblGrid>
      <w:tr w14:paraId="0384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0" w:type="pct"/>
            <w:noWrap w:val="0"/>
            <w:vAlign w:val="center"/>
          </w:tcPr>
          <w:p w14:paraId="15388A45">
            <w:pPr>
              <w:widowControl/>
              <w:ind w:left="-69" w:leftChars="-33" w:right="-84" w:rightChars="-40"/>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序号</w:t>
            </w:r>
          </w:p>
        </w:tc>
        <w:tc>
          <w:tcPr>
            <w:tcW w:w="700" w:type="pct"/>
            <w:noWrap w:val="0"/>
            <w:vAlign w:val="center"/>
          </w:tcPr>
          <w:p w14:paraId="5C226BBD">
            <w:pPr>
              <w:widowControl/>
              <w:ind w:left="-86" w:leftChars="-41" w:right="-73" w:rightChars="-35"/>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系统名称</w:t>
            </w:r>
          </w:p>
        </w:tc>
        <w:tc>
          <w:tcPr>
            <w:tcW w:w="1362" w:type="pct"/>
            <w:noWrap w:val="0"/>
            <w:vAlign w:val="center"/>
          </w:tcPr>
          <w:p w14:paraId="36D35227">
            <w:pPr>
              <w:widowControl/>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单项名称</w:t>
            </w:r>
          </w:p>
        </w:tc>
        <w:tc>
          <w:tcPr>
            <w:tcW w:w="384" w:type="pct"/>
            <w:noWrap w:val="0"/>
            <w:vAlign w:val="center"/>
          </w:tcPr>
          <w:p w14:paraId="212A56ED">
            <w:pPr>
              <w:widowControl/>
              <w:ind w:left="-69" w:leftChars="-33" w:right="-84" w:rightChars="-40"/>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数量</w:t>
            </w:r>
          </w:p>
        </w:tc>
        <w:tc>
          <w:tcPr>
            <w:tcW w:w="382" w:type="pct"/>
            <w:noWrap w:val="0"/>
            <w:vAlign w:val="center"/>
          </w:tcPr>
          <w:p w14:paraId="1C5F83D7">
            <w:pPr>
              <w:widowControl/>
              <w:ind w:left="-69" w:leftChars="-33" w:right="-84" w:rightChars="-40"/>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单位</w:t>
            </w:r>
          </w:p>
        </w:tc>
        <w:tc>
          <w:tcPr>
            <w:tcW w:w="1812" w:type="pct"/>
            <w:noWrap w:val="0"/>
            <w:vAlign w:val="center"/>
          </w:tcPr>
          <w:p w14:paraId="0F80565C">
            <w:pPr>
              <w:widowControl/>
              <w:ind w:left="-69" w:leftChars="-33" w:right="-84" w:rightChars="-40"/>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备注</w:t>
            </w:r>
          </w:p>
        </w:tc>
      </w:tr>
      <w:tr w14:paraId="44EB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vMerge w:val="restart"/>
            <w:noWrap w:val="0"/>
            <w:vAlign w:val="center"/>
          </w:tcPr>
          <w:p w14:paraId="514F8F35">
            <w:pPr>
              <w:widowControl/>
              <w:ind w:left="-69" w:leftChars="-33" w:right="-84" w:rightChars="-40"/>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700" w:type="pct"/>
            <w:vMerge w:val="restart"/>
            <w:noWrap w:val="0"/>
            <w:vAlign w:val="center"/>
          </w:tcPr>
          <w:p w14:paraId="262C3DD7">
            <w:pPr>
              <w:widowControl/>
              <w:ind w:left="-86" w:leftChars="-41" w:right="-73" w:rightChars="-35"/>
              <w:jc w:val="center"/>
              <w:rPr>
                <w:rFonts w:hint="eastAsia" w:ascii="宋体" w:hAnsi="宋体" w:cs="宋体"/>
                <w:kern w:val="0"/>
                <w:sz w:val="22"/>
                <w:szCs w:val="22"/>
                <w:highlight w:val="none"/>
              </w:rPr>
            </w:pPr>
            <w:r>
              <w:rPr>
                <w:rFonts w:hint="eastAsia" w:ascii="宋体" w:hAnsi="宋体" w:cs="宋体"/>
                <w:kern w:val="0"/>
                <w:sz w:val="22"/>
                <w:szCs w:val="22"/>
                <w:highlight w:val="none"/>
              </w:rPr>
              <w:t>强电系统</w:t>
            </w:r>
          </w:p>
        </w:tc>
        <w:tc>
          <w:tcPr>
            <w:tcW w:w="1362" w:type="pct"/>
            <w:noWrap w:val="0"/>
            <w:vAlign w:val="center"/>
          </w:tcPr>
          <w:p w14:paraId="0A0C7C2E">
            <w:pPr>
              <w:widowControl/>
              <w:ind w:left="17" w:leftChars="8" w:right="141" w:rightChars="67"/>
              <w:jc w:val="left"/>
              <w:rPr>
                <w:rFonts w:hint="eastAsia" w:ascii="宋体" w:hAnsi="宋体" w:cs="宋体"/>
                <w:spacing w:val="-6"/>
                <w:kern w:val="0"/>
                <w:sz w:val="22"/>
                <w:szCs w:val="22"/>
                <w:highlight w:val="none"/>
              </w:rPr>
            </w:pPr>
            <w:r>
              <w:rPr>
                <w:rFonts w:hint="eastAsia" w:ascii="宋体" w:hAnsi="宋体" w:cs="宋体"/>
                <w:spacing w:val="-6"/>
                <w:kern w:val="0"/>
                <w:sz w:val="22"/>
                <w:szCs w:val="22"/>
                <w:highlight w:val="none"/>
              </w:rPr>
              <w:t>变压器</w:t>
            </w:r>
          </w:p>
        </w:tc>
        <w:tc>
          <w:tcPr>
            <w:tcW w:w="384" w:type="pct"/>
            <w:noWrap w:val="0"/>
            <w:vAlign w:val="center"/>
          </w:tcPr>
          <w:p w14:paraId="5F107C00">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c>
          <w:tcPr>
            <w:tcW w:w="382" w:type="pct"/>
            <w:noWrap w:val="0"/>
            <w:vAlign w:val="center"/>
          </w:tcPr>
          <w:p w14:paraId="62C555D5">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c>
          <w:tcPr>
            <w:tcW w:w="1812" w:type="pct"/>
            <w:noWrap w:val="0"/>
            <w:vAlign w:val="center"/>
          </w:tcPr>
          <w:p w14:paraId="1F7FAFB5">
            <w:pPr>
              <w:widowControl/>
              <w:ind w:left="-69" w:leftChars="-33" w:right="-84" w:rightChars="-40"/>
              <w:rPr>
                <w:rFonts w:hint="eastAsia" w:ascii="宋体" w:hAnsi="宋体" w:cs="宋体"/>
                <w:kern w:val="0"/>
                <w:sz w:val="22"/>
                <w:szCs w:val="22"/>
                <w:highlight w:val="none"/>
              </w:rPr>
            </w:pPr>
            <w:r>
              <w:rPr>
                <w:rFonts w:hint="eastAsia" w:ascii="宋体" w:hAnsi="宋体" w:cs="宋体"/>
                <w:kern w:val="0"/>
                <w:sz w:val="22"/>
                <w:szCs w:val="22"/>
                <w:highlight w:val="none"/>
              </w:rPr>
              <w:t>2路500kva</w:t>
            </w:r>
          </w:p>
        </w:tc>
      </w:tr>
      <w:tr w14:paraId="1380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vMerge w:val="continue"/>
            <w:noWrap w:val="0"/>
            <w:vAlign w:val="center"/>
          </w:tcPr>
          <w:p w14:paraId="4B18A412">
            <w:pPr>
              <w:widowControl/>
              <w:ind w:left="-69" w:leftChars="-33" w:right="-84" w:rightChars="-40"/>
              <w:jc w:val="center"/>
              <w:rPr>
                <w:rFonts w:hint="eastAsia" w:ascii="宋体" w:hAnsi="宋体" w:cs="宋体"/>
                <w:kern w:val="0"/>
                <w:sz w:val="22"/>
                <w:szCs w:val="22"/>
                <w:highlight w:val="none"/>
              </w:rPr>
            </w:pPr>
          </w:p>
        </w:tc>
        <w:tc>
          <w:tcPr>
            <w:tcW w:w="700" w:type="pct"/>
            <w:vMerge w:val="continue"/>
            <w:noWrap w:val="0"/>
            <w:vAlign w:val="center"/>
          </w:tcPr>
          <w:p w14:paraId="4026B6E2">
            <w:pPr>
              <w:widowControl/>
              <w:ind w:left="-86" w:leftChars="-41" w:right="-73" w:rightChars="-35"/>
              <w:jc w:val="center"/>
              <w:rPr>
                <w:rFonts w:hint="eastAsia" w:ascii="宋体" w:hAnsi="宋体" w:cs="宋体"/>
                <w:kern w:val="0"/>
                <w:sz w:val="22"/>
                <w:szCs w:val="22"/>
                <w:highlight w:val="none"/>
              </w:rPr>
            </w:pPr>
          </w:p>
        </w:tc>
        <w:tc>
          <w:tcPr>
            <w:tcW w:w="1362" w:type="pct"/>
            <w:noWrap w:val="0"/>
            <w:vAlign w:val="center"/>
          </w:tcPr>
          <w:p w14:paraId="2096CC3B">
            <w:pPr>
              <w:widowControl/>
              <w:ind w:left="17" w:leftChars="8" w:right="141" w:rightChars="67"/>
              <w:jc w:val="left"/>
              <w:rPr>
                <w:rFonts w:hint="eastAsia" w:ascii="宋体" w:hAnsi="宋体" w:cs="宋体"/>
                <w:spacing w:val="-6"/>
                <w:kern w:val="0"/>
                <w:sz w:val="22"/>
                <w:szCs w:val="22"/>
                <w:highlight w:val="none"/>
              </w:rPr>
            </w:pPr>
            <w:r>
              <w:rPr>
                <w:rFonts w:hint="eastAsia" w:ascii="宋体" w:hAnsi="宋体" w:cs="宋体"/>
                <w:spacing w:val="-6"/>
                <w:kern w:val="0"/>
                <w:sz w:val="22"/>
                <w:szCs w:val="22"/>
                <w:highlight w:val="none"/>
              </w:rPr>
              <w:t>配电间</w:t>
            </w:r>
          </w:p>
        </w:tc>
        <w:tc>
          <w:tcPr>
            <w:tcW w:w="384" w:type="pct"/>
            <w:noWrap w:val="0"/>
            <w:vAlign w:val="center"/>
          </w:tcPr>
          <w:p w14:paraId="6683B89E">
            <w:pPr>
              <w:jc w:val="center"/>
              <w:rPr>
                <w:rFonts w:hint="eastAsia" w:ascii="宋体" w:hAnsi="宋体" w:cs="宋体"/>
                <w:sz w:val="22"/>
                <w:szCs w:val="22"/>
                <w:highlight w:val="none"/>
              </w:rPr>
            </w:pPr>
            <w:r>
              <w:rPr>
                <w:rFonts w:hint="eastAsia" w:ascii="宋体" w:hAnsi="宋体" w:cs="宋体"/>
                <w:sz w:val="22"/>
                <w:szCs w:val="22"/>
                <w:highlight w:val="none"/>
              </w:rPr>
              <w:t>1</w:t>
            </w:r>
          </w:p>
        </w:tc>
        <w:tc>
          <w:tcPr>
            <w:tcW w:w="382" w:type="pct"/>
            <w:noWrap w:val="0"/>
            <w:vAlign w:val="center"/>
          </w:tcPr>
          <w:p w14:paraId="697585F6">
            <w:pPr>
              <w:jc w:val="center"/>
              <w:rPr>
                <w:rFonts w:hint="eastAsia" w:ascii="宋体" w:hAnsi="宋体" w:cs="宋体"/>
                <w:kern w:val="0"/>
                <w:sz w:val="22"/>
                <w:szCs w:val="22"/>
                <w:highlight w:val="none"/>
              </w:rPr>
            </w:pPr>
            <w:r>
              <w:rPr>
                <w:rFonts w:hint="eastAsia" w:ascii="宋体" w:hAnsi="宋体" w:cs="宋体"/>
                <w:kern w:val="0"/>
                <w:sz w:val="22"/>
                <w:szCs w:val="22"/>
                <w:highlight w:val="none"/>
              </w:rPr>
              <w:t>间</w:t>
            </w:r>
          </w:p>
        </w:tc>
        <w:tc>
          <w:tcPr>
            <w:tcW w:w="1812" w:type="pct"/>
            <w:noWrap w:val="0"/>
            <w:vAlign w:val="center"/>
          </w:tcPr>
          <w:p w14:paraId="568C8AF2">
            <w:pPr>
              <w:widowControl/>
              <w:ind w:left="-69" w:leftChars="-33" w:right="-84" w:rightChars="-40"/>
              <w:rPr>
                <w:rFonts w:hint="eastAsia" w:ascii="宋体" w:hAnsi="宋体" w:cs="宋体"/>
                <w:kern w:val="0"/>
                <w:sz w:val="22"/>
                <w:szCs w:val="22"/>
                <w:highlight w:val="none"/>
              </w:rPr>
            </w:pPr>
            <w:r>
              <w:rPr>
                <w:rFonts w:hint="eastAsia" w:ascii="宋体" w:hAnsi="宋体" w:cs="宋体"/>
                <w:kern w:val="0"/>
                <w:sz w:val="22"/>
                <w:szCs w:val="22"/>
                <w:highlight w:val="none"/>
              </w:rPr>
              <w:t>每层楼有一个，共八个</w:t>
            </w:r>
          </w:p>
        </w:tc>
      </w:tr>
      <w:tr w14:paraId="78D9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vMerge w:val="restart"/>
            <w:noWrap w:val="0"/>
            <w:vAlign w:val="center"/>
          </w:tcPr>
          <w:p w14:paraId="0640CC67">
            <w:pPr>
              <w:ind w:left="-69" w:leftChars="-33" w:right="-84" w:rightChars="-40"/>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c>
          <w:tcPr>
            <w:tcW w:w="700" w:type="pct"/>
            <w:vMerge w:val="restart"/>
            <w:noWrap w:val="0"/>
            <w:vAlign w:val="center"/>
          </w:tcPr>
          <w:p w14:paraId="0EB640C9">
            <w:pPr>
              <w:widowControl/>
              <w:ind w:left="-86" w:leftChars="-41" w:right="-73" w:rightChars="-35"/>
              <w:jc w:val="center"/>
              <w:rPr>
                <w:rFonts w:hint="eastAsia" w:ascii="宋体" w:hAnsi="宋体" w:cs="宋体"/>
                <w:kern w:val="0"/>
                <w:sz w:val="22"/>
                <w:szCs w:val="22"/>
                <w:highlight w:val="none"/>
              </w:rPr>
            </w:pPr>
            <w:r>
              <w:rPr>
                <w:rFonts w:hint="eastAsia" w:ascii="宋体" w:hAnsi="宋体" w:cs="宋体"/>
                <w:kern w:val="0"/>
                <w:sz w:val="22"/>
                <w:szCs w:val="22"/>
                <w:highlight w:val="none"/>
              </w:rPr>
              <w:t>空调系统</w:t>
            </w:r>
          </w:p>
        </w:tc>
        <w:tc>
          <w:tcPr>
            <w:tcW w:w="1362" w:type="pct"/>
            <w:noWrap w:val="0"/>
            <w:vAlign w:val="center"/>
          </w:tcPr>
          <w:p w14:paraId="5F4542C1">
            <w:pPr>
              <w:widowControl/>
              <w:spacing w:line="500" w:lineRule="exact"/>
              <w:ind w:left="17" w:leftChars="8" w:right="141" w:rightChars="67"/>
              <w:jc w:val="left"/>
              <w:rPr>
                <w:rFonts w:hint="eastAsia" w:ascii="宋体" w:hAnsi="宋体" w:cs="宋体"/>
                <w:spacing w:val="-6"/>
                <w:kern w:val="0"/>
                <w:sz w:val="22"/>
                <w:szCs w:val="22"/>
                <w:highlight w:val="none"/>
              </w:rPr>
            </w:pPr>
            <w:r>
              <w:rPr>
                <w:rFonts w:hint="eastAsia" w:ascii="宋体" w:hAnsi="宋体" w:cs="宋体"/>
                <w:spacing w:val="-6"/>
                <w:kern w:val="0"/>
                <w:sz w:val="22"/>
                <w:szCs w:val="22"/>
                <w:highlight w:val="none"/>
              </w:rPr>
              <w:t>挂壁式分体空调</w:t>
            </w:r>
          </w:p>
        </w:tc>
        <w:tc>
          <w:tcPr>
            <w:tcW w:w="384" w:type="pct"/>
            <w:noWrap w:val="0"/>
            <w:vAlign w:val="center"/>
          </w:tcPr>
          <w:p w14:paraId="6B650612">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317</w:t>
            </w:r>
          </w:p>
        </w:tc>
        <w:tc>
          <w:tcPr>
            <w:tcW w:w="382" w:type="pct"/>
            <w:noWrap w:val="0"/>
            <w:vAlign w:val="center"/>
          </w:tcPr>
          <w:p w14:paraId="0D40BFD3">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c>
          <w:tcPr>
            <w:tcW w:w="1812" w:type="pct"/>
            <w:noWrap w:val="0"/>
            <w:vAlign w:val="center"/>
          </w:tcPr>
          <w:p w14:paraId="1E80DEBA">
            <w:pPr>
              <w:widowControl/>
              <w:ind w:left="-69" w:leftChars="-33" w:right="-84" w:rightChars="-40"/>
              <w:rPr>
                <w:rFonts w:hint="eastAsia" w:ascii="宋体" w:hAnsi="宋体" w:cs="宋体"/>
                <w:kern w:val="0"/>
                <w:sz w:val="22"/>
                <w:szCs w:val="22"/>
                <w:highlight w:val="none"/>
              </w:rPr>
            </w:pPr>
            <w:r>
              <w:rPr>
                <w:rFonts w:hint="eastAsia" w:ascii="宋体" w:hAnsi="宋体" w:cs="宋体"/>
                <w:kern w:val="0"/>
                <w:sz w:val="22"/>
                <w:szCs w:val="22"/>
                <w:highlight w:val="none"/>
              </w:rPr>
              <w:t>以实际数量为准</w:t>
            </w:r>
          </w:p>
        </w:tc>
      </w:tr>
      <w:tr w14:paraId="0DB4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vMerge w:val="continue"/>
            <w:noWrap w:val="0"/>
            <w:vAlign w:val="center"/>
          </w:tcPr>
          <w:p w14:paraId="34BC44F1">
            <w:pPr>
              <w:ind w:left="-69" w:leftChars="-33" w:right="-84" w:rightChars="-40"/>
              <w:jc w:val="center"/>
              <w:rPr>
                <w:rFonts w:hint="eastAsia" w:ascii="宋体" w:hAnsi="宋体" w:cs="宋体"/>
                <w:kern w:val="0"/>
                <w:sz w:val="22"/>
                <w:szCs w:val="22"/>
                <w:highlight w:val="none"/>
              </w:rPr>
            </w:pPr>
          </w:p>
        </w:tc>
        <w:tc>
          <w:tcPr>
            <w:tcW w:w="700" w:type="pct"/>
            <w:vMerge w:val="continue"/>
            <w:noWrap w:val="0"/>
            <w:vAlign w:val="center"/>
          </w:tcPr>
          <w:p w14:paraId="668EFAE0">
            <w:pPr>
              <w:widowControl/>
              <w:ind w:left="-86" w:leftChars="-41" w:right="-73" w:rightChars="-35"/>
              <w:jc w:val="center"/>
              <w:rPr>
                <w:rFonts w:hint="eastAsia" w:ascii="宋体" w:hAnsi="宋体" w:cs="宋体"/>
                <w:kern w:val="0"/>
                <w:sz w:val="22"/>
                <w:szCs w:val="22"/>
                <w:highlight w:val="none"/>
              </w:rPr>
            </w:pPr>
          </w:p>
        </w:tc>
        <w:tc>
          <w:tcPr>
            <w:tcW w:w="1362" w:type="pct"/>
            <w:noWrap w:val="0"/>
            <w:vAlign w:val="center"/>
          </w:tcPr>
          <w:p w14:paraId="4898EBA7">
            <w:pPr>
              <w:widowControl/>
              <w:ind w:left="17" w:leftChars="8" w:right="141" w:rightChars="67"/>
              <w:jc w:val="left"/>
              <w:rPr>
                <w:rFonts w:hint="eastAsia" w:ascii="宋体" w:hAnsi="宋体" w:cs="宋体"/>
                <w:spacing w:val="-6"/>
                <w:kern w:val="0"/>
                <w:sz w:val="22"/>
                <w:szCs w:val="22"/>
                <w:highlight w:val="none"/>
              </w:rPr>
            </w:pPr>
            <w:r>
              <w:rPr>
                <w:rFonts w:hint="eastAsia" w:ascii="宋体" w:hAnsi="宋体" w:cs="宋体"/>
                <w:spacing w:val="-6"/>
                <w:kern w:val="0"/>
                <w:sz w:val="22"/>
                <w:szCs w:val="22"/>
                <w:highlight w:val="none"/>
              </w:rPr>
              <w:t>VRV空调</w:t>
            </w:r>
          </w:p>
        </w:tc>
        <w:tc>
          <w:tcPr>
            <w:tcW w:w="384" w:type="pct"/>
            <w:noWrap w:val="0"/>
            <w:vAlign w:val="center"/>
          </w:tcPr>
          <w:p w14:paraId="7CEAD7CA">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382" w:type="pct"/>
            <w:noWrap w:val="0"/>
            <w:vAlign w:val="center"/>
          </w:tcPr>
          <w:p w14:paraId="2992FA0F">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组</w:t>
            </w:r>
          </w:p>
        </w:tc>
        <w:tc>
          <w:tcPr>
            <w:tcW w:w="1812" w:type="pct"/>
            <w:noWrap w:val="0"/>
            <w:vAlign w:val="center"/>
          </w:tcPr>
          <w:p w14:paraId="47A95C31">
            <w:pPr>
              <w:widowControl/>
              <w:ind w:left="-69" w:leftChars="-33" w:right="-84" w:rightChars="-40"/>
              <w:rPr>
                <w:rFonts w:hint="eastAsia" w:ascii="宋体" w:hAnsi="宋体" w:cs="宋体"/>
                <w:kern w:val="0"/>
                <w:sz w:val="22"/>
                <w:szCs w:val="22"/>
                <w:highlight w:val="none"/>
              </w:rPr>
            </w:pPr>
            <w:r>
              <w:rPr>
                <w:rFonts w:hint="eastAsia" w:ascii="宋体" w:hAnsi="宋体" w:cs="宋体"/>
                <w:kern w:val="0"/>
                <w:sz w:val="22"/>
                <w:szCs w:val="22"/>
                <w:highlight w:val="none"/>
              </w:rPr>
              <w:t>大堂, 以实际数量为准</w:t>
            </w:r>
          </w:p>
        </w:tc>
      </w:tr>
      <w:tr w14:paraId="2E88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vMerge w:val="continue"/>
            <w:noWrap w:val="0"/>
            <w:vAlign w:val="center"/>
          </w:tcPr>
          <w:p w14:paraId="1E6DADA5">
            <w:pPr>
              <w:ind w:left="-69" w:leftChars="-33" w:right="-84" w:rightChars="-40"/>
              <w:jc w:val="center"/>
              <w:rPr>
                <w:rFonts w:hint="eastAsia" w:ascii="宋体" w:hAnsi="宋体" w:cs="宋体"/>
                <w:kern w:val="0"/>
                <w:sz w:val="22"/>
                <w:szCs w:val="22"/>
                <w:highlight w:val="none"/>
              </w:rPr>
            </w:pPr>
          </w:p>
        </w:tc>
        <w:tc>
          <w:tcPr>
            <w:tcW w:w="700" w:type="pct"/>
            <w:vMerge w:val="continue"/>
            <w:noWrap w:val="0"/>
            <w:vAlign w:val="center"/>
          </w:tcPr>
          <w:p w14:paraId="59405C02">
            <w:pPr>
              <w:widowControl/>
              <w:ind w:left="-86" w:leftChars="-41" w:right="-73" w:rightChars="-35"/>
              <w:jc w:val="center"/>
              <w:rPr>
                <w:rFonts w:hint="eastAsia" w:ascii="宋体" w:hAnsi="宋体" w:cs="宋体"/>
                <w:kern w:val="0"/>
                <w:sz w:val="22"/>
                <w:szCs w:val="22"/>
                <w:highlight w:val="none"/>
              </w:rPr>
            </w:pPr>
          </w:p>
        </w:tc>
        <w:tc>
          <w:tcPr>
            <w:tcW w:w="1362" w:type="pct"/>
            <w:noWrap w:val="0"/>
            <w:vAlign w:val="center"/>
          </w:tcPr>
          <w:p w14:paraId="5B15986E">
            <w:pPr>
              <w:widowControl/>
              <w:ind w:left="17" w:leftChars="8" w:right="141" w:rightChars="67"/>
              <w:jc w:val="left"/>
              <w:rPr>
                <w:rFonts w:hint="eastAsia" w:ascii="宋体" w:hAnsi="宋体" w:cs="宋体"/>
                <w:spacing w:val="-6"/>
                <w:kern w:val="0"/>
                <w:sz w:val="22"/>
                <w:szCs w:val="22"/>
                <w:highlight w:val="none"/>
              </w:rPr>
            </w:pPr>
            <w:r>
              <w:rPr>
                <w:rFonts w:hint="eastAsia" w:ascii="宋体" w:hAnsi="宋体" w:cs="宋体"/>
                <w:spacing w:val="-6"/>
                <w:kern w:val="0"/>
                <w:sz w:val="22"/>
                <w:szCs w:val="22"/>
                <w:highlight w:val="none"/>
              </w:rPr>
              <w:t>立式空调</w:t>
            </w:r>
          </w:p>
        </w:tc>
        <w:tc>
          <w:tcPr>
            <w:tcW w:w="384" w:type="pct"/>
            <w:noWrap w:val="0"/>
            <w:vAlign w:val="center"/>
          </w:tcPr>
          <w:p w14:paraId="29BC76DB">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382" w:type="pct"/>
            <w:noWrap w:val="0"/>
            <w:vAlign w:val="center"/>
          </w:tcPr>
          <w:p w14:paraId="510716BD">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c>
          <w:tcPr>
            <w:tcW w:w="1812" w:type="pct"/>
            <w:noWrap w:val="0"/>
            <w:vAlign w:val="center"/>
          </w:tcPr>
          <w:p w14:paraId="42F50415">
            <w:pPr>
              <w:widowControl/>
              <w:ind w:right="-84" w:rightChars="-40"/>
              <w:rPr>
                <w:rFonts w:hint="eastAsia" w:ascii="宋体" w:hAnsi="宋体" w:cs="宋体"/>
                <w:kern w:val="0"/>
                <w:sz w:val="22"/>
                <w:szCs w:val="22"/>
                <w:highlight w:val="none"/>
              </w:rPr>
            </w:pPr>
            <w:r>
              <w:rPr>
                <w:rFonts w:hint="eastAsia" w:ascii="宋体" w:hAnsi="宋体" w:cs="宋体"/>
                <w:kern w:val="0"/>
                <w:sz w:val="22"/>
                <w:szCs w:val="22"/>
                <w:highlight w:val="none"/>
              </w:rPr>
              <w:t>以实际数量为准</w:t>
            </w:r>
          </w:p>
        </w:tc>
      </w:tr>
      <w:tr w14:paraId="7F74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vMerge w:val="restart"/>
            <w:noWrap w:val="0"/>
            <w:vAlign w:val="center"/>
          </w:tcPr>
          <w:p w14:paraId="0AFD14B0">
            <w:pPr>
              <w:widowControl/>
              <w:ind w:left="-69" w:leftChars="-33" w:right="-84" w:rightChars="-40"/>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700" w:type="pct"/>
            <w:vMerge w:val="restart"/>
            <w:noWrap w:val="0"/>
            <w:vAlign w:val="center"/>
          </w:tcPr>
          <w:p w14:paraId="0C1820E7">
            <w:pPr>
              <w:widowControl/>
              <w:ind w:left="-86" w:leftChars="-41" w:right="-73" w:rightChars="-35"/>
              <w:jc w:val="center"/>
              <w:rPr>
                <w:rFonts w:hint="eastAsia" w:ascii="宋体" w:hAnsi="宋体" w:cs="宋体"/>
                <w:kern w:val="0"/>
                <w:sz w:val="22"/>
                <w:szCs w:val="22"/>
                <w:highlight w:val="none"/>
              </w:rPr>
            </w:pPr>
            <w:r>
              <w:rPr>
                <w:rFonts w:hint="eastAsia" w:ascii="宋体" w:hAnsi="宋体" w:cs="宋体"/>
                <w:kern w:val="0"/>
                <w:sz w:val="22"/>
                <w:szCs w:val="22"/>
                <w:highlight w:val="none"/>
              </w:rPr>
              <w:t>给排水系统</w:t>
            </w:r>
          </w:p>
        </w:tc>
        <w:tc>
          <w:tcPr>
            <w:tcW w:w="1362" w:type="pct"/>
            <w:noWrap w:val="0"/>
            <w:vAlign w:val="center"/>
          </w:tcPr>
          <w:p w14:paraId="6F83494C">
            <w:pPr>
              <w:widowControl/>
              <w:spacing w:line="500" w:lineRule="exact"/>
              <w:ind w:left="17" w:leftChars="8" w:right="141" w:rightChars="67"/>
              <w:jc w:val="left"/>
              <w:rPr>
                <w:rFonts w:hint="eastAsia" w:ascii="宋体" w:hAnsi="宋体" w:cs="宋体"/>
                <w:spacing w:val="-6"/>
                <w:kern w:val="0"/>
                <w:sz w:val="22"/>
                <w:szCs w:val="22"/>
                <w:highlight w:val="none"/>
              </w:rPr>
            </w:pPr>
            <w:r>
              <w:rPr>
                <w:rFonts w:hint="eastAsia" w:ascii="宋体" w:hAnsi="宋体" w:cs="宋体"/>
                <w:spacing w:val="-6"/>
                <w:kern w:val="0"/>
                <w:sz w:val="22"/>
                <w:szCs w:val="22"/>
                <w:highlight w:val="none"/>
              </w:rPr>
              <w:t>水泵房（内设有消防泵、喷淋泵、增压泵等）</w:t>
            </w:r>
          </w:p>
        </w:tc>
        <w:tc>
          <w:tcPr>
            <w:tcW w:w="384" w:type="pct"/>
            <w:noWrap w:val="0"/>
            <w:vAlign w:val="center"/>
          </w:tcPr>
          <w:p w14:paraId="6238EB34">
            <w:pPr>
              <w:jc w:val="center"/>
              <w:rPr>
                <w:rFonts w:hint="eastAsia" w:ascii="宋体" w:hAnsi="宋体" w:cs="宋体"/>
                <w:sz w:val="22"/>
                <w:szCs w:val="22"/>
                <w:highlight w:val="none"/>
              </w:rPr>
            </w:pPr>
            <w:r>
              <w:rPr>
                <w:rFonts w:hint="eastAsia" w:ascii="宋体" w:hAnsi="宋体" w:cs="宋体"/>
                <w:kern w:val="0"/>
                <w:sz w:val="22"/>
                <w:szCs w:val="22"/>
                <w:highlight w:val="none"/>
              </w:rPr>
              <w:t>1</w:t>
            </w:r>
          </w:p>
        </w:tc>
        <w:tc>
          <w:tcPr>
            <w:tcW w:w="382" w:type="pct"/>
            <w:noWrap w:val="0"/>
            <w:vAlign w:val="center"/>
          </w:tcPr>
          <w:p w14:paraId="5E49CAA1">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c>
          <w:tcPr>
            <w:tcW w:w="1812" w:type="pct"/>
            <w:noWrap w:val="0"/>
            <w:vAlign w:val="center"/>
          </w:tcPr>
          <w:p w14:paraId="4EB66D1B">
            <w:pPr>
              <w:widowControl/>
              <w:ind w:left="-69" w:leftChars="-33" w:right="-84" w:rightChars="-40"/>
              <w:rPr>
                <w:rFonts w:hint="eastAsia" w:ascii="宋体" w:hAnsi="宋体" w:cs="宋体"/>
                <w:kern w:val="0"/>
                <w:sz w:val="22"/>
                <w:szCs w:val="22"/>
                <w:highlight w:val="none"/>
              </w:rPr>
            </w:pPr>
          </w:p>
        </w:tc>
      </w:tr>
      <w:tr w14:paraId="0C1A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vMerge w:val="continue"/>
            <w:noWrap w:val="0"/>
            <w:vAlign w:val="center"/>
          </w:tcPr>
          <w:p w14:paraId="1F298041">
            <w:pPr>
              <w:widowControl/>
              <w:ind w:left="-69" w:leftChars="-33" w:right="-84" w:rightChars="-40"/>
              <w:jc w:val="center"/>
              <w:rPr>
                <w:rFonts w:hint="eastAsia" w:ascii="宋体" w:hAnsi="宋体" w:cs="宋体"/>
                <w:kern w:val="0"/>
                <w:sz w:val="22"/>
                <w:szCs w:val="22"/>
                <w:highlight w:val="none"/>
              </w:rPr>
            </w:pPr>
          </w:p>
        </w:tc>
        <w:tc>
          <w:tcPr>
            <w:tcW w:w="700" w:type="pct"/>
            <w:vMerge w:val="continue"/>
            <w:noWrap w:val="0"/>
            <w:vAlign w:val="center"/>
          </w:tcPr>
          <w:p w14:paraId="3C4DC9F9">
            <w:pPr>
              <w:widowControl/>
              <w:jc w:val="left"/>
              <w:rPr>
                <w:rFonts w:hint="eastAsia" w:ascii="宋体" w:hAnsi="宋体" w:cs="宋体"/>
                <w:kern w:val="0"/>
                <w:sz w:val="22"/>
                <w:szCs w:val="22"/>
                <w:highlight w:val="none"/>
              </w:rPr>
            </w:pPr>
          </w:p>
        </w:tc>
        <w:tc>
          <w:tcPr>
            <w:tcW w:w="1362" w:type="pct"/>
            <w:noWrap w:val="0"/>
            <w:vAlign w:val="center"/>
          </w:tcPr>
          <w:p w14:paraId="41CE0628">
            <w:pPr>
              <w:widowControl/>
              <w:ind w:left="17" w:leftChars="8" w:right="141" w:rightChars="67"/>
              <w:jc w:val="left"/>
              <w:rPr>
                <w:rFonts w:hint="eastAsia" w:ascii="宋体" w:hAnsi="宋体" w:cs="宋体"/>
                <w:spacing w:val="-6"/>
                <w:kern w:val="0"/>
                <w:sz w:val="22"/>
                <w:szCs w:val="22"/>
                <w:highlight w:val="none"/>
              </w:rPr>
            </w:pPr>
            <w:r>
              <w:rPr>
                <w:rFonts w:hint="eastAsia" w:ascii="宋体" w:hAnsi="宋体" w:cs="宋体"/>
                <w:spacing w:val="-6"/>
                <w:kern w:val="0"/>
                <w:sz w:val="22"/>
                <w:szCs w:val="22"/>
                <w:highlight w:val="none"/>
              </w:rPr>
              <w:t>水箱</w:t>
            </w:r>
          </w:p>
        </w:tc>
        <w:tc>
          <w:tcPr>
            <w:tcW w:w="384" w:type="pct"/>
            <w:noWrap w:val="0"/>
            <w:vAlign w:val="center"/>
          </w:tcPr>
          <w:p w14:paraId="53628431">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382" w:type="pct"/>
            <w:noWrap w:val="0"/>
            <w:vAlign w:val="center"/>
          </w:tcPr>
          <w:p w14:paraId="7D893AF2">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c>
          <w:tcPr>
            <w:tcW w:w="1812" w:type="pct"/>
            <w:noWrap w:val="0"/>
            <w:vAlign w:val="center"/>
          </w:tcPr>
          <w:p w14:paraId="3FC14142">
            <w:pPr>
              <w:widowControl/>
              <w:ind w:left="-69" w:leftChars="-33" w:right="-84" w:rightChars="-40"/>
              <w:rPr>
                <w:rFonts w:hint="eastAsia" w:ascii="宋体" w:hAnsi="宋体" w:cs="宋体"/>
                <w:kern w:val="0"/>
                <w:sz w:val="22"/>
                <w:szCs w:val="22"/>
                <w:highlight w:val="none"/>
              </w:rPr>
            </w:pPr>
            <w:r>
              <w:rPr>
                <w:rFonts w:hint="eastAsia" w:ascii="宋体" w:hAnsi="宋体" w:cs="宋体"/>
                <w:kern w:val="0"/>
                <w:sz w:val="22"/>
                <w:szCs w:val="22"/>
                <w:highlight w:val="none"/>
              </w:rPr>
              <w:t>以实际数量为准</w:t>
            </w:r>
          </w:p>
        </w:tc>
      </w:tr>
      <w:tr w14:paraId="33D0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60" w:type="pct"/>
            <w:vMerge w:val="restart"/>
            <w:noWrap w:val="0"/>
            <w:vAlign w:val="center"/>
          </w:tcPr>
          <w:p w14:paraId="43DF8F03">
            <w:pPr>
              <w:widowControl/>
              <w:ind w:left="-69" w:leftChars="-33" w:right="-84" w:rightChars="-40"/>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p w14:paraId="5116C7A4">
            <w:pPr>
              <w:ind w:left="-69" w:leftChars="-33" w:right="-84" w:rightChars="-40"/>
              <w:jc w:val="center"/>
              <w:rPr>
                <w:rFonts w:hint="eastAsia" w:ascii="宋体" w:hAnsi="宋体" w:cs="宋体"/>
                <w:kern w:val="0"/>
                <w:sz w:val="22"/>
                <w:szCs w:val="22"/>
                <w:highlight w:val="none"/>
              </w:rPr>
            </w:pPr>
          </w:p>
        </w:tc>
        <w:tc>
          <w:tcPr>
            <w:tcW w:w="700" w:type="pct"/>
            <w:vMerge w:val="restart"/>
            <w:noWrap w:val="0"/>
            <w:vAlign w:val="center"/>
          </w:tcPr>
          <w:p w14:paraId="107DA9D8">
            <w:pPr>
              <w:widowControl/>
              <w:ind w:left="-86" w:leftChars="-41" w:right="-73" w:rightChars="-35"/>
              <w:jc w:val="center"/>
              <w:rPr>
                <w:rFonts w:hint="eastAsia" w:ascii="宋体" w:hAnsi="宋体" w:cs="宋体"/>
                <w:kern w:val="0"/>
                <w:sz w:val="22"/>
                <w:szCs w:val="22"/>
                <w:highlight w:val="none"/>
              </w:rPr>
            </w:pPr>
            <w:r>
              <w:rPr>
                <w:rFonts w:hint="eastAsia" w:ascii="宋体" w:hAnsi="宋体" w:cs="宋体"/>
                <w:kern w:val="0"/>
                <w:sz w:val="22"/>
                <w:szCs w:val="22"/>
                <w:highlight w:val="none"/>
              </w:rPr>
              <w:t>污水处理系统</w:t>
            </w:r>
          </w:p>
        </w:tc>
        <w:tc>
          <w:tcPr>
            <w:tcW w:w="1362" w:type="pct"/>
            <w:noWrap w:val="0"/>
            <w:vAlign w:val="center"/>
          </w:tcPr>
          <w:p w14:paraId="5C42DEF6">
            <w:pPr>
              <w:widowControl/>
              <w:ind w:left="17" w:leftChars="8" w:right="141" w:rightChars="67"/>
              <w:jc w:val="left"/>
              <w:rPr>
                <w:rFonts w:hint="eastAsia" w:ascii="宋体" w:hAnsi="宋体" w:cs="宋体"/>
                <w:spacing w:val="-6"/>
                <w:kern w:val="0"/>
                <w:sz w:val="22"/>
                <w:szCs w:val="22"/>
                <w:highlight w:val="none"/>
              </w:rPr>
            </w:pPr>
            <w:r>
              <w:rPr>
                <w:rFonts w:hint="eastAsia" w:ascii="宋体" w:hAnsi="宋体" w:cs="宋体"/>
                <w:spacing w:val="-6"/>
                <w:kern w:val="0"/>
                <w:sz w:val="22"/>
                <w:szCs w:val="22"/>
                <w:highlight w:val="none"/>
              </w:rPr>
              <w:t>排污水泵</w:t>
            </w:r>
          </w:p>
        </w:tc>
        <w:tc>
          <w:tcPr>
            <w:tcW w:w="384" w:type="pct"/>
            <w:noWrap w:val="0"/>
            <w:vAlign w:val="center"/>
          </w:tcPr>
          <w:p w14:paraId="7EF633BD">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6</w:t>
            </w:r>
          </w:p>
        </w:tc>
        <w:tc>
          <w:tcPr>
            <w:tcW w:w="382" w:type="pct"/>
            <w:noWrap w:val="0"/>
            <w:vAlign w:val="center"/>
          </w:tcPr>
          <w:p w14:paraId="222AE5AD">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c>
          <w:tcPr>
            <w:tcW w:w="1812" w:type="pct"/>
            <w:noWrap w:val="0"/>
            <w:vAlign w:val="center"/>
          </w:tcPr>
          <w:p w14:paraId="16D80020">
            <w:pPr>
              <w:widowControl/>
              <w:ind w:right="-84" w:rightChars="-40"/>
              <w:rPr>
                <w:rFonts w:hint="eastAsia" w:ascii="宋体" w:hAnsi="宋体" w:cs="宋体"/>
                <w:kern w:val="0"/>
                <w:sz w:val="22"/>
                <w:szCs w:val="22"/>
                <w:highlight w:val="none"/>
              </w:rPr>
            </w:pPr>
          </w:p>
        </w:tc>
      </w:tr>
      <w:tr w14:paraId="1F41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vMerge w:val="continue"/>
            <w:noWrap w:val="0"/>
            <w:vAlign w:val="center"/>
          </w:tcPr>
          <w:p w14:paraId="48C90782">
            <w:pPr>
              <w:widowControl/>
              <w:ind w:left="-69" w:leftChars="-33" w:right="-84" w:rightChars="-40"/>
              <w:jc w:val="center"/>
              <w:rPr>
                <w:rFonts w:hint="eastAsia" w:ascii="宋体" w:hAnsi="宋体" w:cs="宋体"/>
                <w:kern w:val="0"/>
                <w:sz w:val="22"/>
                <w:szCs w:val="22"/>
                <w:highlight w:val="none"/>
              </w:rPr>
            </w:pPr>
          </w:p>
        </w:tc>
        <w:tc>
          <w:tcPr>
            <w:tcW w:w="700" w:type="pct"/>
            <w:vMerge w:val="continue"/>
            <w:noWrap w:val="0"/>
            <w:vAlign w:val="center"/>
          </w:tcPr>
          <w:p w14:paraId="5747964C">
            <w:pPr>
              <w:widowControl/>
              <w:ind w:left="-86" w:leftChars="-41" w:right="-73" w:rightChars="-35"/>
              <w:jc w:val="center"/>
              <w:rPr>
                <w:rFonts w:hint="eastAsia" w:ascii="宋体" w:hAnsi="宋体" w:cs="宋体"/>
                <w:kern w:val="0"/>
                <w:sz w:val="22"/>
                <w:szCs w:val="22"/>
                <w:highlight w:val="none"/>
              </w:rPr>
            </w:pPr>
          </w:p>
        </w:tc>
        <w:tc>
          <w:tcPr>
            <w:tcW w:w="1362" w:type="pct"/>
            <w:noWrap w:val="0"/>
            <w:vAlign w:val="center"/>
          </w:tcPr>
          <w:p w14:paraId="0DBE4DF9">
            <w:pPr>
              <w:widowControl/>
              <w:ind w:left="17" w:leftChars="8" w:right="141" w:rightChars="67"/>
              <w:jc w:val="left"/>
              <w:rPr>
                <w:rFonts w:hint="eastAsia" w:ascii="宋体" w:hAnsi="宋体" w:cs="宋体"/>
                <w:spacing w:val="-6"/>
                <w:kern w:val="0"/>
                <w:sz w:val="22"/>
                <w:szCs w:val="22"/>
                <w:highlight w:val="none"/>
              </w:rPr>
            </w:pPr>
            <w:r>
              <w:rPr>
                <w:rFonts w:hint="eastAsia" w:ascii="宋体" w:hAnsi="宋体" w:cs="宋体"/>
                <w:spacing w:val="-6"/>
                <w:kern w:val="0"/>
                <w:sz w:val="22"/>
                <w:szCs w:val="22"/>
                <w:highlight w:val="none"/>
              </w:rPr>
              <w:t>风机</w:t>
            </w:r>
          </w:p>
        </w:tc>
        <w:tc>
          <w:tcPr>
            <w:tcW w:w="384" w:type="pct"/>
            <w:noWrap w:val="0"/>
            <w:vAlign w:val="center"/>
          </w:tcPr>
          <w:p w14:paraId="5477C4F5">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c>
          <w:tcPr>
            <w:tcW w:w="382" w:type="pct"/>
            <w:noWrap w:val="0"/>
            <w:vAlign w:val="center"/>
          </w:tcPr>
          <w:p w14:paraId="27BCAFC3">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c>
          <w:tcPr>
            <w:tcW w:w="1812" w:type="pct"/>
            <w:noWrap w:val="0"/>
            <w:vAlign w:val="center"/>
          </w:tcPr>
          <w:p w14:paraId="041EB25A">
            <w:pPr>
              <w:widowControl/>
              <w:ind w:left="-69" w:leftChars="-33" w:right="-84" w:rightChars="-40"/>
              <w:rPr>
                <w:rFonts w:hint="eastAsia" w:ascii="宋体" w:hAnsi="宋体" w:cs="宋体"/>
                <w:kern w:val="0"/>
                <w:sz w:val="22"/>
                <w:szCs w:val="22"/>
                <w:highlight w:val="none"/>
              </w:rPr>
            </w:pPr>
          </w:p>
        </w:tc>
      </w:tr>
      <w:tr w14:paraId="0962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noWrap w:val="0"/>
            <w:vAlign w:val="center"/>
          </w:tcPr>
          <w:p w14:paraId="2790501D">
            <w:pPr>
              <w:widowControl/>
              <w:ind w:left="-69" w:leftChars="-33" w:right="-84" w:rightChars="-40"/>
              <w:jc w:val="center"/>
              <w:rPr>
                <w:rFonts w:hint="eastAsia" w:ascii="宋体" w:hAnsi="宋体" w:cs="宋体"/>
                <w:kern w:val="0"/>
                <w:sz w:val="22"/>
                <w:szCs w:val="22"/>
                <w:highlight w:val="none"/>
              </w:rPr>
            </w:pPr>
            <w:r>
              <w:rPr>
                <w:rFonts w:hint="eastAsia" w:ascii="宋体" w:hAnsi="宋体" w:cs="宋体"/>
                <w:kern w:val="0"/>
                <w:sz w:val="22"/>
                <w:szCs w:val="22"/>
                <w:highlight w:val="none"/>
              </w:rPr>
              <w:t>5</w:t>
            </w:r>
          </w:p>
        </w:tc>
        <w:tc>
          <w:tcPr>
            <w:tcW w:w="700" w:type="pct"/>
            <w:noWrap w:val="0"/>
            <w:vAlign w:val="center"/>
          </w:tcPr>
          <w:p w14:paraId="31533161">
            <w:pPr>
              <w:widowControl/>
              <w:ind w:left="-86" w:leftChars="-41" w:right="-73" w:rightChars="-35"/>
              <w:jc w:val="center"/>
              <w:rPr>
                <w:rFonts w:hint="eastAsia" w:ascii="宋体" w:hAnsi="宋体" w:cs="宋体"/>
                <w:kern w:val="0"/>
                <w:sz w:val="22"/>
                <w:szCs w:val="22"/>
                <w:highlight w:val="none"/>
              </w:rPr>
            </w:pPr>
            <w:r>
              <w:rPr>
                <w:rFonts w:hint="eastAsia" w:ascii="宋体" w:hAnsi="宋体" w:cs="宋体"/>
                <w:kern w:val="0"/>
                <w:sz w:val="22"/>
                <w:szCs w:val="22"/>
                <w:highlight w:val="none"/>
              </w:rPr>
              <w:t>升降系统</w:t>
            </w:r>
          </w:p>
        </w:tc>
        <w:tc>
          <w:tcPr>
            <w:tcW w:w="1362" w:type="pct"/>
            <w:noWrap w:val="0"/>
            <w:vAlign w:val="center"/>
          </w:tcPr>
          <w:p w14:paraId="7259598A">
            <w:pPr>
              <w:widowControl/>
              <w:ind w:left="17" w:leftChars="8" w:right="141" w:rightChars="67"/>
              <w:jc w:val="left"/>
              <w:rPr>
                <w:rFonts w:hint="eastAsia" w:ascii="宋体" w:hAnsi="宋体" w:cs="宋体"/>
                <w:spacing w:val="-6"/>
                <w:kern w:val="0"/>
                <w:sz w:val="22"/>
                <w:szCs w:val="22"/>
                <w:highlight w:val="none"/>
              </w:rPr>
            </w:pPr>
            <w:r>
              <w:rPr>
                <w:rFonts w:hint="eastAsia" w:ascii="宋体" w:hAnsi="宋体" w:cs="宋体"/>
                <w:spacing w:val="-6"/>
                <w:kern w:val="0"/>
                <w:sz w:val="22"/>
                <w:szCs w:val="22"/>
                <w:highlight w:val="none"/>
              </w:rPr>
              <w:t>客货两用梯</w:t>
            </w:r>
          </w:p>
        </w:tc>
        <w:tc>
          <w:tcPr>
            <w:tcW w:w="384" w:type="pct"/>
            <w:noWrap w:val="0"/>
            <w:vAlign w:val="center"/>
          </w:tcPr>
          <w:p w14:paraId="716E8AE5">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382" w:type="pct"/>
            <w:noWrap w:val="0"/>
            <w:vAlign w:val="center"/>
          </w:tcPr>
          <w:p w14:paraId="18AF5E5F">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c>
          <w:tcPr>
            <w:tcW w:w="1812" w:type="pct"/>
            <w:noWrap w:val="0"/>
            <w:vAlign w:val="center"/>
          </w:tcPr>
          <w:p w14:paraId="3A5F8EFE">
            <w:pPr>
              <w:widowControl/>
              <w:ind w:right="-84" w:rightChars="-40"/>
              <w:rPr>
                <w:rFonts w:hint="eastAsia" w:ascii="宋体" w:hAnsi="宋体" w:cs="宋体"/>
                <w:kern w:val="0"/>
                <w:sz w:val="22"/>
                <w:szCs w:val="22"/>
                <w:highlight w:val="none"/>
              </w:rPr>
            </w:pPr>
          </w:p>
        </w:tc>
      </w:tr>
      <w:tr w14:paraId="319A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vMerge w:val="restart"/>
            <w:noWrap w:val="0"/>
            <w:vAlign w:val="center"/>
          </w:tcPr>
          <w:p w14:paraId="78ADD4CD">
            <w:pPr>
              <w:widowControl/>
              <w:ind w:left="-69" w:leftChars="-33" w:right="-84" w:rightChars="-40"/>
              <w:jc w:val="center"/>
              <w:rPr>
                <w:rFonts w:hint="eastAsia" w:ascii="宋体" w:hAnsi="宋体" w:cs="宋体"/>
                <w:kern w:val="0"/>
                <w:sz w:val="22"/>
                <w:szCs w:val="22"/>
                <w:highlight w:val="none"/>
              </w:rPr>
            </w:pPr>
            <w:r>
              <w:rPr>
                <w:rFonts w:hint="eastAsia" w:ascii="宋体" w:hAnsi="宋体" w:cs="宋体"/>
                <w:kern w:val="0"/>
                <w:sz w:val="22"/>
                <w:szCs w:val="22"/>
                <w:highlight w:val="none"/>
              </w:rPr>
              <w:t>6</w:t>
            </w:r>
          </w:p>
        </w:tc>
        <w:tc>
          <w:tcPr>
            <w:tcW w:w="700" w:type="pct"/>
            <w:vMerge w:val="restart"/>
            <w:noWrap w:val="0"/>
            <w:vAlign w:val="center"/>
          </w:tcPr>
          <w:p w14:paraId="3C6F0EE9">
            <w:pPr>
              <w:widowControl/>
              <w:ind w:left="-86" w:leftChars="-41" w:right="-73" w:rightChars="-35"/>
              <w:jc w:val="center"/>
              <w:rPr>
                <w:rFonts w:hint="eastAsia" w:ascii="宋体" w:hAnsi="宋体" w:cs="宋体"/>
                <w:kern w:val="0"/>
                <w:sz w:val="22"/>
                <w:szCs w:val="22"/>
                <w:highlight w:val="none"/>
              </w:rPr>
            </w:pPr>
            <w:r>
              <w:rPr>
                <w:rFonts w:hint="eastAsia" w:ascii="宋体" w:hAnsi="宋体" w:cs="宋体"/>
                <w:kern w:val="0"/>
                <w:sz w:val="22"/>
                <w:szCs w:val="22"/>
                <w:highlight w:val="none"/>
              </w:rPr>
              <w:t>照明系统</w:t>
            </w:r>
          </w:p>
        </w:tc>
        <w:tc>
          <w:tcPr>
            <w:tcW w:w="1362" w:type="pct"/>
            <w:noWrap w:val="0"/>
            <w:vAlign w:val="center"/>
          </w:tcPr>
          <w:p w14:paraId="4C109D48">
            <w:pPr>
              <w:widowControl/>
              <w:ind w:left="17" w:leftChars="8" w:right="141" w:rightChars="67"/>
              <w:jc w:val="left"/>
              <w:rPr>
                <w:rFonts w:hint="eastAsia" w:ascii="宋体" w:hAnsi="宋体" w:cs="宋体"/>
                <w:spacing w:val="-6"/>
                <w:kern w:val="0"/>
                <w:sz w:val="22"/>
                <w:szCs w:val="22"/>
                <w:highlight w:val="none"/>
              </w:rPr>
            </w:pPr>
            <w:r>
              <w:rPr>
                <w:rFonts w:hint="eastAsia" w:ascii="宋体" w:hAnsi="宋体" w:cs="宋体"/>
                <w:spacing w:val="-6"/>
                <w:kern w:val="0"/>
                <w:sz w:val="22"/>
                <w:szCs w:val="22"/>
                <w:highlight w:val="none"/>
              </w:rPr>
              <w:t>疏散指示</w:t>
            </w:r>
          </w:p>
        </w:tc>
        <w:tc>
          <w:tcPr>
            <w:tcW w:w="384" w:type="pct"/>
            <w:noWrap w:val="0"/>
            <w:vAlign w:val="center"/>
          </w:tcPr>
          <w:p w14:paraId="1AB10C01">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31</w:t>
            </w:r>
          </w:p>
        </w:tc>
        <w:tc>
          <w:tcPr>
            <w:tcW w:w="382" w:type="pct"/>
            <w:noWrap w:val="0"/>
            <w:vAlign w:val="center"/>
          </w:tcPr>
          <w:p w14:paraId="51AABBCB">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c>
          <w:tcPr>
            <w:tcW w:w="1812" w:type="pct"/>
            <w:noWrap w:val="0"/>
            <w:vAlign w:val="center"/>
          </w:tcPr>
          <w:p w14:paraId="0DF99B0D">
            <w:pPr>
              <w:widowControl/>
              <w:rPr>
                <w:rFonts w:hint="eastAsia" w:ascii="宋体" w:hAnsi="宋体" w:cs="宋体"/>
                <w:kern w:val="0"/>
                <w:sz w:val="22"/>
                <w:szCs w:val="22"/>
                <w:highlight w:val="none"/>
              </w:rPr>
            </w:pPr>
            <w:r>
              <w:rPr>
                <w:rFonts w:hint="eastAsia" w:ascii="宋体" w:hAnsi="宋体" w:cs="宋体"/>
                <w:kern w:val="0"/>
                <w:sz w:val="22"/>
                <w:szCs w:val="22"/>
                <w:highlight w:val="none"/>
              </w:rPr>
              <w:t>各楼内控制</w:t>
            </w:r>
          </w:p>
        </w:tc>
      </w:tr>
      <w:tr w14:paraId="5BCE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vMerge w:val="continue"/>
            <w:noWrap w:val="0"/>
            <w:vAlign w:val="center"/>
          </w:tcPr>
          <w:p w14:paraId="28BD5F55">
            <w:pPr>
              <w:widowControl/>
              <w:ind w:left="-69" w:leftChars="-33" w:right="-84" w:rightChars="-40"/>
              <w:jc w:val="center"/>
              <w:rPr>
                <w:rFonts w:hint="eastAsia" w:ascii="宋体" w:hAnsi="宋体" w:cs="宋体"/>
                <w:kern w:val="0"/>
                <w:sz w:val="22"/>
                <w:szCs w:val="22"/>
                <w:highlight w:val="none"/>
              </w:rPr>
            </w:pPr>
          </w:p>
        </w:tc>
        <w:tc>
          <w:tcPr>
            <w:tcW w:w="700" w:type="pct"/>
            <w:vMerge w:val="continue"/>
            <w:noWrap w:val="0"/>
            <w:vAlign w:val="center"/>
          </w:tcPr>
          <w:p w14:paraId="47107602">
            <w:pPr>
              <w:widowControl/>
              <w:ind w:left="-86" w:leftChars="-41" w:right="-73" w:rightChars="-35"/>
              <w:jc w:val="center"/>
              <w:rPr>
                <w:rFonts w:hint="eastAsia" w:ascii="宋体" w:hAnsi="宋体" w:cs="宋体"/>
                <w:kern w:val="0"/>
                <w:sz w:val="22"/>
                <w:szCs w:val="22"/>
                <w:highlight w:val="none"/>
              </w:rPr>
            </w:pPr>
          </w:p>
        </w:tc>
        <w:tc>
          <w:tcPr>
            <w:tcW w:w="1362" w:type="pct"/>
            <w:noWrap w:val="0"/>
            <w:vAlign w:val="center"/>
          </w:tcPr>
          <w:p w14:paraId="585DC012">
            <w:pPr>
              <w:widowControl/>
              <w:ind w:left="17" w:leftChars="8" w:right="141" w:rightChars="67"/>
              <w:jc w:val="left"/>
              <w:rPr>
                <w:rFonts w:hint="eastAsia" w:ascii="宋体" w:hAnsi="宋体" w:cs="宋体"/>
                <w:spacing w:val="-6"/>
                <w:kern w:val="0"/>
                <w:sz w:val="22"/>
                <w:szCs w:val="22"/>
                <w:highlight w:val="none"/>
              </w:rPr>
            </w:pPr>
            <w:r>
              <w:rPr>
                <w:rFonts w:hint="eastAsia" w:ascii="宋体" w:hAnsi="宋体" w:cs="宋体"/>
                <w:spacing w:val="-6"/>
                <w:kern w:val="0"/>
                <w:sz w:val="22"/>
                <w:szCs w:val="22"/>
                <w:highlight w:val="none"/>
              </w:rPr>
              <w:t>应急照明</w:t>
            </w:r>
          </w:p>
        </w:tc>
        <w:tc>
          <w:tcPr>
            <w:tcW w:w="384" w:type="pct"/>
            <w:noWrap w:val="0"/>
            <w:vAlign w:val="center"/>
          </w:tcPr>
          <w:p w14:paraId="5AC34A7F">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71</w:t>
            </w:r>
          </w:p>
        </w:tc>
        <w:tc>
          <w:tcPr>
            <w:tcW w:w="382" w:type="pct"/>
            <w:noWrap w:val="0"/>
            <w:vAlign w:val="center"/>
          </w:tcPr>
          <w:p w14:paraId="464D6D9B">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c>
          <w:tcPr>
            <w:tcW w:w="1812" w:type="pct"/>
            <w:noWrap w:val="0"/>
            <w:vAlign w:val="center"/>
          </w:tcPr>
          <w:p w14:paraId="18928B7E">
            <w:pPr>
              <w:widowControl/>
              <w:rPr>
                <w:rFonts w:hint="eastAsia" w:ascii="宋体" w:hAnsi="宋体" w:cs="宋体"/>
                <w:kern w:val="0"/>
                <w:sz w:val="22"/>
                <w:szCs w:val="22"/>
                <w:highlight w:val="none"/>
              </w:rPr>
            </w:pPr>
            <w:r>
              <w:rPr>
                <w:rFonts w:hint="eastAsia" w:ascii="宋体" w:hAnsi="宋体" w:cs="宋体"/>
                <w:kern w:val="0"/>
                <w:sz w:val="22"/>
                <w:szCs w:val="22"/>
                <w:highlight w:val="none"/>
              </w:rPr>
              <w:t>各楼内控制</w:t>
            </w:r>
          </w:p>
        </w:tc>
      </w:tr>
      <w:tr w14:paraId="4F6D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vMerge w:val="continue"/>
            <w:noWrap w:val="0"/>
            <w:vAlign w:val="center"/>
          </w:tcPr>
          <w:p w14:paraId="5E306E14">
            <w:pPr>
              <w:widowControl/>
              <w:ind w:left="-69" w:leftChars="-33" w:right="-84" w:rightChars="-40"/>
              <w:jc w:val="center"/>
              <w:rPr>
                <w:rFonts w:hint="eastAsia" w:ascii="宋体" w:hAnsi="宋体" w:cs="宋体"/>
                <w:kern w:val="0"/>
                <w:sz w:val="22"/>
                <w:szCs w:val="22"/>
                <w:highlight w:val="none"/>
              </w:rPr>
            </w:pPr>
          </w:p>
        </w:tc>
        <w:tc>
          <w:tcPr>
            <w:tcW w:w="700" w:type="pct"/>
            <w:vMerge w:val="continue"/>
            <w:noWrap w:val="0"/>
            <w:vAlign w:val="center"/>
          </w:tcPr>
          <w:p w14:paraId="5D06025B">
            <w:pPr>
              <w:widowControl/>
              <w:ind w:left="-86" w:leftChars="-41" w:right="-73" w:rightChars="-35"/>
              <w:jc w:val="center"/>
              <w:rPr>
                <w:rFonts w:hint="eastAsia" w:ascii="宋体" w:hAnsi="宋体" w:cs="宋体"/>
                <w:kern w:val="0"/>
                <w:sz w:val="22"/>
                <w:szCs w:val="22"/>
                <w:highlight w:val="none"/>
              </w:rPr>
            </w:pPr>
          </w:p>
        </w:tc>
        <w:tc>
          <w:tcPr>
            <w:tcW w:w="1362" w:type="pct"/>
            <w:noWrap w:val="0"/>
            <w:vAlign w:val="center"/>
          </w:tcPr>
          <w:p w14:paraId="007B3394">
            <w:pPr>
              <w:widowControl/>
              <w:ind w:left="17" w:leftChars="8" w:right="141" w:rightChars="67"/>
              <w:jc w:val="left"/>
              <w:rPr>
                <w:rFonts w:hint="eastAsia" w:ascii="宋体" w:hAnsi="宋体" w:cs="宋体"/>
                <w:spacing w:val="-6"/>
                <w:kern w:val="0"/>
                <w:sz w:val="22"/>
                <w:szCs w:val="22"/>
                <w:highlight w:val="none"/>
              </w:rPr>
            </w:pPr>
            <w:r>
              <w:rPr>
                <w:rFonts w:hint="eastAsia" w:ascii="宋体" w:hAnsi="宋体" w:cs="宋体"/>
                <w:spacing w:val="-6"/>
                <w:kern w:val="0"/>
                <w:sz w:val="22"/>
                <w:szCs w:val="22"/>
                <w:highlight w:val="none"/>
              </w:rPr>
              <w:t>安全出口标志</w:t>
            </w:r>
          </w:p>
        </w:tc>
        <w:tc>
          <w:tcPr>
            <w:tcW w:w="384" w:type="pct"/>
            <w:noWrap w:val="0"/>
            <w:vAlign w:val="center"/>
          </w:tcPr>
          <w:p w14:paraId="1267DC4F">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84</w:t>
            </w:r>
          </w:p>
        </w:tc>
        <w:tc>
          <w:tcPr>
            <w:tcW w:w="382" w:type="pct"/>
            <w:noWrap w:val="0"/>
            <w:vAlign w:val="center"/>
          </w:tcPr>
          <w:p w14:paraId="56B1787D">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c>
          <w:tcPr>
            <w:tcW w:w="1812" w:type="pct"/>
            <w:noWrap w:val="0"/>
            <w:vAlign w:val="center"/>
          </w:tcPr>
          <w:p w14:paraId="593695EE">
            <w:pPr>
              <w:widowControl/>
              <w:rPr>
                <w:rFonts w:hint="eastAsia" w:ascii="宋体" w:hAnsi="宋体" w:cs="宋体"/>
                <w:kern w:val="0"/>
                <w:sz w:val="22"/>
                <w:szCs w:val="22"/>
                <w:highlight w:val="none"/>
              </w:rPr>
            </w:pPr>
            <w:r>
              <w:rPr>
                <w:rFonts w:hint="eastAsia" w:ascii="宋体" w:hAnsi="宋体" w:cs="宋体"/>
                <w:kern w:val="0"/>
                <w:sz w:val="22"/>
                <w:szCs w:val="22"/>
                <w:highlight w:val="none"/>
              </w:rPr>
              <w:t>各楼内控制</w:t>
            </w:r>
          </w:p>
        </w:tc>
      </w:tr>
      <w:tr w14:paraId="549B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noWrap w:val="0"/>
            <w:vAlign w:val="center"/>
          </w:tcPr>
          <w:p w14:paraId="07D63447">
            <w:pPr>
              <w:widowControl/>
              <w:ind w:left="-69" w:leftChars="-33" w:right="-84" w:rightChars="-40"/>
              <w:jc w:val="center"/>
              <w:rPr>
                <w:rFonts w:hint="eastAsia" w:ascii="宋体" w:hAnsi="宋体" w:cs="宋体"/>
                <w:kern w:val="0"/>
                <w:sz w:val="22"/>
                <w:szCs w:val="22"/>
                <w:highlight w:val="none"/>
              </w:rPr>
            </w:pPr>
            <w:r>
              <w:rPr>
                <w:rFonts w:hint="eastAsia" w:ascii="宋体" w:hAnsi="宋体" w:cs="宋体"/>
                <w:kern w:val="0"/>
                <w:sz w:val="22"/>
                <w:szCs w:val="22"/>
                <w:highlight w:val="none"/>
              </w:rPr>
              <w:t>7</w:t>
            </w:r>
          </w:p>
        </w:tc>
        <w:tc>
          <w:tcPr>
            <w:tcW w:w="700" w:type="pct"/>
            <w:noWrap w:val="0"/>
            <w:vAlign w:val="center"/>
          </w:tcPr>
          <w:p w14:paraId="47FEBEC4">
            <w:pPr>
              <w:widowControl/>
              <w:ind w:left="-86" w:leftChars="-41" w:right="-73" w:rightChars="-35"/>
              <w:jc w:val="center"/>
              <w:rPr>
                <w:rFonts w:hint="eastAsia" w:ascii="宋体" w:hAnsi="宋体" w:cs="宋体"/>
                <w:kern w:val="0"/>
                <w:sz w:val="22"/>
                <w:szCs w:val="22"/>
                <w:highlight w:val="none"/>
              </w:rPr>
            </w:pPr>
            <w:r>
              <w:rPr>
                <w:rFonts w:hint="eastAsia" w:ascii="宋体" w:hAnsi="宋体" w:cs="宋体"/>
                <w:kern w:val="0"/>
                <w:sz w:val="22"/>
                <w:szCs w:val="22"/>
                <w:highlight w:val="none"/>
              </w:rPr>
              <w:t>避雷系统</w:t>
            </w:r>
          </w:p>
        </w:tc>
        <w:tc>
          <w:tcPr>
            <w:tcW w:w="1362" w:type="pct"/>
            <w:noWrap w:val="0"/>
            <w:vAlign w:val="center"/>
          </w:tcPr>
          <w:p w14:paraId="5593A97B">
            <w:pPr>
              <w:widowControl/>
              <w:ind w:left="17" w:leftChars="8" w:right="141" w:rightChars="67"/>
              <w:jc w:val="left"/>
              <w:rPr>
                <w:rFonts w:hint="eastAsia" w:ascii="宋体" w:hAnsi="宋体" w:cs="宋体"/>
                <w:spacing w:val="-6"/>
                <w:kern w:val="0"/>
                <w:sz w:val="22"/>
                <w:szCs w:val="22"/>
                <w:highlight w:val="none"/>
              </w:rPr>
            </w:pPr>
            <w:r>
              <w:rPr>
                <w:rFonts w:hint="eastAsia" w:ascii="宋体" w:hAnsi="宋体" w:cs="宋体"/>
                <w:spacing w:val="-6"/>
                <w:kern w:val="0"/>
                <w:sz w:val="22"/>
                <w:szCs w:val="22"/>
                <w:highlight w:val="none"/>
              </w:rPr>
              <w:t>避雷带</w:t>
            </w:r>
          </w:p>
        </w:tc>
        <w:tc>
          <w:tcPr>
            <w:tcW w:w="384" w:type="pct"/>
            <w:noWrap w:val="0"/>
            <w:vAlign w:val="center"/>
          </w:tcPr>
          <w:p w14:paraId="1F4E8FA0">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若干</w:t>
            </w:r>
          </w:p>
        </w:tc>
        <w:tc>
          <w:tcPr>
            <w:tcW w:w="382" w:type="pct"/>
            <w:noWrap w:val="0"/>
            <w:vAlign w:val="center"/>
          </w:tcPr>
          <w:p w14:paraId="5D558A9E">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c>
          <w:tcPr>
            <w:tcW w:w="1812" w:type="pct"/>
            <w:noWrap w:val="0"/>
            <w:vAlign w:val="center"/>
          </w:tcPr>
          <w:p w14:paraId="62C5F7B4">
            <w:pPr>
              <w:widowControl/>
              <w:spacing w:line="500" w:lineRule="exact"/>
              <w:rPr>
                <w:rFonts w:hint="eastAsia" w:ascii="宋体" w:hAnsi="宋体" w:cs="宋体"/>
                <w:kern w:val="0"/>
                <w:sz w:val="22"/>
                <w:szCs w:val="22"/>
                <w:highlight w:val="none"/>
              </w:rPr>
            </w:pPr>
            <w:r>
              <w:rPr>
                <w:rFonts w:hint="eastAsia" w:ascii="宋体" w:hAnsi="宋体" w:cs="宋体"/>
                <w:kern w:val="0"/>
                <w:sz w:val="22"/>
                <w:szCs w:val="22"/>
                <w:highlight w:val="none"/>
              </w:rPr>
              <w:t>位于八楼楼顶整体安装避雷带</w:t>
            </w:r>
          </w:p>
        </w:tc>
      </w:tr>
      <w:tr w14:paraId="3686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noWrap w:val="0"/>
            <w:vAlign w:val="center"/>
          </w:tcPr>
          <w:p w14:paraId="2972D8D3">
            <w:pPr>
              <w:widowControl/>
              <w:ind w:left="-69" w:leftChars="-33" w:right="-84" w:rightChars="-40"/>
              <w:jc w:val="center"/>
              <w:rPr>
                <w:rFonts w:hint="eastAsia" w:ascii="宋体" w:hAnsi="宋体" w:cs="宋体"/>
                <w:kern w:val="0"/>
                <w:sz w:val="22"/>
                <w:szCs w:val="22"/>
                <w:highlight w:val="none"/>
              </w:rPr>
            </w:pPr>
            <w:r>
              <w:rPr>
                <w:rFonts w:hint="eastAsia" w:ascii="宋体" w:hAnsi="宋体" w:cs="宋体"/>
                <w:kern w:val="0"/>
                <w:sz w:val="22"/>
                <w:szCs w:val="22"/>
                <w:highlight w:val="none"/>
              </w:rPr>
              <w:t>8</w:t>
            </w:r>
          </w:p>
        </w:tc>
        <w:tc>
          <w:tcPr>
            <w:tcW w:w="700" w:type="pct"/>
            <w:noWrap w:val="0"/>
            <w:vAlign w:val="center"/>
          </w:tcPr>
          <w:p w14:paraId="19B7DA8F">
            <w:pPr>
              <w:widowControl/>
              <w:ind w:left="-86" w:leftChars="-41" w:right="-73" w:rightChars="-35"/>
              <w:jc w:val="center"/>
              <w:rPr>
                <w:rFonts w:hint="eastAsia" w:ascii="宋体" w:hAnsi="宋体" w:cs="宋体"/>
                <w:kern w:val="0"/>
                <w:sz w:val="22"/>
                <w:szCs w:val="22"/>
                <w:highlight w:val="none"/>
              </w:rPr>
            </w:pPr>
            <w:r>
              <w:rPr>
                <w:rFonts w:hint="eastAsia" w:ascii="宋体" w:hAnsi="宋体" w:cs="宋体"/>
                <w:kern w:val="0"/>
                <w:sz w:val="22"/>
                <w:szCs w:val="22"/>
                <w:highlight w:val="none"/>
              </w:rPr>
              <w:t>弱电（BA）系统（含监控）</w:t>
            </w:r>
          </w:p>
        </w:tc>
        <w:tc>
          <w:tcPr>
            <w:tcW w:w="1362" w:type="pct"/>
            <w:noWrap w:val="0"/>
            <w:vAlign w:val="center"/>
          </w:tcPr>
          <w:p w14:paraId="71FF9F7C">
            <w:pPr>
              <w:widowControl/>
              <w:ind w:left="17" w:leftChars="8" w:right="141" w:rightChars="67"/>
              <w:jc w:val="left"/>
              <w:rPr>
                <w:rFonts w:hint="eastAsia" w:ascii="宋体" w:hAnsi="宋体" w:cs="宋体"/>
                <w:spacing w:val="-6"/>
                <w:kern w:val="0"/>
                <w:sz w:val="22"/>
                <w:szCs w:val="22"/>
                <w:highlight w:val="none"/>
              </w:rPr>
            </w:pPr>
            <w:r>
              <w:rPr>
                <w:rFonts w:hint="eastAsia" w:ascii="宋体" w:hAnsi="宋体" w:cs="宋体"/>
                <w:spacing w:val="-6"/>
                <w:kern w:val="0"/>
                <w:sz w:val="22"/>
                <w:szCs w:val="22"/>
                <w:highlight w:val="none"/>
              </w:rPr>
              <w:t>摄像头</w:t>
            </w:r>
          </w:p>
        </w:tc>
        <w:tc>
          <w:tcPr>
            <w:tcW w:w="384" w:type="pct"/>
            <w:noWrap w:val="0"/>
            <w:vAlign w:val="center"/>
          </w:tcPr>
          <w:p w14:paraId="086FD99B">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61</w:t>
            </w:r>
          </w:p>
        </w:tc>
        <w:tc>
          <w:tcPr>
            <w:tcW w:w="382" w:type="pct"/>
            <w:noWrap w:val="0"/>
            <w:vAlign w:val="center"/>
          </w:tcPr>
          <w:p w14:paraId="6F2A9A52">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c>
          <w:tcPr>
            <w:tcW w:w="1812" w:type="pct"/>
            <w:noWrap w:val="0"/>
            <w:vAlign w:val="center"/>
          </w:tcPr>
          <w:p w14:paraId="7675D604">
            <w:pPr>
              <w:widowControl/>
              <w:spacing w:line="500" w:lineRule="exact"/>
              <w:rPr>
                <w:rFonts w:hint="eastAsia" w:ascii="宋体" w:hAnsi="宋体" w:cs="宋体"/>
                <w:kern w:val="0"/>
                <w:sz w:val="22"/>
                <w:szCs w:val="22"/>
                <w:highlight w:val="none"/>
              </w:rPr>
            </w:pPr>
            <w:r>
              <w:rPr>
                <w:rFonts w:hint="eastAsia" w:ascii="宋体" w:hAnsi="宋体" w:cs="宋体"/>
                <w:kern w:val="0"/>
                <w:sz w:val="22"/>
                <w:szCs w:val="22"/>
                <w:highlight w:val="none"/>
              </w:rPr>
              <w:t>共四个监视器，1、3、4号监视器控制16个监控点，2号监控室控制9个监控点，监控室控制4个监控点，共61个监控点控制全部区域</w:t>
            </w:r>
          </w:p>
        </w:tc>
      </w:tr>
      <w:tr w14:paraId="6EA9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noWrap w:val="0"/>
            <w:vAlign w:val="center"/>
          </w:tcPr>
          <w:p w14:paraId="3C604ED3">
            <w:pPr>
              <w:widowControl/>
              <w:ind w:left="-69" w:leftChars="-33" w:right="-84" w:rightChars="-40"/>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700" w:type="pct"/>
            <w:noWrap w:val="0"/>
            <w:vAlign w:val="center"/>
          </w:tcPr>
          <w:p w14:paraId="0BBF6DC4">
            <w:pPr>
              <w:widowControl/>
              <w:ind w:left="-86" w:leftChars="-41" w:right="-73" w:rightChars="-35"/>
              <w:jc w:val="center"/>
              <w:rPr>
                <w:rFonts w:hint="eastAsia" w:ascii="宋体" w:hAnsi="宋体" w:cs="宋体"/>
                <w:kern w:val="0"/>
                <w:sz w:val="22"/>
                <w:szCs w:val="22"/>
                <w:highlight w:val="none"/>
              </w:rPr>
            </w:pPr>
            <w:r>
              <w:rPr>
                <w:rFonts w:hint="eastAsia" w:ascii="宋体" w:hAnsi="宋体" w:cs="宋体"/>
                <w:kern w:val="0"/>
                <w:sz w:val="22"/>
                <w:szCs w:val="22"/>
                <w:highlight w:val="none"/>
              </w:rPr>
              <w:t>总机间</w:t>
            </w:r>
          </w:p>
        </w:tc>
        <w:tc>
          <w:tcPr>
            <w:tcW w:w="1362" w:type="pct"/>
            <w:noWrap w:val="0"/>
            <w:vAlign w:val="center"/>
          </w:tcPr>
          <w:p w14:paraId="7DE4992D">
            <w:pPr>
              <w:widowControl/>
              <w:ind w:left="17" w:leftChars="8" w:right="141" w:rightChars="67"/>
              <w:jc w:val="left"/>
              <w:rPr>
                <w:rFonts w:hint="eastAsia" w:ascii="宋体" w:hAnsi="宋体" w:cs="宋体"/>
                <w:kern w:val="0"/>
                <w:sz w:val="22"/>
                <w:szCs w:val="22"/>
                <w:highlight w:val="none"/>
              </w:rPr>
            </w:pPr>
            <w:r>
              <w:rPr>
                <w:rFonts w:hint="eastAsia" w:ascii="宋体" w:hAnsi="宋体" w:cs="宋体"/>
                <w:kern w:val="0"/>
                <w:sz w:val="22"/>
                <w:szCs w:val="22"/>
                <w:highlight w:val="none"/>
              </w:rPr>
              <w:t>有线电视进口</w:t>
            </w:r>
          </w:p>
        </w:tc>
        <w:tc>
          <w:tcPr>
            <w:tcW w:w="384" w:type="pct"/>
            <w:noWrap w:val="0"/>
            <w:vAlign w:val="center"/>
          </w:tcPr>
          <w:p w14:paraId="6CF569B1">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382" w:type="pct"/>
            <w:noWrap w:val="0"/>
            <w:vAlign w:val="center"/>
          </w:tcPr>
          <w:p w14:paraId="438BB147">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c>
          <w:tcPr>
            <w:tcW w:w="1812" w:type="pct"/>
            <w:noWrap w:val="0"/>
            <w:vAlign w:val="center"/>
          </w:tcPr>
          <w:p w14:paraId="4E7C6EC7">
            <w:pPr>
              <w:widowControl/>
              <w:rPr>
                <w:rFonts w:hint="eastAsia" w:ascii="宋体" w:hAnsi="宋体" w:cs="宋体"/>
                <w:kern w:val="0"/>
                <w:sz w:val="22"/>
                <w:szCs w:val="22"/>
                <w:highlight w:val="none"/>
              </w:rPr>
            </w:pPr>
          </w:p>
        </w:tc>
      </w:tr>
      <w:tr w14:paraId="5BD6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0" w:type="pct"/>
            <w:noWrap w:val="0"/>
            <w:vAlign w:val="center"/>
          </w:tcPr>
          <w:p w14:paraId="2461540B">
            <w:pPr>
              <w:widowControl/>
              <w:ind w:left="-69" w:leftChars="-33" w:right="-84" w:rightChars="-40"/>
              <w:jc w:val="center"/>
              <w:rPr>
                <w:rFonts w:hint="eastAsia" w:ascii="宋体" w:hAnsi="宋体" w:cs="宋体"/>
                <w:kern w:val="0"/>
                <w:sz w:val="22"/>
                <w:szCs w:val="22"/>
                <w:highlight w:val="none"/>
              </w:rPr>
            </w:pPr>
            <w:r>
              <w:rPr>
                <w:rFonts w:hint="eastAsia" w:ascii="宋体" w:hAnsi="宋体" w:cs="宋体"/>
                <w:kern w:val="0"/>
                <w:sz w:val="22"/>
                <w:szCs w:val="22"/>
                <w:highlight w:val="none"/>
              </w:rPr>
              <w:t>10</w:t>
            </w:r>
          </w:p>
        </w:tc>
        <w:tc>
          <w:tcPr>
            <w:tcW w:w="700" w:type="pct"/>
            <w:noWrap w:val="0"/>
            <w:vAlign w:val="center"/>
          </w:tcPr>
          <w:p w14:paraId="396CB4DF">
            <w:pPr>
              <w:widowControl/>
              <w:ind w:left="-86" w:leftChars="-41" w:right="-73" w:rightChars="-35"/>
              <w:jc w:val="center"/>
              <w:rPr>
                <w:rFonts w:hint="eastAsia" w:ascii="宋体" w:hAnsi="宋体" w:cs="宋体"/>
                <w:kern w:val="0"/>
                <w:sz w:val="22"/>
                <w:szCs w:val="22"/>
                <w:highlight w:val="none"/>
              </w:rPr>
            </w:pPr>
            <w:r>
              <w:rPr>
                <w:rFonts w:hint="eastAsia" w:ascii="宋体" w:hAnsi="宋体" w:cs="宋体"/>
                <w:kern w:val="0"/>
                <w:sz w:val="22"/>
                <w:szCs w:val="22"/>
                <w:highlight w:val="none"/>
              </w:rPr>
              <w:t>弱电系统</w:t>
            </w:r>
          </w:p>
        </w:tc>
        <w:tc>
          <w:tcPr>
            <w:tcW w:w="1362" w:type="pct"/>
            <w:noWrap w:val="0"/>
            <w:vAlign w:val="center"/>
          </w:tcPr>
          <w:p w14:paraId="6AF66C58">
            <w:pPr>
              <w:widowControl/>
              <w:ind w:left="17" w:leftChars="8" w:right="141" w:rightChars="67"/>
              <w:jc w:val="left"/>
              <w:rPr>
                <w:rFonts w:hint="eastAsia" w:ascii="宋体" w:hAnsi="宋体" w:cs="宋体"/>
                <w:kern w:val="0"/>
                <w:sz w:val="22"/>
                <w:szCs w:val="22"/>
                <w:highlight w:val="none"/>
              </w:rPr>
            </w:pPr>
            <w:r>
              <w:rPr>
                <w:rFonts w:hint="eastAsia" w:ascii="宋体" w:hAnsi="宋体" w:cs="宋体"/>
                <w:kern w:val="0"/>
                <w:sz w:val="22"/>
                <w:szCs w:val="22"/>
                <w:highlight w:val="none"/>
              </w:rPr>
              <w:t>弱电间</w:t>
            </w:r>
          </w:p>
        </w:tc>
        <w:tc>
          <w:tcPr>
            <w:tcW w:w="384" w:type="pct"/>
            <w:noWrap w:val="0"/>
            <w:vAlign w:val="center"/>
          </w:tcPr>
          <w:p w14:paraId="4811526D">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382" w:type="pct"/>
            <w:noWrap w:val="0"/>
            <w:vAlign w:val="center"/>
          </w:tcPr>
          <w:p w14:paraId="0B6917B5">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间</w:t>
            </w:r>
          </w:p>
        </w:tc>
        <w:tc>
          <w:tcPr>
            <w:tcW w:w="1812" w:type="pct"/>
            <w:noWrap w:val="0"/>
            <w:vAlign w:val="center"/>
          </w:tcPr>
          <w:p w14:paraId="6D9D5307">
            <w:pPr>
              <w:widowControl/>
              <w:spacing w:line="500" w:lineRule="exact"/>
              <w:rPr>
                <w:rFonts w:hint="eastAsia" w:ascii="宋体" w:hAnsi="宋体" w:cs="宋体"/>
                <w:kern w:val="0"/>
                <w:sz w:val="22"/>
                <w:szCs w:val="22"/>
                <w:highlight w:val="none"/>
              </w:rPr>
            </w:pPr>
            <w:r>
              <w:rPr>
                <w:rFonts w:hint="eastAsia" w:ascii="宋体" w:hAnsi="宋体" w:cs="宋体"/>
                <w:kern w:val="0"/>
                <w:sz w:val="22"/>
                <w:szCs w:val="22"/>
                <w:highlight w:val="none"/>
              </w:rPr>
              <w:t>每层楼一共，共八个；配置三线进户点（网线，电话线、有限电视）</w:t>
            </w:r>
          </w:p>
        </w:tc>
      </w:tr>
    </w:tbl>
    <w:p w14:paraId="5691E20C">
      <w:pPr>
        <w:tabs>
          <w:tab w:val="left" w:pos="709"/>
        </w:tabs>
        <w:spacing w:line="360" w:lineRule="auto"/>
        <w:rPr>
          <w:rFonts w:hint="eastAsia" w:ascii="宋体" w:hAnsi="宋体" w:cs="宋体"/>
          <w:sz w:val="22"/>
          <w:szCs w:val="22"/>
          <w:highlight w:val="none"/>
        </w:rPr>
      </w:pPr>
    </w:p>
    <w:p w14:paraId="246373B2">
      <w:pPr>
        <w:tabs>
          <w:tab w:val="left" w:pos="709"/>
        </w:tabs>
        <w:spacing w:line="360" w:lineRule="auto"/>
        <w:rPr>
          <w:rFonts w:hint="eastAsia" w:ascii="宋体" w:hAnsi="宋体" w:cs="宋体"/>
          <w:sz w:val="22"/>
          <w:szCs w:val="22"/>
          <w:highlight w:val="none"/>
        </w:rPr>
      </w:pPr>
    </w:p>
    <w:p w14:paraId="57490882">
      <w:pPr>
        <w:numPr>
          <w:ilvl w:val="0"/>
          <w:numId w:val="1"/>
        </w:numPr>
        <w:tabs>
          <w:tab w:val="left" w:pos="616"/>
          <w:tab w:val="clear" w:pos="480"/>
        </w:tabs>
        <w:spacing w:after="286" w:afterLines="100" w:line="360" w:lineRule="auto"/>
        <w:ind w:left="508" w:hanging="508" w:hangingChars="230"/>
        <w:outlineLvl w:val="0"/>
        <w:rPr>
          <w:rFonts w:hint="eastAsia" w:ascii="宋体" w:hAnsi="宋体" w:cs="宋体"/>
          <w:b/>
          <w:sz w:val="22"/>
          <w:szCs w:val="22"/>
          <w:highlight w:val="none"/>
        </w:rPr>
      </w:pPr>
      <w:r>
        <w:rPr>
          <w:rFonts w:hint="eastAsia" w:ascii="宋体" w:hAnsi="宋体" w:cs="宋体"/>
          <w:b/>
          <w:sz w:val="22"/>
          <w:szCs w:val="22"/>
          <w:highlight w:val="none"/>
        </w:rPr>
        <w:t>委托管理内容和需求</w:t>
      </w:r>
    </w:p>
    <w:p w14:paraId="777CDBF6">
      <w:pPr>
        <w:numPr>
          <w:ilvl w:val="1"/>
          <w:numId w:val="4"/>
        </w:numPr>
        <w:tabs>
          <w:tab w:val="left" w:pos="567"/>
        </w:tabs>
        <w:spacing w:before="143" w:beforeLines="50" w:after="143" w:afterLines="50" w:line="360" w:lineRule="auto"/>
        <w:outlineLvl w:val="1"/>
        <w:rPr>
          <w:rFonts w:hint="eastAsia" w:ascii="宋体" w:hAnsi="宋体" w:cs="宋体"/>
          <w:sz w:val="22"/>
          <w:szCs w:val="22"/>
          <w:highlight w:val="none"/>
        </w:rPr>
      </w:pPr>
      <w:r>
        <w:rPr>
          <w:rFonts w:hint="eastAsia" w:ascii="宋体" w:hAnsi="宋体" w:cs="宋体"/>
          <w:sz w:val="22"/>
          <w:szCs w:val="22"/>
          <w:highlight w:val="none"/>
        </w:rPr>
        <w:t>委托管理内容</w:t>
      </w:r>
    </w:p>
    <w:p w14:paraId="0F2E2DA7">
      <w:pPr>
        <w:spacing w:after="143" w:afterLines="50" w:line="360" w:lineRule="auto"/>
        <w:ind w:firstLine="440" w:firstLineChars="200"/>
        <w:rPr>
          <w:rFonts w:hint="eastAsia" w:ascii="宋体" w:hAnsi="宋体" w:cs="宋体"/>
          <w:kern w:val="0"/>
          <w:sz w:val="22"/>
          <w:szCs w:val="22"/>
          <w:highlight w:val="none"/>
        </w:rPr>
      </w:pPr>
      <w:r>
        <w:rPr>
          <w:rFonts w:hint="eastAsia" w:ascii="宋体" w:hAnsi="宋体" w:cs="宋体"/>
          <w:kern w:val="0"/>
          <w:sz w:val="22"/>
          <w:szCs w:val="22"/>
          <w:highlight w:val="none"/>
        </w:rPr>
        <w:t>本次招标范围内的物业管理与服务的内容为以下7项：</w:t>
      </w:r>
    </w:p>
    <w:p w14:paraId="301C2A57">
      <w:pPr>
        <w:pStyle w:val="7"/>
        <w:numPr>
          <w:ilvl w:val="0"/>
          <w:numId w:val="5"/>
        </w:numPr>
        <w:tabs>
          <w:tab w:val="left" w:pos="993"/>
        </w:tabs>
        <w:spacing w:line="360" w:lineRule="auto"/>
        <w:ind w:left="0" w:firstLine="206" w:firstLineChars="94"/>
        <w:rPr>
          <w:rFonts w:hint="eastAsia" w:ascii="宋体" w:hAnsi="宋体" w:cs="宋体"/>
          <w:sz w:val="22"/>
          <w:szCs w:val="22"/>
          <w:highlight w:val="none"/>
        </w:rPr>
      </w:pPr>
      <w:r>
        <w:rPr>
          <w:rFonts w:hint="eastAsia" w:ascii="宋体" w:hAnsi="宋体" w:cs="宋体"/>
          <w:sz w:val="22"/>
          <w:szCs w:val="22"/>
          <w:highlight w:val="none"/>
        </w:rPr>
        <w:t>物业综合管理服务。</w:t>
      </w:r>
    </w:p>
    <w:p w14:paraId="1AEB6EDC">
      <w:pPr>
        <w:pStyle w:val="7"/>
        <w:numPr>
          <w:ilvl w:val="0"/>
          <w:numId w:val="5"/>
        </w:numPr>
        <w:tabs>
          <w:tab w:val="left" w:pos="993"/>
        </w:tabs>
        <w:spacing w:line="360" w:lineRule="auto"/>
        <w:ind w:left="0" w:firstLine="206" w:firstLineChars="94"/>
        <w:rPr>
          <w:rFonts w:hint="eastAsia" w:ascii="宋体" w:hAnsi="宋体" w:cs="宋体"/>
          <w:sz w:val="22"/>
          <w:szCs w:val="22"/>
          <w:highlight w:val="none"/>
        </w:rPr>
      </w:pPr>
      <w:r>
        <w:rPr>
          <w:rFonts w:hint="eastAsia" w:ascii="宋体" w:hAnsi="宋体" w:cs="宋体"/>
          <w:sz w:val="22"/>
          <w:szCs w:val="22"/>
          <w:highlight w:val="none"/>
        </w:rPr>
        <w:t>公共区域房屋、设施设备及附属场地的管理、维保维修。</w:t>
      </w:r>
    </w:p>
    <w:p w14:paraId="2DAAF4E8">
      <w:pPr>
        <w:pStyle w:val="7"/>
        <w:numPr>
          <w:ilvl w:val="0"/>
          <w:numId w:val="5"/>
        </w:numPr>
        <w:tabs>
          <w:tab w:val="left" w:pos="993"/>
        </w:tabs>
        <w:spacing w:line="360" w:lineRule="auto"/>
        <w:ind w:left="0" w:firstLine="206" w:firstLineChars="94"/>
        <w:rPr>
          <w:rFonts w:hint="eastAsia" w:ascii="宋体" w:hAnsi="宋体" w:cs="宋体"/>
          <w:sz w:val="22"/>
          <w:szCs w:val="22"/>
          <w:highlight w:val="none"/>
        </w:rPr>
      </w:pPr>
      <w:r>
        <w:rPr>
          <w:rFonts w:hint="eastAsia" w:ascii="宋体" w:hAnsi="宋体" w:cs="宋体"/>
          <w:sz w:val="22"/>
          <w:szCs w:val="22"/>
          <w:highlight w:val="none"/>
        </w:rPr>
        <w:t>公共区域环境卫生管理。</w:t>
      </w:r>
    </w:p>
    <w:p w14:paraId="169DBDF4">
      <w:pPr>
        <w:pStyle w:val="7"/>
        <w:numPr>
          <w:ilvl w:val="0"/>
          <w:numId w:val="5"/>
        </w:numPr>
        <w:tabs>
          <w:tab w:val="left" w:pos="993"/>
        </w:tabs>
        <w:spacing w:line="360" w:lineRule="auto"/>
        <w:ind w:left="0" w:firstLine="206" w:firstLineChars="94"/>
        <w:rPr>
          <w:rFonts w:hint="eastAsia" w:ascii="宋体" w:hAnsi="宋体" w:cs="宋体"/>
          <w:sz w:val="22"/>
          <w:szCs w:val="22"/>
          <w:highlight w:val="none"/>
        </w:rPr>
      </w:pPr>
      <w:r>
        <w:rPr>
          <w:rFonts w:hint="eastAsia" w:ascii="宋体" w:hAnsi="宋体" w:cs="宋体"/>
          <w:sz w:val="22"/>
          <w:szCs w:val="22"/>
          <w:highlight w:val="none"/>
        </w:rPr>
        <w:t>公共区域绿化摆放与养护服务。</w:t>
      </w:r>
    </w:p>
    <w:p w14:paraId="7BD99C26">
      <w:pPr>
        <w:pStyle w:val="7"/>
        <w:numPr>
          <w:ilvl w:val="0"/>
          <w:numId w:val="5"/>
        </w:numPr>
        <w:tabs>
          <w:tab w:val="left" w:pos="993"/>
        </w:tabs>
        <w:spacing w:line="360" w:lineRule="auto"/>
        <w:ind w:left="0" w:firstLine="206" w:firstLineChars="94"/>
        <w:rPr>
          <w:rFonts w:hint="eastAsia" w:ascii="宋体" w:hAnsi="宋体" w:cs="宋体"/>
          <w:sz w:val="22"/>
          <w:szCs w:val="22"/>
          <w:highlight w:val="none"/>
        </w:rPr>
      </w:pPr>
      <w:r>
        <w:rPr>
          <w:rFonts w:hint="eastAsia" w:ascii="宋体" w:hAnsi="宋体" w:cs="宋体"/>
          <w:sz w:val="22"/>
          <w:szCs w:val="22"/>
          <w:highlight w:val="none"/>
        </w:rPr>
        <w:t>安保管理服务</w:t>
      </w:r>
    </w:p>
    <w:p w14:paraId="1EF2B7A0">
      <w:pPr>
        <w:pStyle w:val="7"/>
        <w:numPr>
          <w:ilvl w:val="0"/>
          <w:numId w:val="5"/>
        </w:numPr>
        <w:tabs>
          <w:tab w:val="left" w:pos="993"/>
        </w:tabs>
        <w:spacing w:line="360" w:lineRule="auto"/>
        <w:ind w:left="0" w:firstLine="206" w:firstLineChars="94"/>
        <w:rPr>
          <w:rFonts w:hint="eastAsia" w:ascii="宋体" w:hAnsi="宋体" w:cs="宋体"/>
          <w:sz w:val="22"/>
          <w:szCs w:val="22"/>
          <w:highlight w:val="none"/>
        </w:rPr>
      </w:pPr>
      <w:r>
        <w:rPr>
          <w:rFonts w:hint="eastAsia" w:ascii="宋体" w:hAnsi="宋体" w:cs="宋体"/>
          <w:sz w:val="22"/>
          <w:szCs w:val="22"/>
          <w:highlight w:val="none"/>
          <w:lang w:val="en-US" w:eastAsia="zh-CN"/>
        </w:rPr>
        <w:t>基础运营/品牌推广</w:t>
      </w:r>
    </w:p>
    <w:p w14:paraId="3835450C">
      <w:pPr>
        <w:pStyle w:val="7"/>
        <w:numPr>
          <w:ilvl w:val="0"/>
          <w:numId w:val="5"/>
        </w:numPr>
        <w:tabs>
          <w:tab w:val="left" w:pos="993"/>
        </w:tabs>
        <w:spacing w:line="360" w:lineRule="auto"/>
        <w:ind w:left="0" w:firstLine="206" w:firstLineChars="94"/>
        <w:rPr>
          <w:rFonts w:hint="eastAsia" w:ascii="宋体" w:hAnsi="宋体" w:cs="宋体"/>
          <w:sz w:val="22"/>
          <w:szCs w:val="22"/>
          <w:highlight w:val="none"/>
        </w:rPr>
      </w:pPr>
      <w:r>
        <w:rPr>
          <w:rFonts w:hint="eastAsia" w:ascii="宋体" w:hAnsi="宋体" w:cs="宋体"/>
          <w:sz w:val="22"/>
          <w:szCs w:val="22"/>
          <w:highlight w:val="none"/>
        </w:rPr>
        <w:t>公寓管理</w:t>
      </w:r>
    </w:p>
    <w:p w14:paraId="055C8AA5">
      <w:pPr>
        <w:numPr>
          <w:ilvl w:val="1"/>
          <w:numId w:val="4"/>
        </w:numPr>
        <w:tabs>
          <w:tab w:val="left" w:pos="567"/>
        </w:tabs>
        <w:spacing w:before="429" w:beforeLines="150" w:after="143" w:afterLines="50" w:line="360" w:lineRule="auto"/>
        <w:outlineLvl w:val="1"/>
        <w:rPr>
          <w:rFonts w:hint="eastAsia" w:ascii="宋体" w:hAnsi="宋体" w:cs="宋体"/>
          <w:sz w:val="22"/>
          <w:szCs w:val="22"/>
          <w:highlight w:val="none"/>
        </w:rPr>
      </w:pPr>
      <w:r>
        <w:rPr>
          <w:rFonts w:hint="eastAsia" w:ascii="宋体" w:hAnsi="宋体" w:cs="宋体"/>
          <w:sz w:val="22"/>
          <w:szCs w:val="22"/>
          <w:highlight w:val="none"/>
        </w:rPr>
        <w:t>管理与服务的要求</w:t>
      </w:r>
    </w:p>
    <w:p w14:paraId="6CF4B4F9">
      <w:pPr>
        <w:numPr>
          <w:ilvl w:val="0"/>
          <w:numId w:val="6"/>
        </w:numPr>
        <w:tabs>
          <w:tab w:val="left" w:pos="993"/>
          <w:tab w:val="clear" w:pos="720"/>
        </w:tabs>
        <w:spacing w:before="286" w:beforeLines="100" w:after="143" w:afterLines="50" w:line="360" w:lineRule="auto"/>
        <w:outlineLvl w:val="3"/>
        <w:rPr>
          <w:rFonts w:hint="eastAsia" w:ascii="宋体" w:hAnsi="宋体" w:cs="宋体"/>
          <w:b/>
          <w:sz w:val="22"/>
          <w:szCs w:val="22"/>
          <w:highlight w:val="none"/>
        </w:rPr>
      </w:pPr>
      <w:r>
        <w:rPr>
          <w:rFonts w:hint="eastAsia" w:ascii="宋体" w:hAnsi="宋体" w:cs="宋体"/>
          <w:b/>
          <w:sz w:val="22"/>
          <w:szCs w:val="22"/>
          <w:highlight w:val="none"/>
        </w:rPr>
        <w:t>物业综合管理服务</w:t>
      </w:r>
    </w:p>
    <w:p w14:paraId="03049A4E">
      <w:pPr>
        <w:numPr>
          <w:ilvl w:val="0"/>
          <w:numId w:val="7"/>
        </w:numPr>
        <w:tabs>
          <w:tab w:val="left" w:pos="720"/>
        </w:tabs>
        <w:spacing w:line="360" w:lineRule="auto"/>
        <w:ind w:left="0" w:firstLine="206" w:firstLineChars="94"/>
        <w:jc w:val="left"/>
        <w:rPr>
          <w:rFonts w:hint="eastAsia" w:ascii="宋体" w:hAnsi="宋体" w:cs="宋体"/>
          <w:sz w:val="22"/>
          <w:szCs w:val="22"/>
          <w:highlight w:val="none"/>
        </w:rPr>
      </w:pPr>
      <w:r>
        <w:rPr>
          <w:rFonts w:hint="eastAsia" w:ascii="宋体" w:hAnsi="宋体" w:cs="宋体"/>
          <w:sz w:val="22"/>
          <w:szCs w:val="22"/>
          <w:highlight w:val="none"/>
        </w:rPr>
        <w:t>日常管理：建立健全各项管理制度，规章制度、上岗制度具有完善的日常工作操作流程。</w:t>
      </w:r>
    </w:p>
    <w:p w14:paraId="7682E295">
      <w:pPr>
        <w:numPr>
          <w:ilvl w:val="0"/>
          <w:numId w:val="7"/>
        </w:numPr>
        <w:tabs>
          <w:tab w:val="left" w:pos="720"/>
        </w:tabs>
        <w:spacing w:line="360" w:lineRule="auto"/>
        <w:ind w:left="0" w:firstLine="206" w:firstLineChars="94"/>
        <w:rPr>
          <w:rFonts w:hint="eastAsia" w:ascii="宋体" w:hAnsi="宋体" w:cs="宋体"/>
          <w:sz w:val="22"/>
          <w:szCs w:val="22"/>
          <w:highlight w:val="none"/>
        </w:rPr>
      </w:pPr>
      <w:r>
        <w:rPr>
          <w:rFonts w:hint="eastAsia" w:ascii="宋体" w:hAnsi="宋体" w:cs="宋体"/>
          <w:sz w:val="22"/>
          <w:szCs w:val="22"/>
          <w:highlight w:val="none"/>
        </w:rPr>
        <w:t>档案管理：建立完整的物业验收档案、设备设施检测档案、维修保养档案、房屋本体维修保养档案、安全运行档案、人员管理档案等。</w:t>
      </w:r>
    </w:p>
    <w:p w14:paraId="46854946">
      <w:pPr>
        <w:numPr>
          <w:ilvl w:val="0"/>
          <w:numId w:val="7"/>
        </w:numPr>
        <w:tabs>
          <w:tab w:val="left" w:pos="720"/>
        </w:tabs>
        <w:spacing w:line="360" w:lineRule="auto"/>
        <w:ind w:left="0" w:firstLine="205" w:firstLineChars="97"/>
        <w:rPr>
          <w:rFonts w:hint="eastAsia" w:ascii="宋体" w:hAnsi="宋体" w:cs="宋体"/>
          <w:spacing w:val="-4"/>
          <w:sz w:val="22"/>
          <w:szCs w:val="22"/>
          <w:highlight w:val="none"/>
        </w:rPr>
      </w:pPr>
      <w:r>
        <w:rPr>
          <w:rFonts w:hint="eastAsia" w:ascii="宋体" w:hAnsi="宋体" w:cs="宋体"/>
          <w:spacing w:val="-4"/>
          <w:sz w:val="22"/>
          <w:szCs w:val="22"/>
          <w:highlight w:val="none"/>
        </w:rPr>
        <w:t>管理质量控制：</w:t>
      </w:r>
      <w:r>
        <w:rPr>
          <w:rFonts w:hint="eastAsia" w:ascii="宋体" w:hAnsi="宋体" w:cs="宋体"/>
          <w:spacing w:val="-4"/>
          <w:sz w:val="22"/>
          <w:szCs w:val="22"/>
          <w:highlight w:val="none"/>
          <w:lang w:eastAsia="zh-CN"/>
        </w:rPr>
        <w:t>按照</w:t>
      </w:r>
      <w:r>
        <w:rPr>
          <w:rFonts w:hint="eastAsia" w:ascii="宋体" w:hAnsi="宋体" w:cs="宋体"/>
          <w:spacing w:val="-4"/>
          <w:sz w:val="22"/>
          <w:szCs w:val="22"/>
          <w:highlight w:val="none"/>
        </w:rPr>
        <w:t>质量管理体系认证（GB/T 19001认证）、职业健康安全管理体系认证（GB/T 45001认证）、环境管理体系认证（GB/T 24001认证）建立起实用、有效的管理体系</w:t>
      </w:r>
      <w:r>
        <w:rPr>
          <w:rFonts w:hint="eastAsia" w:ascii="宋体" w:hAnsi="宋体" w:cs="宋体"/>
          <w:spacing w:val="-4"/>
          <w:sz w:val="22"/>
          <w:szCs w:val="22"/>
          <w:highlight w:val="none"/>
          <w:lang w:eastAsia="zh-CN"/>
        </w:rPr>
        <w:t>。</w:t>
      </w:r>
    </w:p>
    <w:p w14:paraId="3BFF7554">
      <w:pPr>
        <w:numPr>
          <w:ilvl w:val="0"/>
          <w:numId w:val="7"/>
        </w:numPr>
        <w:tabs>
          <w:tab w:val="left" w:pos="720"/>
        </w:tabs>
        <w:spacing w:line="360" w:lineRule="auto"/>
        <w:ind w:left="0" w:firstLine="206" w:firstLineChars="94"/>
        <w:rPr>
          <w:rFonts w:hint="eastAsia" w:ascii="宋体" w:hAnsi="宋体" w:cs="宋体"/>
          <w:sz w:val="22"/>
          <w:szCs w:val="22"/>
          <w:highlight w:val="none"/>
        </w:rPr>
      </w:pPr>
      <w:r>
        <w:rPr>
          <w:rFonts w:hint="eastAsia" w:ascii="宋体" w:hAnsi="宋体" w:cs="宋体"/>
          <w:sz w:val="22"/>
          <w:szCs w:val="22"/>
          <w:highlight w:val="none"/>
        </w:rPr>
        <w:t>投诉接待处理：流程合理，及时处理，有回访制度和记录。</w:t>
      </w:r>
    </w:p>
    <w:p w14:paraId="67DA8892">
      <w:pPr>
        <w:numPr>
          <w:ilvl w:val="0"/>
          <w:numId w:val="7"/>
        </w:numPr>
        <w:tabs>
          <w:tab w:val="left" w:pos="720"/>
        </w:tabs>
        <w:spacing w:line="360" w:lineRule="auto"/>
        <w:ind w:left="0" w:firstLine="206" w:firstLineChars="94"/>
        <w:rPr>
          <w:rFonts w:hint="eastAsia" w:ascii="宋体" w:hAnsi="宋体" w:cs="宋体"/>
          <w:sz w:val="22"/>
          <w:szCs w:val="22"/>
          <w:highlight w:val="none"/>
        </w:rPr>
      </w:pPr>
      <w:r>
        <w:rPr>
          <w:rFonts w:hint="eastAsia" w:ascii="宋体" w:hAnsi="宋体" w:cs="宋体"/>
          <w:sz w:val="22"/>
          <w:szCs w:val="22"/>
          <w:highlight w:val="none"/>
        </w:rPr>
        <w:t>报修受理：有完善的报修受理流程，15分钟到场，有回访制度和记录。</w:t>
      </w:r>
    </w:p>
    <w:p w14:paraId="6DB39F9C">
      <w:pPr>
        <w:numPr>
          <w:ilvl w:val="0"/>
          <w:numId w:val="7"/>
        </w:numPr>
        <w:tabs>
          <w:tab w:val="left" w:pos="720"/>
        </w:tabs>
        <w:spacing w:line="360" w:lineRule="auto"/>
        <w:ind w:left="0" w:firstLine="206" w:firstLineChars="94"/>
        <w:rPr>
          <w:rFonts w:hint="eastAsia" w:ascii="宋体" w:hAnsi="宋体" w:cs="宋体"/>
          <w:sz w:val="22"/>
          <w:szCs w:val="22"/>
          <w:highlight w:val="none"/>
        </w:rPr>
      </w:pPr>
      <w:r>
        <w:rPr>
          <w:rFonts w:hint="eastAsia" w:ascii="宋体" w:hAnsi="宋体" w:cs="宋体"/>
          <w:sz w:val="22"/>
          <w:szCs w:val="22"/>
          <w:highlight w:val="none"/>
        </w:rPr>
        <w:t>外包服务监管：有明确的监管措施，由业主方委托专业企业维护保养的，需要协助业主方对专业企业进行管理并制定相应的针对外包服务方的管理制度，达到外包合同规定的质量要求。</w:t>
      </w:r>
    </w:p>
    <w:p w14:paraId="3384F812">
      <w:pPr>
        <w:numPr>
          <w:ilvl w:val="0"/>
          <w:numId w:val="7"/>
        </w:numPr>
        <w:tabs>
          <w:tab w:val="left" w:pos="720"/>
        </w:tabs>
        <w:spacing w:line="360" w:lineRule="auto"/>
        <w:ind w:left="0" w:firstLine="205" w:firstLineChars="97"/>
        <w:rPr>
          <w:rFonts w:hint="eastAsia" w:ascii="宋体" w:hAnsi="宋体" w:cs="宋体"/>
          <w:spacing w:val="-4"/>
          <w:sz w:val="22"/>
          <w:szCs w:val="22"/>
          <w:highlight w:val="none"/>
        </w:rPr>
      </w:pPr>
      <w:r>
        <w:rPr>
          <w:rFonts w:hint="eastAsia" w:ascii="宋体" w:hAnsi="宋体" w:cs="宋体"/>
          <w:spacing w:val="-4"/>
          <w:sz w:val="22"/>
          <w:szCs w:val="22"/>
          <w:highlight w:val="none"/>
        </w:rPr>
        <w:t>客户意见征询：定期向业主方相关部门或相关客户进行顾客满意度调查，征求物业服务意见，对合理的建议及时整改。</w:t>
      </w:r>
    </w:p>
    <w:p w14:paraId="6ED1ECF2">
      <w:pPr>
        <w:numPr>
          <w:ilvl w:val="0"/>
          <w:numId w:val="7"/>
        </w:numPr>
        <w:tabs>
          <w:tab w:val="left" w:pos="720"/>
        </w:tabs>
        <w:spacing w:line="360" w:lineRule="auto"/>
        <w:ind w:left="0" w:firstLine="206" w:firstLineChars="94"/>
        <w:rPr>
          <w:rFonts w:hint="eastAsia" w:ascii="宋体" w:hAnsi="宋体" w:cs="宋体"/>
          <w:sz w:val="22"/>
          <w:szCs w:val="22"/>
          <w:highlight w:val="none"/>
        </w:rPr>
      </w:pPr>
      <w:r>
        <w:rPr>
          <w:rFonts w:hint="eastAsia" w:ascii="宋体" w:hAnsi="宋体" w:cs="宋体"/>
          <w:sz w:val="22"/>
          <w:szCs w:val="22"/>
          <w:highlight w:val="none"/>
        </w:rPr>
        <w:t>对外统筹与协调：同所有外部接口（水、电、网络通讯、气、环保、粪池、垃圾处理、消防等）实现无缝衔接，接受业主方的领导、与业主方相关部门共同完成指令任务。</w:t>
      </w:r>
    </w:p>
    <w:p w14:paraId="534C24A3">
      <w:pPr>
        <w:numPr>
          <w:ilvl w:val="0"/>
          <w:numId w:val="6"/>
        </w:numPr>
        <w:tabs>
          <w:tab w:val="left" w:pos="993"/>
          <w:tab w:val="clear" w:pos="720"/>
        </w:tabs>
        <w:spacing w:before="286" w:beforeLines="100" w:after="143" w:afterLines="50" w:line="360" w:lineRule="auto"/>
        <w:outlineLvl w:val="3"/>
        <w:rPr>
          <w:rFonts w:hint="eastAsia" w:ascii="宋体" w:hAnsi="宋体" w:cs="宋体"/>
          <w:b/>
          <w:sz w:val="22"/>
          <w:szCs w:val="22"/>
          <w:highlight w:val="none"/>
        </w:rPr>
      </w:pPr>
      <w:r>
        <w:rPr>
          <w:rFonts w:hint="eastAsia" w:ascii="宋体" w:hAnsi="宋体" w:cs="宋体"/>
          <w:b/>
          <w:sz w:val="22"/>
          <w:szCs w:val="22"/>
          <w:highlight w:val="none"/>
        </w:rPr>
        <w:t>公共区域房屋、设施设备及附属场地的管理养护</w:t>
      </w:r>
    </w:p>
    <w:p w14:paraId="4C09DE13">
      <w:pPr>
        <w:numPr>
          <w:ilvl w:val="0"/>
          <w:numId w:val="8"/>
        </w:numPr>
        <w:tabs>
          <w:tab w:val="left" w:pos="720"/>
        </w:tabs>
        <w:spacing w:line="360" w:lineRule="auto"/>
        <w:ind w:left="-282" w:firstLine="282"/>
        <w:rPr>
          <w:rFonts w:hint="eastAsia" w:ascii="宋体" w:hAnsi="宋体" w:cs="宋体"/>
          <w:sz w:val="22"/>
          <w:szCs w:val="22"/>
          <w:highlight w:val="none"/>
        </w:rPr>
      </w:pPr>
      <w:r>
        <w:rPr>
          <w:rFonts w:hint="eastAsia" w:ascii="宋体" w:hAnsi="宋体" w:cs="宋体"/>
          <w:sz w:val="22"/>
          <w:szCs w:val="22"/>
          <w:highlight w:val="none"/>
        </w:rPr>
        <w:t>确保五里桥人才公寓大楼，与之相配套的空调系统、电、水、气、有线电视等正常运行。</w:t>
      </w:r>
    </w:p>
    <w:p w14:paraId="43772971">
      <w:pPr>
        <w:numPr>
          <w:ilvl w:val="0"/>
          <w:numId w:val="8"/>
        </w:numPr>
        <w:tabs>
          <w:tab w:val="left" w:pos="720"/>
        </w:tabs>
        <w:spacing w:line="360" w:lineRule="auto"/>
        <w:ind w:left="-282" w:firstLine="282"/>
        <w:rPr>
          <w:rFonts w:hint="eastAsia" w:ascii="宋体" w:hAnsi="宋体" w:cs="宋体"/>
          <w:sz w:val="22"/>
          <w:szCs w:val="22"/>
          <w:highlight w:val="none"/>
        </w:rPr>
      </w:pPr>
      <w:r>
        <w:rPr>
          <w:rFonts w:hint="eastAsia" w:ascii="宋体" w:hAnsi="宋体" w:cs="宋体"/>
          <w:sz w:val="22"/>
          <w:szCs w:val="22"/>
          <w:highlight w:val="none"/>
        </w:rPr>
        <w:t>所有相关物业档案资料管理服务（包括建筑维护维修；设备及系统的日常运行各类数据记录、维护、保养维修记录；安全检查、安全整改工作内容；人员管理；工程等资料管理）。</w:t>
      </w:r>
    </w:p>
    <w:p w14:paraId="32AC051D">
      <w:pPr>
        <w:numPr>
          <w:ilvl w:val="0"/>
          <w:numId w:val="8"/>
        </w:numPr>
        <w:tabs>
          <w:tab w:val="left" w:pos="720"/>
        </w:tabs>
        <w:spacing w:line="360" w:lineRule="auto"/>
        <w:ind w:left="-282" w:firstLine="282"/>
        <w:rPr>
          <w:rFonts w:hint="eastAsia" w:ascii="宋体" w:hAnsi="宋体" w:cs="宋体"/>
          <w:sz w:val="22"/>
          <w:szCs w:val="22"/>
          <w:highlight w:val="none"/>
        </w:rPr>
      </w:pPr>
      <w:r>
        <w:rPr>
          <w:rFonts w:hint="eastAsia" w:ascii="宋体" w:hAnsi="宋体" w:cs="宋体"/>
          <w:sz w:val="22"/>
          <w:szCs w:val="22"/>
          <w:highlight w:val="none"/>
        </w:rPr>
        <w:t>供电系统的维护、维修、运行管理服务（电柜（箱）、照明配电系统、机电设备控制柜、电线、电缆、防雷接地网等）。</w:t>
      </w:r>
    </w:p>
    <w:p w14:paraId="4A0738CC">
      <w:pPr>
        <w:numPr>
          <w:ilvl w:val="0"/>
          <w:numId w:val="8"/>
        </w:numPr>
        <w:tabs>
          <w:tab w:val="left" w:pos="720"/>
        </w:tabs>
        <w:spacing w:line="360" w:lineRule="auto"/>
        <w:ind w:left="-282" w:firstLine="282"/>
        <w:rPr>
          <w:rFonts w:hint="eastAsia" w:ascii="宋体" w:hAnsi="宋体" w:cs="宋体"/>
          <w:sz w:val="22"/>
          <w:szCs w:val="22"/>
          <w:highlight w:val="none"/>
        </w:rPr>
      </w:pPr>
      <w:r>
        <w:rPr>
          <w:rFonts w:hint="eastAsia" w:ascii="宋体" w:hAnsi="宋体" w:cs="宋体"/>
          <w:sz w:val="22"/>
          <w:szCs w:val="22"/>
          <w:highlight w:val="none"/>
        </w:rPr>
        <w:t>变配电设备的日常运行、维护管理，配合业主方对专业维修、维护、检测进行监管。</w:t>
      </w:r>
    </w:p>
    <w:p w14:paraId="22006721">
      <w:pPr>
        <w:numPr>
          <w:ilvl w:val="0"/>
          <w:numId w:val="8"/>
        </w:numPr>
        <w:tabs>
          <w:tab w:val="left" w:pos="720"/>
        </w:tabs>
        <w:spacing w:line="360" w:lineRule="auto"/>
        <w:ind w:left="-282" w:firstLine="282"/>
        <w:rPr>
          <w:rFonts w:hint="eastAsia" w:ascii="宋体" w:hAnsi="宋体" w:cs="宋体"/>
          <w:sz w:val="22"/>
          <w:szCs w:val="22"/>
          <w:highlight w:val="none"/>
        </w:rPr>
      </w:pPr>
      <w:r>
        <w:rPr>
          <w:rFonts w:hint="eastAsia" w:ascii="宋体" w:hAnsi="宋体" w:cs="宋体"/>
          <w:sz w:val="22"/>
          <w:szCs w:val="22"/>
          <w:highlight w:val="none"/>
        </w:rPr>
        <w:t>照明系统的日常维护、维修、运行管理，配合业主方对专业维修、维护进行监管。</w:t>
      </w:r>
    </w:p>
    <w:p w14:paraId="2C681D60">
      <w:pPr>
        <w:numPr>
          <w:ilvl w:val="0"/>
          <w:numId w:val="8"/>
        </w:numPr>
        <w:tabs>
          <w:tab w:val="left" w:pos="720"/>
        </w:tabs>
        <w:spacing w:line="360" w:lineRule="auto"/>
        <w:ind w:left="-282" w:firstLine="282"/>
        <w:rPr>
          <w:rFonts w:hint="eastAsia" w:ascii="宋体" w:hAnsi="宋体" w:cs="宋体"/>
          <w:sz w:val="22"/>
          <w:szCs w:val="22"/>
          <w:highlight w:val="none"/>
        </w:rPr>
      </w:pPr>
      <w:r>
        <w:rPr>
          <w:rFonts w:hint="eastAsia" w:ascii="宋体" w:hAnsi="宋体" w:cs="宋体"/>
          <w:sz w:val="22"/>
          <w:szCs w:val="22"/>
          <w:highlight w:val="none"/>
        </w:rPr>
        <w:t>消防系统的日常维护保养、管理及检测（包括消防水系统、气体灭火系统装置）。</w:t>
      </w:r>
    </w:p>
    <w:p w14:paraId="04C8D143">
      <w:pPr>
        <w:numPr>
          <w:ilvl w:val="0"/>
          <w:numId w:val="8"/>
        </w:numPr>
        <w:tabs>
          <w:tab w:val="left" w:pos="720"/>
        </w:tabs>
        <w:spacing w:line="360" w:lineRule="auto"/>
        <w:ind w:left="-282" w:firstLine="283"/>
        <w:rPr>
          <w:rFonts w:hint="eastAsia" w:ascii="宋体" w:hAnsi="宋体" w:cs="宋体"/>
          <w:spacing w:val="-4"/>
          <w:sz w:val="22"/>
          <w:szCs w:val="22"/>
          <w:highlight w:val="none"/>
        </w:rPr>
      </w:pPr>
      <w:r>
        <w:rPr>
          <w:rFonts w:hint="eastAsia" w:ascii="宋体" w:hAnsi="宋体" w:cs="宋体"/>
          <w:spacing w:val="-4"/>
          <w:sz w:val="22"/>
          <w:szCs w:val="22"/>
          <w:highlight w:val="none"/>
        </w:rPr>
        <w:t>安防监控系统的日常维护保养和管理。</w:t>
      </w:r>
    </w:p>
    <w:p w14:paraId="62E87056">
      <w:pPr>
        <w:numPr>
          <w:ilvl w:val="0"/>
          <w:numId w:val="8"/>
        </w:numPr>
        <w:tabs>
          <w:tab w:val="left" w:pos="720"/>
        </w:tabs>
        <w:spacing w:line="360" w:lineRule="auto"/>
        <w:ind w:left="-282" w:firstLine="283"/>
        <w:rPr>
          <w:rFonts w:hint="eastAsia" w:ascii="宋体" w:hAnsi="宋体" w:cs="宋体"/>
          <w:spacing w:val="-4"/>
          <w:sz w:val="22"/>
          <w:szCs w:val="22"/>
          <w:highlight w:val="none"/>
        </w:rPr>
      </w:pPr>
      <w:r>
        <w:rPr>
          <w:rFonts w:hint="eastAsia" w:ascii="宋体" w:hAnsi="宋体" w:cs="宋体"/>
          <w:spacing w:val="-4"/>
          <w:sz w:val="22"/>
          <w:szCs w:val="22"/>
          <w:highlight w:val="none"/>
        </w:rPr>
        <w:t>道闸、门禁系统的日常维护保养和管理（系统设备巡检一季度一次）。</w:t>
      </w:r>
    </w:p>
    <w:p w14:paraId="61CF666A">
      <w:pPr>
        <w:numPr>
          <w:ilvl w:val="0"/>
          <w:numId w:val="8"/>
        </w:numPr>
        <w:tabs>
          <w:tab w:val="left" w:pos="720"/>
        </w:tabs>
        <w:spacing w:line="360" w:lineRule="auto"/>
        <w:ind w:left="-282" w:firstLine="283"/>
        <w:rPr>
          <w:rFonts w:hint="eastAsia" w:ascii="宋体" w:hAnsi="宋体" w:cs="宋体"/>
          <w:spacing w:val="-4"/>
          <w:sz w:val="22"/>
          <w:szCs w:val="22"/>
          <w:highlight w:val="none"/>
        </w:rPr>
      </w:pPr>
      <w:r>
        <w:rPr>
          <w:rFonts w:hint="eastAsia" w:ascii="宋体" w:hAnsi="宋体" w:cs="宋体"/>
          <w:spacing w:val="-4"/>
          <w:sz w:val="22"/>
          <w:szCs w:val="22"/>
          <w:highlight w:val="none"/>
        </w:rPr>
        <w:t>升降系统每月二次的日常维护，物业方应配合业主方对电梯的运行和管理、专业维修、维护、检测进行监管。</w:t>
      </w:r>
    </w:p>
    <w:p w14:paraId="38D2CDA6">
      <w:pPr>
        <w:numPr>
          <w:ilvl w:val="0"/>
          <w:numId w:val="8"/>
        </w:numPr>
        <w:tabs>
          <w:tab w:val="left" w:pos="720"/>
        </w:tabs>
        <w:spacing w:line="360" w:lineRule="auto"/>
        <w:ind w:left="-282" w:firstLine="283"/>
        <w:rPr>
          <w:rFonts w:hint="eastAsia" w:ascii="宋体" w:hAnsi="宋体" w:cs="宋体"/>
          <w:spacing w:val="-4"/>
          <w:sz w:val="22"/>
          <w:szCs w:val="22"/>
          <w:highlight w:val="none"/>
        </w:rPr>
      </w:pPr>
      <w:r>
        <w:rPr>
          <w:rFonts w:hint="eastAsia" w:ascii="宋体" w:hAnsi="宋体" w:cs="宋体"/>
          <w:spacing w:val="-4"/>
          <w:sz w:val="22"/>
          <w:szCs w:val="22"/>
          <w:highlight w:val="none"/>
        </w:rPr>
        <w:t>给排水系统的日常维护、维修、运行和管理。</w:t>
      </w:r>
    </w:p>
    <w:p w14:paraId="456A0816">
      <w:pPr>
        <w:numPr>
          <w:ilvl w:val="0"/>
          <w:numId w:val="8"/>
        </w:numPr>
        <w:tabs>
          <w:tab w:val="left" w:pos="720"/>
        </w:tabs>
        <w:spacing w:line="360" w:lineRule="auto"/>
        <w:ind w:left="-282" w:firstLine="283"/>
        <w:rPr>
          <w:rFonts w:hint="eastAsia" w:ascii="宋体" w:hAnsi="宋体" w:cs="宋体"/>
          <w:spacing w:val="-4"/>
          <w:sz w:val="22"/>
          <w:szCs w:val="22"/>
          <w:highlight w:val="none"/>
        </w:rPr>
      </w:pPr>
      <w:r>
        <w:rPr>
          <w:rFonts w:hint="eastAsia" w:ascii="宋体" w:hAnsi="宋体" w:cs="宋体"/>
          <w:spacing w:val="-4"/>
          <w:sz w:val="22"/>
          <w:szCs w:val="22"/>
          <w:highlight w:val="none"/>
        </w:rPr>
        <w:t>空调系统（包括VRV空调、立式空调）的日常维护保养管理，每年二次空调保养（夏季和冬季）。</w:t>
      </w:r>
    </w:p>
    <w:p w14:paraId="48DC7C13">
      <w:pPr>
        <w:numPr>
          <w:ilvl w:val="0"/>
          <w:numId w:val="8"/>
        </w:numPr>
        <w:tabs>
          <w:tab w:val="left" w:pos="720"/>
        </w:tabs>
        <w:spacing w:line="360" w:lineRule="auto"/>
        <w:ind w:left="-282" w:firstLine="283"/>
        <w:rPr>
          <w:rFonts w:hint="eastAsia" w:ascii="宋体" w:hAnsi="宋体" w:cs="宋体"/>
          <w:spacing w:val="-4"/>
          <w:sz w:val="22"/>
          <w:szCs w:val="22"/>
          <w:highlight w:val="none"/>
        </w:rPr>
      </w:pPr>
      <w:r>
        <w:rPr>
          <w:rFonts w:hint="eastAsia" w:ascii="宋体" w:hAnsi="宋体" w:cs="宋体"/>
          <w:spacing w:val="-4"/>
          <w:sz w:val="22"/>
          <w:szCs w:val="22"/>
          <w:highlight w:val="none"/>
        </w:rPr>
        <w:t>室内燃气热水器的日常维护保养。</w:t>
      </w:r>
    </w:p>
    <w:p w14:paraId="10415C4A">
      <w:pPr>
        <w:numPr>
          <w:ilvl w:val="0"/>
          <w:numId w:val="8"/>
        </w:numPr>
        <w:tabs>
          <w:tab w:val="left" w:pos="720"/>
        </w:tabs>
        <w:spacing w:line="360" w:lineRule="auto"/>
        <w:ind w:left="-282" w:firstLine="282"/>
        <w:rPr>
          <w:rFonts w:hint="eastAsia" w:ascii="宋体" w:hAnsi="宋体" w:cs="宋体"/>
          <w:sz w:val="22"/>
          <w:szCs w:val="22"/>
          <w:highlight w:val="none"/>
        </w:rPr>
      </w:pPr>
      <w:r>
        <w:rPr>
          <w:rFonts w:hint="eastAsia" w:ascii="宋体" w:hAnsi="宋体" w:cs="宋体"/>
          <w:sz w:val="22"/>
          <w:szCs w:val="22"/>
          <w:highlight w:val="none"/>
        </w:rPr>
        <w:t>房屋建筑装饰、门窗、扶栏、门锁等设施及其他设施的日常泥、木、五金维修（包括室内墙面、公共设施设备的修补、油漆）。</w:t>
      </w:r>
    </w:p>
    <w:p w14:paraId="29DBCB04">
      <w:pPr>
        <w:numPr>
          <w:ilvl w:val="0"/>
          <w:numId w:val="8"/>
        </w:numPr>
        <w:tabs>
          <w:tab w:val="left" w:pos="720"/>
        </w:tabs>
        <w:spacing w:line="360" w:lineRule="auto"/>
        <w:ind w:left="-282" w:firstLine="282"/>
        <w:rPr>
          <w:rFonts w:hint="eastAsia" w:ascii="宋体" w:hAnsi="宋体" w:cs="宋体"/>
          <w:sz w:val="22"/>
          <w:szCs w:val="22"/>
          <w:highlight w:val="none"/>
        </w:rPr>
      </w:pPr>
      <w:r>
        <w:rPr>
          <w:rFonts w:hint="eastAsia" w:ascii="宋体" w:hAnsi="宋体" w:cs="宋体"/>
          <w:sz w:val="22"/>
          <w:szCs w:val="22"/>
          <w:highlight w:val="none"/>
        </w:rPr>
        <w:t>污水处理系统的日常维护、维修、运行和管理。</w:t>
      </w:r>
    </w:p>
    <w:p w14:paraId="132A4E1F">
      <w:pPr>
        <w:numPr>
          <w:ilvl w:val="0"/>
          <w:numId w:val="8"/>
        </w:numPr>
        <w:tabs>
          <w:tab w:val="left" w:pos="720"/>
        </w:tabs>
        <w:spacing w:line="360" w:lineRule="auto"/>
        <w:ind w:left="-282" w:firstLine="282"/>
        <w:rPr>
          <w:rFonts w:hint="eastAsia" w:ascii="宋体" w:hAnsi="宋体" w:cs="宋体"/>
          <w:sz w:val="22"/>
          <w:szCs w:val="22"/>
          <w:highlight w:val="none"/>
        </w:rPr>
      </w:pPr>
      <w:r>
        <w:rPr>
          <w:rFonts w:hint="eastAsia" w:ascii="宋体" w:hAnsi="宋体" w:cs="宋体"/>
          <w:sz w:val="22"/>
          <w:szCs w:val="22"/>
          <w:highlight w:val="none"/>
        </w:rPr>
        <w:t>水箱一年清洗两次，并出具四次第三方水质检测报告。</w:t>
      </w:r>
    </w:p>
    <w:p w14:paraId="73C1F8EE">
      <w:pPr>
        <w:numPr>
          <w:ilvl w:val="0"/>
          <w:numId w:val="8"/>
        </w:numPr>
        <w:tabs>
          <w:tab w:val="left" w:pos="720"/>
        </w:tabs>
        <w:spacing w:line="360" w:lineRule="auto"/>
        <w:ind w:left="-282" w:firstLine="282"/>
        <w:rPr>
          <w:rFonts w:hint="eastAsia" w:ascii="宋体" w:hAnsi="宋体" w:cs="宋体"/>
          <w:sz w:val="22"/>
          <w:szCs w:val="22"/>
          <w:highlight w:val="none"/>
        </w:rPr>
      </w:pPr>
      <w:r>
        <w:rPr>
          <w:rFonts w:hint="eastAsia" w:ascii="宋体" w:hAnsi="宋体" w:cs="宋体"/>
          <w:sz w:val="22"/>
          <w:szCs w:val="22"/>
          <w:highlight w:val="none"/>
        </w:rPr>
        <w:t>日常接报修维修服务。</w:t>
      </w:r>
    </w:p>
    <w:p w14:paraId="666FD61A">
      <w:pPr>
        <w:numPr>
          <w:ilvl w:val="0"/>
          <w:numId w:val="8"/>
        </w:numPr>
        <w:tabs>
          <w:tab w:val="left" w:pos="720"/>
        </w:tabs>
        <w:spacing w:line="360" w:lineRule="auto"/>
        <w:ind w:left="-282" w:firstLine="282"/>
        <w:rPr>
          <w:rFonts w:hint="eastAsia" w:ascii="宋体" w:hAnsi="宋体" w:cs="宋体"/>
          <w:sz w:val="22"/>
          <w:szCs w:val="22"/>
          <w:highlight w:val="none"/>
        </w:rPr>
      </w:pPr>
      <w:r>
        <w:rPr>
          <w:rFonts w:hint="eastAsia" w:ascii="宋体" w:hAnsi="宋体" w:cs="宋体"/>
          <w:sz w:val="22"/>
          <w:szCs w:val="22"/>
          <w:highlight w:val="none"/>
        </w:rPr>
        <w:t>各类标志标识的维护与管理。</w:t>
      </w:r>
    </w:p>
    <w:p w14:paraId="40D91D96">
      <w:pPr>
        <w:numPr>
          <w:ilvl w:val="0"/>
          <w:numId w:val="8"/>
        </w:numPr>
        <w:tabs>
          <w:tab w:val="left" w:pos="720"/>
        </w:tabs>
        <w:spacing w:line="360" w:lineRule="auto"/>
        <w:ind w:left="-282" w:firstLine="282"/>
        <w:rPr>
          <w:rFonts w:hint="eastAsia" w:ascii="宋体" w:hAnsi="宋体" w:cs="宋体"/>
          <w:sz w:val="22"/>
          <w:szCs w:val="22"/>
          <w:highlight w:val="none"/>
        </w:rPr>
      </w:pPr>
      <w:r>
        <w:rPr>
          <w:rFonts w:hint="eastAsia" w:ascii="宋体" w:hAnsi="宋体" w:cs="宋体"/>
          <w:sz w:val="22"/>
          <w:szCs w:val="22"/>
          <w:highlight w:val="none"/>
        </w:rPr>
        <w:t>设备设施突发事件的应急处理。</w:t>
      </w:r>
    </w:p>
    <w:p w14:paraId="5DE43155">
      <w:pPr>
        <w:numPr>
          <w:ilvl w:val="0"/>
          <w:numId w:val="6"/>
        </w:numPr>
        <w:tabs>
          <w:tab w:val="left" w:pos="993"/>
          <w:tab w:val="clear" w:pos="720"/>
        </w:tabs>
        <w:spacing w:before="286" w:beforeLines="100" w:after="143" w:afterLines="50" w:line="360" w:lineRule="auto"/>
        <w:outlineLvl w:val="3"/>
        <w:rPr>
          <w:rFonts w:hint="eastAsia" w:ascii="宋体" w:hAnsi="宋体" w:cs="宋体"/>
          <w:b/>
          <w:sz w:val="22"/>
          <w:szCs w:val="22"/>
          <w:highlight w:val="none"/>
        </w:rPr>
      </w:pPr>
      <w:r>
        <w:rPr>
          <w:rFonts w:hint="eastAsia" w:ascii="宋体" w:hAnsi="宋体" w:cs="宋体"/>
          <w:b/>
          <w:sz w:val="22"/>
          <w:szCs w:val="22"/>
          <w:highlight w:val="none"/>
        </w:rPr>
        <w:t>公共区域环境卫生管理</w:t>
      </w:r>
    </w:p>
    <w:p w14:paraId="645EEC43">
      <w:pPr>
        <w:numPr>
          <w:ilvl w:val="0"/>
          <w:numId w:val="9"/>
        </w:numPr>
        <w:tabs>
          <w:tab w:val="left" w:pos="720"/>
        </w:tabs>
        <w:spacing w:line="360" w:lineRule="auto"/>
        <w:ind w:left="0" w:firstLine="206" w:firstLineChars="94"/>
        <w:rPr>
          <w:rFonts w:hint="eastAsia" w:ascii="宋体" w:hAnsi="宋体" w:cs="宋体"/>
          <w:sz w:val="22"/>
          <w:szCs w:val="22"/>
          <w:highlight w:val="none"/>
        </w:rPr>
      </w:pPr>
      <w:r>
        <w:rPr>
          <w:rFonts w:hint="eastAsia" w:ascii="宋体" w:hAnsi="宋体" w:cs="宋体"/>
          <w:sz w:val="22"/>
          <w:szCs w:val="22"/>
          <w:highlight w:val="none"/>
        </w:rPr>
        <w:t>外场、道路、明沟、台阶的保洁</w:t>
      </w:r>
    </w:p>
    <w:p w14:paraId="52E69C3C">
      <w:pPr>
        <w:numPr>
          <w:ilvl w:val="0"/>
          <w:numId w:val="10"/>
        </w:numPr>
        <w:tabs>
          <w:tab w:val="left" w:pos="1276"/>
        </w:tabs>
        <w:spacing w:line="360" w:lineRule="auto"/>
        <w:ind w:left="1055" w:hanging="425"/>
        <w:rPr>
          <w:rFonts w:hint="eastAsia" w:ascii="宋体" w:hAnsi="宋体" w:cs="宋体"/>
          <w:sz w:val="22"/>
          <w:szCs w:val="22"/>
          <w:highlight w:val="none"/>
        </w:rPr>
      </w:pPr>
      <w:r>
        <w:rPr>
          <w:rFonts w:hint="eastAsia" w:ascii="宋体" w:hAnsi="宋体" w:cs="宋体"/>
          <w:sz w:val="22"/>
          <w:szCs w:val="22"/>
          <w:highlight w:val="none"/>
        </w:rPr>
        <w:t>地面干净，外围通道地面应保持畅通，做到无垃圾杂物、无污迹、无积水、无脚印、无烟蒂纸屑。</w:t>
      </w:r>
    </w:p>
    <w:p w14:paraId="7B7396DF">
      <w:pPr>
        <w:numPr>
          <w:ilvl w:val="0"/>
          <w:numId w:val="10"/>
        </w:numPr>
        <w:tabs>
          <w:tab w:val="left" w:pos="1134"/>
        </w:tabs>
        <w:spacing w:line="360" w:lineRule="auto"/>
        <w:ind w:left="1587" w:hanging="957"/>
        <w:rPr>
          <w:rFonts w:hint="eastAsia" w:ascii="宋体" w:hAnsi="宋体" w:cs="宋体"/>
          <w:sz w:val="22"/>
          <w:szCs w:val="22"/>
          <w:highlight w:val="none"/>
        </w:rPr>
      </w:pPr>
      <w:r>
        <w:rPr>
          <w:rFonts w:hint="eastAsia" w:ascii="宋体" w:hAnsi="宋体" w:cs="宋体"/>
          <w:sz w:val="22"/>
          <w:szCs w:val="22"/>
          <w:highlight w:val="none"/>
        </w:rPr>
        <w:t>明沟内无杂物，无积水。</w:t>
      </w:r>
    </w:p>
    <w:p w14:paraId="293B2A4E">
      <w:pPr>
        <w:numPr>
          <w:ilvl w:val="0"/>
          <w:numId w:val="10"/>
        </w:numPr>
        <w:tabs>
          <w:tab w:val="left" w:pos="1134"/>
        </w:tabs>
        <w:spacing w:line="360" w:lineRule="auto"/>
        <w:ind w:left="1587" w:hanging="957"/>
        <w:rPr>
          <w:rFonts w:hint="eastAsia" w:ascii="宋体" w:hAnsi="宋体" w:cs="宋体"/>
          <w:sz w:val="22"/>
          <w:szCs w:val="22"/>
          <w:highlight w:val="none"/>
        </w:rPr>
      </w:pPr>
      <w:r>
        <w:rPr>
          <w:rFonts w:hint="eastAsia" w:ascii="宋体" w:hAnsi="宋体" w:cs="宋体"/>
          <w:sz w:val="22"/>
          <w:szCs w:val="22"/>
          <w:highlight w:val="none"/>
        </w:rPr>
        <w:t>台阶地面按不同材质清洁要求进行清洁，保持原色。</w:t>
      </w:r>
    </w:p>
    <w:p w14:paraId="6D11E075">
      <w:pPr>
        <w:numPr>
          <w:ilvl w:val="0"/>
          <w:numId w:val="10"/>
        </w:numPr>
        <w:tabs>
          <w:tab w:val="left" w:pos="1134"/>
        </w:tabs>
        <w:spacing w:line="360" w:lineRule="auto"/>
        <w:ind w:left="1587" w:hanging="957"/>
        <w:rPr>
          <w:rFonts w:hint="eastAsia" w:ascii="宋体" w:hAnsi="宋体" w:cs="宋体"/>
          <w:sz w:val="22"/>
          <w:szCs w:val="22"/>
          <w:highlight w:val="none"/>
        </w:rPr>
      </w:pPr>
      <w:r>
        <w:rPr>
          <w:rFonts w:hint="eastAsia" w:ascii="宋体" w:hAnsi="宋体" w:cs="宋体"/>
          <w:sz w:val="22"/>
          <w:szCs w:val="22"/>
          <w:highlight w:val="none"/>
        </w:rPr>
        <w:t>灯柱定期擦拭，保持明亮、整洁、无灰尘。</w:t>
      </w:r>
    </w:p>
    <w:p w14:paraId="0132DCD1">
      <w:pPr>
        <w:numPr>
          <w:ilvl w:val="0"/>
          <w:numId w:val="10"/>
        </w:numPr>
        <w:tabs>
          <w:tab w:val="left" w:pos="1134"/>
        </w:tabs>
        <w:spacing w:line="360" w:lineRule="auto"/>
        <w:ind w:left="1587" w:hanging="957"/>
        <w:rPr>
          <w:rFonts w:hint="eastAsia" w:ascii="宋体" w:hAnsi="宋体" w:cs="宋体"/>
          <w:sz w:val="22"/>
          <w:szCs w:val="22"/>
          <w:highlight w:val="none"/>
        </w:rPr>
      </w:pPr>
      <w:r>
        <w:rPr>
          <w:rFonts w:hint="eastAsia" w:ascii="宋体" w:hAnsi="宋体" w:cs="宋体"/>
          <w:sz w:val="22"/>
          <w:szCs w:val="22"/>
          <w:highlight w:val="none"/>
        </w:rPr>
        <w:t>外场无杂草、青苔。</w:t>
      </w:r>
    </w:p>
    <w:p w14:paraId="4CEDD6EE">
      <w:pPr>
        <w:numPr>
          <w:ilvl w:val="0"/>
          <w:numId w:val="9"/>
        </w:numPr>
        <w:tabs>
          <w:tab w:val="left" w:pos="720"/>
        </w:tabs>
        <w:spacing w:line="360" w:lineRule="auto"/>
        <w:ind w:left="0" w:firstLine="206" w:firstLineChars="94"/>
        <w:rPr>
          <w:rFonts w:hint="eastAsia" w:ascii="宋体" w:hAnsi="宋体" w:cs="宋体"/>
          <w:sz w:val="22"/>
          <w:szCs w:val="22"/>
          <w:highlight w:val="none"/>
        </w:rPr>
      </w:pPr>
      <w:r>
        <w:rPr>
          <w:rFonts w:hint="eastAsia" w:ascii="宋体" w:hAnsi="宋体" w:cs="宋体"/>
          <w:sz w:val="22"/>
          <w:szCs w:val="22"/>
          <w:highlight w:val="none"/>
        </w:rPr>
        <w:t>绿地/花台的保洁</w:t>
      </w:r>
    </w:p>
    <w:p w14:paraId="6F7A8011">
      <w:pPr>
        <w:numPr>
          <w:ilvl w:val="0"/>
          <w:numId w:val="11"/>
        </w:numPr>
        <w:tabs>
          <w:tab w:val="left" w:pos="1134"/>
        </w:tabs>
        <w:spacing w:line="360" w:lineRule="auto"/>
        <w:ind w:left="1666" w:hanging="957"/>
        <w:rPr>
          <w:rFonts w:hint="eastAsia" w:ascii="宋体" w:hAnsi="宋体" w:cs="宋体"/>
          <w:sz w:val="22"/>
          <w:szCs w:val="22"/>
          <w:highlight w:val="none"/>
        </w:rPr>
      </w:pPr>
      <w:r>
        <w:rPr>
          <w:rFonts w:hint="eastAsia" w:ascii="宋体" w:hAnsi="宋体" w:cs="宋体"/>
          <w:sz w:val="22"/>
          <w:szCs w:val="22"/>
          <w:highlight w:val="none"/>
        </w:rPr>
        <w:t>花坛内无烟蒂、纸屑杂物，及时清除落叶、杂草。</w:t>
      </w:r>
    </w:p>
    <w:p w14:paraId="28DB28F5">
      <w:pPr>
        <w:numPr>
          <w:ilvl w:val="0"/>
          <w:numId w:val="11"/>
        </w:numPr>
        <w:tabs>
          <w:tab w:val="left" w:pos="1134"/>
        </w:tabs>
        <w:spacing w:line="360" w:lineRule="auto"/>
        <w:ind w:left="1666" w:hanging="957"/>
        <w:rPr>
          <w:rFonts w:hint="eastAsia" w:ascii="宋体" w:hAnsi="宋体" w:cs="宋体"/>
          <w:sz w:val="22"/>
          <w:szCs w:val="22"/>
          <w:highlight w:val="none"/>
        </w:rPr>
      </w:pPr>
      <w:r>
        <w:rPr>
          <w:rFonts w:hint="eastAsia" w:ascii="宋体" w:hAnsi="宋体" w:cs="宋体"/>
          <w:sz w:val="22"/>
          <w:szCs w:val="22"/>
          <w:highlight w:val="none"/>
        </w:rPr>
        <w:t>隔离带周围无杂物、无积水。</w:t>
      </w:r>
    </w:p>
    <w:p w14:paraId="55AE8013">
      <w:pPr>
        <w:numPr>
          <w:ilvl w:val="0"/>
          <w:numId w:val="11"/>
        </w:numPr>
        <w:tabs>
          <w:tab w:val="left" w:pos="1134"/>
        </w:tabs>
        <w:spacing w:line="360" w:lineRule="auto"/>
        <w:ind w:left="1666" w:hanging="957"/>
        <w:rPr>
          <w:rFonts w:hint="eastAsia" w:ascii="宋体" w:hAnsi="宋体" w:cs="宋体"/>
          <w:sz w:val="22"/>
          <w:szCs w:val="22"/>
          <w:highlight w:val="none"/>
        </w:rPr>
      </w:pPr>
      <w:r>
        <w:rPr>
          <w:rFonts w:hint="eastAsia" w:ascii="宋体" w:hAnsi="宋体" w:cs="宋体"/>
          <w:sz w:val="22"/>
          <w:szCs w:val="22"/>
          <w:highlight w:val="none"/>
        </w:rPr>
        <w:t>花岗岩/水磨石表面无垃圾、无污迹、接缝四周边角无污垢。</w:t>
      </w:r>
    </w:p>
    <w:p w14:paraId="22EF95B0">
      <w:pPr>
        <w:numPr>
          <w:ilvl w:val="0"/>
          <w:numId w:val="9"/>
        </w:numPr>
        <w:tabs>
          <w:tab w:val="left" w:pos="720"/>
        </w:tabs>
        <w:spacing w:line="360" w:lineRule="auto"/>
        <w:ind w:left="0" w:firstLine="206" w:firstLineChars="94"/>
        <w:rPr>
          <w:rFonts w:hint="eastAsia" w:ascii="宋体" w:hAnsi="宋体" w:cs="宋体"/>
          <w:sz w:val="22"/>
          <w:szCs w:val="22"/>
          <w:highlight w:val="none"/>
        </w:rPr>
      </w:pPr>
      <w:r>
        <w:rPr>
          <w:rFonts w:hint="eastAsia" w:ascii="宋体" w:hAnsi="宋体" w:cs="宋体"/>
          <w:sz w:val="22"/>
          <w:szCs w:val="22"/>
          <w:highlight w:val="none"/>
        </w:rPr>
        <w:t>楼内公共区域</w:t>
      </w:r>
    </w:p>
    <w:p w14:paraId="1A37A95A">
      <w:pPr>
        <w:numPr>
          <w:ilvl w:val="0"/>
          <w:numId w:val="12"/>
        </w:numPr>
        <w:tabs>
          <w:tab w:val="left" w:pos="1134"/>
        </w:tabs>
        <w:adjustRightInd w:val="0"/>
        <w:spacing w:line="360" w:lineRule="auto"/>
        <w:ind w:left="630" w:firstLine="0"/>
        <w:rPr>
          <w:rFonts w:hint="eastAsia" w:ascii="宋体" w:hAnsi="宋体" w:cs="宋体"/>
          <w:sz w:val="22"/>
          <w:szCs w:val="22"/>
          <w:highlight w:val="none"/>
        </w:rPr>
      </w:pPr>
      <w:r>
        <w:rPr>
          <w:rFonts w:hint="eastAsia" w:ascii="宋体" w:hAnsi="宋体" w:cs="宋体"/>
          <w:sz w:val="22"/>
          <w:szCs w:val="22"/>
          <w:highlight w:val="none"/>
        </w:rPr>
        <w:t>地表面、接缝、角落、边线等处洁净，地面干净有光泽，无垃圾、杂物、灰尘、污迹、划痕等现象，保持地面材质原貌。</w:t>
      </w:r>
    </w:p>
    <w:p w14:paraId="48B593A2">
      <w:pPr>
        <w:numPr>
          <w:ilvl w:val="0"/>
          <w:numId w:val="12"/>
        </w:numPr>
        <w:tabs>
          <w:tab w:val="left" w:pos="1134"/>
        </w:tabs>
        <w:spacing w:line="360" w:lineRule="auto"/>
        <w:ind w:left="629" w:firstLine="0"/>
        <w:rPr>
          <w:rFonts w:hint="eastAsia" w:ascii="宋体" w:hAnsi="宋体" w:cs="宋体"/>
          <w:sz w:val="22"/>
          <w:szCs w:val="22"/>
          <w:highlight w:val="none"/>
        </w:rPr>
      </w:pPr>
      <w:r>
        <w:rPr>
          <w:rFonts w:hint="eastAsia" w:ascii="宋体" w:hAnsi="宋体" w:cs="宋体"/>
          <w:sz w:val="22"/>
          <w:szCs w:val="22"/>
          <w:highlight w:val="none"/>
        </w:rPr>
        <w:t>门框、窗框、窗台、金属件表面光亮、无灰尘、无污渍、无絮状物，大门门中轴、门框、门边缝部位光亮、无痕迹、无灰尘，门把手干净、无痕迹、定期消毒。</w:t>
      </w:r>
    </w:p>
    <w:p w14:paraId="04D91F42">
      <w:pPr>
        <w:numPr>
          <w:ilvl w:val="0"/>
          <w:numId w:val="12"/>
        </w:numPr>
        <w:tabs>
          <w:tab w:val="left" w:pos="1134"/>
        </w:tabs>
        <w:spacing w:line="360" w:lineRule="auto"/>
        <w:ind w:left="629" w:firstLine="0"/>
        <w:rPr>
          <w:rFonts w:hint="eastAsia" w:ascii="宋体" w:hAnsi="宋体" w:cs="宋体"/>
          <w:sz w:val="22"/>
          <w:szCs w:val="22"/>
          <w:highlight w:val="none"/>
        </w:rPr>
      </w:pPr>
      <w:r>
        <w:rPr>
          <w:rFonts w:hint="eastAsia" w:ascii="宋体" w:hAnsi="宋体" w:cs="宋体"/>
          <w:sz w:val="22"/>
          <w:szCs w:val="22"/>
          <w:highlight w:val="none"/>
        </w:rPr>
        <w:t>公用部位每天清扫一次，公用走道窗、门玻璃每月擦洗一次，做到通道窗明，电梯轿厢整洁。</w:t>
      </w:r>
    </w:p>
    <w:p w14:paraId="617ABE6E">
      <w:pPr>
        <w:numPr>
          <w:ilvl w:val="0"/>
          <w:numId w:val="12"/>
        </w:numPr>
        <w:tabs>
          <w:tab w:val="left" w:pos="1134"/>
        </w:tabs>
        <w:spacing w:line="360" w:lineRule="auto"/>
        <w:ind w:left="629" w:firstLine="0"/>
        <w:rPr>
          <w:rFonts w:hint="eastAsia" w:ascii="宋体" w:hAnsi="宋体" w:cs="宋体"/>
          <w:sz w:val="22"/>
          <w:szCs w:val="22"/>
          <w:highlight w:val="none"/>
        </w:rPr>
      </w:pPr>
      <w:r>
        <w:rPr>
          <w:rFonts w:hint="eastAsia" w:ascii="宋体" w:hAnsi="宋体" w:cs="宋体"/>
          <w:sz w:val="22"/>
          <w:szCs w:val="22"/>
          <w:highlight w:val="none"/>
        </w:rPr>
        <w:t>瓷砖光洁、明亮、无污迹、无水迹，大理石表面光亮、洁净、接缝四周边角无污垢。</w:t>
      </w:r>
    </w:p>
    <w:p w14:paraId="0FD9B80F">
      <w:pPr>
        <w:numPr>
          <w:ilvl w:val="0"/>
          <w:numId w:val="12"/>
        </w:numPr>
        <w:tabs>
          <w:tab w:val="left" w:pos="1134"/>
        </w:tabs>
        <w:spacing w:line="360" w:lineRule="auto"/>
        <w:ind w:left="629" w:firstLine="0"/>
        <w:rPr>
          <w:rFonts w:hint="eastAsia" w:ascii="宋体" w:hAnsi="宋体" w:cs="宋体"/>
          <w:sz w:val="22"/>
          <w:szCs w:val="22"/>
          <w:highlight w:val="none"/>
        </w:rPr>
      </w:pPr>
      <w:r>
        <w:rPr>
          <w:rFonts w:hint="eastAsia" w:ascii="宋体" w:hAnsi="宋体" w:cs="宋体"/>
          <w:sz w:val="22"/>
          <w:szCs w:val="22"/>
          <w:highlight w:val="none"/>
        </w:rPr>
        <w:t>消防栓、箱表面干净，无灰尘、无污渍，报警器、火警通讯电话插座、灭火器表面光亮、无灰尘、无污迹。</w:t>
      </w:r>
    </w:p>
    <w:p w14:paraId="5E8D86C5">
      <w:pPr>
        <w:numPr>
          <w:ilvl w:val="0"/>
          <w:numId w:val="12"/>
        </w:numPr>
        <w:tabs>
          <w:tab w:val="left" w:pos="1134"/>
        </w:tabs>
        <w:spacing w:line="360" w:lineRule="auto"/>
        <w:ind w:left="629" w:firstLine="0"/>
        <w:rPr>
          <w:rFonts w:hint="eastAsia" w:ascii="宋体" w:hAnsi="宋体" w:cs="宋体"/>
          <w:sz w:val="22"/>
          <w:szCs w:val="22"/>
          <w:highlight w:val="none"/>
        </w:rPr>
      </w:pPr>
      <w:r>
        <w:rPr>
          <w:rFonts w:hint="eastAsia" w:ascii="宋体" w:hAnsi="宋体" w:cs="宋体"/>
          <w:sz w:val="22"/>
          <w:szCs w:val="22"/>
          <w:highlight w:val="none"/>
        </w:rPr>
        <w:t>天花板/风口/公共灯具内或外，目视无灰尘、无污迹、无蜘蛛网，表面、接缝、角落、边线等处无污渍、无灰尘、无斑点。</w:t>
      </w:r>
    </w:p>
    <w:p w14:paraId="0CA38B25">
      <w:pPr>
        <w:numPr>
          <w:ilvl w:val="0"/>
          <w:numId w:val="12"/>
        </w:numPr>
        <w:tabs>
          <w:tab w:val="left" w:pos="1134"/>
        </w:tabs>
        <w:spacing w:line="360" w:lineRule="auto"/>
        <w:ind w:left="629" w:firstLine="0"/>
        <w:rPr>
          <w:rFonts w:hint="eastAsia" w:ascii="宋体" w:hAnsi="宋体" w:cs="宋体"/>
          <w:sz w:val="22"/>
          <w:szCs w:val="22"/>
          <w:highlight w:val="none"/>
        </w:rPr>
      </w:pPr>
      <w:r>
        <w:rPr>
          <w:rFonts w:hint="eastAsia" w:ascii="宋体" w:hAnsi="宋体" w:cs="宋体"/>
          <w:sz w:val="22"/>
          <w:szCs w:val="22"/>
          <w:highlight w:val="none"/>
        </w:rPr>
        <w:t>如遇雨、雪天气，应在大堂、门厅进出口铺设防湿防滑地垫，并及时擦拭，确保地面无积水。</w:t>
      </w:r>
    </w:p>
    <w:p w14:paraId="54C67EEC">
      <w:pPr>
        <w:numPr>
          <w:ilvl w:val="0"/>
          <w:numId w:val="9"/>
        </w:numPr>
        <w:tabs>
          <w:tab w:val="left" w:pos="720"/>
        </w:tabs>
        <w:spacing w:line="360" w:lineRule="auto"/>
        <w:ind w:left="0" w:firstLine="206" w:firstLineChars="94"/>
        <w:rPr>
          <w:rFonts w:hint="eastAsia" w:ascii="宋体" w:hAnsi="宋体" w:cs="宋体"/>
          <w:sz w:val="22"/>
          <w:szCs w:val="22"/>
          <w:highlight w:val="none"/>
        </w:rPr>
      </w:pPr>
      <w:r>
        <w:rPr>
          <w:rFonts w:hint="eastAsia" w:ascii="宋体" w:hAnsi="宋体" w:cs="宋体"/>
          <w:sz w:val="22"/>
          <w:szCs w:val="22"/>
          <w:highlight w:val="none"/>
        </w:rPr>
        <w:t>垃圾箱的清洁</w:t>
      </w:r>
    </w:p>
    <w:p w14:paraId="45E9268A">
      <w:pPr>
        <w:numPr>
          <w:ilvl w:val="0"/>
          <w:numId w:val="13"/>
        </w:numPr>
        <w:tabs>
          <w:tab w:val="left" w:pos="1134"/>
        </w:tabs>
        <w:spacing w:line="360" w:lineRule="auto"/>
        <w:ind w:left="630" w:firstLine="0"/>
        <w:rPr>
          <w:rFonts w:hint="eastAsia" w:ascii="宋体" w:hAnsi="宋体" w:cs="宋体"/>
          <w:sz w:val="22"/>
          <w:szCs w:val="22"/>
          <w:highlight w:val="none"/>
        </w:rPr>
      </w:pPr>
      <w:r>
        <w:rPr>
          <w:rFonts w:hint="eastAsia" w:ascii="宋体" w:hAnsi="宋体" w:cs="宋体"/>
          <w:sz w:val="22"/>
          <w:szCs w:val="22"/>
          <w:highlight w:val="none"/>
        </w:rPr>
        <w:t>楼内废弃物收集箱外侧表面光洁、无灰尘；内侧干净、无残留物、无异味、定时消毒。</w:t>
      </w:r>
    </w:p>
    <w:p w14:paraId="79346E63">
      <w:pPr>
        <w:numPr>
          <w:ilvl w:val="0"/>
          <w:numId w:val="13"/>
        </w:numPr>
        <w:tabs>
          <w:tab w:val="left" w:pos="1134"/>
        </w:tabs>
        <w:spacing w:line="360" w:lineRule="auto"/>
        <w:ind w:left="630" w:firstLine="0"/>
        <w:rPr>
          <w:rFonts w:hint="eastAsia" w:ascii="宋体" w:hAnsi="宋体" w:cs="宋体"/>
          <w:sz w:val="22"/>
          <w:szCs w:val="22"/>
          <w:highlight w:val="none"/>
        </w:rPr>
      </w:pPr>
      <w:r>
        <w:rPr>
          <w:rFonts w:hint="eastAsia" w:ascii="宋体" w:hAnsi="宋体" w:cs="宋体"/>
          <w:sz w:val="22"/>
          <w:szCs w:val="22"/>
          <w:highlight w:val="none"/>
        </w:rPr>
        <w:t>露天废弃物收集箱放置整齐、干净、无垃圾散落现象，周围干净、无污迹、无异昧；内侧干净、无残留物、无异味。</w:t>
      </w:r>
    </w:p>
    <w:p w14:paraId="13F885ED">
      <w:pPr>
        <w:numPr>
          <w:ilvl w:val="0"/>
          <w:numId w:val="13"/>
        </w:numPr>
        <w:tabs>
          <w:tab w:val="left" w:pos="1134"/>
        </w:tabs>
        <w:spacing w:line="360" w:lineRule="auto"/>
        <w:ind w:left="630" w:firstLine="0"/>
        <w:rPr>
          <w:rFonts w:hint="eastAsia" w:ascii="宋体" w:hAnsi="宋体" w:cs="宋体"/>
          <w:sz w:val="22"/>
          <w:szCs w:val="22"/>
          <w:highlight w:val="none"/>
        </w:rPr>
      </w:pPr>
      <w:r>
        <w:rPr>
          <w:rFonts w:hint="eastAsia" w:ascii="宋体" w:hAnsi="宋体" w:cs="宋体"/>
          <w:sz w:val="22"/>
          <w:szCs w:val="22"/>
          <w:highlight w:val="none"/>
        </w:rPr>
        <w:t>每天不少于2次收集，垃圾日产日清，集中清运，定期进行卫生消毒。</w:t>
      </w:r>
    </w:p>
    <w:p w14:paraId="3C27C3D8">
      <w:pPr>
        <w:numPr>
          <w:ilvl w:val="0"/>
          <w:numId w:val="9"/>
        </w:numPr>
        <w:tabs>
          <w:tab w:val="left" w:pos="720"/>
        </w:tabs>
        <w:spacing w:line="360" w:lineRule="auto"/>
        <w:ind w:left="0" w:firstLine="206" w:firstLineChars="94"/>
        <w:rPr>
          <w:rFonts w:hint="eastAsia" w:ascii="宋体" w:hAnsi="宋体" w:cs="宋体"/>
          <w:sz w:val="22"/>
          <w:szCs w:val="22"/>
          <w:highlight w:val="none"/>
        </w:rPr>
      </w:pPr>
      <w:r>
        <w:rPr>
          <w:rFonts w:hint="eastAsia" w:ascii="宋体" w:hAnsi="宋体" w:cs="宋体"/>
          <w:sz w:val="22"/>
          <w:szCs w:val="22"/>
          <w:highlight w:val="none"/>
        </w:rPr>
        <w:t>公共卫生间的保洁及粪池清理</w:t>
      </w:r>
    </w:p>
    <w:p w14:paraId="46F1E2D7">
      <w:pPr>
        <w:numPr>
          <w:ilvl w:val="0"/>
          <w:numId w:val="14"/>
        </w:numPr>
        <w:tabs>
          <w:tab w:val="left" w:pos="1134"/>
        </w:tabs>
        <w:spacing w:line="360" w:lineRule="auto"/>
        <w:ind w:left="630" w:firstLine="0"/>
        <w:rPr>
          <w:rFonts w:hint="eastAsia" w:ascii="宋体" w:hAnsi="宋体" w:cs="宋体"/>
          <w:sz w:val="22"/>
          <w:szCs w:val="22"/>
          <w:highlight w:val="none"/>
        </w:rPr>
      </w:pPr>
      <w:r>
        <w:rPr>
          <w:rFonts w:hint="eastAsia" w:ascii="宋体" w:hAnsi="宋体" w:cs="宋体"/>
          <w:sz w:val="22"/>
          <w:szCs w:val="22"/>
          <w:highlight w:val="none"/>
        </w:rPr>
        <w:t>坐厕内、小便池内刷洗干净、喷洒消毒，保持无异味、无污迹、无水渍、无垃圾、无积水，镜面保持光亮，无水迹，面盆无水锈。</w:t>
      </w:r>
    </w:p>
    <w:p w14:paraId="71C9254D">
      <w:pPr>
        <w:numPr>
          <w:ilvl w:val="0"/>
          <w:numId w:val="14"/>
        </w:numPr>
        <w:tabs>
          <w:tab w:val="left" w:pos="1134"/>
        </w:tabs>
        <w:spacing w:line="360" w:lineRule="auto"/>
        <w:ind w:left="630" w:firstLine="0"/>
        <w:rPr>
          <w:rFonts w:hint="eastAsia" w:ascii="宋体" w:hAnsi="宋体" w:cs="宋体"/>
          <w:sz w:val="22"/>
          <w:szCs w:val="22"/>
          <w:highlight w:val="none"/>
        </w:rPr>
      </w:pPr>
      <w:r>
        <w:rPr>
          <w:rFonts w:hint="eastAsia" w:ascii="宋体" w:hAnsi="宋体" w:cs="宋体"/>
          <w:sz w:val="22"/>
          <w:szCs w:val="22"/>
          <w:highlight w:val="none"/>
        </w:rPr>
        <w:t>台面无水迹、无皂迹、无毛发，光洁明亮。洁具应表面光洁、明亮、内外侧无污渍、无毛发、无异味、定时消毒。</w:t>
      </w:r>
    </w:p>
    <w:p w14:paraId="67C44520">
      <w:pPr>
        <w:numPr>
          <w:ilvl w:val="0"/>
          <w:numId w:val="14"/>
        </w:numPr>
        <w:tabs>
          <w:tab w:val="left" w:pos="1134"/>
        </w:tabs>
        <w:spacing w:line="360" w:lineRule="auto"/>
        <w:ind w:left="630" w:firstLine="0"/>
        <w:rPr>
          <w:rFonts w:hint="eastAsia" w:ascii="宋体" w:hAnsi="宋体" w:cs="宋体"/>
          <w:sz w:val="22"/>
          <w:szCs w:val="22"/>
          <w:highlight w:val="none"/>
        </w:rPr>
      </w:pPr>
      <w:r>
        <w:rPr>
          <w:rFonts w:hint="eastAsia" w:ascii="宋体" w:hAnsi="宋体" w:cs="宋体"/>
          <w:sz w:val="22"/>
          <w:szCs w:val="22"/>
          <w:highlight w:val="none"/>
        </w:rPr>
        <w:t>镜子明净、无水渍、无擦痕、镜框边缘无灰尘。</w:t>
      </w:r>
    </w:p>
    <w:p w14:paraId="0539E152">
      <w:pPr>
        <w:numPr>
          <w:ilvl w:val="0"/>
          <w:numId w:val="14"/>
        </w:numPr>
        <w:tabs>
          <w:tab w:val="left" w:pos="1134"/>
        </w:tabs>
        <w:spacing w:line="360" w:lineRule="auto"/>
        <w:ind w:left="630" w:firstLine="0"/>
        <w:rPr>
          <w:rFonts w:hint="eastAsia" w:ascii="宋体" w:hAnsi="宋体" w:cs="宋体"/>
          <w:sz w:val="22"/>
          <w:szCs w:val="22"/>
          <w:highlight w:val="none"/>
        </w:rPr>
      </w:pPr>
      <w:r>
        <w:rPr>
          <w:rFonts w:hint="eastAsia" w:ascii="宋体" w:hAnsi="宋体" w:cs="宋体"/>
          <w:sz w:val="22"/>
          <w:szCs w:val="22"/>
          <w:highlight w:val="none"/>
        </w:rPr>
        <w:t>废物箱表面无污迹、无灰尘、无异味，定时消毒。</w:t>
      </w:r>
    </w:p>
    <w:p w14:paraId="3E5B949A">
      <w:pPr>
        <w:numPr>
          <w:ilvl w:val="0"/>
          <w:numId w:val="14"/>
        </w:numPr>
        <w:tabs>
          <w:tab w:val="left" w:pos="1134"/>
        </w:tabs>
        <w:spacing w:line="360" w:lineRule="auto"/>
        <w:ind w:left="630" w:firstLine="0"/>
        <w:rPr>
          <w:rFonts w:hint="eastAsia" w:ascii="宋体" w:hAnsi="宋体" w:cs="宋体"/>
          <w:sz w:val="22"/>
          <w:szCs w:val="22"/>
          <w:highlight w:val="none"/>
        </w:rPr>
      </w:pPr>
      <w:r>
        <w:rPr>
          <w:rFonts w:hint="eastAsia" w:ascii="宋体" w:hAnsi="宋体" w:cs="宋体"/>
          <w:sz w:val="22"/>
          <w:szCs w:val="22"/>
          <w:highlight w:val="none"/>
        </w:rPr>
        <w:t>外露水管连接处无碱性污垢,管道表面光亮、无灰尘。</w:t>
      </w:r>
    </w:p>
    <w:p w14:paraId="4B959823">
      <w:pPr>
        <w:numPr>
          <w:ilvl w:val="0"/>
          <w:numId w:val="14"/>
        </w:numPr>
        <w:tabs>
          <w:tab w:val="left" w:pos="1134"/>
        </w:tabs>
        <w:spacing w:line="360" w:lineRule="auto"/>
        <w:ind w:left="630" w:firstLine="0"/>
        <w:rPr>
          <w:rFonts w:hint="eastAsia" w:ascii="宋体" w:hAnsi="宋体" w:cs="宋体"/>
          <w:sz w:val="22"/>
          <w:szCs w:val="22"/>
          <w:highlight w:val="none"/>
        </w:rPr>
      </w:pPr>
      <w:r>
        <w:rPr>
          <w:rFonts w:hint="eastAsia" w:ascii="宋体" w:hAnsi="宋体" w:cs="宋体"/>
          <w:sz w:val="22"/>
          <w:szCs w:val="22"/>
          <w:highlight w:val="none"/>
        </w:rPr>
        <w:t>卫生间内保持空气清新、无异味，定期进行全面消毒工作。</w:t>
      </w:r>
    </w:p>
    <w:p w14:paraId="32AB012E">
      <w:pPr>
        <w:numPr>
          <w:ilvl w:val="0"/>
          <w:numId w:val="14"/>
        </w:numPr>
        <w:tabs>
          <w:tab w:val="left" w:pos="1134"/>
        </w:tabs>
        <w:spacing w:line="360" w:lineRule="auto"/>
        <w:ind w:left="630" w:firstLine="0"/>
        <w:rPr>
          <w:rFonts w:hint="eastAsia" w:ascii="宋体" w:hAnsi="宋体" w:cs="宋体"/>
          <w:sz w:val="22"/>
          <w:szCs w:val="22"/>
          <w:highlight w:val="none"/>
        </w:rPr>
      </w:pPr>
      <w:r>
        <w:rPr>
          <w:rFonts w:hint="eastAsia" w:ascii="宋体" w:hAnsi="宋体" w:cs="宋体"/>
          <w:sz w:val="22"/>
          <w:szCs w:val="22"/>
          <w:highlight w:val="none"/>
        </w:rPr>
        <w:t>污物筒及时清理，污物存量不超过2/3。</w:t>
      </w:r>
    </w:p>
    <w:p w14:paraId="1B071A90">
      <w:pPr>
        <w:numPr>
          <w:ilvl w:val="0"/>
          <w:numId w:val="14"/>
        </w:numPr>
        <w:tabs>
          <w:tab w:val="left" w:pos="1134"/>
        </w:tabs>
        <w:spacing w:line="360" w:lineRule="auto"/>
        <w:ind w:left="630" w:firstLine="0"/>
        <w:rPr>
          <w:rFonts w:hint="eastAsia" w:ascii="宋体" w:hAnsi="宋体" w:cs="宋体"/>
          <w:sz w:val="22"/>
          <w:szCs w:val="22"/>
          <w:highlight w:val="none"/>
        </w:rPr>
      </w:pPr>
      <w:r>
        <w:rPr>
          <w:rFonts w:hint="eastAsia" w:ascii="宋体" w:hAnsi="宋体" w:cs="宋体"/>
          <w:sz w:val="22"/>
          <w:szCs w:val="22"/>
          <w:highlight w:val="none"/>
        </w:rPr>
        <w:t>每年抽粪清洗不得少于2次。</w:t>
      </w:r>
    </w:p>
    <w:p w14:paraId="64CD0715">
      <w:pPr>
        <w:numPr>
          <w:ilvl w:val="0"/>
          <w:numId w:val="9"/>
        </w:numPr>
        <w:tabs>
          <w:tab w:val="left" w:pos="720"/>
        </w:tabs>
        <w:spacing w:line="360" w:lineRule="auto"/>
        <w:ind w:left="0" w:firstLine="206" w:firstLineChars="94"/>
        <w:rPr>
          <w:rFonts w:hint="eastAsia" w:ascii="宋体" w:hAnsi="宋体" w:cs="宋体"/>
          <w:sz w:val="22"/>
          <w:szCs w:val="22"/>
          <w:highlight w:val="none"/>
        </w:rPr>
      </w:pPr>
      <w:r>
        <w:rPr>
          <w:rFonts w:hint="eastAsia" w:ascii="宋体" w:hAnsi="宋体" w:cs="宋体"/>
          <w:sz w:val="22"/>
          <w:szCs w:val="22"/>
          <w:highlight w:val="none"/>
        </w:rPr>
        <w:t>消杀灭害</w:t>
      </w:r>
    </w:p>
    <w:p w14:paraId="4AB3E9C5">
      <w:pPr>
        <w:numPr>
          <w:ilvl w:val="0"/>
          <w:numId w:val="15"/>
        </w:numPr>
        <w:tabs>
          <w:tab w:val="left" w:pos="1134"/>
        </w:tabs>
        <w:spacing w:line="360" w:lineRule="auto"/>
        <w:ind w:left="630" w:firstLine="0"/>
        <w:rPr>
          <w:rFonts w:hint="eastAsia" w:ascii="宋体" w:hAnsi="宋体" w:cs="宋体"/>
          <w:sz w:val="22"/>
          <w:szCs w:val="22"/>
          <w:highlight w:val="none"/>
        </w:rPr>
      </w:pPr>
      <w:r>
        <w:rPr>
          <w:rFonts w:hint="eastAsia" w:ascii="宋体" w:hAnsi="宋体" w:cs="宋体"/>
          <w:sz w:val="22"/>
          <w:szCs w:val="22"/>
          <w:highlight w:val="none"/>
        </w:rPr>
        <w:t>对通风口、明沟、垃圾房喷洒药水，重点控制虫害的孳生地，分段摆放灭鼠、灭虫药及灭鼠设施等，确保四害灭杀率达到95%。</w:t>
      </w:r>
    </w:p>
    <w:p w14:paraId="4DE56FD1">
      <w:pPr>
        <w:numPr>
          <w:ilvl w:val="0"/>
          <w:numId w:val="9"/>
        </w:numPr>
        <w:tabs>
          <w:tab w:val="left" w:pos="720"/>
        </w:tabs>
        <w:spacing w:line="360" w:lineRule="auto"/>
        <w:ind w:left="0" w:firstLine="206" w:firstLineChars="94"/>
        <w:rPr>
          <w:rFonts w:hint="eastAsia" w:ascii="宋体" w:hAnsi="宋体" w:cs="宋体"/>
          <w:sz w:val="22"/>
          <w:szCs w:val="22"/>
          <w:highlight w:val="none"/>
        </w:rPr>
      </w:pPr>
      <w:r>
        <w:rPr>
          <w:rFonts w:hint="eastAsia" w:ascii="宋体" w:hAnsi="宋体" w:cs="宋体"/>
          <w:sz w:val="22"/>
          <w:szCs w:val="22"/>
          <w:highlight w:val="none"/>
        </w:rPr>
        <w:t>其他服务</w:t>
      </w:r>
    </w:p>
    <w:p w14:paraId="72FCBC96">
      <w:pPr>
        <w:numPr>
          <w:ilvl w:val="0"/>
          <w:numId w:val="16"/>
        </w:numPr>
        <w:tabs>
          <w:tab w:val="left" w:pos="1134"/>
        </w:tabs>
        <w:spacing w:line="360" w:lineRule="auto"/>
        <w:ind w:left="1701" w:hanging="992"/>
        <w:rPr>
          <w:rFonts w:hint="eastAsia" w:ascii="宋体" w:hAnsi="宋体" w:cs="宋体"/>
          <w:sz w:val="22"/>
          <w:szCs w:val="22"/>
          <w:highlight w:val="none"/>
        </w:rPr>
      </w:pPr>
      <w:r>
        <w:rPr>
          <w:rFonts w:hint="eastAsia" w:ascii="宋体" w:hAnsi="宋体" w:cs="宋体"/>
          <w:sz w:val="22"/>
          <w:szCs w:val="22"/>
          <w:highlight w:val="none"/>
        </w:rPr>
        <w:t>如遇下雨天，及时提供伞套，并设置“小心路滑”等警示标志。</w:t>
      </w:r>
    </w:p>
    <w:p w14:paraId="70562407">
      <w:pPr>
        <w:numPr>
          <w:ilvl w:val="0"/>
          <w:numId w:val="6"/>
        </w:numPr>
        <w:tabs>
          <w:tab w:val="left" w:pos="993"/>
          <w:tab w:val="clear" w:pos="720"/>
        </w:tabs>
        <w:spacing w:before="286" w:beforeLines="100" w:after="143" w:afterLines="50" w:line="360" w:lineRule="auto"/>
        <w:outlineLvl w:val="3"/>
        <w:rPr>
          <w:rFonts w:hint="eastAsia" w:ascii="宋体" w:hAnsi="宋体" w:cs="宋体"/>
          <w:b/>
          <w:sz w:val="22"/>
          <w:szCs w:val="22"/>
          <w:highlight w:val="none"/>
        </w:rPr>
      </w:pPr>
      <w:r>
        <w:rPr>
          <w:rFonts w:hint="eastAsia" w:ascii="宋体" w:hAnsi="宋体" w:cs="宋体"/>
          <w:b/>
          <w:sz w:val="22"/>
          <w:szCs w:val="22"/>
          <w:highlight w:val="none"/>
        </w:rPr>
        <w:t>公共区域绿化摆放与养护服务</w:t>
      </w:r>
    </w:p>
    <w:p w14:paraId="1E7EE38F">
      <w:pPr>
        <w:spacing w:line="360" w:lineRule="auto"/>
        <w:ind w:firstLine="220" w:firstLineChars="100"/>
        <w:rPr>
          <w:rFonts w:hint="eastAsia" w:ascii="宋体" w:hAnsi="宋体" w:cs="宋体"/>
          <w:spacing w:val="-4"/>
          <w:sz w:val="22"/>
          <w:szCs w:val="22"/>
          <w:highlight w:val="none"/>
        </w:rPr>
      </w:pPr>
      <w:r>
        <w:rPr>
          <w:rFonts w:hint="eastAsia" w:ascii="宋体" w:hAnsi="宋体" w:cs="宋体"/>
          <w:kern w:val="0"/>
          <w:sz w:val="22"/>
          <w:szCs w:val="22"/>
          <w:highlight w:val="none"/>
        </w:rPr>
        <w:t>（1）</w:t>
      </w:r>
      <w:r>
        <w:rPr>
          <w:rFonts w:hint="eastAsia" w:ascii="宋体" w:hAnsi="宋体" w:cs="宋体"/>
          <w:spacing w:val="-4"/>
          <w:sz w:val="22"/>
          <w:szCs w:val="22"/>
          <w:highlight w:val="none"/>
        </w:rPr>
        <w:t>室外绿化养护：根据业主要求及《园林植物养护技术规程》、《园林植物栽植技术规程》、《园林植物保护技术规程》等规范进行养护，绿地或花坛内各类乔、灌、草等绿化存活率大于98%，植物群落完整、层次丰富，黄土不裸露，有整体观赏效果。植物季相分明，色彩艳丽，生长茂盛。</w:t>
      </w:r>
    </w:p>
    <w:p w14:paraId="450611A1">
      <w:pPr>
        <w:spacing w:line="360" w:lineRule="auto"/>
        <w:ind w:firstLine="212" w:firstLineChars="100"/>
        <w:rPr>
          <w:rFonts w:hint="eastAsia" w:ascii="宋体" w:hAnsi="宋体" w:cs="宋体"/>
          <w:sz w:val="22"/>
          <w:szCs w:val="22"/>
          <w:highlight w:val="none"/>
        </w:rPr>
      </w:pPr>
      <w:r>
        <w:rPr>
          <w:rFonts w:hint="eastAsia" w:ascii="宋体" w:hAnsi="宋体" w:cs="宋体"/>
          <w:spacing w:val="-4"/>
          <w:sz w:val="22"/>
          <w:szCs w:val="22"/>
          <w:highlight w:val="none"/>
        </w:rPr>
        <w:t>（2）室内绿化布置：电梯厅、大堂、会议室（1间）摆放绿化，本着合理、美观、节约的原则进行布置（如有重大活动或业主要求，将制定专项绿化布置方案），布局合理、均匀、疏密有度。</w:t>
      </w:r>
    </w:p>
    <w:p w14:paraId="433561C6">
      <w:pPr>
        <w:numPr>
          <w:ilvl w:val="0"/>
          <w:numId w:val="6"/>
        </w:numPr>
        <w:tabs>
          <w:tab w:val="left" w:pos="993"/>
          <w:tab w:val="clear" w:pos="720"/>
        </w:tabs>
        <w:spacing w:before="286" w:beforeLines="100" w:after="143" w:afterLines="50" w:line="360" w:lineRule="auto"/>
        <w:outlineLvl w:val="3"/>
        <w:rPr>
          <w:rFonts w:hint="eastAsia" w:ascii="宋体" w:hAnsi="宋体" w:cs="宋体"/>
          <w:b/>
          <w:sz w:val="22"/>
          <w:szCs w:val="22"/>
          <w:highlight w:val="none"/>
        </w:rPr>
      </w:pPr>
      <w:r>
        <w:rPr>
          <w:rFonts w:hint="eastAsia" w:ascii="宋体" w:hAnsi="宋体" w:cs="宋体"/>
          <w:b/>
          <w:sz w:val="22"/>
          <w:szCs w:val="22"/>
          <w:highlight w:val="none"/>
        </w:rPr>
        <w:t>安保管理服务</w:t>
      </w:r>
    </w:p>
    <w:p w14:paraId="0A31E7A5">
      <w:pPr>
        <w:spacing w:line="360" w:lineRule="auto"/>
        <w:ind w:firstLine="220" w:firstLineChars="100"/>
        <w:rPr>
          <w:rFonts w:hint="eastAsia" w:ascii="宋体" w:hAnsi="宋体" w:cs="宋体"/>
          <w:sz w:val="22"/>
          <w:szCs w:val="22"/>
          <w:highlight w:val="none"/>
        </w:rPr>
      </w:pPr>
      <w:r>
        <w:rPr>
          <w:rFonts w:hint="eastAsia" w:ascii="宋体" w:hAnsi="宋体" w:cs="宋体"/>
          <w:sz w:val="22"/>
          <w:szCs w:val="22"/>
          <w:highlight w:val="none"/>
        </w:rPr>
        <w:t>（1）安保人员佩戴统一标志，穿戴统一制服，门岗入口24小时值班看守，做好交接班记录和外来车辆的登记记录、外来人员的登记记录，坚持每天巡逻并有巡逻记录，做好车辆管理、车辆停放有序，保持管理区域内道路畅通。</w:t>
      </w:r>
    </w:p>
    <w:p w14:paraId="24E7FBF4">
      <w:pPr>
        <w:spacing w:line="360" w:lineRule="auto"/>
        <w:ind w:left="388"/>
        <w:rPr>
          <w:rFonts w:hint="eastAsia" w:ascii="宋体" w:hAnsi="宋体" w:cs="宋体"/>
          <w:sz w:val="22"/>
          <w:szCs w:val="22"/>
          <w:highlight w:val="none"/>
        </w:rPr>
      </w:pPr>
      <w:r>
        <w:rPr>
          <w:rFonts w:hint="eastAsia" w:ascii="宋体" w:hAnsi="宋体" w:cs="宋体"/>
          <w:sz w:val="22"/>
          <w:szCs w:val="22"/>
          <w:highlight w:val="none"/>
        </w:rPr>
        <w:t>（2）积极配合公安部门工作，完善监控管理制度。</w:t>
      </w:r>
    </w:p>
    <w:p w14:paraId="383FB854">
      <w:pPr>
        <w:spacing w:line="360" w:lineRule="auto"/>
        <w:ind w:firstLine="330" w:firstLineChars="150"/>
        <w:rPr>
          <w:rFonts w:hint="eastAsia" w:ascii="宋体" w:hAnsi="宋体" w:cs="宋体"/>
          <w:sz w:val="22"/>
          <w:szCs w:val="22"/>
          <w:highlight w:val="none"/>
        </w:rPr>
      </w:pPr>
      <w:r>
        <w:rPr>
          <w:rFonts w:hint="eastAsia" w:ascii="宋体" w:hAnsi="宋体" w:cs="宋体"/>
          <w:sz w:val="22"/>
          <w:szCs w:val="22"/>
          <w:highlight w:val="none"/>
        </w:rPr>
        <w:t>（3）贯彻执行公安部门关于保安保卫工作方针、政策和有关条例。</w:t>
      </w:r>
    </w:p>
    <w:p w14:paraId="44A50243">
      <w:pPr>
        <w:spacing w:line="360" w:lineRule="auto"/>
        <w:ind w:firstLine="330" w:firstLineChars="150"/>
        <w:rPr>
          <w:rFonts w:hint="eastAsia" w:ascii="宋体" w:hAnsi="宋体" w:cs="宋体"/>
          <w:sz w:val="22"/>
          <w:szCs w:val="22"/>
          <w:highlight w:val="none"/>
        </w:rPr>
      </w:pPr>
      <w:r>
        <w:rPr>
          <w:rFonts w:hint="eastAsia" w:ascii="宋体" w:hAnsi="宋体" w:cs="宋体"/>
          <w:sz w:val="22"/>
          <w:szCs w:val="22"/>
          <w:highlight w:val="none"/>
        </w:rPr>
        <w:t>（4）坚决制止物业管理区域内的不文明及违法行为。</w:t>
      </w:r>
    </w:p>
    <w:p w14:paraId="15DD98AF">
      <w:pPr>
        <w:spacing w:line="360" w:lineRule="auto"/>
        <w:ind w:firstLine="330" w:firstLineChars="150"/>
        <w:rPr>
          <w:rFonts w:hint="eastAsia" w:ascii="宋体" w:hAnsi="宋体" w:cs="宋体"/>
          <w:sz w:val="22"/>
          <w:szCs w:val="22"/>
          <w:highlight w:val="none"/>
        </w:rPr>
      </w:pPr>
      <w:r>
        <w:rPr>
          <w:rFonts w:hint="eastAsia" w:ascii="宋体" w:hAnsi="宋体" w:cs="宋体"/>
          <w:sz w:val="22"/>
          <w:szCs w:val="22"/>
          <w:highlight w:val="none"/>
        </w:rPr>
        <w:t>（5）定期对电气设备、开关、线路和照明灯具等进行检查。积极开展防盗、防火宣传。</w:t>
      </w:r>
    </w:p>
    <w:p w14:paraId="40CE16C5">
      <w:pPr>
        <w:spacing w:line="360" w:lineRule="auto"/>
        <w:ind w:firstLine="330" w:firstLineChars="150"/>
        <w:rPr>
          <w:rFonts w:hint="eastAsia" w:ascii="宋体" w:hAnsi="宋体" w:cs="宋体"/>
          <w:sz w:val="22"/>
          <w:szCs w:val="22"/>
          <w:highlight w:val="none"/>
        </w:rPr>
      </w:pPr>
      <w:r>
        <w:rPr>
          <w:rFonts w:hint="eastAsia" w:ascii="宋体" w:hAnsi="宋体" w:cs="宋体"/>
          <w:sz w:val="22"/>
          <w:szCs w:val="22"/>
          <w:highlight w:val="none"/>
        </w:rPr>
        <w:t>（6）保安巡逻范围包括区域的公共道路、绿地带、设备房和人才公寓的各楼层。</w:t>
      </w:r>
    </w:p>
    <w:p w14:paraId="403E9918">
      <w:pPr>
        <w:spacing w:line="360" w:lineRule="auto"/>
        <w:ind w:firstLine="330" w:firstLineChars="150"/>
        <w:rPr>
          <w:rFonts w:hint="eastAsia" w:ascii="宋体" w:hAnsi="宋体" w:cs="宋体"/>
          <w:sz w:val="22"/>
          <w:szCs w:val="22"/>
          <w:highlight w:val="none"/>
        </w:rPr>
      </w:pPr>
      <w:r>
        <w:rPr>
          <w:rFonts w:hint="eastAsia" w:ascii="宋体" w:hAnsi="宋体" w:cs="宋体"/>
          <w:sz w:val="22"/>
          <w:szCs w:val="22"/>
          <w:highlight w:val="none"/>
        </w:rPr>
        <w:t>（7）处理各种突发事件。</w:t>
      </w:r>
    </w:p>
    <w:p w14:paraId="6F8C6B6C">
      <w:pPr>
        <w:spacing w:line="360" w:lineRule="auto"/>
        <w:ind w:firstLine="330" w:firstLineChars="150"/>
        <w:rPr>
          <w:rFonts w:hint="eastAsia" w:ascii="宋体" w:hAnsi="宋体" w:cs="宋体"/>
          <w:sz w:val="22"/>
          <w:szCs w:val="22"/>
          <w:highlight w:val="none"/>
        </w:rPr>
      </w:pPr>
      <w:r>
        <w:rPr>
          <w:rFonts w:hint="eastAsia" w:ascii="宋体" w:hAnsi="宋体" w:cs="宋体"/>
          <w:sz w:val="22"/>
          <w:szCs w:val="22"/>
          <w:highlight w:val="none"/>
        </w:rPr>
        <w:t>（8）定期巡视、维修、更新消防器材和设备。</w:t>
      </w:r>
    </w:p>
    <w:p w14:paraId="3CC2B2B1">
      <w:pPr>
        <w:spacing w:line="360" w:lineRule="auto"/>
        <w:ind w:firstLine="330" w:firstLineChars="150"/>
        <w:rPr>
          <w:rFonts w:hint="eastAsia" w:ascii="宋体" w:hAnsi="宋体" w:cs="宋体"/>
          <w:sz w:val="22"/>
          <w:szCs w:val="22"/>
          <w:highlight w:val="none"/>
        </w:rPr>
      </w:pPr>
      <w:r>
        <w:rPr>
          <w:rFonts w:hint="eastAsia" w:ascii="宋体" w:hAnsi="宋体" w:cs="宋体"/>
          <w:sz w:val="22"/>
          <w:szCs w:val="22"/>
          <w:highlight w:val="none"/>
        </w:rPr>
        <w:t>（9）管理区域内严禁明火，管理区域内的走道、楼梯、出口等部位，保持畅通，严禁堆放物品。</w:t>
      </w:r>
    </w:p>
    <w:p w14:paraId="0A05F602">
      <w:pPr>
        <w:spacing w:line="360" w:lineRule="auto"/>
        <w:ind w:firstLine="330" w:firstLineChars="150"/>
        <w:rPr>
          <w:rFonts w:hint="eastAsia" w:ascii="宋体" w:hAnsi="宋体" w:cs="宋体"/>
          <w:sz w:val="22"/>
          <w:szCs w:val="22"/>
          <w:highlight w:val="none"/>
        </w:rPr>
      </w:pPr>
      <w:r>
        <w:rPr>
          <w:rFonts w:hint="eastAsia" w:ascii="宋体" w:hAnsi="宋体" w:cs="宋体"/>
          <w:sz w:val="22"/>
          <w:szCs w:val="22"/>
          <w:highlight w:val="none"/>
        </w:rPr>
        <w:t>（10）当值保安负责车辆进出的指挥，做到指挥有方，克服场地小、车辆多的矛盾。对长停及夜停车的增减与业主及时联系，统一每班的操作标准。保安队长每日抽查非机动车地下车库2次，发现问题及时整改。</w:t>
      </w:r>
    </w:p>
    <w:p w14:paraId="625E119B">
      <w:pPr>
        <w:spacing w:line="360" w:lineRule="auto"/>
        <w:ind w:firstLine="330" w:firstLineChars="150"/>
        <w:rPr>
          <w:rFonts w:hint="eastAsia" w:ascii="宋体" w:hAnsi="宋体" w:cs="宋体"/>
          <w:sz w:val="22"/>
          <w:szCs w:val="22"/>
          <w:highlight w:val="none"/>
        </w:rPr>
      </w:pPr>
      <w:r>
        <w:rPr>
          <w:rFonts w:hint="eastAsia" w:ascii="宋体" w:hAnsi="宋体" w:cs="宋体"/>
          <w:sz w:val="22"/>
          <w:szCs w:val="22"/>
          <w:highlight w:val="none"/>
        </w:rPr>
        <w:t>（11）全体保安应进一步加强工作责任心和服务意识，规范服务。对陌生人进出大楼要多询问，有可疑情况要跟踪巡视并及时联系相关人员。管理处负责人及保安队长要进行每月一到二次的夜间抽查，根据抽查情况落实奖罚措施。</w:t>
      </w:r>
    </w:p>
    <w:p w14:paraId="5C954181">
      <w:pPr>
        <w:spacing w:line="360" w:lineRule="auto"/>
        <w:ind w:firstLine="330" w:firstLineChars="150"/>
        <w:rPr>
          <w:rFonts w:hint="eastAsia" w:ascii="宋体" w:hAnsi="宋体" w:cs="宋体"/>
          <w:sz w:val="22"/>
          <w:szCs w:val="22"/>
          <w:highlight w:val="none"/>
        </w:rPr>
      </w:pPr>
      <w:r>
        <w:rPr>
          <w:rFonts w:hint="eastAsia" w:ascii="宋体" w:hAnsi="宋体" w:cs="宋体"/>
          <w:sz w:val="22"/>
          <w:szCs w:val="22"/>
          <w:highlight w:val="none"/>
        </w:rPr>
        <w:t>（12）每3小时进行一次巡视，如遇突发事件，第一时间上报业主方。</w:t>
      </w:r>
    </w:p>
    <w:p w14:paraId="03211868">
      <w:pPr>
        <w:spacing w:line="360" w:lineRule="auto"/>
        <w:ind w:firstLine="330" w:firstLineChars="150"/>
        <w:rPr>
          <w:rFonts w:hint="eastAsia" w:ascii="宋体" w:hAnsi="宋体" w:cs="宋体"/>
          <w:sz w:val="22"/>
          <w:szCs w:val="22"/>
          <w:highlight w:val="none"/>
        </w:rPr>
      </w:pPr>
      <w:r>
        <w:rPr>
          <w:rFonts w:hint="eastAsia" w:ascii="宋体" w:hAnsi="宋体" w:cs="宋体"/>
          <w:sz w:val="22"/>
          <w:szCs w:val="22"/>
          <w:highlight w:val="none"/>
        </w:rPr>
        <w:t>（13）专人负责24小时视频监控，制定相关监控制度，监控资料保存30天。</w:t>
      </w:r>
    </w:p>
    <w:p w14:paraId="7551CB6D">
      <w:pPr>
        <w:numPr>
          <w:ilvl w:val="0"/>
          <w:numId w:val="6"/>
        </w:numPr>
        <w:tabs>
          <w:tab w:val="left" w:pos="993"/>
          <w:tab w:val="clear" w:pos="720"/>
        </w:tabs>
        <w:spacing w:before="286" w:beforeLines="100" w:after="143" w:afterLines="50" w:line="360" w:lineRule="auto"/>
        <w:outlineLvl w:val="3"/>
        <w:rPr>
          <w:rFonts w:hint="eastAsia" w:ascii="宋体" w:hAnsi="宋体" w:cs="宋体"/>
          <w:b/>
          <w:sz w:val="22"/>
          <w:szCs w:val="22"/>
          <w:highlight w:val="none"/>
        </w:rPr>
      </w:pPr>
      <w:r>
        <w:rPr>
          <w:rFonts w:hint="eastAsia" w:ascii="宋体" w:hAnsi="宋体" w:cs="宋体"/>
          <w:b/>
          <w:bCs/>
          <w:sz w:val="22"/>
          <w:szCs w:val="22"/>
          <w:highlight w:val="none"/>
          <w:lang w:val="en-US" w:eastAsia="zh-CN"/>
        </w:rPr>
        <w:t>基础运营/品牌推广</w:t>
      </w:r>
    </w:p>
    <w:p w14:paraId="07588D25">
      <w:pPr>
        <w:spacing w:line="276" w:lineRule="auto"/>
        <w:ind w:left="420" w:firstLine="4" w:firstLineChars="2"/>
        <w:rPr>
          <w:rFonts w:hint="eastAsia" w:ascii="宋体" w:hAnsi="宋体" w:cs="宋体"/>
          <w:sz w:val="22"/>
          <w:szCs w:val="22"/>
          <w:highlight w:val="none"/>
        </w:rPr>
      </w:pPr>
      <w:r>
        <w:rPr>
          <w:rFonts w:hint="eastAsia" w:ascii="宋体" w:hAnsi="宋体" w:cs="宋体"/>
          <w:sz w:val="22"/>
          <w:szCs w:val="22"/>
          <w:highlight w:val="none"/>
        </w:rPr>
        <w:t>具体服务内容如下：</w:t>
      </w:r>
    </w:p>
    <w:p w14:paraId="40125896">
      <w:pPr>
        <w:spacing w:line="360" w:lineRule="auto"/>
        <w:ind w:firstLine="330" w:firstLineChars="15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（1）前期受理：负责入住条件审核、需求登记、房屋带看、候选房屋确定，材料初审及合同签订配合等全流程服务。</w:t>
      </w:r>
    </w:p>
    <w:p w14:paraId="450C8DF8">
      <w:pPr>
        <w:spacing w:line="360" w:lineRule="auto"/>
        <w:ind w:firstLine="330" w:firstLineChars="15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（2）入住维护：核对租金与保证金、发放《入住通知书》、动态更新住户</w:t>
      </w:r>
      <w:r>
        <w:rPr>
          <w:rFonts w:hint="eastAsia" w:ascii="宋体" w:hAnsi="宋体" w:cs="宋体"/>
          <w:sz w:val="22"/>
          <w:szCs w:val="22"/>
          <w:highlight w:val="none"/>
          <w:lang w:val="en-US" w:eastAsia="zh-CN"/>
        </w:rPr>
        <w:t>及单位</w:t>
      </w:r>
      <w:r>
        <w:rPr>
          <w:rFonts w:hint="eastAsia" w:ascii="宋体" w:hAnsi="宋体" w:eastAsia="宋体" w:cs="宋体"/>
          <w:sz w:val="22"/>
          <w:szCs w:val="22"/>
          <w:highlight w:val="none"/>
          <w:lang w:val="en-US" w:eastAsia="zh-CN"/>
        </w:rPr>
        <w:t>信息、月度数据上报。</w:t>
      </w:r>
    </w:p>
    <w:p w14:paraId="0801DB11">
      <w:pPr>
        <w:spacing w:line="360" w:lineRule="auto"/>
        <w:ind w:firstLine="330" w:firstLineChars="15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（3）房租与合同管理：开展租金续交提醒、催缴及合同续签手续办理工作。</w:t>
      </w:r>
    </w:p>
    <w:p w14:paraId="5E6FCF4E">
      <w:pPr>
        <w:spacing w:line="360" w:lineRule="auto"/>
        <w:ind w:firstLine="330" w:firstLineChars="15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（4）房屋退租：退租申请受理；房屋设施设备检查/核对；（如有）固定资产变更情况上报；（如有）赔偿协商；保证金退还金额确认与上报；房屋清退；确认整理、复原；更新房源信息等。</w:t>
      </w:r>
    </w:p>
    <w:p w14:paraId="519E2D65">
      <w:pPr>
        <w:spacing w:line="360" w:lineRule="auto"/>
        <w:ind w:firstLine="330" w:firstLineChars="15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（5）票据核对：收付款凭证收集；核对和提交开票信息；到款、开票、账目数据核对。</w:t>
      </w:r>
    </w:p>
    <w:p w14:paraId="411D86EB">
      <w:pPr>
        <w:spacing w:line="360" w:lineRule="auto"/>
        <w:ind w:firstLine="330" w:firstLineChars="150"/>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（6）信息汇总和分析：对公寓入住率、入住人才基本信息进行统计、汇总与分析（考核标准：入住率不低于70%）</w:t>
      </w:r>
      <w:r>
        <w:rPr>
          <w:rFonts w:hint="eastAsia" w:ascii="宋体" w:hAnsi="宋体" w:cs="宋体"/>
          <w:sz w:val="22"/>
          <w:szCs w:val="22"/>
          <w:highlight w:val="none"/>
          <w:lang w:val="en-US" w:eastAsia="zh-CN"/>
        </w:rPr>
        <w:t>，做好人才公寓台账整理。</w:t>
      </w:r>
    </w:p>
    <w:p w14:paraId="6089F8BE">
      <w:pPr>
        <w:spacing w:line="360" w:lineRule="auto"/>
        <w:ind w:firstLine="330" w:firstLineChars="15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（7）结合入住人员兴趣爱好：开展文化、体育、文艺等拓展活动，提升满意度，增加入住人才粘性。</w:t>
      </w:r>
    </w:p>
    <w:p w14:paraId="54E5D443">
      <w:pPr>
        <w:spacing w:line="360" w:lineRule="auto"/>
        <w:ind w:firstLine="330" w:firstLineChars="15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品牌宣传推广：积极配合上科院及成员单位、科技系统单位联系，深挖入住需求，开展人才公寓宣传、推广活动。结合属地街道及区域的相关活动，协同加大人才公寓品牌宣传，扩大宣传推广覆盖面。建立多渠道、多平台线上线下宣传模式，创新品牌推广方式方法，扩大人才公寓品牌影响力。</w:t>
      </w:r>
    </w:p>
    <w:p w14:paraId="5673F844">
      <w:pPr>
        <w:spacing w:line="360" w:lineRule="auto"/>
        <w:ind w:firstLine="550" w:firstLineChars="250"/>
        <w:rPr>
          <w:rFonts w:hint="eastAsia" w:ascii="宋体" w:hAnsi="宋体" w:cs="宋体"/>
          <w:sz w:val="22"/>
          <w:szCs w:val="22"/>
          <w:highlight w:val="none"/>
        </w:rPr>
      </w:pPr>
      <w:r>
        <w:rPr>
          <w:rFonts w:hint="eastAsia" w:ascii="宋体" w:hAnsi="宋体" w:eastAsia="宋体" w:cs="宋体"/>
          <w:sz w:val="22"/>
          <w:szCs w:val="22"/>
          <w:highlight w:val="none"/>
          <w:lang w:val="en-US" w:eastAsia="zh-CN"/>
        </w:rPr>
        <w:t>每个季度向业主进行会议汇报，同时配合实施开展人才专题活动（一年不少于4次），加强人才公寓宣传推介等专业提升服务。</w:t>
      </w:r>
    </w:p>
    <w:p w14:paraId="1F8559EC">
      <w:pPr>
        <w:numPr>
          <w:ilvl w:val="0"/>
          <w:numId w:val="6"/>
        </w:numPr>
        <w:tabs>
          <w:tab w:val="left" w:pos="993"/>
          <w:tab w:val="clear" w:pos="720"/>
        </w:tabs>
        <w:spacing w:before="286" w:beforeLines="100" w:after="143" w:afterLines="50" w:line="360" w:lineRule="auto"/>
        <w:outlineLvl w:val="3"/>
        <w:rPr>
          <w:rFonts w:hint="eastAsia" w:ascii="宋体" w:hAnsi="宋体" w:cs="宋体"/>
          <w:b/>
          <w:sz w:val="22"/>
          <w:szCs w:val="22"/>
          <w:highlight w:val="none"/>
        </w:rPr>
      </w:pPr>
      <w:r>
        <w:rPr>
          <w:rFonts w:hint="eastAsia" w:ascii="宋体" w:hAnsi="宋体" w:cs="宋体"/>
          <w:b/>
          <w:sz w:val="22"/>
          <w:szCs w:val="22"/>
          <w:highlight w:val="none"/>
        </w:rPr>
        <w:t>公寓管理</w:t>
      </w:r>
    </w:p>
    <w:p w14:paraId="45612E6F">
      <w:pPr>
        <w:spacing w:line="276" w:lineRule="auto"/>
        <w:ind w:left="993"/>
        <w:rPr>
          <w:rFonts w:hint="eastAsia" w:ascii="宋体" w:hAnsi="宋体" w:cs="宋体"/>
          <w:sz w:val="22"/>
          <w:szCs w:val="22"/>
          <w:highlight w:val="none"/>
        </w:rPr>
      </w:pPr>
      <w:r>
        <w:rPr>
          <w:rFonts w:hint="eastAsia" w:ascii="宋体" w:hAnsi="宋体" w:cs="宋体"/>
          <w:sz w:val="22"/>
          <w:szCs w:val="22"/>
          <w:highlight w:val="none"/>
        </w:rPr>
        <w:t>具体服务内容如下：</w:t>
      </w:r>
    </w:p>
    <w:p w14:paraId="19E0DD05">
      <w:pPr>
        <w:numPr>
          <w:ilvl w:val="0"/>
          <w:numId w:val="17"/>
        </w:numPr>
        <w:spacing w:line="360" w:lineRule="auto"/>
        <w:rPr>
          <w:rFonts w:hint="eastAsia" w:ascii="宋体" w:hAnsi="宋体" w:cs="宋体"/>
          <w:sz w:val="22"/>
          <w:szCs w:val="22"/>
          <w:highlight w:val="none"/>
        </w:rPr>
      </w:pPr>
      <w:r>
        <w:rPr>
          <w:rFonts w:hint="eastAsia" w:ascii="宋体" w:hAnsi="宋体" w:cs="宋体"/>
          <w:sz w:val="22"/>
          <w:szCs w:val="22"/>
          <w:highlight w:val="none"/>
        </w:rPr>
        <w:t>提供人才公寓的日常管理、公寓检查、公共区域卫生清洁等相关工作。</w:t>
      </w:r>
    </w:p>
    <w:p w14:paraId="757B99A5">
      <w:pPr>
        <w:numPr>
          <w:ilvl w:val="0"/>
          <w:numId w:val="17"/>
        </w:numPr>
        <w:spacing w:line="360" w:lineRule="auto"/>
        <w:rPr>
          <w:rFonts w:hint="eastAsia" w:ascii="宋体" w:hAnsi="宋体" w:cs="宋体"/>
          <w:sz w:val="22"/>
          <w:szCs w:val="22"/>
          <w:highlight w:val="none"/>
        </w:rPr>
      </w:pPr>
      <w:r>
        <w:rPr>
          <w:rFonts w:hint="eastAsia" w:ascii="宋体" w:hAnsi="宋体" w:cs="宋体"/>
          <w:sz w:val="22"/>
          <w:szCs w:val="22"/>
          <w:highlight w:val="none"/>
        </w:rPr>
        <w:t>负责对入住人员进行安全培训，并提供房内设施设备使用操作说明书。</w:t>
      </w:r>
    </w:p>
    <w:p w14:paraId="57002028">
      <w:pPr>
        <w:numPr>
          <w:ilvl w:val="0"/>
          <w:numId w:val="17"/>
        </w:numPr>
        <w:spacing w:line="360" w:lineRule="auto"/>
        <w:rPr>
          <w:rFonts w:hint="eastAsia" w:ascii="宋体" w:hAnsi="宋体" w:cs="宋体"/>
          <w:sz w:val="22"/>
          <w:szCs w:val="22"/>
          <w:highlight w:val="none"/>
        </w:rPr>
      </w:pPr>
      <w:r>
        <w:rPr>
          <w:rFonts w:hint="eastAsia" w:ascii="宋体" w:hAnsi="宋体" w:cs="宋体"/>
          <w:sz w:val="22"/>
          <w:szCs w:val="22"/>
          <w:highlight w:val="none"/>
        </w:rPr>
        <w:t>负责公寓楼物资、设备设施等资产的日常管理及检查工作。</w:t>
      </w:r>
    </w:p>
    <w:p w14:paraId="27CE6F97">
      <w:pPr>
        <w:numPr>
          <w:ilvl w:val="0"/>
          <w:numId w:val="17"/>
        </w:numPr>
        <w:spacing w:line="360" w:lineRule="auto"/>
        <w:rPr>
          <w:rFonts w:hint="eastAsia" w:ascii="宋体" w:hAnsi="宋体" w:cs="宋体"/>
          <w:sz w:val="22"/>
          <w:szCs w:val="22"/>
          <w:highlight w:val="none"/>
        </w:rPr>
      </w:pPr>
      <w:r>
        <w:rPr>
          <w:rFonts w:hint="eastAsia" w:ascii="宋体" w:hAnsi="宋体" w:cs="宋体"/>
          <w:sz w:val="22"/>
          <w:szCs w:val="22"/>
          <w:highlight w:val="none"/>
        </w:rPr>
        <w:t>负责公寓安全管理工作，协助公寓楼范围内环境布置。</w:t>
      </w:r>
    </w:p>
    <w:p w14:paraId="3078DDC8">
      <w:pPr>
        <w:numPr>
          <w:ilvl w:val="0"/>
          <w:numId w:val="17"/>
        </w:numPr>
        <w:spacing w:line="360" w:lineRule="auto"/>
        <w:rPr>
          <w:rFonts w:hint="eastAsia" w:ascii="宋体" w:hAnsi="宋体" w:cs="宋体"/>
          <w:sz w:val="22"/>
          <w:szCs w:val="22"/>
          <w:highlight w:val="none"/>
        </w:rPr>
      </w:pPr>
      <w:r>
        <w:rPr>
          <w:rFonts w:hint="eastAsia" w:ascii="宋体" w:hAnsi="宋体" w:cs="宋体"/>
          <w:sz w:val="22"/>
          <w:szCs w:val="22"/>
          <w:highlight w:val="none"/>
        </w:rPr>
        <w:t>受业主委托对人才公寓使用人进行日常的监督管理工作，每3个月进行一次入室安全检查。</w:t>
      </w:r>
    </w:p>
    <w:p w14:paraId="346CFBC1">
      <w:pPr>
        <w:numPr>
          <w:ilvl w:val="0"/>
          <w:numId w:val="17"/>
        </w:numPr>
        <w:spacing w:line="360" w:lineRule="auto"/>
        <w:rPr>
          <w:rFonts w:hint="eastAsia" w:ascii="宋体" w:hAnsi="宋体" w:cs="宋体"/>
          <w:sz w:val="22"/>
          <w:szCs w:val="22"/>
          <w:highlight w:val="none"/>
        </w:rPr>
      </w:pPr>
      <w:r>
        <w:rPr>
          <w:rFonts w:hint="eastAsia" w:ascii="宋体" w:hAnsi="宋体" w:cs="宋体"/>
          <w:sz w:val="22"/>
          <w:szCs w:val="22"/>
          <w:highlight w:val="none"/>
        </w:rPr>
        <w:t>按照业主要求执行人才公寓管理工作。</w:t>
      </w:r>
    </w:p>
    <w:p w14:paraId="3C5C884A">
      <w:pPr>
        <w:numPr>
          <w:ilvl w:val="0"/>
          <w:numId w:val="17"/>
        </w:numPr>
        <w:spacing w:line="360" w:lineRule="auto"/>
        <w:rPr>
          <w:rFonts w:hint="eastAsia" w:ascii="宋体" w:hAnsi="宋体" w:cs="宋体"/>
          <w:sz w:val="22"/>
          <w:szCs w:val="22"/>
          <w:highlight w:val="none"/>
        </w:rPr>
      </w:pPr>
      <w:r>
        <w:rPr>
          <w:rFonts w:hint="eastAsia" w:ascii="宋体" w:hAnsi="宋体" w:cs="宋体"/>
          <w:sz w:val="22"/>
          <w:szCs w:val="22"/>
          <w:highlight w:val="none"/>
        </w:rPr>
        <w:t>负责公寓洗衣房、健身房管理工作。</w:t>
      </w:r>
    </w:p>
    <w:p w14:paraId="4B5F9C13">
      <w:pPr>
        <w:numPr>
          <w:ilvl w:val="0"/>
          <w:numId w:val="17"/>
        </w:numPr>
        <w:spacing w:line="360" w:lineRule="auto"/>
        <w:rPr>
          <w:rFonts w:hint="eastAsia" w:ascii="宋体" w:hAnsi="宋体" w:cs="宋体"/>
          <w:sz w:val="22"/>
          <w:szCs w:val="22"/>
          <w:highlight w:val="none"/>
        </w:rPr>
      </w:pPr>
      <w:r>
        <w:rPr>
          <w:rFonts w:hint="eastAsia" w:ascii="宋体" w:hAnsi="宋体" w:cs="宋体"/>
          <w:sz w:val="22"/>
          <w:szCs w:val="22"/>
          <w:highlight w:val="none"/>
        </w:rPr>
        <w:t>建立服务质量保障体系及相关制度。</w:t>
      </w:r>
    </w:p>
    <w:p w14:paraId="05C0B9BE">
      <w:pPr>
        <w:numPr>
          <w:ilvl w:val="0"/>
          <w:numId w:val="17"/>
        </w:numPr>
        <w:spacing w:line="360" w:lineRule="auto"/>
        <w:rPr>
          <w:rFonts w:hint="eastAsia" w:ascii="宋体" w:hAnsi="宋体" w:cs="宋体"/>
          <w:sz w:val="22"/>
          <w:szCs w:val="22"/>
          <w:highlight w:val="none"/>
        </w:rPr>
      </w:pPr>
      <w:r>
        <w:rPr>
          <w:rFonts w:hint="eastAsia" w:ascii="宋体" w:hAnsi="宋体" w:cs="宋体"/>
          <w:sz w:val="22"/>
          <w:szCs w:val="22"/>
          <w:highlight w:val="none"/>
          <w:lang w:val="en-US" w:eastAsia="zh-CN"/>
        </w:rPr>
        <w:t>负责人才公寓附属房屋（中山南路金中苑）的日常带看、入室检查、监督管理等工作。</w:t>
      </w:r>
    </w:p>
    <w:p w14:paraId="6A2AFF62">
      <w:pPr>
        <w:ind w:left="780"/>
        <w:rPr>
          <w:rFonts w:hint="eastAsia" w:ascii="宋体" w:hAnsi="宋体" w:cs="宋体"/>
          <w:bCs/>
          <w:sz w:val="22"/>
          <w:szCs w:val="22"/>
          <w:highlight w:val="none"/>
        </w:rPr>
      </w:pPr>
    </w:p>
    <w:p w14:paraId="0B7931F0">
      <w:pPr>
        <w:numPr>
          <w:ilvl w:val="0"/>
          <w:numId w:val="1"/>
        </w:numPr>
        <w:tabs>
          <w:tab w:val="left" w:pos="616"/>
          <w:tab w:val="clear" w:pos="480"/>
        </w:tabs>
        <w:spacing w:after="286" w:afterLines="100" w:line="360" w:lineRule="auto"/>
        <w:ind w:left="508" w:hanging="508" w:hangingChars="230"/>
        <w:outlineLvl w:val="0"/>
        <w:rPr>
          <w:rFonts w:hint="eastAsia" w:ascii="宋体" w:hAnsi="宋体" w:cs="宋体"/>
          <w:b/>
          <w:sz w:val="22"/>
          <w:szCs w:val="22"/>
          <w:highlight w:val="none"/>
        </w:rPr>
      </w:pPr>
      <w:r>
        <w:rPr>
          <w:rFonts w:hint="eastAsia" w:ascii="宋体" w:hAnsi="宋体" w:cs="宋体"/>
          <w:b/>
          <w:sz w:val="22"/>
          <w:szCs w:val="22"/>
          <w:highlight w:val="none"/>
        </w:rPr>
        <w:br w:type="page"/>
      </w:r>
      <w:r>
        <w:rPr>
          <w:rFonts w:hint="eastAsia" w:ascii="宋体" w:hAnsi="宋体" w:cs="宋体"/>
          <w:b/>
          <w:sz w:val="22"/>
          <w:szCs w:val="22"/>
          <w:highlight w:val="none"/>
        </w:rPr>
        <w:t>管理与服务人员的要求</w:t>
      </w:r>
    </w:p>
    <w:p w14:paraId="2424230E">
      <w:pPr>
        <w:tabs>
          <w:tab w:val="left" w:pos="993"/>
        </w:tabs>
        <w:spacing w:after="143" w:afterLines="50" w:line="360" w:lineRule="auto"/>
        <w:ind w:firstLine="440" w:firstLineChars="200"/>
        <w:rPr>
          <w:rFonts w:hint="eastAsia" w:ascii="宋体" w:hAnsi="宋体" w:cs="宋体"/>
          <w:sz w:val="22"/>
          <w:szCs w:val="22"/>
          <w:highlight w:val="none"/>
        </w:rPr>
      </w:pPr>
      <w:r>
        <w:rPr>
          <w:rFonts w:hint="eastAsia" w:ascii="仿宋_GB2312" w:hAnsi="仿宋_GB2312" w:eastAsia="仿宋_GB2312" w:cs="仿宋_GB2312"/>
          <w:sz w:val="22"/>
          <w:szCs w:val="22"/>
          <w:highlight w:val="none"/>
        </w:rPr>
        <w:t>★</w:t>
      </w:r>
      <w:r>
        <w:rPr>
          <w:rFonts w:hint="eastAsia" w:ascii="宋体" w:hAnsi="宋体" w:cs="宋体"/>
          <w:sz w:val="22"/>
          <w:szCs w:val="22"/>
          <w:highlight w:val="none"/>
        </w:rPr>
        <w:t>本项目物业管理与服务人员总数不得少于2</w:t>
      </w:r>
      <w:r>
        <w:rPr>
          <w:rFonts w:hint="eastAsia" w:ascii="宋体" w:hAnsi="宋体" w:cs="宋体"/>
          <w:sz w:val="22"/>
          <w:szCs w:val="22"/>
          <w:highlight w:val="none"/>
          <w:lang w:val="en-US" w:eastAsia="zh-CN"/>
        </w:rPr>
        <w:t>2</w:t>
      </w:r>
      <w:r>
        <w:rPr>
          <w:rFonts w:hint="eastAsia" w:ascii="宋体" w:hAnsi="宋体" w:cs="宋体"/>
          <w:sz w:val="22"/>
          <w:szCs w:val="22"/>
          <w:highlight w:val="none"/>
        </w:rPr>
        <w:t>人</w:t>
      </w:r>
    </w:p>
    <w:p w14:paraId="4BF4EBB6">
      <w:pPr>
        <w:tabs>
          <w:tab w:val="left" w:pos="993"/>
        </w:tabs>
        <w:spacing w:after="143" w:afterLines="50"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投标人在聘用、任命、调整、调换、替换有关主要物业管理服务人员之前须征得招标人同意，招标人同时享有对有关物业管理服务人员指定调整、调换、替换的权利。建议人员配置如下：</w:t>
      </w:r>
    </w:p>
    <w:tbl>
      <w:tblPr>
        <w:tblStyle w:val="5"/>
        <w:tblW w:w="46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9"/>
        <w:gridCol w:w="2950"/>
      </w:tblGrid>
      <w:tr w14:paraId="2DBF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5" w:type="pct"/>
            <w:noWrap w:val="0"/>
            <w:vAlign w:val="center"/>
          </w:tcPr>
          <w:p w14:paraId="5BA3A2C6">
            <w:pPr>
              <w:jc w:val="center"/>
              <w:rPr>
                <w:rFonts w:hint="eastAsia" w:ascii="宋体" w:hAnsi="宋体" w:cs="宋体"/>
                <w:b/>
                <w:sz w:val="22"/>
                <w:szCs w:val="22"/>
                <w:highlight w:val="none"/>
              </w:rPr>
            </w:pPr>
            <w:r>
              <w:rPr>
                <w:rFonts w:hint="eastAsia" w:ascii="宋体" w:hAnsi="宋体" w:cs="宋体"/>
                <w:b/>
                <w:sz w:val="22"/>
                <w:szCs w:val="22"/>
                <w:highlight w:val="none"/>
              </w:rPr>
              <w:t>岗位</w:t>
            </w:r>
          </w:p>
        </w:tc>
        <w:tc>
          <w:tcPr>
            <w:tcW w:w="1874" w:type="pct"/>
            <w:noWrap w:val="0"/>
            <w:vAlign w:val="center"/>
          </w:tcPr>
          <w:p w14:paraId="515C5896">
            <w:pPr>
              <w:jc w:val="center"/>
              <w:rPr>
                <w:rFonts w:hint="eastAsia" w:ascii="宋体" w:hAnsi="宋体" w:cs="宋体"/>
                <w:b/>
                <w:sz w:val="22"/>
                <w:szCs w:val="22"/>
                <w:highlight w:val="none"/>
              </w:rPr>
            </w:pPr>
            <w:r>
              <w:rPr>
                <w:rFonts w:hint="eastAsia" w:ascii="宋体" w:hAnsi="宋体" w:cs="宋体"/>
                <w:b/>
                <w:sz w:val="22"/>
                <w:szCs w:val="22"/>
                <w:highlight w:val="none"/>
              </w:rPr>
              <w:t>人数</w:t>
            </w:r>
          </w:p>
        </w:tc>
      </w:tr>
      <w:tr w14:paraId="4357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5" w:type="pct"/>
            <w:noWrap w:val="0"/>
            <w:vAlign w:val="center"/>
          </w:tcPr>
          <w:p w14:paraId="6B66B9D8">
            <w:pPr>
              <w:jc w:val="center"/>
              <w:rPr>
                <w:rFonts w:hint="eastAsia" w:ascii="宋体" w:hAnsi="宋体" w:cs="宋体"/>
                <w:sz w:val="22"/>
                <w:szCs w:val="22"/>
                <w:highlight w:val="none"/>
              </w:rPr>
            </w:pPr>
            <w:r>
              <w:rPr>
                <w:rFonts w:hint="eastAsia" w:ascii="宋体" w:hAnsi="宋体" w:cs="宋体"/>
                <w:sz w:val="22"/>
                <w:szCs w:val="22"/>
                <w:highlight w:val="none"/>
              </w:rPr>
              <w:t>项目经理</w:t>
            </w:r>
          </w:p>
        </w:tc>
        <w:tc>
          <w:tcPr>
            <w:tcW w:w="1874" w:type="pct"/>
            <w:noWrap w:val="0"/>
            <w:vAlign w:val="center"/>
          </w:tcPr>
          <w:p w14:paraId="74083DC5">
            <w:pPr>
              <w:jc w:val="center"/>
              <w:rPr>
                <w:rFonts w:hint="eastAsia" w:ascii="宋体" w:hAnsi="宋体" w:cs="宋体"/>
                <w:sz w:val="22"/>
                <w:szCs w:val="22"/>
                <w:highlight w:val="none"/>
              </w:rPr>
            </w:pPr>
            <w:r>
              <w:rPr>
                <w:rFonts w:hint="eastAsia" w:ascii="宋体" w:hAnsi="宋体" w:cs="宋体"/>
                <w:sz w:val="22"/>
                <w:szCs w:val="22"/>
                <w:highlight w:val="none"/>
              </w:rPr>
              <w:t>1</w:t>
            </w:r>
          </w:p>
        </w:tc>
      </w:tr>
      <w:tr w14:paraId="39E6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5" w:type="pct"/>
            <w:noWrap w:val="0"/>
            <w:vAlign w:val="center"/>
          </w:tcPr>
          <w:p w14:paraId="629BD4E3">
            <w:pPr>
              <w:jc w:val="center"/>
              <w:rPr>
                <w:rFonts w:hint="eastAsia" w:ascii="宋体" w:hAnsi="宋体" w:cs="宋体"/>
                <w:sz w:val="22"/>
                <w:szCs w:val="22"/>
                <w:highlight w:val="none"/>
              </w:rPr>
            </w:pPr>
            <w:r>
              <w:rPr>
                <w:rFonts w:hint="eastAsia" w:ascii="宋体" w:hAnsi="宋体" w:cs="宋体"/>
                <w:sz w:val="22"/>
                <w:szCs w:val="22"/>
                <w:highlight w:val="none"/>
              </w:rPr>
              <w:t>前台管理员</w:t>
            </w:r>
          </w:p>
        </w:tc>
        <w:tc>
          <w:tcPr>
            <w:tcW w:w="1874" w:type="pct"/>
            <w:noWrap w:val="0"/>
            <w:vAlign w:val="center"/>
          </w:tcPr>
          <w:p w14:paraId="7EBE752D">
            <w:pPr>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w:t>
            </w:r>
          </w:p>
        </w:tc>
      </w:tr>
      <w:tr w14:paraId="161E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5" w:type="pct"/>
            <w:noWrap w:val="0"/>
            <w:vAlign w:val="center"/>
          </w:tcPr>
          <w:p w14:paraId="478AF88C">
            <w:pPr>
              <w:jc w:val="center"/>
              <w:rPr>
                <w:rFonts w:hint="eastAsia" w:ascii="宋体" w:hAnsi="宋体" w:cs="宋体"/>
                <w:sz w:val="22"/>
                <w:szCs w:val="22"/>
                <w:highlight w:val="none"/>
              </w:rPr>
            </w:pPr>
            <w:r>
              <w:rPr>
                <w:rFonts w:hint="eastAsia" w:ascii="宋体" w:hAnsi="宋体" w:cs="宋体"/>
                <w:sz w:val="22"/>
                <w:szCs w:val="22"/>
                <w:highlight w:val="none"/>
              </w:rPr>
              <w:t>水电维修工</w:t>
            </w:r>
          </w:p>
        </w:tc>
        <w:tc>
          <w:tcPr>
            <w:tcW w:w="1874" w:type="pct"/>
            <w:noWrap w:val="0"/>
            <w:vAlign w:val="center"/>
          </w:tcPr>
          <w:p w14:paraId="7190AE21">
            <w:pPr>
              <w:jc w:val="center"/>
              <w:rPr>
                <w:rFonts w:hint="eastAsia" w:ascii="宋体" w:hAnsi="宋体" w:cs="宋体"/>
                <w:sz w:val="22"/>
                <w:szCs w:val="22"/>
                <w:highlight w:val="none"/>
              </w:rPr>
            </w:pPr>
            <w:r>
              <w:rPr>
                <w:rFonts w:hint="eastAsia" w:ascii="宋体" w:hAnsi="宋体" w:cs="宋体"/>
                <w:sz w:val="22"/>
                <w:szCs w:val="22"/>
                <w:highlight w:val="none"/>
              </w:rPr>
              <w:t>3</w:t>
            </w:r>
          </w:p>
        </w:tc>
      </w:tr>
      <w:tr w14:paraId="06E4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5" w:type="pct"/>
            <w:noWrap w:val="0"/>
            <w:vAlign w:val="center"/>
          </w:tcPr>
          <w:p w14:paraId="1AFEA6A9">
            <w:pPr>
              <w:jc w:val="center"/>
              <w:rPr>
                <w:rFonts w:hint="eastAsia" w:ascii="宋体" w:hAnsi="宋体" w:cs="宋体"/>
                <w:sz w:val="22"/>
                <w:szCs w:val="22"/>
                <w:highlight w:val="none"/>
              </w:rPr>
            </w:pPr>
            <w:r>
              <w:rPr>
                <w:rFonts w:hint="eastAsia" w:ascii="宋体" w:hAnsi="宋体" w:cs="宋体"/>
                <w:sz w:val="22"/>
                <w:szCs w:val="22"/>
                <w:highlight w:val="none"/>
              </w:rPr>
              <w:t>保  安</w:t>
            </w:r>
          </w:p>
        </w:tc>
        <w:tc>
          <w:tcPr>
            <w:tcW w:w="1874" w:type="pct"/>
            <w:noWrap w:val="0"/>
            <w:vAlign w:val="center"/>
          </w:tcPr>
          <w:p w14:paraId="704476CC">
            <w:pPr>
              <w:jc w:val="center"/>
              <w:rPr>
                <w:rFonts w:hint="eastAsia" w:ascii="宋体" w:hAnsi="宋体" w:cs="宋体"/>
                <w:sz w:val="22"/>
                <w:szCs w:val="22"/>
                <w:highlight w:val="none"/>
              </w:rPr>
            </w:pPr>
            <w:r>
              <w:rPr>
                <w:rFonts w:hint="eastAsia" w:ascii="宋体" w:hAnsi="宋体" w:cs="宋体"/>
                <w:sz w:val="22"/>
                <w:szCs w:val="22"/>
                <w:highlight w:val="none"/>
              </w:rPr>
              <w:t>14</w:t>
            </w:r>
          </w:p>
        </w:tc>
      </w:tr>
      <w:tr w14:paraId="54FD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5" w:type="pct"/>
            <w:noWrap w:val="0"/>
            <w:vAlign w:val="center"/>
          </w:tcPr>
          <w:p w14:paraId="2898599C">
            <w:pPr>
              <w:jc w:val="center"/>
              <w:rPr>
                <w:rFonts w:hint="eastAsia" w:ascii="宋体" w:hAnsi="宋体" w:cs="宋体"/>
                <w:sz w:val="22"/>
                <w:szCs w:val="22"/>
                <w:highlight w:val="none"/>
              </w:rPr>
            </w:pPr>
            <w:r>
              <w:rPr>
                <w:rFonts w:hint="eastAsia" w:ascii="宋体" w:hAnsi="宋体" w:cs="宋体"/>
                <w:sz w:val="22"/>
                <w:szCs w:val="22"/>
                <w:highlight w:val="none"/>
              </w:rPr>
              <w:t>保洁工</w:t>
            </w:r>
          </w:p>
        </w:tc>
        <w:tc>
          <w:tcPr>
            <w:tcW w:w="1874" w:type="pct"/>
            <w:noWrap w:val="0"/>
            <w:vAlign w:val="center"/>
          </w:tcPr>
          <w:p w14:paraId="56700CE9">
            <w:pPr>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3</w:t>
            </w:r>
          </w:p>
        </w:tc>
      </w:tr>
      <w:tr w14:paraId="5B62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5" w:type="pct"/>
            <w:noWrap w:val="0"/>
            <w:vAlign w:val="center"/>
          </w:tcPr>
          <w:p w14:paraId="065B4232">
            <w:pPr>
              <w:jc w:val="center"/>
              <w:rPr>
                <w:rFonts w:hint="eastAsia" w:ascii="宋体" w:hAnsi="宋体" w:cs="宋体"/>
                <w:b/>
                <w:sz w:val="22"/>
                <w:szCs w:val="22"/>
                <w:highlight w:val="none"/>
              </w:rPr>
            </w:pPr>
            <w:r>
              <w:rPr>
                <w:rFonts w:hint="eastAsia" w:ascii="宋体" w:hAnsi="宋体" w:cs="宋体"/>
                <w:b/>
                <w:sz w:val="22"/>
                <w:szCs w:val="22"/>
                <w:highlight w:val="none"/>
              </w:rPr>
              <w:t>合  计</w:t>
            </w:r>
          </w:p>
        </w:tc>
        <w:tc>
          <w:tcPr>
            <w:tcW w:w="1874" w:type="pct"/>
            <w:noWrap w:val="0"/>
            <w:vAlign w:val="center"/>
          </w:tcPr>
          <w:p w14:paraId="0A6C063B">
            <w:pPr>
              <w:jc w:val="center"/>
              <w:rPr>
                <w:rFonts w:hint="eastAsia" w:ascii="宋体" w:hAnsi="宋体" w:eastAsia="宋体" w:cs="宋体"/>
                <w:b/>
                <w:sz w:val="22"/>
                <w:szCs w:val="22"/>
                <w:highlight w:val="none"/>
                <w:lang w:val="en-US" w:eastAsia="zh-CN"/>
              </w:rPr>
            </w:pPr>
            <w:r>
              <w:rPr>
                <w:rFonts w:hint="eastAsia" w:ascii="宋体" w:hAnsi="宋体" w:cs="宋体"/>
                <w:b/>
                <w:sz w:val="22"/>
                <w:szCs w:val="22"/>
                <w:highlight w:val="none"/>
              </w:rPr>
              <w:t>2</w:t>
            </w:r>
            <w:r>
              <w:rPr>
                <w:rFonts w:hint="eastAsia" w:ascii="宋体" w:hAnsi="宋体" w:cs="宋体"/>
                <w:b/>
                <w:sz w:val="22"/>
                <w:szCs w:val="22"/>
                <w:highlight w:val="none"/>
                <w:lang w:val="en-US" w:eastAsia="zh-CN"/>
              </w:rPr>
              <w:t>2</w:t>
            </w:r>
          </w:p>
        </w:tc>
      </w:tr>
    </w:tbl>
    <w:p w14:paraId="0FECFA6E">
      <w:pPr>
        <w:numPr>
          <w:ilvl w:val="1"/>
          <w:numId w:val="18"/>
        </w:numPr>
        <w:tabs>
          <w:tab w:val="left" w:pos="709"/>
        </w:tabs>
        <w:spacing w:before="429" w:beforeLines="150" w:after="143" w:afterLines="50" w:line="360" w:lineRule="auto"/>
        <w:jc w:val="left"/>
        <w:outlineLvl w:val="1"/>
        <w:rPr>
          <w:rFonts w:hint="eastAsia" w:ascii="宋体" w:hAnsi="宋体" w:cs="宋体"/>
          <w:bCs/>
          <w:sz w:val="22"/>
          <w:szCs w:val="22"/>
          <w:highlight w:val="none"/>
        </w:rPr>
      </w:pPr>
      <w:bookmarkStart w:id="12" w:name="_Toc370813032"/>
      <w:bookmarkStart w:id="13" w:name="_Toc370812980"/>
      <w:r>
        <w:rPr>
          <w:rFonts w:hint="eastAsia" w:ascii="宋体" w:hAnsi="宋体" w:cs="宋体"/>
          <w:bCs/>
          <w:sz w:val="22"/>
          <w:szCs w:val="22"/>
          <w:highlight w:val="none"/>
        </w:rPr>
        <w:t>管理与服务人员的总体要求</w:t>
      </w:r>
      <w:bookmarkEnd w:id="12"/>
      <w:bookmarkEnd w:id="13"/>
    </w:p>
    <w:p w14:paraId="20D56244">
      <w:pPr>
        <w:numPr>
          <w:ilvl w:val="0"/>
          <w:numId w:val="19"/>
        </w:numPr>
        <w:tabs>
          <w:tab w:val="left" w:pos="993"/>
        </w:tabs>
        <w:spacing w:before="286" w:beforeLines="100" w:after="143" w:afterLines="50" w:line="360" w:lineRule="auto"/>
        <w:outlineLvl w:val="3"/>
        <w:rPr>
          <w:rFonts w:hint="eastAsia" w:ascii="宋体" w:hAnsi="宋体" w:cs="宋体"/>
          <w:sz w:val="22"/>
          <w:szCs w:val="22"/>
          <w:highlight w:val="none"/>
        </w:rPr>
      </w:pPr>
      <w:bookmarkStart w:id="14" w:name="_Toc370813033"/>
      <w:bookmarkStart w:id="15" w:name="_Toc370812981"/>
      <w:r>
        <w:rPr>
          <w:rFonts w:hint="eastAsia" w:ascii="宋体" w:hAnsi="宋体" w:cs="宋体"/>
          <w:sz w:val="22"/>
          <w:szCs w:val="22"/>
          <w:highlight w:val="none"/>
        </w:rPr>
        <w:t>管理团队要求</w:t>
      </w:r>
      <w:bookmarkEnd w:id="14"/>
      <w:bookmarkEnd w:id="15"/>
    </w:p>
    <w:p w14:paraId="3A0ED4F8">
      <w:pPr>
        <w:numPr>
          <w:ilvl w:val="0"/>
          <w:numId w:val="20"/>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专业、科学、合理的配置部门管理人员。</w:t>
      </w:r>
    </w:p>
    <w:p w14:paraId="01577ABF">
      <w:pPr>
        <w:numPr>
          <w:ilvl w:val="0"/>
          <w:numId w:val="20"/>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管理与服务岗位应根据物业管理的范围、内容和标准要求，做到“定区定岗位”，各部门和岗位应制订相应的部门职责、岗位职责和任职条件。</w:t>
      </w:r>
    </w:p>
    <w:p w14:paraId="15B9EEAD">
      <w:pPr>
        <w:numPr>
          <w:ilvl w:val="0"/>
          <w:numId w:val="20"/>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建立完善的培训体系，确保员工队伍整体的业务能力和技术水平的提高。</w:t>
      </w:r>
    </w:p>
    <w:p w14:paraId="634D5C5B">
      <w:pPr>
        <w:numPr>
          <w:ilvl w:val="0"/>
          <w:numId w:val="19"/>
        </w:numPr>
        <w:tabs>
          <w:tab w:val="left" w:pos="993"/>
          <w:tab w:val="clear" w:pos="720"/>
        </w:tabs>
        <w:spacing w:before="286" w:beforeLines="100" w:after="143" w:afterLines="50" w:line="360" w:lineRule="auto"/>
        <w:outlineLvl w:val="3"/>
        <w:rPr>
          <w:rFonts w:hint="eastAsia" w:ascii="宋体" w:hAnsi="宋体" w:cs="宋体"/>
          <w:sz w:val="22"/>
          <w:szCs w:val="22"/>
          <w:highlight w:val="none"/>
        </w:rPr>
      </w:pPr>
      <w:bookmarkStart w:id="16" w:name="_Toc370813034"/>
      <w:bookmarkStart w:id="17" w:name="_Toc370812982"/>
      <w:r>
        <w:rPr>
          <w:rFonts w:hint="eastAsia" w:ascii="宋体" w:hAnsi="宋体" w:cs="宋体"/>
          <w:sz w:val="22"/>
          <w:szCs w:val="22"/>
          <w:highlight w:val="none"/>
        </w:rPr>
        <w:t>员工基本素质</w:t>
      </w:r>
      <w:bookmarkEnd w:id="16"/>
      <w:bookmarkEnd w:id="17"/>
    </w:p>
    <w:p w14:paraId="1E476781">
      <w:pPr>
        <w:numPr>
          <w:ilvl w:val="0"/>
          <w:numId w:val="21"/>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管理岗位人员应取得相应的职业资质证书或岗位证书、专业技术证书，操作/服务岗位人员应取得相应的专业技能证书或职业技能资格证书。</w:t>
      </w:r>
    </w:p>
    <w:p w14:paraId="6ACE802D">
      <w:pPr>
        <w:numPr>
          <w:ilvl w:val="0"/>
          <w:numId w:val="21"/>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现场管理与服务人员应符合入职审核的相关规定，均应通过政治审核，无刑事犯罪记录，并需征得业主方的同意。</w:t>
      </w:r>
    </w:p>
    <w:p w14:paraId="077CB5B1">
      <w:pPr>
        <w:numPr>
          <w:ilvl w:val="0"/>
          <w:numId w:val="21"/>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管理和服务人员应按规定统一着装、着装整齐清洁，仪表仪容整洁端，佩戴标志、站姿端正、坐姿稳重，行为规范、服务主动。</w:t>
      </w:r>
    </w:p>
    <w:p w14:paraId="7231EB88">
      <w:pPr>
        <w:numPr>
          <w:ilvl w:val="0"/>
          <w:numId w:val="21"/>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管理和服务人员在工作中应保持良好的精神状态，表情自然、亲切，举止大方、有礼，用语文明、规范，对待使用单位（人）主动、热情、耐心、周到并及时为使用单位（人）提供服务。</w:t>
      </w:r>
    </w:p>
    <w:p w14:paraId="2F09F10F">
      <w:pPr>
        <w:numPr>
          <w:ilvl w:val="0"/>
          <w:numId w:val="21"/>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建立对现场管理和服务人员的考评和奖惩制度，并提供具体的考评和奖惩的实施措施和办法，通过合理的激励机制，促使员工队伍优胜劣汰。</w:t>
      </w:r>
    </w:p>
    <w:p w14:paraId="16F12E73">
      <w:pPr>
        <w:numPr>
          <w:ilvl w:val="1"/>
          <w:numId w:val="18"/>
        </w:numPr>
        <w:tabs>
          <w:tab w:val="left" w:pos="709"/>
        </w:tabs>
        <w:spacing w:before="429" w:beforeLines="150" w:after="143" w:afterLines="50" w:line="360" w:lineRule="auto"/>
        <w:jc w:val="left"/>
        <w:outlineLvl w:val="1"/>
        <w:rPr>
          <w:rFonts w:hint="eastAsia" w:ascii="宋体" w:hAnsi="宋体" w:cs="宋体"/>
          <w:bCs/>
          <w:sz w:val="22"/>
          <w:szCs w:val="22"/>
          <w:highlight w:val="none"/>
        </w:rPr>
      </w:pPr>
      <w:bookmarkStart w:id="18" w:name="_Toc370813035"/>
      <w:bookmarkStart w:id="19" w:name="_Toc370812983"/>
      <w:r>
        <w:rPr>
          <w:rFonts w:hint="eastAsia" w:ascii="宋体" w:hAnsi="宋体" w:cs="宋体"/>
          <w:bCs/>
          <w:sz w:val="22"/>
          <w:szCs w:val="22"/>
          <w:highlight w:val="none"/>
          <w:lang w:val="en-US" w:eastAsia="zh-CN"/>
        </w:rPr>
        <w:t>管理</w:t>
      </w:r>
      <w:r>
        <w:rPr>
          <w:rFonts w:hint="eastAsia" w:ascii="宋体" w:hAnsi="宋体" w:cs="宋体"/>
          <w:bCs/>
          <w:sz w:val="22"/>
          <w:szCs w:val="22"/>
          <w:highlight w:val="none"/>
        </w:rPr>
        <w:t>人员</w:t>
      </w:r>
      <w:r>
        <w:rPr>
          <w:rFonts w:hint="eastAsia" w:ascii="宋体" w:hAnsi="宋体" w:cs="宋体"/>
          <w:bCs/>
          <w:sz w:val="22"/>
          <w:szCs w:val="22"/>
          <w:highlight w:val="none"/>
          <w:lang w:val="en-US" w:eastAsia="zh-CN"/>
        </w:rPr>
        <w:t>及服务人员</w:t>
      </w:r>
      <w:r>
        <w:rPr>
          <w:rFonts w:hint="eastAsia" w:ascii="宋体" w:hAnsi="宋体" w:cs="宋体"/>
          <w:bCs/>
          <w:sz w:val="22"/>
          <w:szCs w:val="22"/>
          <w:highlight w:val="none"/>
        </w:rPr>
        <w:t>的任职标准</w:t>
      </w:r>
      <w:bookmarkEnd w:id="18"/>
      <w:bookmarkEnd w:id="19"/>
    </w:p>
    <w:p w14:paraId="4EC9894D">
      <w:pPr>
        <w:numPr>
          <w:ilvl w:val="0"/>
          <w:numId w:val="22"/>
        </w:numPr>
        <w:tabs>
          <w:tab w:val="left" w:pos="993"/>
        </w:tabs>
        <w:spacing w:after="143" w:afterLines="50" w:line="360" w:lineRule="auto"/>
        <w:outlineLvl w:val="3"/>
        <w:rPr>
          <w:rFonts w:hint="eastAsia" w:ascii="宋体" w:hAnsi="宋体" w:cs="宋体"/>
          <w:sz w:val="22"/>
          <w:szCs w:val="22"/>
          <w:highlight w:val="none"/>
        </w:rPr>
      </w:pPr>
      <w:bookmarkStart w:id="20" w:name="_Toc370813036"/>
      <w:bookmarkStart w:id="21" w:name="_Toc370812984"/>
      <w:r>
        <w:rPr>
          <w:rFonts w:hint="eastAsia" w:ascii="宋体" w:hAnsi="宋体" w:cs="宋体"/>
          <w:sz w:val="22"/>
          <w:szCs w:val="22"/>
          <w:highlight w:val="none"/>
          <w:lang w:val="en-US" w:eastAsia="zh-CN"/>
        </w:rPr>
        <w:t>管理人员：</w:t>
      </w:r>
      <w:r>
        <w:rPr>
          <w:rFonts w:hint="eastAsia" w:ascii="宋体" w:hAnsi="宋体" w:cs="宋体"/>
          <w:sz w:val="22"/>
          <w:szCs w:val="22"/>
          <w:highlight w:val="none"/>
        </w:rPr>
        <w:t>物业经理</w:t>
      </w:r>
      <w:bookmarkEnd w:id="20"/>
      <w:bookmarkEnd w:id="21"/>
    </w:p>
    <w:p w14:paraId="76B8CA6C">
      <w:pPr>
        <w:numPr>
          <w:ilvl w:val="0"/>
          <w:numId w:val="23"/>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基本素质：有责任心、事业心强，吃苦耐劳，爱岗敬业，廉洁自律，具有很强的组织管理能力、协调能力和良好的心理素质。</w:t>
      </w:r>
    </w:p>
    <w:p w14:paraId="3FA190CC">
      <w:pPr>
        <w:numPr>
          <w:ilvl w:val="0"/>
          <w:numId w:val="23"/>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自然条件：五官端正、身体健康、</w:t>
      </w:r>
      <w:r>
        <w:rPr>
          <w:rFonts w:hint="eastAsia" w:ascii="宋体" w:hAnsi="宋体" w:cs="宋体"/>
          <w:sz w:val="22"/>
          <w:szCs w:val="22"/>
          <w:highlight w:val="none"/>
          <w:lang w:val="en-US" w:eastAsia="zh-CN"/>
        </w:rPr>
        <w:t>年龄</w:t>
      </w:r>
      <w:r>
        <w:rPr>
          <w:rFonts w:hint="eastAsia" w:ascii="宋体" w:hAnsi="宋体" w:cs="宋体"/>
          <w:sz w:val="22"/>
          <w:szCs w:val="22"/>
          <w:highlight w:val="none"/>
        </w:rPr>
        <w:t>≤50岁。</w:t>
      </w:r>
    </w:p>
    <w:p w14:paraId="5AF03578">
      <w:pPr>
        <w:numPr>
          <w:ilvl w:val="0"/>
          <w:numId w:val="23"/>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文化程度：</w:t>
      </w:r>
      <w:r>
        <w:rPr>
          <w:rFonts w:hint="eastAsia" w:ascii="宋体" w:hAnsi="宋体" w:cs="宋体"/>
          <w:sz w:val="22"/>
          <w:szCs w:val="22"/>
          <w:highlight w:val="none"/>
          <w:lang w:eastAsia="zh-CN"/>
        </w:rPr>
        <w:t>本科</w:t>
      </w:r>
      <w:r>
        <w:rPr>
          <w:rFonts w:hint="eastAsia" w:ascii="宋体" w:hAnsi="宋体" w:cs="宋体"/>
          <w:sz w:val="22"/>
          <w:szCs w:val="22"/>
          <w:highlight w:val="none"/>
        </w:rPr>
        <w:t>及以上学历。</w:t>
      </w:r>
    </w:p>
    <w:p w14:paraId="2CAECBE3">
      <w:pPr>
        <w:numPr>
          <w:ilvl w:val="0"/>
          <w:numId w:val="23"/>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专业资格要求：持有上海市物业管理行业协会</w:t>
      </w:r>
      <w:r>
        <w:rPr>
          <w:rFonts w:hint="eastAsia" w:ascii="宋体" w:hAnsi="宋体" w:cs="宋体"/>
          <w:sz w:val="22"/>
          <w:szCs w:val="22"/>
          <w:highlight w:val="none"/>
          <w:lang w:eastAsia="zh-CN"/>
        </w:rPr>
        <w:t>颁发的物业经理证书或中国物业管理协会颁发的</w:t>
      </w:r>
      <w:r>
        <w:rPr>
          <w:rFonts w:hint="eastAsia" w:ascii="宋体" w:hAnsi="宋体" w:cs="宋体"/>
          <w:sz w:val="22"/>
          <w:szCs w:val="22"/>
          <w:highlight w:val="none"/>
        </w:rPr>
        <w:t>助理物业管理师或以上职业资格证书。</w:t>
      </w:r>
    </w:p>
    <w:p w14:paraId="400AD5A4">
      <w:pPr>
        <w:numPr>
          <w:ilvl w:val="0"/>
          <w:numId w:val="23"/>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相关知识要求：熟悉物业管理服务专业知识及相关的法律法规，具有运行ISO9000质量管理体系的经历。</w:t>
      </w:r>
    </w:p>
    <w:p w14:paraId="2CEF4E1F">
      <w:pPr>
        <w:numPr>
          <w:ilvl w:val="0"/>
          <w:numId w:val="23"/>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经验要求：担任过与五里桥人才公寓同等规模的政府机关、商务办公楼等相关非住宅物业的项目经理或负责人，并具有上述岗位</w:t>
      </w:r>
      <w:r>
        <w:rPr>
          <w:rFonts w:hint="eastAsia" w:ascii="宋体" w:hAnsi="宋体" w:cs="宋体"/>
          <w:sz w:val="22"/>
          <w:szCs w:val="22"/>
          <w:highlight w:val="none"/>
          <w:lang w:val="en-US" w:eastAsia="zh-CN"/>
        </w:rPr>
        <w:t>5</w:t>
      </w:r>
      <w:bookmarkStart w:id="26" w:name="_GoBack"/>
      <w:bookmarkEnd w:id="26"/>
      <w:r>
        <w:rPr>
          <w:rFonts w:hint="eastAsia" w:ascii="宋体" w:hAnsi="宋体" w:cs="宋体"/>
          <w:sz w:val="22"/>
          <w:szCs w:val="22"/>
          <w:highlight w:val="none"/>
        </w:rPr>
        <w:t>年以上的工作经验。</w:t>
      </w:r>
    </w:p>
    <w:p w14:paraId="29BC1C6D">
      <w:pPr>
        <w:numPr>
          <w:ilvl w:val="0"/>
          <w:numId w:val="22"/>
        </w:numPr>
        <w:tabs>
          <w:tab w:val="left" w:pos="993"/>
        </w:tabs>
        <w:spacing w:before="286" w:beforeLines="100" w:after="143" w:afterLines="50" w:line="360" w:lineRule="auto"/>
        <w:outlineLvl w:val="3"/>
        <w:rPr>
          <w:rFonts w:hint="eastAsia" w:ascii="宋体" w:hAnsi="宋体" w:cs="宋体"/>
          <w:sz w:val="22"/>
          <w:szCs w:val="22"/>
          <w:highlight w:val="none"/>
        </w:rPr>
      </w:pPr>
      <w:bookmarkStart w:id="22" w:name="_Toc370813039"/>
      <w:bookmarkStart w:id="23" w:name="_Toc370812987"/>
      <w:r>
        <w:rPr>
          <w:rFonts w:hint="eastAsia" w:ascii="宋体" w:hAnsi="宋体" w:cs="宋体"/>
          <w:sz w:val="22"/>
          <w:szCs w:val="22"/>
          <w:highlight w:val="none"/>
          <w:lang w:val="en-US" w:eastAsia="zh-CN"/>
        </w:rPr>
        <w:t>服务人员：</w:t>
      </w:r>
      <w:r>
        <w:rPr>
          <w:rFonts w:hint="eastAsia" w:ascii="宋体" w:hAnsi="宋体" w:cs="宋体"/>
          <w:sz w:val="22"/>
          <w:szCs w:val="22"/>
          <w:highlight w:val="none"/>
        </w:rPr>
        <w:t>保洁、保安人员</w:t>
      </w:r>
      <w:bookmarkEnd w:id="22"/>
      <w:bookmarkEnd w:id="23"/>
      <w:r>
        <w:rPr>
          <w:rFonts w:hint="eastAsia" w:ascii="宋体" w:hAnsi="宋体" w:cs="宋体"/>
          <w:sz w:val="22"/>
          <w:szCs w:val="22"/>
          <w:highlight w:val="none"/>
        </w:rPr>
        <w:t xml:space="preserve"> </w:t>
      </w:r>
    </w:p>
    <w:p w14:paraId="7E76D6EC">
      <w:pPr>
        <w:numPr>
          <w:ilvl w:val="0"/>
          <w:numId w:val="24"/>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自然条件：男性≤58岁/女性≤50岁，身体健康、体貌端正，普通话标准。</w:t>
      </w:r>
    </w:p>
    <w:p w14:paraId="082C5019">
      <w:pPr>
        <w:numPr>
          <w:ilvl w:val="0"/>
          <w:numId w:val="24"/>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保安人员需经过保安公司严格的安保培训。</w:t>
      </w:r>
    </w:p>
    <w:p w14:paraId="286CBF89">
      <w:pPr>
        <w:numPr>
          <w:ilvl w:val="0"/>
          <w:numId w:val="24"/>
        </w:numPr>
        <w:spacing w:line="360" w:lineRule="auto"/>
        <w:ind w:firstLine="206" w:firstLineChars="94"/>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监控室岗位安保人员需持有四级及以上等级证书。</w:t>
      </w:r>
    </w:p>
    <w:p w14:paraId="236EEA1B">
      <w:pPr>
        <w:numPr>
          <w:ilvl w:val="0"/>
          <w:numId w:val="22"/>
        </w:numPr>
        <w:tabs>
          <w:tab w:val="left" w:pos="993"/>
        </w:tabs>
        <w:spacing w:before="286" w:beforeLines="100" w:after="143" w:afterLines="50" w:line="360" w:lineRule="auto"/>
        <w:outlineLvl w:val="3"/>
        <w:rPr>
          <w:rFonts w:hint="eastAsia" w:ascii="宋体" w:hAnsi="宋体" w:cs="宋体"/>
          <w:sz w:val="22"/>
          <w:szCs w:val="22"/>
          <w:highlight w:val="none"/>
        </w:rPr>
      </w:pPr>
      <w:bookmarkStart w:id="24" w:name="_Toc370812988"/>
      <w:bookmarkStart w:id="25" w:name="_Toc370813040"/>
      <w:r>
        <w:rPr>
          <w:rFonts w:hint="eastAsia" w:ascii="宋体" w:hAnsi="宋体" w:cs="宋体"/>
          <w:sz w:val="22"/>
          <w:szCs w:val="22"/>
          <w:highlight w:val="none"/>
          <w:lang w:val="en-US" w:eastAsia="zh-CN"/>
        </w:rPr>
        <w:t>服务人员：</w:t>
      </w:r>
      <w:r>
        <w:rPr>
          <w:rFonts w:hint="eastAsia" w:ascii="宋体" w:hAnsi="宋体" w:cs="宋体"/>
          <w:sz w:val="22"/>
          <w:szCs w:val="22"/>
          <w:highlight w:val="none"/>
        </w:rPr>
        <w:t>工程操作维修人员</w:t>
      </w:r>
      <w:bookmarkEnd w:id="24"/>
      <w:bookmarkEnd w:id="25"/>
    </w:p>
    <w:p w14:paraId="048E0033">
      <w:pPr>
        <w:numPr>
          <w:ilvl w:val="0"/>
          <w:numId w:val="25"/>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自然条件：男性，年龄≤60足岁，身体健康，普通话标准。</w:t>
      </w:r>
    </w:p>
    <w:p w14:paraId="40592160">
      <w:pPr>
        <w:numPr>
          <w:ilvl w:val="0"/>
          <w:numId w:val="25"/>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专业资格要求：电工应具有高低压操作证及上岗证书；万能工应具有水/电/风/弱电/焊等技术等级证书或上岗证书。</w:t>
      </w:r>
    </w:p>
    <w:p w14:paraId="4C2DB8EA">
      <w:pPr>
        <w:numPr>
          <w:ilvl w:val="0"/>
          <w:numId w:val="22"/>
        </w:numPr>
        <w:tabs>
          <w:tab w:val="left" w:pos="993"/>
        </w:tabs>
        <w:spacing w:before="286" w:beforeLines="100" w:after="143" w:afterLines="50" w:line="360" w:lineRule="auto"/>
        <w:outlineLvl w:val="3"/>
        <w:rPr>
          <w:rFonts w:hint="eastAsia" w:ascii="宋体" w:hAnsi="宋体" w:cs="宋体"/>
          <w:sz w:val="22"/>
          <w:szCs w:val="22"/>
          <w:highlight w:val="none"/>
        </w:rPr>
      </w:pPr>
      <w:r>
        <w:rPr>
          <w:rFonts w:hint="eastAsia" w:ascii="宋体" w:hAnsi="宋体" w:cs="宋体"/>
          <w:sz w:val="22"/>
          <w:szCs w:val="22"/>
          <w:highlight w:val="none"/>
          <w:lang w:val="en-US" w:eastAsia="zh-CN"/>
        </w:rPr>
        <w:t>服务人员：前台</w:t>
      </w:r>
      <w:r>
        <w:rPr>
          <w:rFonts w:hint="eastAsia" w:ascii="宋体" w:hAnsi="宋体" w:cs="宋体"/>
          <w:sz w:val="22"/>
          <w:szCs w:val="22"/>
          <w:highlight w:val="none"/>
        </w:rPr>
        <w:t>管理人员</w:t>
      </w:r>
    </w:p>
    <w:p w14:paraId="2A01F8F8">
      <w:p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（1）自然条件：人员年龄≤50足岁，身体健康、体貌端正，普通话标准。</w:t>
      </w:r>
    </w:p>
    <w:p w14:paraId="20F4E96D">
      <w:pPr>
        <w:spacing w:line="360" w:lineRule="auto"/>
        <w:rPr>
          <w:rFonts w:hint="eastAsia" w:ascii="宋体" w:hAnsi="宋体" w:cs="宋体"/>
          <w:sz w:val="22"/>
          <w:szCs w:val="22"/>
          <w:highlight w:val="none"/>
        </w:rPr>
      </w:pPr>
      <w:r>
        <w:rPr>
          <w:rFonts w:hint="eastAsia" w:ascii="宋体" w:hAnsi="宋体" w:cs="宋体"/>
          <w:sz w:val="22"/>
          <w:szCs w:val="22"/>
          <w:highlight w:val="none"/>
        </w:rPr>
        <w:t xml:space="preserve">  （2）文化程度：具有高中或中专以上毕业证书。</w:t>
      </w:r>
    </w:p>
    <w:p w14:paraId="20F27C3F">
      <w:pPr>
        <w:spacing w:line="360" w:lineRule="auto"/>
        <w:rPr>
          <w:rFonts w:hint="eastAsia" w:ascii="宋体" w:hAnsi="宋体" w:cs="宋体"/>
          <w:sz w:val="22"/>
          <w:szCs w:val="22"/>
          <w:highlight w:val="none"/>
        </w:rPr>
      </w:pPr>
      <w:r>
        <w:rPr>
          <w:rFonts w:hint="eastAsia" w:ascii="宋体" w:hAnsi="宋体" w:cs="宋体"/>
          <w:sz w:val="22"/>
          <w:szCs w:val="22"/>
          <w:highlight w:val="none"/>
        </w:rPr>
        <w:t xml:space="preserve">  （3）相关知识要求：熟练应用电脑，具有管理意识及经验，思路清晰，具有较强的团队精神。</w:t>
      </w:r>
    </w:p>
    <w:p w14:paraId="1B3440DB">
      <w:pPr>
        <w:spacing w:line="360" w:lineRule="auto"/>
        <w:ind w:firstLine="220" w:firstLineChars="1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提供</w:t>
      </w:r>
      <w:r>
        <w:rPr>
          <w:rFonts w:hint="eastAsia" w:ascii="宋体" w:hAnsi="宋体" w:eastAsia="宋体" w:cs="宋体"/>
          <w:sz w:val="22"/>
          <w:szCs w:val="22"/>
          <w:highlight w:val="none"/>
          <w:lang w:val="en-US" w:eastAsia="zh-CN"/>
        </w:rPr>
        <w:t>选房看房、</w:t>
      </w:r>
      <w:r>
        <w:rPr>
          <w:rFonts w:hint="eastAsia" w:ascii="宋体" w:hAnsi="宋体" w:eastAsia="宋体" w:cs="宋体"/>
          <w:sz w:val="22"/>
          <w:szCs w:val="22"/>
          <w:highlight w:val="none"/>
        </w:rPr>
        <w:t>入住前期</w:t>
      </w:r>
      <w:r>
        <w:rPr>
          <w:rFonts w:hint="eastAsia" w:ascii="宋体" w:hAnsi="宋体" w:eastAsia="宋体" w:cs="宋体"/>
          <w:sz w:val="22"/>
          <w:szCs w:val="22"/>
          <w:highlight w:val="none"/>
          <w:lang w:val="en-US" w:eastAsia="zh-CN"/>
        </w:rPr>
        <w:t>咨询</w:t>
      </w:r>
      <w:r>
        <w:rPr>
          <w:rFonts w:hint="eastAsia" w:ascii="宋体" w:hAnsi="宋体" w:eastAsia="宋体" w:cs="宋体"/>
          <w:sz w:val="22"/>
          <w:szCs w:val="22"/>
          <w:highlight w:val="none"/>
        </w:rPr>
        <w:t>受理、入住信息维护、房屋租金续交、租房合同续签、房屋退租办理</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信息汇总分析</w:t>
      </w:r>
      <w:r>
        <w:rPr>
          <w:rFonts w:hint="eastAsia" w:ascii="宋体" w:hAnsi="宋体" w:eastAsia="宋体" w:cs="宋体"/>
          <w:sz w:val="22"/>
          <w:szCs w:val="22"/>
          <w:highlight w:val="none"/>
        </w:rPr>
        <w:t>等</w:t>
      </w:r>
      <w:r>
        <w:rPr>
          <w:rFonts w:hint="eastAsia" w:ascii="宋体" w:hAnsi="宋体" w:eastAsia="宋体" w:cs="宋体"/>
          <w:sz w:val="22"/>
          <w:szCs w:val="22"/>
          <w:highlight w:val="none"/>
          <w:lang w:val="en-US" w:eastAsia="zh-CN"/>
        </w:rPr>
        <w:t>日常</w:t>
      </w:r>
      <w:r>
        <w:rPr>
          <w:rFonts w:hint="eastAsia" w:ascii="宋体" w:hAnsi="宋体" w:eastAsia="宋体" w:cs="宋体"/>
          <w:sz w:val="22"/>
          <w:szCs w:val="22"/>
          <w:highlight w:val="none"/>
        </w:rPr>
        <w:t>基本服务</w:t>
      </w:r>
      <w:r>
        <w:rPr>
          <w:rFonts w:hint="eastAsia" w:ascii="宋体" w:hAnsi="宋体" w:eastAsia="宋体" w:cs="宋体"/>
          <w:sz w:val="22"/>
          <w:szCs w:val="22"/>
          <w:highlight w:val="none"/>
          <w:lang w:val="en-US" w:eastAsia="zh-CN"/>
        </w:rPr>
        <w:t>和管理</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配合实施开展人才专题活动，加强人才公寓宣传推介等专业提升服务</w:t>
      </w:r>
    </w:p>
    <w:p w14:paraId="26F00522">
      <w:pPr>
        <w:spacing w:line="360" w:lineRule="auto"/>
        <w:rPr>
          <w:rFonts w:hint="eastAsia" w:ascii="宋体" w:hAnsi="宋体" w:cs="宋体"/>
          <w:sz w:val="22"/>
          <w:szCs w:val="22"/>
          <w:highlight w:val="none"/>
        </w:rPr>
      </w:pPr>
      <w:r>
        <w:rPr>
          <w:rFonts w:hint="eastAsia" w:ascii="宋体" w:hAnsi="宋体" w:cs="宋体"/>
          <w:sz w:val="22"/>
          <w:szCs w:val="22"/>
          <w:highlight w:val="none"/>
        </w:rPr>
        <w:t xml:space="preserve">  （</w:t>
      </w:r>
      <w:r>
        <w:rPr>
          <w:rFonts w:hint="eastAsia" w:ascii="宋体" w:hAnsi="宋体" w:cs="宋体"/>
          <w:sz w:val="22"/>
          <w:szCs w:val="22"/>
          <w:highlight w:val="none"/>
          <w:lang w:val="en-US" w:eastAsia="zh-CN"/>
        </w:rPr>
        <w:t>5</w:t>
      </w:r>
      <w:r>
        <w:rPr>
          <w:rFonts w:hint="eastAsia" w:ascii="宋体" w:hAnsi="宋体" w:cs="宋体"/>
          <w:sz w:val="22"/>
          <w:szCs w:val="22"/>
          <w:highlight w:val="none"/>
        </w:rPr>
        <w:t>）每月做好水、电、煤表的数据抄录，并且代收代缴水、电、煤等费用。协助项目经理做好日常工作。</w:t>
      </w:r>
    </w:p>
    <w:p w14:paraId="16C303DA">
      <w:pPr>
        <w:tabs>
          <w:tab w:val="left" w:pos="709"/>
        </w:tabs>
        <w:spacing w:line="360" w:lineRule="auto"/>
        <w:rPr>
          <w:rFonts w:hint="eastAsia" w:ascii="宋体" w:hAnsi="宋体" w:cs="宋体"/>
          <w:sz w:val="22"/>
          <w:szCs w:val="22"/>
          <w:highlight w:val="none"/>
        </w:rPr>
      </w:pPr>
    </w:p>
    <w:p w14:paraId="26E1A275">
      <w:pPr>
        <w:numPr>
          <w:ilvl w:val="0"/>
          <w:numId w:val="1"/>
        </w:numPr>
        <w:tabs>
          <w:tab w:val="left" w:pos="616"/>
          <w:tab w:val="clear" w:pos="480"/>
        </w:tabs>
        <w:spacing w:after="286" w:afterLines="100" w:line="360" w:lineRule="auto"/>
        <w:ind w:left="508" w:hanging="508" w:hangingChars="230"/>
        <w:outlineLvl w:val="0"/>
        <w:rPr>
          <w:rFonts w:hint="eastAsia" w:ascii="宋体" w:hAnsi="宋体" w:cs="宋体"/>
          <w:b/>
          <w:sz w:val="22"/>
          <w:szCs w:val="22"/>
          <w:highlight w:val="none"/>
        </w:rPr>
      </w:pPr>
      <w:r>
        <w:rPr>
          <w:rFonts w:hint="eastAsia" w:ascii="宋体" w:hAnsi="宋体" w:cs="宋体"/>
          <w:b/>
          <w:sz w:val="22"/>
          <w:szCs w:val="22"/>
          <w:highlight w:val="none"/>
        </w:rPr>
        <w:t>费用报价的要求</w:t>
      </w:r>
    </w:p>
    <w:p w14:paraId="08C3B0C4">
      <w:pPr>
        <w:numPr>
          <w:ilvl w:val="0"/>
          <w:numId w:val="26"/>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本项目服务期限为</w:t>
      </w:r>
      <w:r>
        <w:rPr>
          <w:rFonts w:hint="eastAsia" w:ascii="宋体" w:hAnsi="宋体" w:cs="宋体"/>
          <w:sz w:val="22"/>
          <w:szCs w:val="22"/>
          <w:highlight w:val="none"/>
          <w:u w:val="single"/>
        </w:rPr>
        <w:t xml:space="preserve">  一 </w:t>
      </w:r>
      <w:r>
        <w:rPr>
          <w:rFonts w:hint="eastAsia" w:ascii="宋体" w:hAnsi="宋体" w:cs="宋体"/>
          <w:sz w:val="22"/>
          <w:szCs w:val="22"/>
          <w:highlight w:val="none"/>
        </w:rPr>
        <w:t>年，签订一年物业管理服务合同。物业管理服务费的支付，以物业管理提供的相应服务标准进行支付。</w:t>
      </w:r>
    </w:p>
    <w:p w14:paraId="1ACBD3A3">
      <w:pPr>
        <w:numPr>
          <w:ilvl w:val="0"/>
          <w:numId w:val="26"/>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本次投标报价为包干制，投标人报价应是履行合同的最终价格。各投标人应根据招标内容结合自己的管理经验、水平和市场风险，充分考虑服务期限内工资及物价增长调整因素，结合本单位物业管理水平和承受能力，测算并确定服务期限内每一年度物业管理费用报价以及支出明细。</w:t>
      </w:r>
    </w:p>
    <w:p w14:paraId="04DF6231">
      <w:pPr>
        <w:numPr>
          <w:ilvl w:val="0"/>
          <w:numId w:val="26"/>
        </w:numPr>
        <w:spacing w:line="360" w:lineRule="auto"/>
        <w:ind w:firstLine="206" w:firstLineChars="94"/>
        <w:rPr>
          <w:rFonts w:hint="eastAsia" w:ascii="宋体" w:hAnsi="宋体" w:cs="宋体"/>
          <w:sz w:val="22"/>
          <w:szCs w:val="22"/>
          <w:highlight w:val="none"/>
        </w:rPr>
      </w:pPr>
      <w:r>
        <w:rPr>
          <w:rFonts w:hint="eastAsia" w:ascii="宋体" w:hAnsi="宋体" w:cs="宋体"/>
          <w:sz w:val="22"/>
          <w:szCs w:val="22"/>
          <w:highlight w:val="none"/>
        </w:rPr>
        <w:t>本次投标报价的费用组成中，应包含以下内容：</w:t>
      </w:r>
    </w:p>
    <w:p w14:paraId="1A547248">
      <w:pPr>
        <w:numPr>
          <w:ilvl w:val="1"/>
          <w:numId w:val="27"/>
        </w:numPr>
        <w:tabs>
          <w:tab w:val="clear" w:pos="420"/>
        </w:tabs>
        <w:spacing w:line="360" w:lineRule="auto"/>
        <w:ind w:left="567" w:firstLine="0"/>
        <w:rPr>
          <w:rFonts w:hint="eastAsia" w:ascii="宋体" w:hAnsi="宋体" w:eastAsia="宋体" w:cs="宋体"/>
          <w:bCs/>
          <w:sz w:val="22"/>
          <w:szCs w:val="22"/>
          <w:highlight w:val="none"/>
        </w:rPr>
      </w:pPr>
      <w:r>
        <w:rPr>
          <w:rFonts w:hint="eastAsia" w:ascii="宋体" w:hAnsi="宋体" w:eastAsia="宋体" w:cs="宋体"/>
          <w:bCs/>
          <w:sz w:val="22"/>
          <w:szCs w:val="22"/>
          <w:highlight w:val="none"/>
        </w:rPr>
        <w:t>人员费用：管理与服务人员工资、奖金及国家规定应缴纳的各类费用，以及员工福利等，工作人员薪资不得低于上海市最低工资标准。</w:t>
      </w:r>
    </w:p>
    <w:p w14:paraId="03DE70D0">
      <w:pPr>
        <w:numPr>
          <w:ilvl w:val="1"/>
          <w:numId w:val="27"/>
        </w:numPr>
        <w:tabs>
          <w:tab w:val="clear" w:pos="420"/>
        </w:tabs>
        <w:spacing w:line="360" w:lineRule="auto"/>
        <w:ind w:left="567" w:firstLine="0"/>
        <w:rPr>
          <w:rFonts w:hint="eastAsia" w:ascii="宋体" w:hAnsi="宋体" w:eastAsia="宋体" w:cs="宋体"/>
          <w:bCs/>
          <w:sz w:val="22"/>
          <w:szCs w:val="22"/>
          <w:highlight w:val="none"/>
        </w:rPr>
      </w:pPr>
      <w:r>
        <w:rPr>
          <w:rFonts w:hint="eastAsia" w:ascii="宋体" w:hAnsi="宋体" w:eastAsia="宋体" w:cs="宋体"/>
          <w:bCs/>
          <w:sz w:val="22"/>
          <w:szCs w:val="22"/>
          <w:highlight w:val="none"/>
        </w:rPr>
        <w:t>办公费用：对本项目管理与服务所产生的必须的办公用品费、交通费、服装费、直线电话费及</w:t>
      </w:r>
      <w:r>
        <w:rPr>
          <w:rFonts w:hint="eastAsia" w:ascii="宋体" w:hAnsi="宋体" w:eastAsia="宋体" w:cs="宋体"/>
          <w:bCs/>
          <w:sz w:val="22"/>
          <w:szCs w:val="22"/>
          <w:highlight w:val="none"/>
        </w:rPr>
        <w:fldChar w:fldCharType="begin"/>
      </w:r>
      <w:r>
        <w:rPr>
          <w:rFonts w:hint="eastAsia" w:ascii="宋体" w:hAnsi="宋体" w:eastAsia="宋体" w:cs="宋体"/>
          <w:bCs/>
          <w:sz w:val="22"/>
          <w:szCs w:val="22"/>
          <w:highlight w:val="none"/>
        </w:rPr>
        <w:instrText xml:space="preserve"> HYPERLINK "http://www.edeng.cn/data/china/fujian/qita/" \t "_blank" </w:instrText>
      </w:r>
      <w:r>
        <w:rPr>
          <w:rFonts w:hint="eastAsia" w:ascii="宋体" w:hAnsi="宋体" w:eastAsia="宋体" w:cs="宋体"/>
          <w:bCs/>
          <w:sz w:val="22"/>
          <w:szCs w:val="22"/>
          <w:highlight w:val="none"/>
        </w:rPr>
        <w:fldChar w:fldCharType="separate"/>
      </w:r>
      <w:r>
        <w:rPr>
          <w:rFonts w:hint="eastAsia" w:ascii="宋体" w:hAnsi="宋体" w:eastAsia="宋体" w:cs="宋体"/>
          <w:bCs/>
          <w:sz w:val="22"/>
          <w:szCs w:val="22"/>
          <w:highlight w:val="none"/>
        </w:rPr>
        <w:t>其它</w:t>
      </w:r>
      <w:r>
        <w:rPr>
          <w:rFonts w:hint="eastAsia" w:ascii="宋体" w:hAnsi="宋体" w:eastAsia="宋体" w:cs="宋体"/>
          <w:bCs/>
          <w:sz w:val="22"/>
          <w:szCs w:val="22"/>
          <w:highlight w:val="none"/>
        </w:rPr>
        <w:fldChar w:fldCharType="end"/>
      </w:r>
      <w:r>
        <w:rPr>
          <w:rFonts w:hint="eastAsia" w:ascii="宋体" w:hAnsi="宋体" w:eastAsia="宋体" w:cs="宋体"/>
          <w:bCs/>
          <w:sz w:val="22"/>
          <w:szCs w:val="22"/>
          <w:highlight w:val="none"/>
        </w:rPr>
        <w:t>费用。但不包括网络费用的支出。</w:t>
      </w:r>
    </w:p>
    <w:p w14:paraId="2BE07EDC">
      <w:pPr>
        <w:numPr>
          <w:ilvl w:val="1"/>
          <w:numId w:val="27"/>
        </w:numPr>
        <w:tabs>
          <w:tab w:val="clear" w:pos="420"/>
        </w:tabs>
        <w:spacing w:line="360" w:lineRule="auto"/>
        <w:ind w:left="567" w:firstLine="0"/>
        <w:rPr>
          <w:rFonts w:hint="eastAsia" w:ascii="宋体" w:hAnsi="宋体" w:eastAsia="宋体" w:cs="宋体"/>
          <w:bCs/>
          <w:sz w:val="22"/>
          <w:szCs w:val="22"/>
          <w:highlight w:val="none"/>
        </w:rPr>
      </w:pPr>
      <w:r>
        <w:rPr>
          <w:rFonts w:hint="eastAsia" w:ascii="宋体" w:hAnsi="宋体" w:eastAsia="宋体" w:cs="宋体"/>
          <w:bCs/>
          <w:sz w:val="22"/>
          <w:szCs w:val="22"/>
          <w:highlight w:val="none"/>
        </w:rPr>
        <w:t>清洁卫生费用：管理范围内进行环境卫生所需的各类清洁工具、消杀灭害、清洁用料、卫生消耗品、办公室内清洁、生活垃圾清运、外墙清洗(一年2次)、管路疏通等费用的支出。</w:t>
      </w:r>
    </w:p>
    <w:p w14:paraId="4C798737">
      <w:pPr>
        <w:numPr>
          <w:ilvl w:val="1"/>
          <w:numId w:val="27"/>
        </w:numPr>
        <w:tabs>
          <w:tab w:val="clear" w:pos="420"/>
        </w:tabs>
        <w:spacing w:line="360" w:lineRule="auto"/>
        <w:ind w:left="567" w:firstLine="0"/>
        <w:rPr>
          <w:rFonts w:hint="eastAsia" w:ascii="宋体" w:hAnsi="宋体" w:cs="宋体"/>
          <w:bCs/>
          <w:sz w:val="22"/>
          <w:szCs w:val="22"/>
          <w:highlight w:val="none"/>
        </w:rPr>
      </w:pPr>
      <w:r>
        <w:rPr>
          <w:rFonts w:hint="eastAsia" w:ascii="宋体" w:hAnsi="宋体" w:eastAsia="宋体" w:cs="宋体"/>
          <w:bCs/>
          <w:sz w:val="22"/>
          <w:szCs w:val="22"/>
          <w:highlight w:val="none"/>
        </w:rPr>
        <w:t>绿化养护费用：包括管理、养护绿化所需的人工费用、养护费用、补苗费、农药化肥费、</w:t>
      </w:r>
      <w:r>
        <w:rPr>
          <w:rFonts w:hint="eastAsia" w:ascii="宋体" w:hAnsi="宋体" w:cs="宋体"/>
          <w:bCs/>
          <w:sz w:val="22"/>
          <w:szCs w:val="22"/>
          <w:highlight w:val="none"/>
        </w:rPr>
        <w:t>室内绿化租摆等费用支出。但不包括绿化养护用水费、电等能耗费用的支出。</w:t>
      </w:r>
    </w:p>
    <w:p w14:paraId="2C3A975A">
      <w:pPr>
        <w:numPr>
          <w:ilvl w:val="1"/>
          <w:numId w:val="27"/>
        </w:numPr>
        <w:tabs>
          <w:tab w:val="clear" w:pos="420"/>
        </w:tabs>
        <w:spacing w:line="360" w:lineRule="auto"/>
        <w:ind w:left="567" w:firstLine="0"/>
        <w:rPr>
          <w:rFonts w:hint="eastAsia" w:ascii="宋体" w:hAnsi="宋体" w:cs="宋体"/>
          <w:b/>
          <w:sz w:val="22"/>
          <w:szCs w:val="22"/>
          <w:highlight w:val="none"/>
        </w:rPr>
      </w:pPr>
      <w:r>
        <w:rPr>
          <w:rFonts w:hint="eastAsia" w:ascii="宋体" w:hAnsi="宋体" w:cs="宋体"/>
          <w:bCs/>
          <w:sz w:val="22"/>
          <w:szCs w:val="22"/>
          <w:highlight w:val="none"/>
        </w:rPr>
        <w:t>设备年检、业主委托的相关设备、设备系统的维护保养费用的支出。</w:t>
      </w:r>
    </w:p>
    <w:p w14:paraId="492EBA8C">
      <w:pPr>
        <w:numPr>
          <w:ilvl w:val="1"/>
          <w:numId w:val="27"/>
        </w:numPr>
        <w:tabs>
          <w:tab w:val="clear" w:pos="420"/>
        </w:tabs>
        <w:spacing w:line="360" w:lineRule="auto"/>
        <w:ind w:left="567" w:firstLine="0"/>
        <w:rPr>
          <w:rFonts w:hint="eastAsia" w:ascii="宋体" w:hAnsi="宋体" w:cs="宋体"/>
          <w:bCs/>
          <w:sz w:val="22"/>
          <w:szCs w:val="22"/>
          <w:highlight w:val="none"/>
        </w:rPr>
      </w:pPr>
      <w:r>
        <w:rPr>
          <w:rFonts w:hint="eastAsia" w:ascii="宋体" w:hAnsi="宋体" w:cs="宋体"/>
          <w:bCs/>
          <w:sz w:val="22"/>
          <w:szCs w:val="22"/>
          <w:highlight w:val="none"/>
          <w:lang w:val="en-US" w:eastAsia="zh-CN"/>
        </w:rPr>
        <w:t>基础运营/品牌推广</w:t>
      </w:r>
      <w:r>
        <w:rPr>
          <w:rFonts w:hint="eastAsia" w:ascii="宋体" w:hAnsi="宋体" w:cs="宋体"/>
          <w:bCs/>
          <w:sz w:val="22"/>
          <w:szCs w:val="22"/>
          <w:highlight w:val="none"/>
        </w:rPr>
        <w:t>：</w:t>
      </w:r>
      <w:r>
        <w:rPr>
          <w:rFonts w:hint="eastAsia" w:ascii="宋体" w:hAnsi="宋体" w:eastAsia="宋体" w:cs="宋体"/>
          <w:bCs/>
          <w:sz w:val="22"/>
          <w:szCs w:val="22"/>
          <w:highlight w:val="none"/>
          <w:lang w:val="en-US" w:eastAsia="zh-CN"/>
        </w:rPr>
        <w:t>实施开展人才专题活动，加强人才公寓宣传推介等专业提升服务费用的支出。</w:t>
      </w:r>
      <w:r>
        <w:rPr>
          <w:rFonts w:hint="eastAsia" w:ascii="宋体" w:hAnsi="宋体" w:cs="宋体"/>
          <w:bCs/>
          <w:sz w:val="22"/>
          <w:szCs w:val="22"/>
          <w:highlight w:val="none"/>
          <w:lang w:val="en-US" w:eastAsia="zh-CN"/>
        </w:rPr>
        <w:t xml:space="preserve">  </w:t>
      </w:r>
    </w:p>
    <w:p w14:paraId="26BCD676">
      <w:pPr>
        <w:numPr>
          <w:ilvl w:val="1"/>
          <w:numId w:val="27"/>
        </w:numPr>
        <w:tabs>
          <w:tab w:val="clear" w:pos="420"/>
        </w:tabs>
        <w:spacing w:line="360" w:lineRule="auto"/>
        <w:ind w:left="567" w:firstLine="0"/>
        <w:rPr>
          <w:rFonts w:hint="eastAsia" w:ascii="宋体" w:hAnsi="宋体" w:cs="宋体"/>
          <w:bCs/>
          <w:sz w:val="22"/>
          <w:szCs w:val="22"/>
          <w:highlight w:val="none"/>
        </w:rPr>
      </w:pPr>
      <w:r>
        <w:rPr>
          <w:rFonts w:hint="eastAsia" w:ascii="宋体" w:hAnsi="宋体" w:cs="宋体"/>
          <w:sz w:val="22"/>
          <w:szCs w:val="22"/>
          <w:highlight w:val="none"/>
        </w:rPr>
        <w:t>管理范围内</w:t>
      </w:r>
      <w:r>
        <w:rPr>
          <w:rFonts w:hint="eastAsia" w:ascii="宋体" w:hAnsi="宋体" w:cs="宋体"/>
          <w:bCs/>
          <w:sz w:val="22"/>
          <w:szCs w:val="22"/>
          <w:highlight w:val="none"/>
        </w:rPr>
        <w:t>维修所需费用：房屋零星小修、五金构件维修、照明器具维修更换（室内外）、标志标牌的维护等费用支出，单项维修费用为</w:t>
      </w:r>
      <w:r>
        <w:rPr>
          <w:rFonts w:hint="eastAsia" w:ascii="宋体" w:hAnsi="宋体" w:cs="宋体"/>
          <w:bCs/>
          <w:sz w:val="22"/>
          <w:szCs w:val="22"/>
          <w:highlight w:val="none"/>
          <w:u w:val="single"/>
        </w:rPr>
        <w:t xml:space="preserve"> 200</w:t>
      </w:r>
      <w:r>
        <w:rPr>
          <w:rFonts w:hint="eastAsia" w:ascii="宋体" w:hAnsi="宋体" w:cs="宋体"/>
          <w:bCs/>
          <w:sz w:val="22"/>
          <w:szCs w:val="22"/>
          <w:highlight w:val="none"/>
        </w:rPr>
        <w:t>元/次，超出此金额的维修项目则由业主方审核确认后支付。投标人认为与此次招标有关的必须的其他费用。</w:t>
      </w:r>
    </w:p>
    <w:p w14:paraId="3B93678A">
      <w:pPr>
        <w:numPr>
          <w:ilvl w:val="1"/>
          <w:numId w:val="27"/>
        </w:numPr>
        <w:tabs>
          <w:tab w:val="clear" w:pos="420"/>
        </w:tabs>
        <w:spacing w:line="360" w:lineRule="auto"/>
        <w:ind w:left="567" w:firstLine="0"/>
        <w:rPr>
          <w:rFonts w:hint="eastAsia" w:ascii="宋体" w:hAnsi="宋体" w:eastAsia="宋体" w:cs="宋体"/>
          <w:bCs/>
          <w:sz w:val="22"/>
          <w:szCs w:val="22"/>
          <w:highlight w:val="none"/>
        </w:rPr>
      </w:pPr>
      <w:r>
        <w:rPr>
          <w:rFonts w:hint="eastAsia" w:ascii="宋体" w:hAnsi="宋体" w:eastAsia="宋体" w:cs="宋体"/>
          <w:bCs/>
          <w:sz w:val="22"/>
          <w:szCs w:val="22"/>
          <w:highlight w:val="none"/>
        </w:rPr>
        <w:t>投标企业利润、管理费、风险等。</w:t>
      </w:r>
    </w:p>
    <w:p w14:paraId="78C93AEF">
      <w:pPr>
        <w:numPr>
          <w:ilvl w:val="1"/>
          <w:numId w:val="27"/>
        </w:numPr>
        <w:tabs>
          <w:tab w:val="clear" w:pos="420"/>
        </w:tabs>
        <w:spacing w:line="360" w:lineRule="auto"/>
        <w:ind w:left="567" w:firstLine="0"/>
        <w:rPr>
          <w:rFonts w:hint="eastAsia" w:ascii="宋体" w:hAnsi="宋体" w:eastAsia="宋体" w:cs="宋体"/>
          <w:bCs/>
          <w:sz w:val="22"/>
          <w:szCs w:val="22"/>
          <w:highlight w:val="none"/>
        </w:rPr>
      </w:pPr>
      <w:r>
        <w:rPr>
          <w:rFonts w:hint="eastAsia" w:ascii="宋体" w:hAnsi="宋体" w:eastAsia="宋体" w:cs="宋体"/>
          <w:bCs/>
          <w:sz w:val="22"/>
          <w:szCs w:val="22"/>
          <w:highlight w:val="none"/>
        </w:rPr>
        <w:t>税金。</w:t>
      </w:r>
    </w:p>
    <w:p w14:paraId="1023AE99">
      <w:pPr>
        <w:spacing w:line="360" w:lineRule="auto"/>
        <w:ind w:firstLine="110" w:firstLineChars="50"/>
        <w:rPr>
          <w:rFonts w:hint="eastAsia" w:ascii="宋体" w:hAnsi="宋体" w:cs="宋体"/>
          <w:bCs/>
          <w:sz w:val="22"/>
          <w:szCs w:val="22"/>
          <w:highlight w:val="none"/>
        </w:rPr>
      </w:pPr>
      <w:r>
        <w:rPr>
          <w:rFonts w:hint="eastAsia" w:ascii="宋体" w:hAnsi="宋体" w:cs="宋体"/>
          <w:bCs/>
          <w:sz w:val="22"/>
          <w:szCs w:val="22"/>
          <w:highlight w:val="none"/>
        </w:rPr>
        <w:t>（4）以上各项费用均需列出单价和明细。</w:t>
      </w:r>
    </w:p>
    <w:p w14:paraId="2F2E8467">
      <w:pPr>
        <w:spacing w:line="360" w:lineRule="auto"/>
        <w:rPr>
          <w:rFonts w:hint="eastAsia" w:ascii="宋体" w:hAnsi="宋体" w:cs="宋体"/>
          <w:bCs/>
          <w:sz w:val="22"/>
          <w:szCs w:val="22"/>
          <w:highlight w:val="none"/>
        </w:rPr>
      </w:pPr>
      <w:r>
        <w:rPr>
          <w:rFonts w:hint="eastAsia" w:ascii="宋体" w:hAnsi="宋体" w:cs="宋体"/>
          <w:bCs/>
          <w:sz w:val="22"/>
          <w:szCs w:val="22"/>
          <w:highlight w:val="none"/>
        </w:rPr>
        <w:t xml:space="preserve"> （5）本次招标价格要求：不得超过</w:t>
      </w:r>
      <w:r>
        <w:rPr>
          <w:rFonts w:hint="eastAsia" w:ascii="宋体" w:hAnsi="宋体" w:cs="宋体"/>
          <w:bCs/>
          <w:sz w:val="22"/>
          <w:szCs w:val="22"/>
          <w:highlight w:val="none"/>
          <w:u w:val="single"/>
        </w:rPr>
        <w:t xml:space="preserve">  2</w:t>
      </w:r>
      <w:r>
        <w:rPr>
          <w:rFonts w:hint="eastAsia" w:ascii="宋体" w:hAnsi="宋体" w:cs="宋体"/>
          <w:bCs/>
          <w:sz w:val="22"/>
          <w:szCs w:val="22"/>
          <w:highlight w:val="none"/>
          <w:u w:val="single"/>
          <w:lang w:val="en-US" w:eastAsia="zh-CN"/>
        </w:rPr>
        <w:t>744676</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元/年，超过采购预算的投标不予接受。</w:t>
      </w:r>
    </w:p>
    <w:p w14:paraId="568C94E1">
      <w:pPr>
        <w:numPr>
          <w:ilvl w:val="0"/>
          <w:numId w:val="1"/>
        </w:numPr>
        <w:tabs>
          <w:tab w:val="left" w:pos="616"/>
          <w:tab w:val="clear" w:pos="480"/>
        </w:tabs>
        <w:spacing w:after="286" w:afterLines="100" w:line="360" w:lineRule="auto"/>
        <w:ind w:left="508" w:hanging="508" w:hangingChars="230"/>
        <w:outlineLvl w:val="0"/>
        <w:rPr>
          <w:rFonts w:ascii="宋体" w:hAnsi="宋体" w:cs="宋体"/>
          <w:b/>
          <w:sz w:val="22"/>
          <w:szCs w:val="22"/>
          <w:highlight w:val="none"/>
        </w:rPr>
      </w:pPr>
      <w:r>
        <w:rPr>
          <w:rFonts w:hint="eastAsia" w:ascii="宋体" w:hAnsi="宋体" w:cs="宋体"/>
          <w:b/>
          <w:sz w:val="22"/>
          <w:szCs w:val="22"/>
          <w:highlight w:val="none"/>
        </w:rPr>
        <w:t>付款方式</w:t>
      </w:r>
    </w:p>
    <w:p w14:paraId="3331D7AB">
      <w:pPr>
        <w:spacing w:line="360" w:lineRule="auto"/>
        <w:ind w:right="172" w:rightChars="82" w:firstLine="210" w:firstLineChars="0"/>
        <w:jc w:val="left"/>
        <w:rPr>
          <w:rFonts w:hint="eastAsia"/>
          <w:highlight w:val="none"/>
          <w:lang w:eastAsia="zh-CN"/>
        </w:rPr>
      </w:pPr>
      <w:r>
        <w:rPr>
          <w:rFonts w:hint="eastAsia" w:ascii="宋体" w:hAnsi="宋体" w:cs="宋体"/>
          <w:bCs/>
          <w:sz w:val="22"/>
          <w:szCs w:val="22"/>
          <w:highlight w:val="none"/>
        </w:rPr>
        <w:t>按季度支付</w:t>
      </w:r>
      <w:r>
        <w:rPr>
          <w:rFonts w:hint="eastAsia" w:ascii="宋体" w:hAnsi="宋体" w:cs="宋体"/>
          <w:bCs/>
          <w:sz w:val="22"/>
          <w:szCs w:val="22"/>
          <w:highlight w:val="none"/>
          <w:lang w:eastAsia="zh-CN"/>
        </w:rPr>
        <w:t>。</w:t>
      </w:r>
    </w:p>
    <w:p w14:paraId="0D98BAA1">
      <w:pPr>
        <w:rPr>
          <w:rFonts w:hint="eastAsia"/>
          <w:highlight w:val="none"/>
        </w:rPr>
      </w:pPr>
    </w:p>
    <w:p w14:paraId="5DD0273C">
      <w:pPr>
        <w:numPr>
          <w:ilvl w:val="0"/>
          <w:numId w:val="1"/>
        </w:numPr>
        <w:tabs>
          <w:tab w:val="left" w:pos="616"/>
          <w:tab w:val="clear" w:pos="480"/>
        </w:tabs>
        <w:spacing w:after="286" w:afterLines="100" w:line="360" w:lineRule="auto"/>
        <w:ind w:left="508" w:hanging="508" w:hangingChars="230"/>
        <w:outlineLvl w:val="0"/>
        <w:rPr>
          <w:rFonts w:hint="eastAsia" w:ascii="宋体" w:hAnsi="宋体" w:cs="宋体"/>
          <w:b/>
          <w:sz w:val="22"/>
          <w:szCs w:val="22"/>
          <w:highlight w:val="none"/>
        </w:rPr>
      </w:pPr>
      <w:r>
        <w:rPr>
          <w:rFonts w:hint="eastAsia" w:ascii="宋体" w:hAnsi="宋体" w:cs="宋体"/>
          <w:b/>
          <w:sz w:val="22"/>
          <w:szCs w:val="22"/>
          <w:highlight w:val="none"/>
        </w:rPr>
        <w:t>验收标准/方式</w:t>
      </w:r>
    </w:p>
    <w:p w14:paraId="54793792">
      <w:pPr>
        <w:spacing w:line="360" w:lineRule="auto"/>
        <w:ind w:right="172" w:rightChars="82" w:firstLine="210"/>
        <w:jc w:val="left"/>
        <w:rPr>
          <w:rFonts w:hint="eastAsia" w:ascii="宋体" w:hAnsi="宋体" w:cs="宋体"/>
          <w:bCs/>
          <w:sz w:val="22"/>
          <w:szCs w:val="22"/>
          <w:highlight w:val="none"/>
        </w:rPr>
      </w:pPr>
      <w:r>
        <w:rPr>
          <w:rFonts w:hint="eastAsia" w:ascii="宋体" w:hAnsi="宋体" w:cs="宋体"/>
          <w:bCs/>
          <w:sz w:val="22"/>
          <w:szCs w:val="22"/>
          <w:highlight w:val="none"/>
        </w:rPr>
        <w:t>季度服务工作考评</w:t>
      </w:r>
      <w:r>
        <w:rPr>
          <w:rFonts w:hint="eastAsia" w:ascii="宋体" w:hAnsi="宋体" w:cs="宋体"/>
          <w:bCs/>
          <w:sz w:val="22"/>
          <w:szCs w:val="22"/>
          <w:highlight w:val="none"/>
        </w:rPr>
        <w:br w:type="textWrapping"/>
      </w:r>
    </w:p>
    <w:p w14:paraId="18FBC014">
      <w:pPr>
        <w:numPr>
          <w:ilvl w:val="0"/>
          <w:numId w:val="1"/>
        </w:numPr>
        <w:tabs>
          <w:tab w:val="left" w:pos="616"/>
          <w:tab w:val="clear" w:pos="480"/>
        </w:tabs>
        <w:spacing w:after="286" w:afterLines="100" w:line="360" w:lineRule="auto"/>
        <w:ind w:left="508" w:hanging="508" w:hangingChars="230"/>
        <w:outlineLvl w:val="0"/>
        <w:rPr>
          <w:rFonts w:hint="eastAsia" w:ascii="宋体" w:hAnsi="宋体" w:cs="宋体"/>
          <w:b/>
          <w:sz w:val="22"/>
          <w:szCs w:val="22"/>
          <w:highlight w:val="none"/>
        </w:rPr>
      </w:pPr>
      <w:r>
        <w:rPr>
          <w:rFonts w:hint="eastAsia" w:ascii="宋体" w:hAnsi="宋体" w:cs="宋体"/>
          <w:b/>
          <w:sz w:val="22"/>
          <w:szCs w:val="22"/>
          <w:highlight w:val="none"/>
        </w:rPr>
        <w:t>违约责任</w:t>
      </w:r>
    </w:p>
    <w:p w14:paraId="785E16E4">
      <w:pPr>
        <w:spacing w:line="360" w:lineRule="auto"/>
        <w:ind w:firstLine="210"/>
        <w:rPr>
          <w:rFonts w:hint="eastAsia" w:ascii="宋体" w:hAnsi="宋体" w:cs="宋体"/>
          <w:kern w:val="0"/>
          <w:sz w:val="22"/>
          <w:szCs w:val="22"/>
          <w:highlight w:val="none"/>
        </w:rPr>
      </w:pPr>
      <w:r>
        <w:rPr>
          <w:rFonts w:hint="eastAsia" w:ascii="宋体" w:hAnsi="宋体" w:cs="宋体"/>
          <w:kern w:val="0"/>
          <w:sz w:val="22"/>
          <w:szCs w:val="22"/>
          <w:highlight w:val="none"/>
        </w:rPr>
        <w:t>1．招标方、中标方双方应认真履行合同，由于某一方的过失使合同不能履行或造成其它后果的，由过失方承担相应责任；如在项目实施过程中，中标方违约情节严重，招标方有权终止合同，由此造成招标方的经济损失由中标方承担。如属双方过失，则根据各自过失的大小，分别承担相应的责任。</w:t>
      </w:r>
    </w:p>
    <w:p w14:paraId="52B7F960">
      <w:pPr>
        <w:spacing w:line="360" w:lineRule="auto"/>
        <w:ind w:firstLine="210"/>
        <w:rPr>
          <w:rFonts w:hint="eastAsia" w:ascii="宋体" w:hAnsi="宋体" w:cs="宋体"/>
          <w:kern w:val="0"/>
          <w:sz w:val="22"/>
          <w:szCs w:val="22"/>
          <w:highlight w:val="none"/>
        </w:rPr>
      </w:pPr>
      <w:r>
        <w:rPr>
          <w:rFonts w:hint="eastAsia" w:ascii="宋体" w:hAnsi="宋体" w:cs="宋体"/>
          <w:kern w:val="0"/>
          <w:sz w:val="22"/>
          <w:szCs w:val="22"/>
          <w:highlight w:val="none"/>
        </w:rPr>
        <w:t>2．由于不可抗力造成合同不能履行时，招标方、中标方双方均不承担责任。如造成任何一方损失的，则由损失方自理。</w:t>
      </w:r>
    </w:p>
    <w:p w14:paraId="3B7955BE">
      <w:pPr>
        <w:spacing w:line="360" w:lineRule="auto"/>
        <w:ind w:firstLine="210"/>
        <w:rPr>
          <w:rFonts w:hint="eastAsia" w:ascii="宋体" w:hAnsi="宋体" w:cs="宋体"/>
          <w:kern w:val="0"/>
          <w:sz w:val="22"/>
          <w:szCs w:val="22"/>
          <w:highlight w:val="none"/>
        </w:rPr>
      </w:pPr>
      <w:r>
        <w:rPr>
          <w:rFonts w:hint="eastAsia" w:ascii="宋体" w:hAnsi="宋体" w:cs="宋体"/>
          <w:kern w:val="0"/>
          <w:sz w:val="22"/>
          <w:szCs w:val="22"/>
          <w:highlight w:val="none"/>
        </w:rPr>
        <w:t>3．招标方、中标方双方在执行合同过程中所发生的争议，应先通过友好协商解决，协商不成时，任何一方有权诉诸人民法院。</w:t>
      </w:r>
    </w:p>
    <w:p w14:paraId="591ABEAC">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tabs>
          <w:tab w:val="left" w:pos="284"/>
        </w:tabs>
        <w:ind w:left="0" w:firstLine="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9"/>
    <w:multiLevelType w:val="multilevel"/>
    <w:tmpl w:val="00000009"/>
    <w:lvl w:ilvl="0" w:tentative="0">
      <w:start w:val="1"/>
      <w:numFmt w:val="decimal"/>
      <w:lvlText w:val="（%1）"/>
      <w:lvlJc w:val="left"/>
      <w:pPr>
        <w:tabs>
          <w:tab w:val="left" w:pos="284"/>
        </w:tabs>
        <w:ind w:left="0" w:firstLine="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3C"/>
    <w:multiLevelType w:val="multilevel"/>
    <w:tmpl w:val="0000003C"/>
    <w:lvl w:ilvl="0" w:tentative="0">
      <w:start w:val="1"/>
      <w:numFmt w:val="decimal"/>
      <w:lvlText w:val="（%1）"/>
      <w:lvlJc w:val="left"/>
      <w:pPr>
        <w:tabs>
          <w:tab w:val="left" w:pos="284"/>
        </w:tabs>
        <w:ind w:left="0" w:firstLine="0"/>
      </w:pPr>
      <w:rPr>
        <w:rFonts w:hint="default" w:ascii="Times New Roman" w:hAnsi="Times New Roman" w:cs="Times New Roman"/>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multilevel"/>
    <w:tmpl w:val="00000045"/>
    <w:lvl w:ilvl="0" w:tentative="0">
      <w:start w:val="1"/>
      <w:numFmt w:val="decimal"/>
      <w:lvlText w:val="（%1）"/>
      <w:lvlJc w:val="left"/>
      <w:pPr>
        <w:tabs>
          <w:tab w:val="left" w:pos="284"/>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DC1C31"/>
    <w:multiLevelType w:val="multilevel"/>
    <w:tmpl w:val="00DC1C31"/>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2423FE3"/>
    <w:multiLevelType w:val="multilevel"/>
    <w:tmpl w:val="02423FE3"/>
    <w:lvl w:ilvl="0" w:tentative="0">
      <w:start w:val="1"/>
      <w:numFmt w:val="chineseCountingThousand"/>
      <w:lvlText w:val="%1."/>
      <w:lvlJc w:val="left"/>
      <w:pPr>
        <w:tabs>
          <w:tab w:val="left" w:pos="420"/>
        </w:tabs>
        <w:ind w:left="420" w:hanging="420"/>
      </w:pPr>
      <w:rPr>
        <w:rFonts w:hint="eastAsia"/>
      </w:rPr>
    </w:lvl>
    <w:lvl w:ilvl="1" w:tentative="0">
      <w:start w:val="1"/>
      <w:numFmt w:val="lowerLetter"/>
      <w:lvlText w:val="%2）"/>
      <w:lvlJc w:val="left"/>
      <w:pPr>
        <w:tabs>
          <w:tab w:val="left" w:pos="420"/>
        </w:tabs>
        <w:ind w:left="420" w:hanging="420"/>
      </w:pPr>
      <w:rPr>
        <w:rFonts w:hint="default" w:ascii="Times New Roman" w:hAnsi="Times New Roman" w:cs="Times New Roman"/>
        <w:color w:val="auto"/>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980"/>
        </w:tabs>
        <w:ind w:left="1980" w:hanging="720"/>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decimal"/>
      <w:lvlText w:val="%6）"/>
      <w:lvlJc w:val="left"/>
      <w:pPr>
        <w:tabs>
          <w:tab w:val="left" w:pos="2460"/>
        </w:tabs>
        <w:ind w:left="2460" w:hanging="360"/>
      </w:pPr>
      <w:rPr>
        <w:rFonts w:hint="default"/>
      </w:rPr>
    </w:lvl>
    <w:lvl w:ilvl="6" w:tentative="0">
      <w:start w:val="1"/>
      <w:numFmt w:val="decimal"/>
      <w:lvlText w:val="（%7)"/>
      <w:lvlJc w:val="left"/>
      <w:pPr>
        <w:tabs>
          <w:tab w:val="left" w:pos="3240"/>
        </w:tabs>
        <w:ind w:left="3240" w:hanging="720"/>
      </w:pPr>
      <w:rPr>
        <w:rFonts w:hint="default"/>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3AD24C0"/>
    <w:multiLevelType w:val="multilevel"/>
    <w:tmpl w:val="03AD24C0"/>
    <w:lvl w:ilvl="0" w:tentative="0">
      <w:start w:val="1"/>
      <w:numFmt w:val="lowerLetter"/>
      <w:lvlText w:val="%1）"/>
      <w:lvlJc w:val="left"/>
      <w:pPr>
        <w:ind w:left="-136" w:hanging="420"/>
      </w:pPr>
      <w:rPr>
        <w:rFonts w:hint="default" w:ascii="Times New Roman" w:hAnsi="Times New Roman" w:cs="Times New Roman"/>
      </w:rPr>
    </w:lvl>
    <w:lvl w:ilvl="1" w:tentative="0">
      <w:start w:val="1"/>
      <w:numFmt w:val="bullet"/>
      <w:lvlText w:val=""/>
      <w:lvlJc w:val="left"/>
      <w:pPr>
        <w:ind w:left="284" w:hanging="420"/>
      </w:pPr>
      <w:rPr>
        <w:rFonts w:hint="default" w:ascii="Wingdings" w:hAnsi="Wingdings"/>
      </w:rPr>
    </w:lvl>
    <w:lvl w:ilvl="2" w:tentative="0">
      <w:start w:val="1"/>
      <w:numFmt w:val="bullet"/>
      <w:lvlText w:val=""/>
      <w:lvlJc w:val="left"/>
      <w:pPr>
        <w:ind w:left="704" w:hanging="420"/>
      </w:pPr>
      <w:rPr>
        <w:rFonts w:hint="default" w:ascii="Wingdings" w:hAnsi="Wingdings"/>
      </w:rPr>
    </w:lvl>
    <w:lvl w:ilvl="3" w:tentative="0">
      <w:start w:val="1"/>
      <w:numFmt w:val="bullet"/>
      <w:lvlText w:val=""/>
      <w:lvlJc w:val="left"/>
      <w:pPr>
        <w:ind w:left="1124" w:hanging="420"/>
      </w:pPr>
      <w:rPr>
        <w:rFonts w:hint="default" w:ascii="Wingdings" w:hAnsi="Wingdings"/>
      </w:rPr>
    </w:lvl>
    <w:lvl w:ilvl="4" w:tentative="0">
      <w:start w:val="1"/>
      <w:numFmt w:val="bullet"/>
      <w:lvlText w:val=""/>
      <w:lvlJc w:val="left"/>
      <w:pPr>
        <w:ind w:left="1544" w:hanging="420"/>
      </w:pPr>
      <w:rPr>
        <w:rFonts w:hint="default" w:ascii="Wingdings" w:hAnsi="Wingdings"/>
      </w:rPr>
    </w:lvl>
    <w:lvl w:ilvl="5" w:tentative="0">
      <w:start w:val="1"/>
      <w:numFmt w:val="bullet"/>
      <w:lvlText w:val=""/>
      <w:lvlJc w:val="left"/>
      <w:pPr>
        <w:ind w:left="1964" w:hanging="420"/>
      </w:pPr>
      <w:rPr>
        <w:rFonts w:hint="default" w:ascii="Wingdings" w:hAnsi="Wingdings"/>
      </w:rPr>
    </w:lvl>
    <w:lvl w:ilvl="6" w:tentative="0">
      <w:start w:val="1"/>
      <w:numFmt w:val="bullet"/>
      <w:lvlText w:val=""/>
      <w:lvlJc w:val="left"/>
      <w:pPr>
        <w:ind w:left="2384" w:hanging="420"/>
      </w:pPr>
      <w:rPr>
        <w:rFonts w:hint="default" w:ascii="Wingdings" w:hAnsi="Wingdings"/>
      </w:rPr>
    </w:lvl>
    <w:lvl w:ilvl="7" w:tentative="0">
      <w:start w:val="1"/>
      <w:numFmt w:val="bullet"/>
      <w:lvlText w:val=""/>
      <w:lvlJc w:val="left"/>
      <w:pPr>
        <w:ind w:left="2804" w:hanging="420"/>
      </w:pPr>
      <w:rPr>
        <w:rFonts w:hint="default" w:ascii="Wingdings" w:hAnsi="Wingdings"/>
      </w:rPr>
    </w:lvl>
    <w:lvl w:ilvl="8" w:tentative="0">
      <w:start w:val="1"/>
      <w:numFmt w:val="bullet"/>
      <w:lvlText w:val=""/>
      <w:lvlJc w:val="left"/>
      <w:pPr>
        <w:ind w:left="3224" w:hanging="420"/>
      </w:pPr>
      <w:rPr>
        <w:rFonts w:hint="default" w:ascii="Wingdings" w:hAnsi="Wingdings"/>
      </w:rPr>
    </w:lvl>
  </w:abstractNum>
  <w:abstractNum w:abstractNumId="7">
    <w:nsid w:val="06F63DEF"/>
    <w:multiLevelType w:val="multilevel"/>
    <w:tmpl w:val="06F63DEF"/>
    <w:lvl w:ilvl="0" w:tentative="0">
      <w:start w:val="2"/>
      <w:numFmt w:val="decimal"/>
      <w:lvlText w:val="%1."/>
      <w:lvlJc w:val="left"/>
      <w:pPr>
        <w:ind w:left="425" w:hanging="425"/>
      </w:pPr>
      <w:rPr>
        <w:rFonts w:hint="eastAsia"/>
      </w:rPr>
    </w:lvl>
    <w:lvl w:ilvl="1" w:tentative="0">
      <w:start w:val="1"/>
      <w:numFmt w:val="decimal"/>
      <w:lvlText w:val="%1.%2"/>
      <w:lvlJc w:val="left"/>
      <w:pPr>
        <w:ind w:left="567" w:hanging="567"/>
      </w:pPr>
      <w:rPr>
        <w:rFonts w:hint="default" w:ascii="Times New Roman" w:hAnsi="Times New Roman" w:cs="Times New Roman"/>
        <w:b/>
      </w:rPr>
    </w:lvl>
    <w:lvl w:ilvl="2" w:tentative="0">
      <w:start w:val="1"/>
      <w:numFmt w:val="decimal"/>
      <w:lvlText w:val="%1.%2.%3"/>
      <w:lvlJc w:val="left"/>
      <w:pPr>
        <w:ind w:left="709" w:hanging="709"/>
      </w:pPr>
      <w:rPr>
        <w:rFonts w:hint="eastAsia"/>
        <w:b/>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13EE36B1"/>
    <w:multiLevelType w:val="multilevel"/>
    <w:tmpl w:val="13EE36B1"/>
    <w:lvl w:ilvl="0" w:tentative="0">
      <w:start w:val="1"/>
      <w:numFmt w:val="decimal"/>
      <w:lvlText w:val="（%1）"/>
      <w:lvlJc w:val="left"/>
      <w:pPr>
        <w:tabs>
          <w:tab w:val="left" w:pos="284"/>
        </w:tabs>
        <w:ind w:left="0" w:firstLine="0"/>
      </w:pPr>
      <w:rPr>
        <w:rFonts w:hint="default" w:ascii="Times New Roman" w:hAnsi="Times New Roman" w:cs="Times New Roman"/>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2374E89"/>
    <w:multiLevelType w:val="multilevel"/>
    <w:tmpl w:val="22374E89"/>
    <w:lvl w:ilvl="0" w:tentative="0">
      <w:start w:val="3"/>
      <w:numFmt w:val="decimal"/>
      <w:lvlText w:val="%1."/>
      <w:lvlJc w:val="left"/>
      <w:pPr>
        <w:ind w:left="425" w:hanging="425"/>
      </w:pPr>
      <w:rPr>
        <w:rFonts w:hint="eastAsia"/>
      </w:rPr>
    </w:lvl>
    <w:lvl w:ilvl="1" w:tentative="0">
      <w:start w:val="1"/>
      <w:numFmt w:val="decimal"/>
      <w:lvlText w:val="%1.%2"/>
      <w:lvlJc w:val="left"/>
      <w:pPr>
        <w:ind w:left="567" w:hanging="567"/>
      </w:pPr>
      <w:rPr>
        <w:rFonts w:hint="default" w:ascii="Times New Roman" w:hAnsi="Times New Roman" w:cs="Times New Roman"/>
        <w:b/>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0">
    <w:nsid w:val="2B4E1BFE"/>
    <w:multiLevelType w:val="multilevel"/>
    <w:tmpl w:val="2B4E1BFE"/>
    <w:lvl w:ilvl="0" w:tentative="0">
      <w:start w:val="1"/>
      <w:numFmt w:val="decimal"/>
      <w:lvlText w:val="（%1）"/>
      <w:lvlJc w:val="left"/>
      <w:pPr>
        <w:ind w:left="1272"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322B5999"/>
    <w:multiLevelType w:val="multilevel"/>
    <w:tmpl w:val="322B5999"/>
    <w:lvl w:ilvl="0" w:tentative="0">
      <w:start w:val="1"/>
      <w:numFmt w:val="koreanDigital2"/>
      <w:lvlText w:val="（%1）"/>
      <w:lvlJc w:val="left"/>
      <w:pPr>
        <w:tabs>
          <w:tab w:val="left" w:pos="720"/>
        </w:tabs>
        <w:ind w:left="720" w:hanging="72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52F63C1"/>
    <w:multiLevelType w:val="multilevel"/>
    <w:tmpl w:val="452F63C1"/>
    <w:lvl w:ilvl="0" w:tentative="0">
      <w:start w:val="1"/>
      <w:numFmt w:val="koreanDigital2"/>
      <w:lvlText w:val="（%1）"/>
      <w:lvlJc w:val="left"/>
      <w:pPr>
        <w:tabs>
          <w:tab w:val="left" w:pos="720"/>
        </w:tabs>
        <w:ind w:left="720" w:hanging="72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A1D0E1A"/>
    <w:multiLevelType w:val="multilevel"/>
    <w:tmpl w:val="4A1D0E1A"/>
    <w:lvl w:ilvl="0" w:tentative="0">
      <w:start w:val="1"/>
      <w:numFmt w:val="lowerLetter"/>
      <w:lvlText w:val="%1）"/>
      <w:lvlJc w:val="left"/>
      <w:pPr>
        <w:ind w:left="-136" w:hanging="420"/>
      </w:pPr>
      <w:rPr>
        <w:rFonts w:hint="default" w:ascii="Times New Roman" w:hAnsi="Times New Roman" w:cs="Times New Roman"/>
      </w:rPr>
    </w:lvl>
    <w:lvl w:ilvl="1" w:tentative="0">
      <w:start w:val="1"/>
      <w:numFmt w:val="bullet"/>
      <w:lvlText w:val=""/>
      <w:lvlJc w:val="left"/>
      <w:pPr>
        <w:ind w:left="284" w:hanging="420"/>
      </w:pPr>
      <w:rPr>
        <w:rFonts w:hint="default" w:ascii="Wingdings" w:hAnsi="Wingdings"/>
      </w:rPr>
    </w:lvl>
    <w:lvl w:ilvl="2" w:tentative="0">
      <w:start w:val="1"/>
      <w:numFmt w:val="bullet"/>
      <w:lvlText w:val=""/>
      <w:lvlJc w:val="left"/>
      <w:pPr>
        <w:ind w:left="704" w:hanging="420"/>
      </w:pPr>
      <w:rPr>
        <w:rFonts w:hint="default" w:ascii="Wingdings" w:hAnsi="Wingdings"/>
      </w:rPr>
    </w:lvl>
    <w:lvl w:ilvl="3" w:tentative="0">
      <w:start w:val="1"/>
      <w:numFmt w:val="bullet"/>
      <w:lvlText w:val=""/>
      <w:lvlJc w:val="left"/>
      <w:pPr>
        <w:ind w:left="1124" w:hanging="420"/>
      </w:pPr>
      <w:rPr>
        <w:rFonts w:hint="default" w:ascii="Wingdings" w:hAnsi="Wingdings"/>
      </w:rPr>
    </w:lvl>
    <w:lvl w:ilvl="4" w:tentative="0">
      <w:start w:val="1"/>
      <w:numFmt w:val="bullet"/>
      <w:lvlText w:val=""/>
      <w:lvlJc w:val="left"/>
      <w:pPr>
        <w:ind w:left="1544" w:hanging="420"/>
      </w:pPr>
      <w:rPr>
        <w:rFonts w:hint="default" w:ascii="Wingdings" w:hAnsi="Wingdings"/>
      </w:rPr>
    </w:lvl>
    <w:lvl w:ilvl="5" w:tentative="0">
      <w:start w:val="1"/>
      <w:numFmt w:val="bullet"/>
      <w:lvlText w:val=""/>
      <w:lvlJc w:val="left"/>
      <w:pPr>
        <w:ind w:left="1964" w:hanging="420"/>
      </w:pPr>
      <w:rPr>
        <w:rFonts w:hint="default" w:ascii="Wingdings" w:hAnsi="Wingdings"/>
      </w:rPr>
    </w:lvl>
    <w:lvl w:ilvl="6" w:tentative="0">
      <w:start w:val="1"/>
      <w:numFmt w:val="bullet"/>
      <w:lvlText w:val=""/>
      <w:lvlJc w:val="left"/>
      <w:pPr>
        <w:ind w:left="2384" w:hanging="420"/>
      </w:pPr>
      <w:rPr>
        <w:rFonts w:hint="default" w:ascii="Wingdings" w:hAnsi="Wingdings"/>
      </w:rPr>
    </w:lvl>
    <w:lvl w:ilvl="7" w:tentative="0">
      <w:start w:val="1"/>
      <w:numFmt w:val="bullet"/>
      <w:lvlText w:val=""/>
      <w:lvlJc w:val="left"/>
      <w:pPr>
        <w:ind w:left="2804" w:hanging="420"/>
      </w:pPr>
      <w:rPr>
        <w:rFonts w:hint="default" w:ascii="Wingdings" w:hAnsi="Wingdings"/>
      </w:rPr>
    </w:lvl>
    <w:lvl w:ilvl="8" w:tentative="0">
      <w:start w:val="1"/>
      <w:numFmt w:val="bullet"/>
      <w:lvlText w:val=""/>
      <w:lvlJc w:val="left"/>
      <w:pPr>
        <w:ind w:left="3224" w:hanging="420"/>
      </w:pPr>
      <w:rPr>
        <w:rFonts w:hint="default" w:ascii="Wingdings" w:hAnsi="Wingdings"/>
      </w:rPr>
    </w:lvl>
  </w:abstractNum>
  <w:abstractNum w:abstractNumId="14">
    <w:nsid w:val="51347CA6"/>
    <w:multiLevelType w:val="multilevel"/>
    <w:tmpl w:val="51347CA6"/>
    <w:lvl w:ilvl="0" w:tentative="0">
      <w:start w:val="1"/>
      <w:numFmt w:val="koreanDigital2"/>
      <w:lvlText w:val="（%1）"/>
      <w:lvlJc w:val="left"/>
      <w:pPr>
        <w:tabs>
          <w:tab w:val="left" w:pos="720"/>
        </w:tabs>
        <w:ind w:left="720" w:hanging="72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7982991"/>
    <w:multiLevelType w:val="multilevel"/>
    <w:tmpl w:val="57982991"/>
    <w:lvl w:ilvl="0" w:tentative="0">
      <w:start w:val="1"/>
      <w:numFmt w:val="decimal"/>
      <w:lvlText w:val="（%1）"/>
      <w:lvlJc w:val="left"/>
      <w:pPr>
        <w:ind w:left="422"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57A23D55"/>
    <w:multiLevelType w:val="multilevel"/>
    <w:tmpl w:val="57A23D55"/>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default" w:ascii="Times New Roman" w:hAnsi="Times New Roman" w:cs="Times New Roman"/>
        <w:b/>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7">
    <w:nsid w:val="5DD626CD"/>
    <w:multiLevelType w:val="multilevel"/>
    <w:tmpl w:val="5DD626CD"/>
    <w:lvl w:ilvl="0" w:tentative="0">
      <w:start w:val="1"/>
      <w:numFmt w:val="lowerLetter"/>
      <w:lvlText w:val="%1）"/>
      <w:lvlJc w:val="left"/>
      <w:pPr>
        <w:ind w:left="-136" w:hanging="420"/>
      </w:pPr>
      <w:rPr>
        <w:rFonts w:hint="default" w:ascii="Times New Roman" w:hAnsi="Times New Roman" w:cs="Times New Roman"/>
      </w:rPr>
    </w:lvl>
    <w:lvl w:ilvl="1" w:tentative="0">
      <w:start w:val="1"/>
      <w:numFmt w:val="bullet"/>
      <w:lvlText w:val=""/>
      <w:lvlJc w:val="left"/>
      <w:pPr>
        <w:ind w:left="284" w:hanging="420"/>
      </w:pPr>
      <w:rPr>
        <w:rFonts w:hint="default" w:ascii="Wingdings" w:hAnsi="Wingdings"/>
      </w:rPr>
    </w:lvl>
    <w:lvl w:ilvl="2" w:tentative="0">
      <w:start w:val="1"/>
      <w:numFmt w:val="bullet"/>
      <w:lvlText w:val=""/>
      <w:lvlJc w:val="left"/>
      <w:pPr>
        <w:ind w:left="704" w:hanging="420"/>
      </w:pPr>
      <w:rPr>
        <w:rFonts w:hint="default" w:ascii="Wingdings" w:hAnsi="Wingdings"/>
      </w:rPr>
    </w:lvl>
    <w:lvl w:ilvl="3" w:tentative="0">
      <w:start w:val="1"/>
      <w:numFmt w:val="bullet"/>
      <w:lvlText w:val=""/>
      <w:lvlJc w:val="left"/>
      <w:pPr>
        <w:ind w:left="1124" w:hanging="420"/>
      </w:pPr>
      <w:rPr>
        <w:rFonts w:hint="default" w:ascii="Wingdings" w:hAnsi="Wingdings"/>
      </w:rPr>
    </w:lvl>
    <w:lvl w:ilvl="4" w:tentative="0">
      <w:start w:val="1"/>
      <w:numFmt w:val="bullet"/>
      <w:lvlText w:val=""/>
      <w:lvlJc w:val="left"/>
      <w:pPr>
        <w:ind w:left="1544" w:hanging="420"/>
      </w:pPr>
      <w:rPr>
        <w:rFonts w:hint="default" w:ascii="Wingdings" w:hAnsi="Wingdings"/>
      </w:rPr>
    </w:lvl>
    <w:lvl w:ilvl="5" w:tentative="0">
      <w:start w:val="1"/>
      <w:numFmt w:val="bullet"/>
      <w:lvlText w:val=""/>
      <w:lvlJc w:val="left"/>
      <w:pPr>
        <w:ind w:left="1964" w:hanging="420"/>
      </w:pPr>
      <w:rPr>
        <w:rFonts w:hint="default" w:ascii="Wingdings" w:hAnsi="Wingdings"/>
      </w:rPr>
    </w:lvl>
    <w:lvl w:ilvl="6" w:tentative="0">
      <w:start w:val="1"/>
      <w:numFmt w:val="bullet"/>
      <w:lvlText w:val=""/>
      <w:lvlJc w:val="left"/>
      <w:pPr>
        <w:ind w:left="2384" w:hanging="420"/>
      </w:pPr>
      <w:rPr>
        <w:rFonts w:hint="default" w:ascii="Wingdings" w:hAnsi="Wingdings"/>
      </w:rPr>
    </w:lvl>
    <w:lvl w:ilvl="7" w:tentative="0">
      <w:start w:val="1"/>
      <w:numFmt w:val="bullet"/>
      <w:lvlText w:val=""/>
      <w:lvlJc w:val="left"/>
      <w:pPr>
        <w:ind w:left="2804" w:hanging="420"/>
      </w:pPr>
      <w:rPr>
        <w:rFonts w:hint="default" w:ascii="Wingdings" w:hAnsi="Wingdings"/>
      </w:rPr>
    </w:lvl>
    <w:lvl w:ilvl="8" w:tentative="0">
      <w:start w:val="1"/>
      <w:numFmt w:val="bullet"/>
      <w:lvlText w:val=""/>
      <w:lvlJc w:val="left"/>
      <w:pPr>
        <w:ind w:left="3224" w:hanging="420"/>
      </w:pPr>
      <w:rPr>
        <w:rFonts w:hint="default" w:ascii="Wingdings" w:hAnsi="Wingdings"/>
      </w:rPr>
    </w:lvl>
  </w:abstractNum>
  <w:abstractNum w:abstractNumId="18">
    <w:nsid w:val="60130ED1"/>
    <w:multiLevelType w:val="multilevel"/>
    <w:tmpl w:val="60130ED1"/>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3F0284B"/>
    <w:multiLevelType w:val="multilevel"/>
    <w:tmpl w:val="63F0284B"/>
    <w:lvl w:ilvl="0" w:tentative="0">
      <w:start w:val="1"/>
      <w:numFmt w:val="decimal"/>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67626984"/>
    <w:multiLevelType w:val="singleLevel"/>
    <w:tmpl w:val="67626984"/>
    <w:lvl w:ilvl="0" w:tentative="0">
      <w:start w:val="1"/>
      <w:numFmt w:val="japaneseCounting"/>
      <w:lvlText w:val="%1、"/>
      <w:lvlJc w:val="left"/>
      <w:pPr>
        <w:tabs>
          <w:tab w:val="left" w:pos="480"/>
        </w:tabs>
        <w:ind w:left="480" w:hanging="480"/>
      </w:pPr>
      <w:rPr>
        <w:rFonts w:hint="eastAsia"/>
      </w:rPr>
    </w:lvl>
  </w:abstractNum>
  <w:abstractNum w:abstractNumId="21">
    <w:nsid w:val="6B8B7641"/>
    <w:multiLevelType w:val="multilevel"/>
    <w:tmpl w:val="6B8B7641"/>
    <w:lvl w:ilvl="0" w:tentative="0">
      <w:start w:val="1"/>
      <w:numFmt w:val="lowerLetter"/>
      <w:lvlText w:val="%1）"/>
      <w:lvlJc w:val="left"/>
      <w:pPr>
        <w:ind w:left="900" w:hanging="420"/>
      </w:pPr>
      <w:rPr>
        <w:rFonts w:hint="default" w:ascii="Times New Roman" w:hAnsi="Times New Roman"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2">
    <w:nsid w:val="6EFF044D"/>
    <w:multiLevelType w:val="multilevel"/>
    <w:tmpl w:val="6EFF044D"/>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6F3638BE"/>
    <w:multiLevelType w:val="multilevel"/>
    <w:tmpl w:val="6F3638BE"/>
    <w:lvl w:ilvl="0" w:tentative="0">
      <w:start w:val="1"/>
      <w:numFmt w:val="lowerLetter"/>
      <w:lvlText w:val="%1）"/>
      <w:lvlJc w:val="left"/>
      <w:pPr>
        <w:ind w:left="234" w:hanging="420"/>
      </w:pPr>
      <w:rPr>
        <w:rFonts w:hint="default" w:ascii="Times New Roman" w:hAnsi="Times New Roman" w:cs="Times New Roman"/>
      </w:rPr>
    </w:lvl>
    <w:lvl w:ilvl="1" w:tentative="0">
      <w:start w:val="1"/>
      <w:numFmt w:val="bullet"/>
      <w:lvlText w:val=""/>
      <w:lvlJc w:val="left"/>
      <w:pPr>
        <w:ind w:left="283" w:hanging="420"/>
      </w:pPr>
      <w:rPr>
        <w:rFonts w:hint="default" w:ascii="Wingdings" w:hAnsi="Wingdings"/>
      </w:rPr>
    </w:lvl>
    <w:lvl w:ilvl="2" w:tentative="0">
      <w:start w:val="1"/>
      <w:numFmt w:val="bullet"/>
      <w:lvlText w:val=""/>
      <w:lvlJc w:val="left"/>
      <w:pPr>
        <w:ind w:left="703" w:hanging="420"/>
      </w:pPr>
      <w:rPr>
        <w:rFonts w:hint="default" w:ascii="Wingdings" w:hAnsi="Wingdings"/>
      </w:rPr>
    </w:lvl>
    <w:lvl w:ilvl="3" w:tentative="0">
      <w:start w:val="1"/>
      <w:numFmt w:val="bullet"/>
      <w:lvlText w:val=""/>
      <w:lvlJc w:val="left"/>
      <w:pPr>
        <w:ind w:left="1123" w:hanging="420"/>
      </w:pPr>
      <w:rPr>
        <w:rFonts w:hint="default" w:ascii="Wingdings" w:hAnsi="Wingdings"/>
      </w:rPr>
    </w:lvl>
    <w:lvl w:ilvl="4" w:tentative="0">
      <w:start w:val="1"/>
      <w:numFmt w:val="bullet"/>
      <w:lvlText w:val=""/>
      <w:lvlJc w:val="left"/>
      <w:pPr>
        <w:ind w:left="1543" w:hanging="420"/>
      </w:pPr>
      <w:rPr>
        <w:rFonts w:hint="default" w:ascii="Wingdings" w:hAnsi="Wingdings"/>
      </w:rPr>
    </w:lvl>
    <w:lvl w:ilvl="5" w:tentative="0">
      <w:start w:val="1"/>
      <w:numFmt w:val="bullet"/>
      <w:lvlText w:val=""/>
      <w:lvlJc w:val="left"/>
      <w:pPr>
        <w:ind w:left="1963" w:hanging="420"/>
      </w:pPr>
      <w:rPr>
        <w:rFonts w:hint="default" w:ascii="Wingdings" w:hAnsi="Wingdings"/>
      </w:rPr>
    </w:lvl>
    <w:lvl w:ilvl="6" w:tentative="0">
      <w:start w:val="1"/>
      <w:numFmt w:val="bullet"/>
      <w:lvlText w:val=""/>
      <w:lvlJc w:val="left"/>
      <w:pPr>
        <w:ind w:left="2383" w:hanging="420"/>
      </w:pPr>
      <w:rPr>
        <w:rFonts w:hint="default" w:ascii="Wingdings" w:hAnsi="Wingdings"/>
      </w:rPr>
    </w:lvl>
    <w:lvl w:ilvl="7" w:tentative="0">
      <w:start w:val="1"/>
      <w:numFmt w:val="bullet"/>
      <w:lvlText w:val=""/>
      <w:lvlJc w:val="left"/>
      <w:pPr>
        <w:ind w:left="2803" w:hanging="420"/>
      </w:pPr>
      <w:rPr>
        <w:rFonts w:hint="default" w:ascii="Wingdings" w:hAnsi="Wingdings"/>
      </w:rPr>
    </w:lvl>
    <w:lvl w:ilvl="8" w:tentative="0">
      <w:start w:val="1"/>
      <w:numFmt w:val="bullet"/>
      <w:lvlText w:val=""/>
      <w:lvlJc w:val="left"/>
      <w:pPr>
        <w:ind w:left="3223" w:hanging="420"/>
      </w:pPr>
      <w:rPr>
        <w:rFonts w:hint="default" w:ascii="Wingdings" w:hAnsi="Wingdings"/>
      </w:rPr>
    </w:lvl>
  </w:abstractNum>
  <w:abstractNum w:abstractNumId="24">
    <w:nsid w:val="74750F53"/>
    <w:multiLevelType w:val="multilevel"/>
    <w:tmpl w:val="74750F53"/>
    <w:lvl w:ilvl="0" w:tentative="0">
      <w:start w:val="1"/>
      <w:numFmt w:val="decimal"/>
      <w:lvlText w:val="（%1）"/>
      <w:lvlJc w:val="left"/>
      <w:pPr>
        <w:tabs>
          <w:tab w:val="left" w:pos="284"/>
        </w:tabs>
        <w:ind w:left="0" w:firstLine="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766E36E9"/>
    <w:multiLevelType w:val="multilevel"/>
    <w:tmpl w:val="766E36E9"/>
    <w:lvl w:ilvl="0" w:tentative="0">
      <w:start w:val="1"/>
      <w:numFmt w:val="lowerLetter"/>
      <w:lvlText w:val="%1）"/>
      <w:lvlJc w:val="left"/>
      <w:pPr>
        <w:ind w:left="900" w:hanging="420"/>
      </w:pPr>
      <w:rPr>
        <w:rFonts w:hint="default" w:ascii="Times New Roman" w:hAnsi="Times New Roman"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6">
    <w:nsid w:val="7F8861F0"/>
    <w:multiLevelType w:val="multilevel"/>
    <w:tmpl w:val="7F8861F0"/>
    <w:lvl w:ilvl="0" w:tentative="0">
      <w:start w:val="1"/>
      <w:numFmt w:val="lowerLetter"/>
      <w:lvlText w:val="%1）"/>
      <w:lvlJc w:val="left"/>
      <w:pPr>
        <w:ind w:left="821" w:hanging="420"/>
      </w:pPr>
      <w:rPr>
        <w:rFonts w:hint="default" w:ascii="Times New Roman" w:hAnsi="Times New Roman"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20"/>
  </w:num>
  <w:num w:numId="2">
    <w:abstractNumId w:val="16"/>
  </w:num>
  <w:num w:numId="3">
    <w:abstractNumId w:val="4"/>
  </w:num>
  <w:num w:numId="4">
    <w:abstractNumId w:val="7"/>
  </w:num>
  <w:num w:numId="5">
    <w:abstractNumId w:val="18"/>
  </w:num>
  <w:num w:numId="6">
    <w:abstractNumId w:val="11"/>
  </w:num>
  <w:num w:numId="7">
    <w:abstractNumId w:val="19"/>
  </w:num>
  <w:num w:numId="8">
    <w:abstractNumId w:val="15"/>
  </w:num>
  <w:num w:numId="9">
    <w:abstractNumId w:val="10"/>
  </w:num>
  <w:num w:numId="10">
    <w:abstractNumId w:val="26"/>
  </w:num>
  <w:num w:numId="11">
    <w:abstractNumId w:val="21"/>
  </w:num>
  <w:num w:numId="12">
    <w:abstractNumId w:val="23"/>
  </w:num>
  <w:num w:numId="13">
    <w:abstractNumId w:val="6"/>
  </w:num>
  <w:num w:numId="14">
    <w:abstractNumId w:val="17"/>
  </w:num>
  <w:num w:numId="15">
    <w:abstractNumId w:val="13"/>
  </w:num>
  <w:num w:numId="16">
    <w:abstractNumId w:val="25"/>
  </w:num>
  <w:num w:numId="17">
    <w:abstractNumId w:val="22"/>
  </w:num>
  <w:num w:numId="18">
    <w:abstractNumId w:val="9"/>
  </w:num>
  <w:num w:numId="19">
    <w:abstractNumId w:val="12"/>
  </w:num>
  <w:num w:numId="20">
    <w:abstractNumId w:val="2"/>
  </w:num>
  <w:num w:numId="21">
    <w:abstractNumId w:val="1"/>
  </w:num>
  <w:num w:numId="22">
    <w:abstractNumId w:val="14"/>
  </w:num>
  <w:num w:numId="23">
    <w:abstractNumId w:val="8"/>
  </w:num>
  <w:num w:numId="24">
    <w:abstractNumId w:val="3"/>
  </w:num>
  <w:num w:numId="25">
    <w:abstractNumId w:val="0"/>
  </w:num>
  <w:num w:numId="26">
    <w:abstractNumId w:val="2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15B92"/>
    <w:rsid w:val="14B2D5C1"/>
    <w:rsid w:val="1CC75B39"/>
    <w:rsid w:val="206C4540"/>
    <w:rsid w:val="241B1477"/>
    <w:rsid w:val="24A03609"/>
    <w:rsid w:val="28E74DFC"/>
    <w:rsid w:val="2A0B58C9"/>
    <w:rsid w:val="2AE26728"/>
    <w:rsid w:val="2EEB47AE"/>
    <w:rsid w:val="4A563823"/>
    <w:rsid w:val="51945EDF"/>
    <w:rsid w:val="5E51429A"/>
    <w:rsid w:val="694A5343"/>
    <w:rsid w:val="6DFB854A"/>
    <w:rsid w:val="6F9FB118"/>
    <w:rsid w:val="726F2E07"/>
    <w:rsid w:val="730677A9"/>
    <w:rsid w:val="773B0693"/>
    <w:rsid w:val="774862D7"/>
    <w:rsid w:val="7FFEDCD8"/>
    <w:rsid w:val="E9D13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7">
    <w:name w:val="List Paragraph"/>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6847</Words>
  <Characters>6947</Characters>
  <Lines>0</Lines>
  <Paragraphs>0</Paragraphs>
  <TotalTime>89</TotalTime>
  <ScaleCrop>false</ScaleCrop>
  <LinksUpToDate>false</LinksUpToDate>
  <CharactersWithSpaces>6973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2023-12-30T10:17:00Z</dcterms:created>
  <dc:creator>AMY</dc:creator>
  <cp:lastModifiedBy>郭田恬</cp:lastModifiedBy>
  <cp:lastPrinted>2025-10-21T11:27:00Z</cp:lastPrinted>
  <dcterms:modified xsi:type="dcterms:W3CDTF">2025-12-22T14:18:04Z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9A079C2B2696F74FEDAB4869249FFF3D_43</vt:lpwstr>
  </property>
  <property fmtid="{D5CDD505-2E9C-101B-9397-08002B2CF9AE}" pid="4" name="KSOTemplateDocerSaveRecord">
    <vt:lpwstr>eyJoZGlkIjoiM2YwM2NiMmZmMDhiNDc5YTJiMTk4M2ZiNTE4NGRjOGQiLCJ1c2VySWQiOiIxMTQwOTEyNDcwIn0=</vt:lpwstr>
  </property>
</Properties>
</file>