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DBEA75">
      <w:pPr>
        <w:pStyle w:val="11"/>
        <w:spacing w:after="0" w:line="360" w:lineRule="auto"/>
        <w:ind w:firstLine="0"/>
        <w:jc w:val="center"/>
        <w:rPr>
          <w:rFonts w:hint="default" w:ascii="宋体" w:hAnsi="宋体" w:eastAsia="宋体" w:cs="宋体"/>
          <w:b/>
          <w:bCs/>
          <w:sz w:val="36"/>
          <w:szCs w:val="36"/>
          <w:lang w:val="zh-TW" w:eastAsia="zh-TW"/>
        </w:rPr>
      </w:pPr>
      <w:r>
        <w:rPr>
          <w:rFonts w:ascii="宋体" w:hAnsi="宋体" w:eastAsia="宋体" w:cs="宋体"/>
          <w:b/>
          <w:bCs/>
          <w:sz w:val="36"/>
          <w:szCs w:val="36"/>
          <w:lang w:val="zh-TW" w:eastAsia="zh-TW"/>
        </w:rPr>
        <w:t>鲁迅纪念馆改陈和修缮项目-改陈项目</w:t>
      </w:r>
    </w:p>
    <w:p w14:paraId="2FBE3ECE">
      <w:pPr>
        <w:pStyle w:val="11"/>
        <w:spacing w:after="0" w:line="360" w:lineRule="auto"/>
        <w:ind w:firstLine="0"/>
        <w:jc w:val="center"/>
        <w:rPr>
          <w:rFonts w:hint="default" w:ascii="宋体" w:hAnsi="宋体" w:eastAsia="宋体" w:cs="宋体"/>
          <w:b/>
          <w:bCs/>
          <w:sz w:val="36"/>
          <w:szCs w:val="36"/>
        </w:rPr>
      </w:pPr>
      <w:r>
        <w:rPr>
          <w:rFonts w:ascii="宋体" w:hAnsi="宋体" w:eastAsia="宋体" w:cs="宋体"/>
          <w:b/>
          <w:bCs/>
          <w:sz w:val="36"/>
          <w:szCs w:val="36"/>
          <w:lang w:val="zh-TW" w:eastAsia="zh-TW"/>
        </w:rPr>
        <w:t>招标需求</w:t>
      </w:r>
    </w:p>
    <w:p w14:paraId="307C366F">
      <w:pPr>
        <w:spacing w:line="360" w:lineRule="auto"/>
        <w:ind w:firstLine="482"/>
        <w:rPr>
          <w:rFonts w:hint="default" w:ascii="宋体" w:hAnsi="宋体" w:eastAsia="宋体" w:cs="宋体"/>
          <w:b/>
          <w:bCs/>
          <w:sz w:val="24"/>
          <w:szCs w:val="24"/>
          <w:lang w:val="zh-TW" w:eastAsia="zh-TW"/>
        </w:rPr>
      </w:pPr>
      <w:r>
        <w:rPr>
          <w:rFonts w:ascii="宋体" w:hAnsi="宋体" w:eastAsia="宋体" w:cs="宋体"/>
          <w:b/>
          <w:bCs/>
          <w:sz w:val="24"/>
          <w:szCs w:val="24"/>
          <w:lang w:val="zh-TW" w:eastAsia="zh-TW"/>
        </w:rPr>
        <w:t>第一章 项目概述</w:t>
      </w:r>
    </w:p>
    <w:p w14:paraId="284112BF">
      <w:pPr>
        <w:spacing w:line="360" w:lineRule="auto"/>
        <w:ind w:firstLine="480"/>
        <w:rPr>
          <w:rFonts w:hint="default" w:ascii="宋体" w:hAnsi="宋体" w:eastAsia="宋体" w:cs="宋体"/>
          <w:sz w:val="24"/>
          <w:szCs w:val="24"/>
        </w:rPr>
      </w:pPr>
      <w:r>
        <w:rPr>
          <w:rFonts w:ascii="宋体" w:hAnsi="宋体" w:eastAsia="宋体" w:cs="宋体"/>
          <w:sz w:val="24"/>
          <w:szCs w:val="24"/>
        </w:rPr>
        <w:t xml:space="preserve">1.1 </w:t>
      </w:r>
      <w:r>
        <w:rPr>
          <w:rFonts w:ascii="宋体" w:hAnsi="宋体" w:eastAsia="宋体" w:cs="宋体"/>
          <w:sz w:val="24"/>
          <w:szCs w:val="24"/>
          <w:lang w:val="zh-TW" w:eastAsia="zh-TW"/>
        </w:rPr>
        <w:t>项目背景</w:t>
      </w:r>
    </w:p>
    <w:p w14:paraId="6378FBBB">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上海鲁迅纪念馆位于上海市虹口区甜爱路200号、鲁迅公园东南角，产证建筑面积5249.28平方米</w:t>
      </w:r>
      <w:r>
        <w:rPr>
          <w:rFonts w:ascii="宋体" w:hAnsi="宋体" w:eastAsia="宋体" w:cs="宋体"/>
          <w:sz w:val="24"/>
          <w:szCs w:val="24"/>
          <w:lang w:val="zh-TW"/>
        </w:rPr>
        <w:t>。</w:t>
      </w:r>
      <w:r>
        <w:rPr>
          <w:rFonts w:ascii="宋体" w:hAnsi="宋体" w:eastAsia="宋体" w:cs="宋体"/>
          <w:sz w:val="24"/>
          <w:szCs w:val="24"/>
          <w:lang w:val="zh-TW" w:eastAsia="zh-TW"/>
        </w:rPr>
        <w:t>上海鲁迅纪念馆馆舍1951年初设于山阴路大陆新村9号上海鲁迅故居及邻屋10号内。1956年鲁迅逝世20周年前夕，迁入虹口公园（现名鲁迅公园），由陈植设计新馆舍，新馆舍为具有江南民居风格的建筑，青瓦白墙、马头式山墙。1998年，馆舍在原址基础上改扩建，由邢同和设计；设计保留了原建筑特色，也增强了博物馆功能。</w:t>
      </w:r>
    </w:p>
    <w:p w14:paraId="335E26AD">
      <w:pPr>
        <w:spacing w:line="360" w:lineRule="auto"/>
        <w:ind w:firstLine="480"/>
        <w:rPr>
          <w:rFonts w:hint="default" w:ascii="宋体" w:hAnsi="宋体" w:eastAsia="宋体" w:cs="宋体"/>
          <w:sz w:val="24"/>
          <w:szCs w:val="24"/>
        </w:rPr>
      </w:pPr>
      <w:r>
        <w:rPr>
          <w:rFonts w:ascii="宋体" w:hAnsi="宋体" w:eastAsia="宋体" w:cs="宋体"/>
          <w:sz w:val="24"/>
          <w:szCs w:val="24"/>
        </w:rPr>
        <w:t xml:space="preserve">1.2 </w:t>
      </w:r>
      <w:r>
        <w:rPr>
          <w:rFonts w:ascii="宋体" w:hAnsi="宋体" w:eastAsia="宋体" w:cs="宋体"/>
          <w:sz w:val="24"/>
          <w:szCs w:val="24"/>
          <w:lang w:val="zh-TW" w:eastAsia="zh-TW"/>
        </w:rPr>
        <w:t>项目意义</w:t>
      </w:r>
    </w:p>
    <w:p w14:paraId="3DFE8A59">
      <w:pPr>
        <w:spacing w:line="360" w:lineRule="auto"/>
        <w:ind w:firstLine="480"/>
        <w:rPr>
          <w:rFonts w:hint="default" w:ascii="宋体" w:hAnsi="宋体" w:eastAsia="宋体" w:cs="宋体"/>
          <w:sz w:val="24"/>
          <w:szCs w:val="24"/>
        </w:rPr>
      </w:pPr>
      <w:r>
        <w:rPr>
          <w:rFonts w:ascii="宋体" w:hAnsi="宋体" w:eastAsia="宋体" w:cs="宋体"/>
          <w:sz w:val="24"/>
          <w:szCs w:val="24"/>
          <w:lang w:val="zh-TW" w:eastAsia="zh-TW"/>
        </w:rPr>
        <w:t>鲁迅先生是伟大的文学家、思想家和革命家，是新文化运动的主将，是中国共产党领导的左翼文化运动的旗手，是代表中国先进文化的前进方向的杰出人物。他在年轻时就立下了</w:t>
      </w:r>
      <w:r>
        <w:rPr>
          <w:rFonts w:hint="default" w:ascii="宋体" w:hAnsi="宋体" w:eastAsia="宋体" w:cs="宋体"/>
          <w:sz w:val="24"/>
          <w:szCs w:val="24"/>
        </w:rPr>
        <w:t>“</w:t>
      </w:r>
      <w:r>
        <w:rPr>
          <w:rFonts w:ascii="宋体" w:hAnsi="宋体" w:eastAsia="宋体" w:cs="宋体"/>
          <w:sz w:val="24"/>
          <w:szCs w:val="24"/>
          <w:lang w:val="zh-TW" w:eastAsia="zh-TW"/>
        </w:rPr>
        <w:t>我以我血荐轩辕</w:t>
      </w:r>
      <w:r>
        <w:rPr>
          <w:rFonts w:hint="default" w:ascii="宋体" w:hAnsi="宋体" w:eastAsia="宋体" w:cs="宋体"/>
          <w:sz w:val="24"/>
          <w:szCs w:val="24"/>
        </w:rPr>
        <w:t>”</w:t>
      </w:r>
      <w:r>
        <w:rPr>
          <w:rFonts w:ascii="宋体" w:hAnsi="宋体" w:eastAsia="宋体" w:cs="宋体"/>
          <w:sz w:val="24"/>
          <w:szCs w:val="24"/>
          <w:lang w:val="zh-TW" w:eastAsia="zh-TW"/>
        </w:rPr>
        <w:t>的誓言，运用文艺作为武器，唤起民众精神的觉醒。他是中国的脊梁，是</w:t>
      </w:r>
      <w:r>
        <w:rPr>
          <w:rFonts w:hint="default" w:ascii="宋体" w:hAnsi="宋体" w:eastAsia="宋体" w:cs="宋体"/>
          <w:sz w:val="24"/>
          <w:szCs w:val="24"/>
        </w:rPr>
        <w:t>“</w:t>
      </w:r>
      <w:r>
        <w:rPr>
          <w:rFonts w:ascii="宋体" w:hAnsi="宋体" w:eastAsia="宋体" w:cs="宋体"/>
          <w:sz w:val="24"/>
          <w:szCs w:val="24"/>
          <w:lang w:val="zh-TW" w:eastAsia="zh-TW"/>
        </w:rPr>
        <w:t>民族魂</w:t>
      </w:r>
      <w:r>
        <w:rPr>
          <w:rFonts w:hint="default" w:ascii="宋体" w:hAnsi="宋体" w:eastAsia="宋体" w:cs="宋体"/>
          <w:sz w:val="24"/>
          <w:szCs w:val="24"/>
        </w:rPr>
        <w:t>”</w:t>
      </w:r>
      <w:r>
        <w:rPr>
          <w:rFonts w:ascii="宋体" w:hAnsi="宋体" w:eastAsia="宋体" w:cs="宋体"/>
          <w:sz w:val="24"/>
          <w:szCs w:val="24"/>
          <w:lang w:val="zh-TW" w:eastAsia="zh-TW"/>
        </w:rPr>
        <w:t>。</w:t>
      </w:r>
    </w:p>
    <w:p w14:paraId="690E4774">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建设意义体现在以下几个方面：</w:t>
      </w:r>
    </w:p>
    <w:p w14:paraId="63D82626">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（1）文化传承与精神弘扬</w:t>
      </w:r>
    </w:p>
    <w:p w14:paraId="763C670E">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鲁迅是中国新文化运动的旗手，上海是他晚年生活和战斗的重要场所。此次改陈不仅是物理空间的升级，更是为了通过现代化的展示手段，更生动地向国内外观众讲述鲁迅故事，传承中华文脉。</w:t>
      </w:r>
    </w:p>
    <w:p w14:paraId="064A6978">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（2）提升城市文化地标形象</w:t>
      </w:r>
    </w:p>
    <w:p w14:paraId="6FBCCAED">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作为上海市重要红色文化地标，项目改陈完工后将显著提升场馆的整体形象和展陈效果，与周边的鲁迅公园、鲁迅墓、鲁迅故居形成更为协调统一的文化景观带。</w:t>
      </w:r>
    </w:p>
    <w:p w14:paraId="38C1D7FD">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（3）改善公共文化服务体验</w:t>
      </w:r>
    </w:p>
    <w:p w14:paraId="7F87E258">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项目根据新的改陈内容和理念重新打造整体的展陈体系。在有限的空间里多元化展示鲁迅先生的经历和著作，传承鲁迅先生的精神，结合新的展陈形式和互动展项，实现从</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以物为中心</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向</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以人为中心</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的转变，提升观众的参与感和体验感。</w:t>
      </w:r>
    </w:p>
    <w:p w14:paraId="1B033737">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1.3 建设目标</w:t>
      </w:r>
    </w:p>
    <w:p w14:paraId="656A0C86">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上海是党的诞生地、初心始发地、伟大建党精神孕育地，红色文化、海派文化、江南文化交相辉映。作为革命场馆，上海鲁迅纪念馆立足上海，辐射全国。</w:t>
      </w:r>
    </w:p>
    <w:p w14:paraId="306F5ED3">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坚持立足鲁迅相关革命文物资源的收藏研究展示，打造</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小而美</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小而精</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小而优</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的展览、教育活动，传播鲁迅文化与革命精神。</w:t>
      </w:r>
    </w:p>
    <w:p w14:paraId="3B959EF1">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1.4 展馆主题</w:t>
      </w:r>
    </w:p>
    <w:p w14:paraId="75FF58AB">
      <w:pPr>
        <w:spacing w:line="360" w:lineRule="auto"/>
        <w:ind w:firstLine="482"/>
        <w:rPr>
          <w:rFonts w:hint="default" w:ascii="宋体" w:hAnsi="宋体" w:eastAsia="宋体" w:cs="宋体"/>
          <w:sz w:val="24"/>
          <w:szCs w:val="24"/>
          <w:lang w:val="zh-TW" w:eastAsia="zh-TW"/>
        </w:rPr>
      </w:pPr>
      <w:r>
        <w:rPr>
          <w:rFonts w:hint="default" w:ascii="宋体" w:hAnsi="宋体" w:eastAsia="宋体" w:cs="宋体"/>
          <w:sz w:val="24"/>
          <w:szCs w:val="24"/>
          <w:lang w:val="zh-TW" w:eastAsia="zh-TW"/>
        </w:rPr>
        <w:t>“</w:t>
      </w:r>
      <w:r>
        <w:rPr>
          <w:rFonts w:ascii="宋体" w:hAnsi="宋体" w:eastAsia="宋体" w:cs="宋体"/>
          <w:sz w:val="24"/>
          <w:szCs w:val="24"/>
          <w:lang w:val="zh-TW" w:eastAsia="zh-TW"/>
        </w:rPr>
        <w:t>民族魂</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鲁迅，融合鲁迅精神，传播时代</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强音</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w:t>
      </w:r>
    </w:p>
    <w:p w14:paraId="5FF97F25">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1.5 展陈理念</w:t>
      </w:r>
    </w:p>
    <w:p w14:paraId="018FA55B">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在上海鲁迅纪念馆内</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立人厅</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引玉厅</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莽原厅</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奔流艺苑</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朝华文库</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生平年表</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民族魂鲁迅</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生平陈列</w:t>
      </w:r>
      <w:r>
        <w:rPr>
          <w:rFonts w:ascii="宋体" w:hAnsi="宋体" w:eastAsia="宋体" w:cs="宋体"/>
          <w:sz w:val="24"/>
          <w:szCs w:val="24"/>
          <w:lang w:val="zh-TW"/>
        </w:rPr>
        <w:t>、“</w:t>
      </w:r>
      <w:r>
        <w:rPr>
          <w:rFonts w:ascii="宋体" w:hAnsi="宋体" w:eastAsia="宋体" w:cs="宋体"/>
          <w:sz w:val="24"/>
          <w:szCs w:val="24"/>
        </w:rPr>
        <w:t>树人园</w:t>
      </w:r>
      <w:r>
        <w:rPr>
          <w:rFonts w:ascii="宋体" w:hAnsi="宋体" w:eastAsia="宋体" w:cs="宋体"/>
          <w:sz w:val="24"/>
          <w:szCs w:val="24"/>
          <w:lang w:val="zh-TW"/>
        </w:rPr>
        <w:t>”</w:t>
      </w:r>
      <w:r>
        <w:rPr>
          <w:rFonts w:ascii="宋体" w:hAnsi="宋体" w:eastAsia="宋体" w:cs="宋体"/>
          <w:sz w:val="24"/>
          <w:szCs w:val="24"/>
        </w:rPr>
        <w:t>、“百草园”</w:t>
      </w:r>
      <w:r>
        <w:rPr>
          <w:rFonts w:ascii="宋体" w:hAnsi="宋体" w:eastAsia="宋体" w:cs="宋体"/>
          <w:sz w:val="24"/>
          <w:szCs w:val="24"/>
          <w:lang w:val="zh-TW" w:eastAsia="zh-TW"/>
        </w:rPr>
        <w:t>共同构成了一个综合性的展览布局，共同叙述了鲁迅的生平事迹。</w:t>
      </w:r>
    </w:p>
    <w:p w14:paraId="7EC751A5">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1.6项目实施主要内容与范围</w:t>
      </w:r>
    </w:p>
    <w:p w14:paraId="3F9432FC">
      <w:pPr>
        <w:spacing w:line="360" w:lineRule="auto"/>
        <w:ind w:firstLine="482"/>
        <w:rPr>
          <w:rFonts w:ascii="宋体" w:hAnsi="宋体" w:eastAsia="宋体" w:cs="宋体"/>
          <w:sz w:val="24"/>
          <w:szCs w:val="24"/>
          <w:lang w:val="zh-TW" w:eastAsia="zh-TW"/>
        </w:rPr>
      </w:pPr>
      <w:r>
        <w:rPr>
          <w:rFonts w:ascii="宋体" w:hAnsi="宋体" w:eastAsia="宋体" w:cs="宋体"/>
          <w:sz w:val="24"/>
          <w:szCs w:val="24"/>
          <w:lang w:val="zh-TW" w:eastAsia="zh-TW"/>
        </w:rPr>
        <w:t>（1）鲁迅纪念馆改陈和修缮项目-改陈项目位于虹口区甜爱路200号鲁迅公园内，实施范围：一层和二层，展陈面积</w:t>
      </w:r>
      <w:r>
        <w:rPr>
          <w:rFonts w:hint="default" w:ascii="宋体" w:hAnsi="宋体" w:eastAsia="PMingLiU" w:cs="宋体"/>
          <w:sz w:val="24"/>
          <w:szCs w:val="24"/>
          <w:lang w:val="zh-TW" w:eastAsia="zh-TW"/>
        </w:rPr>
        <w:t>2049.30</w:t>
      </w:r>
      <w:r>
        <w:rPr>
          <w:rFonts w:ascii="宋体" w:hAnsi="宋体" w:eastAsia="宋体" w:cs="宋体"/>
          <w:sz w:val="24"/>
          <w:szCs w:val="24"/>
          <w:lang w:val="zh-TW" w:eastAsia="zh-TW"/>
        </w:rPr>
        <w:t>平方米，现场条件（界面）：</w:t>
      </w:r>
      <w:r>
        <w:rPr>
          <w:rFonts w:hint="default" w:ascii="宋体" w:hAnsi="宋体" w:eastAsia="宋体" w:cs="宋体"/>
          <w:color w:val="000000" w:themeColor="text1"/>
          <w:sz w:val="24"/>
          <w:szCs w:val="24"/>
          <w:lang w:eastAsia="zh-TW"/>
          <w14:textFill>
            <w14:solidFill>
              <w14:schemeClr w14:val="tx1"/>
            </w14:solidFill>
          </w14:textFill>
        </w:rPr>
        <w:t>一层二层基础装修（吊顶、地坪和墙面）已由修缮单位完成</w:t>
      </w:r>
      <w:r>
        <w:rPr>
          <w:rFonts w:ascii="宋体" w:hAnsi="宋体" w:eastAsia="宋体" w:cs="宋体"/>
          <w:color w:val="000000" w:themeColor="text1"/>
          <w:sz w:val="24"/>
          <w:szCs w:val="24"/>
          <w14:textFill>
            <w14:solidFill>
              <w14:schemeClr w14:val="tx1"/>
            </w14:solidFill>
          </w14:textFill>
        </w:rPr>
        <w:t>。</w:t>
      </w:r>
      <w:r>
        <w:rPr>
          <w:rFonts w:ascii="宋体" w:hAnsi="宋体" w:eastAsia="宋体" w:cs="宋体"/>
          <w:sz w:val="24"/>
          <w:szCs w:val="24"/>
          <w:lang w:val="zh-TW" w:eastAsia="zh-TW"/>
        </w:rPr>
        <w:t>一层由</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立人厅</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引玉厅</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莽原厅</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朝华文库</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和</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奔流艺苑</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组成</w:t>
      </w:r>
      <w:r>
        <w:rPr>
          <w:rFonts w:ascii="宋体" w:hAnsi="宋体" w:eastAsia="宋体" w:cs="宋体"/>
          <w:sz w:val="24"/>
          <w:szCs w:val="24"/>
          <w:lang w:val="zh-TW"/>
        </w:rPr>
        <w:t>；</w:t>
      </w:r>
      <w:r>
        <w:rPr>
          <w:rFonts w:ascii="宋体" w:hAnsi="宋体" w:eastAsia="宋体" w:cs="宋体"/>
          <w:sz w:val="24"/>
          <w:szCs w:val="24"/>
          <w:lang w:val="zh-TW" w:eastAsia="zh-TW"/>
        </w:rPr>
        <w:t>二层为</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民族魂鲁迅</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生平陈列，</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生平年表</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位于立人厅主楼梯侧面。</w:t>
      </w:r>
    </w:p>
    <w:p w14:paraId="3374BF4B">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1.7本项目投标范围</w:t>
      </w:r>
    </w:p>
    <w:p w14:paraId="20DB809B">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投标人应根据采购人的要求，编撰展陈设计方案，并负责展馆布展设计、制作、布展施工及布展综合事务协调总包服务（包括但不限于以下内容）：</w:t>
      </w:r>
    </w:p>
    <w:p w14:paraId="1FE1846A">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（1）陈列布展方案设计</w:t>
      </w:r>
    </w:p>
    <w:p w14:paraId="29A1A2A3">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（2）陈列制作及施工</w:t>
      </w:r>
    </w:p>
    <w:p w14:paraId="38E90FAC">
      <w:pPr>
        <w:spacing w:line="360" w:lineRule="auto"/>
        <w:ind w:firstLine="482"/>
        <w:rPr>
          <w:rFonts w:hint="default" w:ascii="宋体" w:hAnsi="宋体" w:eastAsia="宋体" w:cs="宋体"/>
          <w:b/>
          <w:bCs/>
          <w:sz w:val="24"/>
          <w:szCs w:val="24"/>
          <w:lang w:val="zh-TW" w:eastAsia="zh-TW"/>
        </w:rPr>
      </w:pPr>
      <w:r>
        <w:rPr>
          <w:rFonts w:ascii="宋体" w:hAnsi="宋体" w:eastAsia="宋体" w:cs="宋体"/>
          <w:b/>
          <w:bCs/>
          <w:sz w:val="24"/>
          <w:szCs w:val="24"/>
          <w:lang w:val="zh-TW" w:eastAsia="zh-TW"/>
        </w:rPr>
        <w:t>第二章 设计原则与总体要求</w:t>
      </w:r>
    </w:p>
    <w:p w14:paraId="600B05C2">
      <w:pPr>
        <w:spacing w:line="360" w:lineRule="auto"/>
        <w:ind w:firstLine="482"/>
        <w:rPr>
          <w:rFonts w:hint="default" w:ascii="宋体" w:hAnsi="宋体" w:eastAsia="宋体" w:cs="宋体"/>
          <w:sz w:val="24"/>
          <w:szCs w:val="24"/>
        </w:rPr>
      </w:pPr>
      <w:r>
        <w:rPr>
          <w:rFonts w:ascii="宋体" w:hAnsi="宋体" w:eastAsia="宋体" w:cs="宋体"/>
          <w:sz w:val="24"/>
          <w:szCs w:val="24"/>
        </w:rPr>
        <w:t xml:space="preserve">2.1 </w:t>
      </w:r>
      <w:r>
        <w:rPr>
          <w:rFonts w:ascii="宋体" w:hAnsi="宋体" w:eastAsia="宋体" w:cs="宋体"/>
          <w:sz w:val="24"/>
          <w:szCs w:val="24"/>
          <w:lang w:val="zh-TW" w:eastAsia="zh-TW"/>
        </w:rPr>
        <w:t>设计原则</w:t>
      </w:r>
    </w:p>
    <w:p w14:paraId="21E8E03C">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投标人应参考采购人提供的鲁迅纪念馆展览大纲</w:t>
      </w:r>
      <w:r>
        <w:rPr>
          <w:rFonts w:hint="default" w:ascii="宋体" w:hAnsi="宋体" w:eastAsia="宋体" w:cs="宋体"/>
          <w:sz w:val="24"/>
          <w:szCs w:val="24"/>
        </w:rPr>
        <w:t>”</w:t>
      </w:r>
      <w:r>
        <w:rPr>
          <w:rFonts w:ascii="宋体" w:hAnsi="宋体" w:eastAsia="宋体" w:cs="宋体"/>
          <w:sz w:val="24"/>
          <w:szCs w:val="24"/>
          <w:lang w:val="zh-TW" w:eastAsia="zh-TW"/>
        </w:rPr>
        <w:t>、展馆建筑平面图的内容，在总体设计中遵循以下原则：</w:t>
      </w:r>
    </w:p>
    <w:p w14:paraId="7DEF21D4">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w:t>
      </w:r>
      <w:r>
        <w:rPr>
          <w:rFonts w:ascii="宋体" w:hAnsi="宋体" w:eastAsia="宋体" w:cs="宋体"/>
          <w:sz w:val="24"/>
          <w:szCs w:val="24"/>
        </w:rPr>
        <w:t>1</w:t>
      </w:r>
      <w:r>
        <w:rPr>
          <w:rFonts w:ascii="宋体" w:hAnsi="宋体" w:eastAsia="宋体" w:cs="宋体"/>
          <w:sz w:val="24"/>
          <w:szCs w:val="24"/>
          <w:lang w:val="zh-TW" w:eastAsia="zh-TW"/>
        </w:rPr>
        <w:t>）系统性原则：展陈空间、展陈内容、技术系统、照明环境、导览标识等须形成统一整体，确保设计方案协调一致。</w:t>
      </w:r>
    </w:p>
    <w:p w14:paraId="59F1BF85">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（2）创新性原则：采用新技术、新材料、新形式，打造集智慧化、数字化与艺术化于一体的现代化展馆。</w:t>
      </w:r>
    </w:p>
    <w:p w14:paraId="2A4D34BF">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w:t>
      </w:r>
      <w:r>
        <w:rPr>
          <w:rFonts w:ascii="宋体" w:hAnsi="宋体" w:eastAsia="宋体" w:cs="宋体"/>
          <w:sz w:val="24"/>
          <w:szCs w:val="24"/>
        </w:rPr>
        <w:t>3</w:t>
      </w:r>
      <w:r>
        <w:rPr>
          <w:rFonts w:ascii="宋体" w:hAnsi="宋体" w:eastAsia="宋体" w:cs="宋体"/>
          <w:sz w:val="24"/>
          <w:szCs w:val="24"/>
          <w:lang w:val="zh-TW" w:eastAsia="zh-TW"/>
        </w:rPr>
        <w:t>）人本性原则：以观众体验为核心，注重参观流线、动线舒适性与交互性，体现以人为本的设计理念。</w:t>
      </w:r>
    </w:p>
    <w:p w14:paraId="6EED5EA6">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w:t>
      </w:r>
      <w:r>
        <w:rPr>
          <w:rFonts w:ascii="宋体" w:hAnsi="宋体" w:eastAsia="宋体" w:cs="宋体"/>
          <w:sz w:val="24"/>
          <w:szCs w:val="24"/>
        </w:rPr>
        <w:t>4</w:t>
      </w:r>
      <w:r>
        <w:rPr>
          <w:rFonts w:ascii="宋体" w:hAnsi="宋体" w:eastAsia="宋体" w:cs="宋体"/>
          <w:sz w:val="24"/>
          <w:szCs w:val="24"/>
          <w:lang w:val="zh-TW" w:eastAsia="zh-TW"/>
        </w:rPr>
        <w:t>）安全性原则：严格遵守国家安全、消防及建筑规范，确保观众安全与展品保护。</w:t>
      </w:r>
    </w:p>
    <w:p w14:paraId="2354E949">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w:t>
      </w:r>
      <w:r>
        <w:rPr>
          <w:rFonts w:ascii="宋体" w:hAnsi="宋体" w:eastAsia="宋体" w:cs="宋体"/>
          <w:sz w:val="24"/>
          <w:szCs w:val="24"/>
        </w:rPr>
        <w:t>5</w:t>
      </w:r>
      <w:r>
        <w:rPr>
          <w:rFonts w:ascii="宋体" w:hAnsi="宋体" w:eastAsia="宋体" w:cs="宋体"/>
          <w:sz w:val="24"/>
          <w:szCs w:val="24"/>
          <w:lang w:val="zh-TW" w:eastAsia="zh-TW"/>
        </w:rPr>
        <w:t>）可持续性原则：强调节能环保、材料可再利用与设备可维护性，实现展馆运营的可持续发展。</w:t>
      </w:r>
    </w:p>
    <w:p w14:paraId="0B866D6A">
      <w:pPr>
        <w:spacing w:line="360" w:lineRule="auto"/>
        <w:ind w:firstLine="482"/>
        <w:rPr>
          <w:rFonts w:hint="default" w:ascii="宋体" w:hAnsi="宋体" w:eastAsia="宋体" w:cs="宋体"/>
          <w:sz w:val="24"/>
          <w:szCs w:val="24"/>
        </w:rPr>
      </w:pPr>
      <w:r>
        <w:rPr>
          <w:rFonts w:ascii="宋体" w:hAnsi="宋体" w:eastAsia="宋体" w:cs="宋体"/>
          <w:sz w:val="24"/>
          <w:szCs w:val="24"/>
        </w:rPr>
        <w:t xml:space="preserve">2.2 </w:t>
      </w:r>
      <w:r>
        <w:rPr>
          <w:rFonts w:ascii="宋体" w:hAnsi="宋体" w:eastAsia="宋体" w:cs="宋体"/>
          <w:sz w:val="24"/>
          <w:szCs w:val="24"/>
          <w:lang w:val="zh-TW" w:eastAsia="zh-TW"/>
        </w:rPr>
        <w:t>设计要求</w:t>
      </w:r>
    </w:p>
    <w:p w14:paraId="3F203175">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w:t>
      </w:r>
      <w:r>
        <w:rPr>
          <w:rFonts w:ascii="宋体" w:hAnsi="宋体" w:eastAsia="宋体" w:cs="宋体"/>
          <w:sz w:val="24"/>
          <w:szCs w:val="24"/>
        </w:rPr>
        <w:t>1</w:t>
      </w:r>
      <w:r>
        <w:rPr>
          <w:rFonts w:ascii="宋体" w:hAnsi="宋体" w:eastAsia="宋体" w:cs="宋体"/>
          <w:sz w:val="24"/>
          <w:szCs w:val="24"/>
          <w:lang w:val="zh-TW" w:eastAsia="zh-TW"/>
        </w:rPr>
        <w:t>）整体设计创意及风格要求大气简洁、时代与文化特色鲜明、并结合现代元素，构思新颖、亮点突出。</w:t>
      </w:r>
    </w:p>
    <w:p w14:paraId="511626F3">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w:t>
      </w:r>
      <w:r>
        <w:rPr>
          <w:rFonts w:ascii="宋体" w:hAnsi="宋体" w:eastAsia="宋体" w:cs="宋体"/>
          <w:sz w:val="24"/>
          <w:szCs w:val="24"/>
        </w:rPr>
        <w:t>2</w:t>
      </w:r>
      <w:r>
        <w:rPr>
          <w:rFonts w:ascii="宋体" w:hAnsi="宋体" w:eastAsia="宋体" w:cs="宋体"/>
          <w:sz w:val="24"/>
          <w:szCs w:val="24"/>
          <w:lang w:val="zh-TW" w:eastAsia="zh-TW"/>
        </w:rPr>
        <w:t>）设计中需体现兼顾社会经济效益，采用限额设计。设计过程中，应该充分考虑在本项目社会效益的基础上兼顾设计与展品制作成本，维护费用和运营费用等经济因素。</w:t>
      </w:r>
    </w:p>
    <w:p w14:paraId="59E12320">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w:t>
      </w:r>
      <w:r>
        <w:rPr>
          <w:rFonts w:ascii="宋体" w:hAnsi="宋体" w:eastAsia="宋体" w:cs="宋体"/>
          <w:sz w:val="24"/>
          <w:szCs w:val="24"/>
        </w:rPr>
        <w:t>3</w:t>
      </w:r>
      <w:r>
        <w:rPr>
          <w:rFonts w:ascii="宋体" w:hAnsi="宋体" w:eastAsia="宋体" w:cs="宋体"/>
          <w:sz w:val="24"/>
          <w:szCs w:val="24"/>
          <w:lang w:val="zh-TW" w:eastAsia="zh-TW"/>
        </w:rPr>
        <w:t>）形式设计必须忠实于展览的主题和内容，对展览内容进行准确、完整和生动的表达。必须深刻理解展览大纲中所示的展览主题和内容，并符合附件中各展览大纲提出的设计要求，据此确定陈列的表现形式。形式设计的设计语言须符合各展区陈列主题的表达方式，通俗易懂地传达展览的主旨和内涵，通过合理方式实现展品与场景一体化，做到主题突出，形式多样，内容与形式完美统一。</w:t>
      </w:r>
    </w:p>
    <w:p w14:paraId="2D0D5D37">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w:t>
      </w:r>
      <w:r>
        <w:rPr>
          <w:rFonts w:ascii="宋体" w:hAnsi="宋体" w:eastAsia="宋体" w:cs="宋体"/>
          <w:sz w:val="24"/>
          <w:szCs w:val="24"/>
        </w:rPr>
        <w:t>4</w:t>
      </w:r>
      <w:r>
        <w:rPr>
          <w:rFonts w:ascii="宋体" w:hAnsi="宋体" w:eastAsia="宋体" w:cs="宋体"/>
          <w:sz w:val="24"/>
          <w:szCs w:val="24"/>
          <w:lang w:val="zh-TW" w:eastAsia="zh-TW"/>
        </w:rPr>
        <w:t>）结合展示内容，布局互动项目，增加观众参与性，互动项目要求与展示内容紧密相关，力求创新，注重知识性与趣味性的有机结合。形式设计要做到将展览内容的丰富性与展览方式的多样化、现代化和技术化有机结合起来，形象深刻地揭示展览的主题和内涵。</w:t>
      </w:r>
    </w:p>
    <w:p w14:paraId="74BDD19B">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w:t>
      </w:r>
      <w:r>
        <w:rPr>
          <w:rFonts w:ascii="宋体" w:hAnsi="宋体" w:eastAsia="宋体" w:cs="宋体"/>
          <w:sz w:val="24"/>
          <w:szCs w:val="24"/>
        </w:rPr>
        <w:t>5</w:t>
      </w:r>
      <w:r>
        <w:rPr>
          <w:rFonts w:ascii="宋体" w:hAnsi="宋体" w:eastAsia="宋体" w:cs="宋体"/>
          <w:sz w:val="24"/>
          <w:szCs w:val="24"/>
          <w:lang w:val="zh-TW" w:eastAsia="zh-TW"/>
        </w:rPr>
        <w:t>）所有展陈素材在保持史料原真度的前提下，须经过符合展陈效果的提升处理。</w:t>
      </w:r>
    </w:p>
    <w:p w14:paraId="311F2437">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w:t>
      </w:r>
      <w:r>
        <w:rPr>
          <w:rFonts w:ascii="宋体" w:hAnsi="宋体" w:eastAsia="宋体" w:cs="宋体"/>
          <w:sz w:val="24"/>
          <w:szCs w:val="24"/>
        </w:rPr>
        <w:t>6</w:t>
      </w:r>
      <w:r>
        <w:rPr>
          <w:rFonts w:ascii="宋体" w:hAnsi="宋体" w:eastAsia="宋体" w:cs="宋体"/>
          <w:sz w:val="24"/>
          <w:szCs w:val="24"/>
          <w:lang w:val="zh-TW" w:eastAsia="zh-TW"/>
        </w:rPr>
        <w:t>）要根据展览传播目的和展览内容，科学设计展品摆放，合理安排展览信息，使观众轻松接受展览要传递的内容和信息。</w:t>
      </w:r>
    </w:p>
    <w:p w14:paraId="12BD2408">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w:t>
      </w:r>
      <w:r>
        <w:rPr>
          <w:rFonts w:ascii="宋体" w:hAnsi="宋体" w:eastAsia="宋体" w:cs="宋体"/>
          <w:sz w:val="24"/>
          <w:szCs w:val="24"/>
        </w:rPr>
        <w:t>7</w:t>
      </w:r>
      <w:r>
        <w:rPr>
          <w:rFonts w:ascii="宋体" w:hAnsi="宋体" w:eastAsia="宋体" w:cs="宋体"/>
          <w:sz w:val="24"/>
          <w:szCs w:val="24"/>
          <w:lang w:val="zh-TW" w:eastAsia="zh-TW"/>
        </w:rPr>
        <w:t>）展厅环境设计和气氛营造要庄重、大气，与建筑空间、展览内容完美结合，相互呼应，相得益彰，浑然一体。既要能起到烘托展示内容的作用，又能为观众创造一个舒适、和谐和温馨的参观环境。</w:t>
      </w:r>
    </w:p>
    <w:p w14:paraId="7D1BF668">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w:t>
      </w:r>
      <w:r>
        <w:rPr>
          <w:rFonts w:ascii="宋体" w:hAnsi="宋体" w:eastAsia="宋体" w:cs="宋体"/>
          <w:sz w:val="24"/>
          <w:szCs w:val="24"/>
        </w:rPr>
        <w:t>8</w:t>
      </w:r>
      <w:r>
        <w:rPr>
          <w:rFonts w:ascii="宋体" w:hAnsi="宋体" w:eastAsia="宋体" w:cs="宋体"/>
          <w:sz w:val="24"/>
          <w:szCs w:val="24"/>
          <w:lang w:val="zh-TW" w:eastAsia="zh-TW"/>
        </w:rPr>
        <w:t>）展柜、辅助展品及装饰材料的取材要讲究低碳环保；注意善于利用材质的肌理和质感来映衬展览的内容，增强展览的艺术表现力；展柜、辅助展品的制作和工艺要严谨精细，有技术和安全的支撑和保障。</w:t>
      </w:r>
    </w:p>
    <w:p w14:paraId="34C8FA21">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w:t>
      </w:r>
      <w:r>
        <w:rPr>
          <w:rFonts w:ascii="宋体" w:hAnsi="宋体" w:eastAsia="宋体" w:cs="宋体"/>
          <w:sz w:val="24"/>
          <w:szCs w:val="24"/>
        </w:rPr>
        <w:t>9</w:t>
      </w:r>
      <w:r>
        <w:rPr>
          <w:rFonts w:ascii="宋体" w:hAnsi="宋体" w:eastAsia="宋体" w:cs="宋体"/>
          <w:sz w:val="24"/>
          <w:szCs w:val="24"/>
          <w:lang w:val="zh-TW" w:eastAsia="zh-TW"/>
        </w:rPr>
        <w:t>）场景艺术设计构思要立意准确，构图布局合理，制作工艺先进，艺术感染力强。高科技展项要切合展览内容与主题，富有生动性和互动感，性能优良，操作简便，容易维护，价格合理。</w:t>
      </w:r>
    </w:p>
    <w:p w14:paraId="1D3091B1">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w:t>
      </w:r>
      <w:r>
        <w:rPr>
          <w:rFonts w:ascii="宋体" w:hAnsi="宋体" w:eastAsia="宋体" w:cs="宋体"/>
          <w:sz w:val="24"/>
          <w:szCs w:val="24"/>
        </w:rPr>
        <w:t>10</w:t>
      </w:r>
      <w:r>
        <w:rPr>
          <w:rFonts w:ascii="宋体" w:hAnsi="宋体" w:eastAsia="宋体" w:cs="宋体"/>
          <w:sz w:val="24"/>
          <w:szCs w:val="24"/>
          <w:lang w:val="zh-TW" w:eastAsia="zh-TW"/>
        </w:rPr>
        <w:t>）展柜设计应考虑展品存取方便、安全可靠，制作优良、经久耐用。设备和产品的设计、生产、和安装必须符合国家有关规范和标准，以保证展品的安全及观众参观的舒适性。</w:t>
      </w:r>
    </w:p>
    <w:p w14:paraId="6B51F4A3">
      <w:pPr>
        <w:spacing w:line="360" w:lineRule="auto"/>
        <w:ind w:firstLine="482"/>
        <w:rPr>
          <w:rFonts w:hint="default" w:ascii="宋体" w:hAnsi="宋体" w:eastAsia="宋体" w:cs="宋体"/>
          <w:sz w:val="24"/>
          <w:szCs w:val="24"/>
        </w:rPr>
      </w:pPr>
      <w:r>
        <w:rPr>
          <w:rFonts w:ascii="宋体" w:hAnsi="宋体" w:eastAsia="宋体" w:cs="宋体"/>
          <w:sz w:val="24"/>
          <w:szCs w:val="24"/>
        </w:rPr>
        <w:t xml:space="preserve">2.3 </w:t>
      </w:r>
      <w:r>
        <w:rPr>
          <w:rFonts w:ascii="宋体" w:hAnsi="宋体" w:eastAsia="宋体" w:cs="宋体"/>
          <w:sz w:val="24"/>
          <w:szCs w:val="24"/>
          <w:lang w:val="zh-TW" w:eastAsia="zh-TW"/>
        </w:rPr>
        <w:t>本次投标设计方案需提供成果</w:t>
      </w:r>
    </w:p>
    <w:p w14:paraId="4222FA0A">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投标人根据理解，提交能最大限度展现自身实力和设计思想的设计说明书与设计图纸，包括但不限于：</w:t>
      </w:r>
    </w:p>
    <w:p w14:paraId="52DF2FF7">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1.全馆布局与参观流线等直接表达方案思路的设计分析图</w:t>
      </w:r>
    </w:p>
    <w:p w14:paraId="57400ADE">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2.总平面布置图、总效果图</w:t>
      </w:r>
    </w:p>
    <w:p w14:paraId="4EEDD551">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3.各展区平面布置图、各展区效果图（视点和数量自定）</w:t>
      </w:r>
    </w:p>
    <w:p w14:paraId="151D6922">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4.轴测图、立面图</w:t>
      </w:r>
    </w:p>
    <w:p w14:paraId="2456F5A0">
      <w:pPr>
        <w:spacing w:line="360" w:lineRule="auto"/>
        <w:ind w:firstLine="482"/>
        <w:rPr>
          <w:rFonts w:hint="default" w:ascii="宋体" w:hAnsi="宋体" w:eastAsia="宋体" w:cs="宋体"/>
          <w:sz w:val="24"/>
          <w:szCs w:val="24"/>
        </w:rPr>
      </w:pPr>
      <w:r>
        <w:rPr>
          <w:rFonts w:ascii="宋体" w:hAnsi="宋体" w:eastAsia="宋体" w:cs="宋体"/>
          <w:sz w:val="24"/>
          <w:szCs w:val="24"/>
        </w:rPr>
        <w:t>5</w:t>
      </w:r>
      <w:r>
        <w:rPr>
          <w:rFonts w:ascii="宋体" w:hAnsi="宋体" w:eastAsia="宋体" w:cs="宋体"/>
          <w:sz w:val="24"/>
          <w:szCs w:val="24"/>
          <w:lang w:val="zh-TW" w:eastAsia="zh-TW"/>
        </w:rPr>
        <w:t>.照明技术方案</w:t>
      </w:r>
    </w:p>
    <w:p w14:paraId="3719BE69">
      <w:pPr>
        <w:spacing w:line="360" w:lineRule="auto"/>
        <w:ind w:firstLine="482"/>
        <w:rPr>
          <w:rFonts w:hint="default" w:ascii="宋体" w:hAnsi="宋体" w:eastAsia="宋体" w:cs="宋体"/>
          <w:sz w:val="24"/>
          <w:szCs w:val="24"/>
        </w:rPr>
      </w:pPr>
      <w:r>
        <w:rPr>
          <w:rFonts w:ascii="宋体" w:hAnsi="宋体" w:eastAsia="宋体" w:cs="宋体"/>
          <w:sz w:val="24"/>
          <w:szCs w:val="24"/>
        </w:rPr>
        <w:t>6</w:t>
      </w:r>
      <w:r>
        <w:rPr>
          <w:rFonts w:ascii="宋体" w:hAnsi="宋体" w:eastAsia="宋体" w:cs="宋体"/>
          <w:sz w:val="24"/>
          <w:szCs w:val="24"/>
          <w:lang w:val="zh-TW" w:eastAsia="zh-TW"/>
        </w:rPr>
        <w:t>.专业展柜技术方案</w:t>
      </w:r>
    </w:p>
    <w:p w14:paraId="71AAA054">
      <w:pPr>
        <w:spacing w:line="360" w:lineRule="auto"/>
        <w:ind w:firstLine="480"/>
        <w:rPr>
          <w:rFonts w:hint="default" w:ascii="宋体" w:hAnsi="宋体" w:eastAsia="宋体" w:cs="宋体"/>
          <w:sz w:val="24"/>
          <w:szCs w:val="24"/>
        </w:rPr>
      </w:pPr>
      <w:r>
        <w:rPr>
          <w:rFonts w:ascii="宋体" w:hAnsi="宋体" w:eastAsia="宋体" w:cs="宋体"/>
          <w:sz w:val="24"/>
          <w:szCs w:val="24"/>
        </w:rPr>
        <w:t xml:space="preserve">2.4 </w:t>
      </w:r>
      <w:r>
        <w:rPr>
          <w:rFonts w:hint="eastAsia" w:ascii="宋体" w:hAnsi="宋体" w:eastAsia="宋体" w:cs="宋体"/>
          <w:sz w:val="24"/>
          <w:szCs w:val="24"/>
          <w:lang w:val="en-US" w:eastAsia="zh-CN"/>
        </w:rPr>
        <w:t>服务内容及</w:t>
      </w:r>
      <w:r>
        <w:rPr>
          <w:rFonts w:ascii="宋体" w:hAnsi="宋体" w:eastAsia="宋体" w:cs="宋体"/>
          <w:sz w:val="24"/>
          <w:szCs w:val="24"/>
          <w:lang w:val="zh-TW" w:eastAsia="zh-TW"/>
        </w:rPr>
        <w:t>总体技术要求</w:t>
      </w:r>
    </w:p>
    <w:p w14:paraId="41BCFB58">
      <w:pPr>
        <w:spacing w:line="360" w:lineRule="auto"/>
        <w:ind w:firstLine="480"/>
        <w:rPr>
          <w:rFonts w:hint="eastAsia" w:ascii="宋体" w:hAnsi="宋体" w:eastAsia="宋体" w:cs="宋体"/>
          <w:sz w:val="24"/>
          <w:szCs w:val="24"/>
          <w:lang w:val="zh-TW" w:eastAsia="zh-TW"/>
        </w:rPr>
      </w:pPr>
      <w:r>
        <w:rPr>
          <w:rFonts w:hint="eastAsia" w:ascii="宋体" w:hAnsi="宋体" w:eastAsia="宋体" w:cs="宋体"/>
          <w:sz w:val="24"/>
          <w:szCs w:val="24"/>
          <w:lang w:val="zh-TW" w:eastAsia="zh-TW"/>
        </w:rPr>
        <w:t>（</w:t>
      </w:r>
      <w:r>
        <w:rPr>
          <w:rFonts w:hint="eastAsia" w:ascii="宋体" w:hAnsi="宋体" w:eastAsia="宋体" w:cs="宋体"/>
          <w:sz w:val="24"/>
          <w:szCs w:val="24"/>
          <w:lang w:val="en-US" w:eastAsia="zh-CN"/>
        </w:rPr>
        <w:t>1</w:t>
      </w:r>
      <w:r>
        <w:rPr>
          <w:rFonts w:hint="eastAsia" w:ascii="宋体" w:hAnsi="宋体" w:eastAsia="宋体" w:cs="宋体"/>
          <w:sz w:val="24"/>
          <w:szCs w:val="24"/>
          <w:lang w:val="zh-TW" w:eastAsia="zh-TW"/>
        </w:rPr>
        <w:t>）本采购项目包括但不限于展厅展柜、展品展台、支架</w:t>
      </w:r>
      <w:r>
        <w:rPr>
          <w:rFonts w:hint="eastAsia" w:ascii="宋体" w:hAnsi="宋体" w:eastAsia="宋体" w:cs="宋体"/>
          <w:sz w:val="24"/>
          <w:szCs w:val="24"/>
          <w:lang w:val="zh-TW" w:eastAsia="zh-CN"/>
        </w:rPr>
        <w:t>、</w:t>
      </w:r>
      <w:r>
        <w:rPr>
          <w:rFonts w:hint="eastAsia" w:ascii="宋体" w:hAnsi="宋体" w:eastAsia="宋体" w:cs="宋体"/>
          <w:sz w:val="24"/>
          <w:szCs w:val="24"/>
          <w:lang w:val="en-US" w:eastAsia="zh-CN"/>
        </w:rPr>
        <w:t>说明牌</w:t>
      </w:r>
      <w:r>
        <w:rPr>
          <w:rFonts w:hint="eastAsia" w:ascii="宋体" w:hAnsi="宋体" w:eastAsia="宋体" w:cs="宋体"/>
          <w:sz w:val="24"/>
          <w:szCs w:val="24"/>
          <w:lang w:val="zh-TW" w:eastAsia="zh-TW"/>
        </w:rPr>
        <w:t>等专业项目；场景复原、雕塑</w:t>
      </w:r>
      <w:r>
        <w:rPr>
          <w:rFonts w:hint="eastAsia" w:ascii="宋体" w:hAnsi="宋体" w:eastAsia="宋体" w:cs="宋体"/>
          <w:sz w:val="24"/>
          <w:szCs w:val="24"/>
          <w:lang w:val="zh-TW" w:eastAsia="zh-CN"/>
        </w:rPr>
        <w:t>、</w:t>
      </w:r>
      <w:r>
        <w:rPr>
          <w:rFonts w:hint="eastAsia" w:ascii="宋体" w:hAnsi="宋体" w:eastAsia="宋体" w:cs="宋体"/>
          <w:sz w:val="24"/>
          <w:szCs w:val="24"/>
          <w:lang w:val="en-US" w:eastAsia="zh-CN"/>
        </w:rPr>
        <w:t>艺术装置、部分雕塑利旧布置</w:t>
      </w:r>
      <w:r>
        <w:rPr>
          <w:rFonts w:hint="eastAsia" w:ascii="宋体" w:hAnsi="宋体" w:eastAsia="宋体" w:cs="宋体"/>
          <w:sz w:val="24"/>
          <w:szCs w:val="24"/>
          <w:lang w:val="zh-TW" w:eastAsia="zh-TW"/>
        </w:rPr>
        <w:t>等艺术创作，灯光照明系统、多媒体</w:t>
      </w:r>
      <w:r>
        <w:rPr>
          <w:rFonts w:hint="eastAsia" w:ascii="宋体" w:hAnsi="宋体" w:eastAsia="宋体" w:cs="宋体"/>
          <w:sz w:val="24"/>
          <w:szCs w:val="24"/>
          <w:lang w:val="en-US" w:eastAsia="zh-CN"/>
        </w:rPr>
        <w:t>软硬件采购开发、创意影片</w:t>
      </w:r>
      <w:r>
        <w:rPr>
          <w:rFonts w:hint="eastAsia" w:ascii="宋体" w:hAnsi="宋体" w:eastAsia="宋体" w:cs="宋体"/>
          <w:sz w:val="24"/>
          <w:szCs w:val="24"/>
          <w:lang w:val="zh-TW" w:eastAsia="zh-TW"/>
        </w:rPr>
        <w:t>制作等配套项目</w:t>
      </w:r>
      <w:r>
        <w:rPr>
          <w:rFonts w:hint="eastAsia" w:ascii="宋体" w:hAnsi="宋体" w:eastAsia="宋体" w:cs="宋体"/>
          <w:sz w:val="24"/>
          <w:szCs w:val="24"/>
          <w:lang w:val="zh-TW" w:eastAsia="zh-CN"/>
        </w:rPr>
        <w:t>，</w:t>
      </w:r>
      <w:r>
        <w:rPr>
          <w:rFonts w:hint="eastAsia" w:ascii="宋体" w:hAnsi="宋体" w:eastAsia="宋体" w:cs="宋体"/>
          <w:sz w:val="24"/>
          <w:szCs w:val="24"/>
          <w:lang w:val="en-US" w:eastAsia="zh-CN"/>
        </w:rPr>
        <w:t>展墙、</w:t>
      </w:r>
      <w:r>
        <w:rPr>
          <w:rFonts w:hint="eastAsia" w:ascii="宋体" w:hAnsi="宋体" w:eastAsia="宋体" w:cs="宋体"/>
          <w:sz w:val="24"/>
          <w:szCs w:val="24"/>
          <w:lang w:val="zh-TW" w:eastAsia="zh-TW"/>
        </w:rPr>
        <w:t>展板图文等设计制作、陈列布展及其他辅助项目等</w:t>
      </w:r>
    </w:p>
    <w:p w14:paraId="0516A292">
      <w:pPr>
        <w:spacing w:line="360" w:lineRule="auto"/>
        <w:ind w:firstLine="480"/>
        <w:rPr>
          <w:rFonts w:hint="eastAsia" w:ascii="宋体" w:hAnsi="宋体" w:eastAsia="宋体" w:cs="宋体"/>
          <w:sz w:val="24"/>
          <w:szCs w:val="24"/>
          <w:lang w:val="zh-TW" w:eastAsia="zh-CN"/>
        </w:rPr>
      </w:pPr>
      <w:r>
        <w:rPr>
          <w:rFonts w:hint="eastAsia" w:ascii="宋体" w:hAnsi="宋体" w:eastAsia="宋体" w:cs="宋体"/>
          <w:sz w:val="24"/>
          <w:szCs w:val="24"/>
          <w:lang w:val="zh-TW"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val="zh-TW" w:eastAsia="zh-CN"/>
        </w:rPr>
        <w:t>）展陈要求：陈列展览能准确、完整、生动地表达展示主题和内容，布局合理，逻辑清晰，重点突出，传播信息丰富饱满，信息组团合理巧妙，展示信息层次清晰；展厅环境氛围典雅庄重、引人入胜、充满现代气息、富有艺术感染力；注重人性化设计，符合人体工程学的基本要求。</w:t>
      </w:r>
    </w:p>
    <w:p w14:paraId="2E3BB7E9">
      <w:pPr>
        <w:spacing w:line="360" w:lineRule="auto"/>
        <w:ind w:firstLine="480"/>
        <w:rPr>
          <w:rFonts w:hint="eastAsia" w:ascii="宋体" w:hAnsi="宋体" w:eastAsia="宋体" w:cs="宋体"/>
          <w:sz w:val="24"/>
          <w:szCs w:val="24"/>
          <w:lang w:val="zh-TW" w:eastAsia="zh-CN"/>
        </w:rPr>
      </w:pPr>
      <w:r>
        <w:rPr>
          <w:rFonts w:hint="eastAsia" w:ascii="宋体" w:hAnsi="宋体" w:eastAsia="宋体" w:cs="宋体"/>
          <w:sz w:val="24"/>
          <w:szCs w:val="24"/>
          <w:lang w:val="zh-TW"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val="zh-TW" w:eastAsia="zh-CN"/>
        </w:rPr>
        <w:t>）图文版面要求：各级标题文字看板设计要求规格统一；图文版面设计要符合“信息传达第一”的原则文物展品与图文版之间的呼应关系要强，各元素之间的组合、布局主次分明，重点突出；图文版面设计要符合审美原则。</w:t>
      </w:r>
    </w:p>
    <w:p w14:paraId="39D59CB8">
      <w:pPr>
        <w:spacing w:line="360" w:lineRule="auto"/>
        <w:ind w:firstLine="480"/>
        <w:rPr>
          <w:rFonts w:hint="default" w:ascii="宋体" w:hAnsi="宋体" w:eastAsia="宋体" w:cs="宋体"/>
          <w:sz w:val="24"/>
          <w:szCs w:val="24"/>
        </w:rPr>
      </w:pPr>
      <w:r>
        <w:rPr>
          <w:rFonts w:ascii="宋体" w:hAnsi="宋体" w:eastAsia="宋体" w:cs="宋体"/>
          <w:sz w:val="24"/>
          <w:szCs w:val="24"/>
          <w:lang w:val="zh-TW" w:eastAsia="zh-TW"/>
        </w:rPr>
        <w:t>（</w:t>
      </w:r>
      <w:r>
        <w:rPr>
          <w:rFonts w:hint="eastAsia" w:ascii="宋体" w:hAnsi="宋体" w:eastAsia="宋体" w:cs="宋体"/>
          <w:sz w:val="24"/>
          <w:szCs w:val="24"/>
          <w:lang w:val="en-US" w:eastAsia="zh-CN"/>
        </w:rPr>
        <w:t>4</w:t>
      </w:r>
      <w:r>
        <w:rPr>
          <w:rFonts w:ascii="宋体" w:hAnsi="宋体" w:eastAsia="宋体" w:cs="宋体"/>
          <w:sz w:val="24"/>
          <w:szCs w:val="24"/>
          <w:lang w:val="zh-TW" w:eastAsia="zh-TW"/>
        </w:rPr>
        <w:t>）照明系统：采用高显色</w:t>
      </w:r>
      <w:r>
        <w:rPr>
          <w:rFonts w:ascii="宋体" w:hAnsi="宋体" w:eastAsia="宋体" w:cs="宋体"/>
          <w:sz w:val="24"/>
          <w:szCs w:val="24"/>
        </w:rPr>
        <w:t>LED</w:t>
      </w:r>
      <w:r>
        <w:rPr>
          <w:rFonts w:ascii="宋体" w:hAnsi="宋体" w:eastAsia="宋体" w:cs="宋体"/>
          <w:sz w:val="24"/>
          <w:szCs w:val="24"/>
          <w:lang w:val="zh-TW" w:eastAsia="zh-TW"/>
        </w:rPr>
        <w:t>灯具，</w:t>
      </w:r>
      <w:r>
        <w:rPr>
          <w:rFonts w:ascii="宋体" w:hAnsi="宋体" w:eastAsia="宋体" w:cs="宋体"/>
          <w:sz w:val="24"/>
          <w:szCs w:val="24"/>
        </w:rPr>
        <w:t>CRI</w:t>
      </w:r>
      <w:r>
        <w:rPr>
          <w:rFonts w:hint="default" w:ascii="宋体" w:hAnsi="宋体" w:eastAsia="宋体" w:cs="宋体"/>
          <w:sz w:val="24"/>
          <w:szCs w:val="24"/>
        </w:rPr>
        <w:t>≥</w:t>
      </w:r>
      <w:r>
        <w:rPr>
          <w:rFonts w:ascii="宋体" w:hAnsi="宋体" w:eastAsia="宋体" w:cs="宋体"/>
          <w:sz w:val="24"/>
          <w:szCs w:val="24"/>
        </w:rPr>
        <w:t>95</w:t>
      </w:r>
      <w:r>
        <w:rPr>
          <w:rFonts w:ascii="宋体" w:hAnsi="宋体" w:eastAsia="宋体" w:cs="宋体"/>
          <w:sz w:val="24"/>
          <w:szCs w:val="24"/>
          <w:lang w:val="zh-TW" w:eastAsia="zh-TW"/>
        </w:rPr>
        <w:t>，重点照明与背景照明分路控制，预设场景模式。</w:t>
      </w:r>
    </w:p>
    <w:p w14:paraId="52EA0F64">
      <w:pPr>
        <w:spacing w:line="360" w:lineRule="auto"/>
        <w:ind w:firstLine="480"/>
        <w:rPr>
          <w:rFonts w:hint="default" w:ascii="宋体" w:hAnsi="宋体" w:eastAsia="宋体" w:cs="宋体"/>
          <w:sz w:val="24"/>
          <w:szCs w:val="24"/>
        </w:rPr>
      </w:pPr>
      <w:r>
        <w:rPr>
          <w:rFonts w:ascii="宋体" w:hAnsi="宋体" w:eastAsia="宋体" w:cs="宋体"/>
          <w:sz w:val="24"/>
          <w:szCs w:val="24"/>
          <w:lang w:val="zh-TW" w:eastAsia="zh-TW"/>
        </w:rPr>
        <w:t>（</w:t>
      </w:r>
      <w:r>
        <w:rPr>
          <w:rFonts w:hint="eastAsia" w:ascii="宋体" w:hAnsi="宋体" w:eastAsia="宋体" w:cs="宋体"/>
          <w:sz w:val="24"/>
          <w:szCs w:val="24"/>
          <w:lang w:val="en-US" w:eastAsia="zh-CN"/>
        </w:rPr>
        <w:t>5</w:t>
      </w:r>
      <w:r>
        <w:rPr>
          <w:rFonts w:ascii="宋体" w:hAnsi="宋体" w:eastAsia="宋体" w:cs="宋体"/>
          <w:sz w:val="24"/>
          <w:szCs w:val="24"/>
          <w:lang w:val="zh-TW" w:eastAsia="zh-TW"/>
        </w:rPr>
        <w:t>）多媒体系统：采用模块化设计，满足不同展项内容更新需求，兼容投影、</w:t>
      </w:r>
      <w:r>
        <w:rPr>
          <w:rFonts w:ascii="宋体" w:hAnsi="宋体" w:eastAsia="宋体" w:cs="宋体"/>
          <w:sz w:val="24"/>
          <w:szCs w:val="24"/>
        </w:rPr>
        <w:t>LED</w:t>
      </w:r>
      <w:r>
        <w:rPr>
          <w:rFonts w:ascii="宋体" w:hAnsi="宋体" w:eastAsia="宋体" w:cs="宋体"/>
          <w:sz w:val="24"/>
          <w:szCs w:val="24"/>
          <w:lang w:val="zh-TW" w:eastAsia="zh-TW"/>
        </w:rPr>
        <w:t>拼接屏等形式并按展项需求考虑互动性。运用多媒体技术，深度挖掘展陈对象所蕴含的背景、意义，给观众带来全新的科技体验，提高观赏度、令人产生探索的兴趣，给人留下深刻印象。结合展品对象特色来进行合理设计，传播目的明确，展项与展馆内容高度结合；设计理念新颖，展项的互动性、体验性强；多媒体设备的选型上需考虑技术相对领先而且设备性能可靠、操作方便，维护经济。</w:t>
      </w:r>
    </w:p>
    <w:p w14:paraId="3B4066CE">
      <w:pPr>
        <w:spacing w:line="360" w:lineRule="auto"/>
        <w:ind w:firstLine="480"/>
        <w:rPr>
          <w:rFonts w:hint="default" w:ascii="宋体" w:hAnsi="宋体" w:eastAsia="宋体" w:cs="宋体"/>
          <w:sz w:val="24"/>
          <w:szCs w:val="24"/>
        </w:rPr>
      </w:pPr>
      <w:r>
        <w:rPr>
          <w:rFonts w:ascii="宋体" w:hAnsi="宋体" w:eastAsia="宋体" w:cs="宋体"/>
          <w:sz w:val="24"/>
          <w:szCs w:val="24"/>
          <w:lang w:val="zh-TW" w:eastAsia="zh-TW"/>
        </w:rPr>
        <w:t>（</w:t>
      </w:r>
      <w:r>
        <w:rPr>
          <w:rFonts w:hint="eastAsia" w:ascii="宋体" w:hAnsi="宋体" w:eastAsia="宋体" w:cs="宋体"/>
          <w:sz w:val="24"/>
          <w:szCs w:val="24"/>
          <w:lang w:val="en-US" w:eastAsia="zh-CN"/>
        </w:rPr>
        <w:t>6</w:t>
      </w:r>
      <w:r>
        <w:rPr>
          <w:rFonts w:ascii="宋体" w:hAnsi="宋体" w:eastAsia="宋体" w:cs="宋体"/>
          <w:sz w:val="24"/>
          <w:szCs w:val="24"/>
          <w:lang w:val="zh-TW" w:eastAsia="zh-TW"/>
        </w:rPr>
        <w:t>）展柜系统：需采用专业成品展柜，应符合《文物展馆密封性能及检测》和《文物展柜基本技术要求及检测》国家标准报批稿的要求。配置低反射玻璃，玻璃要求达到安全牢固的厚度，柜内配置恒湿系统（可按各个展柜内具体文物需求配置）</w:t>
      </w:r>
      <w:r>
        <w:rPr>
          <w:rFonts w:hint="eastAsia" w:ascii="宋体" w:hAnsi="宋体" w:eastAsia="宋体" w:cs="宋体"/>
          <w:sz w:val="24"/>
          <w:szCs w:val="24"/>
          <w:lang w:val="zh-TW" w:eastAsia="zh-CN"/>
        </w:rPr>
        <w:t>。</w:t>
      </w:r>
      <w:r>
        <w:rPr>
          <w:rFonts w:ascii="宋体" w:hAnsi="宋体" w:eastAsia="宋体" w:cs="宋体"/>
          <w:sz w:val="24"/>
          <w:szCs w:val="24"/>
          <w:lang w:val="zh-TW" w:eastAsia="zh-TW"/>
        </w:rPr>
        <w:t>展柜必须坚固、密封好，防紫外、防尘、防潮，符合文物展陈标准，展示纸制品原件的展柜需符合国家文物局要求的恒湿标准。</w:t>
      </w:r>
    </w:p>
    <w:p w14:paraId="2F50D6D6">
      <w:pPr>
        <w:spacing w:line="360" w:lineRule="auto"/>
        <w:ind w:firstLine="480"/>
        <w:rPr>
          <w:rFonts w:hint="default" w:ascii="宋体" w:hAnsi="宋体" w:eastAsia="宋体" w:cs="宋体"/>
          <w:sz w:val="24"/>
          <w:szCs w:val="24"/>
        </w:rPr>
      </w:pPr>
      <w:r>
        <w:rPr>
          <w:rFonts w:ascii="宋体" w:hAnsi="宋体" w:eastAsia="宋体" w:cs="宋体"/>
          <w:sz w:val="24"/>
          <w:szCs w:val="24"/>
          <w:lang w:val="zh-TW" w:eastAsia="zh-TW"/>
        </w:rPr>
        <w:t>（</w:t>
      </w:r>
      <w:r>
        <w:rPr>
          <w:rFonts w:hint="eastAsia" w:ascii="宋体" w:hAnsi="宋体" w:eastAsia="宋体" w:cs="宋体"/>
          <w:sz w:val="24"/>
          <w:szCs w:val="24"/>
          <w:lang w:val="en-US" w:eastAsia="zh-CN"/>
        </w:rPr>
        <w:t>7</w:t>
      </w:r>
      <w:r>
        <w:rPr>
          <w:rFonts w:ascii="宋体" w:hAnsi="宋体" w:eastAsia="宋体" w:cs="宋体"/>
          <w:sz w:val="24"/>
          <w:szCs w:val="24"/>
          <w:lang w:val="zh-TW" w:eastAsia="zh-TW"/>
        </w:rPr>
        <w:t>）环保要求：采用节能、环保材料和环保技术，材料符合国家环保标准</w:t>
      </w:r>
      <w:r>
        <w:rPr>
          <w:rFonts w:hint="eastAsia" w:ascii="宋体" w:hAnsi="宋体" w:eastAsia="宋体" w:cs="宋体"/>
          <w:sz w:val="24"/>
          <w:szCs w:val="24"/>
          <w:lang w:val="zh-TW" w:eastAsia="zh-CN"/>
        </w:rPr>
        <w:t>，</w:t>
      </w:r>
      <w:r>
        <w:rPr>
          <w:rFonts w:ascii="宋体" w:hAnsi="宋体" w:eastAsia="宋体" w:cs="宋体"/>
          <w:sz w:val="24"/>
          <w:szCs w:val="24"/>
          <w:lang w:val="zh-TW" w:eastAsia="zh-TW"/>
        </w:rPr>
        <w:t>充分考虑材料的安全性、通用性、牢固性、美观性、标准化。安装施工全过程控制粉尘与噪音污染。</w:t>
      </w:r>
    </w:p>
    <w:p w14:paraId="4B4E95F3">
      <w:pPr>
        <w:spacing w:line="360" w:lineRule="auto"/>
        <w:ind w:firstLine="482"/>
        <w:rPr>
          <w:rFonts w:hint="default" w:ascii="宋体" w:hAnsi="宋体" w:eastAsia="宋体" w:cs="宋体"/>
          <w:b/>
          <w:bCs/>
          <w:sz w:val="24"/>
          <w:szCs w:val="24"/>
          <w:lang w:val="zh-TW" w:eastAsia="zh-TW"/>
        </w:rPr>
      </w:pPr>
      <w:r>
        <w:rPr>
          <w:rFonts w:ascii="宋体" w:hAnsi="宋体" w:eastAsia="宋体" w:cs="宋体"/>
          <w:b/>
          <w:bCs/>
          <w:sz w:val="24"/>
          <w:szCs w:val="24"/>
          <w:lang w:val="zh-TW" w:eastAsia="zh-TW"/>
        </w:rPr>
        <w:t>第三章 展区建设内容与设计要求</w:t>
      </w:r>
    </w:p>
    <w:p w14:paraId="20DB6CB0">
      <w:pPr>
        <w:spacing w:line="360" w:lineRule="auto"/>
        <w:ind w:firstLine="482"/>
        <w:rPr>
          <w:rFonts w:hint="default" w:ascii="宋体" w:hAnsi="宋体" w:eastAsia="宋体" w:cs="宋体"/>
          <w:sz w:val="24"/>
          <w:szCs w:val="24"/>
        </w:rPr>
      </w:pPr>
      <w:r>
        <w:rPr>
          <w:rFonts w:ascii="宋体" w:hAnsi="宋体" w:eastAsia="宋体" w:cs="宋体"/>
          <w:sz w:val="24"/>
          <w:szCs w:val="24"/>
        </w:rPr>
        <w:t>3.1</w:t>
      </w:r>
      <w:r>
        <w:rPr>
          <w:rFonts w:ascii="宋体" w:hAnsi="宋体" w:eastAsia="宋体" w:cs="宋体"/>
          <w:sz w:val="24"/>
          <w:szCs w:val="24"/>
          <w:lang w:val="zh-TW" w:eastAsia="zh-TW"/>
        </w:rPr>
        <w:t xml:space="preserve"> 展区建设内容</w:t>
      </w:r>
    </w:p>
    <w:p w14:paraId="1CE55483">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w:t>
      </w:r>
      <w:r>
        <w:rPr>
          <w:rFonts w:ascii="宋体" w:hAnsi="宋体" w:eastAsia="宋体" w:cs="宋体"/>
          <w:sz w:val="24"/>
          <w:szCs w:val="24"/>
        </w:rPr>
        <w:t>1</w:t>
      </w:r>
      <w:r>
        <w:rPr>
          <w:rFonts w:ascii="宋体" w:hAnsi="宋体" w:eastAsia="宋体" w:cs="宋体"/>
          <w:sz w:val="24"/>
          <w:szCs w:val="24"/>
          <w:lang w:val="zh-TW" w:eastAsia="zh-TW"/>
        </w:rPr>
        <w:t>）立人厅</w:t>
      </w:r>
    </w:p>
    <w:p w14:paraId="24E7DE63">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场地空间：位于上海鲁迅纪念馆一层大厅区域</w:t>
      </w:r>
    </w:p>
    <w:p w14:paraId="6E4B49AA">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功能定位：纪念馆形象展示，配合展陈相关社教活动。</w:t>
      </w:r>
    </w:p>
    <w:p w14:paraId="5955E675">
      <w:pPr>
        <w:spacing w:line="360" w:lineRule="auto"/>
        <w:ind w:firstLine="480"/>
        <w:rPr>
          <w:rFonts w:hint="eastAsia" w:ascii="宋体" w:hAnsi="宋体" w:eastAsia="宋体" w:cs="宋体"/>
          <w:sz w:val="24"/>
          <w:szCs w:val="24"/>
          <w:lang w:val="zh-TW" w:eastAsia="zh-CN"/>
        </w:rPr>
      </w:pPr>
      <w:r>
        <w:rPr>
          <w:rFonts w:ascii="宋体" w:hAnsi="宋体" w:eastAsia="宋体" w:cs="宋体"/>
          <w:sz w:val="24"/>
          <w:szCs w:val="24"/>
          <w:lang w:val="zh-TW" w:eastAsia="zh-TW"/>
        </w:rPr>
        <w:t>个性化设计需求：设计主题明确，</w:t>
      </w:r>
      <w:r>
        <w:rPr>
          <w:rFonts w:ascii="宋体" w:hAnsi="宋体" w:eastAsia="宋体" w:cs="宋体"/>
          <w:sz w:val="24"/>
          <w:szCs w:val="24"/>
          <w:lang w:val="zh-TW"/>
        </w:rPr>
        <w:t>原有铜雕一组《呐喊》、《彷徨》，每个4</w:t>
      </w:r>
      <w:r>
        <w:rPr>
          <w:rFonts w:cs="宋体" w:asciiTheme="minorEastAsia" w:hAnsiTheme="minorEastAsia" w:eastAsiaTheme="minorEastAsia"/>
          <w:sz w:val="24"/>
          <w:szCs w:val="24"/>
          <w:lang w:val="zh-TW"/>
        </w:rPr>
        <w:t>米*</w:t>
      </w:r>
      <w:r>
        <w:rPr>
          <w:rFonts w:hint="default" w:eastAsia="PMingLiU" w:cs="宋体" w:asciiTheme="minorEastAsia" w:hAnsiTheme="minorEastAsia"/>
          <w:sz w:val="24"/>
          <w:szCs w:val="24"/>
          <w:lang w:val="zh-TW" w:eastAsia="zh-TW"/>
        </w:rPr>
        <w:t>4</w:t>
      </w:r>
      <w:r>
        <w:rPr>
          <w:rFonts w:cs="宋体" w:asciiTheme="minorEastAsia" w:hAnsiTheme="minorEastAsia" w:eastAsiaTheme="minorEastAsia"/>
          <w:sz w:val="24"/>
          <w:szCs w:val="24"/>
          <w:lang w:val="zh-TW"/>
        </w:rPr>
        <w:t>米，重新安装，增设展示底座，并配合设计</w:t>
      </w:r>
      <w:r>
        <w:rPr>
          <w:rFonts w:ascii="宋体" w:hAnsi="宋体" w:eastAsia="宋体" w:cs="宋体"/>
          <w:sz w:val="24"/>
          <w:szCs w:val="24"/>
          <w:lang w:val="zh-TW"/>
        </w:rPr>
        <w:t>主题艺术装置一个。</w:t>
      </w:r>
      <w:r>
        <w:rPr>
          <w:rFonts w:hint="eastAsia" w:ascii="宋体" w:hAnsi="宋体" w:eastAsia="宋体" w:cs="宋体"/>
          <w:sz w:val="24"/>
          <w:szCs w:val="24"/>
          <w:lang w:val="en-US" w:eastAsia="zh-CN"/>
        </w:rPr>
        <w:t>原有</w:t>
      </w:r>
      <w:r>
        <w:rPr>
          <w:rFonts w:hint="eastAsia" w:ascii="宋体" w:hAnsi="宋体" w:eastAsia="宋体" w:cs="宋体"/>
          <w:sz w:val="24"/>
          <w:szCs w:val="24"/>
          <w:lang w:val="zh-TW"/>
        </w:rPr>
        <w:t>鲁迅主题雕塑</w:t>
      </w:r>
      <w:r>
        <w:rPr>
          <w:rFonts w:hint="eastAsia" w:ascii="宋体" w:hAnsi="宋体" w:eastAsia="宋体" w:cs="宋体"/>
          <w:sz w:val="24"/>
          <w:szCs w:val="24"/>
          <w:lang w:val="en-US" w:eastAsia="zh-CN"/>
        </w:rPr>
        <w:t>1座</w:t>
      </w:r>
      <w:r>
        <w:rPr>
          <w:rFonts w:hint="eastAsia" w:ascii="宋体" w:hAnsi="宋体" w:eastAsia="宋体" w:cs="宋体"/>
          <w:sz w:val="24"/>
          <w:szCs w:val="24"/>
          <w:lang w:val="zh-TW"/>
        </w:rPr>
        <w:t>利旧布置</w:t>
      </w:r>
      <w:r>
        <w:rPr>
          <w:rFonts w:hint="eastAsia" w:ascii="宋体" w:hAnsi="宋体" w:eastAsia="宋体" w:cs="宋体"/>
          <w:sz w:val="24"/>
          <w:szCs w:val="24"/>
          <w:lang w:val="zh-TW" w:eastAsia="zh-CN"/>
        </w:rPr>
        <w:t>，</w:t>
      </w:r>
      <w:r>
        <w:rPr>
          <w:rFonts w:cs="宋体" w:asciiTheme="minorEastAsia" w:hAnsiTheme="minorEastAsia" w:eastAsiaTheme="minorEastAsia"/>
          <w:sz w:val="24"/>
          <w:szCs w:val="24"/>
          <w:lang w:val="zh-TW"/>
        </w:rPr>
        <w:t>重新安装，增设展示底座，并配合设计</w:t>
      </w:r>
      <w:r>
        <w:rPr>
          <w:rFonts w:ascii="宋体" w:hAnsi="宋体" w:eastAsia="宋体" w:cs="宋体"/>
          <w:sz w:val="24"/>
          <w:szCs w:val="24"/>
          <w:lang w:val="zh-TW"/>
        </w:rPr>
        <w:t>主题艺术装置一个。</w:t>
      </w:r>
      <w:r>
        <w:rPr>
          <w:rFonts w:hint="eastAsia" w:ascii="宋体" w:hAnsi="宋体" w:eastAsia="宋体" w:cs="宋体"/>
          <w:sz w:val="24"/>
          <w:szCs w:val="24"/>
          <w:lang w:val="en-US" w:eastAsia="zh-CN"/>
        </w:rPr>
        <w:t>鲁迅名言布置，定制专业台面柜不少于3个，墙面图文挂板、实物镜框若干。配置专业灯光。</w:t>
      </w:r>
      <w:r>
        <w:rPr>
          <w:rFonts w:ascii="宋体" w:hAnsi="宋体" w:eastAsia="宋体" w:cs="宋体"/>
          <w:sz w:val="24"/>
          <w:szCs w:val="24"/>
          <w:lang w:val="zh-TW"/>
        </w:rPr>
        <w:t>结合</w:t>
      </w:r>
      <w:r>
        <w:rPr>
          <w:rFonts w:hint="eastAsia" w:ascii="宋体" w:hAnsi="宋体" w:eastAsia="宋体" w:cs="宋体"/>
          <w:sz w:val="24"/>
          <w:szCs w:val="24"/>
          <w:lang w:val="en-US" w:eastAsia="zh-CN"/>
        </w:rPr>
        <w:t>多</w:t>
      </w:r>
      <w:r>
        <w:rPr>
          <w:rFonts w:ascii="宋体" w:hAnsi="宋体" w:eastAsia="宋体" w:cs="宋体"/>
          <w:sz w:val="24"/>
          <w:szCs w:val="24"/>
          <w:lang w:val="zh-TW"/>
        </w:rPr>
        <w:t>媒体</w:t>
      </w:r>
      <w:r>
        <w:rPr>
          <w:rFonts w:hint="eastAsia" w:ascii="宋体" w:hAnsi="宋体" w:eastAsia="宋体" w:cs="宋体"/>
          <w:sz w:val="24"/>
          <w:szCs w:val="24"/>
          <w:lang w:val="en-US" w:eastAsia="zh-CN"/>
        </w:rPr>
        <w:t>展项《印象鲁迅》，通过</w:t>
      </w:r>
      <w:r>
        <w:rPr>
          <w:rFonts w:ascii="宋体" w:hAnsi="宋体" w:eastAsia="宋体" w:cs="宋体"/>
          <w:sz w:val="24"/>
          <w:szCs w:val="24"/>
          <w:lang w:val="zh-TW"/>
        </w:rPr>
        <w:t>配备相应的设备，L</w:t>
      </w:r>
      <w:r>
        <w:rPr>
          <w:rFonts w:hint="default" w:ascii="宋体" w:hAnsi="宋体" w:eastAsia="PMingLiU" w:cs="宋体"/>
          <w:sz w:val="24"/>
          <w:szCs w:val="24"/>
          <w:lang w:val="zh-TW" w:eastAsia="zh-TW"/>
        </w:rPr>
        <w:t>ED</w:t>
      </w:r>
      <w:r>
        <w:rPr>
          <w:rFonts w:ascii="宋体" w:hAnsi="宋体" w:eastAsia="宋体" w:cs="宋体"/>
          <w:sz w:val="24"/>
          <w:szCs w:val="24"/>
          <w:lang w:val="zh-TW"/>
        </w:rPr>
        <w:t>屏</w:t>
      </w:r>
      <w:r>
        <w:rPr>
          <w:rFonts w:cs="宋体" w:asciiTheme="minorEastAsia" w:hAnsiTheme="minorEastAsia" w:eastAsiaTheme="minorEastAsia"/>
          <w:sz w:val="24"/>
          <w:szCs w:val="24"/>
          <w:lang w:val="zh-TW"/>
        </w:rPr>
        <w:t>P</w:t>
      </w:r>
      <w:r>
        <w:rPr>
          <w:rFonts w:hint="default" w:eastAsia="PMingLiU" w:cs="宋体" w:asciiTheme="minorEastAsia" w:hAnsiTheme="minorEastAsia"/>
          <w:sz w:val="24"/>
          <w:szCs w:val="24"/>
          <w:lang w:val="zh-TW" w:eastAsia="zh-TW"/>
        </w:rPr>
        <w:t>1.86</w:t>
      </w:r>
      <w:r>
        <w:rPr>
          <w:rFonts w:cs="宋体" w:asciiTheme="minorEastAsia" w:hAnsiTheme="minorEastAsia" w:eastAsiaTheme="minorEastAsia"/>
          <w:sz w:val="24"/>
          <w:szCs w:val="24"/>
          <w:lang w:val="zh-TW"/>
        </w:rPr>
        <w:t>，面积</w:t>
      </w:r>
      <w:r>
        <w:rPr>
          <w:rFonts w:ascii="宋体" w:hAnsi="宋体" w:eastAsia="宋体" w:cs="宋体"/>
          <w:sz w:val="24"/>
          <w:szCs w:val="24"/>
          <w:lang w:val="zh-TW"/>
        </w:rPr>
        <w:t>不小于1</w:t>
      </w:r>
      <w:r>
        <w:rPr>
          <w:rFonts w:hint="default" w:ascii="宋体" w:hAnsi="宋体" w:eastAsia="PMingLiU" w:cs="宋体"/>
          <w:sz w:val="24"/>
          <w:szCs w:val="24"/>
          <w:lang w:val="zh-TW" w:eastAsia="zh-TW"/>
        </w:rPr>
        <w:t>5</w:t>
      </w:r>
      <w:r>
        <w:rPr>
          <w:rFonts w:cs="宋体" w:asciiTheme="minorEastAsia" w:hAnsiTheme="minorEastAsia" w:eastAsiaTheme="minorEastAsia"/>
          <w:sz w:val="24"/>
          <w:szCs w:val="24"/>
          <w:lang w:val="zh-TW"/>
        </w:rPr>
        <w:t>㎡，视频</w:t>
      </w:r>
      <w:r>
        <w:rPr>
          <w:rFonts w:ascii="宋体" w:hAnsi="宋体" w:eastAsia="宋体" w:cs="宋体"/>
          <w:sz w:val="24"/>
          <w:szCs w:val="24"/>
          <w:lang w:val="zh-TW"/>
        </w:rPr>
        <w:t>不少于1</w:t>
      </w:r>
      <w:r>
        <w:rPr>
          <w:rFonts w:hint="default" w:ascii="宋体" w:hAnsi="宋体" w:eastAsia="PMingLiU" w:cs="宋体"/>
          <w:sz w:val="24"/>
          <w:szCs w:val="24"/>
          <w:lang w:val="zh-TW" w:eastAsia="zh-TW"/>
        </w:rPr>
        <w:t>20</w:t>
      </w:r>
      <w:r>
        <w:rPr>
          <w:rFonts w:cs="宋体" w:asciiTheme="minorEastAsia" w:hAnsiTheme="minorEastAsia" w:eastAsiaTheme="minorEastAsia"/>
          <w:sz w:val="24"/>
          <w:szCs w:val="24"/>
          <w:lang w:val="zh-TW"/>
        </w:rPr>
        <w:t>秒，分辨率</w:t>
      </w:r>
      <w:r>
        <w:rPr>
          <w:rFonts w:hint="default" w:cs="宋体" w:asciiTheme="minorEastAsia" w:hAnsiTheme="minorEastAsia" w:eastAsiaTheme="minorEastAsia"/>
          <w:sz w:val="24"/>
          <w:szCs w:val="24"/>
          <w:lang w:val="zh-TW"/>
        </w:rPr>
        <w:t>不低于</w:t>
      </w:r>
      <w:r>
        <w:rPr>
          <w:rFonts w:cs="宋体" w:asciiTheme="minorEastAsia" w:hAnsiTheme="minorEastAsia" w:eastAsiaTheme="minorEastAsia"/>
          <w:sz w:val="24"/>
          <w:szCs w:val="24"/>
          <w:lang w:val="zh-TW"/>
        </w:rPr>
        <w:t>4K</w:t>
      </w:r>
      <w:r>
        <w:rPr>
          <w:rFonts w:hint="eastAsia" w:cs="宋体" w:asciiTheme="minorEastAsia" w:hAnsiTheme="minorEastAsia" w:eastAsiaTheme="minorEastAsia"/>
          <w:sz w:val="24"/>
          <w:szCs w:val="24"/>
          <w:lang w:val="zh-TW" w:eastAsia="zh-CN"/>
        </w:rPr>
        <w:t>。</w:t>
      </w:r>
      <w:r>
        <w:rPr>
          <w:rFonts w:hint="eastAsia" w:ascii="宋体" w:hAnsi="宋体" w:eastAsia="宋体" w:cs="宋体"/>
          <w:sz w:val="24"/>
          <w:szCs w:val="24"/>
          <w:lang w:val="en-US" w:eastAsia="zh-CN"/>
        </w:rPr>
        <w:t>艺术性的展现鲁迅先生的一生，使观众等待正式参观之前，对鲁迅先生有基本印象。</w:t>
      </w:r>
    </w:p>
    <w:p w14:paraId="4F76FF54">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（2）引玉厅</w:t>
      </w:r>
    </w:p>
    <w:p w14:paraId="232E17C7">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场地空间：位于位于上海鲁迅纪念馆一层内部中庭区域</w:t>
      </w:r>
    </w:p>
    <w:p w14:paraId="3A52F41A">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功能定位：开放式展陈空间，简洁，开阔。</w:t>
      </w:r>
    </w:p>
    <w:p w14:paraId="1B6B55E0">
      <w:pPr>
        <w:spacing w:line="360" w:lineRule="auto"/>
        <w:ind w:firstLine="480"/>
        <w:rPr>
          <w:rFonts w:hint="default" w:cs="宋体" w:asciiTheme="minorEastAsia" w:hAnsiTheme="minorEastAsia" w:eastAsiaTheme="minorEastAsia"/>
          <w:sz w:val="24"/>
          <w:szCs w:val="24"/>
          <w:lang w:val="zh-TW"/>
        </w:rPr>
      </w:pPr>
      <w:r>
        <w:rPr>
          <w:rFonts w:ascii="宋体" w:hAnsi="宋体" w:eastAsia="宋体" w:cs="宋体"/>
          <w:sz w:val="24"/>
          <w:szCs w:val="24"/>
          <w:lang w:val="zh-TW" w:eastAsia="zh-TW"/>
        </w:rPr>
        <w:t>个性化设计需求：根据整体提升改造要求</w:t>
      </w:r>
      <w:r>
        <w:rPr>
          <w:rFonts w:ascii="宋体" w:hAnsi="宋体" w:eastAsia="宋体" w:cs="宋体"/>
          <w:sz w:val="24"/>
          <w:szCs w:val="24"/>
          <w:lang w:val="zh-TW"/>
        </w:rPr>
        <w:t>，</w:t>
      </w:r>
      <w:r>
        <w:rPr>
          <w:rFonts w:cs="宋体" w:asciiTheme="minorEastAsia" w:hAnsiTheme="minorEastAsia" w:eastAsiaTheme="minorEastAsia"/>
          <w:sz w:val="24"/>
          <w:szCs w:val="24"/>
          <w:lang w:val="zh-TW"/>
        </w:rPr>
        <w:t>设计“鲁迅的艺术世界”悬挂艺术装置一组。</w:t>
      </w:r>
      <w:r>
        <w:rPr>
          <w:rFonts w:hint="eastAsia" w:cs="宋体" w:asciiTheme="minorEastAsia" w:hAnsiTheme="minorEastAsia" w:eastAsiaTheme="minorEastAsia"/>
          <w:sz w:val="24"/>
          <w:szCs w:val="24"/>
          <w:lang w:val="zh-TW"/>
        </w:rPr>
        <w:t>《鲁迅的一生》主题浮雕利旧</w:t>
      </w:r>
      <w:r>
        <w:rPr>
          <w:rFonts w:hint="eastAsia" w:cs="宋体" w:asciiTheme="minorEastAsia" w:hAnsiTheme="minorEastAsia" w:eastAsiaTheme="minorEastAsia"/>
          <w:sz w:val="24"/>
          <w:szCs w:val="24"/>
          <w:lang w:val="en-US" w:eastAsia="zh-CN"/>
        </w:rPr>
        <w:t>整修</w:t>
      </w:r>
      <w:r>
        <w:rPr>
          <w:rFonts w:hint="eastAsia" w:cs="宋体" w:asciiTheme="minorEastAsia" w:hAnsiTheme="minorEastAsia" w:eastAsiaTheme="minorEastAsia"/>
          <w:sz w:val="24"/>
          <w:szCs w:val="24"/>
          <w:lang w:val="zh-TW" w:eastAsia="zh-CN"/>
        </w:rPr>
        <w:t>。</w:t>
      </w:r>
      <w:r>
        <w:rPr>
          <w:rFonts w:hint="eastAsia" w:cs="宋体" w:asciiTheme="minorEastAsia" w:hAnsiTheme="minorEastAsia" w:eastAsiaTheme="minorEastAsia"/>
          <w:sz w:val="24"/>
          <w:szCs w:val="24"/>
          <w:lang w:val="en-US" w:eastAsia="zh-CN"/>
        </w:rPr>
        <w:t>展厅内需配置桌面柜1600*600*1000不少于</w:t>
      </w:r>
      <w:r>
        <w:rPr>
          <w:rFonts w:hint="eastAsia" w:cs="宋体" w:asciiTheme="minorEastAsia" w:hAnsiTheme="minorEastAsia" w:eastAsiaTheme="minorEastAsia"/>
          <w:sz w:val="24"/>
          <w:szCs w:val="24"/>
          <w:highlight w:val="none"/>
          <w:lang w:val="en-US" w:eastAsia="zh-CN"/>
        </w:rPr>
        <w:t>12只）、</w:t>
      </w:r>
      <w:r>
        <w:rPr>
          <w:rFonts w:hint="eastAsia" w:cs="宋体" w:asciiTheme="minorEastAsia" w:hAnsiTheme="minorEastAsia" w:eastAsiaTheme="minorEastAsia"/>
          <w:sz w:val="24"/>
          <w:szCs w:val="24"/>
          <w:lang w:val="en-US" w:eastAsia="zh-CN"/>
        </w:rPr>
        <w:t>恒湿设备、</w:t>
      </w:r>
      <w:r>
        <w:rPr>
          <w:rFonts w:hint="eastAsia" w:ascii="宋体" w:hAnsi="宋体" w:eastAsia="宋体" w:cs="宋体"/>
          <w:sz w:val="24"/>
          <w:szCs w:val="24"/>
          <w:lang w:val="en-US" w:eastAsia="zh-CN"/>
        </w:rPr>
        <w:t>配置专业灯光。</w:t>
      </w:r>
      <w:r>
        <w:rPr>
          <w:rFonts w:hint="eastAsia" w:cs="宋体" w:asciiTheme="minorEastAsia" w:hAnsiTheme="minorEastAsia" w:eastAsiaTheme="minorEastAsia"/>
          <w:sz w:val="24"/>
          <w:szCs w:val="24"/>
          <w:lang w:val="en-US" w:eastAsia="zh-CN"/>
        </w:rPr>
        <w:t>柜内道具设计制作、墙面书架。</w:t>
      </w:r>
      <w:r>
        <w:rPr>
          <w:rFonts w:cs="宋体" w:asciiTheme="minorEastAsia" w:hAnsiTheme="minorEastAsia" w:eastAsiaTheme="minorEastAsia"/>
          <w:sz w:val="24"/>
          <w:szCs w:val="24"/>
          <w:lang w:val="zh-TW"/>
        </w:rPr>
        <w:t>为配合该区域后续活动开展，需配置L</w:t>
      </w:r>
      <w:r>
        <w:rPr>
          <w:rFonts w:hint="default" w:eastAsia="PMingLiU" w:cs="宋体" w:asciiTheme="minorEastAsia" w:hAnsiTheme="minorEastAsia"/>
          <w:sz w:val="24"/>
          <w:szCs w:val="24"/>
          <w:lang w:val="zh-TW" w:eastAsia="zh-TW"/>
        </w:rPr>
        <w:t>ED</w:t>
      </w:r>
      <w:r>
        <w:rPr>
          <w:rFonts w:cs="宋体" w:asciiTheme="minorEastAsia" w:hAnsiTheme="minorEastAsia" w:eastAsiaTheme="minorEastAsia"/>
          <w:sz w:val="24"/>
          <w:szCs w:val="24"/>
          <w:lang w:val="zh-TW"/>
        </w:rPr>
        <w:t>屏P</w:t>
      </w:r>
      <w:r>
        <w:rPr>
          <w:rFonts w:hint="default" w:eastAsia="PMingLiU" w:cs="宋体" w:asciiTheme="minorEastAsia" w:hAnsiTheme="minorEastAsia"/>
          <w:sz w:val="24"/>
          <w:szCs w:val="24"/>
          <w:lang w:val="zh-TW" w:eastAsia="zh-TW"/>
        </w:rPr>
        <w:t>1.86</w:t>
      </w:r>
      <w:r>
        <w:rPr>
          <w:rFonts w:cs="宋体" w:asciiTheme="minorEastAsia" w:hAnsiTheme="minorEastAsia" w:eastAsiaTheme="minorEastAsia"/>
          <w:sz w:val="24"/>
          <w:szCs w:val="24"/>
          <w:lang w:val="zh-TW"/>
        </w:rPr>
        <w:t>，面积不小于</w:t>
      </w:r>
      <w:r>
        <w:rPr>
          <w:rFonts w:hint="default" w:eastAsia="PMingLiU" w:cs="宋体" w:asciiTheme="minorEastAsia" w:hAnsiTheme="minorEastAsia"/>
          <w:sz w:val="24"/>
          <w:szCs w:val="24"/>
          <w:lang w:val="zh-TW" w:eastAsia="zh-TW"/>
        </w:rPr>
        <w:t>13</w:t>
      </w:r>
      <w:r>
        <w:rPr>
          <w:rFonts w:cs="宋体" w:asciiTheme="minorEastAsia" w:hAnsiTheme="minorEastAsia" w:eastAsiaTheme="minorEastAsia"/>
          <w:sz w:val="24"/>
          <w:szCs w:val="24"/>
          <w:lang w:val="zh-TW"/>
        </w:rPr>
        <w:t>㎡、音响系统一套。为</w:t>
      </w:r>
      <w:r>
        <w:rPr>
          <w:rFonts w:ascii="宋体" w:hAnsi="宋体" w:eastAsia="宋体" w:cs="宋体"/>
          <w:sz w:val="24"/>
          <w:szCs w:val="24"/>
          <w:lang w:val="zh-TW" w:eastAsia="zh-TW"/>
        </w:rPr>
        <w:t>重新打造空间使用功能及属性，满足学术性、艺术性的表达，</w:t>
      </w:r>
      <w:r>
        <w:rPr>
          <w:rFonts w:ascii="宋体" w:hAnsi="宋体" w:eastAsia="宋体" w:cs="宋体"/>
          <w:sz w:val="24"/>
          <w:szCs w:val="24"/>
          <w:lang w:val="zh-TW"/>
        </w:rPr>
        <w:t>形成互动的</w:t>
      </w:r>
      <w:r>
        <w:rPr>
          <w:rFonts w:ascii="宋体" w:hAnsi="宋体" w:eastAsia="宋体" w:cs="宋体"/>
          <w:sz w:val="24"/>
          <w:szCs w:val="24"/>
          <w:lang w:val="zh-TW" w:eastAsia="zh-TW"/>
        </w:rPr>
        <w:t>空间形态，挖掘原有空间优势，合理使用和布置，达到功能和视觉效果的提升。</w:t>
      </w:r>
    </w:p>
    <w:p w14:paraId="7FCA3056">
      <w:pPr>
        <w:spacing w:line="360" w:lineRule="auto"/>
        <w:ind w:firstLine="480"/>
        <w:rPr>
          <w:rFonts w:hint="default" w:ascii="宋体" w:hAnsi="宋体" w:eastAsia="宋体" w:cs="宋体"/>
          <w:sz w:val="24"/>
          <w:szCs w:val="24"/>
          <w:lang w:val="en-US" w:eastAsia="zh-CN"/>
        </w:rPr>
      </w:pPr>
      <w:r>
        <w:rPr>
          <w:rFonts w:ascii="宋体" w:hAnsi="宋体" w:eastAsia="宋体" w:cs="宋体"/>
          <w:sz w:val="24"/>
          <w:szCs w:val="24"/>
          <w:lang w:val="zh-TW" w:eastAsia="zh-TW"/>
        </w:rPr>
        <w:t>（3）莽原厅</w:t>
      </w:r>
      <w:r>
        <w:rPr>
          <w:rFonts w:hint="eastAsia" w:ascii="宋体" w:hAnsi="宋体" w:eastAsia="宋体" w:cs="宋体"/>
          <w:sz w:val="24"/>
          <w:szCs w:val="24"/>
          <w:lang w:val="zh-TW" w:eastAsia="zh-CN"/>
        </w:rPr>
        <w:t>、</w:t>
      </w:r>
      <w:r>
        <w:rPr>
          <w:rFonts w:hint="eastAsia" w:ascii="宋体" w:hAnsi="宋体" w:eastAsia="宋体" w:cs="宋体"/>
          <w:sz w:val="24"/>
          <w:szCs w:val="24"/>
          <w:lang w:val="en-US" w:eastAsia="zh-CN"/>
        </w:rPr>
        <w:t>奔流艺苑</w:t>
      </w:r>
    </w:p>
    <w:p w14:paraId="0AAD5BC4">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场地空间：位于上海鲁迅纪念馆一层东</w:t>
      </w:r>
      <w:r>
        <w:rPr>
          <w:rFonts w:hint="eastAsia" w:ascii="宋体" w:hAnsi="宋体" w:eastAsia="宋体" w:cs="宋体"/>
          <w:sz w:val="24"/>
          <w:szCs w:val="24"/>
          <w:lang w:val="en-US" w:eastAsia="zh-CN"/>
        </w:rPr>
        <w:t>面</w:t>
      </w:r>
      <w:r>
        <w:rPr>
          <w:rFonts w:ascii="宋体" w:hAnsi="宋体" w:eastAsia="宋体" w:cs="宋体"/>
          <w:sz w:val="24"/>
          <w:szCs w:val="24"/>
          <w:lang w:val="zh-TW" w:eastAsia="zh-TW"/>
        </w:rPr>
        <w:t>区域</w:t>
      </w:r>
    </w:p>
    <w:p w14:paraId="37A61FE2">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功能定位：专业展陈空间，配合展陈相关社教活动。</w:t>
      </w:r>
    </w:p>
    <w:p w14:paraId="19D90F3B">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个性化设计需求：根据整体展馆功能的使用及分布，</w:t>
      </w:r>
      <w:r>
        <w:rPr>
          <w:rFonts w:hint="eastAsia" w:ascii="宋体" w:hAnsi="宋体" w:eastAsia="宋体" w:cs="宋体"/>
          <w:sz w:val="24"/>
          <w:szCs w:val="24"/>
          <w:lang w:val="en-US" w:eastAsia="zh-CN"/>
        </w:rPr>
        <w:t>需</w:t>
      </w:r>
      <w:r>
        <w:rPr>
          <w:rFonts w:cs="宋体" w:asciiTheme="minorEastAsia" w:hAnsiTheme="minorEastAsia" w:eastAsiaTheme="minorEastAsia"/>
          <w:sz w:val="24"/>
          <w:szCs w:val="24"/>
          <w:lang w:val="zh-TW"/>
        </w:rPr>
        <w:t>配置</w:t>
      </w:r>
      <w:r>
        <w:rPr>
          <w:rFonts w:hint="eastAsia" w:cs="宋体" w:asciiTheme="minorEastAsia" w:hAnsiTheme="minorEastAsia" w:eastAsiaTheme="minorEastAsia"/>
          <w:sz w:val="24"/>
          <w:szCs w:val="24"/>
          <w:lang w:val="en-US" w:eastAsia="zh-CN"/>
        </w:rPr>
        <w:t>桌面柜不少于9个、沿墙展柜不少于6个、</w:t>
      </w:r>
      <w:r>
        <w:rPr>
          <w:rFonts w:cs="宋体" w:asciiTheme="minorEastAsia" w:hAnsiTheme="minorEastAsia" w:eastAsiaTheme="minorEastAsia"/>
          <w:sz w:val="24"/>
          <w:szCs w:val="24"/>
          <w:lang w:val="zh-TW"/>
        </w:rPr>
        <w:t>恒湿设备</w:t>
      </w:r>
      <w:r>
        <w:rPr>
          <w:rFonts w:hint="eastAsia" w:cs="宋体" w:asciiTheme="minorEastAsia" w:hAnsiTheme="minorEastAsia" w:eastAsiaTheme="minorEastAsia"/>
          <w:sz w:val="24"/>
          <w:szCs w:val="24"/>
          <w:lang w:val="zh-TW" w:eastAsia="zh-CN"/>
        </w:rPr>
        <w:t>、</w:t>
      </w:r>
      <w:r>
        <w:rPr>
          <w:rFonts w:hint="eastAsia" w:cs="宋体" w:asciiTheme="minorEastAsia" w:hAnsiTheme="minorEastAsia" w:eastAsiaTheme="minorEastAsia"/>
          <w:sz w:val="24"/>
          <w:szCs w:val="24"/>
          <w:lang w:val="en-US" w:eastAsia="zh-CN"/>
        </w:rPr>
        <w:t>柜内道具设计制作。</w:t>
      </w:r>
      <w:r>
        <w:rPr>
          <w:rFonts w:cs="宋体" w:asciiTheme="minorEastAsia" w:hAnsiTheme="minorEastAsia" w:eastAsiaTheme="minorEastAsia"/>
          <w:sz w:val="24"/>
          <w:szCs w:val="24"/>
          <w:lang w:val="zh-TW"/>
        </w:rPr>
        <w:t>配置相应数量的活动展板，</w:t>
      </w:r>
      <w:r>
        <w:rPr>
          <w:rFonts w:ascii="宋体" w:hAnsi="宋体" w:eastAsia="宋体" w:cs="宋体"/>
          <w:sz w:val="24"/>
          <w:szCs w:val="24"/>
          <w:lang w:val="zh-TW" w:eastAsia="zh-TW"/>
        </w:rPr>
        <w:t>设定区域使用功能，满足展馆整体的功能提升。打造具有学术性、艺术性并存的功能空间。</w:t>
      </w:r>
      <w:r>
        <w:rPr>
          <w:rFonts w:ascii="宋体" w:hAnsi="宋体" w:eastAsia="宋体" w:cs="宋体"/>
          <w:sz w:val="24"/>
          <w:szCs w:val="24"/>
          <w:lang w:val="zh-TW"/>
        </w:rPr>
        <w:t>完成改陈项目首场临展“取今复古 别立新宗”</w:t>
      </w:r>
      <w:r>
        <w:rPr>
          <w:rFonts w:hint="eastAsia" w:ascii="宋体" w:hAnsi="宋体" w:eastAsia="宋体" w:cs="宋体"/>
          <w:sz w:val="24"/>
          <w:szCs w:val="24"/>
          <w:lang w:val="zh-TW" w:eastAsia="zh-CN"/>
        </w:rPr>
        <w:t>（</w:t>
      </w:r>
      <w:r>
        <w:rPr>
          <w:rFonts w:hint="eastAsia" w:ascii="宋体" w:hAnsi="宋体" w:eastAsia="宋体" w:cs="宋体"/>
          <w:sz w:val="24"/>
          <w:szCs w:val="24"/>
          <w:lang w:val="en-US" w:eastAsia="zh-CN"/>
        </w:rPr>
        <w:t>暂定名</w:t>
      </w:r>
      <w:r>
        <w:rPr>
          <w:rFonts w:hint="eastAsia" w:ascii="宋体" w:hAnsi="宋体" w:eastAsia="宋体" w:cs="宋体"/>
          <w:sz w:val="24"/>
          <w:szCs w:val="24"/>
          <w:lang w:val="zh-TW" w:eastAsia="zh-CN"/>
        </w:rPr>
        <w:t>）</w:t>
      </w:r>
      <w:r>
        <w:rPr>
          <w:rFonts w:ascii="宋体" w:hAnsi="宋体" w:eastAsia="宋体" w:cs="宋体"/>
          <w:sz w:val="24"/>
          <w:szCs w:val="24"/>
          <w:lang w:val="zh-TW"/>
        </w:rPr>
        <w:t>。</w:t>
      </w:r>
      <w:r>
        <w:rPr>
          <w:rFonts w:cs="宋体" w:asciiTheme="minorEastAsia" w:hAnsiTheme="minorEastAsia" w:eastAsiaTheme="minorEastAsia"/>
          <w:sz w:val="24"/>
          <w:szCs w:val="24"/>
          <w:lang w:val="zh-TW"/>
        </w:rPr>
        <w:t>为配合该区域展陈相关社教活动的开展，需配置L</w:t>
      </w:r>
      <w:r>
        <w:rPr>
          <w:rFonts w:hint="default" w:eastAsia="PMingLiU" w:cs="宋体" w:asciiTheme="minorEastAsia" w:hAnsiTheme="minorEastAsia"/>
          <w:sz w:val="24"/>
          <w:szCs w:val="24"/>
          <w:lang w:val="zh-TW" w:eastAsia="zh-TW"/>
        </w:rPr>
        <w:t>ED</w:t>
      </w:r>
      <w:r>
        <w:rPr>
          <w:rFonts w:cs="宋体" w:asciiTheme="minorEastAsia" w:hAnsiTheme="minorEastAsia" w:eastAsiaTheme="minorEastAsia"/>
          <w:sz w:val="24"/>
          <w:szCs w:val="24"/>
          <w:lang w:val="zh-TW"/>
        </w:rPr>
        <w:t>屏P</w:t>
      </w:r>
      <w:r>
        <w:rPr>
          <w:rFonts w:hint="default" w:eastAsia="PMingLiU" w:cs="宋体" w:asciiTheme="minorEastAsia" w:hAnsiTheme="minorEastAsia"/>
          <w:sz w:val="24"/>
          <w:szCs w:val="24"/>
          <w:lang w:val="zh-TW" w:eastAsia="zh-TW"/>
        </w:rPr>
        <w:t>1.86</w:t>
      </w:r>
      <w:r>
        <w:rPr>
          <w:rFonts w:cs="宋体" w:asciiTheme="minorEastAsia" w:hAnsiTheme="minorEastAsia" w:eastAsiaTheme="minorEastAsia"/>
          <w:sz w:val="24"/>
          <w:szCs w:val="24"/>
          <w:lang w:val="zh-TW"/>
        </w:rPr>
        <w:t>，面积不小于</w:t>
      </w:r>
      <w:r>
        <w:rPr>
          <w:rFonts w:hint="default" w:eastAsia="PMingLiU" w:cs="宋体" w:asciiTheme="minorEastAsia" w:hAnsiTheme="minorEastAsia"/>
          <w:sz w:val="24"/>
          <w:szCs w:val="24"/>
          <w:lang w:val="zh-TW" w:eastAsia="zh-TW"/>
        </w:rPr>
        <w:t>15</w:t>
      </w:r>
      <w:r>
        <w:rPr>
          <w:rFonts w:cs="宋体" w:asciiTheme="minorEastAsia" w:hAnsiTheme="minorEastAsia" w:eastAsiaTheme="minorEastAsia"/>
          <w:sz w:val="24"/>
          <w:szCs w:val="24"/>
          <w:lang w:val="zh-TW"/>
        </w:rPr>
        <w:t>㎡、调音台及音响系统各一套、舞台灯光。</w:t>
      </w:r>
    </w:p>
    <w:p w14:paraId="3729FEBC">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w:t>
      </w:r>
      <w:r>
        <w:rPr>
          <w:rFonts w:hint="eastAsia" w:ascii="宋体" w:hAnsi="宋体" w:eastAsia="宋体" w:cs="宋体"/>
          <w:sz w:val="24"/>
          <w:szCs w:val="24"/>
          <w:lang w:val="en-US" w:eastAsia="zh-CN"/>
        </w:rPr>
        <w:t>4</w:t>
      </w:r>
      <w:r>
        <w:rPr>
          <w:rFonts w:ascii="宋体" w:hAnsi="宋体" w:eastAsia="宋体" w:cs="宋体"/>
          <w:sz w:val="24"/>
          <w:szCs w:val="24"/>
          <w:lang w:val="zh-TW" w:eastAsia="zh-TW"/>
        </w:rPr>
        <w:t>）朝华文库</w:t>
      </w:r>
    </w:p>
    <w:p w14:paraId="611E43E4">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场地空间：位于上海鲁迅纪念馆一层东南区域</w:t>
      </w:r>
    </w:p>
    <w:p w14:paraId="611F7A9C">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功能定位：开放展陈空间，配合展陈相关社教活动。</w:t>
      </w:r>
    </w:p>
    <w:p w14:paraId="2BD3C0B2">
      <w:pPr>
        <w:spacing w:line="360" w:lineRule="auto"/>
        <w:ind w:firstLine="480"/>
        <w:rPr>
          <w:rFonts w:cs="宋体" w:asciiTheme="minorEastAsia" w:hAnsiTheme="minorEastAsia" w:eastAsiaTheme="minorEastAsia"/>
          <w:sz w:val="24"/>
          <w:szCs w:val="24"/>
          <w:lang w:val="zh-TW"/>
        </w:rPr>
      </w:pPr>
      <w:r>
        <w:rPr>
          <w:rFonts w:ascii="宋体" w:hAnsi="宋体" w:eastAsia="宋体" w:cs="宋体"/>
          <w:sz w:val="24"/>
          <w:szCs w:val="24"/>
          <w:lang w:val="zh-TW" w:eastAsia="zh-TW"/>
        </w:rPr>
        <w:t>个性化设计需求：</w:t>
      </w:r>
      <w:r>
        <w:rPr>
          <w:rFonts w:hint="eastAsia" w:cs="宋体" w:asciiTheme="minorEastAsia" w:hAnsiTheme="minorEastAsia" w:eastAsiaTheme="minorEastAsia"/>
          <w:sz w:val="24"/>
          <w:szCs w:val="24"/>
          <w:lang w:val="zh-TW"/>
        </w:rPr>
        <w:t>“朝华文库”是上海鲁迅纪念馆常设专题展区，本次为展陈升级改造。项目将在原有19位库主展陈基础上，扩容并优化展陈体系，系统呈现与鲁迅先生有直接交往的24位亲友、同道的文化遗存。按照文物及展品清单配置展柜，打破原有的沉闷的展陈形式，挖掘重点内容，提升内容的视觉展示效果和可阅读性，增加库主介绍互动展项，配置43寸触摸一体机一台及互动软件一套，提升空间的互动性与内容的趣味性。库主包括许广平、许寿裳、冯雪峰、陈望道、曹靖华、钱君匋等。另专设30㎡社教活动区域，配置85寸触摸一体机。</w:t>
      </w:r>
    </w:p>
    <w:p w14:paraId="614E99FA">
      <w:pPr>
        <w:spacing w:line="360" w:lineRule="auto"/>
        <w:ind w:firstLine="480"/>
        <w:rPr>
          <w:rFonts w:hint="eastAsia" w:ascii="宋体" w:hAnsi="宋体" w:eastAsia="宋体" w:cs="宋体"/>
          <w:sz w:val="24"/>
          <w:szCs w:val="24"/>
          <w:lang w:val="zh-TW" w:eastAsia="zh-CN"/>
        </w:rPr>
      </w:pPr>
      <w:r>
        <w:rPr>
          <w:rFonts w:ascii="宋体" w:hAnsi="宋体" w:eastAsia="宋体" w:cs="宋体"/>
          <w:sz w:val="24"/>
          <w:szCs w:val="24"/>
          <w:lang w:val="zh-TW" w:eastAsia="zh-TW"/>
        </w:rPr>
        <w:t>（</w:t>
      </w:r>
      <w:r>
        <w:rPr>
          <w:rFonts w:hint="eastAsia" w:ascii="宋体" w:hAnsi="宋体" w:eastAsia="宋体" w:cs="宋体"/>
          <w:sz w:val="24"/>
          <w:szCs w:val="24"/>
          <w:lang w:val="en-US" w:eastAsia="zh-CN"/>
        </w:rPr>
        <w:t>5</w:t>
      </w:r>
      <w:r>
        <w:rPr>
          <w:rFonts w:ascii="宋体" w:hAnsi="宋体" w:eastAsia="宋体" w:cs="宋体"/>
          <w:sz w:val="24"/>
          <w:szCs w:val="24"/>
          <w:lang w:val="zh-TW" w:eastAsia="zh-TW"/>
        </w:rPr>
        <w:t>）生平年表</w:t>
      </w:r>
    </w:p>
    <w:p w14:paraId="1F7601AF">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场地空间：位于上海鲁迅纪念馆立人厅主楼梯侧面</w:t>
      </w:r>
    </w:p>
    <w:p w14:paraId="0D2B65B4">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功能定位：基本陈列的延伸。</w:t>
      </w:r>
    </w:p>
    <w:p w14:paraId="54E956AC">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个性化设计需求：精准表达内容的准确性，结合艺术呈现的手法，赋予原有纯文字内容展示形式具有艺术感，并与周围空间装饰效果可以兼容。结合楼梯区域和主动线的走向，将内容和形式向上延伸，</w:t>
      </w:r>
      <w:r>
        <w:rPr>
          <w:rFonts w:ascii="宋体" w:hAnsi="宋体" w:eastAsia="宋体" w:cs="宋体"/>
          <w:sz w:val="24"/>
          <w:szCs w:val="24"/>
          <w:lang w:val="zh-TW"/>
        </w:rPr>
        <w:t>内容为鲁迅的生平大事记。</w:t>
      </w:r>
      <w:r>
        <w:rPr>
          <w:rFonts w:ascii="宋体" w:hAnsi="宋体" w:eastAsia="宋体" w:cs="宋体"/>
          <w:sz w:val="24"/>
          <w:szCs w:val="24"/>
          <w:lang w:val="zh-TW" w:eastAsia="zh-TW"/>
        </w:rPr>
        <w:t>既保证了内容的艺术呈现，且兼顾内容的引导功能。</w:t>
      </w:r>
    </w:p>
    <w:p w14:paraId="16AEEBBD">
      <w:pPr>
        <w:spacing w:line="360" w:lineRule="auto"/>
        <w:ind w:firstLine="480"/>
        <w:rPr>
          <w:rFonts w:hint="default" w:ascii="宋体" w:hAnsi="宋体" w:eastAsia="宋体" w:cs="宋体"/>
          <w:sz w:val="24"/>
          <w:szCs w:val="24"/>
          <w:lang w:val="zh-TW" w:eastAsia="zh-TW"/>
        </w:rPr>
      </w:pPr>
      <w:bookmarkStart w:id="0" w:name="OLE_LINK1"/>
      <w:r>
        <w:rPr>
          <w:rFonts w:ascii="宋体" w:hAnsi="宋体" w:eastAsia="宋体" w:cs="宋体"/>
          <w:sz w:val="24"/>
          <w:szCs w:val="24"/>
          <w:lang w:val="zh-TW" w:eastAsia="zh-TW"/>
        </w:rPr>
        <w:t>（</w:t>
      </w:r>
      <w:r>
        <w:rPr>
          <w:rFonts w:hint="eastAsia" w:ascii="宋体" w:hAnsi="宋体" w:eastAsia="宋体" w:cs="宋体"/>
          <w:sz w:val="24"/>
          <w:szCs w:val="24"/>
          <w:lang w:val="en-US" w:eastAsia="zh-CN"/>
        </w:rPr>
        <w:t>6</w:t>
      </w:r>
      <w:r>
        <w:rPr>
          <w:rFonts w:ascii="宋体" w:hAnsi="宋体" w:eastAsia="宋体" w:cs="宋体"/>
          <w:sz w:val="24"/>
          <w:szCs w:val="24"/>
          <w:lang w:val="zh-TW" w:eastAsia="zh-TW"/>
        </w:rPr>
        <w:t>）</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民族魂鲁迅</w:t>
      </w:r>
      <w:r>
        <w:rPr>
          <w:rFonts w:hint="default" w:ascii="宋体" w:hAnsi="宋体" w:eastAsia="宋体" w:cs="宋体"/>
          <w:sz w:val="24"/>
          <w:szCs w:val="24"/>
          <w:lang w:val="zh-TW" w:eastAsia="zh-TW"/>
        </w:rPr>
        <w:t>”</w:t>
      </w:r>
      <w:r>
        <w:rPr>
          <w:rFonts w:ascii="宋体" w:hAnsi="宋体" w:eastAsia="宋体" w:cs="宋体"/>
          <w:sz w:val="24"/>
          <w:szCs w:val="24"/>
          <w:lang w:val="zh-TW" w:eastAsia="zh-TW"/>
        </w:rPr>
        <w:t>生平陈列</w:t>
      </w:r>
      <w:bookmarkEnd w:id="0"/>
    </w:p>
    <w:p w14:paraId="4F9670AD">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场地空间：位于上海鲁迅纪念馆二层常设展区</w:t>
      </w:r>
    </w:p>
    <w:p w14:paraId="596D6D78">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功能定位：艺术性、互动性、展馆核心展区。</w:t>
      </w:r>
    </w:p>
    <w:p w14:paraId="560D7F84">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个性化设计需求：深度了解鲁迅先生的生平经历，结合空间布局进行整体提升，进一步合理优化相关内容点和表达方式。构建符合内容结构的空间逻辑空间关系，达到内容表述与空间逻辑的合理统一。运用新的展陈形式提升展示内容的视觉效果和艺术表达，增加具有创新性的互动展现，增强内容的趣味性和互动性。打破常规的实物展示和场景展示形式，增加内容可视化和可阅读性，根据实物类别和主次关系构建具有逻辑和主次的关系展陈体系，结合空间结构优化版面效果和实物展示效果。</w:t>
      </w:r>
    </w:p>
    <w:p w14:paraId="5EE1CC82">
      <w:pPr>
        <w:spacing w:line="360" w:lineRule="auto"/>
        <w:ind w:firstLine="480"/>
        <w:rPr>
          <w:rFonts w:hint="default" w:ascii="宋体" w:hAnsi="宋体" w:eastAsia="宋体" w:cs="宋体"/>
          <w:sz w:val="24"/>
          <w:szCs w:val="24"/>
          <w:lang w:val="zh-TW" w:eastAsia="zh-TW"/>
        </w:rPr>
      </w:pPr>
      <w:r>
        <w:rPr>
          <w:rFonts w:hint="default" w:ascii="宋体" w:hAnsi="宋体" w:eastAsia="宋体" w:cs="宋体"/>
          <w:sz w:val="24"/>
          <w:szCs w:val="24"/>
          <w:lang w:val="zh-TW" w:eastAsia="zh-TW"/>
        </w:rPr>
        <w:t>1）序厅</w:t>
      </w:r>
    </w:p>
    <w:p w14:paraId="176F841A">
      <w:pPr>
        <w:spacing w:line="360" w:lineRule="auto"/>
        <w:ind w:firstLine="480"/>
        <w:rPr>
          <w:rFonts w:hint="eastAsia" w:ascii="宋体" w:hAnsi="宋体" w:eastAsia="宋体" w:cs="宋体"/>
          <w:sz w:val="24"/>
          <w:szCs w:val="24"/>
          <w:lang w:val="zh-TW" w:eastAsia="zh-CN"/>
        </w:rPr>
      </w:pPr>
      <w:r>
        <w:rPr>
          <w:rFonts w:hint="default" w:ascii="宋体" w:hAnsi="宋体" w:eastAsia="宋体" w:cs="宋体"/>
          <w:sz w:val="24"/>
          <w:szCs w:val="24"/>
          <w:lang w:val="zh-TW" w:eastAsia="zh-TW"/>
        </w:rPr>
        <w:t>充分理解“民族魂”鲁迅的精髓，以艺术形式表达主旨。充分合理的空间功能和视觉焦点的位置规划。结合现有空间结构，用创新的艺术形式体现“民族魂”的时代意义和历史厚重感，展示鲁迅先生的文学造诣和精神。</w:t>
      </w:r>
    </w:p>
    <w:p w14:paraId="2C2B8A00">
      <w:pPr>
        <w:spacing w:line="360" w:lineRule="auto"/>
        <w:ind w:firstLine="480"/>
        <w:rPr>
          <w:rFonts w:hint="default" w:ascii="宋体" w:hAnsi="宋体" w:eastAsia="宋体" w:cs="宋体"/>
          <w:sz w:val="24"/>
          <w:szCs w:val="24"/>
          <w:lang w:val="zh-TW" w:eastAsia="zh-TW"/>
        </w:rPr>
      </w:pPr>
      <w:r>
        <w:rPr>
          <w:rFonts w:hint="default" w:ascii="宋体" w:hAnsi="宋体" w:eastAsia="宋体" w:cs="宋体"/>
          <w:sz w:val="24"/>
          <w:szCs w:val="24"/>
          <w:lang w:val="zh-TW" w:eastAsia="zh-TW"/>
        </w:rPr>
        <w:t>2）第一部分 求索之路</w:t>
      </w:r>
    </w:p>
    <w:p w14:paraId="1D59F074">
      <w:pPr>
        <w:spacing w:line="360" w:lineRule="auto"/>
        <w:ind w:firstLine="480"/>
        <w:rPr>
          <w:rFonts w:hint="default" w:ascii="宋体" w:hAnsi="宋体" w:eastAsia="宋体" w:cs="宋体"/>
          <w:sz w:val="24"/>
          <w:szCs w:val="24"/>
          <w:lang w:val="zh-TW" w:eastAsia="zh-TW"/>
        </w:rPr>
      </w:pPr>
      <w:r>
        <w:rPr>
          <w:rFonts w:hint="default" w:ascii="宋体" w:hAnsi="宋体" w:eastAsia="宋体" w:cs="宋体"/>
          <w:sz w:val="24"/>
          <w:szCs w:val="24"/>
          <w:lang w:val="zh-TW" w:eastAsia="zh-TW"/>
        </w:rPr>
        <w:t>通过对鲁迅先生的家族历史结合实物展示，向观众展示伟大文学家“走异路，逃异地”，弃医从文、探索救国救民道路的历程。</w:t>
      </w:r>
    </w:p>
    <w:p w14:paraId="1E6A4C70">
      <w:pPr>
        <w:spacing w:line="360" w:lineRule="auto"/>
        <w:ind w:firstLine="480"/>
        <w:rPr>
          <w:rFonts w:hint="default" w:ascii="宋体" w:hAnsi="宋体" w:eastAsia="宋体" w:cs="宋体"/>
          <w:sz w:val="24"/>
          <w:szCs w:val="24"/>
          <w:lang w:val="zh-TW" w:eastAsia="zh-TW"/>
        </w:rPr>
      </w:pPr>
      <w:r>
        <w:rPr>
          <w:rFonts w:hint="default" w:ascii="宋体" w:hAnsi="宋体" w:eastAsia="宋体" w:cs="宋体"/>
          <w:sz w:val="24"/>
          <w:szCs w:val="24"/>
          <w:lang w:val="zh-TW" w:eastAsia="zh-TW"/>
        </w:rPr>
        <w:t>3）第二部分 十年砥砺</w:t>
      </w:r>
    </w:p>
    <w:p w14:paraId="6F03244D">
      <w:pPr>
        <w:spacing w:line="360" w:lineRule="auto"/>
        <w:ind w:firstLine="480"/>
        <w:rPr>
          <w:rFonts w:hint="default" w:ascii="宋体" w:hAnsi="宋体" w:eastAsia="宋体" w:cs="宋体"/>
          <w:sz w:val="24"/>
          <w:szCs w:val="24"/>
          <w:lang w:val="zh-TW" w:eastAsia="zh-TW"/>
        </w:rPr>
      </w:pPr>
      <w:r>
        <w:rPr>
          <w:rFonts w:hint="default" w:ascii="宋体" w:hAnsi="宋体" w:eastAsia="宋体" w:cs="宋体"/>
          <w:sz w:val="24"/>
          <w:szCs w:val="24"/>
          <w:lang w:val="zh-TW" w:eastAsia="zh-TW"/>
        </w:rPr>
        <w:t>反映鲁迅在辛亥革命改朝换代的大背景中激发的磅礴的革命热情和思索。</w:t>
      </w:r>
    </w:p>
    <w:p w14:paraId="66947FFA">
      <w:pPr>
        <w:spacing w:line="360" w:lineRule="auto"/>
        <w:ind w:firstLine="480"/>
        <w:rPr>
          <w:rFonts w:hint="default" w:ascii="宋体" w:hAnsi="宋体" w:eastAsia="宋体" w:cs="宋体"/>
          <w:sz w:val="24"/>
          <w:szCs w:val="24"/>
          <w:lang w:val="zh-TW" w:eastAsia="zh-TW"/>
        </w:rPr>
      </w:pPr>
      <w:r>
        <w:rPr>
          <w:rFonts w:hint="default" w:ascii="宋体" w:hAnsi="宋体" w:eastAsia="宋体" w:cs="宋体"/>
          <w:sz w:val="24"/>
          <w:szCs w:val="24"/>
          <w:lang w:val="zh-TW" w:eastAsia="zh-TW"/>
        </w:rPr>
        <w:t>4）第三部分 新文学主将</w:t>
      </w:r>
    </w:p>
    <w:p w14:paraId="69FE8A23">
      <w:pPr>
        <w:spacing w:line="360" w:lineRule="auto"/>
        <w:ind w:firstLine="480"/>
        <w:rPr>
          <w:rFonts w:hint="default" w:ascii="宋体" w:hAnsi="宋体" w:eastAsia="宋体" w:cs="宋体"/>
          <w:sz w:val="24"/>
          <w:szCs w:val="24"/>
          <w:lang w:val="zh-TW" w:eastAsia="zh-TW"/>
        </w:rPr>
      </w:pPr>
      <w:r>
        <w:rPr>
          <w:rFonts w:hint="default" w:ascii="宋体" w:hAnsi="宋体" w:eastAsia="宋体" w:cs="宋体"/>
          <w:sz w:val="24"/>
          <w:szCs w:val="24"/>
          <w:lang w:val="zh-TW" w:eastAsia="zh-TW"/>
        </w:rPr>
        <w:t>展现当时时代背景，挖掘鲁迅文学作品的魅力，表达在当时残酷的社会背景下，鲁迅先生作品给人们带来了一道曙光。</w:t>
      </w:r>
    </w:p>
    <w:p w14:paraId="65064544">
      <w:pPr>
        <w:spacing w:line="360" w:lineRule="auto"/>
        <w:ind w:firstLine="480"/>
        <w:rPr>
          <w:rFonts w:hint="default" w:ascii="宋体" w:hAnsi="宋体" w:eastAsia="宋体" w:cs="宋体"/>
          <w:sz w:val="24"/>
          <w:szCs w:val="24"/>
          <w:lang w:val="zh-TW" w:eastAsia="zh-TW"/>
        </w:rPr>
      </w:pPr>
      <w:r>
        <w:rPr>
          <w:rFonts w:hint="default" w:ascii="宋体" w:hAnsi="宋体" w:eastAsia="宋体" w:cs="宋体"/>
          <w:sz w:val="24"/>
          <w:szCs w:val="24"/>
          <w:lang w:val="zh-TW" w:eastAsia="zh-TW"/>
        </w:rPr>
        <w:t>5）第四部分 左翼文化运动的旗手</w:t>
      </w:r>
    </w:p>
    <w:p w14:paraId="3C9C38C4">
      <w:pPr>
        <w:spacing w:line="360" w:lineRule="auto"/>
        <w:ind w:firstLine="480"/>
        <w:rPr>
          <w:rFonts w:hint="default" w:ascii="宋体" w:hAnsi="宋体" w:eastAsia="宋体" w:cs="宋体"/>
          <w:sz w:val="24"/>
          <w:szCs w:val="24"/>
          <w:lang w:val="zh-TW" w:eastAsia="zh-TW"/>
        </w:rPr>
      </w:pPr>
      <w:r>
        <w:rPr>
          <w:rFonts w:hint="default" w:ascii="宋体" w:hAnsi="宋体" w:eastAsia="宋体" w:cs="宋体"/>
          <w:sz w:val="24"/>
          <w:szCs w:val="24"/>
          <w:lang w:val="zh-TW" w:eastAsia="zh-TW"/>
        </w:rPr>
        <w:t>深挖鲁迅在上海期间左翼文化活动和精神内涵，彰显鲁迅研究和鲁迅精神的时代意义。突显上海鲁迅纪念馆的上海属性，展示鲁迅先生在上海期间的生活和工作状态。</w:t>
      </w:r>
    </w:p>
    <w:p w14:paraId="503A82BB">
      <w:pPr>
        <w:spacing w:line="360" w:lineRule="auto"/>
        <w:ind w:firstLine="480"/>
        <w:rPr>
          <w:rFonts w:hint="default" w:ascii="宋体" w:hAnsi="宋体" w:eastAsia="宋体" w:cs="宋体"/>
          <w:sz w:val="24"/>
          <w:szCs w:val="24"/>
          <w:lang w:val="zh-TW" w:eastAsia="zh-TW"/>
        </w:rPr>
      </w:pPr>
      <w:r>
        <w:rPr>
          <w:rFonts w:hint="default" w:ascii="宋体" w:hAnsi="宋体" w:eastAsia="宋体" w:cs="宋体"/>
          <w:sz w:val="24"/>
          <w:szCs w:val="24"/>
          <w:lang w:val="zh-TW" w:eastAsia="zh-TW"/>
        </w:rPr>
        <w:t>6）第五部分 民魂永在</w:t>
      </w:r>
    </w:p>
    <w:p w14:paraId="6FB61D5E">
      <w:pPr>
        <w:spacing w:line="360" w:lineRule="auto"/>
        <w:ind w:firstLine="480"/>
        <w:rPr>
          <w:rFonts w:hint="default" w:ascii="宋体" w:hAnsi="宋体" w:eastAsia="PMingLiU" w:cs="宋体"/>
          <w:sz w:val="24"/>
          <w:szCs w:val="24"/>
          <w:lang w:val="zh-TW" w:eastAsia="zh-TW"/>
        </w:rPr>
      </w:pPr>
      <w:r>
        <w:rPr>
          <w:rFonts w:hint="default" w:ascii="宋体" w:hAnsi="宋体" w:eastAsia="宋体" w:cs="宋体"/>
          <w:sz w:val="24"/>
          <w:szCs w:val="24"/>
          <w:lang w:val="zh-TW" w:eastAsia="zh-TW"/>
        </w:rPr>
        <w:t>“民魂永在”部分通过“民族魂”场景、“鲁迅丧仪”影像视频展示，体现鲁迅生命不息、战斗不止的伟大一生；</w:t>
      </w:r>
    </w:p>
    <w:p w14:paraId="38918C65">
      <w:pPr>
        <w:spacing w:line="360" w:lineRule="auto"/>
        <w:ind w:firstLine="482"/>
        <w:rPr>
          <w:rFonts w:hint="default" w:ascii="宋体" w:hAnsi="宋体" w:eastAsia="宋体" w:cs="宋体"/>
          <w:sz w:val="24"/>
          <w:szCs w:val="24"/>
          <w:lang w:val="zh-TW" w:eastAsia="zh-TW"/>
        </w:rPr>
      </w:pPr>
      <w:bookmarkStart w:id="1" w:name="OLE_LINK31"/>
      <w:bookmarkStart w:id="2" w:name="OLE_LINK30"/>
      <w:r>
        <w:rPr>
          <w:rFonts w:ascii="宋体" w:hAnsi="宋体" w:eastAsia="宋体" w:cs="宋体"/>
          <w:sz w:val="24"/>
          <w:szCs w:val="24"/>
          <w:lang w:val="zh-TW" w:eastAsia="zh-TW"/>
        </w:rPr>
        <w:t>（</w:t>
      </w:r>
      <w:r>
        <w:rPr>
          <w:rFonts w:hint="eastAsia" w:ascii="宋体" w:hAnsi="宋体" w:eastAsia="宋体" w:cs="宋体"/>
          <w:sz w:val="24"/>
          <w:szCs w:val="24"/>
          <w:lang w:val="en-US" w:eastAsia="zh-CN"/>
        </w:rPr>
        <w:t>7</w:t>
      </w:r>
      <w:r>
        <w:rPr>
          <w:rFonts w:ascii="宋体" w:hAnsi="宋体" w:eastAsia="宋体" w:cs="宋体"/>
          <w:sz w:val="24"/>
          <w:szCs w:val="24"/>
          <w:lang w:val="zh-TW" w:eastAsia="zh-TW"/>
        </w:rPr>
        <w:t>）树人园</w:t>
      </w:r>
    </w:p>
    <w:p w14:paraId="42C3D23D">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 xml:space="preserve">场地空间：位于二楼基本陈列中“回”字形围合成的顶面开放空间 </w:t>
      </w:r>
    </w:p>
    <w:p w14:paraId="6D6535F0">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功能定位：基本陈列的延伸。</w:t>
      </w:r>
    </w:p>
    <w:p w14:paraId="0FB12B0E">
      <w:pPr>
        <w:spacing w:line="360" w:lineRule="auto"/>
        <w:ind w:firstLine="482"/>
        <w:rPr>
          <w:rFonts w:hint="eastAsia" w:ascii="宋体" w:hAnsi="宋体" w:eastAsia="宋体" w:cs="宋体"/>
          <w:sz w:val="24"/>
          <w:szCs w:val="24"/>
          <w:lang w:val="en-US" w:eastAsia="zh-CN"/>
        </w:rPr>
      </w:pPr>
      <w:r>
        <w:rPr>
          <w:rFonts w:ascii="宋体" w:hAnsi="宋体" w:eastAsia="宋体" w:cs="宋体"/>
          <w:sz w:val="24"/>
          <w:szCs w:val="24"/>
          <w:lang w:val="zh-TW" w:eastAsia="zh-TW"/>
        </w:rPr>
        <w:t>个性化设计需求：突出鲁迅在上海的工作和交游</w:t>
      </w:r>
      <w:r>
        <w:rPr>
          <w:rFonts w:hint="eastAsia" w:ascii="宋体" w:hAnsi="宋体" w:eastAsia="宋体" w:cs="宋体"/>
          <w:sz w:val="24"/>
          <w:szCs w:val="24"/>
          <w:lang w:val="en-US" w:eastAsia="zh-CN"/>
        </w:rPr>
        <w:t>及鲁迅重要创作浮雕。</w:t>
      </w:r>
    </w:p>
    <w:p w14:paraId="6838654C">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w:t>
      </w:r>
      <w:r>
        <w:rPr>
          <w:rFonts w:hint="eastAsia" w:ascii="宋体" w:hAnsi="宋体" w:eastAsia="宋体" w:cs="宋体"/>
          <w:sz w:val="24"/>
          <w:szCs w:val="24"/>
          <w:lang w:val="en-US" w:eastAsia="zh-CN"/>
        </w:rPr>
        <w:t>8</w:t>
      </w:r>
      <w:r>
        <w:rPr>
          <w:rFonts w:ascii="宋体" w:hAnsi="宋体" w:eastAsia="宋体" w:cs="宋体"/>
          <w:sz w:val="24"/>
          <w:szCs w:val="24"/>
          <w:lang w:val="zh-TW" w:eastAsia="zh-TW"/>
        </w:rPr>
        <w:t>）百草园</w:t>
      </w:r>
    </w:p>
    <w:p w14:paraId="5693029A">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场地空间：位于上海鲁迅纪念馆主入口和办公区域至主体建筑间的户外绿化区域</w:t>
      </w:r>
    </w:p>
    <w:p w14:paraId="60D7C0A9">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功能定位：配合展陈功能定位，以鲁迅先生儿时的思想与情感为基石结合鲁迅在上海时期的革命实践与批判精神，构建一条从“乡土记忆”走向“民族魂”的精神脉络。</w:t>
      </w:r>
    </w:p>
    <w:p w14:paraId="5006F0C1">
      <w:pPr>
        <w:spacing w:line="360" w:lineRule="auto"/>
        <w:ind w:firstLine="480" w:firstLineChars="200"/>
        <w:rPr>
          <w:rFonts w:ascii="宋体" w:hAnsi="宋体" w:eastAsia="宋体" w:cs="宋体"/>
          <w:sz w:val="24"/>
          <w:szCs w:val="24"/>
          <w:lang w:val="zh-TW" w:eastAsia="zh-TW"/>
        </w:rPr>
      </w:pPr>
      <w:r>
        <w:rPr>
          <w:rFonts w:ascii="宋体" w:hAnsi="宋体" w:eastAsia="宋体" w:cs="宋体"/>
          <w:sz w:val="24"/>
          <w:szCs w:val="24"/>
          <w:lang w:val="zh-TW" w:eastAsia="zh-TW"/>
        </w:rPr>
        <w:t>个性化设计需求：将原场地百草园设置两大核心主题，一是打造其文化作品精神思想的学习互动空间，通过学习观摩鲁迅名言、感受鲁迅的勤学奋进精神、利用拓印等元素进行互动与观摩；二是营造鲁迅孩童时期：通过乌篷船、捕鸟、长妈妈讲山海经等艺术装置探索自然之野趣，体验儿时纯真友谊，感受质朴乡情的日常生活画面。设计</w:t>
      </w:r>
      <w:r>
        <w:rPr>
          <w:rFonts w:hint="eastAsia" w:ascii="宋体" w:hAnsi="宋体" w:eastAsia="宋体" w:cs="宋体"/>
          <w:sz w:val="24"/>
          <w:szCs w:val="24"/>
          <w:lang w:val="en-US" w:eastAsia="zh-CN"/>
        </w:rPr>
        <w:t>七</w:t>
      </w:r>
      <w:r>
        <w:rPr>
          <w:rFonts w:ascii="宋体" w:hAnsi="宋体" w:eastAsia="宋体" w:cs="宋体"/>
          <w:sz w:val="24"/>
          <w:szCs w:val="24"/>
          <w:lang w:val="zh-TW" w:eastAsia="zh-TW"/>
        </w:rPr>
        <w:t>组主题雕塑，包括1、浮雕</w:t>
      </w:r>
      <w:r>
        <w:rPr>
          <w:rFonts w:hint="eastAsia" w:ascii="宋体" w:hAnsi="宋体" w:eastAsia="宋体" w:cs="宋体"/>
          <w:sz w:val="24"/>
          <w:szCs w:val="24"/>
          <w:lang w:val="zh-TW" w:eastAsia="zh-CN"/>
        </w:rPr>
        <w:t>：</w:t>
      </w:r>
      <w:r>
        <w:rPr>
          <w:rFonts w:ascii="宋体" w:hAnsi="宋体" w:eastAsia="宋体" w:cs="宋体"/>
          <w:sz w:val="24"/>
          <w:szCs w:val="24"/>
          <w:lang w:val="zh-TW" w:eastAsia="zh-TW"/>
        </w:rPr>
        <w:t>百草园-豫才的童年时光，取材于鲁迅先生的生平、作品、事件等方面。2、艺术圆雕</w:t>
      </w:r>
      <w:r>
        <w:rPr>
          <w:rFonts w:hint="eastAsia" w:ascii="宋体" w:hAnsi="宋体" w:eastAsia="宋体" w:cs="宋体"/>
          <w:sz w:val="24"/>
          <w:szCs w:val="24"/>
          <w:lang w:val="zh-TW" w:eastAsia="zh-CN"/>
        </w:rPr>
        <w:t>：</w:t>
      </w:r>
      <w:r>
        <w:rPr>
          <w:rFonts w:ascii="宋体" w:hAnsi="宋体" w:eastAsia="宋体" w:cs="宋体"/>
          <w:sz w:val="24"/>
          <w:szCs w:val="24"/>
          <w:lang w:val="zh-TW" w:eastAsia="zh-TW"/>
        </w:rPr>
        <w:t>百草园-少年闰土，通过立体艺术形式再现鲁迅文学经典中的童年意象</w:t>
      </w:r>
      <w:r>
        <w:rPr>
          <w:rFonts w:hint="eastAsia" w:ascii="宋体" w:hAnsi="宋体" w:eastAsia="宋体" w:cs="宋体"/>
          <w:sz w:val="24"/>
          <w:szCs w:val="24"/>
          <w:lang w:val="zh-TW" w:eastAsia="zh-CN"/>
        </w:rPr>
        <w:t>。</w:t>
      </w:r>
      <w:r>
        <w:rPr>
          <w:rFonts w:hint="eastAsia" w:ascii="宋体" w:hAnsi="宋体" w:eastAsia="宋体" w:cs="宋体"/>
          <w:sz w:val="24"/>
          <w:szCs w:val="24"/>
          <w:lang w:val="en-US" w:eastAsia="zh-CN"/>
        </w:rPr>
        <w:t>3、艺术圆雕：</w:t>
      </w:r>
      <w:r>
        <w:rPr>
          <w:rFonts w:ascii="宋体" w:hAnsi="宋体" w:eastAsia="宋体" w:cs="宋体"/>
          <w:sz w:val="24"/>
          <w:szCs w:val="24"/>
          <w:lang w:val="zh-TW" w:eastAsia="zh-TW"/>
        </w:rPr>
        <w:t>百草园-少年鲁迅，通过立体艺术形式再现鲁迅文学经典中的童年意象</w:t>
      </w:r>
      <w:r>
        <w:rPr>
          <w:rFonts w:hint="eastAsia" w:ascii="宋体" w:hAnsi="宋体" w:eastAsia="宋体" w:cs="宋体"/>
          <w:sz w:val="24"/>
          <w:szCs w:val="24"/>
          <w:lang w:val="zh-TW" w:eastAsia="zh-CN"/>
        </w:rPr>
        <w:t>。</w:t>
      </w:r>
      <w:r>
        <w:rPr>
          <w:rFonts w:hint="eastAsia" w:ascii="宋体" w:hAnsi="宋体" w:eastAsia="宋体" w:cs="宋体"/>
          <w:sz w:val="24"/>
          <w:szCs w:val="24"/>
          <w:lang w:val="en-US" w:eastAsia="zh-CN"/>
        </w:rPr>
        <w:t>4</w:t>
      </w:r>
      <w:r>
        <w:rPr>
          <w:rFonts w:ascii="宋体" w:hAnsi="宋体" w:eastAsia="宋体" w:cs="宋体"/>
          <w:sz w:val="24"/>
          <w:szCs w:val="24"/>
          <w:lang w:val="zh-TW" w:eastAsia="zh-TW"/>
        </w:rPr>
        <w:t>、艺术圆雕</w:t>
      </w:r>
      <w:r>
        <w:rPr>
          <w:rFonts w:hint="eastAsia" w:ascii="宋体" w:hAnsi="宋体" w:eastAsia="宋体" w:cs="宋体"/>
          <w:sz w:val="24"/>
          <w:szCs w:val="24"/>
          <w:lang w:val="zh-TW" w:eastAsia="zh-CN"/>
        </w:rPr>
        <w:t>：</w:t>
      </w:r>
      <w:r>
        <w:rPr>
          <w:rFonts w:ascii="宋体" w:hAnsi="宋体" w:eastAsia="宋体" w:cs="宋体"/>
          <w:sz w:val="24"/>
          <w:szCs w:val="24"/>
          <w:lang w:val="zh-TW" w:eastAsia="zh-TW"/>
        </w:rPr>
        <w:t>百草园-水牛，营造鲁迅孩童时期质朴乡情，呼应鲁迅“孺子牛”精神。</w:t>
      </w:r>
      <w:r>
        <w:rPr>
          <w:rFonts w:hint="eastAsia" w:ascii="宋体" w:hAnsi="宋体" w:eastAsia="宋体" w:cs="宋体"/>
          <w:sz w:val="24"/>
          <w:szCs w:val="24"/>
          <w:lang w:val="en-US" w:eastAsia="zh-CN"/>
        </w:rPr>
        <w:t>5</w:t>
      </w:r>
      <w:r>
        <w:rPr>
          <w:rFonts w:ascii="宋体" w:hAnsi="宋体" w:eastAsia="宋体" w:cs="宋体"/>
          <w:sz w:val="24"/>
          <w:szCs w:val="24"/>
          <w:lang w:val="zh-TW" w:eastAsia="zh-TW"/>
        </w:rPr>
        <w:t>、艺术圆雕</w:t>
      </w:r>
      <w:r>
        <w:rPr>
          <w:rFonts w:hint="eastAsia" w:ascii="宋体" w:hAnsi="宋体" w:eastAsia="宋体" w:cs="宋体"/>
          <w:sz w:val="24"/>
          <w:szCs w:val="24"/>
          <w:lang w:val="zh-TW" w:eastAsia="zh-CN"/>
        </w:rPr>
        <w:t>：</w:t>
      </w:r>
      <w:r>
        <w:rPr>
          <w:rFonts w:ascii="宋体" w:hAnsi="宋体" w:eastAsia="宋体" w:cs="宋体"/>
          <w:sz w:val="24"/>
          <w:szCs w:val="24"/>
          <w:lang w:val="zh-TW" w:eastAsia="zh-TW"/>
        </w:rPr>
        <w:t>百草园-儿时拾取-捕鸟，取材于鲁迅与闰土雪地捕鸟场景，重现少年鲁迅与闰土在百草园中的纯真互动。</w:t>
      </w:r>
      <w:r>
        <w:rPr>
          <w:rFonts w:hint="eastAsia" w:ascii="宋体" w:hAnsi="宋体" w:eastAsia="宋体" w:cs="宋体"/>
          <w:sz w:val="24"/>
          <w:szCs w:val="24"/>
          <w:lang w:val="en-US" w:eastAsia="zh-CN"/>
        </w:rPr>
        <w:t>6</w:t>
      </w:r>
      <w:r>
        <w:rPr>
          <w:rFonts w:ascii="宋体" w:hAnsi="宋体" w:eastAsia="宋体" w:cs="宋体"/>
          <w:sz w:val="24"/>
          <w:szCs w:val="24"/>
          <w:lang w:val="zh-TW" w:eastAsia="zh-TW"/>
        </w:rPr>
        <w:t>、壁雕+铜塑</w:t>
      </w:r>
      <w:r>
        <w:rPr>
          <w:rFonts w:hint="eastAsia" w:ascii="宋体" w:hAnsi="宋体" w:eastAsia="宋体" w:cs="宋体"/>
          <w:sz w:val="24"/>
          <w:szCs w:val="24"/>
          <w:lang w:val="zh-TW" w:eastAsia="zh-CN"/>
        </w:rPr>
        <w:t>：</w:t>
      </w:r>
      <w:r>
        <w:rPr>
          <w:rFonts w:ascii="宋体" w:hAnsi="宋体" w:eastAsia="宋体" w:cs="宋体"/>
          <w:sz w:val="24"/>
          <w:szCs w:val="24"/>
          <w:lang w:val="zh-TW" w:eastAsia="zh-TW"/>
        </w:rPr>
        <w:t>乌篷船与故乡记忆，取材于绍兴水乡特色以及鲁迅的《社戏》相关内容，提炼绍兴水乡独有的文化符号。</w:t>
      </w:r>
      <w:r>
        <w:rPr>
          <w:rFonts w:hint="eastAsia" w:ascii="宋体" w:hAnsi="宋体" w:eastAsia="宋体" w:cs="宋体"/>
          <w:sz w:val="24"/>
          <w:szCs w:val="24"/>
          <w:lang w:val="en-US" w:eastAsia="zh-CN"/>
        </w:rPr>
        <w:t>7</w:t>
      </w:r>
      <w:r>
        <w:rPr>
          <w:rFonts w:ascii="宋体" w:hAnsi="宋体" w:eastAsia="宋体" w:cs="宋体"/>
          <w:sz w:val="24"/>
          <w:szCs w:val="24"/>
          <w:lang w:val="zh-TW" w:eastAsia="zh-TW"/>
        </w:rPr>
        <w:t>、</w:t>
      </w:r>
      <w:r>
        <w:rPr>
          <w:rFonts w:hint="eastAsia" w:ascii="宋体" w:hAnsi="宋体" w:eastAsia="宋体" w:cs="宋体"/>
          <w:sz w:val="24"/>
          <w:szCs w:val="24"/>
          <w:lang w:val="en-US" w:eastAsia="zh-CN"/>
        </w:rPr>
        <w:t>雕塑：</w:t>
      </w:r>
      <w:r>
        <w:rPr>
          <w:rFonts w:ascii="宋体" w:hAnsi="宋体" w:eastAsia="宋体" w:cs="宋体"/>
          <w:sz w:val="24"/>
          <w:szCs w:val="24"/>
          <w:lang w:val="zh-TW" w:eastAsia="zh-TW"/>
        </w:rPr>
        <w:t>长妈妈与山海经，取材于鲁迅的《阿长与山海经》相关内容。</w:t>
      </w:r>
    </w:p>
    <w:p w14:paraId="27B9CCBC">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（9）其他配套服务</w:t>
      </w:r>
    </w:p>
    <w:p w14:paraId="5A5F42D6">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1）文物征集及复制费，不少于100件，包括但不限于手稿、信件等纸张类、书籍类、实物展品复制若干。</w:t>
      </w:r>
    </w:p>
    <w:p w14:paraId="06F9CE73">
      <w:pPr>
        <w:spacing w:line="360" w:lineRule="auto"/>
        <w:ind w:firstLine="480" w:firstLineChars="200"/>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2）中英文翻译费</w:t>
      </w:r>
    </w:p>
    <w:bookmarkEnd w:id="1"/>
    <w:bookmarkEnd w:id="2"/>
    <w:p w14:paraId="354F0264">
      <w:pPr>
        <w:spacing w:line="360" w:lineRule="auto"/>
        <w:ind w:firstLine="482"/>
        <w:rPr>
          <w:rFonts w:hint="default" w:ascii="宋体" w:hAnsi="宋体" w:eastAsia="宋体" w:cs="宋体"/>
          <w:b/>
          <w:bCs/>
          <w:sz w:val="24"/>
          <w:szCs w:val="24"/>
          <w:lang w:val="zh-TW" w:eastAsia="zh-TW"/>
        </w:rPr>
      </w:pPr>
      <w:r>
        <w:rPr>
          <w:rFonts w:ascii="宋体" w:hAnsi="宋体" w:eastAsia="宋体" w:cs="宋体"/>
          <w:b/>
          <w:bCs/>
          <w:sz w:val="24"/>
          <w:szCs w:val="24"/>
          <w:lang w:val="zh-TW" w:eastAsia="zh-TW"/>
        </w:rPr>
        <w:t>第四章 技术要求</w:t>
      </w:r>
    </w:p>
    <w:p w14:paraId="331B8DD8">
      <w:pPr>
        <w:spacing w:line="360" w:lineRule="auto"/>
        <w:ind w:firstLine="482"/>
        <w:rPr>
          <w:rFonts w:hint="default" w:ascii="宋体" w:hAnsi="宋体" w:eastAsia="宋体" w:cs="宋体"/>
          <w:b/>
          <w:bCs/>
          <w:sz w:val="24"/>
          <w:szCs w:val="24"/>
          <w:lang w:val="zh-TW" w:eastAsia="zh-TW"/>
        </w:rPr>
      </w:pPr>
      <w:r>
        <w:rPr>
          <w:rFonts w:ascii="宋体" w:hAnsi="宋体" w:eastAsia="宋体" w:cs="宋体"/>
          <w:b/>
          <w:bCs/>
          <w:sz w:val="24"/>
          <w:szCs w:val="24"/>
          <w:lang w:val="zh-TW" w:eastAsia="zh-TW"/>
        </w:rPr>
        <w:t>4.1 总体技术要求</w:t>
      </w:r>
    </w:p>
    <w:p w14:paraId="431D774D">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4.1.1 设计总则</w:t>
      </w:r>
    </w:p>
    <w:p w14:paraId="5C76AB06">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本项目投标人应参考采购人提供的陈列大纲、展馆建筑平面图等内容，以及上海市的气候特征与周边环境作为设计参考依据，合理组织建筑物通风和采光，体现生态和可持续发展的要求，注重节能观念和环保思想，合理利用各种成熟可靠的绿色环保、节能降耗的技术手段，降低今后的运营费用。</w:t>
      </w:r>
    </w:p>
    <w:p w14:paraId="4F8BEE27">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4.1.2 设计创意要求</w:t>
      </w:r>
    </w:p>
    <w:p w14:paraId="463C3A5D">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（1）展陈设计要完美体现主题内容，调动各种陈列艺术语言，为陈列主题服务，坚持创新，陈列手段新颖、独特。</w:t>
      </w:r>
    </w:p>
    <w:p w14:paraId="0F97E6B8">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（2）设计重点突出、展线合理且节奏感强，每个展区有展示亮点。</w:t>
      </w:r>
    </w:p>
    <w:p w14:paraId="517AC7A8">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（3）设计应充分体现“以人为本”的原则，充分考虑不同观众群体的特性，陈设既要追求高雅的审美情趣，又要具有满足各类人群需求的普适性和大众性。</w:t>
      </w:r>
    </w:p>
    <w:p w14:paraId="6E4A5551">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4）在充分考虑经济合理性、耐用性的前提下，合理运用声、光、电等现代技术，对陈列的重点、亮点部分适当运用多媒体、互动装置等高科技手段加以体现，增加展示的趣味性与互动性。在展示设计中，总体应强调把观众的注意力吸引到展品等展示内容上，在展示形式设计上注意“度”的把握，装饰应避免过于繁杂，防止喧宾夺主。</w:t>
      </w:r>
    </w:p>
    <w:p w14:paraId="34B7E3BC">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 xml:space="preserve">（5）概念设计方案基本要求：除了要阐述展览设计和创作的基本思想和创意说明外，必须完整表达展览内容体系在展厅建筑空间中的合理布局，观众参观路线，未来展览空间设计及其总体艺术风格，基本展览设备的造型及其尺度比例，典型展品组合图等。 </w:t>
      </w:r>
    </w:p>
    <w:p w14:paraId="0DA87EF0">
      <w:pPr>
        <w:spacing w:line="360" w:lineRule="auto"/>
        <w:ind w:firstLine="482"/>
        <w:rPr>
          <w:rFonts w:hint="default" w:ascii="宋体" w:hAnsi="宋体" w:eastAsia="宋体" w:cs="宋体"/>
          <w:b/>
          <w:bCs/>
          <w:color w:val="auto"/>
          <w:sz w:val="24"/>
          <w:szCs w:val="24"/>
        </w:rPr>
      </w:pPr>
      <w:r>
        <w:rPr>
          <w:rFonts w:ascii="宋体" w:hAnsi="宋体" w:eastAsia="宋体" w:cs="宋体"/>
          <w:b/>
          <w:bCs/>
          <w:color w:val="auto"/>
          <w:sz w:val="24"/>
          <w:szCs w:val="24"/>
        </w:rPr>
        <w:t xml:space="preserve">4.2 </w:t>
      </w:r>
      <w:r>
        <w:rPr>
          <w:rFonts w:ascii="宋体" w:hAnsi="宋体" w:eastAsia="宋体" w:cs="宋体"/>
          <w:b/>
          <w:bCs/>
          <w:color w:val="auto"/>
          <w:sz w:val="24"/>
          <w:szCs w:val="24"/>
          <w:lang w:val="zh-TW" w:eastAsia="zh-TW"/>
        </w:rPr>
        <w:t>展柜技术要求</w:t>
      </w:r>
    </w:p>
    <w:p w14:paraId="141A7649">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展柜设计应考虑展品存取方便、安全可靠，制作优良、经久耐用。产品采用国内知名品牌，并得到采购人认可。设备和产品的设计、生产和安装必须符合国家有关规范和标准，以保证展品的安全及观众参观的舒适性。相关设备和产品应具备较高的标准化程度，便于安装和拓展其他功能，并保证配套有完善的售后服务。采购人有权在展柜采购前、封样阶段、展柜安装后分别组织行业专家对展柜及其安装质量进行评审，未达到招标文件及合同要求的，应替换产品并重新安装，直至符合要求为止。</w:t>
      </w:r>
    </w:p>
    <w:p w14:paraId="563891BB">
      <w:pPr>
        <w:spacing w:line="360" w:lineRule="auto"/>
        <w:ind w:firstLine="480"/>
        <w:rPr>
          <w:rFonts w:hint="default" w:ascii="宋体" w:hAnsi="宋体" w:eastAsia="宋体" w:cs="宋体"/>
          <w:color w:val="auto"/>
          <w:sz w:val="24"/>
          <w:szCs w:val="24"/>
        </w:rPr>
      </w:pPr>
      <w:r>
        <w:rPr>
          <w:rFonts w:ascii="宋体" w:hAnsi="宋体" w:eastAsia="宋体" w:cs="宋体"/>
          <w:color w:val="auto"/>
          <w:sz w:val="24"/>
          <w:szCs w:val="24"/>
        </w:rPr>
        <w:t>4.2.1 展柜采购内容</w:t>
      </w:r>
    </w:p>
    <w:p w14:paraId="533B8A26">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本采购项目中文物展厅所涉及的文物展柜（简称“展柜”），投标人应参照各个标段的“文物展柜需求清单”的要求进行设计投标，中标人在设计方案中明确形制、数量并定制。其中，部分展柜还需要包含为有效安装微环境调控设备等展柜组合配套功能所需要的展柜深化设计、结构加工与安装配合，以及展柜与展陈装修。有关展柜类型名称约定如下：</w:t>
      </w:r>
    </w:p>
    <w:p w14:paraId="2E2FBE21">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（1）中心柜（独立柜）：指放置于展厅中央、四面可参观的立式固定或可移动展柜。</w:t>
      </w:r>
    </w:p>
    <w:p w14:paraId="789DC829">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（2）桌柜（平柜）：指高度在视线之下、通常俯身参观的卧式固定或可移动展柜。</w:t>
      </w:r>
    </w:p>
    <w:p w14:paraId="5814B45F">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（3）边柜（壁龛柜）：指嵌入墙面、正面看不见底座或顶灯箱的壁龛式固定展柜。</w:t>
      </w:r>
    </w:p>
    <w:p w14:paraId="2D587482">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（4）通柜：指具有完整底座或顶灯箱（或无）、沿墙或入墙放置的固定或可移动展柜。</w:t>
      </w:r>
    </w:p>
    <w:p w14:paraId="357A6A75">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（5）异形柜：指超越上述常规结构的或具有复杂形状的特别展柜。</w:t>
      </w:r>
    </w:p>
    <w:p w14:paraId="3452CC11">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展柜深化设计：中标人需在展陈设计基础上，针对文物展陈需求和有关展柜组合配套功能需求，提出各展柜的深化设计。展柜深化设计方案由采购人组织进行审核，中标人需按审核意见进行必要的调整。展柜深化设计方案经采购人签证确认后，中标人需按采购人要求递交定型实样展柜（样柜）。在采购人审核确定定型实样展柜、中标人收到采购人发出的签证确认后方可实施定制加工。</w:t>
      </w:r>
    </w:p>
    <w:p w14:paraId="676B7F8A">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展陈装修工作：中标人需负责展柜与展陈装饰墙面、顶面、地面等有施工交叉的配合工作。</w:t>
      </w:r>
    </w:p>
    <w:p w14:paraId="2208C965">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柜内照明组合：中标人应负责柜内照明的组合深化设计、设备采购、加工、安装、调光等一体化工作。</w:t>
      </w:r>
    </w:p>
    <w:p w14:paraId="4622EF9F">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售后服务：中标人需负责对展柜使用和维护等有关技术培训，对免费质保周期及其保养维修内容等服务保障作出承诺。</w:t>
      </w:r>
    </w:p>
    <w:p w14:paraId="454F8EFD">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技术资料提交：中标人需在项目验收之前提交全套定制展柜竣工图，包括纸本图纸和光盘、固态移动存储电子文档各3套。</w:t>
      </w:r>
    </w:p>
    <w:p w14:paraId="182D4CCA">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rPr>
        <w:t>4.2</w:t>
      </w:r>
      <w:r>
        <w:rPr>
          <w:rFonts w:ascii="宋体" w:hAnsi="宋体" w:eastAsia="宋体" w:cs="宋体"/>
          <w:color w:val="auto"/>
          <w:sz w:val="24"/>
          <w:szCs w:val="24"/>
          <w:lang w:val="zh-TW"/>
        </w:rPr>
        <w:t>.2 展柜技术要求</w:t>
      </w:r>
    </w:p>
    <w:p w14:paraId="1CE7A2CC">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展柜总体技术要求</w:t>
      </w:r>
    </w:p>
    <w:p w14:paraId="7D5D3589">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外形式样：展柜产品的外形应与展厅展陈设计风格、展柜形式设计风格相协调；外观工艺精致、线条简约挺拔顺直、视觉效果好。外观、尺寸在设计图纸中有清晰反映。</w:t>
      </w:r>
    </w:p>
    <w:p w14:paraId="7BDBC945">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工艺性能：展柜表面平整，涂层色泽均匀一致，无划伤、露底、变形、破碎、气泡等明显缺陷，边角应当圆滑或倒角；线路和锁具不外露。材料、工艺在设计图纸中有明确反映。</w:t>
      </w:r>
    </w:p>
    <w:p w14:paraId="39C549B0">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安全性能：展柜坚固耐用，结构稳定，不易变形；整体安全性高，满足文物展柜实体防范要求和规范；开闭机构轻巧并耐用，开启方式满足展陈布置和安全需求；闭锁功能设计合理、安全、隐蔽、稳定，使用和维护方便。</w:t>
      </w:r>
    </w:p>
    <w:p w14:paraId="60A8B4E2">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文物保护性能：展柜具有良好的密闭性；展柜内微环境质量符合文物预防性保护要求；展柜制作材料的材料环境安全性符合规范要求；文物照明综合考虑文物保护和展陈效果。</w:t>
      </w:r>
    </w:p>
    <w:p w14:paraId="43303B09">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rPr>
        <w:t>整体结构：展柜整体结构为金属框架式或金属基座式加玻璃结构，或无玻璃罩的金属底座结构，展柜结构钢板、钢管均需要做</w:t>
      </w:r>
      <w:r>
        <w:rPr>
          <w:rFonts w:ascii="宋体" w:hAnsi="宋体" w:eastAsia="宋体" w:cs="宋体"/>
          <w:color w:val="auto"/>
          <w:sz w:val="24"/>
          <w:szCs w:val="24"/>
          <w:lang w:val="zh-TW" w:eastAsia="zh-TW"/>
        </w:rPr>
        <w:t>耐腐蚀或作防腐蚀处理</w:t>
      </w:r>
      <w:r>
        <w:rPr>
          <w:rFonts w:ascii="宋体" w:hAnsi="宋体" w:eastAsia="宋体" w:cs="宋体"/>
          <w:color w:val="auto"/>
          <w:sz w:val="24"/>
          <w:szCs w:val="24"/>
          <w:lang w:val="zh-TW"/>
        </w:rPr>
        <w:t>，</w:t>
      </w:r>
      <w:r>
        <w:rPr>
          <w:rFonts w:ascii="宋体" w:hAnsi="宋体" w:eastAsia="宋体" w:cs="宋体"/>
          <w:color w:val="auto"/>
          <w:sz w:val="24"/>
          <w:szCs w:val="24"/>
          <w:lang w:val="zh-TW" w:eastAsia="zh-TW"/>
        </w:rPr>
        <w:t>表面经粉末喷涂或氟碳喷漆装饰涂层处理</w:t>
      </w:r>
      <w:r>
        <w:rPr>
          <w:rFonts w:ascii="宋体" w:hAnsi="宋体" w:eastAsia="宋体" w:cs="宋体"/>
          <w:color w:val="auto"/>
          <w:sz w:val="24"/>
          <w:szCs w:val="24"/>
          <w:lang w:val="zh-TW"/>
        </w:rPr>
        <w:t>；展柜结构和饰面金属材料满足规定要求，展柜内背板、底板使用环保板材，配用优质低反射类夹层安全玻璃。展柜主要用材（包括金属、玻璃、照明系统、锁具、滑轨气缸等五金件、管线等）应明确品牌及产地。</w:t>
      </w:r>
    </w:p>
    <w:p w14:paraId="2C55A88E">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rPr>
        <w:t>空间分割：展柜的展示空间，与灯箱空间或底座空间应严格密封分割，根据不同柜型进行深化设计，最终设计方案由采购人组织进行审核确认。</w:t>
      </w:r>
    </w:p>
    <w:p w14:paraId="6D3012B8">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可操作性：展柜设计应优先考虑展品安全、方便取放，以及内置展台日常保洁及维护的可能性与便捷性；除特殊重、大部件外，展柜的可操作部件包括展柜门应可由一人进行操作。</w:t>
      </w:r>
    </w:p>
    <w:p w14:paraId="684B1374">
      <w:pPr>
        <w:spacing w:line="360" w:lineRule="auto"/>
        <w:ind w:right="-218" w:rightChars="-104" w:firstLine="480" w:firstLineChars="200"/>
        <w:jc w:val="left"/>
        <w:rPr>
          <w:rFonts w:hint="default" w:ascii="宋体" w:hAnsi="宋体" w:eastAsia="宋体" w:cs="宋体"/>
          <w:color w:val="auto"/>
          <w:sz w:val="24"/>
          <w:szCs w:val="24"/>
          <w:lang w:val="zh-TW"/>
        </w:rPr>
      </w:pPr>
      <w:r>
        <w:rPr>
          <w:rFonts w:ascii="宋体" w:hAnsi="宋体" w:eastAsia="宋体" w:cs="宋体"/>
          <w:color w:val="auto"/>
          <w:sz w:val="24"/>
          <w:szCs w:val="24"/>
          <w:lang w:val="zh-TW"/>
        </w:rPr>
        <w:t>组合配合：确保展柜与展陈装修的完美结合，有效组合应用展柜内照明、微环境调控设备、多媒体等设施设备，包括有效组合深化设计、安装接口构件加工、安装调试等。</w:t>
      </w:r>
    </w:p>
    <w:p w14:paraId="233637A9">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管理配合：本采购项目内展柜的深化设计方案，须征得采购人审核认可后方可进行制作。中标人需负责在展柜深化设计方案基本确定后的定型实样展柜的搭建、修改、定样工作。</w:t>
      </w:r>
    </w:p>
    <w:p w14:paraId="72022529">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售后服务：中标人应负责对采购人进行展柜操作、维护等应用培训，保证采购人能够正确、熟练掌握。</w:t>
      </w:r>
    </w:p>
    <w:p w14:paraId="57587CC5">
      <w:pPr>
        <w:spacing w:line="360" w:lineRule="auto"/>
        <w:ind w:firstLine="480"/>
        <w:rPr>
          <w:rFonts w:hint="default" w:ascii="宋体" w:hAnsi="宋体" w:eastAsia="宋体" w:cs="宋体"/>
          <w:color w:val="auto"/>
          <w:sz w:val="24"/>
          <w:szCs w:val="24"/>
          <w:lang w:val="zh-TW"/>
        </w:rPr>
      </w:pPr>
      <w:r>
        <w:rPr>
          <w:rFonts w:ascii="宋体" w:hAnsi="宋体" w:eastAsia="宋体" w:cs="宋体"/>
          <w:color w:val="auto"/>
          <w:sz w:val="24"/>
          <w:szCs w:val="24"/>
          <w:lang w:val="zh-TW"/>
        </w:rPr>
        <w:t>采购人选择权：为保证展柜质量要求，如定型实样展柜质量经检验不合格，或呈现效果不能满足需求要求，采购人保留对采购的品牌和货物的选择权。</w:t>
      </w:r>
    </w:p>
    <w:p w14:paraId="78B77A8A">
      <w:pPr>
        <w:spacing w:line="360" w:lineRule="auto"/>
        <w:ind w:firstLine="480"/>
        <w:rPr>
          <w:rFonts w:hint="default" w:ascii="宋体" w:hAnsi="宋体" w:eastAsia="宋体" w:cs="宋体"/>
          <w:b/>
          <w:bCs/>
          <w:color w:val="auto"/>
          <w:sz w:val="24"/>
          <w:szCs w:val="24"/>
          <w:lang w:val="zh-TW" w:eastAsia="zh-TW"/>
        </w:rPr>
      </w:pPr>
      <w:r>
        <w:rPr>
          <w:rFonts w:ascii="宋体" w:hAnsi="宋体" w:eastAsia="宋体" w:cs="宋体"/>
          <w:b/>
          <w:bCs/>
          <w:color w:val="auto"/>
          <w:sz w:val="24"/>
          <w:szCs w:val="24"/>
          <w:lang w:val="zh-TW"/>
        </w:rPr>
        <w:t>（</w:t>
      </w:r>
      <w:r>
        <w:rPr>
          <w:rFonts w:ascii="宋体" w:hAnsi="宋体" w:eastAsia="宋体" w:cs="宋体"/>
          <w:b/>
          <w:bCs/>
          <w:color w:val="auto"/>
          <w:sz w:val="24"/>
          <w:szCs w:val="24"/>
        </w:rPr>
        <w:t>1</w:t>
      </w:r>
      <w:r>
        <w:rPr>
          <w:rFonts w:ascii="宋体" w:hAnsi="宋体" w:eastAsia="宋体" w:cs="宋体"/>
          <w:b/>
          <w:bCs/>
          <w:color w:val="auto"/>
          <w:sz w:val="24"/>
          <w:szCs w:val="24"/>
          <w:lang w:val="zh-TW"/>
        </w:rPr>
        <w:t>）</w:t>
      </w:r>
      <w:r>
        <w:rPr>
          <w:rFonts w:ascii="宋体" w:hAnsi="宋体" w:eastAsia="宋体" w:cs="宋体"/>
          <w:b/>
          <w:bCs/>
          <w:color w:val="auto"/>
          <w:sz w:val="24"/>
          <w:szCs w:val="24"/>
          <w:lang w:val="zh-TW" w:eastAsia="zh-TW"/>
        </w:rPr>
        <w:t>展柜结构和金属材料要求</w:t>
      </w:r>
    </w:p>
    <w:p w14:paraId="31E4EC55">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文物展柜要求为金属玻璃类展柜。展柜主体结构应具有相当的自重稳定性、承重坚固性和抗冲击稳固性，能够承载展柜金属构件、玻璃、设备与文物的重量而长期不变形，基座承载力不低于400kg/m2、展台底板承载力不低于150kg/m2（特重文物展柜应单独设计），展柜设计使用寿命20年以上。</w:t>
      </w:r>
    </w:p>
    <w:p w14:paraId="364B3772">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金属材料选材应符合如下基本要求：</w:t>
      </w:r>
    </w:p>
    <w:p w14:paraId="7E9ADD96">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1）展柜结构用冷弯空心型钢牌号与性能应符合GB/T 700—2006《碳素结构钢》和GB/T 6725—2017《冷弯型钢通用技术要求》的规定，截面与外形要求应符合GB/T 6728—2025《结构用冷弯空心型钢》的规定；冷轧碳钢板材应符合GB/T 11253—2019《碳素结构钢冷轧钢板及钢带》的规定，力学性能应不低于Q235牌号；展柜背后若采用镀锌钢板封护，材料应符合GB/T 2518—2019《连续热镀锌和锌合金镀层钢板及钢带》的规定；不锈钢材料应选用统一数字代号为S30408或S30403的热轧板或冷轧板，材料成分符合GB/T 20878—2024《不锈钢和耐热钢 牌号及化学成分》，板材性能符合GB/T 4237—2015《不锈钢热轧钢板和钢带》或GB/T 3280—2015《不锈钢冷轧钢板和钢带》规定。</w:t>
      </w:r>
    </w:p>
    <w:p w14:paraId="1633C725">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2）铝合金材料化学成分应符合GB/T 3190—2020《变形铝及铝合金化学成分》中表2和GB/T 3880.1—2023《一般工业用铝及铝合金板、带材 第1部分：一般要求》表5的规定。其中，铝合金板材应采用6061或6063牌号、符合GB/T 3880.2—2024《一般工业用铝及铝合金板、带材 第2部分：力学性能》所规定力学性能的T4或T6状态铝合金；铝合金型材应采用6061或6063牌号、符合GB/T 5237.1—2017《铝合金建筑型材 第1部分：基材》要求的T4、T5或T6状态铝合金；铝蜂窝复合板的材料与要求应符合JG/T 334—2012 《建筑外墙用铝蜂窝复合板》的规定；铝波纹芯复合铝板应符合JC/T 2187—2013《铝波纹芯复合铝板》规定的建筑幕墙用铝材要求。</w:t>
      </w:r>
    </w:p>
    <w:p w14:paraId="5B6B8F76">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3）展柜结构、箱体、展台、饰面等不同位置所采用钢板，应根据不同功能要求采用不同厚度的冷轧钢板。结构和受力金属件壁厚不低于3mm，饰面金属板材厚度不低于1.5mm，不锈钢构件板材厚度不低于1.5mm，封护镀锌钢板厚度不低于1mm。</w:t>
      </w:r>
    </w:p>
    <w:p w14:paraId="486B8479">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rPr>
        <w:t>4）</w:t>
      </w:r>
      <w:r>
        <w:rPr>
          <w:rFonts w:ascii="宋体" w:hAnsi="宋体" w:eastAsia="宋体" w:cs="宋体"/>
          <w:color w:val="auto"/>
          <w:sz w:val="24"/>
          <w:szCs w:val="24"/>
          <w:lang w:val="zh-TW" w:eastAsia="zh-TW"/>
        </w:rPr>
        <w:t>结构金属件的连接应以连续焊接方式加工，不得仅以点焊方式进行。展柜内可视部分的金属拼接应无缝隙现象。</w:t>
      </w:r>
    </w:p>
    <w:p w14:paraId="5FC5F14B">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rPr>
        <w:t>5）</w:t>
      </w:r>
      <w:r>
        <w:rPr>
          <w:rFonts w:ascii="宋体" w:hAnsi="宋体" w:eastAsia="宋体" w:cs="宋体"/>
          <w:color w:val="auto"/>
          <w:sz w:val="24"/>
          <w:szCs w:val="24"/>
          <w:lang w:val="zh-TW" w:eastAsia="zh-TW"/>
        </w:rPr>
        <w:t>展柜内展台底板和背板应采用环保板材等，表面可采用涂层、包布、贴饰等工艺深化设计装饰。其中，与展陈部分直接接触的展台平面木制板材必须选择达到 E</w:t>
      </w:r>
      <w:r>
        <w:rPr>
          <w:rFonts w:ascii="宋体" w:hAnsi="宋体" w:eastAsia="宋体" w:cs="宋体"/>
          <w:color w:val="auto"/>
          <w:sz w:val="24"/>
          <w:szCs w:val="24"/>
        </w:rPr>
        <w:t>0</w:t>
      </w:r>
      <w:r>
        <w:rPr>
          <w:rFonts w:ascii="宋体" w:hAnsi="宋体" w:eastAsia="宋体" w:cs="宋体"/>
          <w:color w:val="auto"/>
          <w:sz w:val="24"/>
          <w:szCs w:val="24"/>
          <w:lang w:val="zh-TW" w:eastAsia="zh-TW"/>
        </w:rPr>
        <w:t xml:space="preserve"> 级以上，并在表面进行密封处理，达到防火、防霉菌、防变形，并且控制甲醛释放量。甲醛释放量符合 GB 18580-2017《室内装饰装修材料 人造板及其制品中甲醛释放限量》 的标准，实测值小于0.05mg/m³。包织物宜使用符合国家标准二等品及以上的棉织物或麻织物，各类纺织品释放的甲醛含量按GB/T 2912.2-2009《纺织品 甲醛的测定 第2部分：释放的甲醛（蒸汽吸收法）》检测应不高于20mg/kg。</w:t>
      </w:r>
    </w:p>
    <w:p w14:paraId="47C6B432">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展柜用金属材料应耐腐蚀或作防腐蚀处理；表面经粉末喷涂或氟碳喷漆装饰涂层处理，涂层质量应满足如下基本要求：</w:t>
      </w:r>
    </w:p>
    <w:p w14:paraId="2CFBB5DC">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1）钢板表面涂层理化性能应不低于GB/T 3325—2</w:t>
      </w:r>
      <w:r>
        <w:rPr>
          <w:rFonts w:ascii="宋体" w:hAnsi="宋体" w:eastAsia="宋体" w:cs="宋体"/>
          <w:color w:val="auto"/>
          <w:sz w:val="24"/>
          <w:szCs w:val="24"/>
        </w:rPr>
        <w:t>024</w:t>
      </w:r>
      <w:r>
        <w:rPr>
          <w:rFonts w:ascii="宋体" w:hAnsi="宋体" w:eastAsia="宋体" w:cs="宋体"/>
          <w:color w:val="auto"/>
          <w:sz w:val="24"/>
          <w:szCs w:val="24"/>
          <w:lang w:val="zh-TW" w:eastAsia="zh-TW"/>
        </w:rPr>
        <w:t>《金属家具通用技术要求》表5的规定和膜层硬度不低于4H、按GB/T 9754—20</w:t>
      </w:r>
      <w:r>
        <w:rPr>
          <w:rFonts w:ascii="宋体" w:hAnsi="宋体" w:eastAsia="宋体" w:cs="宋体"/>
          <w:color w:val="auto"/>
          <w:sz w:val="24"/>
          <w:szCs w:val="24"/>
        </w:rPr>
        <w:t>25</w:t>
      </w:r>
      <w:r>
        <w:rPr>
          <w:rFonts w:ascii="宋体" w:hAnsi="宋体" w:eastAsia="宋体" w:cs="宋体"/>
          <w:color w:val="auto"/>
          <w:sz w:val="24"/>
          <w:szCs w:val="24"/>
          <w:lang w:val="zh-TW" w:eastAsia="zh-TW"/>
        </w:rPr>
        <w:t>《色漆和清漆 不含金属颜料的色漆漆膜的20°、60°和85°镜面光泽的测定》的规定采用60</w:t>
      </w:r>
      <w:r>
        <w:rPr>
          <w:rFonts w:ascii="宋体" w:hAnsi="宋体" w:eastAsia="宋体" w:cs="宋体"/>
          <w:color w:val="auto"/>
          <w:sz w:val="24"/>
          <w:szCs w:val="24"/>
          <w:vertAlign w:val="superscript"/>
          <w:lang w:val="zh-TW" w:eastAsia="zh-TW"/>
        </w:rPr>
        <w:t>o</w:t>
      </w:r>
      <w:r>
        <w:rPr>
          <w:rFonts w:ascii="宋体" w:hAnsi="宋体" w:eastAsia="宋体" w:cs="宋体"/>
          <w:color w:val="auto"/>
          <w:sz w:val="24"/>
          <w:szCs w:val="24"/>
          <w:lang w:val="zh-TW" w:eastAsia="zh-TW"/>
        </w:rPr>
        <w:t>入射角测定的膜层光泽不大于30的要求。</w:t>
      </w:r>
    </w:p>
    <w:p w14:paraId="4F7C8EA4">
      <w:pPr>
        <w:spacing w:line="360" w:lineRule="auto"/>
        <w:ind w:firstLine="480"/>
        <w:rPr>
          <w:rFonts w:hint="default" w:ascii="宋体" w:hAnsi="宋体" w:eastAsia="宋体" w:cs="宋体"/>
          <w:color w:val="auto"/>
          <w:sz w:val="24"/>
          <w:szCs w:val="24"/>
        </w:rPr>
      </w:pPr>
      <w:r>
        <w:rPr>
          <w:rFonts w:ascii="宋体" w:hAnsi="宋体" w:eastAsia="宋体" w:cs="宋体"/>
          <w:color w:val="auto"/>
          <w:sz w:val="24"/>
          <w:szCs w:val="24"/>
          <w:lang w:val="zh-TW" w:eastAsia="zh-TW"/>
        </w:rPr>
        <w:t>2）铝合金材料表面涂层应符合GB/T 5237.4—2017《铝合金建筑型材 第4部分：喷粉型材》的基本规定和膜层性能级别Ⅰ级、光泽不大于30的要求，或GB/T 5237.5—2017《铝合金建筑型材 第4部分：喷漆型材》的基本规定和四涂层膜层厚度、膜层硬度不低于4H、光泽不大于30的要求。</w:t>
      </w:r>
      <w:r>
        <w:rPr>
          <w:rFonts w:ascii="宋体" w:hAnsi="宋体" w:eastAsia="宋体" w:cs="宋体"/>
          <w:color w:val="auto"/>
          <w:sz w:val="24"/>
          <w:szCs w:val="24"/>
        </w:rPr>
        <w:t xml:space="preserve"> </w:t>
      </w:r>
    </w:p>
    <w:p w14:paraId="7878FB9F">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rPr>
        <w:t>展柜</w:t>
      </w:r>
      <w:r>
        <w:rPr>
          <w:rFonts w:ascii="宋体" w:hAnsi="宋体" w:eastAsia="宋体" w:cs="宋体"/>
          <w:color w:val="auto"/>
          <w:sz w:val="24"/>
          <w:szCs w:val="24"/>
          <w:lang w:val="zh-TW" w:eastAsia="zh-TW"/>
        </w:rPr>
        <w:t>电源线路设计安全、布线隐蔽。灯箱不得有漏光现象。</w:t>
      </w:r>
    </w:p>
    <w:p w14:paraId="5459FEFE">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展柜的尺寸公差、形状和位置公差应符合GB/T 36111—2018《文物展柜基本技术要求及检测》的规定。</w:t>
      </w:r>
    </w:p>
    <w:p w14:paraId="1B983669">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除非另有特殊要求，原则上常设展览的展柜应设计为固定式展柜。</w:t>
      </w:r>
    </w:p>
    <w:p w14:paraId="396C0F58">
      <w:pPr>
        <w:spacing w:line="360" w:lineRule="auto"/>
        <w:ind w:firstLine="480"/>
        <w:rPr>
          <w:rFonts w:hint="default" w:ascii="宋体" w:hAnsi="宋体" w:eastAsia="宋体" w:cs="宋体"/>
          <w:b/>
          <w:bCs/>
          <w:color w:val="auto"/>
          <w:sz w:val="24"/>
          <w:szCs w:val="24"/>
          <w:lang w:val="zh-TW" w:eastAsia="zh-TW"/>
        </w:rPr>
      </w:pPr>
      <w:r>
        <w:rPr>
          <w:rFonts w:ascii="宋体" w:hAnsi="宋体" w:eastAsia="宋体" w:cs="宋体"/>
          <w:b/>
          <w:bCs/>
          <w:color w:val="auto"/>
          <w:sz w:val="24"/>
          <w:szCs w:val="24"/>
          <w:lang w:val="zh-TW" w:eastAsia="zh-TW"/>
        </w:rPr>
        <w:t>（</w:t>
      </w:r>
      <w:r>
        <w:rPr>
          <w:rFonts w:ascii="宋体" w:hAnsi="宋体" w:eastAsia="宋体" w:cs="宋体"/>
          <w:b/>
          <w:bCs/>
          <w:color w:val="auto"/>
          <w:sz w:val="24"/>
          <w:szCs w:val="24"/>
          <w:lang w:eastAsia="zh-TW"/>
        </w:rPr>
        <w:t>2</w:t>
      </w:r>
      <w:r>
        <w:rPr>
          <w:rFonts w:ascii="宋体" w:hAnsi="宋体" w:eastAsia="宋体" w:cs="宋体"/>
          <w:b/>
          <w:bCs/>
          <w:color w:val="auto"/>
          <w:sz w:val="24"/>
          <w:szCs w:val="24"/>
          <w:lang w:val="zh-TW" w:eastAsia="zh-TW"/>
        </w:rPr>
        <w:t>）展柜玻璃和密封材料要求</w:t>
      </w:r>
    </w:p>
    <w:p w14:paraId="01957B77">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rPr>
        <w:t>展柜玻璃</w:t>
      </w:r>
      <w:r>
        <w:rPr>
          <w:rFonts w:ascii="宋体" w:hAnsi="宋体" w:eastAsia="宋体" w:cs="宋体"/>
          <w:color w:val="auto"/>
          <w:sz w:val="24"/>
          <w:szCs w:val="24"/>
          <w:lang w:val="zh-TW" w:eastAsia="zh-TW"/>
        </w:rPr>
        <w:t>性能应满足如下要求：</w:t>
      </w:r>
    </w:p>
    <w:p w14:paraId="5EAE2533">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1）优质低反射玻璃应为非钢化镀膜浮法平板玻璃，采用符合GB/T 2680-2021和GB15763.3-2009规定的高性能低反射安全夹胶玻璃，可见光透光率不低于97%、可见光反射率不大于1%、并且复合后可阻隔97%以上的紫外光。</w:t>
      </w:r>
    </w:p>
    <w:p w14:paraId="59D5EC5F">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2）夹层玻璃不得有划痕、气泡、内含物、裂纹、细小纹路和其它缺陷，质量应符合GB 15763.3—2009《建筑用安全玻璃-第3部分：夹层玻璃》的要求；夹层玻璃中间层材料宜采用以乙烯-甲基丙烯酸共聚物为主的离子型中间层（SGP）或以聚乙烯醇缩丁醛为主的PVB中间层。</w:t>
      </w:r>
    </w:p>
    <w:p w14:paraId="7ED9CB74">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3）依据GB15763.3-2009，安全性能具有通透性好、高冲击力、防紫外线、防爆、安全防盗的功能。低反射玻璃符合耐热、耐湿、耐辐照、落球冲击剥离性能。</w:t>
      </w:r>
    </w:p>
    <w:p w14:paraId="045F2445">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4）低反射玻璃耐洗刷性要求：膜层无明显脱落、剥离、起皱现象。耐酸碱性能应符合GB/T18915.1-2013标准；耐洗刷性能应符合JC/T2170-2013中5.8的要求；耐磨性应符合GB/T18915.1-2013《镀膜玻璃 第1部分：阳光控制镀膜玻璃》中第6.6条要求；试验前后玻璃膜层变化均匀，不得出现局部膜层脱落现象。</w:t>
      </w:r>
    </w:p>
    <w:p w14:paraId="50FF19BF">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展柜玻璃、低反射玻璃应尽可能设计为整片玻璃面，必须拼接的玻璃也应选择尽可能大幅面玻璃。如有使用拼接方案，需提前告知采购人。固定拼接缝或活动拼接玻璃缝隙均应有密封措施，拼接缝处理应视觉感知较弱。</w:t>
      </w:r>
    </w:p>
    <w:p w14:paraId="658B9471">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展柜所选用玻璃根据柜型、规格尺寸进行定制设计，桌柜、边柜（壁龛柜）、小型中心柜玻璃厚度应不低于6mm+0.76+6mm夹层玻璃；通柜、玻璃高度超过2.4米的中心柜玻璃厚度应不低于6mm+0.89+6mm</w:t>
      </w:r>
      <w:r>
        <w:rPr>
          <w:rFonts w:ascii="宋体" w:hAnsi="宋体" w:eastAsia="宋体" w:cs="宋体"/>
          <w:color w:val="auto"/>
          <w:sz w:val="24"/>
          <w:szCs w:val="24"/>
        </w:rPr>
        <w:t>或8mm+0.76+8mm</w:t>
      </w:r>
      <w:r>
        <w:rPr>
          <w:rFonts w:ascii="宋体" w:hAnsi="宋体" w:eastAsia="宋体" w:cs="宋体"/>
          <w:color w:val="auto"/>
          <w:sz w:val="24"/>
          <w:szCs w:val="24"/>
          <w:lang w:val="zh-TW" w:eastAsia="zh-TW"/>
        </w:rPr>
        <w:t>夹层玻璃；展柜高度超过2.5米的特大型通柜、特殊规格展柜等应设计核算相应提高展柜玻璃厚度。</w:t>
      </w:r>
    </w:p>
    <w:p w14:paraId="36CAAE02">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最终深化设计方案中玻璃选用规格型号及拼接尺寸由采购人确认后，方可实施。</w:t>
      </w:r>
    </w:p>
    <w:p w14:paraId="18825F57">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投标文件中须提供玻璃供应商或由第三方检测机构出具的能体现材料规格和参数的证明文件。</w:t>
      </w:r>
    </w:p>
    <w:p w14:paraId="5C905390">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rPr>
        <w:t>5）</w:t>
      </w:r>
      <w:r>
        <w:rPr>
          <w:rFonts w:ascii="宋体" w:hAnsi="宋体" w:eastAsia="宋体" w:cs="宋体"/>
          <w:color w:val="auto"/>
          <w:sz w:val="24"/>
          <w:szCs w:val="24"/>
          <w:lang w:val="zh-TW" w:eastAsia="zh-TW"/>
        </w:rPr>
        <w:t>展柜玻璃外露的边缘需精抛光，外露的角应加工为安全倒角。转角结合玻璃应45°对接，用中性结构胶粘接，接合处无气泡、无胶痕。</w:t>
      </w:r>
    </w:p>
    <w:p w14:paraId="27E295AE">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展柜应使用中性有机硅类即硅橡胶类结构密封胶和密封条：</w:t>
      </w:r>
    </w:p>
    <w:p w14:paraId="3A94E9EF">
      <w:pPr>
        <w:spacing w:line="360" w:lineRule="auto"/>
        <w:ind w:firstLine="480"/>
        <w:rPr>
          <w:rFonts w:hint="default" w:ascii="宋体" w:hAnsi="宋体" w:eastAsia="宋体" w:cs="宋体"/>
          <w:color w:val="auto"/>
          <w:sz w:val="24"/>
          <w:szCs w:val="24"/>
          <w:lang w:val="zh-TW" w:eastAsia="zh-TW"/>
        </w:rPr>
      </w:pPr>
      <w:r>
        <w:rPr>
          <w:rFonts w:hint="default" w:ascii="宋体" w:hAnsi="宋体" w:eastAsia="宋体" w:cs="宋体"/>
          <w:color w:val="auto"/>
          <w:sz w:val="24"/>
          <w:szCs w:val="24"/>
          <w:lang w:val="zh-TW" w:eastAsia="zh-TW"/>
        </w:rPr>
        <w:t>①</w:t>
      </w:r>
      <w:r>
        <w:rPr>
          <w:rFonts w:ascii="宋体" w:hAnsi="宋体" w:eastAsia="宋体" w:cs="宋体"/>
          <w:color w:val="auto"/>
          <w:sz w:val="24"/>
          <w:szCs w:val="24"/>
          <w:lang w:val="zh-TW" w:eastAsia="zh-TW"/>
        </w:rPr>
        <w:t>展柜密封胶条：展柜其他部件相连接处应选用专用密封型材和硅胶密封条。密封条的设计硬度（邵氏A）宜为60±5。具有抗震、抗断裂、抗撕裂、抗老化、抗压缩、寿命持久、不变形的特点，不含任何酸性物质。展柜密封胶应采用双组份环保型密封胶，性能稳定，无溶剂、无异味。</w:t>
      </w:r>
    </w:p>
    <w:p w14:paraId="7DDF58BA">
      <w:pPr>
        <w:spacing w:line="360" w:lineRule="auto"/>
        <w:ind w:firstLine="480"/>
        <w:rPr>
          <w:rFonts w:hint="default" w:ascii="宋体" w:hAnsi="宋体" w:eastAsia="宋体" w:cs="宋体"/>
          <w:color w:val="auto"/>
          <w:sz w:val="24"/>
          <w:szCs w:val="24"/>
          <w:lang w:val="zh-TW" w:eastAsia="zh-TW"/>
        </w:rPr>
      </w:pPr>
      <w:r>
        <w:rPr>
          <w:rFonts w:hint="default" w:ascii="宋体" w:hAnsi="宋体" w:eastAsia="宋体" w:cs="宋体"/>
          <w:color w:val="auto"/>
          <w:sz w:val="24"/>
          <w:szCs w:val="24"/>
          <w:lang w:val="zh-TW" w:eastAsia="zh-TW"/>
        </w:rPr>
        <w:t>②</w:t>
      </w:r>
      <w:r>
        <w:rPr>
          <w:rFonts w:ascii="宋体" w:hAnsi="宋体" w:eastAsia="宋体" w:cs="宋体"/>
          <w:color w:val="auto"/>
          <w:sz w:val="24"/>
          <w:szCs w:val="24"/>
          <w:lang w:val="zh-TW" w:eastAsia="zh-TW"/>
        </w:rPr>
        <w:t>展柜密封胶：密封胶采用双组份环保型粘接剂，性能稳定、无溶剂、无异味，不散发任何酸性或有害气体，具有耐臭氧、耐紫外线、耐高、低温性能，以及良好的特强粘接力和弹性，环保标准须满足GB 30982-2014 《建筑胶粘剂有害物质限量》的相关规定。结构密封胶应符合GB 16776—2025《建筑用硅酮结构密封胶》的规定。</w:t>
      </w:r>
    </w:p>
    <w:p w14:paraId="7C5BCEC7">
      <w:pPr>
        <w:spacing w:line="360" w:lineRule="auto"/>
        <w:ind w:firstLine="480"/>
        <w:rPr>
          <w:rFonts w:hint="default" w:ascii="宋体" w:hAnsi="宋体" w:eastAsia="宋体" w:cs="宋体"/>
          <w:b/>
          <w:bCs/>
          <w:color w:val="auto"/>
          <w:sz w:val="24"/>
          <w:szCs w:val="24"/>
          <w:lang w:val="zh-TW" w:eastAsia="zh-TW"/>
        </w:rPr>
      </w:pPr>
      <w:r>
        <w:rPr>
          <w:rFonts w:ascii="宋体" w:hAnsi="宋体" w:eastAsia="宋体" w:cs="宋体"/>
          <w:b/>
          <w:bCs/>
          <w:color w:val="auto"/>
          <w:sz w:val="24"/>
          <w:szCs w:val="24"/>
          <w:lang w:val="zh-TW"/>
        </w:rPr>
        <w:t>（</w:t>
      </w:r>
      <w:r>
        <w:rPr>
          <w:rFonts w:ascii="宋体" w:hAnsi="宋体" w:eastAsia="宋体" w:cs="宋体"/>
          <w:b/>
          <w:bCs/>
          <w:color w:val="auto"/>
          <w:sz w:val="24"/>
          <w:szCs w:val="24"/>
        </w:rPr>
        <w:t>3</w:t>
      </w:r>
      <w:r>
        <w:rPr>
          <w:rFonts w:ascii="宋体" w:hAnsi="宋体" w:eastAsia="宋体" w:cs="宋体"/>
          <w:b/>
          <w:bCs/>
          <w:color w:val="auto"/>
          <w:sz w:val="24"/>
          <w:szCs w:val="24"/>
          <w:lang w:val="zh-TW"/>
        </w:rPr>
        <w:t>）</w:t>
      </w:r>
      <w:r>
        <w:rPr>
          <w:rFonts w:ascii="宋体" w:hAnsi="宋体" w:eastAsia="宋体" w:cs="宋体"/>
          <w:b/>
          <w:bCs/>
          <w:color w:val="auto"/>
          <w:sz w:val="24"/>
          <w:szCs w:val="24"/>
          <w:lang w:val="zh-TW" w:eastAsia="zh-TW"/>
        </w:rPr>
        <w:t>展柜开启和锁固方式</w:t>
      </w:r>
    </w:p>
    <w:p w14:paraId="6918A832">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展柜的开关设计应优先考虑展品的安全、方便取放。除非采购人特别指定，中标人应按照展陈设计需求，以及展柜的类型、尺寸、位置、展品尺寸、操作人员习惯等因素设计展柜开启方式。无论是何种开启方式，应遵循安全、可一人能独立操作的原则。</w:t>
      </w:r>
    </w:p>
    <w:p w14:paraId="71F96266">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展柜的不同开启方式、开启方向和开启度应满足文物取放平稳安全和人员操作方便的基本需求，并满足表</w:t>
      </w:r>
      <w:r>
        <w:rPr>
          <w:rFonts w:ascii="宋体" w:hAnsi="宋体" w:eastAsia="宋体" w:cs="宋体"/>
          <w:color w:val="auto"/>
          <w:sz w:val="24"/>
          <w:szCs w:val="24"/>
        </w:rPr>
        <w:t>1</w:t>
      </w:r>
      <w:r>
        <w:rPr>
          <w:rFonts w:ascii="宋体" w:hAnsi="宋体" w:eastAsia="宋体" w:cs="宋体"/>
          <w:color w:val="auto"/>
          <w:sz w:val="24"/>
          <w:szCs w:val="24"/>
          <w:lang w:val="zh-TW" w:eastAsia="zh-TW"/>
        </w:rPr>
        <w:t>要求：</w:t>
      </w:r>
    </w:p>
    <w:p w14:paraId="0740D3E7">
      <w:pPr>
        <w:spacing w:line="360" w:lineRule="auto"/>
        <w:jc w:val="center"/>
        <w:rPr>
          <w:rFonts w:hint="default" w:ascii="宋体" w:hAnsi="宋体" w:eastAsia="宋体" w:cs="宋体"/>
          <w:b/>
          <w:bCs/>
          <w:color w:val="auto"/>
          <w:sz w:val="24"/>
          <w:szCs w:val="24"/>
          <w:lang w:val="zh-TW" w:eastAsia="zh-TW"/>
        </w:rPr>
      </w:pPr>
    </w:p>
    <w:p w14:paraId="5D0DE74F">
      <w:pPr>
        <w:spacing w:line="360" w:lineRule="auto"/>
        <w:jc w:val="center"/>
        <w:rPr>
          <w:rFonts w:hint="default" w:ascii="宋体" w:hAnsi="宋体" w:eastAsia="宋体" w:cs="宋体"/>
          <w:b/>
          <w:bCs/>
          <w:color w:val="auto"/>
          <w:sz w:val="24"/>
          <w:szCs w:val="24"/>
          <w:lang w:val="zh-TW" w:eastAsia="zh-TW"/>
        </w:rPr>
      </w:pPr>
      <w:r>
        <w:rPr>
          <w:rFonts w:ascii="宋体" w:hAnsi="宋体" w:eastAsia="宋体" w:cs="宋体"/>
          <w:b/>
          <w:bCs/>
          <w:color w:val="auto"/>
          <w:sz w:val="24"/>
          <w:szCs w:val="24"/>
          <w:lang w:val="zh-TW" w:eastAsia="zh-TW"/>
        </w:rPr>
        <w:t>表</w:t>
      </w:r>
      <w:r>
        <w:rPr>
          <w:rFonts w:ascii="宋体" w:hAnsi="宋体" w:eastAsia="宋体" w:cs="宋体"/>
          <w:b/>
          <w:bCs/>
          <w:color w:val="auto"/>
          <w:sz w:val="24"/>
          <w:szCs w:val="24"/>
        </w:rPr>
        <w:t xml:space="preserve">1 </w:t>
      </w:r>
      <w:r>
        <w:rPr>
          <w:rFonts w:ascii="宋体" w:hAnsi="宋体" w:eastAsia="宋体" w:cs="宋体"/>
          <w:b/>
          <w:bCs/>
          <w:color w:val="auto"/>
          <w:sz w:val="24"/>
          <w:szCs w:val="24"/>
          <w:lang w:val="zh-TW" w:eastAsia="zh-TW"/>
        </w:rPr>
        <w:t>展柜开启系统要求</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5"/>
        <w:gridCol w:w="1275"/>
        <w:gridCol w:w="1153"/>
        <w:gridCol w:w="1257"/>
        <w:gridCol w:w="1468"/>
        <w:gridCol w:w="1885"/>
      </w:tblGrid>
      <w:tr w14:paraId="18C98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1545" w:type="dxa"/>
            <w:vAlign w:val="center"/>
          </w:tcPr>
          <w:p w14:paraId="796FA9D9">
            <w:pPr>
              <w:spacing w:line="360" w:lineRule="auto"/>
              <w:jc w:val="center"/>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项目</w:t>
            </w:r>
          </w:p>
        </w:tc>
        <w:tc>
          <w:tcPr>
            <w:tcW w:w="7038" w:type="dxa"/>
            <w:gridSpan w:val="5"/>
            <w:vAlign w:val="center"/>
          </w:tcPr>
          <w:p w14:paraId="4BD3D61A">
            <w:pPr>
              <w:spacing w:line="360" w:lineRule="auto"/>
              <w:jc w:val="center"/>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要求</w:t>
            </w:r>
          </w:p>
        </w:tc>
      </w:tr>
      <w:tr w14:paraId="57E7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45" w:type="dxa"/>
            <w:vAlign w:val="center"/>
          </w:tcPr>
          <w:p w14:paraId="078FCBE6">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门的开启方向性</w:t>
            </w:r>
          </w:p>
        </w:tc>
        <w:tc>
          <w:tcPr>
            <w:tcW w:w="7038" w:type="dxa"/>
            <w:gridSpan w:val="5"/>
            <w:vAlign w:val="center"/>
          </w:tcPr>
          <w:p w14:paraId="328DE9BB">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1）移动开启的展柜柜门的开启方向宜为双向移动开启，可根据需要进行开启方向调节，且各方向开启度均应不低于50%。移动开启门也可为单向开启，单向开启度应满足如下“移动开启或推拉”的规定。</w:t>
            </w:r>
          </w:p>
          <w:p w14:paraId="094C8719">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2）旋转开启门的开启方向，应根据场地情况或用户要求确定。</w:t>
            </w:r>
          </w:p>
        </w:tc>
      </w:tr>
      <w:tr w14:paraId="5A727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545" w:type="dxa"/>
            <w:vAlign w:val="center"/>
          </w:tcPr>
          <w:p w14:paraId="692FCCF1">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门的操作平滑性</w:t>
            </w:r>
          </w:p>
        </w:tc>
        <w:tc>
          <w:tcPr>
            <w:tcW w:w="7038" w:type="dxa"/>
            <w:gridSpan w:val="5"/>
            <w:vAlign w:val="center"/>
          </w:tcPr>
          <w:p w14:paraId="69D639C0">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门在运动过程中无蛇行、晃动、震动和冲击现象。</w:t>
            </w:r>
          </w:p>
        </w:tc>
      </w:tr>
      <w:tr w14:paraId="319BC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1545" w:type="dxa"/>
            <w:vMerge w:val="restart"/>
            <w:vAlign w:val="center"/>
          </w:tcPr>
          <w:p w14:paraId="73AA6268">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门的开启度</w:t>
            </w:r>
          </w:p>
        </w:tc>
        <w:tc>
          <w:tcPr>
            <w:tcW w:w="1275" w:type="dxa"/>
            <w:vAlign w:val="center"/>
          </w:tcPr>
          <w:p w14:paraId="6A8E245E">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向上单边翻转开启</w:t>
            </w:r>
          </w:p>
        </w:tc>
        <w:tc>
          <w:tcPr>
            <w:tcW w:w="1153" w:type="dxa"/>
            <w:vAlign w:val="center"/>
          </w:tcPr>
          <w:p w14:paraId="6A161C43">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升降开启</w:t>
            </w:r>
          </w:p>
        </w:tc>
        <w:tc>
          <w:tcPr>
            <w:tcW w:w="1257" w:type="dxa"/>
            <w:vAlign w:val="center"/>
          </w:tcPr>
          <w:p w14:paraId="6D4728AE">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左右移动开启</w:t>
            </w:r>
          </w:p>
        </w:tc>
        <w:tc>
          <w:tcPr>
            <w:tcW w:w="1468" w:type="dxa"/>
            <w:vAlign w:val="center"/>
          </w:tcPr>
          <w:p w14:paraId="5DF07C17">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向左或向右旋转开启</w:t>
            </w:r>
          </w:p>
        </w:tc>
        <w:tc>
          <w:tcPr>
            <w:tcW w:w="1885" w:type="dxa"/>
            <w:vAlign w:val="center"/>
          </w:tcPr>
          <w:p w14:paraId="6DD5794F">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特殊开启方式</w:t>
            </w:r>
          </w:p>
        </w:tc>
      </w:tr>
      <w:tr w14:paraId="4B682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1545" w:type="dxa"/>
            <w:vMerge w:val="continue"/>
            <w:vAlign w:val="center"/>
          </w:tcPr>
          <w:p w14:paraId="415489CE">
            <w:pPr>
              <w:spacing w:line="360" w:lineRule="auto"/>
              <w:rPr>
                <w:rFonts w:hint="default" w:ascii="宋体" w:hAnsi="宋体" w:eastAsia="宋体" w:cs="宋体"/>
                <w:color w:val="auto"/>
                <w:sz w:val="24"/>
                <w:szCs w:val="24"/>
                <w:lang w:val="zh-TW" w:eastAsia="zh-TW"/>
              </w:rPr>
            </w:pPr>
          </w:p>
        </w:tc>
        <w:tc>
          <w:tcPr>
            <w:tcW w:w="1275" w:type="dxa"/>
            <w:vAlign w:val="center"/>
          </w:tcPr>
          <w:p w14:paraId="63377E33">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大于展示玻璃的高度</w:t>
            </w:r>
          </w:p>
        </w:tc>
        <w:tc>
          <w:tcPr>
            <w:tcW w:w="1153" w:type="dxa"/>
            <w:vAlign w:val="center"/>
          </w:tcPr>
          <w:p w14:paraId="62F1469D">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大于文物高度</w:t>
            </w:r>
          </w:p>
        </w:tc>
        <w:tc>
          <w:tcPr>
            <w:tcW w:w="1257" w:type="dxa"/>
            <w:vAlign w:val="center"/>
          </w:tcPr>
          <w:p w14:paraId="5D2ED7F0">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≥70%</w:t>
            </w:r>
          </w:p>
        </w:tc>
        <w:tc>
          <w:tcPr>
            <w:tcW w:w="1468" w:type="dxa"/>
            <w:vAlign w:val="center"/>
          </w:tcPr>
          <w:p w14:paraId="691F0965">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≥100%（90°）</w:t>
            </w:r>
          </w:p>
        </w:tc>
        <w:tc>
          <w:tcPr>
            <w:tcW w:w="1885" w:type="dxa"/>
            <w:vAlign w:val="center"/>
          </w:tcPr>
          <w:p w14:paraId="66B86784">
            <w:pPr>
              <w:spacing w:line="360" w:lineRule="auto"/>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能保障文物平稳安全方便取放</w:t>
            </w:r>
          </w:p>
        </w:tc>
      </w:tr>
    </w:tbl>
    <w:p w14:paraId="76CD1F38">
      <w:pPr>
        <w:spacing w:line="360" w:lineRule="auto"/>
        <w:ind w:firstLine="480"/>
        <w:rPr>
          <w:rFonts w:hint="default" w:ascii="宋体" w:hAnsi="宋体" w:eastAsia="宋体" w:cs="宋体"/>
          <w:color w:val="auto"/>
          <w:sz w:val="24"/>
          <w:szCs w:val="24"/>
          <w:lang w:val="zh-TW"/>
        </w:rPr>
      </w:pPr>
    </w:p>
    <w:p w14:paraId="36339A0F">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柜门开启和关闭应顺畅，灵活、安全、轻便，柜门开关不应有较大震动和异常响声、不得有蛇形现象。</w:t>
      </w:r>
    </w:p>
    <w:p w14:paraId="74AA0EE2">
      <w:pPr>
        <w:spacing w:line="360" w:lineRule="auto"/>
        <w:ind w:firstLine="480"/>
        <w:rPr>
          <w:rFonts w:hint="default" w:ascii="宋体" w:hAnsi="宋体" w:eastAsia="宋体" w:cs="宋体"/>
          <w:b/>
          <w:bCs/>
          <w:color w:val="auto"/>
          <w:sz w:val="24"/>
          <w:szCs w:val="24"/>
          <w:lang w:val="zh-TW" w:eastAsia="zh-TW"/>
        </w:rPr>
      </w:pPr>
      <w:r>
        <w:rPr>
          <w:rFonts w:ascii="宋体" w:hAnsi="宋体" w:eastAsia="宋体" w:cs="宋体"/>
          <w:b/>
          <w:bCs/>
          <w:color w:val="auto"/>
          <w:sz w:val="24"/>
          <w:szCs w:val="24"/>
          <w:lang w:val="zh-TW"/>
        </w:rPr>
        <w:t>（</w:t>
      </w:r>
      <w:r>
        <w:rPr>
          <w:rFonts w:ascii="宋体" w:hAnsi="宋体" w:eastAsia="宋体" w:cs="宋体"/>
          <w:b/>
          <w:bCs/>
          <w:color w:val="auto"/>
          <w:sz w:val="24"/>
          <w:szCs w:val="24"/>
        </w:rPr>
        <w:t>4</w:t>
      </w:r>
      <w:r>
        <w:rPr>
          <w:rFonts w:ascii="宋体" w:hAnsi="宋体" w:eastAsia="宋体" w:cs="宋体"/>
          <w:b/>
          <w:bCs/>
          <w:color w:val="auto"/>
          <w:sz w:val="24"/>
          <w:szCs w:val="24"/>
          <w:lang w:val="zh-TW"/>
        </w:rPr>
        <w:t>）</w:t>
      </w:r>
      <w:r>
        <w:rPr>
          <w:rFonts w:ascii="宋体" w:hAnsi="宋体" w:eastAsia="宋体" w:cs="宋体"/>
          <w:b/>
          <w:bCs/>
          <w:color w:val="auto"/>
          <w:sz w:val="24"/>
          <w:szCs w:val="24"/>
          <w:lang w:val="zh-TW" w:eastAsia="zh-TW"/>
        </w:rPr>
        <w:t>柜内环境质量和控制要求</w:t>
      </w:r>
    </w:p>
    <w:p w14:paraId="3B09E159">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文物展柜的结构、材料和控制，应以保障柜内文物保存环境“稳定、洁净”为首要前提，具有良好的空气湿度缓冲或平稳性、较高的空气洁净度，并在结构上注重防止灯具或其他设备本身热量对柜内温湿度波动的影响。</w:t>
      </w:r>
    </w:p>
    <w:p w14:paraId="0516E6E2">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展柜结构应具有良好的整体密闭性，涉及展陈空间的构件应作密封处理，密封条应闭环连接不漏气。要求展柜密封性能满足如下要求：</w:t>
      </w:r>
    </w:p>
    <w:p w14:paraId="5AA40D85">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1）按照GB/T 36110—2018《文物展柜密封性能及检测》规定的方法检测，中心柜、桌柜、边柜（壁龛柜）等的密封性能应达到高密封展柜要求的展柜换气率＜0.5d-1；通柜及异形柜应达到密封展柜要求的展柜换气率＜0.5d-1。</w:t>
      </w:r>
    </w:p>
    <w:p w14:paraId="62A7819A">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2）采购人有权对实样样柜、安装展柜抽查展柜换气率，并作为验收的指标之一。</w:t>
      </w:r>
    </w:p>
    <w:p w14:paraId="4F23EC6D">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展柜使用材料应尽量采用惰性材料，防止材料散发污染物对文物保存环境的破坏影响。展柜使用材料尤其是柜内使用材料应满足如下要求：</w:t>
      </w:r>
    </w:p>
    <w:p w14:paraId="3031F8A0">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1）依照GB/T 36111-2018《文物展柜基本技术要求与检测》中规定的方法，展柜材料的“材料环境安全性”应达到“适合长期使用”的要求。</w:t>
      </w:r>
      <w:r>
        <w:rPr>
          <w:rFonts w:hint="default" w:ascii="宋体" w:hAnsi="宋体" w:eastAsia="宋体" w:cs="宋体"/>
          <w:color w:val="auto"/>
          <w:sz w:val="24"/>
          <w:szCs w:val="24"/>
          <w:lang w:val="zh-TW" w:eastAsia="zh-TW"/>
        </w:rPr>
        <w:t>投标人有权要求提供由第三方检测机构或平台出具的展柜主要材料包括但不限于密封胶、密封条、布料、喷涂后金属框架和板材等的“材料环境安全性”检测报告等证明文件。</w:t>
      </w:r>
    </w:p>
    <w:p w14:paraId="081BE29A">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rPr>
        <w:t>2</w:t>
      </w:r>
      <w:r>
        <w:rPr>
          <w:rFonts w:ascii="宋体" w:hAnsi="宋体" w:eastAsia="宋体" w:cs="宋体"/>
          <w:color w:val="auto"/>
          <w:sz w:val="24"/>
          <w:szCs w:val="24"/>
          <w:lang w:val="zh-TW" w:eastAsia="zh-TW"/>
        </w:rPr>
        <w:t>）采购人有权对中标人选用的展柜材料进行“材料环境安全性”评测，合格后方可使用。</w:t>
      </w:r>
    </w:p>
    <w:p w14:paraId="30D0E492">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展柜内污染气体的含量应不超过表2的限值规定。采购人有权按照有关馆藏文物保存环境检测技术规范，对实样样柜、安装展柜抽查检测，并作为评测和验收的指标之一。</w:t>
      </w:r>
    </w:p>
    <w:p w14:paraId="58DD7879">
      <w:pPr>
        <w:spacing w:line="360" w:lineRule="auto"/>
        <w:ind w:firstLine="480"/>
        <w:rPr>
          <w:rFonts w:hint="default" w:ascii="宋体" w:hAnsi="宋体" w:eastAsia="PMingLiU" w:cs="宋体"/>
          <w:color w:val="auto"/>
          <w:sz w:val="24"/>
          <w:szCs w:val="24"/>
          <w:lang w:val="zh-TW" w:eastAsia="zh-TW"/>
        </w:rPr>
      </w:pPr>
    </w:p>
    <w:p w14:paraId="4363A614">
      <w:pPr>
        <w:spacing w:line="360" w:lineRule="auto"/>
        <w:ind w:firstLine="480"/>
        <w:jc w:val="center"/>
        <w:rPr>
          <w:rFonts w:hint="default" w:ascii="宋体" w:hAnsi="宋体" w:eastAsia="宋体" w:cs="宋体"/>
          <w:color w:val="auto"/>
          <w:sz w:val="24"/>
          <w:szCs w:val="24"/>
          <w:lang w:val="zh-TW" w:eastAsia="zh-TW"/>
        </w:rPr>
      </w:pPr>
      <w:r>
        <w:rPr>
          <w:rFonts w:ascii="宋体" w:hAnsi="宋体" w:eastAsia="宋体" w:cs="宋体"/>
          <w:b/>
          <w:bCs/>
          <w:color w:val="auto"/>
          <w:sz w:val="24"/>
          <w:szCs w:val="24"/>
          <w:lang w:val="zh-TW" w:eastAsia="zh-TW"/>
        </w:rPr>
        <w:t>表</w:t>
      </w:r>
      <w:r>
        <w:rPr>
          <w:rFonts w:ascii="宋体" w:hAnsi="宋体" w:eastAsia="宋体" w:cs="宋体"/>
          <w:b/>
          <w:bCs/>
          <w:color w:val="auto"/>
          <w:sz w:val="24"/>
          <w:szCs w:val="24"/>
        </w:rPr>
        <w:t xml:space="preserve">2 </w:t>
      </w:r>
      <w:r>
        <w:rPr>
          <w:rFonts w:ascii="宋体" w:hAnsi="宋体" w:eastAsia="宋体" w:cs="宋体"/>
          <w:b/>
          <w:bCs/>
          <w:color w:val="auto"/>
          <w:sz w:val="24"/>
          <w:szCs w:val="24"/>
          <w:lang w:val="zh-TW" w:eastAsia="zh-TW"/>
        </w:rPr>
        <w:t>文物展柜内污染气体限值</w:t>
      </w:r>
    </w:p>
    <w:tbl>
      <w:tblPr>
        <w:tblStyle w:val="12"/>
        <w:tblW w:w="49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22"/>
        <w:gridCol w:w="4372"/>
      </w:tblGrid>
      <w:tr w14:paraId="7876F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 w:hRule="atLeast"/>
          <w:jc w:val="center"/>
        </w:trPr>
        <w:tc>
          <w:tcPr>
            <w:tcW w:w="2673" w:type="pct"/>
            <w:vAlign w:val="center"/>
          </w:tcPr>
          <w:p w14:paraId="60E72B39">
            <w:pPr>
              <w:spacing w:line="360" w:lineRule="auto"/>
              <w:jc w:val="center"/>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污染气体</w:t>
            </w:r>
          </w:p>
        </w:tc>
        <w:tc>
          <w:tcPr>
            <w:tcW w:w="2327" w:type="pct"/>
            <w:vAlign w:val="center"/>
          </w:tcPr>
          <w:p w14:paraId="1F72215F">
            <w:pPr>
              <w:spacing w:line="360" w:lineRule="auto"/>
              <w:jc w:val="center"/>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日平均浓度限值</w:t>
            </w:r>
          </w:p>
        </w:tc>
      </w:tr>
      <w:tr w14:paraId="51683C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673" w:type="pct"/>
            <w:vAlign w:val="center"/>
          </w:tcPr>
          <w:p w14:paraId="05E45249">
            <w:pPr>
              <w:spacing w:line="360" w:lineRule="auto"/>
              <w:jc w:val="center"/>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甲醛（HCHO）</w:t>
            </w:r>
          </w:p>
        </w:tc>
        <w:tc>
          <w:tcPr>
            <w:tcW w:w="2327" w:type="pct"/>
            <w:vAlign w:val="center"/>
          </w:tcPr>
          <w:p w14:paraId="23355E1D">
            <w:pPr>
              <w:spacing w:line="360" w:lineRule="auto"/>
              <w:jc w:val="center"/>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80 μg/m3</w:t>
            </w:r>
          </w:p>
        </w:tc>
      </w:tr>
      <w:tr w14:paraId="08625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2673" w:type="pct"/>
            <w:vAlign w:val="center"/>
          </w:tcPr>
          <w:p w14:paraId="26EE7C45">
            <w:pPr>
              <w:spacing w:line="360" w:lineRule="auto"/>
              <w:jc w:val="center"/>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甲酸（HCOOH）</w:t>
            </w:r>
          </w:p>
        </w:tc>
        <w:tc>
          <w:tcPr>
            <w:tcW w:w="2327" w:type="pct"/>
            <w:vAlign w:val="center"/>
          </w:tcPr>
          <w:p w14:paraId="26222E99">
            <w:pPr>
              <w:spacing w:line="360" w:lineRule="auto"/>
              <w:jc w:val="center"/>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50 μg/m3</w:t>
            </w:r>
          </w:p>
        </w:tc>
      </w:tr>
      <w:tr w14:paraId="67C8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673" w:type="pct"/>
            <w:vAlign w:val="center"/>
          </w:tcPr>
          <w:p w14:paraId="403CA5EA">
            <w:pPr>
              <w:spacing w:line="360" w:lineRule="auto"/>
              <w:jc w:val="center"/>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乙酸（CH3COOH）</w:t>
            </w:r>
          </w:p>
        </w:tc>
        <w:tc>
          <w:tcPr>
            <w:tcW w:w="2327" w:type="pct"/>
            <w:vAlign w:val="center"/>
          </w:tcPr>
          <w:p w14:paraId="71B5D566">
            <w:pPr>
              <w:spacing w:line="360" w:lineRule="auto"/>
              <w:jc w:val="center"/>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100 μg/m3</w:t>
            </w:r>
          </w:p>
        </w:tc>
      </w:tr>
      <w:tr w14:paraId="26D8C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2673" w:type="pct"/>
            <w:vAlign w:val="center"/>
          </w:tcPr>
          <w:p w14:paraId="192CCCA9">
            <w:pPr>
              <w:spacing w:line="360" w:lineRule="auto"/>
              <w:jc w:val="center"/>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挥发性有机化合物（VOCs）</w:t>
            </w:r>
          </w:p>
        </w:tc>
        <w:tc>
          <w:tcPr>
            <w:tcW w:w="2327" w:type="pct"/>
            <w:vAlign w:val="center"/>
          </w:tcPr>
          <w:p w14:paraId="66B41D66">
            <w:pPr>
              <w:spacing w:line="360" w:lineRule="auto"/>
              <w:jc w:val="center"/>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300 （体积分数，10-9）</w:t>
            </w:r>
          </w:p>
        </w:tc>
      </w:tr>
    </w:tbl>
    <w:p w14:paraId="644F5EF2">
      <w:pPr>
        <w:spacing w:line="360" w:lineRule="auto"/>
        <w:ind w:firstLine="480"/>
        <w:rPr>
          <w:rFonts w:hint="default" w:ascii="宋体" w:hAnsi="宋体" w:eastAsia="宋体" w:cs="宋体"/>
          <w:color w:val="auto"/>
          <w:sz w:val="24"/>
          <w:szCs w:val="24"/>
          <w:lang w:val="zh-TW" w:eastAsia="zh-TW"/>
        </w:rPr>
      </w:pPr>
    </w:p>
    <w:p w14:paraId="53FA4327">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根据不同质地文物保存要求，展柜内文物保存微环境调控拟采用主动调控、被动调控或不调控方式。在保证展柜密封性要求前提下，柜内湿度控制质量需符合如下要求：</w:t>
      </w:r>
    </w:p>
    <w:p w14:paraId="42EF15D2">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1）采用小型调湿器主动式调控的展柜，要求展柜内相对湿度日波动幅度≤±2%。</w:t>
      </w:r>
    </w:p>
    <w:p w14:paraId="6924ED48">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2）采用文物保护专用调湿剂被动调控的展柜，要求展柜内湿度日波动幅度≤±4%。</w:t>
      </w:r>
    </w:p>
    <w:p w14:paraId="48AFD4BF">
      <w:pPr>
        <w:spacing w:line="360" w:lineRule="auto"/>
        <w:ind w:firstLine="480"/>
        <w:rPr>
          <w:rFonts w:hint="default" w:ascii="宋体" w:hAnsi="宋体" w:eastAsia="宋体" w:cs="宋体"/>
          <w:color w:val="auto"/>
          <w:sz w:val="24"/>
          <w:szCs w:val="24"/>
          <w:lang w:val="zh-TW" w:eastAsia="zh-TW"/>
        </w:rPr>
      </w:pPr>
      <w:r>
        <w:rPr>
          <w:rFonts w:hint="default" w:ascii="宋体" w:hAnsi="宋体" w:eastAsia="宋体" w:cs="宋体"/>
          <w:color w:val="auto"/>
          <w:sz w:val="24"/>
          <w:szCs w:val="24"/>
          <w:lang w:eastAsia="zh-TW"/>
        </w:rPr>
        <w:t>3</w:t>
      </w:r>
      <w:r>
        <w:rPr>
          <w:rFonts w:ascii="宋体" w:hAnsi="宋体" w:eastAsia="宋体" w:cs="宋体"/>
          <w:color w:val="auto"/>
          <w:sz w:val="24"/>
          <w:szCs w:val="24"/>
          <w:lang w:val="zh-TW" w:eastAsia="zh-TW"/>
        </w:rPr>
        <w:t>）采购人有权结合展柜密封性，对展柜内温湿度调控能力进行检验检测。</w:t>
      </w:r>
    </w:p>
    <w:p w14:paraId="1C818B51">
      <w:pPr>
        <w:spacing w:before="72" w:beforeLines="30" w:after="72" w:afterLines="30" w:line="360" w:lineRule="auto"/>
        <w:rPr>
          <w:rFonts w:hint="default" w:ascii="宋体" w:hAnsi="宋体" w:eastAsia="宋体" w:cs="宋体"/>
          <w:b/>
          <w:bCs/>
          <w:color w:val="auto"/>
          <w:sz w:val="24"/>
          <w:szCs w:val="22"/>
        </w:rPr>
      </w:pPr>
      <w:r>
        <w:rPr>
          <w:rFonts w:ascii="宋体" w:hAnsi="宋体" w:eastAsia="宋体" w:cs="宋体"/>
          <w:b/>
          <w:bCs/>
          <w:color w:val="auto"/>
          <w:sz w:val="24"/>
          <w:szCs w:val="22"/>
        </w:rPr>
        <w:t>展柜调湿机要求</w:t>
      </w:r>
    </w:p>
    <w:p w14:paraId="30CA536E">
      <w:pPr>
        <w:spacing w:line="360" w:lineRule="auto"/>
        <w:ind w:firstLine="480" w:firstLineChars="200"/>
        <w:rPr>
          <w:rFonts w:hint="default" w:ascii="宋体" w:hAnsi="宋体" w:eastAsia="宋体" w:cs="宋体"/>
          <w:kern w:val="0"/>
          <w:sz w:val="24"/>
          <w:szCs w:val="24"/>
          <w:lang w:bidi="ar"/>
        </w:rPr>
      </w:pPr>
      <w:r>
        <w:rPr>
          <w:rFonts w:ascii="宋体" w:hAnsi="宋体" w:eastAsia="宋体" w:cs="宋体"/>
          <w:kern w:val="0"/>
          <w:sz w:val="24"/>
          <w:szCs w:val="24"/>
          <w:lang w:bidi="ar"/>
        </w:rPr>
        <w:t>功能：专用于文物展柜微环境相对湿度目标及其稳定性精准调控。</w:t>
      </w:r>
    </w:p>
    <w:p w14:paraId="5CEF74DB">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（1）湿度调控容积：可调控≥8m³的展柜空间；</w:t>
      </w:r>
    </w:p>
    <w:p w14:paraId="6962E3DA">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（2）湿度调控范围：满足或优于20%RH～90%RH；</w:t>
      </w:r>
    </w:p>
    <w:p w14:paraId="11CC0A6C">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（3）调湿最大允许误差：≤±1%RH；</w:t>
      </w:r>
    </w:p>
    <w:p w14:paraId="5BB89E1C">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（4）湿度调控波动度：≤3%RH；</w:t>
      </w:r>
    </w:p>
    <w:p w14:paraId="54967FF2">
      <w:pPr>
        <w:autoSpaceDE w:val="0"/>
        <w:autoSpaceDN w:val="0"/>
        <w:adjustRightInd w:val="0"/>
        <w:spacing w:line="360" w:lineRule="auto"/>
        <w:ind w:firstLine="480" w:firstLineChars="200"/>
        <w:rPr>
          <w:rFonts w:hint="default" w:ascii="宋体" w:hAnsi="宋体" w:eastAsia="宋体" w:cs="Times New Roman"/>
          <w:color w:val="auto"/>
          <w:sz w:val="24"/>
          <w:szCs w:val="24"/>
        </w:rPr>
      </w:pPr>
      <w:r>
        <w:rPr>
          <w:rFonts w:ascii="宋体" w:hAnsi="宋体" w:eastAsia="宋体" w:cs="Times New Roman"/>
          <w:color w:val="auto"/>
          <w:sz w:val="24"/>
          <w:szCs w:val="24"/>
        </w:rPr>
        <w:t>（5）</w:t>
      </w:r>
      <w:r>
        <w:rPr>
          <w:rFonts w:ascii="宋体" w:hAnsi="宋体" w:eastAsia="宋体" w:cs="宋体"/>
          <w:kern w:val="0"/>
          <w:sz w:val="24"/>
          <w:szCs w:val="24"/>
          <w:lang w:bidi="ar"/>
        </w:rPr>
        <w:t>分辨率：0.1%RH</w:t>
      </w:r>
    </w:p>
    <w:p w14:paraId="2CB756B5">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（6）掉电数据存储功能：装置应具有掉电数据存储功能。掉电时，应能自动保存装置中的数据和动态运行参数。再次上电后，应能自动恢复掉电前的数据参数并正常工作，应</w:t>
      </w:r>
      <w:r>
        <w:rPr>
          <w:rFonts w:ascii="宋体" w:hAnsi="宋体" w:eastAsia="宋体" w:cs="宋体"/>
          <w:kern w:val="0"/>
          <w:sz w:val="24"/>
          <w:szCs w:val="24"/>
          <w:lang w:bidi="ar"/>
        </w:rPr>
        <w:t xml:space="preserve">符合 </w:t>
      </w:r>
      <w:r>
        <w:rPr>
          <w:rFonts w:hint="default" w:ascii="宋体" w:hAnsi="宋体" w:eastAsia="宋体" w:cs="宋体"/>
          <w:kern w:val="0"/>
          <w:sz w:val="24"/>
          <w:szCs w:val="24"/>
          <w:lang w:bidi="ar"/>
        </w:rPr>
        <w:t>WW/T 0096—2020《馆藏文物保存环境控制 净化调湿装置》的要求。</w:t>
      </w:r>
    </w:p>
    <w:p w14:paraId="108637E5">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（7）监测功能：</w:t>
      </w:r>
    </w:p>
    <w:p w14:paraId="081B1361">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装置应具有按照设定的工作周期定期上传工作状态及湿度等调控环境监测数据的能力，湿度监测的最大允许误差为±2.0%RH，应</w:t>
      </w:r>
      <w:r>
        <w:rPr>
          <w:rFonts w:ascii="宋体" w:hAnsi="宋体" w:eastAsia="宋体" w:cs="宋体"/>
          <w:kern w:val="0"/>
          <w:sz w:val="24"/>
          <w:szCs w:val="24"/>
          <w:lang w:bidi="ar"/>
        </w:rPr>
        <w:t xml:space="preserve">符合 </w:t>
      </w:r>
      <w:r>
        <w:rPr>
          <w:rFonts w:hint="default" w:ascii="宋体" w:hAnsi="宋体" w:eastAsia="宋体" w:cs="宋体"/>
          <w:kern w:val="0"/>
          <w:sz w:val="24"/>
          <w:szCs w:val="24"/>
          <w:lang w:bidi="ar"/>
        </w:rPr>
        <w:t>WW/T 0096—2020《馆藏文物保存环境控制 净化调湿装置》的要求</w:t>
      </w:r>
      <w:r>
        <w:rPr>
          <w:rFonts w:ascii="宋体" w:hAnsi="宋体" w:eastAsia="宋体" w:cs="Times New Roman"/>
          <w:sz w:val="24"/>
          <w:szCs w:val="24"/>
        </w:rPr>
        <w:t>。</w:t>
      </w:r>
    </w:p>
    <w:p w14:paraId="11C312C9">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（8）参数设置功能：装置应具备参数远程设置功能，应</w:t>
      </w:r>
      <w:r>
        <w:rPr>
          <w:rFonts w:ascii="宋体" w:hAnsi="宋体" w:eastAsia="宋体" w:cs="宋体"/>
          <w:kern w:val="0"/>
          <w:sz w:val="24"/>
          <w:szCs w:val="24"/>
          <w:lang w:bidi="ar"/>
        </w:rPr>
        <w:t xml:space="preserve">符合 </w:t>
      </w:r>
      <w:r>
        <w:rPr>
          <w:rFonts w:hint="default" w:ascii="宋体" w:hAnsi="宋体" w:eastAsia="宋体" w:cs="宋体"/>
          <w:kern w:val="0"/>
          <w:sz w:val="24"/>
          <w:szCs w:val="24"/>
          <w:lang w:bidi="ar"/>
        </w:rPr>
        <w:t>WW/T 0096—2020《馆藏文物保存环境控制 净化调湿装置》的要求</w:t>
      </w:r>
      <w:r>
        <w:rPr>
          <w:rFonts w:ascii="宋体" w:hAnsi="宋体" w:eastAsia="宋体" w:cs="Times New Roman"/>
          <w:sz w:val="24"/>
          <w:szCs w:val="24"/>
        </w:rPr>
        <w:t>。</w:t>
      </w:r>
    </w:p>
    <w:p w14:paraId="03B45262">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（9）工作稳定性：</w:t>
      </w:r>
    </w:p>
    <w:p w14:paraId="37C93745">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装置通电后正常工作时间不小于 2d，试验期间应符合调湿最大允许误差≤±1%RH；湿度调控波动度≤3%RH 的要求，应</w:t>
      </w:r>
      <w:r>
        <w:rPr>
          <w:rFonts w:ascii="宋体" w:hAnsi="宋体" w:eastAsia="宋体" w:cs="宋体"/>
          <w:kern w:val="0"/>
          <w:sz w:val="24"/>
          <w:szCs w:val="24"/>
          <w:lang w:bidi="ar"/>
        </w:rPr>
        <w:t xml:space="preserve">符合 </w:t>
      </w:r>
      <w:r>
        <w:rPr>
          <w:rFonts w:hint="default" w:ascii="宋体" w:hAnsi="宋体" w:eastAsia="宋体" w:cs="宋体"/>
          <w:kern w:val="0"/>
          <w:sz w:val="24"/>
          <w:szCs w:val="24"/>
          <w:lang w:bidi="ar"/>
        </w:rPr>
        <w:t>WW/T 0096—2020《馆藏文物保存环境控制 净化调湿装置》的要求</w:t>
      </w:r>
      <w:r>
        <w:rPr>
          <w:rFonts w:ascii="宋体" w:hAnsi="宋体" w:eastAsia="宋体" w:cs="Times New Roman"/>
          <w:sz w:val="24"/>
          <w:szCs w:val="24"/>
        </w:rPr>
        <w:t>。</w:t>
      </w:r>
    </w:p>
    <w:p w14:paraId="3D5A185A">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（10）环境适应性</w:t>
      </w:r>
    </w:p>
    <w:p w14:paraId="4464F6B5">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①高温工作</w:t>
      </w:r>
    </w:p>
    <w:p w14:paraId="70595890">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装置在环境湿度 60%±3%RH条件下,温度从(30±2)℃、(35±2)℃、(40±2)℃中选择,调节目标湿度设为 50%RH, 稳定后工作 4h,试验期间应符合调湿最大允许误差≤±1%RH，湿度调控波动度≤3%RH的要求，应</w:t>
      </w:r>
      <w:r>
        <w:rPr>
          <w:rFonts w:ascii="宋体" w:hAnsi="宋体" w:eastAsia="宋体" w:cs="宋体"/>
          <w:kern w:val="0"/>
          <w:sz w:val="24"/>
          <w:szCs w:val="24"/>
          <w:lang w:bidi="ar"/>
        </w:rPr>
        <w:t xml:space="preserve">符合 </w:t>
      </w:r>
      <w:r>
        <w:rPr>
          <w:rFonts w:hint="default" w:ascii="宋体" w:hAnsi="宋体" w:eastAsia="宋体" w:cs="宋体"/>
          <w:kern w:val="0"/>
          <w:sz w:val="24"/>
          <w:szCs w:val="24"/>
          <w:lang w:bidi="ar"/>
        </w:rPr>
        <w:t>WW/T 0096—2020《馆藏文物保存环境控制 净化调湿装置》的要求</w:t>
      </w:r>
      <w:r>
        <w:rPr>
          <w:rFonts w:ascii="宋体" w:hAnsi="宋体" w:eastAsia="宋体" w:cs="Times New Roman"/>
          <w:sz w:val="24"/>
          <w:szCs w:val="24"/>
        </w:rPr>
        <w:t>。</w:t>
      </w:r>
    </w:p>
    <w:p w14:paraId="2EA79236">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②低温工作</w:t>
      </w:r>
    </w:p>
    <w:p w14:paraId="6DA0EBDE">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装置在环境湿度 60%±3%RH条件下,温度从(5±2)℃、(10±2)℃、(15±2)℃中选择,调节目标湿度设为 50%RH, 稳定后工作 4h,试验期间应符合调湿最大允许误差≤±1%RH，湿度调控波动度≤3%RH的要求，应</w:t>
      </w:r>
      <w:r>
        <w:rPr>
          <w:rFonts w:ascii="宋体" w:hAnsi="宋体" w:eastAsia="宋体" w:cs="宋体"/>
          <w:kern w:val="0"/>
          <w:sz w:val="24"/>
          <w:szCs w:val="24"/>
          <w:lang w:bidi="ar"/>
        </w:rPr>
        <w:t xml:space="preserve">符合 </w:t>
      </w:r>
      <w:r>
        <w:rPr>
          <w:rFonts w:hint="default" w:ascii="宋体" w:hAnsi="宋体" w:eastAsia="宋体" w:cs="宋体"/>
          <w:kern w:val="0"/>
          <w:sz w:val="24"/>
          <w:szCs w:val="24"/>
          <w:lang w:bidi="ar"/>
        </w:rPr>
        <w:t>WW/T 0096—2020《馆藏文物保存环境控制 净化调湿装置》的要求</w:t>
      </w:r>
      <w:r>
        <w:rPr>
          <w:rFonts w:ascii="宋体" w:hAnsi="宋体" w:eastAsia="宋体" w:cs="Times New Roman"/>
          <w:sz w:val="24"/>
          <w:szCs w:val="24"/>
        </w:rPr>
        <w:t>。</w:t>
      </w:r>
    </w:p>
    <w:p w14:paraId="5185A413">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③高湿工作</w:t>
      </w:r>
    </w:p>
    <w:p w14:paraId="0EF453A2">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装置在环境温度(22±2)℃条件下,湿度从90%±3%RH、80%±3%RH、70% ±3%RH 中选择,调节目标湿度设为 50%RH,稳定后工作 4h,试验期间应符合调湿最大允许误差≤±1%RH，湿度调控波动度≤3%RH的要求，应</w:t>
      </w:r>
      <w:r>
        <w:rPr>
          <w:rFonts w:ascii="宋体" w:hAnsi="宋体" w:eastAsia="宋体" w:cs="宋体"/>
          <w:kern w:val="0"/>
          <w:sz w:val="24"/>
          <w:szCs w:val="24"/>
          <w:lang w:bidi="ar"/>
        </w:rPr>
        <w:t xml:space="preserve">符合 </w:t>
      </w:r>
      <w:r>
        <w:rPr>
          <w:rFonts w:hint="default" w:ascii="宋体" w:hAnsi="宋体" w:eastAsia="宋体" w:cs="宋体"/>
          <w:kern w:val="0"/>
          <w:sz w:val="24"/>
          <w:szCs w:val="24"/>
          <w:lang w:bidi="ar"/>
        </w:rPr>
        <w:t>WW/T 0096—2020《馆藏文物保存环境控制 净化调湿装置》的要求</w:t>
      </w:r>
      <w:r>
        <w:rPr>
          <w:rFonts w:ascii="宋体" w:hAnsi="宋体" w:eastAsia="宋体" w:cs="Times New Roman"/>
          <w:sz w:val="24"/>
          <w:szCs w:val="24"/>
        </w:rPr>
        <w:t>。</w:t>
      </w:r>
    </w:p>
    <w:p w14:paraId="4E392273">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④低湿工作</w:t>
      </w:r>
    </w:p>
    <w:p w14:paraId="00EB8340">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装置在环境温度(22±2)℃条件下,湿度从10%±3%RH、20%±3%RH、30%±3%RH条件下,调节目标湿度设为50%RH,稳定后工作4h,试验期间应符合调湿最大允许误差≤±1%RH，湿度调控波动度≤3%RH的要求，应</w:t>
      </w:r>
      <w:r>
        <w:rPr>
          <w:rFonts w:ascii="宋体" w:hAnsi="宋体" w:eastAsia="宋体" w:cs="宋体"/>
          <w:kern w:val="0"/>
          <w:sz w:val="24"/>
          <w:szCs w:val="24"/>
          <w:lang w:bidi="ar"/>
        </w:rPr>
        <w:t xml:space="preserve">符合 </w:t>
      </w:r>
      <w:r>
        <w:rPr>
          <w:rFonts w:hint="default" w:ascii="宋体" w:hAnsi="宋体" w:eastAsia="宋体" w:cs="宋体"/>
          <w:kern w:val="0"/>
          <w:sz w:val="24"/>
          <w:szCs w:val="24"/>
          <w:lang w:bidi="ar"/>
        </w:rPr>
        <w:t>WW/T 0096—2020《馆藏文物保存环境控制 净化调湿装置》的要求</w:t>
      </w:r>
      <w:r>
        <w:rPr>
          <w:rFonts w:ascii="宋体" w:hAnsi="宋体" w:eastAsia="宋体" w:cs="Times New Roman"/>
          <w:sz w:val="24"/>
          <w:szCs w:val="24"/>
        </w:rPr>
        <w:t>。</w:t>
      </w:r>
    </w:p>
    <w:p w14:paraId="6616F02F">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（11）安全性能</w:t>
      </w:r>
    </w:p>
    <w:p w14:paraId="19093549">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①绝缘强度</w:t>
      </w:r>
    </w:p>
    <w:p w14:paraId="114DFA47">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装置输入端子与外壳之间施加1500V、持续1min的交流电压，试验期间，无击穿和闪络现象，且漏电电流不大于5mA。直流供电的装置不进行本试验，应</w:t>
      </w:r>
      <w:r>
        <w:rPr>
          <w:rFonts w:ascii="宋体" w:hAnsi="宋体" w:eastAsia="宋体" w:cs="宋体"/>
          <w:kern w:val="0"/>
          <w:sz w:val="24"/>
          <w:szCs w:val="24"/>
          <w:lang w:bidi="ar"/>
        </w:rPr>
        <w:t xml:space="preserve">符合 </w:t>
      </w:r>
      <w:r>
        <w:rPr>
          <w:rFonts w:hint="default" w:ascii="宋体" w:hAnsi="宋体" w:eastAsia="宋体" w:cs="宋体"/>
          <w:kern w:val="0"/>
          <w:sz w:val="24"/>
          <w:szCs w:val="24"/>
          <w:lang w:bidi="ar"/>
        </w:rPr>
        <w:t>WW/T 0096—2020《馆藏文物保存环境控制 净化调湿装置》的要求</w:t>
      </w:r>
      <w:r>
        <w:rPr>
          <w:rFonts w:ascii="宋体" w:hAnsi="宋体" w:eastAsia="宋体" w:cs="Times New Roman"/>
          <w:sz w:val="24"/>
          <w:szCs w:val="24"/>
        </w:rPr>
        <w:t>。</w:t>
      </w:r>
    </w:p>
    <w:p w14:paraId="77873794">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②绝缘电阻</w:t>
      </w:r>
    </w:p>
    <w:p w14:paraId="196C150A">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装置输入端子与外壳之间，在正常工作条件下其绝缘电阻应不小于10MΩ;恒定湿热试验后，应不小于1.5MΩ。直流供电的装置不进行本试验，应</w:t>
      </w:r>
      <w:r>
        <w:rPr>
          <w:rFonts w:ascii="宋体" w:hAnsi="宋体" w:eastAsia="宋体" w:cs="宋体"/>
          <w:kern w:val="0"/>
          <w:sz w:val="24"/>
          <w:szCs w:val="24"/>
          <w:lang w:bidi="ar"/>
        </w:rPr>
        <w:t xml:space="preserve">符合 </w:t>
      </w:r>
      <w:r>
        <w:rPr>
          <w:rFonts w:hint="default" w:ascii="宋体" w:hAnsi="宋体" w:eastAsia="宋体" w:cs="宋体"/>
          <w:kern w:val="0"/>
          <w:sz w:val="24"/>
          <w:szCs w:val="24"/>
          <w:lang w:bidi="ar"/>
        </w:rPr>
        <w:t>WW/T 0096—2020《馆藏文物保存环境控制 净化调湿装置》的要求</w:t>
      </w:r>
      <w:r>
        <w:rPr>
          <w:rFonts w:ascii="宋体" w:hAnsi="宋体" w:eastAsia="宋体" w:cs="Times New Roman"/>
          <w:sz w:val="24"/>
          <w:szCs w:val="24"/>
        </w:rPr>
        <w:t>。</w:t>
      </w:r>
    </w:p>
    <w:p w14:paraId="626FE63D">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（12）外壳防护等级：应符合GB/T4208一2017规定的IP20要求，应</w:t>
      </w:r>
      <w:r>
        <w:rPr>
          <w:rFonts w:ascii="宋体" w:hAnsi="宋体" w:eastAsia="宋体" w:cs="宋体"/>
          <w:kern w:val="0"/>
          <w:sz w:val="24"/>
          <w:szCs w:val="24"/>
          <w:lang w:bidi="ar"/>
        </w:rPr>
        <w:t xml:space="preserve">符合 </w:t>
      </w:r>
      <w:r>
        <w:rPr>
          <w:rFonts w:hint="default" w:ascii="宋体" w:hAnsi="宋体" w:eastAsia="宋体" w:cs="宋体"/>
          <w:kern w:val="0"/>
          <w:sz w:val="24"/>
          <w:szCs w:val="24"/>
          <w:lang w:bidi="ar"/>
        </w:rPr>
        <w:t>WW/T 0096—2020《馆藏文物保存环境控制 净化调湿装置》的要求</w:t>
      </w:r>
      <w:r>
        <w:rPr>
          <w:rFonts w:ascii="宋体" w:hAnsi="宋体" w:eastAsia="宋体" w:cs="Times New Roman"/>
          <w:sz w:val="24"/>
          <w:szCs w:val="24"/>
        </w:rPr>
        <w:t>。</w:t>
      </w:r>
    </w:p>
    <w:p w14:paraId="79E0A88B">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（13）电磁兼容性的静电放电抗扰度、射频电磁场辐射抗扰度、辐射发射、脉冲群特性、浪涌特性，应</w:t>
      </w:r>
      <w:r>
        <w:rPr>
          <w:rFonts w:ascii="宋体" w:hAnsi="宋体" w:eastAsia="宋体" w:cs="宋体"/>
          <w:kern w:val="0"/>
          <w:sz w:val="24"/>
          <w:szCs w:val="24"/>
          <w:lang w:bidi="ar"/>
        </w:rPr>
        <w:t xml:space="preserve">符合 </w:t>
      </w:r>
      <w:r>
        <w:rPr>
          <w:rFonts w:hint="default" w:ascii="宋体" w:hAnsi="宋体" w:eastAsia="宋体" w:cs="宋体"/>
          <w:kern w:val="0"/>
          <w:sz w:val="24"/>
          <w:szCs w:val="24"/>
          <w:lang w:bidi="ar"/>
        </w:rPr>
        <w:t>WW/T 0096—2020《馆藏文物保存环境控制 净化调湿装置》的要求</w:t>
      </w:r>
      <w:r>
        <w:rPr>
          <w:rFonts w:ascii="宋体" w:hAnsi="宋体" w:eastAsia="宋体" w:cs="Times New Roman"/>
          <w:sz w:val="24"/>
          <w:szCs w:val="24"/>
        </w:rPr>
        <w:t>。</w:t>
      </w:r>
    </w:p>
    <w:p w14:paraId="3AAEDC66">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（14）噪声：装置的整体噪声应低于50dB，应</w:t>
      </w:r>
      <w:r>
        <w:rPr>
          <w:rFonts w:ascii="宋体" w:hAnsi="宋体" w:eastAsia="宋体" w:cs="宋体"/>
          <w:kern w:val="0"/>
          <w:sz w:val="24"/>
          <w:szCs w:val="24"/>
          <w:lang w:bidi="ar"/>
        </w:rPr>
        <w:t xml:space="preserve">符合 </w:t>
      </w:r>
      <w:r>
        <w:rPr>
          <w:rFonts w:hint="default" w:ascii="宋体" w:hAnsi="宋体" w:eastAsia="宋体" w:cs="宋体"/>
          <w:kern w:val="0"/>
          <w:sz w:val="24"/>
          <w:szCs w:val="24"/>
          <w:lang w:bidi="ar"/>
        </w:rPr>
        <w:t>WW/T 0096—2020《馆藏文物保存环境控制 净化调湿装置》的要求</w:t>
      </w:r>
      <w:r>
        <w:rPr>
          <w:rFonts w:ascii="宋体" w:hAnsi="宋体" w:eastAsia="宋体" w:cs="Times New Roman"/>
          <w:sz w:val="24"/>
          <w:szCs w:val="24"/>
        </w:rPr>
        <w:t>。</w:t>
      </w:r>
    </w:p>
    <w:p w14:paraId="614A114A">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（15）设备支持数据与时间戳存储，具备掉电非易失性，离线采集数据存储量不小于100万条。</w:t>
      </w:r>
    </w:p>
    <w:p w14:paraId="718634B9">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（16）设备处于待机状态时，待机功率不大于8W。</w:t>
      </w:r>
    </w:p>
    <w:p w14:paraId="44A18C2D">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（17）在环境温度 25℃、相对湿度 80% RH 条件下，设备 24 小时除湿量不低于2.5kg；在环境温度 25℃、相对湿度 40% RH 条件下，设备 24 小时加湿量不低于2.5kg。</w:t>
      </w:r>
    </w:p>
    <w:p w14:paraId="048B74A4">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（18）设备内部无内置水箱，无液态水,无需人工加补水。</w:t>
      </w:r>
    </w:p>
    <w:p w14:paraId="75066655">
      <w:pPr>
        <w:spacing w:line="360" w:lineRule="auto"/>
        <w:ind w:firstLine="480" w:firstLineChars="200"/>
        <w:rPr>
          <w:rFonts w:hint="default" w:ascii="宋体" w:hAnsi="宋体" w:eastAsia="宋体" w:cs="Times New Roman"/>
          <w:sz w:val="24"/>
          <w:szCs w:val="24"/>
        </w:rPr>
      </w:pPr>
      <w:r>
        <w:rPr>
          <w:rFonts w:ascii="宋体" w:hAnsi="宋体" w:eastAsia="宋体" w:cs="Times New Roman"/>
          <w:sz w:val="24"/>
          <w:szCs w:val="24"/>
        </w:rPr>
        <w:t>（19）净化能力：净化调湿装置出口处甲醛、甲酸、乙酸、臭氧等目标污染物限值，</w:t>
      </w:r>
      <w:r>
        <w:rPr>
          <w:rFonts w:ascii="宋体" w:hAnsi="宋体" w:eastAsia="宋体" w:cs="宋体"/>
          <w:kern w:val="0"/>
          <w:sz w:val="24"/>
          <w:szCs w:val="24"/>
          <w:lang w:bidi="ar"/>
        </w:rPr>
        <w:t xml:space="preserve">符合 </w:t>
      </w:r>
      <w:r>
        <w:rPr>
          <w:rFonts w:hint="default" w:ascii="宋体" w:hAnsi="宋体" w:eastAsia="宋体" w:cs="宋体"/>
          <w:kern w:val="0"/>
          <w:sz w:val="24"/>
          <w:szCs w:val="24"/>
          <w:lang w:bidi="ar"/>
        </w:rPr>
        <w:t>WW/T 0096—2020《馆藏文物保存环境控制 净化调湿装置》的要求</w:t>
      </w:r>
      <w:r>
        <w:rPr>
          <w:rFonts w:ascii="宋体" w:hAnsi="宋体" w:eastAsia="宋体" w:cs="Times New Roman"/>
          <w:sz w:val="24"/>
          <w:szCs w:val="24"/>
        </w:rPr>
        <w:t>。</w:t>
      </w:r>
    </w:p>
    <w:p w14:paraId="1190B1E9">
      <w:pPr>
        <w:autoSpaceDE w:val="0"/>
        <w:autoSpaceDN w:val="0"/>
        <w:adjustRightInd w:val="0"/>
        <w:spacing w:line="400" w:lineRule="exact"/>
        <w:ind w:firstLine="482" w:firstLineChars="200"/>
        <w:rPr>
          <w:rFonts w:hint="default" w:ascii="仿宋" w:hAnsi="仿宋" w:eastAsia="仿宋" w:cs="华文楷体"/>
          <w:b/>
          <w:bCs/>
          <w:sz w:val="28"/>
          <w:szCs w:val="28"/>
        </w:rPr>
      </w:pPr>
      <w:r>
        <w:rPr>
          <w:rFonts w:ascii="宋体" w:hAnsi="宋体" w:eastAsia="宋体" w:cs="Times New Roman"/>
          <w:b/>
          <w:bCs/>
          <w:sz w:val="24"/>
          <w:szCs w:val="24"/>
        </w:rPr>
        <w:t>以上须提供投标产品由具有检验检测机构资质的机构出具的有效检验检测报告复印件佐证。</w:t>
      </w:r>
    </w:p>
    <w:p w14:paraId="7705E1D3">
      <w:pPr>
        <w:spacing w:line="360" w:lineRule="auto"/>
        <w:ind w:firstLine="480"/>
        <w:rPr>
          <w:rFonts w:hint="default" w:ascii="宋体" w:hAnsi="宋体" w:eastAsia="宋体" w:cs="宋体"/>
          <w:b/>
          <w:bCs/>
          <w:color w:val="auto"/>
          <w:sz w:val="24"/>
          <w:szCs w:val="24"/>
          <w:lang w:val="zh-TW" w:eastAsia="zh-TW"/>
        </w:rPr>
      </w:pPr>
    </w:p>
    <w:p w14:paraId="37B565F9">
      <w:pPr>
        <w:spacing w:line="360" w:lineRule="auto"/>
        <w:ind w:firstLine="480"/>
        <w:rPr>
          <w:rFonts w:hint="default" w:ascii="宋体" w:hAnsi="宋体" w:eastAsia="宋体" w:cs="宋体"/>
          <w:b/>
          <w:bCs/>
          <w:color w:val="auto"/>
          <w:sz w:val="24"/>
          <w:szCs w:val="24"/>
          <w:lang w:val="zh-TW" w:eastAsia="zh-TW"/>
        </w:rPr>
      </w:pPr>
      <w:r>
        <w:rPr>
          <w:rFonts w:ascii="宋体" w:hAnsi="宋体" w:eastAsia="宋体" w:cs="宋体"/>
          <w:b/>
          <w:bCs/>
          <w:color w:val="auto"/>
          <w:sz w:val="24"/>
          <w:szCs w:val="24"/>
          <w:lang w:val="zh-TW" w:eastAsia="zh-TW"/>
        </w:rPr>
        <w:t>展柜安全防范要求</w:t>
      </w:r>
    </w:p>
    <w:p w14:paraId="4515C0EC">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文物展柜应符合GB/T 16571—2012《博物馆和文物保护单位安全防范系统要求》规定的实体防范要求，采用符合前述要求的金属玻璃结构展柜、夹层安全玻璃，安装防盗锁，并应具有防撬功能。</w:t>
      </w:r>
    </w:p>
    <w:p w14:paraId="6E96F1CD">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每个文物展柜的柜门应至少设置1个非密码式机械防盗锁锁点，采用的锁具性能应不低于GA/T 73—2015《机械防盗锁》中规定的B级要求。锁具安装位置应隐蔽，并方便开启。采购人有权要求中标人提供由第三方检测</w:t>
      </w:r>
      <w:bookmarkStart w:id="3" w:name="_GoBack"/>
      <w:bookmarkEnd w:id="3"/>
      <w:r>
        <w:rPr>
          <w:rFonts w:ascii="宋体" w:hAnsi="宋体" w:eastAsia="宋体" w:cs="宋体"/>
          <w:color w:val="auto"/>
          <w:sz w:val="24"/>
          <w:szCs w:val="24"/>
          <w:lang w:val="zh-TW" w:eastAsia="zh-TW"/>
        </w:rPr>
        <w:t>机构出具锁具检测报告等能体现参数的证明文件。</w:t>
      </w:r>
    </w:p>
    <w:p w14:paraId="2FC73E09">
      <w:pPr>
        <w:spacing w:line="360" w:lineRule="auto"/>
        <w:ind w:firstLine="480"/>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展柜中的电器设备的安全性能应符合WW/T 0109—2020《馆藏文物展藏 多功能展柜 技术要求》中5.9的规定。展柜金属构架应有效接地，展柜内的变压器、灯具控制器、空气泵、风扇等设备应有过载保护。电器设施设备安装应合理、通风散热良好。</w:t>
      </w:r>
    </w:p>
    <w:p w14:paraId="09A39CCA">
      <w:pPr>
        <w:spacing w:line="360" w:lineRule="auto"/>
        <w:ind w:firstLine="482"/>
        <w:rPr>
          <w:rFonts w:hint="default" w:ascii="宋体" w:hAnsi="宋体" w:eastAsia="宋体" w:cs="宋体"/>
          <w:b/>
          <w:bCs/>
          <w:sz w:val="24"/>
          <w:szCs w:val="24"/>
        </w:rPr>
      </w:pPr>
      <w:r>
        <w:rPr>
          <w:rFonts w:ascii="宋体" w:hAnsi="宋体" w:eastAsia="宋体" w:cs="宋体"/>
          <w:b/>
          <w:bCs/>
          <w:sz w:val="24"/>
          <w:szCs w:val="24"/>
        </w:rPr>
        <w:t xml:space="preserve">4.3 </w:t>
      </w:r>
      <w:r>
        <w:rPr>
          <w:rFonts w:ascii="宋体" w:hAnsi="宋体" w:eastAsia="宋体" w:cs="宋体"/>
          <w:b/>
          <w:bCs/>
          <w:sz w:val="24"/>
          <w:szCs w:val="24"/>
          <w:lang w:val="zh-TW" w:eastAsia="zh-TW"/>
        </w:rPr>
        <w:t>专业照明技术要求</w:t>
      </w:r>
    </w:p>
    <w:p w14:paraId="64C2A9BA">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本采购项目中的常设展陈照明（简称“展陈照明”）展项内容，涉及各个专题展厅，包括且不限于这些展厅的展陈照明深化设计、照明控制系统设计、照明装置采购配置与安装、展陈照明效果调试，以及所有灯具及照明控制系统的设备定位、配管和穿线等内容。</w:t>
      </w:r>
    </w:p>
    <w:p w14:paraId="1AF63531">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展陈照明深化设计：中标人需在展陈设计基础上，结合展板、展柜深化设计，提出各展厅室内及展陈照明深化设计方案。展陈照明深化设计方案由采购人组织进行审核，中标人需按审核意见进行必要的调整。展陈照明深化设计方案经采购人签证确认后，中标人需配合采购人对拟选购灯具进行搭建实样试验，经采购人确定后方可实施采购。</w:t>
      </w:r>
    </w:p>
    <w:p w14:paraId="72634C80">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展陈照明配合：如采购人针对各个展厅照片、油画、场景、文物的不同材质及器型，对展陈专业灯具提出特定技术指标或展示效果要求，中标人需依据具体要求提供灯具样品。经采购人审核、测试、试样和封样，并审核确定后方可进行设备采购。中标人需在设计、安装与调试的各阶段配合采购人进行展陈照明相关的各项工作。</w:t>
      </w:r>
    </w:p>
    <w:p w14:paraId="667AB113">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展陈专业照明灯具配置：中标人需按照审定的展陈照明深化设计方案，负责购置经采购人审核确定和封样的柜内或柜外专业照明灯具设备，以及负责所有灯具及配件安装，协助调试达到预期照明效果。</w:t>
      </w:r>
    </w:p>
    <w:p w14:paraId="0BE8195F">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其他照明灯具配置：中标人需负责文物展厅环境照明和辅助功能区照明所涉及的照明装置的采购、安装和调试工作。</w:t>
      </w:r>
    </w:p>
    <w:p w14:paraId="62220177">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各展厅均须设有专业照明配电箱和智能照明控制箱，采购人提供电源箱，电源箱下桩头开始桥架、线槽、配管、电缆、电线及专业照明配电箱、智能照明控制箱的设计采购安装调试等均由中标人负责。</w:t>
      </w:r>
    </w:p>
    <w:p w14:paraId="4D9F15A9">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楼层主控器安装在各层的弱电机房，接入设备网交换机；</w:t>
      </w:r>
    </w:p>
    <w:p w14:paraId="6B0ECFA8">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各馆的智能照明控制箱汇总至当层的弱电机房（每层有多个弱电机房，就近原则放置）；相邻的箱体可相互并联，汇聚一起后，连接至弱电机房。</w:t>
      </w:r>
    </w:p>
    <w:p w14:paraId="32414303">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控制室主控电脑接入设备网，查看、控制各展馆内灯光状态、当前场景等信息所有智能照明控制箱均设有接线终端以供总进线电路、负载电路、信号电缆等连接。</w:t>
      </w:r>
    </w:p>
    <w:p w14:paraId="0CB4A1FC">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所有接线位置须适当地标记。最后的负载电路标记须与楼面照明平面图标记相同。</w:t>
      </w:r>
    </w:p>
    <w:p w14:paraId="08B6F680">
      <w:pPr>
        <w:spacing w:line="360" w:lineRule="auto"/>
        <w:ind w:firstLine="482"/>
        <w:rPr>
          <w:rFonts w:hint="default" w:ascii="宋体" w:hAnsi="宋体" w:eastAsia="宋体" w:cs="宋体"/>
          <w:b/>
          <w:bCs/>
          <w:sz w:val="24"/>
          <w:szCs w:val="24"/>
          <w:lang w:val="zh-TW" w:eastAsia="zh-TW"/>
        </w:rPr>
      </w:pPr>
      <w:r>
        <w:rPr>
          <w:rFonts w:ascii="宋体" w:hAnsi="宋体" w:eastAsia="宋体" w:cs="宋体"/>
          <w:b/>
          <w:bCs/>
          <w:sz w:val="24"/>
          <w:szCs w:val="24"/>
          <w:lang w:val="zh-TW"/>
        </w:rPr>
        <w:t>（</w:t>
      </w:r>
      <w:r>
        <w:rPr>
          <w:rFonts w:ascii="宋体" w:hAnsi="宋体" w:eastAsia="宋体" w:cs="宋体"/>
          <w:b/>
          <w:bCs/>
          <w:sz w:val="24"/>
          <w:szCs w:val="24"/>
        </w:rPr>
        <w:t>1</w:t>
      </w:r>
      <w:r>
        <w:rPr>
          <w:rFonts w:ascii="宋体" w:hAnsi="宋体" w:eastAsia="宋体" w:cs="宋体"/>
          <w:b/>
          <w:bCs/>
          <w:sz w:val="24"/>
          <w:szCs w:val="24"/>
          <w:lang w:val="zh-TW"/>
        </w:rPr>
        <w:t>）</w:t>
      </w:r>
      <w:r>
        <w:rPr>
          <w:rFonts w:ascii="宋体" w:hAnsi="宋体" w:eastAsia="宋体" w:cs="宋体"/>
          <w:b/>
          <w:bCs/>
          <w:sz w:val="24"/>
          <w:szCs w:val="24"/>
          <w:lang w:val="zh-TW" w:eastAsia="zh-TW"/>
        </w:rPr>
        <w:t>展陈照明总体要求</w:t>
      </w:r>
    </w:p>
    <w:p w14:paraId="6E1B3795">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展陈照明应遵循安全、保护、还原、舒适、节能、安全和便于维护原则。文物展陈照明应采用符合上述原则的优质LED类专业照明灯具。</w:t>
      </w:r>
    </w:p>
    <w:p w14:paraId="253039FB">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照明设计：照明设计及其选用的照明装置，应满足文物、照片、优化等保护、显色性、启动时间等要求，并应根据光源、灯具及镇流器、LED驱动电源等的效率或效能、寿命等在进行综合技术经济分析比较后确定。并应符合GB 50034—20</w:t>
      </w:r>
      <w:r>
        <w:rPr>
          <w:rFonts w:ascii="宋体" w:hAnsi="宋体" w:eastAsia="宋体" w:cs="宋体"/>
          <w:sz w:val="24"/>
          <w:szCs w:val="24"/>
        </w:rPr>
        <w:t>24</w:t>
      </w:r>
      <w:r>
        <w:rPr>
          <w:rFonts w:ascii="宋体" w:hAnsi="宋体" w:eastAsia="宋体" w:cs="宋体"/>
          <w:sz w:val="24"/>
          <w:szCs w:val="24"/>
          <w:lang w:val="zh-TW" w:eastAsia="zh-TW"/>
        </w:rPr>
        <w:t>《建筑照明设计标准》、GB/T 31831—20</w:t>
      </w:r>
      <w:r>
        <w:rPr>
          <w:rFonts w:ascii="宋体" w:hAnsi="宋体" w:eastAsia="宋体" w:cs="宋体"/>
          <w:sz w:val="24"/>
          <w:szCs w:val="24"/>
        </w:rPr>
        <w:t>25</w:t>
      </w:r>
      <w:r>
        <w:rPr>
          <w:rFonts w:ascii="宋体" w:hAnsi="宋体" w:eastAsia="宋体" w:cs="宋体"/>
          <w:sz w:val="24"/>
          <w:szCs w:val="24"/>
          <w:lang w:val="zh-TW" w:eastAsia="zh-TW"/>
        </w:rPr>
        <w:t>《LED室内照明应用要求》、 GB/T 23863—2024 《博物馆照明设计规范》等国家现行相关标准的有关规定。</w:t>
      </w:r>
    </w:p>
    <w:p w14:paraId="462D068F">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照明安全性：照明装置的安全性应符合GB 7000.1—20</w:t>
      </w:r>
      <w:r>
        <w:rPr>
          <w:rFonts w:ascii="宋体" w:hAnsi="宋体" w:eastAsia="宋体" w:cs="宋体"/>
          <w:sz w:val="24"/>
          <w:szCs w:val="24"/>
        </w:rPr>
        <w:t>23</w:t>
      </w:r>
      <w:r>
        <w:rPr>
          <w:rFonts w:ascii="宋体" w:hAnsi="宋体" w:eastAsia="宋体" w:cs="宋体"/>
          <w:sz w:val="24"/>
          <w:szCs w:val="24"/>
          <w:lang w:val="zh-TW" w:eastAsia="zh-TW"/>
        </w:rPr>
        <w:t>《灯具 第1部分：一般要求与试验》等国家强制性产品认证的规定。照明灯具的材料及结构应利于表面散热，无前端热辐射隐患，灯具外壳材质宜为高导热压铸铝合金外壳，基本无外露明线，外壳确保颜色持久、耐磨性强。照明装置应具有防火、防止坠落等可能造成人员伤害或财物损失的安全防护措施。</w:t>
      </w:r>
    </w:p>
    <w:p w14:paraId="48617484">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照明舒适度：在保证文物保护和安全的前提下，展陈照明的所有灯光环境应带给观众以美和舒适的感受。应对眩光程度、色温、色容差、显色度、光束角等方面进行严格把控，并对柜内照明和柜外照明进行精细化、艺术化的专门设计。</w:t>
      </w:r>
    </w:p>
    <w:p w14:paraId="5DBFBA40">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照明灵活性：应充分考虑展厅和展品的多样性，文物展陈照明应针对不同尺寸、形状、质地、场景的展品，设计相应配备具有高灵活度的灯光组合及向光配件，以满足不同的陈列照明要求。</w:t>
      </w:r>
    </w:p>
    <w:p w14:paraId="1F592256">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照明控制系统：展陈照明控制系统必须具备对各主流灯具产品的兼容性，并且能够进行分区管理、精准调控、方便操作。</w:t>
      </w:r>
    </w:p>
    <w:p w14:paraId="39870519">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照明灯具外形：无论是柜内照明还是柜外照明，灯具灯体都应尽量隐蔽安装，设置于观众视线之外；如必须出现于视线内的，则灯具外形必须简洁、美观，并符合其所处空间的整体设计基调。</w:t>
      </w:r>
    </w:p>
    <w:p w14:paraId="0BDB7158">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质保要求：展陈照明所采用灯具必须经久耐用，中标人应承诺于质保期内负责所购买和提供的照明设备的维护保养工作，并应保证其可以始终方便、安全地进行检修、维护和更换。</w:t>
      </w:r>
    </w:p>
    <w:p w14:paraId="7C97E799">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管理要求：中标人提出的文物展陈照明设计方案与设计推荐的各类照明灯具，需经采购人审核、测试、试样和封样。采购人审核确定后，对样品进行封样。中标人收到采购人发出的签证确认后方可批量采购灯具，以确保采购照明装置的效果能满足采购人预期的技术和艺术要求。</w:t>
      </w:r>
    </w:p>
    <w:p w14:paraId="6A9CE658">
      <w:pPr>
        <w:spacing w:line="360" w:lineRule="auto"/>
        <w:ind w:firstLine="482"/>
        <w:rPr>
          <w:rFonts w:hint="default" w:ascii="宋体" w:hAnsi="宋体" w:eastAsia="宋体" w:cs="宋体"/>
          <w:b/>
          <w:bCs/>
          <w:sz w:val="24"/>
          <w:szCs w:val="24"/>
          <w:lang w:val="zh-TW" w:eastAsia="zh-TW"/>
        </w:rPr>
      </w:pPr>
      <w:r>
        <w:rPr>
          <w:rFonts w:ascii="宋体" w:hAnsi="宋体" w:eastAsia="宋体" w:cs="宋体"/>
          <w:b/>
          <w:bCs/>
          <w:sz w:val="24"/>
          <w:szCs w:val="24"/>
          <w:lang w:val="zh-TW"/>
        </w:rPr>
        <w:t>（</w:t>
      </w:r>
      <w:r>
        <w:rPr>
          <w:rFonts w:ascii="宋体" w:hAnsi="宋体" w:eastAsia="宋体" w:cs="宋体"/>
          <w:b/>
          <w:bCs/>
          <w:sz w:val="24"/>
          <w:szCs w:val="24"/>
        </w:rPr>
        <w:t>2</w:t>
      </w:r>
      <w:r>
        <w:rPr>
          <w:rFonts w:ascii="宋体" w:hAnsi="宋体" w:eastAsia="宋体" w:cs="宋体"/>
          <w:b/>
          <w:bCs/>
          <w:sz w:val="24"/>
          <w:szCs w:val="24"/>
          <w:lang w:val="zh-TW"/>
        </w:rPr>
        <w:t>）</w:t>
      </w:r>
      <w:r>
        <w:rPr>
          <w:rFonts w:ascii="宋体" w:hAnsi="宋体" w:eastAsia="宋体" w:cs="宋体"/>
          <w:b/>
          <w:bCs/>
          <w:sz w:val="24"/>
          <w:szCs w:val="24"/>
          <w:lang w:val="zh-TW" w:eastAsia="zh-TW"/>
        </w:rPr>
        <w:t>展陈照明通用技术要求</w:t>
      </w:r>
    </w:p>
    <w:p w14:paraId="203DB149">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 xml:space="preserve">文物展陈柜内照明照明光源的色温3500k，图文照明照明光源的色温3500k,环境照明照明光源的色温4000k，同一展品照明光源的色温应保持一致，展厅灯光色温应整体相协调。展品照明一般显色指数（Ra）应不低于97，展厅照明光源显色指数（Ra）应不低于95，红色显色指数（R9）应不低于80。 </w:t>
      </w:r>
    </w:p>
    <w:p w14:paraId="79C705E6">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文物展陈照明选用的同类型灯具，其光源色容差应不大于2SDCM。照明灯具的光源寿命应不低于50,000 h。</w:t>
      </w:r>
    </w:p>
    <w:p w14:paraId="633A343A">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展陈照明应满足文物保护要求。除了满足色温、显色性指标外，还应：</w:t>
      </w:r>
    </w:p>
    <w:p w14:paraId="4AF26FA9">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1）确保光源的紫外辐射相对含量应小于10μW/lm；</w:t>
      </w:r>
    </w:p>
    <w:p w14:paraId="51B27106">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2）控制展品表面的年曝光量限制值和照度标准值应满足《博物馆照明设计规范》GB/T23863-2024的规定。</w:t>
      </w:r>
    </w:p>
    <w:p w14:paraId="45A6C9B9">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3）采购人有权按照此要求进行验收抽查检测。</w:t>
      </w:r>
    </w:p>
    <w:p w14:paraId="2A95902E">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在满足配光和眩光限制要求的条件下，应选用灯具效能高的灯具。展厅重点照明用LED轨道灯、LED射灯、LED筒灯灯具的初始效能值不应低于表</w:t>
      </w:r>
      <w:r>
        <w:rPr>
          <w:rFonts w:ascii="宋体" w:hAnsi="宋体" w:eastAsia="宋体" w:cs="宋体"/>
          <w:sz w:val="24"/>
          <w:szCs w:val="24"/>
        </w:rPr>
        <w:t>3</w:t>
      </w:r>
      <w:r>
        <w:rPr>
          <w:rFonts w:ascii="宋体" w:hAnsi="宋体" w:eastAsia="宋体" w:cs="宋体"/>
          <w:sz w:val="24"/>
          <w:szCs w:val="24"/>
          <w:lang w:val="zh-TW" w:eastAsia="zh-TW"/>
        </w:rPr>
        <w:t>的规定。</w:t>
      </w:r>
    </w:p>
    <w:p w14:paraId="46C9039C">
      <w:pPr>
        <w:spacing w:line="360" w:lineRule="auto"/>
        <w:jc w:val="center"/>
        <w:rPr>
          <w:rFonts w:hint="default" w:ascii="宋体" w:hAnsi="宋体" w:eastAsia="宋体" w:cs="宋体"/>
          <w:b/>
          <w:bCs/>
          <w:sz w:val="24"/>
          <w:szCs w:val="24"/>
          <w:lang w:val="zh-TW" w:eastAsia="zh-TW"/>
        </w:rPr>
      </w:pPr>
      <w:r>
        <w:rPr>
          <w:rFonts w:ascii="宋体" w:hAnsi="宋体" w:eastAsia="宋体" w:cs="宋体"/>
          <w:b/>
          <w:bCs/>
          <w:sz w:val="24"/>
          <w:szCs w:val="24"/>
          <w:lang w:val="zh-TW" w:eastAsia="zh-TW"/>
        </w:rPr>
        <w:t xml:space="preserve">表 </w:t>
      </w:r>
      <w:r>
        <w:rPr>
          <w:rFonts w:ascii="宋体" w:hAnsi="宋体" w:eastAsia="宋体" w:cs="宋体"/>
          <w:b/>
          <w:bCs/>
          <w:sz w:val="24"/>
          <w:szCs w:val="24"/>
        </w:rPr>
        <w:t>3</w:t>
      </w:r>
      <w:r>
        <w:rPr>
          <w:rFonts w:ascii="宋体" w:hAnsi="宋体" w:eastAsia="宋体" w:cs="宋体"/>
          <w:b/>
          <w:bCs/>
          <w:sz w:val="24"/>
          <w:szCs w:val="24"/>
          <w:lang w:val="zh-TW" w:eastAsia="zh-TW"/>
        </w:rPr>
        <w:t xml:space="preserve">  LED轨道灯、LED射灯、LED筒灯灯具的初始效能值</w:t>
      </w:r>
    </w:p>
    <w:tbl>
      <w:tblPr>
        <w:tblStyle w:val="1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8"/>
        <w:gridCol w:w="3266"/>
        <w:gridCol w:w="3832"/>
      </w:tblGrid>
      <w:tr w14:paraId="2AB36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pct"/>
            <w:shd w:val="clear" w:color="auto" w:fill="auto"/>
            <w:vAlign w:val="center"/>
          </w:tcPr>
          <w:p w14:paraId="289C5BC7">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光束分类</w:t>
            </w:r>
          </w:p>
        </w:tc>
        <w:tc>
          <w:tcPr>
            <w:tcW w:w="1727" w:type="pct"/>
            <w:shd w:val="clear" w:color="auto" w:fill="auto"/>
            <w:vAlign w:val="center"/>
          </w:tcPr>
          <w:p w14:paraId="1179AE8C">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光束角</w:t>
            </w:r>
          </w:p>
          <w:p w14:paraId="0429EEC1">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w:t>
            </w:r>
          </w:p>
        </w:tc>
        <w:tc>
          <w:tcPr>
            <w:tcW w:w="2026" w:type="pct"/>
            <w:shd w:val="clear" w:color="auto" w:fill="auto"/>
            <w:vAlign w:val="center"/>
          </w:tcPr>
          <w:p w14:paraId="57B916F0">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初始效能限值</w:t>
            </w:r>
          </w:p>
          <w:p w14:paraId="72B1D132">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lm/W</w:t>
            </w:r>
          </w:p>
        </w:tc>
      </w:tr>
      <w:tr w14:paraId="54A5A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pct"/>
            <w:shd w:val="clear" w:color="auto" w:fill="auto"/>
            <w:vAlign w:val="center"/>
          </w:tcPr>
          <w:p w14:paraId="407B4346">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特窄光束</w:t>
            </w:r>
          </w:p>
        </w:tc>
        <w:tc>
          <w:tcPr>
            <w:tcW w:w="1727" w:type="pct"/>
            <w:shd w:val="clear" w:color="auto" w:fill="auto"/>
            <w:vAlign w:val="center"/>
          </w:tcPr>
          <w:p w14:paraId="53D0B47D">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&lt;10</w:t>
            </w:r>
          </w:p>
        </w:tc>
        <w:tc>
          <w:tcPr>
            <w:tcW w:w="2026" w:type="pct"/>
            <w:shd w:val="clear" w:color="auto" w:fill="auto"/>
            <w:vAlign w:val="center"/>
          </w:tcPr>
          <w:p w14:paraId="08A8F402">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30</w:t>
            </w:r>
          </w:p>
        </w:tc>
      </w:tr>
      <w:tr w14:paraId="56652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pct"/>
            <w:shd w:val="clear" w:color="auto" w:fill="auto"/>
            <w:vAlign w:val="center"/>
          </w:tcPr>
          <w:p w14:paraId="72038BC6">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窄光束</w:t>
            </w:r>
          </w:p>
        </w:tc>
        <w:tc>
          <w:tcPr>
            <w:tcW w:w="1727" w:type="pct"/>
            <w:shd w:val="clear" w:color="auto" w:fill="auto"/>
            <w:vAlign w:val="center"/>
          </w:tcPr>
          <w:p w14:paraId="0D162BA9">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10～30</w:t>
            </w:r>
          </w:p>
        </w:tc>
        <w:tc>
          <w:tcPr>
            <w:tcW w:w="2026" w:type="pct"/>
            <w:shd w:val="clear" w:color="auto" w:fill="auto"/>
            <w:vAlign w:val="center"/>
          </w:tcPr>
          <w:p w14:paraId="2695A845">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45</w:t>
            </w:r>
          </w:p>
        </w:tc>
      </w:tr>
      <w:tr w14:paraId="6510B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pct"/>
            <w:shd w:val="clear" w:color="auto" w:fill="auto"/>
            <w:vAlign w:val="center"/>
          </w:tcPr>
          <w:p w14:paraId="01F7A878">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中光束</w:t>
            </w:r>
          </w:p>
        </w:tc>
        <w:tc>
          <w:tcPr>
            <w:tcW w:w="1727" w:type="pct"/>
            <w:shd w:val="clear" w:color="auto" w:fill="auto"/>
            <w:vAlign w:val="center"/>
          </w:tcPr>
          <w:p w14:paraId="1506B772">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30～60</w:t>
            </w:r>
          </w:p>
        </w:tc>
        <w:tc>
          <w:tcPr>
            <w:tcW w:w="2026" w:type="pct"/>
            <w:shd w:val="clear" w:color="auto" w:fill="auto"/>
            <w:vAlign w:val="center"/>
          </w:tcPr>
          <w:p w14:paraId="3DB85E91">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60</w:t>
            </w:r>
          </w:p>
        </w:tc>
      </w:tr>
      <w:tr w14:paraId="7CDD9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47" w:type="pct"/>
            <w:shd w:val="clear" w:color="auto" w:fill="auto"/>
            <w:vAlign w:val="center"/>
          </w:tcPr>
          <w:p w14:paraId="4E1AE843">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宽光束</w:t>
            </w:r>
          </w:p>
        </w:tc>
        <w:tc>
          <w:tcPr>
            <w:tcW w:w="1727" w:type="pct"/>
            <w:shd w:val="clear" w:color="auto" w:fill="auto"/>
            <w:vAlign w:val="center"/>
          </w:tcPr>
          <w:p w14:paraId="794D33AB">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&gt;60</w:t>
            </w:r>
          </w:p>
        </w:tc>
        <w:tc>
          <w:tcPr>
            <w:tcW w:w="2026" w:type="pct"/>
            <w:shd w:val="clear" w:color="auto" w:fill="auto"/>
            <w:vAlign w:val="center"/>
          </w:tcPr>
          <w:p w14:paraId="21C42574">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80</w:t>
            </w:r>
          </w:p>
        </w:tc>
      </w:tr>
      <w:tr w14:paraId="153CD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000" w:type="pct"/>
            <w:gridSpan w:val="3"/>
            <w:shd w:val="clear" w:color="auto" w:fill="auto"/>
            <w:vAlign w:val="center"/>
          </w:tcPr>
          <w:p w14:paraId="5AF21C84">
            <w:pPr>
              <w:spacing w:line="360" w:lineRule="auto"/>
              <w:jc w:val="center"/>
              <w:rPr>
                <w:rFonts w:hint="default" w:ascii="宋体" w:hAnsi="宋体" w:eastAsia="宋体" w:cs="宋体"/>
                <w:sz w:val="24"/>
                <w:szCs w:val="24"/>
                <w:lang w:val="zh-TW" w:eastAsia="zh-TW"/>
              </w:rPr>
            </w:pPr>
            <w:r>
              <w:rPr>
                <w:rFonts w:ascii="宋体" w:hAnsi="宋体" w:eastAsia="宋体" w:cs="宋体"/>
                <w:sz w:val="24"/>
                <w:szCs w:val="24"/>
                <w:lang w:val="zh-TW" w:eastAsia="zh-TW"/>
              </w:rPr>
              <w:t>注：调焦轨道灯的能效限定值按其最小光束角选取。当灯具一般显色指数Ra不低于90时，灯具初始效能值可降低5 lm/W。</w:t>
            </w:r>
          </w:p>
        </w:tc>
      </w:tr>
    </w:tbl>
    <w:p w14:paraId="5A142661">
      <w:pPr>
        <w:spacing w:line="360" w:lineRule="auto"/>
        <w:ind w:firstLine="482"/>
        <w:rPr>
          <w:rFonts w:hint="default" w:ascii="宋体" w:hAnsi="宋体" w:eastAsia="宋体" w:cs="宋体"/>
          <w:sz w:val="24"/>
          <w:szCs w:val="24"/>
          <w:lang w:val="zh-TW" w:eastAsia="zh-TW"/>
        </w:rPr>
      </w:pPr>
    </w:p>
    <w:p w14:paraId="52114AB4">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文物展陈照明灯具均需为可以随意移动位置及调整照射角度的灯具产品，并满足水平可调节角度最小为360°（或以上），垂直可调角度最小90°（或以上），灯体旋转角度锁定性良好的要求，以满足文物展陈照明调整的需求。</w:t>
      </w:r>
    </w:p>
    <w:p w14:paraId="7C6BB1B4">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文物展陈照明中的环境照明应严格防止“直接眩光”和“反射眩光”。应通过科学、合理的设计，对整体展厅及展柜进行眩光控制，或可采用为专业照明灯具配置防眩光配件的方式。展厅内一般照明的眩光值（UGR）应不大于19。一般照明的地面照度均匀度不应小于0.4；对于平面展品，照度均匀度不应小于0.6。</w:t>
      </w:r>
    </w:p>
    <w:p w14:paraId="4A8D502F">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文物展厅中相对独立的辅助功能区域照明应能满足人员活动需求，符合JGJ 66—2015 《博物馆建筑设计规范》的规定，并与其他区域的照明效果相协调。</w:t>
      </w:r>
    </w:p>
    <w:p w14:paraId="2A49F66A">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文物展陈的所有专业照明系统需具备在调光范围内的任意值工作状态下无频闪现象，可以满足高清摄像的需求。光源或灯具的闪变指数PstLM 应不大于1；光源或灯具频闪效应可视度SVM 应不大于1.3；光输出频率应不小于500Hz。灯光调至最低亮度输出后频闪控制满足GB/T 31831-2025《LED室内照明应用要求》中表 12对波动深度的限值规定。</w:t>
      </w:r>
    </w:p>
    <w:p w14:paraId="727F0417">
      <w:pPr>
        <w:spacing w:line="360" w:lineRule="auto"/>
        <w:ind w:firstLine="482"/>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展陈天花照明装置的配套专业轨道应为三回路制式或三回路二信号制式，柜内照明装置配套专业低压导轨应为二线制式或四线三回路铝合金轨道，以匹配智能控制系统，并保证日后运行维护方便。</w:t>
      </w:r>
    </w:p>
    <w:p w14:paraId="0DCCE06B">
      <w:pPr>
        <w:spacing w:line="360" w:lineRule="auto"/>
        <w:ind w:firstLine="482"/>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投标文件应明确拟选用的展陈照明灯具（包括柜内、柜外、场景等各种照明）的品牌并提供有关技术参数资料及证明文件或检测报告。</w:t>
      </w:r>
    </w:p>
    <w:p w14:paraId="07CA184E">
      <w:pPr>
        <w:spacing w:line="360" w:lineRule="auto"/>
        <w:ind w:firstLine="482"/>
        <w:rPr>
          <w:rFonts w:hint="default" w:ascii="宋体" w:hAnsi="宋体" w:eastAsia="宋体" w:cs="宋体"/>
          <w:sz w:val="24"/>
          <w:szCs w:val="24"/>
          <w:lang w:val="zh-TW" w:eastAsia="zh-TW"/>
        </w:rPr>
      </w:pPr>
      <w:r>
        <w:rPr>
          <w:rFonts w:ascii="宋体" w:hAnsi="宋体" w:eastAsia="宋体" w:cs="宋体"/>
          <w:b/>
          <w:bCs/>
          <w:sz w:val="24"/>
          <w:szCs w:val="24"/>
          <w:lang w:val="zh-TW"/>
        </w:rPr>
        <w:t>（</w:t>
      </w:r>
      <w:r>
        <w:rPr>
          <w:rFonts w:ascii="宋体" w:hAnsi="宋体" w:eastAsia="宋体" w:cs="宋体"/>
          <w:b/>
          <w:bCs/>
          <w:sz w:val="24"/>
          <w:szCs w:val="24"/>
        </w:rPr>
        <w:t>3</w:t>
      </w:r>
      <w:r>
        <w:rPr>
          <w:rFonts w:ascii="宋体" w:hAnsi="宋体" w:eastAsia="宋体" w:cs="宋体"/>
          <w:b/>
          <w:bCs/>
          <w:sz w:val="24"/>
          <w:szCs w:val="24"/>
          <w:lang w:val="zh-TW"/>
        </w:rPr>
        <w:t>）</w:t>
      </w:r>
      <w:r>
        <w:rPr>
          <w:rFonts w:ascii="宋体" w:hAnsi="宋体" w:eastAsia="宋体" w:cs="宋体"/>
          <w:b/>
          <w:bCs/>
          <w:sz w:val="24"/>
          <w:szCs w:val="24"/>
        </w:rPr>
        <w:t>柜内照明基本要求</w:t>
      </w:r>
    </w:p>
    <w:p w14:paraId="6F131AFC">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柜内的照明设计应结合展厅环境照明整体设计，注重各设计阶段与环境照明的衔接与协调。各设计阶段的成果应具有一致性、完整性和可操作性。柜内照明设计方案经采购人确认后方可采购与施工。</w:t>
      </w:r>
    </w:p>
    <w:p w14:paraId="4AFF2DA8">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照明设计时，应根据不同类型展品的需求确定照明方式。展柜及展陈设计时，应避免灯具和展品之间出现遮挡物。</w:t>
      </w:r>
    </w:p>
    <w:p w14:paraId="3A876677">
      <w:pPr>
        <w:spacing w:line="360" w:lineRule="auto"/>
        <w:ind w:firstLine="482"/>
        <w:rPr>
          <w:rFonts w:hint="default" w:ascii="宋体" w:hAnsi="宋体" w:eastAsia="宋体" w:cs="宋体"/>
          <w:color w:val="auto"/>
          <w:sz w:val="24"/>
          <w:szCs w:val="24"/>
          <w:lang w:val="zh-TW" w:eastAsia="zh-TW"/>
        </w:rPr>
      </w:pPr>
      <w:r>
        <w:rPr>
          <w:rFonts w:ascii="宋体" w:hAnsi="宋体" w:eastAsia="宋体" w:cs="宋体"/>
          <w:sz w:val="24"/>
          <w:szCs w:val="24"/>
          <w:lang w:val="zh-TW" w:eastAsia="zh-TW"/>
        </w:rPr>
        <w:t>柜内照明灯具品牌应在国内设有售后服务或生产维修点，以利于及时便利维护。所选专业灯具品牌</w:t>
      </w:r>
      <w:r>
        <w:rPr>
          <w:rFonts w:ascii="宋体" w:hAnsi="宋体" w:eastAsia="宋体" w:cs="宋体"/>
          <w:sz w:val="24"/>
          <w:szCs w:val="24"/>
          <w:lang w:val="zh-TW"/>
        </w:rPr>
        <w:t>采用国内知名品牌，并得到采购人认可。</w:t>
      </w:r>
      <w:r>
        <w:rPr>
          <w:rFonts w:ascii="宋体" w:hAnsi="宋体" w:eastAsia="宋体" w:cs="宋体"/>
          <w:sz w:val="24"/>
          <w:szCs w:val="24"/>
          <w:lang w:val="zh-TW" w:eastAsia="zh-TW"/>
        </w:rPr>
        <w:t>展柜内灯具体积需尽可能小型化，应预留安装尺寸便于灯具隐藏以及维修，并充分考虑灯具镇流器、LED驱动电源等</w:t>
      </w:r>
      <w:r>
        <w:rPr>
          <w:rFonts w:ascii="宋体" w:hAnsi="宋体" w:eastAsia="宋体" w:cs="宋体"/>
          <w:color w:val="auto"/>
          <w:sz w:val="24"/>
          <w:szCs w:val="24"/>
          <w:lang w:val="zh-TW" w:eastAsia="zh-TW"/>
        </w:rPr>
        <w:t>附件的安装以及散热效果。其中展柜顶灯箱内灯具应满足如下需求：</w:t>
      </w:r>
    </w:p>
    <w:p w14:paraId="7772B44D">
      <w:pPr>
        <w:spacing w:line="360" w:lineRule="auto"/>
        <w:ind w:firstLine="482"/>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1）通柜用灯具加导轨高度不得超过</w:t>
      </w:r>
      <w:r>
        <w:rPr>
          <w:rFonts w:ascii="宋体" w:hAnsi="宋体" w:eastAsia="宋体" w:cs="宋体"/>
          <w:color w:val="auto"/>
          <w:sz w:val="24"/>
          <w:szCs w:val="24"/>
        </w:rPr>
        <w:t>20</w:t>
      </w:r>
      <w:r>
        <w:rPr>
          <w:rFonts w:ascii="宋体" w:hAnsi="宋体" w:eastAsia="宋体" w:cs="宋体"/>
          <w:color w:val="auto"/>
          <w:sz w:val="24"/>
          <w:szCs w:val="24"/>
          <w:lang w:val="zh-TW" w:eastAsia="zh-TW"/>
        </w:rPr>
        <w:t>cm；</w:t>
      </w:r>
    </w:p>
    <w:p w14:paraId="067BDC59">
      <w:pPr>
        <w:spacing w:line="360" w:lineRule="auto"/>
        <w:ind w:firstLine="482"/>
        <w:rPr>
          <w:rFonts w:hint="default" w:ascii="宋体" w:hAnsi="宋体" w:eastAsia="宋体" w:cs="宋体"/>
          <w:color w:val="auto"/>
          <w:sz w:val="24"/>
          <w:szCs w:val="24"/>
          <w:lang w:val="zh-TW" w:eastAsia="zh-TW"/>
        </w:rPr>
      </w:pPr>
      <w:r>
        <w:rPr>
          <w:rFonts w:ascii="宋体" w:hAnsi="宋体" w:eastAsia="宋体" w:cs="宋体"/>
          <w:color w:val="auto"/>
          <w:sz w:val="24"/>
          <w:szCs w:val="24"/>
          <w:lang w:val="zh-TW" w:eastAsia="zh-TW"/>
        </w:rPr>
        <w:t>2）边柜或中心柜用灯具加导轨高度不得超过10cm；</w:t>
      </w:r>
    </w:p>
    <w:p w14:paraId="58C0E4DF">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投标人采购的柜内照明装置产品应符合相关安全标准、EMC辐射和抗干扰标准（投标文件中出具能体现参数的证明文件或检测报告）。</w:t>
      </w:r>
    </w:p>
    <w:p w14:paraId="7B193518">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柜内照明应充分考虑功能扩展性和适应性，针对不同大小、形状、质地文物的有效照明，采用不同的照明手法。即柜内照明灯具除变焦灯具外可运用可更换配光配件实现窄、中、宽、椭圆拉伸、洗墙等配光效果，以灵活多样达到满足不同文物的陈列照明需求。</w:t>
      </w:r>
    </w:p>
    <w:p w14:paraId="1116E41D">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展柜内的灯具与展示空间之间应设置防护或隔离措施，灯具应易于安装、调试和维护，以有效避免灯具坠落或灯具调节与更换时对展品造成触碰等危险情况发生。未进行物理隔离的灯具输入电压宜为安全特低电压（SELV），并且在正常工作条件下，灯具表面的温度不应超过50℃。</w:t>
      </w:r>
    </w:p>
    <w:p w14:paraId="3639F2E5">
      <w:pPr>
        <w:spacing w:line="360" w:lineRule="auto"/>
        <w:ind w:firstLine="482"/>
        <w:rPr>
          <w:rFonts w:hint="default" w:ascii="宋体" w:hAnsi="宋体" w:eastAsia="宋体" w:cs="宋体"/>
          <w:b/>
          <w:bCs/>
          <w:sz w:val="24"/>
          <w:szCs w:val="24"/>
          <w:lang w:val="zh-TW" w:eastAsia="zh-TW"/>
        </w:rPr>
      </w:pPr>
      <w:r>
        <w:rPr>
          <w:rFonts w:ascii="宋体" w:hAnsi="宋体" w:eastAsia="宋体" w:cs="宋体"/>
          <w:b/>
          <w:bCs/>
          <w:sz w:val="24"/>
          <w:szCs w:val="24"/>
          <w:lang w:val="zh-TW"/>
        </w:rPr>
        <w:t>（</w:t>
      </w:r>
      <w:r>
        <w:rPr>
          <w:rFonts w:ascii="宋体" w:hAnsi="宋体" w:eastAsia="宋体" w:cs="宋体"/>
          <w:b/>
          <w:bCs/>
          <w:sz w:val="24"/>
          <w:szCs w:val="24"/>
        </w:rPr>
        <w:t>4</w:t>
      </w:r>
      <w:r>
        <w:rPr>
          <w:rFonts w:ascii="宋体" w:hAnsi="宋体" w:eastAsia="宋体" w:cs="宋体"/>
          <w:b/>
          <w:bCs/>
          <w:sz w:val="24"/>
          <w:szCs w:val="24"/>
          <w:lang w:val="zh-TW"/>
        </w:rPr>
        <w:t>）</w:t>
      </w:r>
      <w:r>
        <w:rPr>
          <w:rFonts w:ascii="宋体" w:hAnsi="宋体" w:eastAsia="宋体" w:cs="宋体"/>
          <w:b/>
          <w:bCs/>
          <w:sz w:val="24"/>
          <w:szCs w:val="24"/>
          <w:lang w:val="zh-TW" w:eastAsia="zh-TW"/>
        </w:rPr>
        <w:t>柜外照明基本要求</w:t>
      </w:r>
    </w:p>
    <w:p w14:paraId="6828042B">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柜外的照明设计应结合展厅环境照明、柜内照明整体设计，注重陈列设计、施工图设计的衔接与协调。各设计阶段的成果应具有一致性、完整性和可操作性。经采购人确认后方可采购与施工。</w:t>
      </w:r>
    </w:p>
    <w:p w14:paraId="6234E2AD">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灯具设置在展柜外进行照明时，灯具的设置应考虑展品呈现和防眩光要求，并应避免展柜边框、人员等在展品和展柜表面留下阴影。</w:t>
      </w:r>
    </w:p>
    <w:p w14:paraId="21E8E6C2">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柜外展陈照明灯具、展厅环境照明灯具、辅助功能区域照明灯具需经采购人审核、测试、试样和封样，采购人审核确定后，才能进行采购。中标人负责安装和调试。</w:t>
      </w:r>
    </w:p>
    <w:p w14:paraId="7EE96721">
      <w:pPr>
        <w:spacing w:line="360" w:lineRule="auto"/>
        <w:ind w:firstLine="482"/>
        <w:rPr>
          <w:rFonts w:hint="default" w:ascii="宋体" w:hAnsi="宋体" w:eastAsia="宋体" w:cs="宋体"/>
          <w:b/>
          <w:bCs/>
          <w:sz w:val="24"/>
          <w:szCs w:val="24"/>
          <w:lang w:val="zh-TW" w:eastAsia="zh-TW"/>
        </w:rPr>
      </w:pPr>
      <w:r>
        <w:rPr>
          <w:rFonts w:ascii="宋体" w:hAnsi="宋体" w:eastAsia="宋体" w:cs="宋体"/>
          <w:b/>
          <w:bCs/>
          <w:sz w:val="24"/>
          <w:szCs w:val="24"/>
        </w:rPr>
        <w:t xml:space="preserve">4.4 </w:t>
      </w:r>
      <w:r>
        <w:rPr>
          <w:rFonts w:ascii="宋体" w:hAnsi="宋体" w:eastAsia="宋体" w:cs="宋体"/>
          <w:b/>
          <w:bCs/>
          <w:sz w:val="24"/>
          <w:szCs w:val="24"/>
          <w:lang w:val="zh-TW" w:eastAsia="zh-TW"/>
        </w:rPr>
        <w:t>多媒体展项设计要求</w:t>
      </w:r>
    </w:p>
    <w:p w14:paraId="5B266834">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本项目所有数字多媒体内容均须根据鲁迅纪念馆展陈大纲与策展逻辑进行定制化开发</w:t>
      </w:r>
      <w:r>
        <w:rPr>
          <w:rFonts w:ascii="宋体" w:hAnsi="宋体" w:eastAsia="宋体" w:cs="宋体"/>
          <w:sz w:val="24"/>
          <w:szCs w:val="24"/>
          <w:lang w:val="zh-TW"/>
        </w:rPr>
        <w:t>。</w:t>
      </w:r>
    </w:p>
    <w:p w14:paraId="6B787F9C">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拟使用多媒体设计，设计手法不限，多媒体设备的选型上应考虑技术相对领先而且设备性能可靠、稳定以及维护保养的低成本与便捷性。</w:t>
      </w:r>
    </w:p>
    <w:p w14:paraId="08C47305">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硬件上采用具有对比度高、图像清晰度好、画面均匀、色彩锐利、寿命长，画面质量稳定等。</w:t>
      </w:r>
    </w:p>
    <w:p w14:paraId="737D374B">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保证音频广播系统易操作，音域广，音色润，抗干扰性强，稳定性好，多个音频同时调度。</w:t>
      </w:r>
    </w:p>
    <w:p w14:paraId="25BF2618">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设计集中控制系统及灯光控制系统，使整套系统能够方便快捷的管理。</w:t>
      </w:r>
    </w:p>
    <w:p w14:paraId="31252549">
      <w:pPr>
        <w:spacing w:line="360" w:lineRule="auto"/>
        <w:ind w:firstLine="480"/>
        <w:rPr>
          <w:rFonts w:hint="default" w:ascii="宋体" w:hAnsi="宋体" w:eastAsia="宋体" w:cs="宋体"/>
          <w:b/>
          <w:bCs/>
          <w:sz w:val="24"/>
          <w:szCs w:val="24"/>
        </w:rPr>
      </w:pPr>
      <w:r>
        <w:rPr>
          <w:rFonts w:ascii="宋体" w:hAnsi="宋体" w:eastAsia="宋体" w:cs="宋体"/>
          <w:b/>
          <w:bCs/>
          <w:sz w:val="24"/>
          <w:szCs w:val="24"/>
        </w:rPr>
        <w:t>4.4.1 多媒体设备选型要求</w:t>
      </w:r>
    </w:p>
    <w:p w14:paraId="79142EB1">
      <w:pPr>
        <w:spacing w:line="360" w:lineRule="auto"/>
        <w:ind w:firstLine="480"/>
        <w:rPr>
          <w:rFonts w:hint="default" w:ascii="宋体" w:hAnsi="宋体" w:eastAsia="宋体" w:cs="宋体"/>
          <w:sz w:val="24"/>
          <w:szCs w:val="24"/>
        </w:rPr>
      </w:pPr>
      <w:r>
        <w:rPr>
          <w:rFonts w:ascii="宋体" w:hAnsi="宋体" w:eastAsia="宋体" w:cs="宋体"/>
          <w:sz w:val="24"/>
          <w:szCs w:val="24"/>
        </w:rPr>
        <w:t>（1）</w:t>
      </w:r>
      <w:r>
        <w:rPr>
          <w:rFonts w:hint="default" w:ascii="宋体" w:hAnsi="宋体" w:eastAsia="宋体" w:cs="宋体"/>
          <w:sz w:val="24"/>
          <w:szCs w:val="24"/>
        </w:rPr>
        <w:t>稳定性：应选择成熟的产品</w:t>
      </w:r>
      <w:r>
        <w:rPr>
          <w:rFonts w:ascii="宋体" w:hAnsi="宋体" w:eastAsia="宋体" w:cs="宋体"/>
          <w:sz w:val="24"/>
          <w:szCs w:val="24"/>
        </w:rPr>
        <w:t>，经采购人确认后方可采购与施工</w:t>
      </w:r>
      <w:r>
        <w:rPr>
          <w:rFonts w:hint="default" w:ascii="宋体" w:hAnsi="宋体" w:eastAsia="宋体" w:cs="宋体"/>
          <w:sz w:val="24"/>
          <w:szCs w:val="24"/>
        </w:rPr>
        <w:t>,设备对供电、通信和气候等外部条件应有良好的适应性；</w:t>
      </w:r>
    </w:p>
    <w:p w14:paraId="16503FF4">
      <w:pPr>
        <w:spacing w:line="360" w:lineRule="auto"/>
        <w:ind w:firstLine="480"/>
        <w:rPr>
          <w:rFonts w:hint="default" w:ascii="宋体" w:hAnsi="宋体" w:eastAsia="宋体" w:cs="宋体"/>
          <w:sz w:val="24"/>
          <w:szCs w:val="24"/>
        </w:rPr>
      </w:pPr>
      <w:r>
        <w:rPr>
          <w:rFonts w:ascii="宋体" w:hAnsi="宋体" w:eastAsia="宋体" w:cs="宋体"/>
          <w:sz w:val="24"/>
          <w:szCs w:val="24"/>
        </w:rPr>
        <w:t>（2）</w:t>
      </w:r>
      <w:r>
        <w:rPr>
          <w:rFonts w:hint="default" w:ascii="宋体" w:hAnsi="宋体" w:eastAsia="宋体" w:cs="宋体"/>
          <w:sz w:val="24"/>
          <w:szCs w:val="24"/>
        </w:rPr>
        <w:t>实用性:以满足展厅展示的基本需求为主，综合考虑经济、维护和管理等因素，将技术的先进性与实用性相结合；</w:t>
      </w:r>
    </w:p>
    <w:p w14:paraId="1FB22CAA">
      <w:pPr>
        <w:spacing w:line="360" w:lineRule="auto"/>
        <w:ind w:firstLine="480"/>
        <w:rPr>
          <w:rFonts w:hint="default" w:ascii="宋体" w:hAnsi="宋体" w:eastAsia="宋体" w:cs="宋体"/>
          <w:sz w:val="24"/>
          <w:szCs w:val="24"/>
        </w:rPr>
      </w:pPr>
      <w:r>
        <w:rPr>
          <w:rFonts w:ascii="宋体" w:hAnsi="宋体" w:eastAsia="宋体" w:cs="宋体"/>
          <w:sz w:val="24"/>
          <w:szCs w:val="24"/>
        </w:rPr>
        <w:t>（3）</w:t>
      </w:r>
      <w:r>
        <w:rPr>
          <w:rFonts w:hint="default" w:ascii="宋体" w:hAnsi="宋体" w:eastAsia="宋体" w:cs="宋体"/>
          <w:sz w:val="24"/>
          <w:szCs w:val="24"/>
        </w:rPr>
        <w:t>开放性:设备选用要符合国家有关政策和规定，技术上要与通用的国际标准、国家标准及行业规范相一致，并通过有关部门的检测认证，以便不同厂商的设备和资源能在平台上互联互通；</w:t>
      </w:r>
    </w:p>
    <w:p w14:paraId="11683201">
      <w:pPr>
        <w:spacing w:line="360" w:lineRule="auto"/>
        <w:ind w:firstLine="480"/>
        <w:rPr>
          <w:rFonts w:hint="default" w:ascii="宋体" w:hAnsi="宋体" w:eastAsia="宋体" w:cs="宋体"/>
          <w:sz w:val="24"/>
          <w:szCs w:val="24"/>
        </w:rPr>
      </w:pPr>
      <w:r>
        <w:rPr>
          <w:rFonts w:ascii="宋体" w:hAnsi="宋体" w:eastAsia="宋体" w:cs="宋体"/>
          <w:sz w:val="24"/>
          <w:szCs w:val="24"/>
        </w:rPr>
        <w:t>（4）</w:t>
      </w:r>
      <w:r>
        <w:rPr>
          <w:rFonts w:hint="default" w:ascii="宋体" w:hAnsi="宋体" w:eastAsia="宋体" w:cs="宋体"/>
          <w:sz w:val="24"/>
          <w:szCs w:val="24"/>
        </w:rPr>
        <w:t>可扩展性：考虑到技术的快速发展和今后需求的不断提高，系统应有可扩展、可升级的能力；</w:t>
      </w:r>
    </w:p>
    <w:p w14:paraId="65530556">
      <w:pPr>
        <w:spacing w:line="360" w:lineRule="auto"/>
        <w:ind w:firstLine="480"/>
        <w:rPr>
          <w:rFonts w:hint="default" w:ascii="宋体" w:hAnsi="宋体" w:eastAsia="宋体" w:cs="宋体"/>
          <w:sz w:val="24"/>
          <w:szCs w:val="24"/>
        </w:rPr>
      </w:pPr>
      <w:r>
        <w:rPr>
          <w:rFonts w:ascii="宋体" w:hAnsi="宋体" w:eastAsia="宋体" w:cs="宋体"/>
          <w:sz w:val="24"/>
          <w:szCs w:val="24"/>
        </w:rPr>
        <w:t>（5）</w:t>
      </w:r>
      <w:r>
        <w:rPr>
          <w:rFonts w:hint="default" w:ascii="宋体" w:hAnsi="宋体" w:eastAsia="宋体" w:cs="宋体"/>
          <w:sz w:val="24"/>
          <w:szCs w:val="24"/>
        </w:rPr>
        <w:t>安全性：所有设备和线路必须符合国家有关安全标准，有防漏电、防雷击、接地等环境保障措施，建立必要的管理制度，保障网络信息和设备的安全，有防病毒、防不良信息等功能。</w:t>
      </w:r>
    </w:p>
    <w:p w14:paraId="3D009E31">
      <w:pPr>
        <w:spacing w:line="360" w:lineRule="auto"/>
        <w:ind w:firstLine="480"/>
        <w:rPr>
          <w:rFonts w:hint="default" w:ascii="宋体" w:hAnsi="宋体" w:eastAsia="宋体" w:cs="宋体"/>
          <w:b/>
          <w:bCs/>
          <w:sz w:val="24"/>
          <w:szCs w:val="24"/>
        </w:rPr>
      </w:pPr>
      <w:r>
        <w:rPr>
          <w:rFonts w:ascii="宋体" w:hAnsi="宋体" w:eastAsia="宋体" w:cs="宋体"/>
          <w:b/>
          <w:bCs/>
          <w:sz w:val="24"/>
          <w:szCs w:val="24"/>
        </w:rPr>
        <w:t>4.4.2 多媒体主要规格参数</w:t>
      </w:r>
    </w:p>
    <w:tbl>
      <w:tblPr>
        <w:tblStyle w:val="12"/>
        <w:tblpPr w:leftFromText="180" w:rightFromText="180" w:vertAnchor="text" w:horzAnchor="page" w:tblpXSpec="center" w:tblpY="337"/>
        <w:tblOverlap w:val="never"/>
        <w:tblW w:w="8548" w:type="dxa"/>
        <w:jc w:val="center"/>
        <w:tblLayout w:type="fixed"/>
        <w:tblCellMar>
          <w:top w:w="0" w:type="dxa"/>
          <w:left w:w="0" w:type="dxa"/>
          <w:bottom w:w="0" w:type="dxa"/>
          <w:right w:w="0" w:type="dxa"/>
        </w:tblCellMar>
      </w:tblPr>
      <w:tblGrid>
        <w:gridCol w:w="1741"/>
        <w:gridCol w:w="5486"/>
        <w:gridCol w:w="1321"/>
      </w:tblGrid>
      <w:tr w14:paraId="7D27A12C">
        <w:tblPrEx>
          <w:tblCellMar>
            <w:top w:w="0" w:type="dxa"/>
            <w:left w:w="0" w:type="dxa"/>
            <w:bottom w:w="0" w:type="dxa"/>
            <w:right w:w="0" w:type="dxa"/>
          </w:tblCellMar>
        </w:tblPrEx>
        <w:trPr>
          <w:trHeight w:val="500" w:hRule="atLeast"/>
          <w:jc w:val="center"/>
        </w:trPr>
        <w:tc>
          <w:tcPr>
            <w:tcW w:w="174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BC1917F">
            <w:pPr>
              <w:spacing w:line="360" w:lineRule="auto"/>
              <w:jc w:val="center"/>
              <w:rPr>
                <w:rFonts w:hint="default" w:ascii="宋体" w:hAnsi="宋体" w:eastAsia="宋体" w:cs="宋体"/>
                <w:sz w:val="24"/>
                <w:szCs w:val="24"/>
              </w:rPr>
            </w:pPr>
            <w:r>
              <w:rPr>
                <w:rFonts w:hint="default" w:ascii="宋体" w:hAnsi="宋体" w:eastAsia="宋体" w:cs="宋体"/>
                <w:sz w:val="24"/>
                <w:szCs w:val="24"/>
              </w:rPr>
              <w:t>名称</w:t>
            </w:r>
          </w:p>
        </w:tc>
        <w:tc>
          <w:tcPr>
            <w:tcW w:w="5486"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2BF78ADB">
            <w:pPr>
              <w:spacing w:line="360" w:lineRule="auto"/>
              <w:jc w:val="center"/>
              <w:rPr>
                <w:rFonts w:hint="default" w:ascii="宋体" w:hAnsi="宋体" w:eastAsia="宋体" w:cs="宋体"/>
                <w:sz w:val="24"/>
                <w:szCs w:val="24"/>
              </w:rPr>
            </w:pPr>
            <w:r>
              <w:rPr>
                <w:rFonts w:hint="default" w:ascii="宋体" w:hAnsi="宋体" w:eastAsia="宋体" w:cs="宋体"/>
                <w:sz w:val="24"/>
                <w:szCs w:val="24"/>
              </w:rPr>
              <w:t>规格参数</w:t>
            </w:r>
          </w:p>
        </w:tc>
        <w:tc>
          <w:tcPr>
            <w:tcW w:w="1321" w:type="dxa"/>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14:paraId="5296C59B">
            <w:pPr>
              <w:spacing w:line="360" w:lineRule="auto"/>
              <w:jc w:val="center"/>
              <w:rPr>
                <w:rFonts w:hint="default" w:ascii="宋体" w:hAnsi="宋体" w:eastAsia="宋体" w:cs="宋体"/>
                <w:sz w:val="24"/>
                <w:szCs w:val="24"/>
              </w:rPr>
            </w:pPr>
            <w:r>
              <w:rPr>
                <w:rFonts w:hint="default" w:ascii="宋体" w:hAnsi="宋体" w:eastAsia="宋体" w:cs="宋体"/>
                <w:sz w:val="24"/>
                <w:szCs w:val="24"/>
              </w:rPr>
              <w:t>备注</w:t>
            </w:r>
          </w:p>
        </w:tc>
      </w:tr>
      <w:tr w14:paraId="3295812F">
        <w:tblPrEx>
          <w:tblCellMar>
            <w:top w:w="0" w:type="dxa"/>
            <w:left w:w="0" w:type="dxa"/>
            <w:bottom w:w="0" w:type="dxa"/>
            <w:right w:w="0" w:type="dxa"/>
          </w:tblCellMar>
        </w:tblPrEx>
        <w:trPr>
          <w:trHeight w:val="333" w:hRule="atLeast"/>
          <w:jc w:val="center"/>
        </w:trPr>
        <w:tc>
          <w:tcPr>
            <w:tcW w:w="1741"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745F1B54">
            <w:pPr>
              <w:spacing w:line="360" w:lineRule="auto"/>
              <w:jc w:val="center"/>
              <w:rPr>
                <w:rFonts w:hint="default" w:ascii="宋体" w:hAnsi="宋体" w:eastAsia="宋体" w:cs="宋体"/>
                <w:sz w:val="24"/>
                <w:szCs w:val="24"/>
              </w:rPr>
            </w:pPr>
            <w:r>
              <w:rPr>
                <w:rFonts w:hint="default" w:ascii="宋体" w:hAnsi="宋体" w:eastAsia="宋体" w:cs="宋体"/>
                <w:sz w:val="24"/>
                <w:szCs w:val="24"/>
              </w:rPr>
              <w:t>投影机</w:t>
            </w:r>
          </w:p>
        </w:tc>
        <w:tc>
          <w:tcPr>
            <w:tcW w:w="5486"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7FA85993">
            <w:pPr>
              <w:spacing w:line="360" w:lineRule="auto"/>
              <w:rPr>
                <w:rFonts w:hint="default" w:ascii="宋体" w:hAnsi="宋体" w:eastAsia="宋体" w:cs="宋体"/>
                <w:sz w:val="24"/>
                <w:szCs w:val="24"/>
              </w:rPr>
            </w:pPr>
            <w:r>
              <w:rPr>
                <w:rFonts w:ascii="宋体" w:hAnsi="宋体" w:eastAsia="宋体" w:cs="宋体"/>
                <w:sz w:val="24"/>
                <w:szCs w:val="24"/>
              </w:rPr>
              <w:t>DLP</w:t>
            </w:r>
            <w:r>
              <w:rPr>
                <w:rFonts w:hint="default" w:ascii="宋体" w:hAnsi="宋体" w:eastAsia="宋体" w:cs="宋体"/>
                <w:sz w:val="24"/>
                <w:szCs w:val="24"/>
              </w:rPr>
              <w:t>芯片；激光模组；中心亮度：≥</w:t>
            </w:r>
            <w:r>
              <w:rPr>
                <w:rFonts w:ascii="宋体" w:hAnsi="宋体" w:eastAsia="宋体" w:cs="宋体"/>
                <w:sz w:val="24"/>
                <w:szCs w:val="24"/>
              </w:rPr>
              <w:t>7000</w:t>
            </w:r>
            <w:r>
              <w:rPr>
                <w:rFonts w:hint="default" w:ascii="宋体" w:hAnsi="宋体" w:eastAsia="宋体" w:cs="宋体"/>
                <w:sz w:val="24"/>
                <w:szCs w:val="24"/>
              </w:rPr>
              <w:t>流明；分辨率支持1920*1200；对比度：≥3,000,000：1；画面宽高比支持</w:t>
            </w:r>
            <w:r>
              <w:rPr>
                <w:rFonts w:ascii="宋体" w:hAnsi="宋体" w:eastAsia="宋体" w:cs="宋体"/>
                <w:sz w:val="24"/>
                <w:szCs w:val="24"/>
              </w:rPr>
              <w:t>16：10</w:t>
            </w:r>
            <w:r>
              <w:rPr>
                <w:rFonts w:hint="default" w:ascii="宋体" w:hAnsi="宋体" w:eastAsia="宋体" w:cs="宋体"/>
                <w:sz w:val="24"/>
                <w:szCs w:val="24"/>
              </w:rPr>
              <w:t>；支持≥</w:t>
            </w:r>
            <w:r>
              <w:rPr>
                <w:rFonts w:ascii="宋体" w:hAnsi="宋体" w:eastAsia="宋体" w:cs="宋体"/>
                <w:sz w:val="24"/>
                <w:szCs w:val="24"/>
              </w:rPr>
              <w:t>20%</w:t>
            </w:r>
            <w:r>
              <w:rPr>
                <w:rFonts w:hint="default" w:ascii="宋体" w:hAnsi="宋体" w:eastAsia="宋体" w:cs="宋体"/>
                <w:sz w:val="24"/>
                <w:szCs w:val="24"/>
              </w:rPr>
              <w:t>(水平电动），支持≥50%（垂直电动），光源寿命：≥20000H；</w:t>
            </w:r>
          </w:p>
          <w:p w14:paraId="78816A8A">
            <w:pPr>
              <w:spacing w:line="360" w:lineRule="auto"/>
              <w:rPr>
                <w:rFonts w:hint="default" w:ascii="宋体" w:hAnsi="宋体" w:eastAsia="宋体" w:cs="宋体"/>
                <w:sz w:val="24"/>
                <w:szCs w:val="24"/>
              </w:rPr>
            </w:pPr>
            <w:r>
              <w:rPr>
                <w:rFonts w:hint="default" w:ascii="宋体" w:hAnsi="宋体" w:eastAsia="宋体" w:cs="宋体"/>
                <w:sz w:val="24"/>
                <w:szCs w:val="24"/>
              </w:rPr>
              <w:t>端口：HDMI，USB，RS232，， RJ45；镜头：可选超短焦镜头，可选配多种镜头；可选手动聚焦、电动控制聚焦、变焦、位移、视轴可调；校准：自动对准、几何校正及边缘融合功能、可调节不规则平面；内置画面重影修正功能：可将重影画面调节为高质量图像；</w:t>
            </w:r>
          </w:p>
        </w:tc>
        <w:tc>
          <w:tcPr>
            <w:tcW w:w="1321"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14:paraId="17E12001">
            <w:pPr>
              <w:spacing w:line="360" w:lineRule="auto"/>
              <w:jc w:val="center"/>
              <w:rPr>
                <w:rFonts w:hint="default" w:ascii="宋体" w:hAnsi="宋体" w:eastAsia="宋体" w:cs="宋体"/>
                <w:sz w:val="24"/>
                <w:szCs w:val="24"/>
              </w:rPr>
            </w:pPr>
            <w:r>
              <w:rPr>
                <w:rFonts w:hint="default" w:ascii="宋体" w:hAnsi="宋体" w:eastAsia="宋体" w:cs="宋体"/>
                <w:sz w:val="24"/>
                <w:szCs w:val="24"/>
              </w:rPr>
              <w:t>激光光源</w:t>
            </w:r>
          </w:p>
        </w:tc>
      </w:tr>
      <w:tr w14:paraId="4E0F2D61">
        <w:tblPrEx>
          <w:tblCellMar>
            <w:top w:w="0" w:type="dxa"/>
            <w:left w:w="0" w:type="dxa"/>
            <w:bottom w:w="0" w:type="dxa"/>
            <w:right w:w="0" w:type="dxa"/>
          </w:tblCellMar>
        </w:tblPrEx>
        <w:trPr>
          <w:trHeight w:val="333" w:hRule="atLeast"/>
          <w:jc w:val="center"/>
        </w:trPr>
        <w:tc>
          <w:tcPr>
            <w:tcW w:w="17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C89B21B">
            <w:pPr>
              <w:spacing w:line="360" w:lineRule="auto"/>
              <w:jc w:val="center"/>
              <w:rPr>
                <w:rFonts w:hint="default" w:ascii="宋体" w:hAnsi="宋体" w:eastAsia="宋体" w:cs="宋体"/>
                <w:sz w:val="24"/>
                <w:szCs w:val="24"/>
              </w:rPr>
            </w:pPr>
            <w:r>
              <w:rPr>
                <w:rFonts w:hint="default" w:ascii="宋体" w:hAnsi="宋体" w:eastAsia="宋体" w:cs="宋体"/>
                <w:sz w:val="24"/>
                <w:szCs w:val="24"/>
              </w:rPr>
              <w:t>反射式投影机</w:t>
            </w:r>
          </w:p>
        </w:tc>
        <w:tc>
          <w:tcPr>
            <w:tcW w:w="5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9827AF8">
            <w:pPr>
              <w:spacing w:line="360" w:lineRule="auto"/>
              <w:rPr>
                <w:rFonts w:hint="default" w:ascii="宋体" w:hAnsi="宋体" w:eastAsia="宋体" w:cs="宋体"/>
                <w:sz w:val="24"/>
                <w:szCs w:val="24"/>
              </w:rPr>
            </w:pPr>
            <w:r>
              <w:rPr>
                <w:rFonts w:hint="default" w:ascii="宋体" w:hAnsi="宋体" w:eastAsia="宋体" w:cs="宋体"/>
                <w:sz w:val="24"/>
                <w:szCs w:val="24"/>
              </w:rPr>
              <w:t>显示系统:</w:t>
            </w:r>
            <w:r>
              <w:rPr>
                <w:rFonts w:ascii="宋体" w:hAnsi="宋体" w:eastAsia="宋体" w:cs="宋体"/>
                <w:sz w:val="24"/>
                <w:szCs w:val="24"/>
              </w:rPr>
              <w:t>DLP</w:t>
            </w:r>
            <w:r>
              <w:rPr>
                <w:rFonts w:hint="default" w:ascii="宋体" w:hAnsi="宋体" w:eastAsia="宋体" w:cs="宋体"/>
                <w:sz w:val="24"/>
                <w:szCs w:val="24"/>
              </w:rPr>
              <w:t>系统；中心亮度：≥5000流明；分辨率支持≥1920*</w:t>
            </w:r>
            <w:r>
              <w:rPr>
                <w:rFonts w:ascii="宋体" w:hAnsi="宋体" w:eastAsia="宋体" w:cs="宋体"/>
                <w:sz w:val="24"/>
                <w:szCs w:val="24"/>
              </w:rPr>
              <w:t>1080</w:t>
            </w:r>
            <w:r>
              <w:rPr>
                <w:rFonts w:hint="default" w:ascii="宋体" w:hAnsi="宋体" w:eastAsia="宋体" w:cs="宋体"/>
                <w:sz w:val="24"/>
                <w:szCs w:val="24"/>
              </w:rPr>
              <w:t>；对比度≥</w:t>
            </w:r>
            <w:r>
              <w:rPr>
                <w:rFonts w:ascii="宋体" w:hAnsi="宋体" w:eastAsia="宋体" w:cs="宋体"/>
                <w:sz w:val="24"/>
                <w:szCs w:val="24"/>
              </w:rPr>
              <w:t>500000</w:t>
            </w:r>
            <w:r>
              <w:rPr>
                <w:rFonts w:hint="default" w:ascii="宋体" w:hAnsi="宋体" w:eastAsia="宋体" w:cs="宋体"/>
                <w:sz w:val="24"/>
                <w:szCs w:val="24"/>
              </w:rPr>
              <w:t>：1；显示比例：</w:t>
            </w:r>
            <w:r>
              <w:rPr>
                <w:rFonts w:ascii="宋体" w:hAnsi="宋体" w:eastAsia="宋体" w:cs="宋体"/>
                <w:sz w:val="24"/>
                <w:szCs w:val="24"/>
              </w:rPr>
              <w:t>16:9</w:t>
            </w:r>
            <w:r>
              <w:rPr>
                <w:rFonts w:hint="default" w:ascii="宋体" w:hAnsi="宋体" w:eastAsia="宋体" w:cs="宋体"/>
                <w:sz w:val="24"/>
                <w:szCs w:val="24"/>
              </w:rPr>
              <w:t>；镜头：</w:t>
            </w:r>
            <w:r>
              <w:rPr>
                <w:rFonts w:ascii="宋体" w:hAnsi="宋体" w:eastAsia="宋体" w:cs="宋体"/>
                <w:sz w:val="24"/>
                <w:szCs w:val="24"/>
              </w:rPr>
              <w:t xml:space="preserve"> 0.25：1</w:t>
            </w:r>
            <w:r>
              <w:rPr>
                <w:rFonts w:hint="default" w:ascii="宋体" w:hAnsi="宋体" w:eastAsia="宋体" w:cs="宋体"/>
                <w:sz w:val="24"/>
                <w:szCs w:val="24"/>
              </w:rPr>
              <w:t xml:space="preserve">超短焦镜头，光源寿命：≥20000H </w:t>
            </w:r>
          </w:p>
          <w:p w14:paraId="5DB448AB">
            <w:pPr>
              <w:spacing w:line="360" w:lineRule="auto"/>
              <w:rPr>
                <w:rFonts w:hint="default" w:ascii="宋体" w:hAnsi="宋体" w:eastAsia="宋体" w:cs="宋体"/>
                <w:sz w:val="24"/>
                <w:szCs w:val="24"/>
              </w:rPr>
            </w:pPr>
            <w:r>
              <w:rPr>
                <w:rFonts w:hint="default" w:ascii="宋体" w:hAnsi="宋体" w:eastAsia="宋体" w:cs="宋体"/>
                <w:sz w:val="24"/>
                <w:szCs w:val="24"/>
              </w:rPr>
              <w:t>梯形校正：水平/垂直±</w:t>
            </w:r>
            <w:r>
              <w:rPr>
                <w:rFonts w:ascii="宋体" w:hAnsi="宋体" w:eastAsia="宋体" w:cs="宋体"/>
                <w:sz w:val="24"/>
                <w:szCs w:val="24"/>
              </w:rPr>
              <w:t>10</w:t>
            </w:r>
            <w:r>
              <w:rPr>
                <w:rFonts w:hint="default" w:ascii="宋体" w:hAnsi="宋体" w:eastAsia="宋体" w:cs="宋体"/>
                <w:sz w:val="24"/>
                <w:szCs w:val="24"/>
              </w:rPr>
              <w:t>度；</w:t>
            </w:r>
          </w:p>
          <w:p w14:paraId="6854BA62">
            <w:pPr>
              <w:spacing w:line="360" w:lineRule="auto"/>
              <w:rPr>
                <w:rFonts w:hint="default" w:ascii="宋体" w:hAnsi="宋体" w:eastAsia="宋体" w:cs="宋体"/>
                <w:sz w:val="24"/>
                <w:szCs w:val="24"/>
              </w:rPr>
            </w:pPr>
            <w:r>
              <w:rPr>
                <w:rFonts w:hint="default" w:ascii="宋体" w:hAnsi="宋体" w:eastAsia="宋体" w:cs="宋体"/>
                <w:sz w:val="24"/>
                <w:szCs w:val="24"/>
              </w:rPr>
              <w:t xml:space="preserve">端口：HDMI；；RS232;RJ45;USB； </w:t>
            </w:r>
          </w:p>
        </w:tc>
        <w:tc>
          <w:tcPr>
            <w:tcW w:w="132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7F41E2">
            <w:pPr>
              <w:spacing w:line="360" w:lineRule="auto"/>
              <w:jc w:val="center"/>
              <w:rPr>
                <w:rFonts w:hint="default" w:ascii="宋体" w:hAnsi="宋体" w:eastAsia="宋体" w:cs="宋体"/>
                <w:sz w:val="24"/>
                <w:szCs w:val="24"/>
              </w:rPr>
            </w:pPr>
            <w:r>
              <w:rPr>
                <w:rFonts w:hint="default" w:ascii="宋体" w:hAnsi="宋体" w:eastAsia="宋体" w:cs="宋体"/>
                <w:sz w:val="24"/>
                <w:szCs w:val="24"/>
              </w:rPr>
              <w:t>激光光源</w:t>
            </w:r>
          </w:p>
        </w:tc>
      </w:tr>
      <w:tr w14:paraId="08E96BA0">
        <w:tblPrEx>
          <w:tblCellMar>
            <w:top w:w="0" w:type="dxa"/>
            <w:left w:w="0" w:type="dxa"/>
            <w:bottom w:w="0" w:type="dxa"/>
            <w:right w:w="0" w:type="dxa"/>
          </w:tblCellMar>
        </w:tblPrEx>
        <w:trPr>
          <w:trHeight w:val="2510" w:hRule="atLeast"/>
          <w:jc w:val="center"/>
        </w:trPr>
        <w:tc>
          <w:tcPr>
            <w:tcW w:w="17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374CB782">
            <w:pPr>
              <w:spacing w:line="360" w:lineRule="auto"/>
              <w:jc w:val="center"/>
              <w:rPr>
                <w:rFonts w:hint="default" w:ascii="宋体" w:hAnsi="宋体" w:eastAsia="宋体" w:cs="宋体"/>
                <w:sz w:val="24"/>
                <w:szCs w:val="24"/>
              </w:rPr>
            </w:pPr>
            <w:r>
              <w:rPr>
                <w:rFonts w:hint="default" w:ascii="宋体" w:hAnsi="宋体" w:eastAsia="宋体" w:cs="宋体"/>
                <w:sz w:val="24"/>
                <w:szCs w:val="24"/>
              </w:rPr>
              <w:t>OLED透明屏</w:t>
            </w:r>
          </w:p>
        </w:tc>
        <w:tc>
          <w:tcPr>
            <w:tcW w:w="5486"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1528C4D4">
            <w:pPr>
              <w:spacing w:line="360" w:lineRule="auto"/>
              <w:rPr>
                <w:rFonts w:hint="default" w:ascii="宋体" w:hAnsi="宋体" w:eastAsia="宋体" w:cs="宋体"/>
                <w:sz w:val="24"/>
                <w:szCs w:val="24"/>
              </w:rPr>
            </w:pPr>
            <w:r>
              <w:rPr>
                <w:rFonts w:hint="default" w:ascii="宋体" w:hAnsi="宋体" w:eastAsia="宋体" w:cs="宋体"/>
                <w:sz w:val="24"/>
                <w:szCs w:val="24"/>
              </w:rPr>
              <w:t>类型：透明显示；尺寸：≥55寸；面板比例：16：9；分辨率：≥1920*1080；亮度（峰值）：≥600cd/m2；亮度（全局）:≥200cd/㎡。通透率：≥43%；显示色彩：≥10bit(R)，1.07B；可视角度：≥170°；接口输入："USB接口X2；HDMI接口X1；VGA接口X1；TF卡槽X1；LAN以太网接口X1"</w:t>
            </w:r>
          </w:p>
        </w:tc>
        <w:tc>
          <w:tcPr>
            <w:tcW w:w="132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5813C13F">
            <w:pPr>
              <w:spacing w:line="360" w:lineRule="auto"/>
              <w:jc w:val="center"/>
              <w:rPr>
                <w:rFonts w:hint="default" w:ascii="宋体" w:hAnsi="宋体" w:eastAsia="宋体" w:cs="宋体"/>
                <w:sz w:val="24"/>
                <w:szCs w:val="24"/>
              </w:rPr>
            </w:pPr>
          </w:p>
        </w:tc>
      </w:tr>
      <w:tr w14:paraId="63159539">
        <w:tblPrEx>
          <w:tblCellMar>
            <w:top w:w="0" w:type="dxa"/>
            <w:left w:w="0" w:type="dxa"/>
            <w:bottom w:w="0" w:type="dxa"/>
            <w:right w:w="0" w:type="dxa"/>
          </w:tblCellMar>
        </w:tblPrEx>
        <w:trPr>
          <w:trHeight w:val="800" w:hRule="atLeast"/>
          <w:jc w:val="center"/>
        </w:trPr>
        <w:tc>
          <w:tcPr>
            <w:tcW w:w="17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DD29584">
            <w:pPr>
              <w:spacing w:line="360" w:lineRule="auto"/>
              <w:jc w:val="center"/>
              <w:rPr>
                <w:rFonts w:hint="default" w:ascii="宋体" w:hAnsi="宋体" w:eastAsia="宋体" w:cs="宋体"/>
                <w:sz w:val="24"/>
                <w:szCs w:val="24"/>
              </w:rPr>
            </w:pPr>
            <w:r>
              <w:rPr>
                <w:rFonts w:hint="default" w:ascii="宋体" w:hAnsi="宋体" w:eastAsia="宋体" w:cs="宋体"/>
                <w:sz w:val="24"/>
                <w:szCs w:val="24"/>
              </w:rPr>
              <w:t>LED显示屏</w:t>
            </w:r>
          </w:p>
        </w:tc>
        <w:tc>
          <w:tcPr>
            <w:tcW w:w="54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12BED23B">
            <w:pPr>
              <w:spacing w:line="360" w:lineRule="auto"/>
              <w:rPr>
                <w:rFonts w:hint="default" w:ascii="宋体" w:hAnsi="宋体" w:eastAsia="宋体" w:cs="宋体"/>
                <w:sz w:val="24"/>
                <w:szCs w:val="24"/>
              </w:rPr>
            </w:pPr>
            <w:r>
              <w:rPr>
                <w:rFonts w:ascii="宋体" w:hAnsi="宋体" w:eastAsia="宋体" w:cs="宋体"/>
                <w:sz w:val="24"/>
                <w:szCs w:val="24"/>
              </w:rPr>
              <w:t>常规模组：</w:t>
            </w:r>
          </w:p>
          <w:p w14:paraId="3D93DCDA">
            <w:pPr>
              <w:spacing w:line="360" w:lineRule="auto"/>
              <w:rPr>
                <w:rFonts w:hint="default" w:ascii="宋体" w:hAnsi="宋体" w:eastAsia="宋体" w:cs="宋体"/>
                <w:sz w:val="24"/>
                <w:szCs w:val="24"/>
              </w:rPr>
            </w:pPr>
            <w:r>
              <w:rPr>
                <w:rFonts w:ascii="宋体" w:hAnsi="宋体" w:eastAsia="宋体" w:cs="宋体"/>
                <w:sz w:val="24"/>
                <w:szCs w:val="24"/>
              </w:rPr>
              <w:t>表贴三合一LED，像素点组成：1R1G1B；点间距：≤2mm、≤1.86mm、≤1.53mm/；箱体平整度（mm）:≤0.2;灰度/颜色：≥16bit，显示屏图像显示无闪烁、无撕裂，显示画面完整，具层次感；满足低亮高灰要求；支持软件实现任意灰度可调；亮度（nits）:≥600;发光点中心距偏差:&lt;3%;亮度均匀性:≥98%;色度均匀性≥±0.003Cx,Cy之内;最大对比度：≥7000:1;峰值功耗（W/m2）:≤750;供电要求（V）:4.8-5.2;恒流驱动;换帧频率（Hz）:60;刷新频率：≧3840Hz、寿命：≥100000小时；盲点率：＜0.0001且无连续失控点；支持信号输入类型：VGA,DVI,HDMI,等；控制方式：与计算机显示器点对点对应，可同步、异步、远程。</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C8C729B">
            <w:pPr>
              <w:spacing w:line="360" w:lineRule="auto"/>
              <w:jc w:val="center"/>
              <w:rPr>
                <w:rFonts w:hint="default" w:ascii="宋体" w:hAnsi="宋体" w:eastAsia="宋体" w:cs="宋体"/>
                <w:sz w:val="24"/>
                <w:szCs w:val="24"/>
              </w:rPr>
            </w:pPr>
          </w:p>
        </w:tc>
      </w:tr>
      <w:tr w14:paraId="0F310394">
        <w:tblPrEx>
          <w:tblCellMar>
            <w:top w:w="0" w:type="dxa"/>
            <w:left w:w="0" w:type="dxa"/>
            <w:bottom w:w="0" w:type="dxa"/>
            <w:right w:w="0" w:type="dxa"/>
          </w:tblCellMar>
        </w:tblPrEx>
        <w:trPr>
          <w:trHeight w:val="800" w:hRule="atLeast"/>
          <w:jc w:val="center"/>
        </w:trPr>
        <w:tc>
          <w:tcPr>
            <w:tcW w:w="17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4E0AA1B8">
            <w:pPr>
              <w:spacing w:line="360" w:lineRule="auto"/>
              <w:jc w:val="center"/>
              <w:rPr>
                <w:rFonts w:hint="default" w:ascii="宋体" w:hAnsi="宋体" w:eastAsia="宋体" w:cs="宋体"/>
                <w:sz w:val="24"/>
                <w:szCs w:val="24"/>
              </w:rPr>
            </w:pPr>
            <w:r>
              <w:rPr>
                <w:rFonts w:ascii="宋体" w:hAnsi="宋体" w:eastAsia="宋体" w:cs="宋体"/>
                <w:sz w:val="24"/>
                <w:szCs w:val="24"/>
              </w:rPr>
              <w:t>柔性LED模组</w:t>
            </w:r>
          </w:p>
        </w:tc>
        <w:tc>
          <w:tcPr>
            <w:tcW w:w="54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8EAECE9">
            <w:pPr>
              <w:spacing w:line="360" w:lineRule="auto"/>
              <w:rPr>
                <w:rFonts w:hint="default" w:ascii="宋体" w:hAnsi="宋体" w:eastAsia="宋体" w:cs="宋体"/>
                <w:sz w:val="24"/>
                <w:szCs w:val="24"/>
              </w:rPr>
            </w:pPr>
            <w:r>
              <w:rPr>
                <w:rFonts w:ascii="宋体" w:hAnsi="宋体" w:eastAsia="宋体" w:cs="宋体"/>
                <w:sz w:val="24"/>
                <w:szCs w:val="24"/>
              </w:rPr>
              <w:t>柔性模组：SMD表贴三合一，像素点组成：1R1G1B；点间距：≤2mm、≤1.86mm、：≤1.53mm，模组尺寸320x160mm   模组为柔性底壳，刷新率：3840Hz，换帧频率：50Hz/60Hz，对比度：≥8000：1，亮度：≥600cd/㎡，亮度均匀性：≥98%，水平视角：≥160°，垂直视角：≥160°；供电要求（V）:4.8-5.2;恒流驱动</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78F4AB0">
            <w:pPr>
              <w:spacing w:line="360" w:lineRule="auto"/>
              <w:jc w:val="center"/>
              <w:rPr>
                <w:rFonts w:hint="default" w:ascii="宋体" w:hAnsi="宋体" w:eastAsia="宋体" w:cs="宋体"/>
                <w:sz w:val="24"/>
                <w:szCs w:val="24"/>
              </w:rPr>
            </w:pPr>
          </w:p>
        </w:tc>
      </w:tr>
      <w:tr w14:paraId="7109510D">
        <w:tblPrEx>
          <w:tblCellMar>
            <w:top w:w="0" w:type="dxa"/>
            <w:left w:w="0" w:type="dxa"/>
            <w:bottom w:w="0" w:type="dxa"/>
            <w:right w:w="0" w:type="dxa"/>
          </w:tblCellMar>
        </w:tblPrEx>
        <w:trPr>
          <w:trHeight w:val="3135" w:hRule="atLeast"/>
          <w:jc w:val="center"/>
        </w:trPr>
        <w:tc>
          <w:tcPr>
            <w:tcW w:w="17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6662FCBC">
            <w:pPr>
              <w:spacing w:line="360" w:lineRule="auto"/>
              <w:jc w:val="center"/>
              <w:rPr>
                <w:rFonts w:hint="default" w:ascii="宋体" w:hAnsi="宋体" w:eastAsia="宋体" w:cs="宋体"/>
                <w:sz w:val="24"/>
                <w:szCs w:val="24"/>
              </w:rPr>
            </w:pPr>
            <w:r>
              <w:rPr>
                <w:rFonts w:hint="default" w:ascii="宋体" w:hAnsi="宋体" w:eastAsia="宋体" w:cs="宋体"/>
                <w:sz w:val="24"/>
                <w:szCs w:val="24"/>
              </w:rPr>
              <w:t>广告机</w:t>
            </w:r>
          </w:p>
        </w:tc>
        <w:tc>
          <w:tcPr>
            <w:tcW w:w="54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7E86AC6F">
            <w:pPr>
              <w:spacing w:line="360" w:lineRule="auto"/>
              <w:rPr>
                <w:rFonts w:hint="default" w:ascii="宋体" w:hAnsi="宋体" w:eastAsia="宋体" w:cs="宋体"/>
                <w:sz w:val="24"/>
                <w:szCs w:val="24"/>
              </w:rPr>
            </w:pPr>
            <w:r>
              <w:rPr>
                <w:rFonts w:hint="default" w:ascii="宋体" w:hAnsi="宋体" w:eastAsia="宋体" w:cs="宋体"/>
                <w:sz w:val="24"/>
                <w:szCs w:val="24"/>
              </w:rPr>
              <w:t>分辨率:≥1920*1080;显示比例:16:9;亮度:≥300cd/C㎡;对比度:≥1400：1;可视角度:≥178°(V)/178°(H) （典型）;使用寿命:≥50000(hrs);外壳材料:铝型材、钣金、</w:t>
            </w:r>
            <w:r>
              <w:rPr>
                <w:rFonts w:ascii="宋体" w:hAnsi="宋体" w:eastAsia="宋体" w:cs="宋体"/>
                <w:sz w:val="24"/>
                <w:szCs w:val="24"/>
              </w:rPr>
              <w:t>钢</w:t>
            </w:r>
            <w:r>
              <w:rPr>
                <w:rFonts w:hint="default" w:ascii="宋体" w:hAnsi="宋体" w:eastAsia="宋体" w:cs="宋体"/>
                <w:sz w:val="24"/>
                <w:szCs w:val="24"/>
              </w:rPr>
              <w:t>化玻璃;配置：双核ARM Cortex A7或以上；运行内存：达到1G或以上；内存：达到8G或以上；系统：Android。</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0F920CFF">
            <w:pPr>
              <w:spacing w:line="360" w:lineRule="auto"/>
              <w:jc w:val="center"/>
              <w:rPr>
                <w:rFonts w:hint="default" w:ascii="宋体" w:hAnsi="宋体" w:eastAsia="宋体" w:cs="宋体"/>
                <w:sz w:val="24"/>
                <w:szCs w:val="24"/>
              </w:rPr>
            </w:pPr>
            <w:r>
              <w:rPr>
                <w:rFonts w:hint="default" w:ascii="宋体" w:hAnsi="宋体" w:eastAsia="宋体" w:cs="宋体"/>
                <w:sz w:val="24"/>
                <w:szCs w:val="24"/>
              </w:rPr>
              <w:t>尺寸：32-43寸</w:t>
            </w:r>
          </w:p>
        </w:tc>
      </w:tr>
      <w:tr w14:paraId="799907A0">
        <w:tblPrEx>
          <w:tblCellMar>
            <w:top w:w="0" w:type="dxa"/>
            <w:left w:w="0" w:type="dxa"/>
            <w:bottom w:w="0" w:type="dxa"/>
            <w:right w:w="0" w:type="dxa"/>
          </w:tblCellMar>
        </w:tblPrEx>
        <w:trPr>
          <w:trHeight w:val="6838" w:hRule="atLeast"/>
          <w:jc w:val="center"/>
        </w:trPr>
        <w:tc>
          <w:tcPr>
            <w:tcW w:w="17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0D774554">
            <w:pPr>
              <w:spacing w:line="360" w:lineRule="auto"/>
              <w:jc w:val="center"/>
              <w:rPr>
                <w:rFonts w:hint="default" w:ascii="宋体" w:hAnsi="宋体" w:eastAsia="宋体" w:cs="宋体"/>
                <w:sz w:val="24"/>
                <w:szCs w:val="24"/>
              </w:rPr>
            </w:pPr>
            <w:r>
              <w:rPr>
                <w:rFonts w:hint="default" w:ascii="宋体" w:hAnsi="宋体" w:eastAsia="宋体" w:cs="宋体"/>
                <w:sz w:val="24"/>
                <w:szCs w:val="24"/>
              </w:rPr>
              <w:t>触控一体机</w:t>
            </w:r>
          </w:p>
        </w:tc>
        <w:tc>
          <w:tcPr>
            <w:tcW w:w="54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33AB66AE">
            <w:pPr>
              <w:spacing w:line="360" w:lineRule="auto"/>
              <w:rPr>
                <w:rFonts w:hint="default" w:ascii="宋体" w:hAnsi="宋体" w:eastAsia="宋体" w:cs="宋体"/>
                <w:sz w:val="24"/>
                <w:szCs w:val="24"/>
              </w:rPr>
            </w:pPr>
            <w:r>
              <w:rPr>
                <w:rFonts w:hint="default" w:ascii="宋体" w:hAnsi="宋体" w:eastAsia="宋体" w:cs="宋体"/>
                <w:sz w:val="24"/>
                <w:szCs w:val="24"/>
              </w:rPr>
              <w:t>（1）主机：操作系统：Windows7/Windows10；CPU：Core10代I5及以上；内存：8G以上；硬盘：128G以上；接口类型：RJ45(网络)接口；HDMI；USB；3.5mm音频接口；可按配置WIFI无线模块；支持自动开关机；</w:t>
            </w:r>
          </w:p>
          <w:p w14:paraId="518EFFC5">
            <w:pPr>
              <w:spacing w:line="360" w:lineRule="auto"/>
              <w:rPr>
                <w:rFonts w:hint="default" w:ascii="宋体" w:hAnsi="宋体" w:eastAsia="宋体" w:cs="宋体"/>
                <w:sz w:val="24"/>
                <w:szCs w:val="24"/>
              </w:rPr>
            </w:pPr>
            <w:r>
              <w:rPr>
                <w:rFonts w:hint="default" w:ascii="宋体" w:hAnsi="宋体" w:eastAsia="宋体" w:cs="宋体"/>
                <w:sz w:val="24"/>
                <w:szCs w:val="24"/>
              </w:rPr>
              <w:t>（2）显示屏：分辨率:≥1920*1080;显示比例:16:9;亮度:≥450cd/C㎡;对比度:≥1400：1;色彩：≥10bit,1.07B；刷新率：≥60Hz；可视角度:≥178°(V)/178°(H)（典型）;使用寿命:≥60000H;外壳材料:铝型材、钣金、全钢化高防爆玻璃;</w:t>
            </w:r>
          </w:p>
          <w:p w14:paraId="75F70B3E">
            <w:pPr>
              <w:spacing w:line="360" w:lineRule="auto"/>
              <w:rPr>
                <w:rFonts w:hint="default" w:ascii="宋体" w:hAnsi="宋体" w:eastAsia="宋体" w:cs="宋体"/>
                <w:sz w:val="24"/>
                <w:szCs w:val="24"/>
              </w:rPr>
            </w:pPr>
            <w:r>
              <w:rPr>
                <w:rFonts w:hint="default" w:ascii="宋体" w:hAnsi="宋体" w:eastAsia="宋体" w:cs="宋体"/>
                <w:sz w:val="24"/>
                <w:szCs w:val="24"/>
              </w:rPr>
              <w:t>（3）触摸感应：建议</w:t>
            </w:r>
            <w:r>
              <w:rPr>
                <w:rFonts w:ascii="宋体" w:hAnsi="宋体" w:eastAsia="宋体" w:cs="宋体"/>
                <w:sz w:val="24"/>
                <w:szCs w:val="24"/>
              </w:rPr>
              <w:t>电容</w:t>
            </w:r>
            <w:r>
              <w:rPr>
                <w:rFonts w:hint="default" w:ascii="宋体" w:hAnsi="宋体" w:eastAsia="宋体" w:cs="宋体"/>
                <w:sz w:val="24"/>
                <w:szCs w:val="24"/>
              </w:rPr>
              <w:t>触摸；书写方式：手指、触摸笔；多点识别触摸技术（10点以上）；定位精度：90%以上触摸区域为±2mm；理论点击次数：达到6亿次以上。</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1775232">
            <w:pPr>
              <w:spacing w:line="360" w:lineRule="auto"/>
              <w:jc w:val="center"/>
              <w:rPr>
                <w:rFonts w:hint="default" w:ascii="宋体" w:hAnsi="宋体" w:eastAsia="宋体" w:cs="宋体"/>
                <w:sz w:val="24"/>
                <w:szCs w:val="24"/>
              </w:rPr>
            </w:pPr>
            <w:r>
              <w:rPr>
                <w:rFonts w:hint="default" w:ascii="宋体" w:hAnsi="宋体" w:eastAsia="宋体" w:cs="宋体"/>
                <w:sz w:val="24"/>
                <w:szCs w:val="24"/>
              </w:rPr>
              <w:t>尺寸：19-</w:t>
            </w:r>
            <w:r>
              <w:rPr>
                <w:rFonts w:ascii="宋体" w:hAnsi="宋体" w:eastAsia="宋体" w:cs="宋体"/>
                <w:sz w:val="24"/>
                <w:szCs w:val="24"/>
              </w:rPr>
              <w:t>8</w:t>
            </w:r>
            <w:r>
              <w:rPr>
                <w:rFonts w:hint="default" w:ascii="宋体" w:hAnsi="宋体" w:eastAsia="宋体" w:cs="宋体"/>
                <w:sz w:val="24"/>
                <w:szCs w:val="24"/>
              </w:rPr>
              <w:t>5寸（根据需要定制）</w:t>
            </w:r>
          </w:p>
        </w:tc>
      </w:tr>
      <w:tr w14:paraId="1B0F0A48">
        <w:tblPrEx>
          <w:tblCellMar>
            <w:top w:w="0" w:type="dxa"/>
            <w:left w:w="0" w:type="dxa"/>
            <w:bottom w:w="0" w:type="dxa"/>
            <w:right w:w="0" w:type="dxa"/>
          </w:tblCellMar>
        </w:tblPrEx>
        <w:trPr>
          <w:trHeight w:val="1238" w:hRule="atLeast"/>
          <w:jc w:val="center"/>
        </w:trPr>
        <w:tc>
          <w:tcPr>
            <w:tcW w:w="17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7EC67F8E">
            <w:pPr>
              <w:spacing w:line="360" w:lineRule="auto"/>
              <w:jc w:val="center"/>
              <w:rPr>
                <w:rFonts w:hint="default" w:ascii="宋体" w:hAnsi="宋体" w:eastAsia="宋体" w:cs="宋体"/>
                <w:sz w:val="24"/>
                <w:szCs w:val="24"/>
              </w:rPr>
            </w:pPr>
            <w:r>
              <w:rPr>
                <w:rFonts w:ascii="宋体" w:hAnsi="宋体" w:eastAsia="宋体" w:cs="宋体"/>
                <w:sz w:val="24"/>
                <w:szCs w:val="24"/>
              </w:rPr>
              <w:t>播控服务器</w:t>
            </w:r>
          </w:p>
        </w:tc>
        <w:tc>
          <w:tcPr>
            <w:tcW w:w="54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18634C">
            <w:pPr>
              <w:spacing w:line="360" w:lineRule="auto"/>
              <w:rPr>
                <w:rFonts w:hint="default" w:ascii="宋体" w:hAnsi="宋体" w:eastAsia="宋体" w:cs="宋体"/>
                <w:sz w:val="24"/>
                <w:szCs w:val="24"/>
              </w:rPr>
            </w:pPr>
            <w:r>
              <w:rPr>
                <w:rFonts w:ascii="宋体" w:hAnsi="宋体" w:eastAsia="宋体" w:cs="宋体"/>
                <w:sz w:val="24"/>
                <w:szCs w:val="24"/>
              </w:rPr>
              <w:t>14代 i7/16G内存/512GB固态/A2000/win10系统或14代 i7/16G内存/512GB固态/A4000/win10系统或14代 i5/8G内存/512GB固态/集显/win10系统</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62A6260F">
            <w:pPr>
              <w:spacing w:line="360" w:lineRule="auto"/>
              <w:jc w:val="center"/>
              <w:rPr>
                <w:rFonts w:hint="default" w:ascii="宋体" w:hAnsi="宋体" w:eastAsia="宋体" w:cs="宋体"/>
                <w:sz w:val="24"/>
                <w:szCs w:val="24"/>
              </w:rPr>
            </w:pPr>
          </w:p>
        </w:tc>
      </w:tr>
      <w:tr w14:paraId="4C36C96F">
        <w:tblPrEx>
          <w:tblCellMar>
            <w:top w:w="0" w:type="dxa"/>
            <w:left w:w="0" w:type="dxa"/>
            <w:bottom w:w="0" w:type="dxa"/>
            <w:right w:w="0" w:type="dxa"/>
          </w:tblCellMar>
        </w:tblPrEx>
        <w:trPr>
          <w:trHeight w:val="998" w:hRule="atLeast"/>
          <w:jc w:val="center"/>
        </w:trPr>
        <w:tc>
          <w:tcPr>
            <w:tcW w:w="174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14:paraId="2B0A3729">
            <w:pPr>
              <w:spacing w:line="360" w:lineRule="auto"/>
              <w:jc w:val="center"/>
              <w:rPr>
                <w:rFonts w:hint="default" w:ascii="宋体" w:hAnsi="宋体" w:eastAsia="宋体" w:cs="宋体"/>
                <w:sz w:val="24"/>
                <w:szCs w:val="24"/>
              </w:rPr>
            </w:pPr>
            <w:r>
              <w:rPr>
                <w:rFonts w:hint="default" w:ascii="宋体" w:hAnsi="宋体" w:eastAsia="宋体" w:cs="宋体"/>
                <w:sz w:val="24"/>
                <w:szCs w:val="24"/>
              </w:rPr>
              <w:t>中控小型平板</w:t>
            </w:r>
          </w:p>
        </w:tc>
        <w:tc>
          <w:tcPr>
            <w:tcW w:w="5486"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41F2F2EA">
            <w:pPr>
              <w:spacing w:line="360" w:lineRule="auto"/>
              <w:rPr>
                <w:rFonts w:hint="default" w:ascii="宋体" w:hAnsi="宋体" w:eastAsia="宋体" w:cs="宋体"/>
                <w:sz w:val="24"/>
                <w:szCs w:val="24"/>
              </w:rPr>
            </w:pPr>
            <w:r>
              <w:rPr>
                <w:rFonts w:hint="default" w:ascii="宋体" w:hAnsi="宋体" w:eastAsia="宋体" w:cs="宋体"/>
                <w:sz w:val="24"/>
                <w:szCs w:val="24"/>
              </w:rPr>
              <w:t>操作系统：鸿蒙/IOS/安卓/；A14/安卓8核/；分辨率：≥1920x1080；；内存容量：≥6G；储存容量：≥64G；支持WLAN/WIFI无线网络；触控：多点触控；安装方式：可嵌入柜体、墙面、桌面，或根据需求嵌入其他装置中；按平板类型以及需求带定制耳麦。</w:t>
            </w:r>
          </w:p>
        </w:tc>
        <w:tc>
          <w:tcPr>
            <w:tcW w:w="1321" w:type="dxa"/>
            <w:tcBorders>
              <w:top w:val="single" w:color="000000" w:sz="4" w:space="0"/>
              <w:left w:val="single" w:color="000000" w:sz="4" w:space="0"/>
              <w:bottom w:val="single" w:color="000000" w:sz="4" w:space="0"/>
              <w:right w:val="single" w:color="000000" w:sz="4" w:space="0"/>
            </w:tcBorders>
            <w:noWrap/>
            <w:tcMar>
              <w:top w:w="15" w:type="dxa"/>
              <w:left w:w="15" w:type="dxa"/>
              <w:right w:w="15" w:type="dxa"/>
            </w:tcMar>
            <w:vAlign w:val="center"/>
          </w:tcPr>
          <w:p w14:paraId="205DDEBD">
            <w:pPr>
              <w:spacing w:line="360" w:lineRule="auto"/>
              <w:jc w:val="center"/>
              <w:rPr>
                <w:rFonts w:hint="default" w:ascii="宋体" w:hAnsi="宋体" w:eastAsia="宋体" w:cs="宋体"/>
                <w:sz w:val="24"/>
                <w:szCs w:val="24"/>
              </w:rPr>
            </w:pPr>
          </w:p>
        </w:tc>
      </w:tr>
    </w:tbl>
    <w:p w14:paraId="6CDA79D1">
      <w:pPr>
        <w:spacing w:line="360" w:lineRule="auto"/>
        <w:ind w:firstLine="480"/>
        <w:rPr>
          <w:rFonts w:hint="default" w:ascii="宋体" w:hAnsi="宋体" w:eastAsia="宋体" w:cs="宋体"/>
          <w:sz w:val="24"/>
          <w:szCs w:val="24"/>
        </w:rPr>
      </w:pPr>
    </w:p>
    <w:p w14:paraId="748DB833">
      <w:pPr>
        <w:spacing w:line="360" w:lineRule="auto"/>
        <w:ind w:firstLine="482"/>
        <w:rPr>
          <w:rFonts w:ascii="宋体" w:hAnsi="宋体" w:eastAsia="宋体" w:cs="宋体"/>
          <w:b/>
          <w:bCs/>
          <w:sz w:val="24"/>
          <w:szCs w:val="24"/>
        </w:rPr>
      </w:pPr>
    </w:p>
    <w:p w14:paraId="33A51EA9">
      <w:pPr>
        <w:spacing w:line="360" w:lineRule="auto"/>
        <w:ind w:firstLine="482"/>
        <w:rPr>
          <w:rFonts w:ascii="宋体" w:hAnsi="宋体" w:eastAsia="宋体" w:cs="宋体"/>
          <w:b/>
          <w:bCs/>
          <w:sz w:val="24"/>
          <w:szCs w:val="24"/>
        </w:rPr>
      </w:pPr>
    </w:p>
    <w:p w14:paraId="1480469B">
      <w:pPr>
        <w:spacing w:line="360" w:lineRule="auto"/>
        <w:ind w:firstLine="482"/>
        <w:rPr>
          <w:rFonts w:hint="default" w:ascii="宋体" w:hAnsi="宋体" w:eastAsia="宋体" w:cs="宋体"/>
          <w:b/>
          <w:bCs/>
          <w:sz w:val="24"/>
          <w:szCs w:val="24"/>
          <w:lang w:val="zh-TW" w:eastAsia="zh-TW"/>
        </w:rPr>
      </w:pPr>
      <w:r>
        <w:rPr>
          <w:rFonts w:ascii="宋体" w:hAnsi="宋体" w:eastAsia="宋体" w:cs="宋体"/>
          <w:b/>
          <w:bCs/>
          <w:sz w:val="24"/>
          <w:szCs w:val="24"/>
        </w:rPr>
        <w:t xml:space="preserve">4.4.3 </w:t>
      </w:r>
      <w:r>
        <w:rPr>
          <w:rFonts w:ascii="宋体" w:hAnsi="宋体" w:eastAsia="宋体" w:cs="宋体"/>
          <w:b/>
          <w:bCs/>
          <w:sz w:val="24"/>
          <w:szCs w:val="24"/>
          <w:lang w:val="zh-TW" w:eastAsia="zh-TW"/>
        </w:rPr>
        <w:t>音响系统</w:t>
      </w:r>
    </w:p>
    <w:p w14:paraId="18216F91">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不同的场馆环境和需求需要选择与之适配的设备以达到最好的音响效果。专业的功放系统：适用于较空旷空间；定位音响系统/近场监听音箱：距离人头1-2m左右,减少反射波（驻波）通过诸如墙壁等反射的几率，使声音在某些方面更准确，避免每个区域声音的相互干扰。耳机类：基于场馆定位的可移动式无线耳机；基于单个或单组展项的固定式耳机。</w:t>
      </w:r>
    </w:p>
    <w:p w14:paraId="55C1DD8C">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应根据场馆实际环境情况选择适配度最好效果最佳的设备，所选设备应不劣于以下标准。</w:t>
      </w:r>
    </w:p>
    <w:p w14:paraId="095D35D4">
      <w:pPr>
        <w:spacing w:line="360" w:lineRule="auto"/>
        <w:ind w:firstLine="482"/>
        <w:rPr>
          <w:rFonts w:hint="default" w:ascii="宋体" w:hAnsi="宋体" w:eastAsia="宋体" w:cs="宋体"/>
          <w:b/>
          <w:bCs/>
          <w:sz w:val="24"/>
          <w:szCs w:val="24"/>
          <w:lang w:val="zh-TW" w:eastAsia="zh-TW"/>
        </w:rPr>
      </w:pPr>
      <w:r>
        <w:rPr>
          <w:rFonts w:ascii="宋体" w:hAnsi="宋体" w:eastAsia="宋体" w:cs="宋体"/>
          <w:b/>
          <w:bCs/>
          <w:sz w:val="24"/>
          <w:szCs w:val="24"/>
          <w:lang w:val="zh-TW" w:eastAsia="zh-TW"/>
        </w:rPr>
        <w:t>专业功放：</w:t>
      </w:r>
    </w:p>
    <w:p w14:paraId="57E6C40E">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（1）通用电源；插头：10A，</w:t>
      </w:r>
      <w:r>
        <w:rPr>
          <w:rFonts w:ascii="宋体" w:hAnsi="宋体" w:eastAsia="宋体" w:cs="宋体"/>
          <w:sz w:val="24"/>
          <w:szCs w:val="24"/>
          <w:lang w:val="zh-TW"/>
        </w:rPr>
        <w:t>220V</w:t>
      </w:r>
      <w:r>
        <w:rPr>
          <w:rFonts w:ascii="宋体" w:hAnsi="宋体" w:eastAsia="宋体" w:cs="宋体"/>
          <w:sz w:val="24"/>
          <w:szCs w:val="24"/>
          <w:lang w:val="zh-TW" w:eastAsia="zh-TW"/>
        </w:rPr>
        <w:t>；</w:t>
      </w:r>
    </w:p>
    <w:p w14:paraId="4AFC3636">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（2）设计有防止短路、空载、开/关机噪音、无线电干扰保护电路；</w:t>
      </w:r>
    </w:p>
    <w:p w14:paraId="48B88963">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（3）无噪音散热冷却性能优化，整机工作稳定；</w:t>
      </w:r>
    </w:p>
    <w:p w14:paraId="6A7B77A6">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（4）额定功率：每通道不小于215W/8ohm.每通道不小于350W/4ohm；</w:t>
      </w:r>
    </w:p>
    <w:p w14:paraId="1DAA0F99">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（5）频率响应:20Hz-20KHz（+0/-1db)；</w:t>
      </w:r>
    </w:p>
    <w:p w14:paraId="20251077">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（6）信噪比:&gt;100dB；</w:t>
      </w:r>
    </w:p>
    <w:p w14:paraId="48F55B54">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（7）通道数：不少于四通道；内置分频器；</w:t>
      </w:r>
    </w:p>
    <w:p w14:paraId="07BD84E7">
      <w:pPr>
        <w:spacing w:line="360" w:lineRule="auto"/>
        <w:ind w:firstLine="482"/>
        <w:rPr>
          <w:rFonts w:hint="default" w:ascii="宋体" w:hAnsi="宋体" w:eastAsia="宋体" w:cs="宋体"/>
          <w:b/>
          <w:bCs/>
          <w:sz w:val="24"/>
          <w:szCs w:val="24"/>
          <w:lang w:val="zh-TW" w:eastAsia="zh-TW"/>
        </w:rPr>
      </w:pPr>
      <w:r>
        <w:rPr>
          <w:rFonts w:ascii="宋体" w:hAnsi="宋体" w:eastAsia="宋体" w:cs="宋体"/>
          <w:b/>
          <w:bCs/>
          <w:sz w:val="24"/>
          <w:szCs w:val="24"/>
          <w:lang w:val="zh-TW" w:eastAsia="zh-TW"/>
        </w:rPr>
        <w:t>天花扬声器：</w:t>
      </w:r>
    </w:p>
    <w:p w14:paraId="0CA04E2A">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（1）6-8寸全频单元、最大功率：200W 额定功率：100W；</w:t>
      </w:r>
    </w:p>
    <w:p w14:paraId="7CE3563B">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（2）阻抗8欧；</w:t>
      </w:r>
    </w:p>
    <w:p w14:paraId="386FFF62">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（3）灵敏度（1M/1W)≥87db；</w:t>
      </w:r>
    </w:p>
    <w:p w14:paraId="3BA52672">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（4）频率响应（±5db)80Hz-15KHz；</w:t>
      </w:r>
    </w:p>
    <w:p w14:paraId="49C0C712">
      <w:pPr>
        <w:spacing w:line="360" w:lineRule="auto"/>
        <w:ind w:firstLine="482"/>
        <w:rPr>
          <w:rFonts w:hint="default" w:ascii="宋体" w:hAnsi="宋体" w:eastAsia="宋体" w:cs="宋体"/>
          <w:b/>
          <w:bCs/>
          <w:sz w:val="24"/>
          <w:szCs w:val="24"/>
          <w:lang w:val="zh-TW"/>
        </w:rPr>
      </w:pPr>
      <w:r>
        <w:rPr>
          <w:rFonts w:ascii="宋体" w:hAnsi="宋体" w:eastAsia="宋体" w:cs="宋体"/>
          <w:b/>
          <w:bCs/>
          <w:sz w:val="24"/>
          <w:szCs w:val="24"/>
          <w:lang w:val="zh-TW"/>
        </w:rPr>
        <w:t>超薄音柱：</w:t>
      </w:r>
    </w:p>
    <w:p w14:paraId="03A1C759">
      <w:pPr>
        <w:spacing w:line="360" w:lineRule="auto"/>
        <w:ind w:firstLine="482"/>
        <w:rPr>
          <w:rFonts w:hint="default" w:ascii="宋体" w:hAnsi="宋体" w:eastAsia="宋体" w:cs="宋体"/>
          <w:sz w:val="24"/>
          <w:szCs w:val="24"/>
          <w:lang w:val="zh-TW"/>
        </w:rPr>
      </w:pPr>
      <w:r>
        <w:rPr>
          <w:rFonts w:ascii="宋体" w:hAnsi="宋体" w:eastAsia="宋体" w:cs="宋体"/>
          <w:sz w:val="24"/>
          <w:szCs w:val="24"/>
          <w:lang w:val="zh-TW" w:eastAsia="zh-TW"/>
        </w:rPr>
        <w:t>（1）4*4.5英寸全频HIFI级单元</w:t>
      </w:r>
    </w:p>
    <w:p w14:paraId="70695195">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（2）阻抗：8欧</w:t>
      </w:r>
    </w:p>
    <w:p w14:paraId="136BC06F">
      <w:pPr>
        <w:spacing w:line="360" w:lineRule="auto"/>
        <w:ind w:firstLine="482"/>
        <w:rPr>
          <w:rFonts w:hint="default" w:ascii="宋体" w:hAnsi="宋体" w:eastAsia="宋体" w:cs="宋体"/>
          <w:sz w:val="24"/>
          <w:szCs w:val="24"/>
          <w:lang w:val="zh-TW"/>
        </w:rPr>
      </w:pPr>
      <w:r>
        <w:rPr>
          <w:rFonts w:ascii="宋体" w:hAnsi="宋体" w:eastAsia="宋体" w:cs="宋体"/>
          <w:sz w:val="24"/>
          <w:szCs w:val="24"/>
          <w:lang w:val="zh-TW" w:eastAsia="zh-TW"/>
        </w:rPr>
        <w:t>（</w:t>
      </w:r>
      <w:r>
        <w:rPr>
          <w:rFonts w:ascii="宋体" w:hAnsi="宋体" w:eastAsia="宋体" w:cs="宋体"/>
          <w:sz w:val="24"/>
          <w:szCs w:val="24"/>
          <w:lang w:val="zh-TW"/>
        </w:rPr>
        <w:t>3</w:t>
      </w:r>
      <w:r>
        <w:rPr>
          <w:rFonts w:ascii="宋体" w:hAnsi="宋体" w:eastAsia="宋体" w:cs="宋体"/>
          <w:sz w:val="24"/>
          <w:szCs w:val="24"/>
          <w:lang w:val="zh-TW" w:eastAsia="zh-TW"/>
        </w:rPr>
        <w:t>）灵敏度 : 95dB</w:t>
      </w:r>
    </w:p>
    <w:p w14:paraId="27C22D2E">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 xml:space="preserve">（4）频响 (±3dB) : 100Hz-20kHz  </w:t>
      </w:r>
    </w:p>
    <w:p w14:paraId="5F4C02CB">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w:t>
      </w:r>
      <w:r>
        <w:rPr>
          <w:rFonts w:ascii="宋体" w:hAnsi="宋体" w:eastAsia="宋体" w:cs="宋体"/>
          <w:sz w:val="24"/>
          <w:szCs w:val="24"/>
          <w:lang w:val="zh-TW"/>
        </w:rPr>
        <w:t>5</w:t>
      </w:r>
      <w:r>
        <w:rPr>
          <w:rFonts w:ascii="宋体" w:hAnsi="宋体" w:eastAsia="宋体" w:cs="宋体"/>
          <w:sz w:val="24"/>
          <w:szCs w:val="24"/>
          <w:lang w:val="zh-TW" w:eastAsia="zh-TW"/>
        </w:rPr>
        <w:t>）覆盖角度（H×V）160°×15°</w:t>
      </w:r>
    </w:p>
    <w:p w14:paraId="021411B9">
      <w:pPr>
        <w:spacing w:line="360" w:lineRule="auto"/>
        <w:ind w:firstLine="482"/>
        <w:rPr>
          <w:rFonts w:hint="default" w:ascii="宋体" w:hAnsi="宋体" w:eastAsia="宋体" w:cs="宋体"/>
          <w:sz w:val="24"/>
          <w:szCs w:val="24"/>
          <w:lang w:val="zh-TW"/>
        </w:rPr>
      </w:pPr>
      <w:r>
        <w:rPr>
          <w:rFonts w:ascii="宋体" w:hAnsi="宋体" w:eastAsia="宋体" w:cs="宋体"/>
          <w:sz w:val="24"/>
          <w:szCs w:val="24"/>
          <w:lang w:val="zh-TW" w:eastAsia="zh-TW"/>
        </w:rPr>
        <w:t>（</w:t>
      </w:r>
      <w:r>
        <w:rPr>
          <w:rFonts w:ascii="宋体" w:hAnsi="宋体" w:eastAsia="宋体" w:cs="宋体"/>
          <w:sz w:val="24"/>
          <w:szCs w:val="24"/>
          <w:lang w:val="zh-TW"/>
        </w:rPr>
        <w:t>6</w:t>
      </w:r>
      <w:r>
        <w:rPr>
          <w:rFonts w:ascii="宋体" w:hAnsi="宋体" w:eastAsia="宋体" w:cs="宋体"/>
          <w:sz w:val="24"/>
          <w:szCs w:val="24"/>
          <w:lang w:val="zh-TW" w:eastAsia="zh-TW"/>
        </w:rPr>
        <w:t>）产品厚度小于1</w:t>
      </w:r>
      <w:r>
        <w:rPr>
          <w:rFonts w:ascii="宋体" w:hAnsi="宋体" w:eastAsia="宋体" w:cs="宋体"/>
          <w:sz w:val="24"/>
          <w:szCs w:val="24"/>
          <w:lang w:val="zh-TW"/>
        </w:rPr>
        <w:t>5</w:t>
      </w:r>
      <w:r>
        <w:rPr>
          <w:rFonts w:ascii="宋体" w:hAnsi="宋体" w:eastAsia="宋体" w:cs="宋体"/>
          <w:sz w:val="24"/>
          <w:szCs w:val="24"/>
          <w:lang w:val="zh-TW" w:eastAsia="zh-TW"/>
        </w:rPr>
        <w:t>0MM</w:t>
      </w:r>
    </w:p>
    <w:p w14:paraId="56F88FDE">
      <w:pPr>
        <w:spacing w:line="360" w:lineRule="auto"/>
        <w:ind w:firstLine="482"/>
        <w:rPr>
          <w:rFonts w:hint="default" w:ascii="宋体" w:hAnsi="宋体" w:eastAsia="宋体" w:cs="宋体"/>
          <w:b/>
          <w:bCs/>
          <w:sz w:val="24"/>
          <w:szCs w:val="24"/>
          <w:lang w:val="zh-TW" w:eastAsia="zh-TW"/>
        </w:rPr>
      </w:pPr>
      <w:r>
        <w:rPr>
          <w:rFonts w:ascii="宋体" w:hAnsi="宋体" w:eastAsia="宋体" w:cs="宋体"/>
          <w:b/>
          <w:bCs/>
          <w:sz w:val="24"/>
          <w:szCs w:val="24"/>
        </w:rPr>
        <w:t xml:space="preserve">4.4.4 </w:t>
      </w:r>
      <w:r>
        <w:rPr>
          <w:rFonts w:ascii="宋体" w:hAnsi="宋体" w:eastAsia="宋体" w:cs="宋体"/>
          <w:b/>
          <w:bCs/>
          <w:sz w:val="24"/>
          <w:szCs w:val="24"/>
          <w:lang w:val="zh-TW" w:eastAsia="zh-TW"/>
        </w:rPr>
        <w:t>影像控制系统</w:t>
      </w:r>
    </w:p>
    <w:p w14:paraId="18B41131">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rPr>
        <w:t>（1）</w:t>
      </w:r>
      <w:r>
        <w:rPr>
          <w:rFonts w:ascii="宋体" w:hAnsi="宋体" w:eastAsia="宋体" w:cs="宋体"/>
          <w:sz w:val="24"/>
          <w:szCs w:val="24"/>
          <w:lang w:val="zh-TW" w:eastAsia="zh-TW"/>
        </w:rPr>
        <w:t>基本功能：该系统需要实现超大画幅高清多图层自由叠加，场景智能切换，多模式智能交互触控等功能。搭配HDMI、DVI、SDI、VGA、CVBS种类的输入输出板卡，实现画外画（POP）平铺模式、画中画（PIP）叠加模式、画面叠加、跨屏、缩放。在播放高速动态视频时，图像流畅衔接。</w:t>
      </w:r>
    </w:p>
    <w:p w14:paraId="4F04519A">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rPr>
        <w:t>（</w:t>
      </w:r>
      <w:r>
        <w:rPr>
          <w:rFonts w:ascii="宋体" w:hAnsi="宋体" w:eastAsia="宋体" w:cs="宋体"/>
          <w:sz w:val="24"/>
          <w:szCs w:val="24"/>
        </w:rPr>
        <w:t>2</w:t>
      </w:r>
      <w:r>
        <w:rPr>
          <w:rFonts w:ascii="宋体" w:hAnsi="宋体" w:eastAsia="宋体" w:cs="宋体"/>
          <w:sz w:val="24"/>
          <w:szCs w:val="24"/>
          <w:lang w:val="zh-TW"/>
        </w:rPr>
        <w:t>）</w:t>
      </w:r>
      <w:r>
        <w:rPr>
          <w:rFonts w:ascii="宋体" w:hAnsi="宋体" w:eastAsia="宋体" w:cs="宋体"/>
          <w:sz w:val="24"/>
          <w:szCs w:val="24"/>
          <w:lang w:val="zh-TW" w:eastAsia="zh-TW"/>
        </w:rPr>
        <w:t>高清画面分割：实现在单个屏幕上同时显示多个画面的功能。可以定制多画面显示，包括画中画窗口的位置、尺寸、大小、优先级等。窗口可通过特效进入或退出屏幕，以实现专业的优质多图像演示。</w:t>
      </w:r>
    </w:p>
    <w:p w14:paraId="73BB61C0">
      <w:pPr>
        <w:spacing w:line="360" w:lineRule="auto"/>
        <w:ind w:firstLine="482"/>
        <w:rPr>
          <w:rFonts w:hint="default" w:ascii="宋体" w:hAnsi="宋体" w:eastAsia="宋体" w:cs="宋体"/>
          <w:sz w:val="24"/>
          <w:szCs w:val="24"/>
          <w:lang w:val="zh-TW"/>
        </w:rPr>
      </w:pPr>
      <w:r>
        <w:rPr>
          <w:rFonts w:ascii="宋体" w:hAnsi="宋体" w:eastAsia="宋体" w:cs="宋体"/>
          <w:sz w:val="24"/>
          <w:szCs w:val="24"/>
          <w:lang w:val="zh-TW"/>
        </w:rPr>
        <w:t>（</w:t>
      </w:r>
      <w:r>
        <w:rPr>
          <w:rFonts w:ascii="宋体" w:hAnsi="宋体" w:eastAsia="宋体" w:cs="宋体"/>
          <w:sz w:val="24"/>
          <w:szCs w:val="24"/>
        </w:rPr>
        <w:t>3</w:t>
      </w:r>
      <w:r>
        <w:rPr>
          <w:rFonts w:ascii="宋体" w:hAnsi="宋体" w:eastAsia="宋体" w:cs="宋体"/>
          <w:sz w:val="24"/>
          <w:szCs w:val="24"/>
          <w:lang w:val="zh-TW"/>
        </w:rPr>
        <w:t>）</w:t>
      </w:r>
      <w:r>
        <w:rPr>
          <w:rFonts w:ascii="宋体" w:hAnsi="宋体" w:eastAsia="宋体" w:cs="宋体"/>
          <w:sz w:val="24"/>
          <w:szCs w:val="24"/>
          <w:lang w:val="zh-TW" w:eastAsia="zh-TW"/>
        </w:rPr>
        <w:t>边缘融合：实现多组投影机投射出的画面进行边缘重叠，融合出一个没有缝隙更加明亮，超大，高分辨率的整幅画面，画面的效果就像是一台投影机投射的画面。</w:t>
      </w:r>
    </w:p>
    <w:p w14:paraId="76A1F6A9">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rPr>
        <w:t>（</w:t>
      </w:r>
      <w:r>
        <w:rPr>
          <w:rFonts w:ascii="宋体" w:hAnsi="宋体" w:eastAsia="宋体" w:cs="宋体"/>
          <w:sz w:val="24"/>
          <w:szCs w:val="24"/>
        </w:rPr>
        <w:t>4</w:t>
      </w:r>
      <w:r>
        <w:rPr>
          <w:rFonts w:ascii="宋体" w:hAnsi="宋体" w:eastAsia="宋体" w:cs="宋体"/>
          <w:sz w:val="24"/>
          <w:szCs w:val="24"/>
          <w:lang w:val="zh-TW"/>
        </w:rPr>
        <w:t>）</w:t>
      </w:r>
      <w:r>
        <w:rPr>
          <w:rFonts w:ascii="宋体" w:hAnsi="宋体" w:eastAsia="宋体" w:cs="宋体"/>
          <w:sz w:val="24"/>
          <w:szCs w:val="24"/>
          <w:lang w:val="zh-TW" w:eastAsia="zh-TW"/>
        </w:rPr>
        <w:t>视频处理器：应满足如下要求。</w:t>
      </w:r>
    </w:p>
    <w:p w14:paraId="3E80B199">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1）信号输入：</w:t>
      </w:r>
      <w:r>
        <w:rPr>
          <w:rFonts w:ascii="宋体" w:hAnsi="宋体" w:eastAsia="宋体" w:cs="宋体"/>
          <w:sz w:val="24"/>
          <w:szCs w:val="24"/>
          <w:lang w:val="zh-TW" w:eastAsia="zh-TW"/>
        </w:rPr>
        <w:tab/>
      </w:r>
      <w:r>
        <w:rPr>
          <w:rFonts w:ascii="宋体" w:hAnsi="宋体" w:eastAsia="宋体" w:cs="宋体"/>
          <w:sz w:val="24"/>
          <w:szCs w:val="24"/>
          <w:lang w:val="zh-TW" w:eastAsia="zh-TW"/>
        </w:rPr>
        <w:t>DVI，VGA（RGBHV），复合视频，SDI；</w:t>
      </w:r>
    </w:p>
    <w:p w14:paraId="6A2A0C54">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2）输入接口：</w:t>
      </w:r>
      <w:r>
        <w:rPr>
          <w:rFonts w:ascii="宋体" w:hAnsi="宋体" w:eastAsia="宋体" w:cs="宋体"/>
          <w:sz w:val="24"/>
          <w:szCs w:val="24"/>
          <w:lang w:val="zh-TW" w:eastAsia="zh-TW"/>
        </w:rPr>
        <w:tab/>
      </w:r>
      <w:r>
        <w:rPr>
          <w:rFonts w:ascii="宋体" w:hAnsi="宋体" w:eastAsia="宋体" w:cs="宋体"/>
          <w:sz w:val="24"/>
          <w:szCs w:val="24"/>
          <w:lang w:val="zh-TW" w:eastAsia="zh-TW"/>
        </w:rPr>
        <w:t>HDMI：19A型，VGA：15pinD_Sub(雌)，DVI：24+1DVI_D，复合视频：BNC，SDI：BNC；</w:t>
      </w:r>
    </w:p>
    <w:p w14:paraId="6A27D2DF">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3）信号输出：</w:t>
      </w:r>
      <w:r>
        <w:rPr>
          <w:rFonts w:ascii="宋体" w:hAnsi="宋体" w:eastAsia="宋体" w:cs="宋体"/>
          <w:sz w:val="24"/>
          <w:szCs w:val="24"/>
          <w:lang w:val="zh-TW" w:eastAsia="zh-TW"/>
        </w:rPr>
        <w:tab/>
      </w:r>
      <w:r>
        <w:rPr>
          <w:rFonts w:ascii="宋体" w:hAnsi="宋体" w:eastAsia="宋体" w:cs="宋体"/>
          <w:sz w:val="24"/>
          <w:szCs w:val="24"/>
          <w:lang w:val="zh-TW" w:eastAsia="zh-TW"/>
        </w:rPr>
        <w:t>DVI；</w:t>
      </w:r>
    </w:p>
    <w:p w14:paraId="14D1A57B">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4）输出接口：</w:t>
      </w:r>
      <w:r>
        <w:rPr>
          <w:rFonts w:ascii="宋体" w:hAnsi="宋体" w:eastAsia="宋体" w:cs="宋体"/>
          <w:sz w:val="24"/>
          <w:szCs w:val="24"/>
          <w:lang w:val="zh-TW" w:eastAsia="zh-TW"/>
        </w:rPr>
        <w:tab/>
      </w:r>
      <w:r>
        <w:rPr>
          <w:rFonts w:ascii="宋体" w:hAnsi="宋体" w:eastAsia="宋体" w:cs="宋体"/>
          <w:sz w:val="24"/>
          <w:szCs w:val="24"/>
          <w:lang w:val="zh-TW" w:eastAsia="zh-TW"/>
        </w:rPr>
        <w:t>DVIOUT1：24+1DVI_D，DVIOUT2：24+1DVI_D；</w:t>
      </w:r>
    </w:p>
    <w:p w14:paraId="49C62BCF">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5）输出分辨率：不低于1920×1080。</w:t>
      </w:r>
    </w:p>
    <w:p w14:paraId="528B9304">
      <w:pPr>
        <w:spacing w:line="360" w:lineRule="auto"/>
        <w:ind w:firstLine="482"/>
        <w:rPr>
          <w:rFonts w:hint="default" w:ascii="宋体" w:hAnsi="宋体" w:eastAsia="宋体" w:cs="宋体"/>
          <w:b/>
          <w:bCs/>
          <w:sz w:val="24"/>
          <w:szCs w:val="24"/>
          <w:lang w:val="zh-TW" w:eastAsia="zh-TW"/>
        </w:rPr>
      </w:pPr>
      <w:r>
        <w:rPr>
          <w:rFonts w:ascii="宋体" w:hAnsi="宋体" w:eastAsia="宋体" w:cs="宋体"/>
          <w:b/>
          <w:bCs/>
          <w:sz w:val="24"/>
          <w:szCs w:val="24"/>
        </w:rPr>
        <w:t xml:space="preserve">4.4.5 </w:t>
      </w:r>
      <w:r>
        <w:rPr>
          <w:rFonts w:ascii="宋体" w:hAnsi="宋体" w:eastAsia="宋体" w:cs="宋体"/>
          <w:b/>
          <w:bCs/>
          <w:sz w:val="24"/>
          <w:szCs w:val="24"/>
          <w:lang w:val="zh-TW" w:eastAsia="zh-TW"/>
        </w:rPr>
        <w:t>多媒体系统</w:t>
      </w:r>
    </w:p>
    <w:p w14:paraId="4F93F318">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1）多媒体弱电系统需覆盖本采购项目中的全部展厅区域。</w:t>
      </w:r>
    </w:p>
    <w:p w14:paraId="79E1B61C">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2）中标人需负责多媒体系统的弱电管线的布设、穿线、网络端口安装。要求按规范配管并采用网线为6类网线。</w:t>
      </w:r>
    </w:p>
    <w:p w14:paraId="63143A91">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3）多媒体项目的弱电要满足多媒体相关设备的网络基本需求，多媒体系统的弱电线路需要按规范敷设线管并采用6类网线接入对应楼层弱电井。其中展陈区域的布级穿线内容同相可布一管至设备负载处，所數设暗管(穿线管)应采用JDG管，直线管的管径利用率应为50%～60%，弯管的管径利用率应为40%～50%。所有线路上存在局部干扰源，且不能满足最小净距离要求时，应采用钢管。在建筑物的顶棚内必须采用金属管、金属线槽布线。中标方根据多媒体项目的网络接入终端设备的数量需配置满足网络接入需求的网络交换机。</w:t>
      </w:r>
    </w:p>
    <w:p w14:paraId="1A17CA2F">
      <w:pPr>
        <w:spacing w:line="360" w:lineRule="auto"/>
        <w:ind w:firstLine="482"/>
        <w:rPr>
          <w:rFonts w:hint="default" w:ascii="宋体" w:hAnsi="宋体" w:eastAsia="宋体" w:cs="宋体"/>
          <w:b/>
          <w:bCs/>
          <w:sz w:val="24"/>
          <w:szCs w:val="24"/>
          <w:lang w:val="zh-TW" w:eastAsia="zh-TW"/>
        </w:rPr>
      </w:pPr>
      <w:r>
        <w:rPr>
          <w:rFonts w:ascii="宋体" w:hAnsi="宋体" w:eastAsia="宋体" w:cs="宋体"/>
          <w:b/>
          <w:bCs/>
          <w:sz w:val="24"/>
          <w:szCs w:val="24"/>
        </w:rPr>
        <w:t xml:space="preserve">4.4.6 </w:t>
      </w:r>
      <w:r>
        <w:rPr>
          <w:rFonts w:ascii="宋体" w:hAnsi="宋体" w:eastAsia="宋体" w:cs="宋体"/>
          <w:b/>
          <w:bCs/>
          <w:sz w:val="24"/>
          <w:szCs w:val="24"/>
          <w:lang w:val="zh-TW" w:eastAsia="zh-TW"/>
        </w:rPr>
        <w:t>多媒体</w:t>
      </w:r>
      <w:r>
        <w:rPr>
          <w:rFonts w:hint="eastAsia" w:ascii="宋体" w:hAnsi="宋体" w:eastAsia="宋体" w:cs="宋体"/>
          <w:b/>
          <w:bCs/>
          <w:sz w:val="24"/>
          <w:szCs w:val="24"/>
          <w:lang w:val="en-US" w:eastAsia="zh-CN"/>
        </w:rPr>
        <w:t>视频</w:t>
      </w:r>
      <w:r>
        <w:rPr>
          <w:rFonts w:ascii="宋体" w:hAnsi="宋体" w:eastAsia="宋体" w:cs="宋体"/>
          <w:b/>
          <w:bCs/>
          <w:sz w:val="24"/>
          <w:szCs w:val="24"/>
          <w:lang w:val="zh-TW" w:eastAsia="zh-TW"/>
        </w:rPr>
        <w:t>制作</w:t>
      </w:r>
    </w:p>
    <w:p w14:paraId="1DB42A11">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多媒体制作的范畴包括：二维动画、三维动画、素材剪辑与后期特效视频、沉浸空间影像、全息影像；互动程序开发、交互内容制作、UI界面设计制作；背景音乐音效编辑等。</w:t>
      </w:r>
    </w:p>
    <w:p w14:paraId="23BEA279">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4.4.6.1视频、影像等非交互演示类画面：</w:t>
      </w:r>
    </w:p>
    <w:p w14:paraId="636BBCB1">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（1）格式：通用格式mp4、mpg、avi、mov、mp3、wav；</w:t>
      </w:r>
    </w:p>
    <w:p w14:paraId="3732D01B">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（2）视频：分辨率3840×2160/2560×1440/1920×1080（或者按实际显示需求定制）；</w:t>
      </w:r>
    </w:p>
    <w:p w14:paraId="336674AD">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每秒帧数不小于29fps；</w:t>
      </w:r>
    </w:p>
    <w:p w14:paraId="7C96D4A8">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位率不低于4096kbs；</w:t>
      </w:r>
    </w:p>
    <w:p w14:paraId="416919A2">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（3）音频：采样率不低于48000Hz；</w:t>
      </w:r>
    </w:p>
    <w:p w14:paraId="78092534">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声道2声道；</w:t>
      </w:r>
    </w:p>
    <w:p w14:paraId="11E5356D">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位率不低于320kbs；</w:t>
      </w:r>
    </w:p>
    <w:p w14:paraId="213F620D">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采样位数不低于16位。</w:t>
      </w:r>
    </w:p>
    <w:p w14:paraId="17A16331">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（4）其他要求：画面细腻，表现力强，内容传达史实准确、逻辑清晰、表达到位；内容与细节的真实性必须得到采购人认可；音乐音效运用恰到好处；整片画面流畅，杜绝失帧、夹帧。</w:t>
      </w:r>
    </w:p>
    <w:p w14:paraId="256719CE">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4.4.6.2交互应用：</w:t>
      </w:r>
    </w:p>
    <w:p w14:paraId="7F55C6DA">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（1）开发环境：采用主流程序开发软件在展项硬件匹配的操作系统下进行开发互动程序，要求软件运行稳定可靠，无BUG。</w:t>
      </w:r>
    </w:p>
    <w:p w14:paraId="18BAA34A">
      <w:pPr>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（2）其他要求：内容表达精准；系统中所涉及的文字、音频、视频等各种媒体内容真实、详实、合法，确保意识形态安全；与展厅整体风格协调一致、与展览内容相融合。</w:t>
      </w:r>
    </w:p>
    <w:p w14:paraId="4B171EBB">
      <w:pPr>
        <w:spacing w:line="360" w:lineRule="auto"/>
        <w:ind w:firstLine="482"/>
        <w:rPr>
          <w:rFonts w:hint="default" w:ascii="宋体" w:hAnsi="宋体" w:eastAsia="宋体" w:cs="宋体"/>
          <w:sz w:val="24"/>
          <w:szCs w:val="24"/>
        </w:rPr>
      </w:pPr>
      <w:r>
        <w:rPr>
          <w:rFonts w:ascii="宋体" w:hAnsi="宋体" w:eastAsia="宋体" w:cs="宋体"/>
          <w:sz w:val="24"/>
          <w:szCs w:val="24"/>
          <w:lang w:val="zh-TW" w:eastAsia="zh-TW"/>
        </w:rPr>
        <w:t>（3）成果交付：成果运行文件、源程序。</w:t>
      </w:r>
    </w:p>
    <w:p w14:paraId="5102C566">
      <w:pPr>
        <w:spacing w:line="360" w:lineRule="auto"/>
        <w:ind w:firstLine="482"/>
        <w:rPr>
          <w:rFonts w:hint="default" w:ascii="宋体" w:hAnsi="宋体" w:eastAsia="宋体" w:cs="宋体"/>
          <w:b/>
          <w:bCs/>
          <w:color w:val="auto"/>
          <w:sz w:val="24"/>
          <w:szCs w:val="24"/>
        </w:rPr>
      </w:pPr>
      <w:r>
        <w:rPr>
          <w:rFonts w:ascii="宋体" w:hAnsi="宋体" w:eastAsia="宋体" w:cs="宋体"/>
          <w:b/>
          <w:bCs/>
          <w:color w:val="auto"/>
          <w:sz w:val="24"/>
          <w:szCs w:val="24"/>
        </w:rPr>
        <w:t>4.5 展陈技术要求</w:t>
      </w:r>
    </w:p>
    <w:p w14:paraId="725BAF3F">
      <w:pPr>
        <w:spacing w:line="360" w:lineRule="auto"/>
        <w:ind w:firstLine="482"/>
        <w:rPr>
          <w:rFonts w:hint="default" w:ascii="宋体" w:hAnsi="宋体" w:eastAsia="宋体" w:cs="宋体"/>
          <w:color w:val="auto"/>
          <w:sz w:val="24"/>
          <w:szCs w:val="24"/>
        </w:rPr>
      </w:pPr>
      <w:r>
        <w:rPr>
          <w:rFonts w:hint="default" w:ascii="宋体" w:hAnsi="宋体" w:eastAsia="宋体" w:cs="宋体"/>
          <w:color w:val="auto"/>
          <w:sz w:val="24"/>
          <w:szCs w:val="24"/>
        </w:rPr>
        <w:t>1）图文板表面平整，字体、图片清晰，安装方式合理。</w:t>
      </w:r>
    </w:p>
    <w:p w14:paraId="425EF1E2">
      <w:pPr>
        <w:spacing w:line="360" w:lineRule="auto"/>
        <w:ind w:firstLine="482"/>
        <w:rPr>
          <w:rFonts w:hint="default" w:ascii="宋体" w:hAnsi="宋体" w:eastAsia="宋体" w:cs="宋体"/>
          <w:color w:val="auto"/>
          <w:sz w:val="24"/>
          <w:szCs w:val="24"/>
        </w:rPr>
      </w:pPr>
      <w:r>
        <w:rPr>
          <w:rFonts w:hint="default" w:ascii="宋体" w:hAnsi="宋体" w:eastAsia="宋体" w:cs="宋体"/>
          <w:color w:val="auto"/>
          <w:sz w:val="24"/>
          <w:szCs w:val="24"/>
        </w:rPr>
        <w:t>2）图文板文字、格式正确，科学性定义准确。</w:t>
      </w:r>
    </w:p>
    <w:p w14:paraId="4F723774">
      <w:pPr>
        <w:spacing w:line="360" w:lineRule="auto"/>
        <w:ind w:firstLine="482"/>
        <w:rPr>
          <w:rFonts w:hint="default" w:ascii="宋体" w:hAnsi="宋体" w:eastAsia="宋体" w:cs="宋体"/>
          <w:color w:val="auto"/>
          <w:sz w:val="24"/>
          <w:szCs w:val="24"/>
        </w:rPr>
      </w:pPr>
      <w:r>
        <w:rPr>
          <w:rFonts w:hint="default" w:ascii="宋体" w:hAnsi="宋体" w:eastAsia="宋体" w:cs="宋体"/>
          <w:color w:val="auto"/>
          <w:sz w:val="24"/>
          <w:szCs w:val="24"/>
        </w:rPr>
        <w:t>3）图文板版面大小、色彩符合设计要求，肉眼观看舒适。</w:t>
      </w:r>
    </w:p>
    <w:p w14:paraId="6BC63A80">
      <w:pPr>
        <w:spacing w:line="360" w:lineRule="auto"/>
        <w:ind w:firstLine="482"/>
        <w:rPr>
          <w:rFonts w:hint="default" w:ascii="宋体" w:hAnsi="宋体" w:eastAsia="宋体" w:cs="宋体"/>
          <w:color w:val="auto"/>
          <w:sz w:val="24"/>
          <w:szCs w:val="24"/>
        </w:rPr>
      </w:pPr>
      <w:r>
        <w:rPr>
          <w:rFonts w:hint="default" w:ascii="宋体" w:hAnsi="宋体" w:eastAsia="宋体" w:cs="宋体"/>
          <w:color w:val="auto"/>
          <w:sz w:val="24"/>
          <w:szCs w:val="24"/>
        </w:rPr>
        <w:t>4）图文版面与展示内容风格统一。</w:t>
      </w:r>
    </w:p>
    <w:p w14:paraId="2EBF26C7">
      <w:pPr>
        <w:spacing w:line="360" w:lineRule="auto"/>
        <w:ind w:firstLine="482"/>
        <w:rPr>
          <w:rFonts w:hint="default" w:ascii="宋体" w:hAnsi="宋体" w:eastAsia="宋体" w:cs="宋体"/>
          <w:color w:val="auto"/>
          <w:sz w:val="24"/>
          <w:szCs w:val="24"/>
        </w:rPr>
      </w:pPr>
      <w:r>
        <w:rPr>
          <w:rFonts w:hint="default" w:ascii="宋体" w:hAnsi="宋体" w:eastAsia="宋体" w:cs="宋体"/>
          <w:color w:val="auto"/>
          <w:sz w:val="24"/>
          <w:szCs w:val="24"/>
        </w:rPr>
        <w:t>5）图文版安装高度必须符合人体工学，适合各身高人士观看。</w:t>
      </w:r>
    </w:p>
    <w:p w14:paraId="763F77E2">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6）</w:t>
      </w:r>
      <w:r>
        <w:rPr>
          <w:rFonts w:hint="default" w:ascii="宋体" w:hAnsi="宋体" w:eastAsia="宋体" w:cs="宋体"/>
          <w:color w:val="auto"/>
          <w:sz w:val="24"/>
          <w:szCs w:val="24"/>
        </w:rPr>
        <w:t>展项展品说明牌、铭牌为中文，同时要考虑到部分说明牌可能有示意图。</w:t>
      </w:r>
    </w:p>
    <w:p w14:paraId="7BE6FFE6">
      <w:pPr>
        <w:spacing w:line="360" w:lineRule="auto"/>
        <w:ind w:firstLine="482"/>
        <w:rPr>
          <w:rFonts w:hint="default" w:ascii="宋体" w:hAnsi="宋体" w:eastAsia="宋体" w:cs="宋体"/>
          <w:color w:val="auto"/>
          <w:sz w:val="24"/>
          <w:szCs w:val="24"/>
        </w:rPr>
      </w:pPr>
      <w:r>
        <w:rPr>
          <w:rFonts w:hint="default" w:ascii="宋体" w:hAnsi="宋体" w:eastAsia="宋体" w:cs="宋体"/>
          <w:color w:val="auto"/>
          <w:sz w:val="24"/>
          <w:szCs w:val="24"/>
        </w:rPr>
        <w:t>每一个展示空间在实施前须提供局部采样，经馆方确认后方可实施。</w:t>
      </w:r>
    </w:p>
    <w:p w14:paraId="67F422D9">
      <w:pPr>
        <w:spacing w:line="360" w:lineRule="auto"/>
        <w:ind w:firstLine="482"/>
        <w:rPr>
          <w:rFonts w:hint="default" w:ascii="宋体" w:hAnsi="宋体" w:eastAsia="宋体" w:cs="宋体"/>
          <w:color w:val="auto"/>
          <w:sz w:val="24"/>
          <w:szCs w:val="24"/>
        </w:rPr>
      </w:pPr>
      <w:r>
        <w:rPr>
          <w:rFonts w:hint="default" w:ascii="宋体" w:hAnsi="宋体" w:eastAsia="宋体" w:cs="宋体"/>
          <w:color w:val="auto"/>
          <w:sz w:val="24"/>
          <w:szCs w:val="24"/>
        </w:rPr>
        <w:t>图文板的平面制作和安装，必须使用高精度直印彩绘、UV直喷打印等制作工艺，</w:t>
      </w:r>
      <w:r>
        <w:rPr>
          <w:rFonts w:ascii="宋体" w:hAnsi="宋体" w:eastAsia="宋体" w:cs="宋体"/>
          <w:color w:val="auto"/>
          <w:sz w:val="24"/>
          <w:szCs w:val="24"/>
        </w:rPr>
        <w:t>材料需</w:t>
      </w:r>
      <w:r>
        <w:rPr>
          <w:rFonts w:hint="default" w:ascii="宋体" w:hAnsi="宋体" w:eastAsia="宋体" w:cs="宋体"/>
          <w:color w:val="auto"/>
          <w:sz w:val="24"/>
          <w:szCs w:val="24"/>
        </w:rPr>
        <w:t>易清洁、防水、使用寿命长并易于更换的材料，做到收口平整、不起泡、无色差，安装方便、更新便利。</w:t>
      </w:r>
    </w:p>
    <w:p w14:paraId="1BE9C842">
      <w:pPr>
        <w:spacing w:line="360" w:lineRule="auto"/>
        <w:ind w:firstLine="482"/>
        <w:rPr>
          <w:rFonts w:hint="default" w:ascii="宋体" w:hAnsi="宋体" w:eastAsia="宋体" w:cs="宋体"/>
          <w:b/>
          <w:bCs/>
          <w:sz w:val="24"/>
          <w:szCs w:val="24"/>
        </w:rPr>
      </w:pPr>
      <w:r>
        <w:rPr>
          <w:rFonts w:ascii="宋体" w:hAnsi="宋体" w:eastAsia="宋体" w:cs="宋体"/>
          <w:b/>
          <w:bCs/>
          <w:sz w:val="24"/>
          <w:szCs w:val="24"/>
        </w:rPr>
        <w:t xml:space="preserve">4.6 </w:t>
      </w:r>
      <w:r>
        <w:rPr>
          <w:rFonts w:ascii="宋体" w:hAnsi="宋体" w:eastAsia="宋体" w:cs="宋体"/>
          <w:b/>
          <w:bCs/>
          <w:sz w:val="24"/>
          <w:szCs w:val="24"/>
          <w:lang w:val="zh-TW" w:eastAsia="zh-TW"/>
        </w:rPr>
        <w:t>艺术展项制作技术要求</w:t>
      </w:r>
    </w:p>
    <w:p w14:paraId="72B45541">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4.</w:t>
      </w:r>
      <w:r>
        <w:rPr>
          <w:rFonts w:ascii="宋体" w:hAnsi="宋体" w:eastAsia="宋体" w:cs="宋体"/>
          <w:sz w:val="24"/>
          <w:szCs w:val="24"/>
        </w:rPr>
        <w:t>6</w:t>
      </w:r>
      <w:r>
        <w:rPr>
          <w:rFonts w:ascii="宋体" w:hAnsi="宋体" w:eastAsia="宋体" w:cs="宋体"/>
          <w:sz w:val="24"/>
          <w:szCs w:val="24"/>
          <w:lang w:val="zh-TW" w:eastAsia="zh-TW"/>
        </w:rPr>
        <w:t>.1 艺术展项设计要求</w:t>
      </w:r>
    </w:p>
    <w:p w14:paraId="0B37912F">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艺术展项、场景的创作及制作应结合展览主题及展陈大纲中的重要内容合理运用，展项深化设计方案应包含深化内容、展项小稿，小稿对重点展项内容表达清晰准确。以初步设计资料和重点展项深化设计说明为基础进行深化，场景所表现的内容真实反映场景的整体设定。</w:t>
      </w:r>
    </w:p>
    <w:p w14:paraId="6DC96135">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4.</w:t>
      </w:r>
      <w:r>
        <w:rPr>
          <w:rFonts w:ascii="宋体" w:hAnsi="宋体" w:eastAsia="宋体" w:cs="宋体"/>
          <w:sz w:val="24"/>
          <w:szCs w:val="24"/>
        </w:rPr>
        <w:t>6</w:t>
      </w:r>
      <w:r>
        <w:rPr>
          <w:rFonts w:ascii="宋体" w:hAnsi="宋体" w:eastAsia="宋体" w:cs="宋体"/>
          <w:sz w:val="24"/>
          <w:szCs w:val="24"/>
          <w:lang w:val="zh-TW" w:eastAsia="zh-TW"/>
        </w:rPr>
        <w:t>.2 艺术展项制作要求</w:t>
      </w:r>
    </w:p>
    <w:p w14:paraId="61A323BD">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（1）基础结构：艺术展项、场景内部结构设计，墙体与基层平台连接点处理可靠，承托基层展台结构牢固，场景中展台、展柜及围护结构件等符合质量要求。</w:t>
      </w:r>
    </w:p>
    <w:p w14:paraId="4A9F02AB">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（2）主体材料：场景中的人物（如有）应造型准确，形神兼备，构图精巧。根据内容需求合理使用不同材料饰面表达，场景所使用的材料应确保在色彩、质感、肌理达到逼真的自然视觉效果。</w:t>
      </w:r>
    </w:p>
    <w:p w14:paraId="5136415F">
      <w:pPr>
        <w:spacing w:line="360" w:lineRule="auto"/>
        <w:ind w:firstLine="480"/>
        <w:rPr>
          <w:rFonts w:hint="default" w:ascii="宋体" w:hAnsi="宋体" w:eastAsia="宋体" w:cs="宋体"/>
          <w:sz w:val="24"/>
          <w:szCs w:val="24"/>
          <w:lang w:val="zh-TW" w:eastAsia="zh-TW"/>
        </w:rPr>
      </w:pPr>
      <w:r>
        <w:rPr>
          <w:rFonts w:ascii="宋体" w:hAnsi="宋体" w:eastAsia="宋体" w:cs="宋体"/>
          <w:sz w:val="24"/>
          <w:szCs w:val="24"/>
          <w:lang w:val="zh-TW" w:eastAsia="zh-TW"/>
        </w:rPr>
        <w:t>（3）背景画：画面应围绕展示主题进行深化设计和绘制，画面与前景展示相互配合，其内容和疏密应与前景做整体考虑，在视觉上达到协调统一的效果。</w:t>
      </w:r>
    </w:p>
    <w:p w14:paraId="2976BEE4">
      <w:pPr>
        <w:wordWrap w:val="0"/>
        <w:overflowPunct w:val="0"/>
        <w:topLinePunct/>
        <w:spacing w:line="360" w:lineRule="auto"/>
        <w:ind w:firstLine="482"/>
        <w:rPr>
          <w:rFonts w:hint="default" w:ascii="宋体" w:hAnsi="宋体" w:eastAsia="宋体" w:cs="宋体"/>
          <w:sz w:val="24"/>
          <w:szCs w:val="24"/>
          <w:lang w:val="zh-TW" w:eastAsia="zh-TW"/>
        </w:rPr>
      </w:pPr>
      <w:r>
        <w:rPr>
          <w:rFonts w:ascii="宋体" w:hAnsi="宋体" w:eastAsia="宋体" w:cs="宋体"/>
          <w:sz w:val="24"/>
          <w:szCs w:val="24"/>
          <w:lang w:val="zh-TW" w:eastAsia="zh-TW"/>
        </w:rPr>
        <w:t>（4）展项照明设计效果应根据展项整体的设定，综合考虑被照射物体表面质感进行整体设计，灯具和光源要考虑避免眩光，体现节能原则和方便维护保养。</w:t>
      </w:r>
    </w:p>
    <w:p w14:paraId="4B860173">
      <w:pPr>
        <w:numPr>
          <w:ilvl w:val="255"/>
          <w:numId w:val="0"/>
        </w:numPr>
        <w:suppressAutoHyphens/>
        <w:spacing w:line="360" w:lineRule="auto"/>
        <w:ind w:firstLine="551"/>
        <w:rPr>
          <w:rFonts w:hint="default" w:ascii="宋体" w:hAnsi="宋体" w:eastAsia="宋体" w:cs="仿宋"/>
          <w:b/>
          <w:bCs/>
          <w:sz w:val="24"/>
          <w:szCs w:val="24"/>
        </w:rPr>
      </w:pPr>
      <w:r>
        <w:rPr>
          <w:rFonts w:ascii="宋体" w:hAnsi="宋体" w:eastAsia="宋体" w:cs="仿宋"/>
          <w:b/>
          <w:bCs/>
          <w:sz w:val="24"/>
          <w:szCs w:val="24"/>
        </w:rPr>
        <w:t xml:space="preserve">第五章 </w:t>
      </w:r>
      <w:r>
        <w:rPr>
          <w:rFonts w:hint="default" w:ascii="宋体" w:hAnsi="宋体" w:eastAsia="宋体" w:cs="仿宋"/>
          <w:b/>
          <w:bCs/>
          <w:sz w:val="24"/>
          <w:szCs w:val="24"/>
        </w:rPr>
        <w:t>服务要求</w:t>
      </w:r>
    </w:p>
    <w:p w14:paraId="6EF283B3">
      <w:pPr>
        <w:numPr>
          <w:ilvl w:val="255"/>
          <w:numId w:val="0"/>
        </w:numPr>
        <w:suppressAutoHyphens/>
        <w:spacing w:line="360" w:lineRule="auto"/>
        <w:ind w:firstLine="551"/>
        <w:rPr>
          <w:rFonts w:hint="default" w:ascii="宋体" w:hAnsi="宋体" w:eastAsia="宋体" w:cs="仿宋"/>
          <w:b/>
          <w:bCs/>
          <w:sz w:val="24"/>
          <w:szCs w:val="24"/>
        </w:rPr>
      </w:pPr>
      <w:r>
        <w:rPr>
          <w:rFonts w:ascii="宋体" w:hAnsi="宋体" w:eastAsia="宋体" w:cs="仿宋"/>
          <w:b/>
          <w:bCs/>
          <w:sz w:val="24"/>
          <w:szCs w:val="24"/>
        </w:rPr>
        <w:t>5</w:t>
      </w:r>
      <w:r>
        <w:rPr>
          <w:rFonts w:hint="default" w:ascii="宋体" w:hAnsi="宋体" w:eastAsia="宋体" w:cs="仿宋"/>
          <w:b/>
          <w:bCs/>
          <w:sz w:val="24"/>
          <w:szCs w:val="24"/>
        </w:rPr>
        <w:t>.1</w:t>
      </w:r>
      <w:r>
        <w:rPr>
          <w:rFonts w:hint="default" w:ascii="宋体" w:hAnsi="宋体" w:eastAsia="宋体" w:cs="仿宋"/>
          <w:b/>
          <w:bCs/>
          <w:sz w:val="24"/>
          <w:szCs w:val="24"/>
          <w:lang w:val="zh-TW"/>
        </w:rPr>
        <w:t>设计成果要求</w:t>
      </w:r>
    </w:p>
    <w:p w14:paraId="68B34B95">
      <w:pPr>
        <w:numPr>
          <w:ilvl w:val="255"/>
          <w:numId w:val="0"/>
        </w:numPr>
        <w:suppressAutoHyphens/>
        <w:spacing w:line="360" w:lineRule="auto"/>
        <w:ind w:firstLine="551"/>
        <w:rPr>
          <w:rFonts w:hint="default" w:ascii="宋体" w:hAnsi="宋体" w:eastAsia="宋体" w:cs="仿宋"/>
          <w:sz w:val="24"/>
          <w:szCs w:val="24"/>
          <w:lang w:val="zh-TW"/>
        </w:rPr>
      </w:pPr>
      <w:r>
        <w:rPr>
          <w:rFonts w:hint="default" w:ascii="宋体" w:hAnsi="宋体" w:eastAsia="宋体" w:cs="仿宋"/>
          <w:b/>
          <w:bCs/>
          <w:sz w:val="24"/>
          <w:szCs w:val="24"/>
          <w:lang w:val="zh-TW"/>
        </w:rPr>
        <w:t>成果内容包括：</w:t>
      </w:r>
      <w:r>
        <w:rPr>
          <w:rFonts w:hint="default" w:ascii="宋体" w:hAnsi="宋体" w:eastAsia="宋体" w:cs="仿宋"/>
          <w:sz w:val="24"/>
          <w:szCs w:val="24"/>
          <w:lang w:val="zh-TW"/>
        </w:rPr>
        <w:t>设计说明、设计方案。</w:t>
      </w:r>
    </w:p>
    <w:p w14:paraId="41678026">
      <w:pPr>
        <w:numPr>
          <w:ilvl w:val="255"/>
          <w:numId w:val="0"/>
        </w:numPr>
        <w:suppressAutoHyphens/>
        <w:spacing w:line="360" w:lineRule="auto"/>
        <w:ind w:firstLine="562"/>
        <w:rPr>
          <w:rFonts w:hint="default" w:ascii="宋体" w:hAnsi="宋体" w:eastAsia="宋体" w:cs="仿宋"/>
          <w:sz w:val="24"/>
          <w:szCs w:val="24"/>
          <w:lang w:val="zh-TW"/>
        </w:rPr>
      </w:pPr>
      <w:r>
        <w:rPr>
          <w:rFonts w:ascii="宋体" w:hAnsi="宋体" w:eastAsia="宋体" w:cs="仿宋"/>
          <w:sz w:val="24"/>
          <w:szCs w:val="24"/>
        </w:rPr>
        <w:t>5</w:t>
      </w:r>
      <w:r>
        <w:rPr>
          <w:rFonts w:hint="default" w:ascii="宋体" w:hAnsi="宋体" w:eastAsia="宋体" w:cs="仿宋"/>
          <w:sz w:val="24"/>
          <w:szCs w:val="24"/>
          <w:lang w:val="zh-TW"/>
        </w:rPr>
        <w:t>.1.1设计说明</w:t>
      </w:r>
    </w:p>
    <w:p w14:paraId="3AAC16A9">
      <w:pPr>
        <w:numPr>
          <w:ilvl w:val="255"/>
          <w:numId w:val="0"/>
        </w:numPr>
        <w:suppressAutoHyphens/>
        <w:spacing w:line="360" w:lineRule="auto"/>
        <w:ind w:firstLine="562"/>
        <w:rPr>
          <w:rFonts w:hint="default" w:ascii="宋体" w:hAnsi="宋体" w:eastAsia="宋体" w:cs="仿宋"/>
          <w:sz w:val="24"/>
          <w:szCs w:val="24"/>
          <w:lang w:val="zh-TW"/>
        </w:rPr>
      </w:pPr>
      <w:r>
        <w:rPr>
          <w:rFonts w:hint="default" w:ascii="宋体" w:hAnsi="宋体" w:eastAsia="宋体" w:cs="仿宋"/>
          <w:sz w:val="24"/>
          <w:szCs w:val="24"/>
          <w:lang w:val="zh-TW"/>
        </w:rPr>
        <w:t>对项目理解，设计思路，展览效果特点，参观体验及对设计方案的必要说明。说明应采用中文，度量单位采用国际通用的公制单位。</w:t>
      </w:r>
    </w:p>
    <w:p w14:paraId="76EE1799">
      <w:pPr>
        <w:numPr>
          <w:ilvl w:val="255"/>
          <w:numId w:val="0"/>
        </w:numPr>
        <w:suppressAutoHyphens/>
        <w:spacing w:line="360" w:lineRule="auto"/>
        <w:ind w:firstLine="562"/>
        <w:rPr>
          <w:rFonts w:hint="default" w:ascii="宋体" w:hAnsi="宋体" w:eastAsia="宋体" w:cs="仿宋"/>
          <w:sz w:val="24"/>
          <w:szCs w:val="24"/>
          <w:lang w:val="zh-TW"/>
        </w:rPr>
      </w:pPr>
      <w:r>
        <w:rPr>
          <w:rFonts w:ascii="宋体" w:hAnsi="宋体" w:eastAsia="宋体" w:cs="仿宋"/>
          <w:sz w:val="24"/>
          <w:szCs w:val="24"/>
        </w:rPr>
        <w:t>5</w:t>
      </w:r>
      <w:r>
        <w:rPr>
          <w:rFonts w:hint="default" w:ascii="宋体" w:hAnsi="宋体" w:eastAsia="宋体" w:cs="仿宋"/>
          <w:sz w:val="24"/>
          <w:szCs w:val="24"/>
          <w:lang w:val="zh-TW"/>
        </w:rPr>
        <w:t>.1.2 设计方案</w:t>
      </w:r>
    </w:p>
    <w:p w14:paraId="270C505B">
      <w:pPr>
        <w:numPr>
          <w:ilvl w:val="255"/>
          <w:numId w:val="0"/>
        </w:numPr>
        <w:suppressAutoHyphens/>
        <w:spacing w:line="360" w:lineRule="auto"/>
        <w:ind w:firstLine="562"/>
        <w:rPr>
          <w:rFonts w:hint="default" w:ascii="宋体" w:hAnsi="宋体" w:eastAsia="宋体" w:cs="仿宋"/>
          <w:sz w:val="24"/>
          <w:szCs w:val="24"/>
          <w:lang w:val="zh-TW"/>
        </w:rPr>
      </w:pPr>
      <w:r>
        <w:rPr>
          <w:rFonts w:hint="default" w:ascii="宋体" w:hAnsi="宋体" w:eastAsia="宋体" w:cs="仿宋"/>
          <w:sz w:val="24"/>
          <w:szCs w:val="24"/>
          <w:lang w:val="zh-TW"/>
        </w:rPr>
        <w:t>表达的内容与要求应与设计说明一致。包括但不限于：</w:t>
      </w:r>
    </w:p>
    <w:p w14:paraId="1E736BA2">
      <w:pPr>
        <w:numPr>
          <w:ilvl w:val="255"/>
          <w:numId w:val="0"/>
        </w:numPr>
        <w:suppressAutoHyphens/>
        <w:spacing w:line="360" w:lineRule="auto"/>
        <w:ind w:firstLine="562"/>
        <w:rPr>
          <w:rFonts w:hint="default" w:ascii="宋体" w:hAnsi="宋体" w:eastAsia="宋体" w:cs="仿宋"/>
          <w:sz w:val="24"/>
          <w:szCs w:val="24"/>
          <w:lang w:val="zh-TW"/>
        </w:rPr>
      </w:pPr>
      <w:r>
        <w:rPr>
          <w:rFonts w:hint="default" w:ascii="宋体" w:hAnsi="宋体" w:eastAsia="宋体" w:cs="仿宋"/>
          <w:sz w:val="24"/>
          <w:szCs w:val="24"/>
          <w:lang w:val="zh-TW"/>
        </w:rPr>
        <w:t>应标阶段提供文件：</w:t>
      </w:r>
    </w:p>
    <w:p w14:paraId="4CF4DEA6">
      <w:pPr>
        <w:numPr>
          <w:ilvl w:val="255"/>
          <w:numId w:val="0"/>
        </w:numPr>
        <w:suppressAutoHyphens/>
        <w:spacing w:line="360" w:lineRule="auto"/>
        <w:ind w:firstLine="562"/>
        <w:rPr>
          <w:rFonts w:hint="default" w:ascii="宋体" w:hAnsi="宋体" w:eastAsia="宋体" w:cs="仿宋"/>
          <w:sz w:val="24"/>
          <w:szCs w:val="24"/>
          <w:lang w:val="zh-TW"/>
        </w:rPr>
      </w:pPr>
      <w:r>
        <w:rPr>
          <w:rFonts w:hint="default" w:ascii="宋体" w:hAnsi="宋体" w:eastAsia="宋体" w:cs="仿宋"/>
          <w:sz w:val="24"/>
          <w:szCs w:val="24"/>
          <w:lang w:val="zh-TW"/>
        </w:rPr>
        <w:t>1.</w:t>
      </w:r>
      <w:r>
        <w:rPr>
          <w:rFonts w:ascii="宋体" w:hAnsi="宋体" w:eastAsia="宋体" w:cs="仿宋"/>
          <w:sz w:val="24"/>
          <w:szCs w:val="24"/>
          <w:lang w:val="zh-TW"/>
        </w:rPr>
        <w:t>设计方案（总体构思、展示主题、展示主线、主题展区布局、参观流线图、主要展示内容、重点展项分布图、展厅效果图（充分表现空间环境）、展厅版式设计（多媒体、艺术品等）。</w:t>
      </w:r>
    </w:p>
    <w:p w14:paraId="690E5401">
      <w:pPr>
        <w:numPr>
          <w:ilvl w:val="255"/>
          <w:numId w:val="0"/>
        </w:numPr>
        <w:suppressAutoHyphens/>
        <w:spacing w:line="360" w:lineRule="auto"/>
        <w:ind w:firstLine="562"/>
        <w:rPr>
          <w:rFonts w:hint="default" w:ascii="宋体" w:hAnsi="宋体" w:eastAsia="宋体" w:cs="仿宋"/>
          <w:sz w:val="24"/>
          <w:szCs w:val="24"/>
          <w:lang w:val="zh-TW"/>
        </w:rPr>
      </w:pPr>
      <w:r>
        <w:rPr>
          <w:rFonts w:hint="default" w:ascii="宋体" w:hAnsi="宋体" w:eastAsia="宋体" w:cs="仿宋"/>
          <w:sz w:val="24"/>
          <w:szCs w:val="24"/>
          <w:lang w:val="zh-TW"/>
        </w:rPr>
        <w:t>中标后深化设计要求：</w:t>
      </w:r>
    </w:p>
    <w:p w14:paraId="65B99210">
      <w:pPr>
        <w:numPr>
          <w:ilvl w:val="255"/>
          <w:numId w:val="0"/>
        </w:numPr>
        <w:suppressAutoHyphens/>
        <w:spacing w:line="360" w:lineRule="auto"/>
        <w:ind w:firstLine="562"/>
        <w:rPr>
          <w:rFonts w:hint="default" w:ascii="宋体" w:hAnsi="宋体" w:eastAsia="宋体" w:cs="仿宋"/>
          <w:sz w:val="24"/>
          <w:szCs w:val="24"/>
          <w:lang w:val="zh-TW"/>
        </w:rPr>
      </w:pPr>
      <w:r>
        <w:rPr>
          <w:rFonts w:hint="default" w:ascii="宋体" w:hAnsi="宋体" w:eastAsia="宋体" w:cs="仿宋"/>
          <w:sz w:val="24"/>
          <w:szCs w:val="24"/>
          <w:lang w:val="zh-TW"/>
        </w:rPr>
        <w:t>2.深化设计方案</w:t>
      </w:r>
    </w:p>
    <w:p w14:paraId="1B2558A4">
      <w:pPr>
        <w:numPr>
          <w:ilvl w:val="255"/>
          <w:numId w:val="0"/>
        </w:numPr>
        <w:suppressAutoHyphens/>
        <w:spacing w:line="360" w:lineRule="auto"/>
        <w:ind w:firstLine="562"/>
        <w:rPr>
          <w:rFonts w:hint="default" w:ascii="宋体" w:hAnsi="宋体" w:eastAsia="宋体" w:cs="仿宋"/>
          <w:sz w:val="24"/>
          <w:szCs w:val="24"/>
          <w:lang w:val="zh-TW"/>
        </w:rPr>
      </w:pPr>
      <w:r>
        <w:rPr>
          <w:rFonts w:hint="default" w:ascii="宋体" w:hAnsi="宋体" w:eastAsia="宋体" w:cs="仿宋"/>
          <w:sz w:val="24"/>
          <w:szCs w:val="24"/>
          <w:lang w:val="zh-TW"/>
        </w:rPr>
        <w:t>3.施工图</w:t>
      </w:r>
    </w:p>
    <w:p w14:paraId="02C6437B">
      <w:pPr>
        <w:numPr>
          <w:ilvl w:val="255"/>
          <w:numId w:val="0"/>
        </w:numPr>
        <w:suppressAutoHyphens/>
        <w:spacing w:line="360" w:lineRule="auto"/>
        <w:ind w:firstLine="562"/>
        <w:rPr>
          <w:rFonts w:hint="default" w:ascii="宋体" w:hAnsi="宋体" w:eastAsia="宋体" w:cs="仿宋"/>
          <w:sz w:val="24"/>
          <w:szCs w:val="24"/>
          <w:lang w:val="zh-TW"/>
        </w:rPr>
      </w:pPr>
      <w:r>
        <w:rPr>
          <w:rFonts w:hint="default" w:ascii="宋体" w:hAnsi="宋体" w:eastAsia="宋体" w:cs="仿宋"/>
          <w:sz w:val="24"/>
          <w:szCs w:val="24"/>
          <w:lang w:val="zh-TW"/>
        </w:rPr>
        <w:t xml:space="preserve">4.其它 </w:t>
      </w:r>
    </w:p>
    <w:p w14:paraId="0B176622">
      <w:pPr>
        <w:suppressAutoHyphens/>
        <w:spacing w:line="360" w:lineRule="auto"/>
        <w:ind w:firstLine="562"/>
        <w:rPr>
          <w:rFonts w:hint="default" w:ascii="宋体" w:hAnsi="宋体" w:eastAsia="宋体" w:cs="仿宋"/>
          <w:b/>
          <w:bCs/>
          <w:color w:val="auto"/>
          <w:sz w:val="24"/>
          <w:szCs w:val="24"/>
        </w:rPr>
      </w:pPr>
      <w:r>
        <w:rPr>
          <w:rFonts w:ascii="宋体" w:hAnsi="宋体" w:eastAsia="宋体" w:cs="仿宋"/>
          <w:b/>
          <w:bCs/>
          <w:color w:val="auto"/>
          <w:sz w:val="24"/>
          <w:szCs w:val="24"/>
        </w:rPr>
        <w:t>5.2 工期要求</w:t>
      </w:r>
    </w:p>
    <w:p w14:paraId="1BB5CC6C">
      <w:pPr>
        <w:suppressAutoHyphens/>
        <w:spacing w:line="360" w:lineRule="auto"/>
        <w:ind w:firstLine="562"/>
        <w:rPr>
          <w:rFonts w:hint="default" w:ascii="宋体" w:hAnsi="宋体" w:eastAsia="宋体" w:cs="仿宋"/>
          <w:color w:val="auto"/>
          <w:sz w:val="24"/>
          <w:szCs w:val="24"/>
        </w:rPr>
      </w:pPr>
      <w:r>
        <w:rPr>
          <w:rFonts w:hint="default" w:ascii="宋体" w:hAnsi="宋体" w:eastAsia="宋体" w:cs="仿宋"/>
          <w:color w:val="auto"/>
          <w:sz w:val="24"/>
          <w:szCs w:val="24"/>
        </w:rPr>
        <w:t>项目工期：合同生效之日起120个日历天完成</w:t>
      </w:r>
    </w:p>
    <w:p w14:paraId="286FF9D5">
      <w:pPr>
        <w:suppressAutoHyphens/>
        <w:spacing w:line="360" w:lineRule="auto"/>
        <w:ind w:firstLine="562"/>
        <w:rPr>
          <w:rFonts w:hint="default" w:ascii="宋体" w:hAnsi="宋体" w:eastAsia="宋体" w:cs="仿宋"/>
          <w:b/>
          <w:bCs/>
          <w:color w:val="auto"/>
          <w:sz w:val="24"/>
          <w:szCs w:val="24"/>
          <w:lang w:val="zh-TW"/>
        </w:rPr>
      </w:pPr>
      <w:r>
        <w:rPr>
          <w:rFonts w:ascii="宋体" w:hAnsi="宋体" w:eastAsia="宋体" w:cs="仿宋"/>
          <w:b/>
          <w:bCs/>
          <w:color w:val="auto"/>
          <w:sz w:val="24"/>
          <w:szCs w:val="24"/>
        </w:rPr>
        <w:t>5</w:t>
      </w:r>
      <w:r>
        <w:rPr>
          <w:rFonts w:hint="default" w:ascii="宋体" w:hAnsi="宋体" w:eastAsia="宋体" w:cs="仿宋"/>
          <w:b/>
          <w:bCs/>
          <w:color w:val="auto"/>
          <w:sz w:val="24"/>
          <w:szCs w:val="24"/>
          <w:lang w:val="zh-TW"/>
        </w:rPr>
        <w:t>.</w:t>
      </w:r>
      <w:r>
        <w:rPr>
          <w:rFonts w:ascii="宋体" w:hAnsi="宋体" w:eastAsia="宋体" w:cs="仿宋"/>
          <w:b/>
          <w:bCs/>
          <w:color w:val="auto"/>
          <w:sz w:val="24"/>
          <w:szCs w:val="24"/>
        </w:rPr>
        <w:t>3</w:t>
      </w:r>
      <w:r>
        <w:rPr>
          <w:rFonts w:hint="default" w:ascii="宋体" w:hAnsi="宋体" w:eastAsia="宋体" w:cs="仿宋"/>
          <w:b/>
          <w:bCs/>
          <w:color w:val="auto"/>
          <w:sz w:val="24"/>
          <w:szCs w:val="24"/>
          <w:lang w:val="zh-TW"/>
        </w:rPr>
        <w:t xml:space="preserve"> 质量要求</w:t>
      </w:r>
    </w:p>
    <w:p w14:paraId="6AD02A38">
      <w:pPr>
        <w:spacing w:line="360" w:lineRule="auto"/>
        <w:ind w:firstLine="562"/>
        <w:rPr>
          <w:rFonts w:hint="default" w:ascii="宋体" w:hAnsi="宋体" w:eastAsia="宋体" w:cs="仿宋"/>
          <w:color w:val="auto"/>
          <w:sz w:val="24"/>
          <w:szCs w:val="24"/>
        </w:rPr>
      </w:pPr>
      <w:r>
        <w:rPr>
          <w:rFonts w:ascii="宋体" w:hAnsi="宋体" w:eastAsia="宋体" w:cs="仿宋"/>
          <w:color w:val="auto"/>
          <w:sz w:val="24"/>
          <w:szCs w:val="24"/>
          <w:lang w:val="zh-TW"/>
        </w:rPr>
        <w:t>符合国家相关验收规范规定的合格标准，最终以通过采购人及相关机构验收为准。</w:t>
      </w:r>
    </w:p>
    <w:p w14:paraId="4EF093A0">
      <w:pPr>
        <w:suppressAutoHyphens/>
        <w:spacing w:line="360" w:lineRule="auto"/>
        <w:ind w:firstLine="562"/>
        <w:rPr>
          <w:rFonts w:hint="default" w:ascii="宋体" w:hAnsi="宋体" w:eastAsia="宋体" w:cs="仿宋"/>
          <w:b/>
          <w:bCs/>
          <w:color w:val="auto"/>
          <w:sz w:val="24"/>
          <w:szCs w:val="24"/>
          <w:lang w:val="zh-TW"/>
        </w:rPr>
      </w:pPr>
      <w:r>
        <w:rPr>
          <w:rFonts w:ascii="宋体" w:hAnsi="宋体" w:eastAsia="宋体" w:cs="仿宋"/>
          <w:b/>
          <w:bCs/>
          <w:color w:val="auto"/>
          <w:sz w:val="24"/>
          <w:szCs w:val="24"/>
        </w:rPr>
        <w:t>5</w:t>
      </w:r>
      <w:r>
        <w:rPr>
          <w:rFonts w:ascii="宋体" w:hAnsi="宋体" w:eastAsia="宋体" w:cs="仿宋"/>
          <w:b/>
          <w:bCs/>
          <w:color w:val="auto"/>
          <w:sz w:val="24"/>
          <w:szCs w:val="24"/>
          <w:lang w:val="zh-TW"/>
        </w:rPr>
        <w:t>.</w:t>
      </w:r>
      <w:r>
        <w:rPr>
          <w:rFonts w:ascii="宋体" w:hAnsi="宋体" w:eastAsia="宋体" w:cs="仿宋"/>
          <w:b/>
          <w:bCs/>
          <w:color w:val="auto"/>
          <w:sz w:val="24"/>
          <w:szCs w:val="24"/>
        </w:rPr>
        <w:t>4</w:t>
      </w:r>
      <w:r>
        <w:rPr>
          <w:rFonts w:ascii="宋体" w:hAnsi="宋体" w:eastAsia="宋体" w:cs="仿宋"/>
          <w:b/>
          <w:bCs/>
          <w:color w:val="auto"/>
          <w:sz w:val="24"/>
          <w:szCs w:val="24"/>
          <w:lang w:val="zh-TW"/>
        </w:rPr>
        <w:t>质保期</w:t>
      </w:r>
    </w:p>
    <w:p w14:paraId="7E5C4B4B">
      <w:pPr>
        <w:spacing w:line="360" w:lineRule="auto"/>
        <w:ind w:firstLine="562"/>
        <w:rPr>
          <w:rFonts w:hint="default" w:ascii="宋体" w:hAnsi="宋体" w:eastAsia="宋体" w:cs="仿宋"/>
          <w:color w:val="auto"/>
          <w:sz w:val="24"/>
          <w:szCs w:val="24"/>
          <w:lang w:val="zh-TW"/>
        </w:rPr>
      </w:pPr>
      <w:r>
        <w:rPr>
          <w:rFonts w:ascii="宋体" w:hAnsi="宋体" w:eastAsia="宋体" w:cs="仿宋"/>
          <w:color w:val="auto"/>
          <w:sz w:val="24"/>
          <w:szCs w:val="24"/>
          <w:lang w:val="zh-TW"/>
        </w:rPr>
        <w:t>质保期自项目竣工验收通过日起不少于24个月。</w:t>
      </w:r>
    </w:p>
    <w:p w14:paraId="35C18B36">
      <w:pPr>
        <w:suppressAutoHyphens/>
        <w:spacing w:line="360" w:lineRule="auto"/>
        <w:ind w:firstLine="562"/>
        <w:rPr>
          <w:rFonts w:hint="default" w:ascii="宋体" w:hAnsi="宋体" w:eastAsia="宋体" w:cs="仿宋"/>
          <w:b/>
          <w:bCs/>
          <w:sz w:val="24"/>
          <w:szCs w:val="24"/>
        </w:rPr>
      </w:pPr>
      <w:r>
        <w:rPr>
          <w:rFonts w:ascii="宋体" w:hAnsi="宋体" w:eastAsia="宋体" w:cs="仿宋"/>
          <w:b/>
          <w:bCs/>
          <w:sz w:val="24"/>
          <w:szCs w:val="24"/>
        </w:rPr>
        <w:t>5.5人员设备要求</w:t>
      </w:r>
    </w:p>
    <w:p w14:paraId="5D065FF8">
      <w:pPr>
        <w:spacing w:line="360" w:lineRule="auto"/>
        <w:ind w:firstLine="562"/>
        <w:rPr>
          <w:rFonts w:hint="default" w:ascii="宋体" w:hAnsi="宋体" w:eastAsia="宋体" w:cs="仿宋"/>
          <w:sz w:val="24"/>
          <w:szCs w:val="24"/>
        </w:rPr>
      </w:pPr>
      <w:r>
        <w:rPr>
          <w:rFonts w:ascii="宋体" w:hAnsi="宋体" w:eastAsia="宋体" w:cs="仿宋"/>
          <w:sz w:val="24"/>
          <w:szCs w:val="24"/>
        </w:rPr>
        <w:t>本项目中人员岗位要求（但不仅限于）详见下表。</w:t>
      </w:r>
    </w:p>
    <w:p w14:paraId="589CA6A0">
      <w:pPr>
        <w:spacing w:line="360" w:lineRule="auto"/>
        <w:ind w:firstLine="480" w:firstLineChars="200"/>
        <w:jc w:val="center"/>
        <w:rPr>
          <w:rFonts w:hint="default" w:ascii="宋体" w:hAnsi="宋体" w:eastAsia="宋体" w:cs="仿宋"/>
          <w:sz w:val="24"/>
          <w:szCs w:val="24"/>
        </w:rPr>
      </w:pPr>
      <w:r>
        <w:rPr>
          <w:rFonts w:ascii="宋体" w:hAnsi="宋体" w:eastAsia="宋体" w:cs="仿宋"/>
          <w:sz w:val="24"/>
          <w:szCs w:val="24"/>
        </w:rPr>
        <w:t>团队人员配备一览表</w:t>
      </w:r>
    </w:p>
    <w:tbl>
      <w:tblPr>
        <w:tblStyle w:val="12"/>
        <w:tblW w:w="8897" w:type="dxa"/>
        <w:tblInd w:w="108" w:type="dxa"/>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Layout w:type="fixed"/>
        <w:tblCellMar>
          <w:top w:w="0" w:type="dxa"/>
          <w:left w:w="10" w:type="dxa"/>
          <w:bottom w:w="0" w:type="dxa"/>
          <w:right w:w="10" w:type="dxa"/>
        </w:tblCellMar>
      </w:tblPr>
      <w:tblGrid>
        <w:gridCol w:w="1384"/>
        <w:gridCol w:w="1985"/>
        <w:gridCol w:w="2127"/>
        <w:gridCol w:w="3401"/>
      </w:tblGrid>
      <w:tr w14:paraId="5FC6F1B0">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90" w:hRule="atLeast"/>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CB139CB">
            <w:pPr>
              <w:spacing w:line="360" w:lineRule="auto"/>
              <w:jc w:val="center"/>
              <w:rPr>
                <w:rFonts w:hint="default" w:ascii="宋体" w:hAnsi="宋体" w:eastAsia="宋体" w:cs="仿宋"/>
                <w:sz w:val="24"/>
                <w:szCs w:val="24"/>
              </w:rPr>
            </w:pPr>
            <w:r>
              <w:rPr>
                <w:rFonts w:ascii="宋体" w:hAnsi="宋体" w:eastAsia="宋体" w:cs="仿宋"/>
                <w:sz w:val="24"/>
                <w:szCs w:val="24"/>
              </w:rPr>
              <w:t>序号</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0602E948">
            <w:pPr>
              <w:spacing w:line="360" w:lineRule="auto"/>
              <w:jc w:val="center"/>
              <w:rPr>
                <w:rFonts w:hint="default" w:ascii="宋体" w:hAnsi="宋体" w:eastAsia="宋体" w:cs="仿宋"/>
                <w:sz w:val="24"/>
                <w:szCs w:val="24"/>
              </w:rPr>
            </w:pPr>
            <w:r>
              <w:rPr>
                <w:rFonts w:ascii="宋体" w:hAnsi="宋体" w:eastAsia="宋体" w:cs="仿宋"/>
                <w:sz w:val="24"/>
                <w:szCs w:val="24"/>
              </w:rPr>
              <w:t>岗位名称</w:t>
            </w: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8BC1C0A">
            <w:pPr>
              <w:spacing w:line="360" w:lineRule="auto"/>
              <w:jc w:val="center"/>
              <w:rPr>
                <w:rFonts w:hint="default" w:ascii="宋体" w:hAnsi="宋体" w:eastAsia="宋体" w:cs="仿宋"/>
                <w:sz w:val="24"/>
                <w:szCs w:val="24"/>
              </w:rPr>
            </w:pPr>
            <w:r>
              <w:rPr>
                <w:rFonts w:ascii="宋体" w:hAnsi="宋体" w:eastAsia="宋体" w:cs="仿宋"/>
                <w:sz w:val="24"/>
                <w:szCs w:val="24"/>
              </w:rPr>
              <w:t>建议配置岗位人数（最低要求）</w:t>
            </w:r>
          </w:p>
        </w:tc>
        <w:tc>
          <w:tcPr>
            <w:tcW w:w="34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38C7DE8">
            <w:pPr>
              <w:spacing w:line="360" w:lineRule="auto"/>
              <w:jc w:val="center"/>
              <w:rPr>
                <w:rFonts w:hint="default" w:ascii="宋体" w:hAnsi="宋体" w:eastAsia="宋体" w:cs="仿宋"/>
                <w:sz w:val="24"/>
                <w:szCs w:val="24"/>
              </w:rPr>
            </w:pPr>
            <w:r>
              <w:rPr>
                <w:rFonts w:ascii="宋体" w:hAnsi="宋体" w:eastAsia="宋体" w:cs="仿宋"/>
                <w:sz w:val="24"/>
                <w:szCs w:val="24"/>
              </w:rPr>
              <w:t>工作内容</w:t>
            </w:r>
          </w:p>
        </w:tc>
      </w:tr>
      <w:tr w14:paraId="73F1FB5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1029" w:hRule="atLeast"/>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E32E6EB">
            <w:pPr>
              <w:spacing w:line="360" w:lineRule="auto"/>
              <w:jc w:val="center"/>
              <w:rPr>
                <w:rFonts w:hint="default" w:ascii="宋体" w:hAnsi="宋体" w:eastAsia="宋体" w:cs="仿宋"/>
                <w:sz w:val="24"/>
                <w:szCs w:val="24"/>
              </w:rPr>
            </w:pPr>
            <w:r>
              <w:rPr>
                <w:rFonts w:ascii="宋体" w:hAnsi="宋体" w:eastAsia="宋体" w:cs="仿宋"/>
                <w:sz w:val="24"/>
                <w:szCs w:val="24"/>
              </w:rPr>
              <w:t>1</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31D1BA7C">
            <w:pPr>
              <w:spacing w:line="360" w:lineRule="auto"/>
              <w:jc w:val="center"/>
              <w:rPr>
                <w:rFonts w:hint="default" w:ascii="宋体" w:hAnsi="宋体" w:eastAsia="宋体" w:cs="仿宋"/>
                <w:sz w:val="24"/>
                <w:szCs w:val="24"/>
              </w:rPr>
            </w:pPr>
            <w:r>
              <w:rPr>
                <w:rFonts w:ascii="宋体" w:hAnsi="宋体" w:eastAsia="宋体" w:cs="仿宋"/>
                <w:sz w:val="24"/>
                <w:szCs w:val="24"/>
              </w:rPr>
              <w:t>项目经理</w:t>
            </w: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5EBFD4A">
            <w:pPr>
              <w:spacing w:line="360" w:lineRule="auto"/>
              <w:jc w:val="center"/>
              <w:rPr>
                <w:rFonts w:hint="default" w:ascii="宋体" w:hAnsi="宋体" w:eastAsia="宋体" w:cs="仿宋"/>
                <w:sz w:val="24"/>
                <w:szCs w:val="24"/>
              </w:rPr>
            </w:pPr>
            <w:r>
              <w:rPr>
                <w:rFonts w:ascii="宋体" w:hAnsi="宋体" w:eastAsia="宋体" w:cs="仿宋"/>
                <w:sz w:val="24"/>
                <w:szCs w:val="24"/>
              </w:rPr>
              <w:t>1</w:t>
            </w:r>
          </w:p>
        </w:tc>
        <w:tc>
          <w:tcPr>
            <w:tcW w:w="34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960DC58">
            <w:pPr>
              <w:spacing w:line="360" w:lineRule="auto"/>
              <w:jc w:val="left"/>
              <w:rPr>
                <w:rFonts w:hint="default" w:ascii="宋体" w:hAnsi="宋体" w:eastAsia="宋体" w:cs="仿宋"/>
                <w:sz w:val="24"/>
                <w:szCs w:val="24"/>
              </w:rPr>
            </w:pPr>
            <w:r>
              <w:rPr>
                <w:rFonts w:ascii="宋体" w:hAnsi="宋体" w:eastAsia="宋体" w:cs="仿宋"/>
                <w:sz w:val="24"/>
                <w:szCs w:val="24"/>
              </w:rPr>
              <w:t>全面负责项目管理。具有丰富的布展实施的工作经验，</w:t>
            </w:r>
            <w:r>
              <w:rPr>
                <w:rFonts w:hint="eastAsia" w:ascii="宋体" w:hAnsi="宋体" w:eastAsia="宋体" w:cs="仿宋"/>
                <w:sz w:val="24"/>
                <w:szCs w:val="24"/>
              </w:rPr>
              <w:t>从事相关职业5年及以上且有</w:t>
            </w:r>
            <w:r>
              <w:rPr>
                <w:rFonts w:hint="eastAsia" w:ascii="宋体" w:hAnsi="宋体" w:eastAsia="宋体" w:cs="仿宋"/>
                <w:sz w:val="24"/>
                <w:szCs w:val="24"/>
                <w:lang w:eastAsia="zh-CN"/>
              </w:rPr>
              <w:t>负责</w:t>
            </w:r>
            <w:r>
              <w:rPr>
                <w:rFonts w:hint="eastAsia" w:ascii="宋体" w:hAnsi="宋体" w:eastAsia="宋体" w:cs="仿宋"/>
                <w:sz w:val="24"/>
                <w:szCs w:val="24"/>
              </w:rPr>
              <w:t>承担过</w:t>
            </w:r>
            <w:r>
              <w:rPr>
                <w:rFonts w:hint="eastAsia" w:ascii="宋体" w:hAnsi="宋体" w:eastAsia="宋体" w:cs="仿宋"/>
                <w:sz w:val="24"/>
                <w:szCs w:val="24"/>
                <w:lang w:eastAsia="zh-CN"/>
              </w:rPr>
              <w:t>类似</w:t>
            </w:r>
            <w:r>
              <w:rPr>
                <w:rFonts w:hint="eastAsia" w:ascii="宋体" w:hAnsi="宋体" w:eastAsia="宋体" w:cs="仿宋"/>
                <w:sz w:val="24"/>
                <w:szCs w:val="24"/>
              </w:rPr>
              <w:t>展览</w:t>
            </w:r>
            <w:r>
              <w:rPr>
                <w:rFonts w:ascii="宋体" w:hAnsi="宋体" w:eastAsia="宋体" w:cs="仿宋"/>
                <w:sz w:val="24"/>
                <w:szCs w:val="24"/>
              </w:rPr>
              <w:t>、展示项目</w:t>
            </w:r>
            <w:r>
              <w:rPr>
                <w:rFonts w:hint="eastAsia" w:ascii="宋体" w:hAnsi="宋体" w:eastAsia="宋体" w:cs="仿宋"/>
                <w:sz w:val="24"/>
                <w:szCs w:val="24"/>
              </w:rPr>
              <w:t>施工经验</w:t>
            </w:r>
            <w:r>
              <w:rPr>
                <w:rFonts w:ascii="宋体" w:hAnsi="宋体" w:eastAsia="宋体" w:cs="仿宋"/>
                <w:sz w:val="24"/>
                <w:szCs w:val="24"/>
              </w:rPr>
              <w:t>,具有建筑或工程相关专业中级及以上工程师职称为佳</w:t>
            </w:r>
          </w:p>
        </w:tc>
      </w:tr>
      <w:tr w14:paraId="7421E0B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370" w:hRule="atLeast"/>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5448E4E">
            <w:pPr>
              <w:spacing w:line="360" w:lineRule="auto"/>
              <w:jc w:val="center"/>
              <w:rPr>
                <w:rFonts w:hint="default" w:ascii="宋体" w:hAnsi="宋体" w:eastAsia="宋体" w:cs="仿宋"/>
                <w:sz w:val="24"/>
                <w:szCs w:val="24"/>
              </w:rPr>
            </w:pPr>
            <w:r>
              <w:rPr>
                <w:rFonts w:ascii="宋体" w:hAnsi="宋体" w:eastAsia="宋体" w:cs="仿宋"/>
                <w:sz w:val="24"/>
                <w:szCs w:val="24"/>
              </w:rPr>
              <w:t>2</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213FB4F">
            <w:pPr>
              <w:spacing w:line="360" w:lineRule="auto"/>
              <w:jc w:val="center"/>
              <w:rPr>
                <w:rFonts w:hint="default" w:ascii="宋体" w:hAnsi="宋体" w:eastAsia="宋体" w:cs="仿宋"/>
                <w:sz w:val="24"/>
                <w:szCs w:val="24"/>
              </w:rPr>
            </w:pPr>
            <w:r>
              <w:rPr>
                <w:rFonts w:ascii="宋体" w:hAnsi="宋体" w:eastAsia="宋体" w:cs="仿宋"/>
                <w:sz w:val="24"/>
                <w:szCs w:val="24"/>
              </w:rPr>
              <w:t>主设计师</w:t>
            </w: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39CEFA5">
            <w:pPr>
              <w:spacing w:line="360" w:lineRule="auto"/>
              <w:jc w:val="center"/>
              <w:rPr>
                <w:rFonts w:hint="default" w:ascii="宋体" w:hAnsi="宋体" w:eastAsia="宋体" w:cs="仿宋"/>
                <w:sz w:val="24"/>
                <w:szCs w:val="24"/>
              </w:rPr>
            </w:pPr>
            <w:r>
              <w:rPr>
                <w:rFonts w:ascii="宋体" w:hAnsi="宋体" w:eastAsia="宋体" w:cs="仿宋"/>
                <w:sz w:val="24"/>
                <w:szCs w:val="24"/>
              </w:rPr>
              <w:t>1</w:t>
            </w:r>
          </w:p>
        </w:tc>
        <w:tc>
          <w:tcPr>
            <w:tcW w:w="34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6A28701">
            <w:pPr>
              <w:spacing w:line="360" w:lineRule="auto"/>
              <w:jc w:val="left"/>
              <w:rPr>
                <w:rFonts w:hint="default" w:ascii="宋体" w:hAnsi="宋体" w:eastAsia="宋体" w:cs="仿宋"/>
                <w:sz w:val="24"/>
                <w:szCs w:val="24"/>
              </w:rPr>
            </w:pPr>
            <w:r>
              <w:rPr>
                <w:rFonts w:ascii="宋体" w:hAnsi="宋体" w:eastAsia="宋体" w:cs="仿宋"/>
                <w:sz w:val="24"/>
                <w:szCs w:val="24"/>
              </w:rPr>
              <w:t>负责主创设计，</w:t>
            </w:r>
            <w:r>
              <w:rPr>
                <w:rFonts w:hint="eastAsia" w:ascii="宋体" w:hAnsi="宋体" w:eastAsia="宋体" w:cs="仿宋"/>
                <w:sz w:val="24"/>
                <w:szCs w:val="24"/>
              </w:rPr>
              <w:t>从事相关职业5年及以上且有</w:t>
            </w:r>
            <w:r>
              <w:rPr>
                <w:rFonts w:hint="eastAsia" w:ascii="宋体" w:hAnsi="宋体" w:eastAsia="宋体" w:cs="仿宋"/>
                <w:sz w:val="24"/>
                <w:szCs w:val="24"/>
                <w:lang w:eastAsia="zh-CN"/>
              </w:rPr>
              <w:t>负责</w:t>
            </w:r>
            <w:r>
              <w:rPr>
                <w:rFonts w:hint="eastAsia" w:ascii="宋体" w:hAnsi="宋体" w:eastAsia="宋体" w:cs="仿宋"/>
                <w:sz w:val="24"/>
                <w:szCs w:val="24"/>
              </w:rPr>
              <w:t>承担过</w:t>
            </w:r>
            <w:r>
              <w:rPr>
                <w:rFonts w:hint="eastAsia" w:ascii="宋体" w:hAnsi="宋体" w:eastAsia="宋体" w:cs="仿宋"/>
                <w:sz w:val="24"/>
                <w:szCs w:val="24"/>
                <w:lang w:eastAsia="zh-CN"/>
              </w:rPr>
              <w:t>类似</w:t>
            </w:r>
            <w:r>
              <w:rPr>
                <w:rFonts w:hint="eastAsia" w:ascii="宋体" w:hAnsi="宋体" w:eastAsia="宋体" w:cs="仿宋"/>
                <w:sz w:val="24"/>
                <w:szCs w:val="24"/>
              </w:rPr>
              <w:t>展览</w:t>
            </w:r>
            <w:r>
              <w:rPr>
                <w:rFonts w:ascii="宋体" w:hAnsi="宋体" w:eastAsia="宋体" w:cs="仿宋"/>
                <w:sz w:val="24"/>
                <w:szCs w:val="24"/>
              </w:rPr>
              <w:t>、展示项目</w:t>
            </w:r>
            <w:r>
              <w:rPr>
                <w:rFonts w:hint="eastAsia" w:ascii="宋体" w:hAnsi="宋体" w:eastAsia="宋体" w:cs="仿宋"/>
                <w:sz w:val="24"/>
                <w:szCs w:val="24"/>
              </w:rPr>
              <w:t>设计策划工作经验</w:t>
            </w:r>
            <w:r>
              <w:rPr>
                <w:rFonts w:hint="eastAsia" w:ascii="宋体" w:hAnsi="宋体" w:eastAsia="宋体" w:cs="仿宋"/>
                <w:sz w:val="24"/>
                <w:szCs w:val="24"/>
                <w:lang w:eastAsia="zh-CN"/>
              </w:rPr>
              <w:t>。</w:t>
            </w:r>
          </w:p>
        </w:tc>
      </w:tr>
      <w:tr w14:paraId="5B40A465">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1280" w:hRule="atLeast"/>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2B6C4E4">
            <w:pPr>
              <w:spacing w:line="360" w:lineRule="auto"/>
              <w:jc w:val="center"/>
              <w:rPr>
                <w:rFonts w:hint="default" w:ascii="宋体" w:hAnsi="宋体" w:eastAsia="宋体" w:cs="仿宋"/>
                <w:sz w:val="24"/>
                <w:szCs w:val="24"/>
              </w:rPr>
            </w:pPr>
            <w:r>
              <w:rPr>
                <w:rFonts w:ascii="宋体" w:hAnsi="宋体" w:eastAsia="宋体" w:cs="仿宋"/>
                <w:sz w:val="24"/>
                <w:szCs w:val="24"/>
              </w:rPr>
              <w:t>3</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8AC34C5">
            <w:pPr>
              <w:spacing w:line="360" w:lineRule="auto"/>
              <w:jc w:val="center"/>
              <w:rPr>
                <w:rFonts w:hint="default" w:ascii="宋体" w:hAnsi="宋体" w:eastAsia="宋体" w:cs="仿宋"/>
                <w:sz w:val="24"/>
                <w:szCs w:val="24"/>
              </w:rPr>
            </w:pPr>
            <w:r>
              <w:rPr>
                <w:rFonts w:ascii="宋体" w:hAnsi="宋体" w:eastAsia="宋体" w:cs="仿宋"/>
                <w:sz w:val="24"/>
                <w:szCs w:val="24"/>
              </w:rPr>
              <w:t>设计师</w:t>
            </w: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1715085">
            <w:pPr>
              <w:spacing w:line="360" w:lineRule="auto"/>
              <w:jc w:val="center"/>
              <w:rPr>
                <w:rFonts w:hint="default" w:ascii="宋体" w:hAnsi="宋体" w:eastAsia="宋体" w:cs="仿宋"/>
                <w:sz w:val="24"/>
                <w:szCs w:val="24"/>
              </w:rPr>
            </w:pPr>
            <w:r>
              <w:rPr>
                <w:rFonts w:ascii="宋体" w:hAnsi="宋体" w:eastAsia="宋体" w:cs="仿宋"/>
                <w:sz w:val="24"/>
                <w:szCs w:val="24"/>
              </w:rPr>
              <w:t>2</w:t>
            </w:r>
          </w:p>
        </w:tc>
        <w:tc>
          <w:tcPr>
            <w:tcW w:w="34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432AC7D2">
            <w:pPr>
              <w:spacing w:line="360" w:lineRule="auto"/>
              <w:jc w:val="left"/>
              <w:rPr>
                <w:rFonts w:hint="default" w:ascii="宋体" w:hAnsi="宋体" w:eastAsia="宋体" w:cs="仿宋"/>
                <w:sz w:val="24"/>
                <w:szCs w:val="24"/>
              </w:rPr>
            </w:pPr>
            <w:r>
              <w:rPr>
                <w:rFonts w:ascii="宋体" w:hAnsi="宋体" w:eastAsia="宋体" w:cs="仿宋"/>
                <w:sz w:val="24"/>
                <w:szCs w:val="24"/>
              </w:rPr>
              <w:t>有类似项目展览、展示项目的设计经验,具有设计类等专业中级及以上职称为佳</w:t>
            </w:r>
          </w:p>
        </w:tc>
      </w:tr>
      <w:tr w14:paraId="67BF027A">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970" w:hRule="atLeast"/>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9EFA01D">
            <w:pPr>
              <w:spacing w:line="360" w:lineRule="auto"/>
              <w:jc w:val="center"/>
              <w:rPr>
                <w:rFonts w:hint="default" w:ascii="宋体" w:hAnsi="宋体" w:eastAsia="宋体" w:cs="仿宋"/>
                <w:sz w:val="24"/>
                <w:szCs w:val="24"/>
              </w:rPr>
            </w:pPr>
            <w:r>
              <w:rPr>
                <w:rFonts w:ascii="宋体" w:hAnsi="宋体" w:eastAsia="宋体" w:cs="仿宋"/>
                <w:sz w:val="24"/>
                <w:szCs w:val="24"/>
              </w:rPr>
              <w:t>4</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8DE682D">
            <w:pPr>
              <w:spacing w:line="360" w:lineRule="auto"/>
              <w:jc w:val="center"/>
              <w:rPr>
                <w:rFonts w:hint="default" w:ascii="宋体" w:hAnsi="宋体" w:eastAsia="宋体" w:cs="仿宋"/>
                <w:sz w:val="24"/>
                <w:szCs w:val="24"/>
              </w:rPr>
            </w:pPr>
            <w:r>
              <w:rPr>
                <w:rFonts w:ascii="宋体" w:hAnsi="宋体" w:eastAsia="宋体" w:cs="仿宋"/>
                <w:sz w:val="24"/>
                <w:szCs w:val="24"/>
              </w:rPr>
              <w:t>项目管理人员</w:t>
            </w: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74F78E9">
            <w:pPr>
              <w:spacing w:line="360" w:lineRule="auto"/>
              <w:jc w:val="center"/>
              <w:rPr>
                <w:rFonts w:hint="default" w:ascii="宋体" w:hAnsi="宋体" w:eastAsia="宋体" w:cs="仿宋"/>
                <w:sz w:val="24"/>
                <w:szCs w:val="24"/>
              </w:rPr>
            </w:pPr>
            <w:r>
              <w:rPr>
                <w:rFonts w:ascii="宋体" w:hAnsi="宋体" w:eastAsia="宋体" w:cs="仿宋"/>
                <w:sz w:val="24"/>
                <w:szCs w:val="24"/>
              </w:rPr>
              <w:t>4</w:t>
            </w:r>
          </w:p>
        </w:tc>
        <w:tc>
          <w:tcPr>
            <w:tcW w:w="34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EDE786E">
            <w:pPr>
              <w:spacing w:line="360" w:lineRule="auto"/>
              <w:jc w:val="left"/>
              <w:rPr>
                <w:rFonts w:hint="default" w:ascii="宋体" w:hAnsi="宋体" w:eastAsia="宋体" w:cs="仿宋"/>
                <w:sz w:val="24"/>
                <w:szCs w:val="24"/>
              </w:rPr>
            </w:pPr>
            <w:r>
              <w:rPr>
                <w:rFonts w:ascii="宋体" w:hAnsi="宋体" w:eastAsia="宋体" w:cs="仿宋"/>
                <w:sz w:val="24"/>
                <w:szCs w:val="24"/>
              </w:rPr>
              <w:t>持有相关岗位证书，负责布展管理，有类似项目展览、展示项目的管理经验</w:t>
            </w:r>
          </w:p>
        </w:tc>
      </w:tr>
      <w:tr w14:paraId="62F7A156">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970" w:hRule="atLeast"/>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5CEFF87">
            <w:pPr>
              <w:spacing w:line="360" w:lineRule="auto"/>
              <w:jc w:val="center"/>
              <w:rPr>
                <w:rFonts w:hint="default" w:ascii="宋体" w:hAnsi="宋体" w:eastAsia="宋体" w:cs="仿宋"/>
                <w:sz w:val="24"/>
                <w:szCs w:val="24"/>
              </w:rPr>
            </w:pPr>
            <w:r>
              <w:rPr>
                <w:rFonts w:ascii="宋体" w:hAnsi="宋体" w:eastAsia="宋体" w:cs="仿宋"/>
                <w:sz w:val="24"/>
                <w:szCs w:val="24"/>
              </w:rPr>
              <w:t>5</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12DA587">
            <w:pPr>
              <w:spacing w:line="360" w:lineRule="auto"/>
              <w:jc w:val="center"/>
              <w:rPr>
                <w:rFonts w:hint="default" w:ascii="宋体" w:hAnsi="宋体" w:eastAsia="宋体" w:cs="仿宋"/>
                <w:sz w:val="24"/>
                <w:szCs w:val="24"/>
              </w:rPr>
            </w:pPr>
            <w:r>
              <w:rPr>
                <w:rFonts w:ascii="宋体" w:hAnsi="宋体" w:eastAsia="宋体" w:cs="仿宋"/>
                <w:sz w:val="24"/>
                <w:szCs w:val="24"/>
              </w:rPr>
              <w:t>多媒体负责人</w:t>
            </w: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1F33EA76">
            <w:pPr>
              <w:spacing w:line="360" w:lineRule="auto"/>
              <w:jc w:val="center"/>
              <w:rPr>
                <w:rFonts w:hint="default" w:ascii="宋体" w:hAnsi="宋体" w:eastAsia="宋体" w:cs="仿宋"/>
                <w:sz w:val="24"/>
                <w:szCs w:val="24"/>
              </w:rPr>
            </w:pPr>
            <w:r>
              <w:rPr>
                <w:rFonts w:ascii="宋体" w:hAnsi="宋体" w:eastAsia="宋体" w:cs="仿宋"/>
                <w:sz w:val="24"/>
                <w:szCs w:val="24"/>
              </w:rPr>
              <w:t>1</w:t>
            </w:r>
          </w:p>
        </w:tc>
        <w:tc>
          <w:tcPr>
            <w:tcW w:w="34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5B6701C">
            <w:pPr>
              <w:spacing w:line="360" w:lineRule="auto"/>
              <w:jc w:val="left"/>
              <w:rPr>
                <w:rFonts w:hint="default" w:ascii="宋体" w:hAnsi="宋体" w:eastAsia="宋体" w:cs="仿宋"/>
                <w:sz w:val="24"/>
                <w:szCs w:val="24"/>
              </w:rPr>
            </w:pPr>
            <w:r>
              <w:rPr>
                <w:rFonts w:ascii="宋体" w:hAnsi="宋体" w:eastAsia="宋体" w:cs="仿宋"/>
                <w:sz w:val="24"/>
                <w:szCs w:val="24"/>
              </w:rPr>
              <w:t>有类似项目展览、展示项目的多媒体管理经验</w:t>
            </w:r>
          </w:p>
        </w:tc>
      </w:tr>
      <w:tr w14:paraId="499C2D17">
        <w:tblPrEx>
          <w:tblBorders>
            <w:top w:val="single" w:color="FFFFFF" w:sz="8" w:space="0"/>
            <w:left w:val="single" w:color="FFFFFF" w:sz="8" w:space="0"/>
            <w:bottom w:val="single" w:color="FFFFFF" w:sz="8" w:space="0"/>
            <w:right w:val="single" w:color="FFFFFF" w:sz="8" w:space="0"/>
            <w:insideH w:val="single" w:color="FFFFFF" w:sz="8" w:space="0"/>
            <w:insideV w:val="single" w:color="FFFFFF" w:sz="8" w:space="0"/>
          </w:tblBorders>
          <w:shd w:val="clear" w:color="auto" w:fill="CED7E7"/>
          <w:tblCellMar>
            <w:top w:w="0" w:type="dxa"/>
            <w:left w:w="10" w:type="dxa"/>
            <w:bottom w:w="0" w:type="dxa"/>
            <w:right w:w="10" w:type="dxa"/>
          </w:tblCellMar>
        </w:tblPrEx>
        <w:trPr>
          <w:trHeight w:val="970" w:hRule="atLeast"/>
        </w:trPr>
        <w:tc>
          <w:tcPr>
            <w:tcW w:w="1384"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0F53ECD">
            <w:pPr>
              <w:spacing w:line="360" w:lineRule="auto"/>
              <w:jc w:val="center"/>
              <w:rPr>
                <w:rFonts w:hint="default" w:ascii="宋体" w:hAnsi="宋体" w:eastAsia="宋体" w:cs="仿宋"/>
                <w:sz w:val="24"/>
                <w:szCs w:val="24"/>
              </w:rPr>
            </w:pPr>
            <w:r>
              <w:rPr>
                <w:rFonts w:ascii="宋体" w:hAnsi="宋体" w:eastAsia="宋体" w:cs="仿宋"/>
                <w:sz w:val="24"/>
                <w:szCs w:val="24"/>
              </w:rPr>
              <w:t>6</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6B772127">
            <w:pPr>
              <w:spacing w:line="360" w:lineRule="auto"/>
              <w:jc w:val="center"/>
              <w:rPr>
                <w:rFonts w:hint="default" w:ascii="宋体" w:hAnsi="宋体" w:eastAsia="宋体" w:cs="仿宋"/>
                <w:sz w:val="24"/>
                <w:szCs w:val="24"/>
              </w:rPr>
            </w:pPr>
            <w:r>
              <w:rPr>
                <w:rFonts w:ascii="宋体" w:hAnsi="宋体" w:eastAsia="宋体" w:cs="仿宋"/>
                <w:sz w:val="24"/>
                <w:szCs w:val="24"/>
              </w:rPr>
              <w:t>灯光负责人</w:t>
            </w:r>
          </w:p>
        </w:tc>
        <w:tc>
          <w:tcPr>
            <w:tcW w:w="2127"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543FB779">
            <w:pPr>
              <w:spacing w:line="360" w:lineRule="auto"/>
              <w:jc w:val="center"/>
              <w:rPr>
                <w:rFonts w:hint="default" w:ascii="宋体" w:hAnsi="宋体" w:eastAsia="宋体" w:cs="仿宋"/>
                <w:sz w:val="24"/>
                <w:szCs w:val="24"/>
              </w:rPr>
            </w:pPr>
            <w:r>
              <w:rPr>
                <w:rFonts w:ascii="宋体" w:hAnsi="宋体" w:eastAsia="宋体" w:cs="仿宋"/>
                <w:sz w:val="24"/>
                <w:szCs w:val="24"/>
              </w:rPr>
              <w:t>1</w:t>
            </w:r>
          </w:p>
        </w:tc>
        <w:tc>
          <w:tcPr>
            <w:tcW w:w="3401" w:type="dxa"/>
            <w:tcBorders>
              <w:top w:val="single" w:color="000000" w:sz="4" w:space="0"/>
              <w:left w:val="single" w:color="000000" w:sz="4" w:space="0"/>
              <w:bottom w:val="single" w:color="000000" w:sz="4" w:space="0"/>
              <w:right w:val="single" w:color="000000" w:sz="4" w:space="0"/>
            </w:tcBorders>
            <w:shd w:val="clear" w:color="auto" w:fill="auto"/>
            <w:tcMar>
              <w:top w:w="80" w:type="dxa"/>
              <w:left w:w="80" w:type="dxa"/>
              <w:bottom w:w="80" w:type="dxa"/>
              <w:right w:w="80" w:type="dxa"/>
            </w:tcMar>
            <w:vAlign w:val="center"/>
          </w:tcPr>
          <w:p w14:paraId="2B6E82C9">
            <w:pPr>
              <w:spacing w:line="360" w:lineRule="auto"/>
              <w:jc w:val="left"/>
              <w:rPr>
                <w:rFonts w:hint="default" w:ascii="宋体" w:hAnsi="宋体" w:eastAsia="宋体" w:cs="仿宋"/>
                <w:sz w:val="24"/>
                <w:szCs w:val="24"/>
              </w:rPr>
            </w:pPr>
            <w:r>
              <w:rPr>
                <w:rFonts w:ascii="宋体" w:hAnsi="宋体" w:eastAsia="宋体" w:cs="仿宋"/>
                <w:sz w:val="24"/>
                <w:szCs w:val="24"/>
              </w:rPr>
              <w:t>有类似项目展览、展示项目的灯光管理经验</w:t>
            </w:r>
          </w:p>
        </w:tc>
      </w:tr>
    </w:tbl>
    <w:p w14:paraId="077A9D8E">
      <w:pPr>
        <w:spacing w:line="360" w:lineRule="auto"/>
        <w:ind w:firstLine="480" w:firstLineChars="200"/>
        <w:rPr>
          <w:rFonts w:hint="default" w:ascii="宋体" w:hAnsi="宋体" w:eastAsia="宋体" w:cs="仿宋"/>
          <w:bCs/>
          <w:sz w:val="24"/>
          <w:szCs w:val="24"/>
        </w:rPr>
      </w:pPr>
      <w:r>
        <w:rPr>
          <w:rFonts w:ascii="宋体" w:hAnsi="宋体" w:eastAsia="宋体" w:cs="仿宋"/>
          <w:bCs/>
          <w:sz w:val="24"/>
          <w:szCs w:val="24"/>
        </w:rPr>
        <w:t>上述1-6项人员需为投标人在职员工。</w:t>
      </w:r>
    </w:p>
    <w:p w14:paraId="05FB0E08">
      <w:pPr>
        <w:spacing w:line="360" w:lineRule="auto"/>
        <w:ind w:firstLine="482" w:firstLineChars="200"/>
        <w:rPr>
          <w:rFonts w:hint="default" w:ascii="宋体" w:hAnsi="宋体" w:eastAsia="宋体" w:cs="仿宋"/>
          <w:b/>
          <w:bCs/>
          <w:sz w:val="24"/>
          <w:szCs w:val="24"/>
        </w:rPr>
      </w:pPr>
      <w:r>
        <w:rPr>
          <w:rFonts w:ascii="宋体" w:hAnsi="宋体" w:eastAsia="宋体" w:cs="仿宋"/>
          <w:b/>
          <w:bCs/>
          <w:sz w:val="24"/>
          <w:szCs w:val="24"/>
        </w:rPr>
        <w:t>5.6 质量验收</w:t>
      </w:r>
    </w:p>
    <w:p w14:paraId="0B55FA4A">
      <w:pPr>
        <w:numPr>
          <w:ilvl w:val="255"/>
          <w:numId w:val="0"/>
        </w:numPr>
        <w:suppressAutoHyphens/>
        <w:spacing w:line="360" w:lineRule="auto"/>
        <w:ind w:firstLine="560"/>
        <w:rPr>
          <w:rFonts w:hint="default" w:ascii="宋体" w:hAnsi="宋体" w:eastAsia="宋体" w:cs="仿宋"/>
          <w:sz w:val="24"/>
          <w:szCs w:val="24"/>
          <w:lang w:val="zh-TW"/>
        </w:rPr>
      </w:pPr>
      <w:r>
        <w:rPr>
          <w:rFonts w:hint="default" w:ascii="宋体" w:hAnsi="宋体" w:eastAsia="宋体" w:cs="仿宋"/>
          <w:sz w:val="24"/>
          <w:szCs w:val="24"/>
          <w:lang w:val="zh-TW"/>
        </w:rPr>
        <w:t>1、符合国家相关验收规范规定的合格标准。</w:t>
      </w:r>
    </w:p>
    <w:p w14:paraId="7C6F90E4">
      <w:pPr>
        <w:numPr>
          <w:ilvl w:val="255"/>
          <w:numId w:val="0"/>
        </w:numPr>
        <w:suppressAutoHyphens/>
        <w:spacing w:line="360" w:lineRule="auto"/>
        <w:ind w:firstLine="560"/>
        <w:rPr>
          <w:rFonts w:hint="default" w:ascii="宋体" w:hAnsi="宋体" w:eastAsia="宋体" w:cs="仿宋"/>
          <w:sz w:val="24"/>
          <w:szCs w:val="24"/>
        </w:rPr>
      </w:pPr>
      <w:r>
        <w:rPr>
          <w:rFonts w:ascii="宋体" w:hAnsi="宋体" w:eastAsia="宋体" w:cs="仿宋"/>
          <w:sz w:val="24"/>
          <w:szCs w:val="24"/>
        </w:rPr>
        <w:t>2、</w:t>
      </w:r>
      <w:r>
        <w:rPr>
          <w:rFonts w:hint="default" w:ascii="宋体" w:hAnsi="宋体" w:eastAsia="宋体" w:cs="仿宋"/>
          <w:sz w:val="24"/>
          <w:szCs w:val="24"/>
        </w:rPr>
        <w:t>项目实施过程中如</w:t>
      </w:r>
      <w:r>
        <w:rPr>
          <w:rFonts w:ascii="宋体" w:hAnsi="宋体" w:eastAsia="宋体" w:cs="仿宋"/>
          <w:sz w:val="24"/>
          <w:szCs w:val="24"/>
        </w:rPr>
        <w:t>采购人</w:t>
      </w:r>
      <w:r>
        <w:rPr>
          <w:rFonts w:hint="default" w:ascii="宋体" w:hAnsi="宋体" w:eastAsia="宋体" w:cs="仿宋"/>
          <w:sz w:val="24"/>
          <w:szCs w:val="24"/>
        </w:rPr>
        <w:t>对展陈内容有提出修改意见，需配合修改和调整，直至</w:t>
      </w:r>
      <w:r>
        <w:rPr>
          <w:rFonts w:ascii="宋体" w:hAnsi="宋体" w:eastAsia="宋体" w:cs="仿宋"/>
          <w:sz w:val="24"/>
          <w:szCs w:val="24"/>
        </w:rPr>
        <w:t>采购人</w:t>
      </w:r>
      <w:r>
        <w:rPr>
          <w:rFonts w:hint="default" w:ascii="宋体" w:hAnsi="宋体" w:eastAsia="宋体" w:cs="仿宋"/>
          <w:sz w:val="24"/>
          <w:szCs w:val="24"/>
        </w:rPr>
        <w:t>满意。</w:t>
      </w:r>
      <w:r>
        <w:rPr>
          <w:rFonts w:ascii="宋体" w:hAnsi="宋体" w:eastAsia="宋体" w:cs="仿宋"/>
          <w:sz w:val="24"/>
          <w:szCs w:val="24"/>
        </w:rPr>
        <w:t xml:space="preserve"> </w:t>
      </w:r>
    </w:p>
    <w:p w14:paraId="5F167AE1">
      <w:pPr>
        <w:numPr>
          <w:ilvl w:val="255"/>
          <w:numId w:val="0"/>
        </w:numPr>
        <w:suppressAutoHyphens/>
        <w:spacing w:line="360" w:lineRule="auto"/>
        <w:ind w:firstLine="560"/>
        <w:rPr>
          <w:rFonts w:hint="default" w:ascii="宋体" w:hAnsi="宋体" w:eastAsia="宋体" w:cs="仿宋"/>
          <w:sz w:val="24"/>
          <w:szCs w:val="24"/>
          <w:lang w:val="zh-TW"/>
        </w:rPr>
      </w:pPr>
      <w:r>
        <w:rPr>
          <w:rFonts w:ascii="宋体" w:hAnsi="宋体" w:eastAsia="宋体" w:cs="仿宋"/>
          <w:sz w:val="24"/>
          <w:szCs w:val="24"/>
        </w:rPr>
        <w:t>3</w:t>
      </w:r>
      <w:r>
        <w:rPr>
          <w:rFonts w:hint="default" w:ascii="宋体" w:hAnsi="宋体" w:eastAsia="宋体" w:cs="仿宋"/>
          <w:sz w:val="24"/>
          <w:szCs w:val="24"/>
          <w:lang w:val="zh-TW"/>
        </w:rPr>
        <w:t>、布展服务验收：通过采购人组织的评审。</w:t>
      </w:r>
    </w:p>
    <w:p w14:paraId="7C74F3E9">
      <w:pPr>
        <w:numPr>
          <w:ilvl w:val="255"/>
          <w:numId w:val="0"/>
        </w:numPr>
        <w:suppressAutoHyphens/>
        <w:spacing w:line="360" w:lineRule="auto"/>
        <w:ind w:firstLine="560"/>
        <w:rPr>
          <w:rFonts w:hint="default" w:ascii="宋体" w:hAnsi="宋体" w:eastAsia="宋体" w:cs="仿宋"/>
          <w:sz w:val="24"/>
          <w:szCs w:val="24"/>
          <w:lang w:val="zh-TW"/>
        </w:rPr>
      </w:pPr>
      <w:r>
        <w:rPr>
          <w:rFonts w:ascii="宋体" w:hAnsi="宋体" w:eastAsia="宋体" w:cs="仿宋"/>
          <w:sz w:val="24"/>
          <w:szCs w:val="24"/>
        </w:rPr>
        <w:t>4</w:t>
      </w:r>
      <w:r>
        <w:rPr>
          <w:rFonts w:hint="default" w:ascii="宋体" w:hAnsi="宋体" w:eastAsia="宋体" w:cs="仿宋"/>
          <w:sz w:val="24"/>
          <w:szCs w:val="24"/>
          <w:lang w:val="zh-TW"/>
        </w:rPr>
        <w:t>、项目竣工后应由中标人会同监理单位按照展陈设计方案、相关国家地方标准进行自检，并在正式验收前48小时以书面形式通知采购人验收。通知包括验收的内容、验收时间和地点。中标人准备验收记录，验收合格，工程师在验收记录上签字后，中标人可进行项目移交。验收不合格，中标人在采购人限定的时间内修改后重新验收。</w:t>
      </w:r>
    </w:p>
    <w:p w14:paraId="2DBE1A3F">
      <w:pPr>
        <w:numPr>
          <w:ilvl w:val="255"/>
          <w:numId w:val="0"/>
        </w:numPr>
        <w:suppressAutoHyphens/>
        <w:spacing w:line="360" w:lineRule="auto"/>
        <w:ind w:firstLine="560"/>
        <w:rPr>
          <w:rFonts w:hint="default" w:ascii="宋体" w:hAnsi="宋体" w:eastAsia="宋体" w:cs="仿宋"/>
          <w:sz w:val="24"/>
          <w:szCs w:val="24"/>
          <w:lang w:val="zh-TW"/>
        </w:rPr>
      </w:pPr>
      <w:r>
        <w:rPr>
          <w:rFonts w:ascii="宋体" w:hAnsi="宋体" w:eastAsia="宋体" w:cs="仿宋"/>
          <w:sz w:val="24"/>
          <w:szCs w:val="24"/>
        </w:rPr>
        <w:t>5</w:t>
      </w:r>
      <w:r>
        <w:rPr>
          <w:rFonts w:hint="default" w:ascii="宋体" w:hAnsi="宋体" w:eastAsia="宋体" w:cs="仿宋"/>
          <w:sz w:val="24"/>
          <w:szCs w:val="24"/>
          <w:lang w:val="zh-TW"/>
        </w:rPr>
        <w:t>、项目竣工验收工作由采购人按照设计方案组织验收。</w:t>
      </w:r>
    </w:p>
    <w:p w14:paraId="7101AC3D">
      <w:pPr>
        <w:spacing w:line="360" w:lineRule="auto"/>
        <w:ind w:firstLine="482"/>
        <w:rPr>
          <w:rFonts w:hint="default" w:ascii="宋体" w:hAnsi="宋体" w:eastAsia="宋体" w:cs="宋体"/>
          <w:b/>
          <w:bCs/>
          <w:color w:val="auto"/>
          <w:sz w:val="24"/>
          <w:szCs w:val="24"/>
        </w:rPr>
      </w:pPr>
      <w:r>
        <w:rPr>
          <w:rFonts w:ascii="宋体" w:hAnsi="宋体" w:eastAsia="宋体" w:cs="宋体"/>
          <w:b/>
          <w:bCs/>
          <w:color w:val="auto"/>
          <w:sz w:val="24"/>
          <w:szCs w:val="24"/>
        </w:rPr>
        <w:t>5.7 安全文明施工要求</w:t>
      </w:r>
    </w:p>
    <w:p w14:paraId="683999B1">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（1）安全防护</w:t>
      </w:r>
    </w:p>
    <w:p w14:paraId="04CA0D1F">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在工程施工、竣工、交付及修补任何缺陷的过程中，投标人应当始终遵守国家和上海市有关安全生产的法律、法规、规范、标准和规程等，按照合同条款的约定履行其安全施工职责。</w:t>
      </w:r>
    </w:p>
    <w:p w14:paraId="56660E5D">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中标人应坚持“安全第一，预防为主”的方针，建立、健全安全生产责任制度和安全生产教育培训制度。在整个工程施工期间，中标人应在现场设立、提供和维护并在有关工作完成或竣工后撤除。</w:t>
      </w:r>
    </w:p>
    <w:p w14:paraId="2441F727">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中标人应遵照有关法规要求，编印安全防护手册发给进场施工人员，做好进场施工人员上岗前的安全教育和培训工作。特种作业人员还应经过专门的安全作业培训，并取得特种作业操作资格证书后方可上岗。在任何分部分项工程开始施工前，中标人应当就有关安全施工的技术要求向施工作业班组和作业人员等进行安全交底，并由双方签字确认。</w:t>
      </w:r>
    </w:p>
    <w:p w14:paraId="11B36631">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中标人应为其进场施工人员配备必需的安全防护设施和设备，中标人还应为现场邻近地区的所有者和占有者、公众和其他人员，提供一切必要的临时道路、人行道、防护棚、围栏及警告等，以确保财产和人身安全以及最大程度地降低施工可能造成的不便。</w:t>
      </w:r>
    </w:p>
    <w:p w14:paraId="2A64232B">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中标人应在现场入口处、临时用电设施、出入通道口、楼梯口、电梯井口、危险品存放处等危险部位设置一切必需的安全警示标志。</w:t>
      </w:r>
    </w:p>
    <w:p w14:paraId="5EA5F964">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中标人应成立应急救援小组，配备必要的应急救援器材和设备，制定灾害和生产安全事故的应急救援预案，并将应急救援预案报送工程师。应急救援预案应能随时组织应救专职人员、并定期组织演练。</w:t>
      </w:r>
    </w:p>
    <w:p w14:paraId="205D6A31">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中标人还应根据有关法律、法规、规定和条例等的要求，制定一套安全生产应急措施和程序，保证一旦出现任何安全事故，能立即保护好现场，抢救伤员和财产，保证施工生产的正常进行，防止损失扩大。</w:t>
      </w:r>
    </w:p>
    <w:p w14:paraId="3ABF8CC1">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（2）文明施工</w:t>
      </w:r>
    </w:p>
    <w:p w14:paraId="61878F5E">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中标人应遵守国家和工程所在地有关法规、规范、规程和标准的规定，履行文明施工义务，确保文明施工专项费用专款专用。</w:t>
      </w:r>
    </w:p>
    <w:p w14:paraId="2893FF63">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中标人应当规范现场施工秩序，实行标准化管理。</w:t>
      </w:r>
    </w:p>
    <w:p w14:paraId="50B94491">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中标人应为任何已完成的、正在施工的和将要进行的任何永久和临时工程、材料、物品、设备、以及因永久工程施工而暴露的任何毗邻财产提供必要的覆盖和保护措施，以避免恶劣天气影响工程施工和造成损失。保护措施包括必要的雨季用阻燃防水油布覆盖、额外的临时仓库等。因中标人措施不得力或不到位而给工程带来的任何损失或损害由中标人自己负责。</w:t>
      </w:r>
    </w:p>
    <w:p w14:paraId="6E885314">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在工程施工期间，中标人应始终避免现场出现不必要的障碍物，妥当存放并处置施工设备和多余的材料，及时从现场清除运走任何废料、垃圾或不再需要的临时工程和设施。</w:t>
      </w:r>
    </w:p>
    <w:p w14:paraId="7EE80F63">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中标人应在现场设立固定的垃圾临时存放点并在各楼层或区域设立必要的垃圾箱；所有垃圾必须在当天清除出现场，并按有关行政管理部门的规定，运送到指定的垃圾消纳场。</w:t>
      </w:r>
    </w:p>
    <w:p w14:paraId="27A3432D">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中标人应当制订成品保护措施计划，并提供必要的人员、材料和设备用于整个工程的成品保护，包括对已完成的工程或工作的保护，防止已完工作遭受任何损坏或破坏。成品保护措施应当合理安排工序，并包括工作面移交制度和责任赔偿制度。</w:t>
      </w:r>
    </w:p>
    <w:p w14:paraId="3D54D2B7">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（3）临时消防</w:t>
      </w:r>
    </w:p>
    <w:p w14:paraId="7A248740">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中标人应建立消防安全责任制度，制定用火、用电和使用易燃易爆等危险品的消防安全管理制度和操作规程。各项制度和规程等应满足相关法律法规和政府消防管理部门的要求。</w:t>
      </w:r>
    </w:p>
    <w:p w14:paraId="66659B1B">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中标人应当成立由项目主要负责人担任组长的临时消防组或消防队，宣传消防基本知识和进行消防基本操作培训，组织消防演练，保证一旦发生火灾，能够组织有效的自救，保护生命和财产安全。</w:t>
      </w:r>
    </w:p>
    <w:p w14:paraId="62FC5A8F">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现场内的易燃、易爆物品应单独和安全地存放，设专人进行存放和领用管理。现场储有或正在使用易燃、易爆或可燃材料时或要进行有明火施工的工序时，应当实行严格的“用火证”管理制度。</w:t>
      </w:r>
    </w:p>
    <w:p w14:paraId="062B148B">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（4）临时供电</w:t>
      </w:r>
    </w:p>
    <w:p w14:paraId="3DBFBDE3">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中标人应当根据《施工现场临时用电安全技术规范》(JGJ 46—2005)及其适用的修订版本的规定和施工要求编制施工临时用电方案。临时用电需在工程实际竣工后从现场拆除。</w:t>
      </w:r>
    </w:p>
    <w:p w14:paraId="7FE47970">
      <w:pPr>
        <w:spacing w:line="360" w:lineRule="auto"/>
        <w:ind w:firstLine="482"/>
        <w:rPr>
          <w:rFonts w:hint="default" w:ascii="宋体" w:hAnsi="宋体" w:eastAsia="宋体" w:cs="宋体"/>
          <w:color w:val="auto"/>
          <w:sz w:val="24"/>
          <w:szCs w:val="24"/>
        </w:rPr>
      </w:pPr>
      <w:r>
        <w:rPr>
          <w:rFonts w:ascii="宋体" w:hAnsi="宋体" w:eastAsia="宋体" w:cs="宋体"/>
          <w:color w:val="auto"/>
          <w:sz w:val="24"/>
          <w:szCs w:val="24"/>
        </w:rPr>
        <w:t>临时供电系统的电缆、电线、配电箱、控制柜、开关箱、漏电保护器等材料设备均应当具有生产(制造)许可证、产品合格证并经过检验合格的产品。临时用电采用三相五线制、三级配电和两极漏电保护供电，三相四线制配电的电缆线路必须采用五芯电缆，按规定设立零线和接地线。电缆和电线的铺设要符合安全用电标准要求，电缆线路应采用埋地或架空敷设，严禁沿地面明设，并应避免机械损伤和介质腐蚀。埋地电缆路径应设方位标志。各种配电设备均设有防止漏电和防雨防水设施。</w:t>
      </w:r>
    </w:p>
    <w:p w14:paraId="7B13C4EE">
      <w:pPr>
        <w:spacing w:line="360" w:lineRule="auto"/>
        <w:ind w:firstLine="482" w:firstLineChars="200"/>
        <w:rPr>
          <w:rFonts w:hint="default" w:ascii="宋体" w:hAnsi="宋体" w:eastAsia="宋体" w:cs="仿宋"/>
          <w:b/>
          <w:bCs/>
          <w:sz w:val="24"/>
          <w:szCs w:val="24"/>
        </w:rPr>
      </w:pPr>
      <w:r>
        <w:rPr>
          <w:rFonts w:ascii="宋体" w:hAnsi="宋体" w:eastAsia="宋体" w:cs="仿宋"/>
          <w:b/>
          <w:bCs/>
          <w:sz w:val="24"/>
          <w:szCs w:val="24"/>
        </w:rPr>
        <w:t>5.8 投标人在投标阶段应提交的技术内容包括但不限于：</w:t>
      </w:r>
    </w:p>
    <w:p w14:paraId="4076D96B">
      <w:pPr>
        <w:numPr>
          <w:ilvl w:val="255"/>
          <w:numId w:val="0"/>
        </w:numPr>
        <w:suppressAutoHyphens/>
        <w:spacing w:line="360" w:lineRule="auto"/>
        <w:ind w:firstLine="560"/>
        <w:rPr>
          <w:rFonts w:hint="default" w:ascii="宋体" w:hAnsi="宋体" w:eastAsia="宋体" w:cs="仿宋"/>
          <w:sz w:val="24"/>
          <w:szCs w:val="24"/>
          <w:lang w:val="zh-TW"/>
        </w:rPr>
      </w:pPr>
      <w:r>
        <w:rPr>
          <w:rFonts w:hint="default" w:ascii="宋体" w:hAnsi="宋体" w:eastAsia="宋体" w:cs="仿宋"/>
          <w:sz w:val="24"/>
          <w:szCs w:val="24"/>
          <w:lang w:val="zh-TW"/>
        </w:rPr>
        <w:t>主要实施方案与技术措施，包括项目特点、重点与难点描述的准确性及相应针对性措施；</w:t>
      </w:r>
    </w:p>
    <w:p w14:paraId="2A7FBA8F">
      <w:pPr>
        <w:numPr>
          <w:ilvl w:val="255"/>
          <w:numId w:val="0"/>
        </w:numPr>
        <w:suppressAutoHyphens/>
        <w:spacing w:line="360" w:lineRule="auto"/>
        <w:ind w:firstLine="560"/>
        <w:rPr>
          <w:rFonts w:hint="default" w:ascii="宋体" w:hAnsi="宋体" w:eastAsia="宋体" w:cs="仿宋"/>
          <w:sz w:val="24"/>
          <w:szCs w:val="24"/>
          <w:lang w:val="zh-TW"/>
        </w:rPr>
      </w:pPr>
      <w:r>
        <w:rPr>
          <w:rFonts w:ascii="宋体" w:hAnsi="宋体" w:eastAsia="宋体" w:cs="仿宋"/>
          <w:sz w:val="24"/>
          <w:szCs w:val="24"/>
          <w:lang w:val="zh-TW"/>
        </w:rPr>
        <w:t>项目总平面布置规划；</w:t>
      </w:r>
    </w:p>
    <w:p w14:paraId="0124CDE1">
      <w:pPr>
        <w:numPr>
          <w:ilvl w:val="255"/>
          <w:numId w:val="0"/>
        </w:numPr>
        <w:suppressAutoHyphens/>
        <w:spacing w:line="360" w:lineRule="auto"/>
        <w:ind w:firstLine="560"/>
        <w:rPr>
          <w:rFonts w:hint="default" w:ascii="宋体" w:hAnsi="宋体" w:eastAsia="宋体" w:cs="仿宋"/>
          <w:sz w:val="24"/>
          <w:szCs w:val="24"/>
          <w:lang w:val="zh-TW"/>
        </w:rPr>
      </w:pPr>
      <w:r>
        <w:rPr>
          <w:rFonts w:hint="default" w:ascii="宋体" w:hAnsi="宋体" w:eastAsia="宋体" w:cs="仿宋"/>
          <w:sz w:val="24"/>
          <w:szCs w:val="24"/>
          <w:lang w:val="zh-TW"/>
        </w:rPr>
        <w:t>质量、安全、文明施工及环境保护管理体系与措施；</w:t>
      </w:r>
    </w:p>
    <w:p w14:paraId="7BFAE09D">
      <w:pPr>
        <w:numPr>
          <w:ilvl w:val="255"/>
          <w:numId w:val="0"/>
        </w:numPr>
        <w:suppressAutoHyphens/>
        <w:spacing w:line="360" w:lineRule="auto"/>
        <w:ind w:firstLine="560"/>
        <w:rPr>
          <w:rFonts w:hint="default" w:ascii="宋体" w:hAnsi="宋体" w:eastAsia="宋体" w:cs="仿宋"/>
          <w:sz w:val="24"/>
          <w:szCs w:val="24"/>
          <w:lang w:val="zh-TW"/>
        </w:rPr>
      </w:pPr>
      <w:r>
        <w:rPr>
          <w:rFonts w:ascii="宋体" w:hAnsi="宋体" w:eastAsia="宋体" w:cs="仿宋"/>
          <w:sz w:val="24"/>
          <w:szCs w:val="24"/>
          <w:lang w:val="zh-TW"/>
        </w:rPr>
        <w:t>实施总进度计划及保证措施；</w:t>
      </w:r>
    </w:p>
    <w:p w14:paraId="6287E9DC">
      <w:pPr>
        <w:numPr>
          <w:ilvl w:val="255"/>
          <w:numId w:val="0"/>
        </w:numPr>
        <w:suppressAutoHyphens/>
        <w:spacing w:line="360" w:lineRule="auto"/>
        <w:ind w:firstLine="560"/>
        <w:rPr>
          <w:rFonts w:hint="default" w:ascii="宋体" w:hAnsi="宋体" w:eastAsia="宋体" w:cs="仿宋"/>
          <w:sz w:val="24"/>
          <w:szCs w:val="24"/>
          <w:lang w:val="zh-TW"/>
        </w:rPr>
      </w:pPr>
      <w:r>
        <w:rPr>
          <w:rFonts w:ascii="宋体" w:hAnsi="宋体" w:eastAsia="宋体" w:cs="仿宋"/>
          <w:sz w:val="24"/>
          <w:szCs w:val="24"/>
          <w:lang w:val="zh-TW"/>
        </w:rPr>
        <w:t>资源配备计划（劳动力、主要设备）；</w:t>
      </w:r>
    </w:p>
    <w:p w14:paraId="132387D9">
      <w:pPr>
        <w:numPr>
          <w:ilvl w:val="255"/>
          <w:numId w:val="0"/>
        </w:numPr>
        <w:suppressAutoHyphens/>
        <w:spacing w:line="360" w:lineRule="auto"/>
        <w:ind w:firstLine="560"/>
        <w:rPr>
          <w:rFonts w:hint="default" w:ascii="宋体" w:hAnsi="宋体" w:eastAsia="宋体" w:cs="仿宋"/>
          <w:sz w:val="24"/>
          <w:szCs w:val="24"/>
          <w:lang w:val="zh-TW"/>
        </w:rPr>
      </w:pPr>
      <w:r>
        <w:rPr>
          <w:rFonts w:hint="default" w:ascii="宋体" w:hAnsi="宋体" w:eastAsia="宋体" w:cs="仿宋"/>
          <w:sz w:val="24"/>
          <w:szCs w:val="24"/>
          <w:lang w:val="zh-TW"/>
        </w:rPr>
        <w:t>项目管理机构配备：项目班子人员组成，项目经理、主设计师、项目主要项目管理人员表。</w:t>
      </w:r>
    </w:p>
    <w:p w14:paraId="551F4B06">
      <w:pPr>
        <w:numPr>
          <w:ilvl w:val="255"/>
          <w:numId w:val="0"/>
        </w:numPr>
        <w:suppressAutoHyphens/>
        <w:spacing w:line="360" w:lineRule="auto"/>
        <w:ind w:firstLine="560"/>
        <w:rPr>
          <w:rFonts w:hint="default" w:ascii="宋体" w:hAnsi="宋体" w:eastAsia="宋体" w:cs="仿宋"/>
          <w:sz w:val="24"/>
          <w:szCs w:val="24"/>
          <w:lang w:val="zh-TW"/>
        </w:rPr>
      </w:pPr>
      <w:r>
        <w:rPr>
          <w:rFonts w:hint="default" w:ascii="宋体" w:hAnsi="宋体" w:eastAsia="宋体" w:cs="仿宋"/>
          <w:sz w:val="24"/>
          <w:szCs w:val="24"/>
          <w:lang w:val="zh-TW"/>
        </w:rPr>
        <w:t>投标人应根据自己的设计方案，编制工作量清单和进行报价。</w:t>
      </w:r>
    </w:p>
    <w:p w14:paraId="2C8E120D">
      <w:pPr>
        <w:numPr>
          <w:ilvl w:val="255"/>
          <w:numId w:val="0"/>
        </w:numPr>
        <w:suppressAutoHyphens/>
        <w:spacing w:line="360" w:lineRule="auto"/>
        <w:ind w:firstLine="562"/>
        <w:rPr>
          <w:rFonts w:hint="default" w:ascii="宋体" w:hAnsi="宋体" w:eastAsia="宋体" w:cs="仿宋"/>
          <w:b/>
          <w:bCs/>
          <w:sz w:val="24"/>
          <w:szCs w:val="24"/>
        </w:rPr>
      </w:pPr>
      <w:r>
        <w:rPr>
          <w:rFonts w:ascii="宋体" w:hAnsi="宋体" w:eastAsia="宋体" w:cs="仿宋"/>
          <w:b/>
          <w:bCs/>
          <w:sz w:val="24"/>
          <w:szCs w:val="24"/>
        </w:rPr>
        <w:t>5</w:t>
      </w:r>
      <w:r>
        <w:rPr>
          <w:rFonts w:hint="default" w:ascii="宋体" w:hAnsi="宋体" w:eastAsia="宋体" w:cs="仿宋"/>
          <w:b/>
          <w:bCs/>
          <w:sz w:val="24"/>
          <w:szCs w:val="24"/>
        </w:rPr>
        <w:t>.</w:t>
      </w:r>
      <w:r>
        <w:rPr>
          <w:rFonts w:ascii="宋体" w:hAnsi="宋体" w:eastAsia="宋体" w:cs="仿宋"/>
          <w:b/>
          <w:bCs/>
          <w:sz w:val="24"/>
          <w:szCs w:val="24"/>
        </w:rPr>
        <w:t xml:space="preserve">9 </w:t>
      </w:r>
      <w:r>
        <w:rPr>
          <w:rFonts w:hint="default" w:ascii="宋体" w:hAnsi="宋体" w:eastAsia="宋体" w:cs="仿宋"/>
          <w:b/>
          <w:bCs/>
          <w:sz w:val="24"/>
          <w:szCs w:val="24"/>
          <w:lang w:val="zh-TW"/>
        </w:rPr>
        <w:t>参照标准</w:t>
      </w:r>
    </w:p>
    <w:p w14:paraId="615753A3">
      <w:pPr>
        <w:numPr>
          <w:ilvl w:val="255"/>
          <w:numId w:val="0"/>
        </w:numPr>
        <w:suppressAutoHyphens/>
        <w:spacing w:line="360" w:lineRule="auto"/>
        <w:ind w:firstLine="560"/>
        <w:rPr>
          <w:rFonts w:hint="default" w:ascii="宋体" w:hAnsi="宋体" w:eastAsia="宋体" w:cs="仿宋"/>
          <w:sz w:val="24"/>
          <w:szCs w:val="24"/>
        </w:rPr>
      </w:pPr>
      <w:r>
        <w:rPr>
          <w:rFonts w:hint="default" w:ascii="宋体" w:hAnsi="宋体" w:eastAsia="宋体" w:cs="仿宋"/>
          <w:sz w:val="24"/>
          <w:szCs w:val="24"/>
          <w:lang w:val="zh-TW"/>
        </w:rPr>
        <w:t>《建筑装饰装修工程质量验收标准》（</w:t>
      </w:r>
      <w:r>
        <w:rPr>
          <w:rFonts w:hint="default" w:ascii="宋体" w:hAnsi="宋体" w:eastAsia="宋体" w:cs="仿宋"/>
          <w:sz w:val="24"/>
          <w:szCs w:val="24"/>
        </w:rPr>
        <w:t>GB50210-2018</w:t>
      </w:r>
      <w:r>
        <w:rPr>
          <w:rFonts w:hint="default" w:ascii="宋体" w:hAnsi="宋体" w:eastAsia="宋体" w:cs="仿宋"/>
          <w:sz w:val="24"/>
          <w:szCs w:val="24"/>
          <w:lang w:val="zh-TW"/>
        </w:rPr>
        <w:t>）</w:t>
      </w:r>
    </w:p>
    <w:p w14:paraId="6E308907">
      <w:pPr>
        <w:numPr>
          <w:ilvl w:val="255"/>
          <w:numId w:val="0"/>
        </w:numPr>
        <w:suppressAutoHyphens/>
        <w:spacing w:line="360" w:lineRule="auto"/>
        <w:ind w:firstLine="560"/>
        <w:rPr>
          <w:rFonts w:hint="default" w:ascii="宋体" w:hAnsi="宋体" w:eastAsia="宋体" w:cs="仿宋"/>
          <w:sz w:val="24"/>
          <w:szCs w:val="24"/>
        </w:rPr>
      </w:pPr>
      <w:r>
        <w:rPr>
          <w:rFonts w:hint="default" w:ascii="宋体" w:hAnsi="宋体" w:eastAsia="宋体" w:cs="仿宋"/>
          <w:sz w:val="24"/>
          <w:szCs w:val="24"/>
          <w:lang w:val="zh-TW"/>
        </w:rPr>
        <w:t>《建筑电气工程施工质量验收规范》（</w:t>
      </w:r>
      <w:r>
        <w:rPr>
          <w:rFonts w:hint="default" w:ascii="宋体" w:hAnsi="宋体" w:eastAsia="宋体" w:cs="仿宋"/>
          <w:sz w:val="24"/>
          <w:szCs w:val="24"/>
        </w:rPr>
        <w:t>GB50303-2015</w:t>
      </w:r>
      <w:r>
        <w:rPr>
          <w:rFonts w:hint="default" w:ascii="宋体" w:hAnsi="宋体" w:eastAsia="宋体" w:cs="仿宋"/>
          <w:sz w:val="24"/>
          <w:szCs w:val="24"/>
          <w:lang w:val="zh-TW"/>
        </w:rPr>
        <w:t>）</w:t>
      </w:r>
    </w:p>
    <w:p w14:paraId="5705B233">
      <w:pPr>
        <w:numPr>
          <w:ilvl w:val="255"/>
          <w:numId w:val="0"/>
        </w:numPr>
        <w:suppressAutoHyphens/>
        <w:spacing w:line="360" w:lineRule="auto"/>
        <w:ind w:firstLine="560"/>
        <w:rPr>
          <w:rFonts w:hint="default" w:ascii="宋体" w:hAnsi="宋体" w:eastAsia="宋体" w:cs="仿宋"/>
          <w:sz w:val="24"/>
          <w:szCs w:val="24"/>
        </w:rPr>
      </w:pPr>
      <w:r>
        <w:rPr>
          <w:rFonts w:hint="default" w:ascii="宋体" w:hAnsi="宋体" w:eastAsia="宋体" w:cs="仿宋"/>
          <w:sz w:val="24"/>
          <w:szCs w:val="24"/>
          <w:lang w:val="zh-TW"/>
        </w:rPr>
        <w:t>《建筑地面工程施工质量验收规范》（</w:t>
      </w:r>
      <w:r>
        <w:rPr>
          <w:rFonts w:hint="default" w:ascii="宋体" w:hAnsi="宋体" w:eastAsia="宋体" w:cs="仿宋"/>
          <w:sz w:val="24"/>
          <w:szCs w:val="24"/>
        </w:rPr>
        <w:t>GB50209-2010</w:t>
      </w:r>
      <w:r>
        <w:rPr>
          <w:rFonts w:hint="default" w:ascii="宋体" w:hAnsi="宋体" w:eastAsia="宋体" w:cs="仿宋"/>
          <w:sz w:val="24"/>
          <w:szCs w:val="24"/>
          <w:lang w:val="zh-TW"/>
        </w:rPr>
        <w:t>）</w:t>
      </w:r>
    </w:p>
    <w:p w14:paraId="109234A8">
      <w:pPr>
        <w:numPr>
          <w:ilvl w:val="255"/>
          <w:numId w:val="0"/>
        </w:numPr>
        <w:suppressAutoHyphens/>
        <w:spacing w:line="360" w:lineRule="auto"/>
        <w:ind w:firstLine="560"/>
        <w:rPr>
          <w:rFonts w:hint="default" w:ascii="宋体" w:hAnsi="宋体" w:eastAsia="宋体" w:cs="仿宋"/>
          <w:sz w:val="24"/>
          <w:szCs w:val="24"/>
        </w:rPr>
      </w:pPr>
      <w:r>
        <w:rPr>
          <w:rFonts w:hint="default" w:ascii="宋体" w:hAnsi="宋体" w:eastAsia="宋体" w:cs="仿宋"/>
          <w:sz w:val="24"/>
          <w:szCs w:val="24"/>
          <w:lang w:val="zh-TW"/>
        </w:rPr>
        <w:t>《建筑内部装修设计防火规范》（</w:t>
      </w:r>
      <w:r>
        <w:rPr>
          <w:rFonts w:hint="default" w:ascii="宋体" w:hAnsi="宋体" w:eastAsia="宋体" w:cs="仿宋"/>
          <w:sz w:val="24"/>
          <w:szCs w:val="24"/>
        </w:rPr>
        <w:t>GB 50222-2017</w:t>
      </w:r>
      <w:r>
        <w:rPr>
          <w:rFonts w:hint="default" w:ascii="宋体" w:hAnsi="宋体" w:eastAsia="宋体" w:cs="仿宋"/>
          <w:sz w:val="24"/>
          <w:szCs w:val="24"/>
          <w:lang w:val="zh-TW"/>
        </w:rPr>
        <w:t>）</w:t>
      </w:r>
    </w:p>
    <w:p w14:paraId="53FADA9C">
      <w:pPr>
        <w:numPr>
          <w:ilvl w:val="255"/>
          <w:numId w:val="0"/>
        </w:numPr>
        <w:suppressAutoHyphens/>
        <w:spacing w:line="360" w:lineRule="auto"/>
        <w:ind w:firstLine="560"/>
        <w:rPr>
          <w:rFonts w:hint="default" w:ascii="宋体" w:hAnsi="宋体" w:eastAsia="宋体" w:cs="仿宋"/>
          <w:sz w:val="24"/>
          <w:szCs w:val="24"/>
        </w:rPr>
      </w:pPr>
      <w:r>
        <w:rPr>
          <w:rFonts w:hint="default" w:ascii="宋体" w:hAnsi="宋体" w:eastAsia="宋体" w:cs="仿宋"/>
          <w:sz w:val="24"/>
          <w:szCs w:val="24"/>
          <w:lang w:val="zh-TW"/>
        </w:rPr>
        <w:t>《防火卷帘、防火门、防火窗施工及验收规范》（</w:t>
      </w:r>
      <w:r>
        <w:rPr>
          <w:rFonts w:hint="default" w:ascii="宋体" w:hAnsi="宋体" w:eastAsia="宋体" w:cs="仿宋"/>
          <w:sz w:val="24"/>
          <w:szCs w:val="24"/>
        </w:rPr>
        <w:t>GB50877-2014</w:t>
      </w:r>
      <w:r>
        <w:rPr>
          <w:rFonts w:hint="default" w:ascii="宋体" w:hAnsi="宋体" w:eastAsia="宋体" w:cs="仿宋"/>
          <w:sz w:val="24"/>
          <w:szCs w:val="24"/>
          <w:lang w:val="zh-TW"/>
        </w:rPr>
        <w:t>）</w:t>
      </w:r>
    </w:p>
    <w:p w14:paraId="59A17ABF">
      <w:pPr>
        <w:numPr>
          <w:ilvl w:val="255"/>
          <w:numId w:val="0"/>
        </w:numPr>
        <w:suppressAutoHyphens/>
        <w:spacing w:line="360" w:lineRule="auto"/>
        <w:ind w:firstLine="560"/>
        <w:rPr>
          <w:rFonts w:hint="default" w:ascii="宋体" w:hAnsi="宋体" w:eastAsia="宋体" w:cs="仿宋"/>
          <w:sz w:val="24"/>
          <w:szCs w:val="24"/>
          <w:lang w:val="zh-TW"/>
        </w:rPr>
      </w:pPr>
      <w:r>
        <w:rPr>
          <w:rFonts w:hint="default" w:ascii="宋体" w:hAnsi="宋体" w:eastAsia="宋体" w:cs="仿宋"/>
          <w:sz w:val="24"/>
          <w:szCs w:val="24"/>
          <w:lang w:val="zh-TW"/>
        </w:rPr>
        <w:t>《钢结构防火涂料》（</w:t>
      </w:r>
      <w:r>
        <w:rPr>
          <w:rFonts w:hint="default" w:ascii="宋体" w:hAnsi="宋体" w:eastAsia="宋体" w:cs="仿宋"/>
          <w:sz w:val="24"/>
          <w:szCs w:val="24"/>
        </w:rPr>
        <w:t>GB14907-2018</w:t>
      </w:r>
      <w:r>
        <w:rPr>
          <w:rFonts w:hint="default" w:ascii="宋体" w:hAnsi="宋体" w:eastAsia="宋体" w:cs="仿宋"/>
          <w:sz w:val="24"/>
          <w:szCs w:val="24"/>
          <w:lang w:val="zh-TW"/>
        </w:rPr>
        <w:t>）</w:t>
      </w:r>
    </w:p>
    <w:p w14:paraId="22EED6B1">
      <w:pPr>
        <w:numPr>
          <w:ilvl w:val="255"/>
          <w:numId w:val="0"/>
        </w:numPr>
        <w:suppressAutoHyphens/>
        <w:spacing w:line="360" w:lineRule="auto"/>
        <w:ind w:firstLine="560"/>
        <w:rPr>
          <w:rFonts w:hint="default" w:ascii="宋体" w:hAnsi="宋体" w:eastAsia="宋体" w:cs="仿宋"/>
          <w:sz w:val="24"/>
          <w:szCs w:val="24"/>
          <w:lang w:val="zh-TW"/>
        </w:rPr>
      </w:pPr>
      <w:r>
        <w:rPr>
          <w:rFonts w:hint="default" w:ascii="宋体" w:hAnsi="宋体" w:eastAsia="宋体" w:cs="仿宋"/>
          <w:sz w:val="24"/>
          <w:szCs w:val="24"/>
          <w:lang w:val="zh-TW"/>
        </w:rPr>
        <w:t>《博物馆陈列展览形式设计与施工规范》（WW/T0089-2018）</w:t>
      </w:r>
    </w:p>
    <w:p w14:paraId="401C6860">
      <w:pPr>
        <w:numPr>
          <w:ilvl w:val="255"/>
          <w:numId w:val="0"/>
        </w:numPr>
        <w:suppressAutoHyphens/>
        <w:spacing w:line="360" w:lineRule="auto"/>
        <w:ind w:firstLine="562"/>
        <w:rPr>
          <w:rFonts w:hint="eastAsia" w:ascii="宋体" w:hAnsi="宋体" w:eastAsia="宋体" w:cs="仿宋"/>
          <w:b/>
          <w:bCs/>
          <w:sz w:val="24"/>
          <w:szCs w:val="24"/>
          <w:lang w:val="en-US" w:eastAsia="zh-CN"/>
        </w:rPr>
      </w:pPr>
      <w:r>
        <w:rPr>
          <w:rFonts w:hint="eastAsia" w:ascii="宋体" w:hAnsi="宋体" w:eastAsia="宋体" w:cs="仿宋"/>
          <w:b/>
          <w:bCs/>
          <w:sz w:val="24"/>
          <w:szCs w:val="24"/>
          <w:lang w:val="en-US" w:eastAsia="zh-CN"/>
        </w:rPr>
        <w:t>5.10 附件</w:t>
      </w:r>
    </w:p>
    <w:p w14:paraId="7221E45C">
      <w:pPr>
        <w:numPr>
          <w:ilvl w:val="255"/>
          <w:numId w:val="0"/>
        </w:numPr>
        <w:spacing w:line="360" w:lineRule="auto"/>
        <w:ind w:firstLine="560"/>
        <w:rPr>
          <w:rFonts w:hint="default" w:ascii="宋体" w:hAnsi="宋体" w:eastAsia="宋体" w:cs="仿宋"/>
          <w:sz w:val="24"/>
          <w:szCs w:val="24"/>
          <w:lang w:val="zh-TW" w:eastAsia="zh-CN"/>
        </w:rPr>
      </w:pPr>
      <w:r>
        <w:rPr>
          <w:rFonts w:hint="default" w:ascii="宋体" w:hAnsi="宋体" w:eastAsia="宋体" w:cs="仿宋"/>
          <w:sz w:val="24"/>
          <w:szCs w:val="24"/>
          <w:lang w:val="zh-TW" w:eastAsia="zh-CN"/>
        </w:rPr>
        <w:t>1．</w:t>
      </w:r>
      <w:r>
        <w:rPr>
          <w:rFonts w:hint="eastAsia" w:ascii="宋体" w:hAnsi="宋体" w:eastAsia="宋体" w:cs="仿宋"/>
          <w:sz w:val="24"/>
          <w:szCs w:val="24"/>
          <w:lang w:val="zh-TW" w:eastAsia="zh-CN"/>
        </w:rPr>
        <w:t>上海鲁迅纪念馆</w:t>
      </w:r>
      <w:r>
        <w:rPr>
          <w:rFonts w:hint="default" w:ascii="宋体" w:hAnsi="宋体" w:eastAsia="宋体" w:cs="仿宋"/>
          <w:sz w:val="24"/>
          <w:szCs w:val="24"/>
          <w:lang w:val="zh-TW" w:eastAsia="zh-CN"/>
        </w:rPr>
        <w:t>展馆平面图</w:t>
      </w:r>
    </w:p>
    <w:p w14:paraId="760DC53D">
      <w:pPr>
        <w:numPr>
          <w:ilvl w:val="255"/>
          <w:numId w:val="0"/>
        </w:numPr>
        <w:spacing w:line="360" w:lineRule="auto"/>
        <w:ind w:firstLine="560"/>
        <w:rPr>
          <w:rFonts w:hint="default" w:ascii="宋体" w:hAnsi="宋体" w:eastAsia="宋体" w:cs="仿宋"/>
          <w:sz w:val="24"/>
          <w:szCs w:val="24"/>
          <w:lang w:val="zh-TW" w:eastAsia="zh-CN"/>
        </w:rPr>
      </w:pPr>
      <w:r>
        <w:rPr>
          <w:rFonts w:hint="default" w:ascii="宋体" w:hAnsi="宋体" w:eastAsia="宋体" w:cs="仿宋"/>
          <w:sz w:val="24"/>
          <w:szCs w:val="24"/>
          <w:lang w:val="zh-TW" w:eastAsia="zh-CN"/>
        </w:rPr>
        <w:t>详见附件</w:t>
      </w:r>
      <w:r>
        <w:rPr>
          <w:rFonts w:hint="eastAsia" w:ascii="宋体" w:hAnsi="宋体" w:eastAsia="宋体" w:cs="仿宋"/>
          <w:sz w:val="24"/>
          <w:szCs w:val="24"/>
          <w:lang w:val="zh-TW" w:eastAsia="zh-CN"/>
        </w:rPr>
        <w:t>一</w:t>
      </w:r>
      <w:r>
        <w:rPr>
          <w:rFonts w:hint="default" w:ascii="宋体" w:hAnsi="宋体" w:eastAsia="宋体" w:cs="仿宋"/>
          <w:sz w:val="24"/>
          <w:szCs w:val="24"/>
          <w:lang w:val="zh-TW" w:eastAsia="zh-CN"/>
        </w:rPr>
        <w:t>。</w:t>
      </w:r>
    </w:p>
    <w:p w14:paraId="62287640">
      <w:pPr>
        <w:numPr>
          <w:ilvl w:val="255"/>
          <w:numId w:val="0"/>
        </w:numPr>
        <w:spacing w:line="360" w:lineRule="auto"/>
        <w:ind w:firstLine="560"/>
        <w:rPr>
          <w:rFonts w:hint="default" w:ascii="宋体" w:hAnsi="宋体" w:eastAsia="宋体" w:cs="仿宋"/>
          <w:sz w:val="24"/>
          <w:szCs w:val="24"/>
          <w:lang w:val="zh-TW" w:eastAsia="zh-CN"/>
        </w:rPr>
      </w:pPr>
      <w:r>
        <w:rPr>
          <w:rFonts w:hint="default" w:ascii="宋体" w:hAnsi="宋体" w:eastAsia="宋体" w:cs="仿宋"/>
          <w:sz w:val="24"/>
          <w:szCs w:val="24"/>
          <w:lang w:val="zh-TW" w:eastAsia="zh-CN"/>
        </w:rPr>
        <w:t>2．</w:t>
      </w:r>
      <w:r>
        <w:rPr>
          <w:rFonts w:hint="eastAsia" w:ascii="宋体" w:hAnsi="宋体" w:eastAsia="宋体" w:cs="仿宋"/>
          <w:sz w:val="24"/>
          <w:szCs w:val="24"/>
          <w:lang w:val="zh-TW" w:eastAsia="zh-CN"/>
        </w:rPr>
        <w:t>民族魂鲁迅陈列展</w:t>
      </w:r>
      <w:r>
        <w:rPr>
          <w:rFonts w:hint="default" w:ascii="宋体" w:hAnsi="宋体" w:eastAsia="宋体" w:cs="仿宋"/>
          <w:sz w:val="24"/>
          <w:szCs w:val="24"/>
          <w:lang w:val="zh-TW" w:eastAsia="zh-CN"/>
        </w:rPr>
        <w:t>文物清单</w:t>
      </w:r>
    </w:p>
    <w:p w14:paraId="721EE287">
      <w:pPr>
        <w:numPr>
          <w:ilvl w:val="255"/>
          <w:numId w:val="0"/>
        </w:numPr>
        <w:spacing w:line="360" w:lineRule="auto"/>
        <w:ind w:firstLine="560"/>
        <w:rPr>
          <w:rFonts w:hint="default" w:ascii="宋体" w:hAnsi="宋体" w:eastAsia="宋体" w:cs="仿宋"/>
          <w:sz w:val="24"/>
          <w:szCs w:val="24"/>
          <w:lang w:val="zh-TW" w:eastAsia="zh-CN"/>
        </w:rPr>
      </w:pPr>
      <w:r>
        <w:rPr>
          <w:rFonts w:hint="default" w:ascii="宋体" w:hAnsi="宋体" w:eastAsia="宋体" w:cs="仿宋"/>
          <w:sz w:val="24"/>
          <w:szCs w:val="24"/>
          <w:lang w:val="zh-TW" w:eastAsia="zh-CN"/>
        </w:rPr>
        <w:t>详见附件二。</w:t>
      </w:r>
    </w:p>
    <w:p w14:paraId="4A035D08">
      <w:pPr>
        <w:numPr>
          <w:ilvl w:val="255"/>
          <w:numId w:val="0"/>
        </w:numPr>
        <w:spacing w:line="360" w:lineRule="auto"/>
        <w:ind w:firstLine="560"/>
        <w:rPr>
          <w:rFonts w:hint="default" w:ascii="宋体" w:hAnsi="宋体" w:eastAsia="宋体" w:cs="仿宋"/>
          <w:sz w:val="24"/>
          <w:szCs w:val="24"/>
          <w:lang w:val="zh-TW" w:eastAsia="zh-CN"/>
        </w:rPr>
      </w:pPr>
      <w:r>
        <w:rPr>
          <w:rFonts w:hint="default" w:ascii="宋体" w:hAnsi="宋体" w:eastAsia="宋体" w:cs="仿宋"/>
          <w:sz w:val="24"/>
          <w:szCs w:val="24"/>
          <w:lang w:val="zh-TW" w:eastAsia="zh-CN"/>
        </w:rPr>
        <w:t>3．</w:t>
      </w:r>
      <w:r>
        <w:rPr>
          <w:rFonts w:hint="eastAsia" w:ascii="宋体" w:hAnsi="宋体" w:eastAsia="宋体" w:cs="仿宋"/>
          <w:sz w:val="24"/>
          <w:szCs w:val="24"/>
          <w:lang w:val="zh-TW" w:eastAsia="zh-CN"/>
        </w:rPr>
        <w:t>朝华文库常设展</w:t>
      </w:r>
      <w:r>
        <w:rPr>
          <w:rFonts w:hint="default" w:ascii="宋体" w:hAnsi="宋体" w:eastAsia="宋体" w:cs="仿宋"/>
          <w:sz w:val="24"/>
          <w:szCs w:val="24"/>
          <w:lang w:val="zh-TW" w:eastAsia="zh-CN"/>
        </w:rPr>
        <w:t>文物清单</w:t>
      </w:r>
    </w:p>
    <w:p w14:paraId="54248951">
      <w:pPr>
        <w:numPr>
          <w:ilvl w:val="255"/>
          <w:numId w:val="0"/>
        </w:numPr>
        <w:spacing w:line="360" w:lineRule="auto"/>
        <w:ind w:firstLine="560"/>
        <w:rPr>
          <w:rFonts w:hint="default" w:ascii="宋体" w:hAnsi="宋体" w:eastAsia="宋体" w:cs="仿宋"/>
          <w:sz w:val="24"/>
          <w:szCs w:val="24"/>
          <w:lang w:val="zh-TW" w:eastAsia="zh-CN"/>
        </w:rPr>
      </w:pPr>
      <w:r>
        <w:rPr>
          <w:rFonts w:hint="default" w:ascii="宋体" w:hAnsi="宋体" w:eastAsia="宋体" w:cs="仿宋"/>
          <w:sz w:val="24"/>
          <w:szCs w:val="24"/>
          <w:lang w:val="zh-TW" w:eastAsia="zh-CN"/>
        </w:rPr>
        <w:t>详见附件</w:t>
      </w:r>
      <w:r>
        <w:rPr>
          <w:rFonts w:hint="eastAsia" w:ascii="宋体" w:hAnsi="宋体" w:eastAsia="宋体" w:cs="仿宋"/>
          <w:sz w:val="24"/>
          <w:szCs w:val="24"/>
          <w:lang w:val="zh-TW" w:eastAsia="zh-CN"/>
        </w:rPr>
        <w:t>三</w:t>
      </w:r>
      <w:r>
        <w:rPr>
          <w:rFonts w:hint="default" w:ascii="宋体" w:hAnsi="宋体" w:eastAsia="宋体" w:cs="仿宋"/>
          <w:sz w:val="24"/>
          <w:szCs w:val="24"/>
          <w:lang w:val="zh-TW" w:eastAsia="zh-CN"/>
        </w:rPr>
        <w:t>。</w:t>
      </w:r>
    </w:p>
    <w:p w14:paraId="4D41E1B2">
      <w:pPr>
        <w:numPr>
          <w:ilvl w:val="255"/>
          <w:numId w:val="0"/>
        </w:numPr>
        <w:spacing w:line="360" w:lineRule="auto"/>
        <w:ind w:firstLine="560"/>
        <w:rPr>
          <w:rFonts w:hint="eastAsia" w:ascii="宋体" w:hAnsi="宋体" w:eastAsia="宋体" w:cs="仿宋"/>
          <w:sz w:val="24"/>
          <w:szCs w:val="24"/>
          <w:lang w:val="en-US" w:eastAsia="zh-CN"/>
        </w:rPr>
      </w:pPr>
      <w:r>
        <w:rPr>
          <w:rFonts w:hint="eastAsia" w:ascii="宋体" w:hAnsi="宋体" w:eastAsia="宋体" w:cs="仿宋"/>
          <w:sz w:val="24"/>
          <w:szCs w:val="24"/>
          <w:lang w:val="en-US" w:eastAsia="zh-CN"/>
        </w:rPr>
        <w:t>4.民族魂鲁迅陈列布展大纲</w:t>
      </w:r>
    </w:p>
    <w:p w14:paraId="3B03C523">
      <w:pPr>
        <w:numPr>
          <w:ilvl w:val="255"/>
          <w:numId w:val="0"/>
        </w:numPr>
        <w:spacing w:line="360" w:lineRule="auto"/>
        <w:ind w:firstLine="560"/>
        <w:rPr>
          <w:rFonts w:hint="eastAsia" w:ascii="宋体" w:hAnsi="宋体" w:eastAsia="宋体" w:cs="仿宋"/>
          <w:sz w:val="24"/>
          <w:szCs w:val="24"/>
          <w:lang w:val="en-US" w:eastAsia="zh-CN"/>
        </w:rPr>
      </w:pPr>
      <w:r>
        <w:rPr>
          <w:rFonts w:hint="eastAsia" w:ascii="宋体" w:hAnsi="宋体" w:eastAsia="宋体" w:cs="仿宋"/>
          <w:sz w:val="24"/>
          <w:szCs w:val="24"/>
          <w:lang w:val="en-US" w:eastAsia="zh-CN"/>
        </w:rPr>
        <w:t>详见附件四。</w:t>
      </w:r>
    </w:p>
    <w:p w14:paraId="67187C72">
      <w:pPr>
        <w:numPr>
          <w:ilvl w:val="255"/>
          <w:numId w:val="0"/>
        </w:numPr>
        <w:spacing w:line="360" w:lineRule="auto"/>
        <w:ind w:firstLine="560"/>
        <w:rPr>
          <w:rFonts w:hint="eastAsia" w:ascii="宋体" w:hAnsi="宋体" w:eastAsia="宋体" w:cs="仿宋"/>
          <w:sz w:val="24"/>
          <w:szCs w:val="24"/>
          <w:lang w:val="en-US" w:eastAsia="zh-CN"/>
        </w:rPr>
      </w:pPr>
      <w:r>
        <w:rPr>
          <w:rFonts w:hint="eastAsia" w:ascii="宋体" w:hAnsi="宋体" w:eastAsia="宋体" w:cs="仿宋"/>
          <w:sz w:val="24"/>
          <w:szCs w:val="24"/>
          <w:lang w:val="en-US" w:eastAsia="zh-CN"/>
        </w:rPr>
        <w:t>5.朝华文库常设展大纲</w:t>
      </w:r>
    </w:p>
    <w:p w14:paraId="57F524E9">
      <w:pPr>
        <w:numPr>
          <w:ilvl w:val="255"/>
          <w:numId w:val="0"/>
        </w:numPr>
        <w:spacing w:line="360" w:lineRule="auto"/>
        <w:ind w:firstLine="560"/>
        <w:rPr>
          <w:rFonts w:hint="default" w:ascii="宋体" w:hAnsi="宋体" w:eastAsia="宋体" w:cs="仿宋"/>
          <w:sz w:val="24"/>
          <w:szCs w:val="24"/>
          <w:lang w:val="en-US" w:eastAsia="zh-CN"/>
        </w:rPr>
      </w:pPr>
      <w:r>
        <w:rPr>
          <w:rFonts w:hint="eastAsia" w:ascii="宋体" w:hAnsi="宋体" w:eastAsia="宋体" w:cs="仿宋"/>
          <w:sz w:val="24"/>
          <w:szCs w:val="24"/>
          <w:lang w:val="en-US" w:eastAsia="zh-CN"/>
        </w:rPr>
        <w:t>详见附件五。</w:t>
      </w:r>
    </w:p>
    <w:p w14:paraId="3FAF0DF5">
      <w:pPr>
        <w:pStyle w:val="20"/>
        <w:ind w:firstLine="0"/>
        <w:rPr>
          <w:rFonts w:hint="default" w:ascii="宋体" w:hAnsi="宋体" w:eastAsia="宋体" w:cs="宋体"/>
        </w:rPr>
      </w:pPr>
    </w:p>
    <w:sectPr>
      <w:footerReference r:id="rId3" w:type="default"/>
      <w:pgSz w:w="11920" w:h="16840"/>
      <w:pgMar w:top="1180" w:right="1320" w:bottom="1040" w:left="1360" w:header="902" w:footer="76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CC"/>
    <w:family w:val="roman"/>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Arial Unicode MS">
    <w:altName w:val="DejaVu Sans"/>
    <w:panose1 w:val="020B0604020202020204"/>
    <w:charset w:val="86"/>
    <w:family w:val="swiss"/>
    <w:pitch w:val="default"/>
    <w:sig w:usb0="00000000" w:usb1="00000000" w:usb2="0000003F" w:usb3="00000000" w:csb0="003F01FF" w:csb1="00000000"/>
  </w:font>
  <w:font w:name="等线 Light">
    <w:altName w:val="汉仪中圆B5"/>
    <w:panose1 w:val="02010600030101010101"/>
    <w:charset w:val="86"/>
    <w:family w:val="auto"/>
    <w:pitch w:val="default"/>
    <w:sig w:usb0="00000000" w:usb1="00000000" w:usb2="00000016" w:usb3="00000000" w:csb0="0004000F" w:csb1="00000000"/>
  </w:font>
  <w:font w:name="汉仪中圆B5">
    <w:panose1 w:val="02010600000101010101"/>
    <w:charset w:val="88"/>
    <w:family w:val="auto"/>
    <w:pitch w:val="default"/>
    <w:sig w:usb0="00000001" w:usb1="080E0800" w:usb2="00000002" w:usb3="00000000" w:csb0="00100000" w:csb1="00000000"/>
  </w:font>
  <w:font w:name="Cambria">
    <w:altName w:val="Noto Sans Syriac Eastern"/>
    <w:panose1 w:val="02040503050406030204"/>
    <w:charset w:val="00"/>
    <w:family w:val="roman"/>
    <w:pitch w:val="default"/>
    <w:sig w:usb0="00000000" w:usb1="00000000" w:usb2="00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方正黑体_GBK">
    <w:panose1 w:val="02000000000000000000"/>
    <w:charset w:val="86"/>
    <w:family w:val="auto"/>
    <w:pitch w:val="default"/>
    <w:sig w:usb0="00000001" w:usb1="08000000" w:usb2="00000000" w:usb3="00000000" w:csb0="00040000" w:csb1="00000000"/>
  </w:font>
  <w:font w:name="PingFang SC Regular">
    <w:altName w:val="仿宋_GB2312"/>
    <w:panose1 w:val="00000000000000000000"/>
    <w:charset w:val="00"/>
    <w:family w:val="roman"/>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 w:name="PMingLiU">
    <w:altName w:val="文泉驿微米黑"/>
    <w:panose1 w:val="02020500000000000000"/>
    <w:charset w:val="88"/>
    <w:family w:val="roman"/>
    <w:pitch w:val="default"/>
    <w:sig w:usb0="00000000" w:usb1="00000000" w:usb2="00000016" w:usb3="00000000" w:csb0="00100001" w:csb1="00000000"/>
  </w:font>
  <w:font w:name="文泉驿微米黑">
    <w:panose1 w:val="020B0606030804020204"/>
    <w:charset w:val="86"/>
    <w:family w:val="auto"/>
    <w:pitch w:val="default"/>
    <w:sig w:usb0="E10002EF" w:usb1="6BDFFCFB" w:usb2="00800036" w:usb3="00000000" w:csb0="603E019F" w:csb1="DFD70000"/>
  </w:font>
  <w:font w:name="仿宋">
    <w:altName w:val="仿宋_GB2312"/>
    <w:panose1 w:val="02010609060101010101"/>
    <w:charset w:val="86"/>
    <w:family w:val="modern"/>
    <w:pitch w:val="default"/>
    <w:sig w:usb0="00000000" w:usb1="00000000"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34F74">
    <w:pPr>
      <w:pStyle w:val="18"/>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2700" cap="flat">
                        <a:noFill/>
                        <a:miter lim="400000"/>
                      </a:ln>
                    </wps:spPr>
                    <wps:style>
                      <a:lnRef idx="0">
                        <a:srgbClr val="FFFFFF"/>
                      </a:lnRef>
                      <a:fillRef idx="0">
                        <a:srgbClr val="FFFFFF"/>
                      </a:fillRef>
                      <a:effectRef idx="0">
                        <a:srgbClr val="FFFFFF"/>
                      </a:effectRef>
                      <a:fontRef idx="none"/>
                    </wps:style>
                    <wps:txbx>
                      <w:txbxContent>
                        <w:p w14:paraId="710E2709">
                          <w:pPr>
                            <w:pStyle w:val="8"/>
                            <w:rPr>
                              <w:rFonts w:hint="default"/>
                            </w:rPr>
                          </w:pPr>
                          <w:r>
                            <w:fldChar w:fldCharType="begin"/>
                          </w:r>
                          <w:r>
                            <w:instrText xml:space="preserve"> PAGE  \* MERGEFORMAT </w:instrText>
                          </w:r>
                          <w:r>
                            <w:fldChar w:fldCharType="separate"/>
                          </w:r>
                          <w:r>
                            <w:rPr>
                              <w:rFonts w:hint="default"/>
                            </w:rPr>
                            <w:t>2</w:t>
                          </w:r>
                          <w:r>
                            <w:fldChar w:fldCharType="end"/>
                          </w:r>
                        </w:p>
                      </w:txbxContent>
                    </wps:txbx>
                    <wps:bodyPr rot="0" spcFirstLastPara="0" vertOverflow="overflow" horzOverflow="overflow" vert="horz" wrap="none" lIns="0" tIns="0" rIns="0" bIns="0" numCol="1" spcCol="3810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bjXUj0AAAAAUBAAAPAAAAAAAAAAEAIAAAACIAAABkcnMvZG93&#10;bnJldi54bWxQSwECFAAUAAAACACHTuJAhSDY6EECAAB8BAAADgAAAAAAAAABACAAAAAfAQAAZHJz&#10;L2Uyb0RvYy54bWxQSwUGAAAAAAYABgBZAQAA0gUAAAAA&#10;">
              <v:fill on="f" focussize="0,0"/>
              <v:stroke on="f" weight="1pt" miterlimit="4" joinstyle="miter"/>
              <v:imagedata o:title=""/>
              <o:lock v:ext="edit" aspectratio="f"/>
              <v:textbox inset="0mm,0mm,0mm,0mm" style="mso-fit-shape-to-text:t;">
                <w:txbxContent>
                  <w:p w14:paraId="710E2709">
                    <w:pPr>
                      <w:pStyle w:val="8"/>
                      <w:rPr>
                        <w:rFonts w:hint="default"/>
                      </w:rPr>
                    </w:pPr>
                    <w:r>
                      <w:fldChar w:fldCharType="begin"/>
                    </w:r>
                    <w:r>
                      <w:instrText xml:space="preserve"> PAGE  \* MERGEFORMAT </w:instrText>
                    </w:r>
                    <w:r>
                      <w:fldChar w:fldCharType="separate"/>
                    </w:r>
                    <w:r>
                      <w:rPr>
                        <w:rFonts w:hint="default"/>
                      </w:rPr>
                      <w:t>2</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displayBackgroundShape w:val="1"/>
  <w:bordersDoNotSurroundHeader w:val="1"/>
  <w:bordersDoNotSurroundFooter w:val="1"/>
  <w:documentProtection w:enforcement="0"/>
  <w:defaultTabStop w:val="420"/>
  <w:noPunctuationKerning w:val="1"/>
  <w:characterSpacingControl w:val="doNotCompress"/>
  <w:noLineBreaksAfter w:lang="zh-CN" w:val="‘“(〔[{〈《「『【⦅〘〖«〝︵︷︹︻︽︿﹁﹃﹇﹙﹛﹝｢"/>
  <w:noLineBreaksBefore w:lang="zh-CN" w:val="’”)〕]}〉"/>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RhZmI4MDVmMTQ2MjVkZjFlZGQ5NmFkYTRlMjc0MmEifQ=="/>
  </w:docVars>
  <w:rsids>
    <w:rsidRoot w:val="001B4752"/>
    <w:rsid w:val="00124D43"/>
    <w:rsid w:val="001408BB"/>
    <w:rsid w:val="001B4752"/>
    <w:rsid w:val="00217726"/>
    <w:rsid w:val="00226FBB"/>
    <w:rsid w:val="0023326F"/>
    <w:rsid w:val="00251B67"/>
    <w:rsid w:val="0027708F"/>
    <w:rsid w:val="0029722B"/>
    <w:rsid w:val="002D541E"/>
    <w:rsid w:val="002E4F66"/>
    <w:rsid w:val="00312DF4"/>
    <w:rsid w:val="00335E49"/>
    <w:rsid w:val="0037494F"/>
    <w:rsid w:val="00374DEA"/>
    <w:rsid w:val="00384CBC"/>
    <w:rsid w:val="00391913"/>
    <w:rsid w:val="003963D1"/>
    <w:rsid w:val="003A0D12"/>
    <w:rsid w:val="00455949"/>
    <w:rsid w:val="004D1C05"/>
    <w:rsid w:val="005257A7"/>
    <w:rsid w:val="00533CCF"/>
    <w:rsid w:val="005C7E3E"/>
    <w:rsid w:val="00680379"/>
    <w:rsid w:val="006837EE"/>
    <w:rsid w:val="006C6808"/>
    <w:rsid w:val="007C28A2"/>
    <w:rsid w:val="00891F14"/>
    <w:rsid w:val="0089420B"/>
    <w:rsid w:val="008C7AAE"/>
    <w:rsid w:val="008D17F6"/>
    <w:rsid w:val="00901748"/>
    <w:rsid w:val="009A3ED3"/>
    <w:rsid w:val="009C22F1"/>
    <w:rsid w:val="00A9419D"/>
    <w:rsid w:val="00AB20E9"/>
    <w:rsid w:val="00AC246D"/>
    <w:rsid w:val="00AF05E9"/>
    <w:rsid w:val="00B61436"/>
    <w:rsid w:val="00B72FC1"/>
    <w:rsid w:val="00C12DE3"/>
    <w:rsid w:val="00C34DAD"/>
    <w:rsid w:val="00C4157D"/>
    <w:rsid w:val="00C8280C"/>
    <w:rsid w:val="00D62C82"/>
    <w:rsid w:val="00DD53CB"/>
    <w:rsid w:val="00E25C37"/>
    <w:rsid w:val="00E467AE"/>
    <w:rsid w:val="00F40E76"/>
    <w:rsid w:val="01C20BC1"/>
    <w:rsid w:val="03125B78"/>
    <w:rsid w:val="03EA08A3"/>
    <w:rsid w:val="04497378"/>
    <w:rsid w:val="04A46CA4"/>
    <w:rsid w:val="06C47189"/>
    <w:rsid w:val="079D70E3"/>
    <w:rsid w:val="07B70A9C"/>
    <w:rsid w:val="082C148A"/>
    <w:rsid w:val="08F63995"/>
    <w:rsid w:val="09020F7F"/>
    <w:rsid w:val="0966510D"/>
    <w:rsid w:val="099C263F"/>
    <w:rsid w:val="09AD2157"/>
    <w:rsid w:val="0A023FB1"/>
    <w:rsid w:val="0A20501F"/>
    <w:rsid w:val="0ABA2D7D"/>
    <w:rsid w:val="0B0C6A39"/>
    <w:rsid w:val="0B48482D"/>
    <w:rsid w:val="0B93537C"/>
    <w:rsid w:val="0C0F70F9"/>
    <w:rsid w:val="0C4F5747"/>
    <w:rsid w:val="0C8D626F"/>
    <w:rsid w:val="0CA51ED6"/>
    <w:rsid w:val="0CA53166"/>
    <w:rsid w:val="0CB101B0"/>
    <w:rsid w:val="0CEC6455"/>
    <w:rsid w:val="0D004C93"/>
    <w:rsid w:val="0D3A63F7"/>
    <w:rsid w:val="0DDB36B6"/>
    <w:rsid w:val="0E695EC8"/>
    <w:rsid w:val="0F613CCB"/>
    <w:rsid w:val="0FBC30F4"/>
    <w:rsid w:val="10044A9B"/>
    <w:rsid w:val="120E1C01"/>
    <w:rsid w:val="12942106"/>
    <w:rsid w:val="129D4A28"/>
    <w:rsid w:val="12DE4D8C"/>
    <w:rsid w:val="13272F7A"/>
    <w:rsid w:val="13427DB4"/>
    <w:rsid w:val="13806B2E"/>
    <w:rsid w:val="138E130F"/>
    <w:rsid w:val="13B03EBA"/>
    <w:rsid w:val="14B46A8F"/>
    <w:rsid w:val="14C64A14"/>
    <w:rsid w:val="14F90946"/>
    <w:rsid w:val="15064E11"/>
    <w:rsid w:val="152C2AC9"/>
    <w:rsid w:val="155838BF"/>
    <w:rsid w:val="159B37AB"/>
    <w:rsid w:val="16A50D85"/>
    <w:rsid w:val="174D31CB"/>
    <w:rsid w:val="17800EAB"/>
    <w:rsid w:val="17D82A95"/>
    <w:rsid w:val="17D96A93"/>
    <w:rsid w:val="17E94CA2"/>
    <w:rsid w:val="18393921"/>
    <w:rsid w:val="183D4FEE"/>
    <w:rsid w:val="19206F08"/>
    <w:rsid w:val="19247A90"/>
    <w:rsid w:val="194B3746"/>
    <w:rsid w:val="194F4FD8"/>
    <w:rsid w:val="1961491D"/>
    <w:rsid w:val="19A370D2"/>
    <w:rsid w:val="19C81D1D"/>
    <w:rsid w:val="1C672639"/>
    <w:rsid w:val="1D3044F1"/>
    <w:rsid w:val="1DD63BE2"/>
    <w:rsid w:val="1E403142"/>
    <w:rsid w:val="1EE437A3"/>
    <w:rsid w:val="1EF30556"/>
    <w:rsid w:val="1F42686C"/>
    <w:rsid w:val="20947775"/>
    <w:rsid w:val="20E00C0C"/>
    <w:rsid w:val="210112AE"/>
    <w:rsid w:val="21463165"/>
    <w:rsid w:val="21BA145D"/>
    <w:rsid w:val="2224224B"/>
    <w:rsid w:val="225D5D12"/>
    <w:rsid w:val="231177A3"/>
    <w:rsid w:val="232C553A"/>
    <w:rsid w:val="239A68E2"/>
    <w:rsid w:val="239A7798"/>
    <w:rsid w:val="23B048C5"/>
    <w:rsid w:val="23D22A8E"/>
    <w:rsid w:val="23FB00E4"/>
    <w:rsid w:val="24003A9F"/>
    <w:rsid w:val="24C8034D"/>
    <w:rsid w:val="252F3F10"/>
    <w:rsid w:val="25496D80"/>
    <w:rsid w:val="26306192"/>
    <w:rsid w:val="26396DF4"/>
    <w:rsid w:val="263E265D"/>
    <w:rsid w:val="26EB3E67"/>
    <w:rsid w:val="270311B0"/>
    <w:rsid w:val="28151F82"/>
    <w:rsid w:val="2919115F"/>
    <w:rsid w:val="296A433B"/>
    <w:rsid w:val="299E0592"/>
    <w:rsid w:val="2A157B78"/>
    <w:rsid w:val="2A653D18"/>
    <w:rsid w:val="2A77466A"/>
    <w:rsid w:val="2AE95CAC"/>
    <w:rsid w:val="2B7803BF"/>
    <w:rsid w:val="2BE64D82"/>
    <w:rsid w:val="2C39121E"/>
    <w:rsid w:val="2C3A38C6"/>
    <w:rsid w:val="2C542B89"/>
    <w:rsid w:val="2CDC2BCF"/>
    <w:rsid w:val="2D574004"/>
    <w:rsid w:val="2DD64605"/>
    <w:rsid w:val="2E813481"/>
    <w:rsid w:val="2E8C3750"/>
    <w:rsid w:val="2EAB4607"/>
    <w:rsid w:val="30A05CC2"/>
    <w:rsid w:val="30A532D8"/>
    <w:rsid w:val="31A437E6"/>
    <w:rsid w:val="32AB72CC"/>
    <w:rsid w:val="32B55A55"/>
    <w:rsid w:val="32EB3B6C"/>
    <w:rsid w:val="33093FF2"/>
    <w:rsid w:val="332C1A8F"/>
    <w:rsid w:val="334B460B"/>
    <w:rsid w:val="339E517E"/>
    <w:rsid w:val="33A53D1B"/>
    <w:rsid w:val="33D20888"/>
    <w:rsid w:val="354B7B51"/>
    <w:rsid w:val="357C0AAC"/>
    <w:rsid w:val="362C0724"/>
    <w:rsid w:val="368F0CB2"/>
    <w:rsid w:val="3801798E"/>
    <w:rsid w:val="388D1222"/>
    <w:rsid w:val="38E726E0"/>
    <w:rsid w:val="38FF44A0"/>
    <w:rsid w:val="3904281B"/>
    <w:rsid w:val="39045DA0"/>
    <w:rsid w:val="39900FC9"/>
    <w:rsid w:val="3A2F57A2"/>
    <w:rsid w:val="3ABB02C8"/>
    <w:rsid w:val="3AC56A51"/>
    <w:rsid w:val="3AD603D3"/>
    <w:rsid w:val="3AD653A4"/>
    <w:rsid w:val="3B554279"/>
    <w:rsid w:val="3B751764"/>
    <w:rsid w:val="3B972E30"/>
    <w:rsid w:val="3BB3387A"/>
    <w:rsid w:val="3BF213D5"/>
    <w:rsid w:val="3C2B322B"/>
    <w:rsid w:val="3C2D0D52"/>
    <w:rsid w:val="3D09356D"/>
    <w:rsid w:val="3D17730C"/>
    <w:rsid w:val="3E173A67"/>
    <w:rsid w:val="3E9C3F6D"/>
    <w:rsid w:val="3F031AC2"/>
    <w:rsid w:val="3FA60462"/>
    <w:rsid w:val="409A272E"/>
    <w:rsid w:val="40A86BF9"/>
    <w:rsid w:val="410776BE"/>
    <w:rsid w:val="41657EA2"/>
    <w:rsid w:val="416F7716"/>
    <w:rsid w:val="41C11383"/>
    <w:rsid w:val="41FE1507"/>
    <w:rsid w:val="42AE24C0"/>
    <w:rsid w:val="430B19CB"/>
    <w:rsid w:val="43566DE0"/>
    <w:rsid w:val="43903F2A"/>
    <w:rsid w:val="43A15493"/>
    <w:rsid w:val="43CC70A2"/>
    <w:rsid w:val="446C43E1"/>
    <w:rsid w:val="44784B34"/>
    <w:rsid w:val="44AA149C"/>
    <w:rsid w:val="44F468B0"/>
    <w:rsid w:val="44F97723"/>
    <w:rsid w:val="45027322"/>
    <w:rsid w:val="45A858ED"/>
    <w:rsid w:val="4609638B"/>
    <w:rsid w:val="4659029C"/>
    <w:rsid w:val="46F72688"/>
    <w:rsid w:val="472467E8"/>
    <w:rsid w:val="475C073D"/>
    <w:rsid w:val="485A61C6"/>
    <w:rsid w:val="486170A8"/>
    <w:rsid w:val="49437E06"/>
    <w:rsid w:val="49851138"/>
    <w:rsid w:val="49AD34D2"/>
    <w:rsid w:val="4AFB026D"/>
    <w:rsid w:val="4B35377F"/>
    <w:rsid w:val="4B50686D"/>
    <w:rsid w:val="4B8B15F1"/>
    <w:rsid w:val="4BBD5522"/>
    <w:rsid w:val="4BD84595"/>
    <w:rsid w:val="4BF74B71"/>
    <w:rsid w:val="4C312198"/>
    <w:rsid w:val="4CA010CC"/>
    <w:rsid w:val="4DEB281B"/>
    <w:rsid w:val="4ECA68D4"/>
    <w:rsid w:val="4EDE412D"/>
    <w:rsid w:val="4FAE6839"/>
    <w:rsid w:val="4FB02562"/>
    <w:rsid w:val="50724B2D"/>
    <w:rsid w:val="50EA0B67"/>
    <w:rsid w:val="51AA02F7"/>
    <w:rsid w:val="51BF0246"/>
    <w:rsid w:val="51CD2963"/>
    <w:rsid w:val="51DF4444"/>
    <w:rsid w:val="52065E75"/>
    <w:rsid w:val="527F75D4"/>
    <w:rsid w:val="52A64F62"/>
    <w:rsid w:val="52D675F5"/>
    <w:rsid w:val="52DB10B0"/>
    <w:rsid w:val="533D58C6"/>
    <w:rsid w:val="54907C78"/>
    <w:rsid w:val="554051FA"/>
    <w:rsid w:val="55630EE8"/>
    <w:rsid w:val="55E62245"/>
    <w:rsid w:val="56462CE4"/>
    <w:rsid w:val="56C957F9"/>
    <w:rsid w:val="571B6E55"/>
    <w:rsid w:val="577D0987"/>
    <w:rsid w:val="58A261CC"/>
    <w:rsid w:val="58BF59E7"/>
    <w:rsid w:val="59E92304"/>
    <w:rsid w:val="59FE7432"/>
    <w:rsid w:val="5A382944"/>
    <w:rsid w:val="5B20355B"/>
    <w:rsid w:val="5B597015"/>
    <w:rsid w:val="5BB22BCA"/>
    <w:rsid w:val="5BB46942"/>
    <w:rsid w:val="5C294C3A"/>
    <w:rsid w:val="5C313AEE"/>
    <w:rsid w:val="5C4952DC"/>
    <w:rsid w:val="5C8C6F77"/>
    <w:rsid w:val="5D0B07E3"/>
    <w:rsid w:val="5D544D3A"/>
    <w:rsid w:val="5DD23E94"/>
    <w:rsid w:val="5E084D23"/>
    <w:rsid w:val="5E0B036F"/>
    <w:rsid w:val="5E8819C0"/>
    <w:rsid w:val="5E99597B"/>
    <w:rsid w:val="5EAFD416"/>
    <w:rsid w:val="5ECE6873"/>
    <w:rsid w:val="5F166FCB"/>
    <w:rsid w:val="600B4656"/>
    <w:rsid w:val="6110461A"/>
    <w:rsid w:val="61A42FB4"/>
    <w:rsid w:val="62EF05ED"/>
    <w:rsid w:val="638D1F52"/>
    <w:rsid w:val="63AD225A"/>
    <w:rsid w:val="641A130C"/>
    <w:rsid w:val="64644411"/>
    <w:rsid w:val="65362175"/>
    <w:rsid w:val="654A79CF"/>
    <w:rsid w:val="654C1999"/>
    <w:rsid w:val="65B31A18"/>
    <w:rsid w:val="660E6C4E"/>
    <w:rsid w:val="66E72D27"/>
    <w:rsid w:val="67B37AAD"/>
    <w:rsid w:val="67C73559"/>
    <w:rsid w:val="67CB3049"/>
    <w:rsid w:val="68030A35"/>
    <w:rsid w:val="6885769C"/>
    <w:rsid w:val="68E51EE8"/>
    <w:rsid w:val="693370F8"/>
    <w:rsid w:val="6A235652"/>
    <w:rsid w:val="6B0B5B1C"/>
    <w:rsid w:val="6BD04209"/>
    <w:rsid w:val="6D0019E7"/>
    <w:rsid w:val="6D69513E"/>
    <w:rsid w:val="6D800432"/>
    <w:rsid w:val="6E804461"/>
    <w:rsid w:val="6ED22F0F"/>
    <w:rsid w:val="6F104305"/>
    <w:rsid w:val="6FC22B19"/>
    <w:rsid w:val="70D32F6E"/>
    <w:rsid w:val="70E231B1"/>
    <w:rsid w:val="71E74F23"/>
    <w:rsid w:val="71E80C9B"/>
    <w:rsid w:val="73593BFF"/>
    <w:rsid w:val="74183721"/>
    <w:rsid w:val="74275AAB"/>
    <w:rsid w:val="7447614D"/>
    <w:rsid w:val="74806F69"/>
    <w:rsid w:val="749D5D6D"/>
    <w:rsid w:val="750E27C7"/>
    <w:rsid w:val="75530B22"/>
    <w:rsid w:val="75614FED"/>
    <w:rsid w:val="760D04BC"/>
    <w:rsid w:val="76593F48"/>
    <w:rsid w:val="76E01F41"/>
    <w:rsid w:val="76ED5D7A"/>
    <w:rsid w:val="76F679B7"/>
    <w:rsid w:val="772A140E"/>
    <w:rsid w:val="77ED700C"/>
    <w:rsid w:val="77FC2DAB"/>
    <w:rsid w:val="77FC724F"/>
    <w:rsid w:val="78106856"/>
    <w:rsid w:val="787E7C64"/>
    <w:rsid w:val="788C6E0F"/>
    <w:rsid w:val="79AD6A52"/>
    <w:rsid w:val="79F8183B"/>
    <w:rsid w:val="7B705F89"/>
    <w:rsid w:val="7B7B048A"/>
    <w:rsid w:val="7BE65DFA"/>
    <w:rsid w:val="7C5533D1"/>
    <w:rsid w:val="7CEF7382"/>
    <w:rsid w:val="7D494CE4"/>
    <w:rsid w:val="7E8167B2"/>
    <w:rsid w:val="7EB46222"/>
    <w:rsid w:val="7EFE75AE"/>
    <w:rsid w:val="7F672412"/>
    <w:rsid w:val="7FD91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Arial Unicode MS" w:hAnsi="Arial Unicode MS" w:eastAsia="Arial Unicode MS" w:cs="Arial Unicode MS"/>
      <w:color w:val="000000"/>
      <w:kern w:val="2"/>
      <w:sz w:val="21"/>
      <w:szCs w:val="21"/>
      <w:u w:color="000000"/>
      <w:lang w:val="en-US" w:eastAsia="zh-CN" w:bidi="ar-SA"/>
    </w:rPr>
  </w:style>
  <w:style w:type="paragraph" w:styleId="2">
    <w:name w:val="heading 2"/>
    <w:basedOn w:val="1"/>
    <w:next w:val="1"/>
    <w:unhideWhenUsed/>
    <w:qFormat/>
    <w:uiPriority w:val="9"/>
    <w:pPr>
      <w:keepNext/>
      <w:keepLines/>
      <w:spacing w:before="160" w:after="80"/>
      <w:outlineLvl w:val="1"/>
    </w:pPr>
    <w:rPr>
      <w:rFonts w:ascii="等线 Light" w:hAnsi="等线 Light" w:eastAsia="等线 Light" w:cs="Times New Roman"/>
      <w:color w:val="2F5496"/>
      <w:sz w:val="40"/>
      <w:szCs w:val="40"/>
    </w:rPr>
  </w:style>
  <w:style w:type="paragraph" w:styleId="3">
    <w:name w:val="heading 3"/>
    <w:basedOn w:val="1"/>
    <w:next w:val="1"/>
    <w:semiHidden/>
    <w:unhideWhenUsed/>
    <w:qFormat/>
    <w:uiPriority w:val="0"/>
    <w:pPr>
      <w:spacing w:beforeAutospacing="1" w:afterAutospacing="1"/>
      <w:jc w:val="left"/>
      <w:outlineLvl w:val="2"/>
    </w:pPr>
    <w:rPr>
      <w:rFonts w:ascii="宋体" w:hAnsi="宋体" w:eastAsia="宋体" w:cs="Times New Roman"/>
      <w:b/>
      <w:bCs/>
      <w:kern w:val="0"/>
      <w:sz w:val="27"/>
      <w:szCs w:val="27"/>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5"/>
    <w:unhideWhenUsed/>
    <w:qFormat/>
    <w:uiPriority w:val="35"/>
    <w:pPr>
      <w:spacing w:line="360" w:lineRule="auto"/>
      <w:ind w:firstLine="200" w:firstLineChars="200"/>
    </w:pPr>
    <w:rPr>
      <w:rFonts w:ascii="Cambria" w:hAnsi="Cambria" w:eastAsia="黑体"/>
      <w:sz w:val="20"/>
    </w:rPr>
  </w:style>
  <w:style w:type="paragraph" w:styleId="5">
    <w:name w:val="Body Text"/>
    <w:basedOn w:val="1"/>
    <w:qFormat/>
    <w:uiPriority w:val="0"/>
    <w:pPr>
      <w:spacing w:line="360" w:lineRule="auto"/>
    </w:pPr>
    <w:rPr>
      <w:rFonts w:ascii="Arial" w:hAnsi="Arial" w:eastAsia="宋体"/>
      <w:kern w:val="0"/>
      <w:sz w:val="24"/>
    </w:rPr>
  </w:style>
  <w:style w:type="paragraph" w:styleId="6">
    <w:name w:val="annotation text"/>
    <w:basedOn w:val="1"/>
    <w:qFormat/>
    <w:uiPriority w:val="0"/>
    <w:pPr>
      <w:jc w:val="left"/>
    </w:pPr>
  </w:style>
  <w:style w:type="paragraph" w:styleId="7">
    <w:name w:val="Balloon Text"/>
    <w:basedOn w:val="1"/>
    <w:link w:val="29"/>
    <w:qFormat/>
    <w:uiPriority w:val="0"/>
    <w:rPr>
      <w:sz w:val="18"/>
      <w:szCs w:val="18"/>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0">
    <w:name w:val="toc 2"/>
    <w:basedOn w:val="1"/>
    <w:next w:val="1"/>
    <w:qFormat/>
    <w:uiPriority w:val="39"/>
    <w:pPr>
      <w:ind w:left="420" w:leftChars="200"/>
    </w:pPr>
    <w:rPr>
      <w:rFonts w:ascii="Calibri" w:hAnsi="Calibri" w:eastAsia="宋体"/>
      <w:szCs w:val="22"/>
    </w:rPr>
  </w:style>
  <w:style w:type="paragraph" w:styleId="11">
    <w:name w:val="Body Text First Indent 2"/>
    <w:qFormat/>
    <w:uiPriority w:val="0"/>
    <w:pPr>
      <w:widowControl w:val="0"/>
      <w:spacing w:after="120"/>
      <w:ind w:firstLine="420"/>
      <w:jc w:val="both"/>
    </w:pPr>
    <w:rPr>
      <w:rFonts w:hint="eastAsia" w:ascii="Arial Unicode MS" w:hAnsi="Arial Unicode MS" w:eastAsia="Arial Unicode MS" w:cs="Arial Unicode MS"/>
      <w:color w:val="000000"/>
      <w:kern w:val="2"/>
      <w:sz w:val="21"/>
      <w:szCs w:val="21"/>
      <w:u w:color="000000"/>
      <w:lang w:val="en-US" w:eastAsia="zh-CN" w:bidi="ar-SA"/>
    </w:rPr>
  </w:style>
  <w:style w:type="character" w:styleId="14">
    <w:name w:val="Hyperlink"/>
    <w:qFormat/>
    <w:uiPriority w:val="0"/>
    <w:rPr>
      <w:u w:val="single"/>
    </w:rPr>
  </w:style>
  <w:style w:type="character" w:styleId="15">
    <w:name w:val="annotation reference"/>
    <w:basedOn w:val="13"/>
    <w:qFormat/>
    <w:uiPriority w:val="0"/>
    <w:rPr>
      <w:sz w:val="21"/>
      <w:szCs w:val="21"/>
    </w:rPr>
  </w:style>
  <w:style w:type="table" w:customStyle="1" w:styleId="16">
    <w:name w:val="Table Normal"/>
    <w:qFormat/>
    <w:uiPriority w:val="0"/>
    <w:tblPr>
      <w:tblCellMar>
        <w:top w:w="0" w:type="dxa"/>
        <w:left w:w="0" w:type="dxa"/>
        <w:bottom w:w="0" w:type="dxa"/>
        <w:right w:w="0" w:type="dxa"/>
      </w:tblCellMar>
    </w:tblPr>
  </w:style>
  <w:style w:type="paragraph" w:customStyle="1" w:styleId="17">
    <w:name w:val="页眉与页脚 A"/>
    <w:qFormat/>
    <w:uiPriority w:val="0"/>
    <w:pPr>
      <w:widowControl w:val="0"/>
      <w:tabs>
        <w:tab w:val="right" w:pos="9020"/>
      </w:tabs>
      <w:jc w:val="both"/>
    </w:pPr>
    <w:rPr>
      <w:rFonts w:ascii="PingFang SC Regular" w:hAnsi="PingFang SC Regular" w:eastAsia="Arial Unicode MS" w:cs="Arial Unicode MS"/>
      <w:color w:val="000000"/>
      <w:sz w:val="24"/>
      <w:szCs w:val="24"/>
      <w:u w:color="000000"/>
      <w:lang w:val="en-US" w:eastAsia="zh-CN" w:bidi="ar-SA"/>
    </w:rPr>
  </w:style>
  <w:style w:type="paragraph" w:customStyle="1" w:styleId="18">
    <w:name w:val="页眉与页脚"/>
    <w:qFormat/>
    <w:uiPriority w:val="0"/>
    <w:pPr>
      <w:tabs>
        <w:tab w:val="right" w:pos="9020"/>
      </w:tabs>
    </w:pPr>
    <w:rPr>
      <w:rFonts w:ascii="PingFang SC Regular" w:hAnsi="PingFang SC Regular" w:eastAsia="Arial Unicode MS" w:cs="Arial Unicode MS"/>
      <w:color w:val="000000"/>
      <w:sz w:val="24"/>
      <w:szCs w:val="24"/>
      <w:lang w:val="en-US" w:eastAsia="zh-CN" w:bidi="ar-SA"/>
    </w:rPr>
  </w:style>
  <w:style w:type="paragraph" w:styleId="19">
    <w:name w:val="List Paragraph"/>
    <w:basedOn w:val="1"/>
    <w:qFormat/>
    <w:uiPriority w:val="0"/>
    <w:pPr>
      <w:ind w:firstLine="420"/>
    </w:pPr>
    <w:rPr>
      <w:rFonts w:eastAsia="Calibri"/>
      <w:kern w:val="0"/>
      <w:sz w:val="20"/>
      <w:szCs w:val="20"/>
    </w:rPr>
  </w:style>
  <w:style w:type="paragraph" w:customStyle="1" w:styleId="20">
    <w:name w:val="_Style 70"/>
    <w:next w:val="19"/>
    <w:qFormat/>
    <w:uiPriority w:val="0"/>
    <w:pPr>
      <w:widowControl w:val="0"/>
      <w:ind w:firstLine="420"/>
      <w:jc w:val="both"/>
    </w:pPr>
    <w:rPr>
      <w:rFonts w:hint="eastAsia" w:ascii="Arial Unicode MS" w:hAnsi="Arial Unicode MS" w:eastAsia="Calibri" w:cs="Arial Unicode MS"/>
      <w:color w:val="000000"/>
      <w:u w:color="000000"/>
      <w:lang w:val="en-US" w:eastAsia="zh-CN" w:bidi="ar-SA"/>
    </w:rPr>
  </w:style>
  <w:style w:type="paragraph" w:customStyle="1" w:styleId="21">
    <w:name w:val="Default"/>
    <w:qFormat/>
    <w:uiPriority w:val="0"/>
    <w:pPr>
      <w:widowControl w:val="0"/>
      <w:jc w:val="both"/>
    </w:pPr>
    <w:rPr>
      <w:rFonts w:hint="eastAsia" w:ascii="Arial Unicode MS" w:hAnsi="Arial Unicode MS" w:eastAsia="Calibri" w:cs="Arial Unicode MS"/>
      <w:color w:val="000000"/>
      <w:sz w:val="24"/>
      <w:szCs w:val="24"/>
      <w:u w:color="000000"/>
      <w:lang w:val="en-US" w:eastAsia="zh-CN" w:bidi="ar-SA"/>
    </w:rPr>
  </w:style>
  <w:style w:type="character" w:customStyle="1" w:styleId="22">
    <w:name w:val="无"/>
    <w:autoRedefine/>
    <w:qFormat/>
    <w:uiPriority w:val="0"/>
  </w:style>
  <w:style w:type="paragraph" w:customStyle="1" w:styleId="23">
    <w:name w:val="正文 A"/>
    <w:autoRedefine/>
    <w:qFormat/>
    <w:uiPriority w:val="0"/>
    <w:pPr>
      <w:widowControl w:val="0"/>
      <w:jc w:val="both"/>
    </w:pPr>
    <w:rPr>
      <w:rFonts w:eastAsia="Arial Unicode MS" w:cs="Arial Unicode MS" w:asciiTheme="minorHAnsi" w:hAnsiTheme="minorHAnsi"/>
      <w:color w:val="000000"/>
      <w:kern w:val="2"/>
      <w:sz w:val="21"/>
      <w:szCs w:val="21"/>
      <w:u w:color="000000"/>
      <w:lang w:val="en-US" w:eastAsia="zh-CN" w:bidi="ar-SA"/>
    </w:rPr>
  </w:style>
  <w:style w:type="character" w:customStyle="1" w:styleId="24">
    <w:name w:val="Hyperlink.0"/>
    <w:autoRedefine/>
    <w:qFormat/>
    <w:uiPriority w:val="0"/>
    <w:rPr>
      <w:rFonts w:hint="default" w:ascii="宋体" w:hAnsi="宋体"/>
      <w:color w:val="000000"/>
      <w:kern w:val="0"/>
      <w:u w:color="000000"/>
      <w:lang w:val="en-US"/>
    </w:rPr>
  </w:style>
  <w:style w:type="character" w:customStyle="1" w:styleId="25">
    <w:name w:val="无 A"/>
    <w:autoRedefine/>
    <w:qFormat/>
    <w:uiPriority w:val="0"/>
  </w:style>
  <w:style w:type="paragraph" w:customStyle="1" w:styleId="26">
    <w:name w:val="段"/>
    <w:qFormat/>
    <w:uiPriority w:val="99"/>
    <w:pPr>
      <w:tabs>
        <w:tab w:val="center" w:pos="4201"/>
        <w:tab w:val="right" w:leader="dot" w:pos="9298"/>
      </w:tabs>
      <w:autoSpaceDE w:val="0"/>
      <w:autoSpaceDN w:val="0"/>
      <w:ind w:firstLine="420" w:firstLineChars="200"/>
      <w:jc w:val="both"/>
    </w:pPr>
    <w:rPr>
      <w:rFonts w:ascii="宋体" w:eastAsia="宋体" w:cs="Times New Roman" w:hAnsiTheme="minorHAnsi"/>
      <w:kern w:val="2"/>
      <w:sz w:val="21"/>
      <w:szCs w:val="24"/>
      <w:lang w:val="en-US" w:eastAsia="zh-CN" w:bidi="ar-SA"/>
    </w:rPr>
  </w:style>
  <w:style w:type="character" w:customStyle="1" w:styleId="27">
    <w:name w:val="页眉 字符"/>
    <w:basedOn w:val="13"/>
    <w:link w:val="9"/>
    <w:qFormat/>
    <w:uiPriority w:val="0"/>
    <w:rPr>
      <w:rFonts w:ascii="Arial Unicode MS" w:hAnsi="Arial Unicode MS" w:cs="Arial Unicode MS"/>
      <w:color w:val="000000"/>
      <w:kern w:val="2"/>
      <w:sz w:val="18"/>
      <w:szCs w:val="18"/>
      <w:u w:color="000000"/>
    </w:rPr>
  </w:style>
  <w:style w:type="paragraph" w:customStyle="1" w:styleId="28">
    <w:name w:val="_Style 3"/>
    <w:basedOn w:val="1"/>
    <w:qFormat/>
    <w:uiPriority w:val="34"/>
    <w:pPr>
      <w:ind w:firstLine="420" w:firstLineChars="200"/>
    </w:pPr>
    <w:rPr>
      <w:szCs w:val="24"/>
    </w:rPr>
  </w:style>
  <w:style w:type="character" w:customStyle="1" w:styleId="29">
    <w:name w:val="批注框文本 字符"/>
    <w:basedOn w:val="13"/>
    <w:link w:val="7"/>
    <w:qFormat/>
    <w:uiPriority w:val="0"/>
    <w:rPr>
      <w:rFonts w:ascii="Arial Unicode MS" w:hAnsi="Arial Unicode MS" w:eastAsia="Arial Unicode MS" w:cs="Arial Unicode MS"/>
      <w:color w:val="000000"/>
      <w:kern w:val="2"/>
      <w:sz w:val="18"/>
      <w:szCs w:val="18"/>
      <w:u w:color="00000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PingFang SC Semibold"/>
        <a:ea typeface="黑体"/>
        <a:cs typeface="PingFang SC Semibold"/>
      </a:majorFont>
      <a:minorFont>
        <a:latin typeface="PingFang SC Regular"/>
        <a:ea typeface="宋体"/>
        <a:cs typeface="PingFang SC Regula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Pr>
      <a:bodyPr rot="0" spcFirstLastPara="1" vertOverflow="overflow" horzOverflow="overflow" vert="horz" wrap="square" lIns="45718" tIns="45718" rIns="45718" bIns="45718" numCol="1" spcCol="38100" rtlCol="0" anchor="ctr">
        <a:spAutoFit/>
      </a:bodyPr>
      <a:lstStyle/>
      <a:style>
        <a:lnRef idx="0">
          <a:srgbClr val="FFFFFF"/>
        </a:lnRef>
        <a:fillRef idx="0">
          <a:srgbClr val="FFFFFF"/>
        </a:fillRef>
        <a:effectRef idx="0">
          <a:srgbClr val="FFFFFF"/>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Pr>
      <a:bodyPr rot="0" spcFirstLastPara="1" vertOverflow="overflow" horzOverflow="overflow" vert="horz" wrap="square" lIns="91439" tIns="45719" rIns="91439" bIns="45719" numCol="1" spcCol="38100" rtlCol="0" anchor="t">
        <a:noAutofit/>
      </a:bodyPr>
      <a:lstStyle/>
      <a:style>
        <a:lnRef idx="0">
          <a:srgbClr val="FFFFFF"/>
        </a:lnRef>
        <a:fillRef idx="0">
          <a:srgbClr val="FFFFFF"/>
        </a:fillRef>
        <a:effectRef idx="0">
          <a:srgbClr val="FFFFFF"/>
        </a:effectRef>
        <a:fontRef idx="none"/>
      </a:style>
    </a:lnDef>
    <a:txDef>
      <a:spPr>
        <a:noFill/>
        <a:ln w="12700" cap="flat">
          <a:noFill/>
          <a:miter lim="400000"/>
        </a:ln>
      </a:spPr>
      <a:bodyPr rot="0" spcFirstLastPara="1" vertOverflow="overflow" horzOverflow="overflow" vert="horz" wrap="square" lIns="45718" tIns="45718" rIns="45718" bIns="45718" numCol="1" spcCol="38100" rtlCol="0" anchor="t">
        <a:spAutoFit/>
      </a:bodyPr>
      <a:lstStyle/>
      <a:style>
        <a:lnRef idx="0">
          <a:srgbClr val="FFFFFF"/>
        </a:lnRef>
        <a:fillRef idx="0">
          <a:srgbClr val="FFFFFF"/>
        </a:fillRef>
        <a:effectRef idx="0">
          <a:srgbClr val="FFFFFF"/>
        </a:effectRef>
        <a:fontRef idx="none"/>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34</Pages>
  <Words>25116</Words>
  <Characters>27359</Characters>
  <Lines>192</Lines>
  <Paragraphs>54</Paragraphs>
  <TotalTime>123</TotalTime>
  <ScaleCrop>false</ScaleCrop>
  <LinksUpToDate>false</LinksUpToDate>
  <CharactersWithSpaces>27580</CharactersWithSpaces>
  <Application>WPS Office_12.8.2.18605_F1E327BC-269C-435d-A152-05C5408002CA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2026-05-15T12:27:00Z</dcterms:created>
  <dcterms:modified xsi:type="dcterms:W3CDTF">2026-06-01T13:24:15Z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eyJoZGlkIjoiNzJmNGIyZDVhOWRmZjdlOGM2Yzk5NTVjY2NhZmYzZWYiLCJ1c2VySWQiOiIxNjc3MDc5OTg3In0=</vt:lpwstr>
  </property>
  <property fmtid="{D5CDD505-2E9C-101B-9397-08002B2CF9AE}" pid="3" name="KSOProductBuildVer">
    <vt:lpwstr>2052-12.8.2.18605</vt:lpwstr>
  </property>
  <property fmtid="{D5CDD505-2E9C-101B-9397-08002B2CF9AE}" pid="4" name="ICV">
    <vt:lpwstr>D7E725855D7D4B44A152150C8F98BB81_13</vt:lpwstr>
  </property>
</Properties>
</file>