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B9C3E">
      <w:pPr>
        <w:ind w:firstLine="0" w:firstLineChars="0"/>
        <w:jc w:val="center"/>
        <w:rPr>
          <w:rFonts w:ascii="黑体" w:hAnsi="黑体" w:eastAsia="黑体"/>
          <w:sz w:val="48"/>
          <w:szCs w:val="48"/>
        </w:rPr>
      </w:pPr>
    </w:p>
    <w:p w14:paraId="50E906F8">
      <w:pPr>
        <w:ind w:firstLine="0" w:firstLineChars="0"/>
        <w:jc w:val="center"/>
        <w:rPr>
          <w:rFonts w:ascii="黑体" w:hAnsi="黑体" w:eastAsia="黑体"/>
          <w:sz w:val="48"/>
          <w:szCs w:val="48"/>
        </w:rPr>
      </w:pPr>
    </w:p>
    <w:p w14:paraId="4ECA0223">
      <w:pPr>
        <w:ind w:firstLine="0" w:firstLineChars="0"/>
        <w:jc w:val="center"/>
        <w:rPr>
          <w:rFonts w:hint="eastAsia" w:ascii="黑体" w:hAnsi="黑体" w:eastAsia="黑体"/>
          <w:sz w:val="52"/>
          <w:szCs w:val="52"/>
        </w:rPr>
      </w:pPr>
    </w:p>
    <w:p w14:paraId="44C0C680">
      <w:pPr>
        <w:ind w:firstLine="0" w:firstLineChars="0"/>
        <w:jc w:val="center"/>
        <w:rPr>
          <w:rFonts w:hint="eastAsia" w:ascii="黑体" w:hAnsi="黑体" w:eastAsia="黑体"/>
          <w:sz w:val="52"/>
          <w:szCs w:val="52"/>
        </w:rPr>
      </w:pPr>
      <w:r>
        <w:rPr>
          <w:rFonts w:hint="eastAsia" w:ascii="黑体" w:hAnsi="黑体" w:eastAsia="黑体"/>
          <w:sz w:val="52"/>
          <w:szCs w:val="52"/>
        </w:rPr>
        <w:t>上海市民族宗教事务服务管理子系统</w:t>
      </w:r>
      <w:r>
        <w:rPr>
          <w:rFonts w:hint="eastAsia" w:ascii="黑体" w:hAnsi="黑体" w:eastAsia="黑体"/>
          <w:sz w:val="52"/>
          <w:szCs w:val="52"/>
          <w:lang w:val="en-US" w:eastAsia="zh-CN"/>
        </w:rPr>
        <w:t>建设项目</w:t>
      </w:r>
      <w:r>
        <w:rPr>
          <w:rFonts w:hint="eastAsia" w:ascii="黑体" w:hAnsi="黑体" w:eastAsia="黑体"/>
          <w:sz w:val="52"/>
          <w:szCs w:val="52"/>
        </w:rPr>
        <w:t>(2026年升级改造)</w:t>
      </w:r>
    </w:p>
    <w:p w14:paraId="334FE58E">
      <w:pPr>
        <w:ind w:firstLine="0" w:firstLineChars="0"/>
        <w:jc w:val="center"/>
        <w:rPr>
          <w:rFonts w:ascii="黑体" w:hAnsi="黑体" w:eastAsia="黑体"/>
          <w:sz w:val="52"/>
          <w:szCs w:val="52"/>
        </w:rPr>
      </w:pPr>
      <w:r>
        <w:rPr>
          <w:rFonts w:hint="eastAsia" w:ascii="黑体" w:hAnsi="黑体" w:eastAsia="黑体"/>
          <w:sz w:val="52"/>
          <w:szCs w:val="52"/>
        </w:rPr>
        <w:t>采购需求</w:t>
      </w:r>
    </w:p>
    <w:p w14:paraId="11CF2483">
      <w:pPr>
        <w:ind w:firstLine="0" w:firstLineChars="0"/>
        <w:jc w:val="center"/>
        <w:rPr>
          <w:rFonts w:ascii="黑体" w:hAnsi="黑体" w:eastAsia="黑体"/>
          <w:sz w:val="72"/>
          <w:szCs w:val="72"/>
        </w:rPr>
      </w:pPr>
    </w:p>
    <w:p w14:paraId="0D10DA47">
      <w:pPr>
        <w:ind w:firstLine="0" w:firstLineChars="0"/>
        <w:jc w:val="center"/>
        <w:rPr>
          <w:rFonts w:ascii="黑体" w:hAnsi="黑体" w:eastAsia="黑体"/>
          <w:sz w:val="48"/>
          <w:szCs w:val="48"/>
        </w:rPr>
      </w:pPr>
    </w:p>
    <w:p w14:paraId="68D15A9A">
      <w:pPr>
        <w:ind w:firstLine="0" w:firstLineChars="0"/>
        <w:jc w:val="center"/>
        <w:rPr>
          <w:rFonts w:ascii="黑体" w:hAnsi="黑体" w:eastAsia="黑体"/>
          <w:sz w:val="52"/>
          <w:szCs w:val="52"/>
        </w:rPr>
      </w:pPr>
    </w:p>
    <w:p w14:paraId="42619FC2">
      <w:pPr>
        <w:ind w:firstLine="1040"/>
        <w:rPr>
          <w:rFonts w:ascii="黑体" w:hAnsi="黑体" w:eastAsia="黑体"/>
          <w:sz w:val="52"/>
          <w:szCs w:val="52"/>
        </w:rPr>
      </w:pPr>
    </w:p>
    <w:p w14:paraId="1C05A78B"/>
    <w:p w14:paraId="6D30F505"/>
    <w:p w14:paraId="51593BAD"/>
    <w:p w14:paraId="12BDFA1B"/>
    <w:p w14:paraId="0B469C6F"/>
    <w:p w14:paraId="153057D2">
      <w:pPr>
        <w:ind w:firstLine="1040"/>
        <w:rPr>
          <w:rFonts w:ascii="黑体" w:hAnsi="黑体" w:eastAsia="黑体"/>
          <w:sz w:val="52"/>
          <w:szCs w:val="52"/>
        </w:rPr>
      </w:pPr>
    </w:p>
    <w:p w14:paraId="43BECD0C">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3AFC5A56">
      <w:pPr>
        <w:pStyle w:val="2"/>
      </w:pPr>
      <w:bookmarkStart w:id="0" w:name="_Toc63785461"/>
      <w:r>
        <w:rPr>
          <w:rFonts w:hint="eastAsia"/>
        </w:rPr>
        <w:t>项目概况</w:t>
      </w:r>
      <w:bookmarkEnd w:id="0"/>
    </w:p>
    <w:p w14:paraId="46D79E8D">
      <w:r>
        <w:rPr>
          <w:rFonts w:hint="eastAsia"/>
        </w:rPr>
        <w:t>上海市拥有常住人口超2400万、城市面积6341平方公里、45</w:t>
      </w:r>
      <w:r>
        <w:rPr>
          <w:rFonts w:hint="eastAsia"/>
          <w:lang w:val="en-US" w:eastAsia="zh-CN"/>
        </w:rPr>
        <w:t>5</w:t>
      </w:r>
      <w:r>
        <w:rPr>
          <w:rFonts w:hint="eastAsia"/>
        </w:rPr>
        <w:t>个宗教活动场所、5大宗教派别、10个市级民族宗教团体、4所宗教院校等，面对全球罕有的超大城市管理基数，民族和宗教管理事务面临着风险挑战和创新机遇。城市数字化转型的必然发展趋势和新基建行动的全面推进，既为城市治理现代化提供了重要技术支撑和新动力，又对城市民宗事务管理的机制创新、流程再造提出了新要求。上海市民族和宗教事务局迫切需要走出一条符合超大城市特点和规律的民族宗教管理治理的新路</w:t>
      </w:r>
      <w:r>
        <w:t>。</w:t>
      </w:r>
    </w:p>
    <w:p w14:paraId="306A3DEE">
      <w:pPr>
        <w:rPr>
          <w:color w:val="0000FF"/>
        </w:rPr>
      </w:pPr>
      <w:r>
        <w:rPr>
          <w:rFonts w:hint="eastAsia"/>
        </w:rPr>
        <w:t>建设期限：自合同签订之日起</w:t>
      </w:r>
      <w:r>
        <w:rPr>
          <w:rFonts w:hint="eastAsia"/>
          <w:lang w:val="en-US" w:eastAsia="zh-CN"/>
        </w:rPr>
        <w:t>8个月</w:t>
      </w:r>
    </w:p>
    <w:p w14:paraId="7D67F523">
      <w:r>
        <w:rPr>
          <w:rFonts w:hint="eastAsia"/>
        </w:rPr>
        <w:t>建设地点：上海市</w:t>
      </w:r>
    </w:p>
    <w:p w14:paraId="79E4AE0C">
      <w:r>
        <w:rPr>
          <w:rFonts w:hint="eastAsia"/>
        </w:rPr>
        <w:t>预算金额：2</w:t>
      </w:r>
      <w:r>
        <w:rPr>
          <w:rFonts w:hint="eastAsia"/>
          <w:lang w:val="en-US" w:eastAsia="zh-CN"/>
        </w:rPr>
        <w:t>000000</w:t>
      </w:r>
      <w:r>
        <w:t>元</w:t>
      </w:r>
    </w:p>
    <w:p w14:paraId="2435174B">
      <w:r>
        <w:rPr>
          <w:rFonts w:hint="eastAsia"/>
        </w:rPr>
        <w:t>采购金额（最高限价）：2</w:t>
      </w:r>
      <w:r>
        <w:rPr>
          <w:rFonts w:hint="eastAsia"/>
          <w:lang w:val="en-US" w:eastAsia="zh-CN"/>
        </w:rPr>
        <w:t>000000</w:t>
      </w:r>
      <w:r>
        <w:t>元</w:t>
      </w:r>
    </w:p>
    <w:p w14:paraId="40B39CD5">
      <w:r>
        <w:rPr>
          <w:rFonts w:hint="eastAsia"/>
        </w:rPr>
        <w:t>组织形式：集中采购</w:t>
      </w:r>
    </w:p>
    <w:p w14:paraId="04824A77">
      <w:r>
        <w:rPr>
          <w:rFonts w:hint="eastAsia"/>
        </w:rPr>
        <w:t>采购方式：竞争性磋商</w:t>
      </w:r>
    </w:p>
    <w:p w14:paraId="67CFDA4E">
      <w:r>
        <w:rPr>
          <w:rFonts w:hint="eastAsia"/>
        </w:rPr>
        <w:t>是否接受联合体</w:t>
      </w:r>
      <w:r>
        <w:rPr>
          <w:rFonts w:hint="eastAsia"/>
          <w:lang w:eastAsia="zh-CN"/>
        </w:rPr>
        <w:t>响应</w:t>
      </w:r>
      <w:r>
        <w:rPr>
          <w:rFonts w:hint="eastAsia"/>
        </w:rPr>
        <w:t>：否</w:t>
      </w:r>
    </w:p>
    <w:p w14:paraId="082EF0F7">
      <w:r>
        <w:rPr>
          <w:rFonts w:hint="eastAsia"/>
        </w:rPr>
        <w:t>是否按</w:t>
      </w:r>
      <w:r>
        <w:rPr>
          <w:rFonts w:hint="eastAsia"/>
          <w:lang w:eastAsia="zh-CN"/>
        </w:rPr>
        <w:t>XC</w:t>
      </w:r>
      <w:r>
        <w:rPr>
          <w:rFonts w:hint="eastAsia"/>
        </w:rPr>
        <w:t>要求建设：是</w:t>
      </w:r>
    </w:p>
    <w:p w14:paraId="3DCB4144">
      <w:r>
        <w:rPr>
          <w:rFonts w:hint="eastAsia"/>
        </w:rPr>
        <w:t>运维后所属大系统：市民族宗教事务服务管理大系统</w:t>
      </w:r>
    </w:p>
    <w:p w14:paraId="04CADCDD">
      <w:pPr>
        <w:pStyle w:val="2"/>
      </w:pPr>
      <w:bookmarkStart w:id="1" w:name="_Toc47532255"/>
      <w:bookmarkEnd w:id="1"/>
      <w:bookmarkStart w:id="2" w:name="_Toc47537134"/>
      <w:bookmarkEnd w:id="2"/>
      <w:bookmarkStart w:id="3" w:name="_Toc47533256"/>
      <w:bookmarkEnd w:id="3"/>
      <w:bookmarkStart w:id="4" w:name="_Toc47539070"/>
      <w:bookmarkEnd w:id="4"/>
      <w:bookmarkStart w:id="5" w:name="_Toc47531634"/>
      <w:bookmarkEnd w:id="5"/>
      <w:bookmarkStart w:id="6" w:name="_Toc47532891"/>
      <w:bookmarkEnd w:id="6"/>
      <w:bookmarkStart w:id="7" w:name="_Toc47536272"/>
      <w:bookmarkEnd w:id="7"/>
      <w:bookmarkStart w:id="8" w:name="_Toc47536644"/>
      <w:bookmarkEnd w:id="8"/>
      <w:bookmarkStart w:id="9" w:name="_Toc48223882"/>
      <w:bookmarkStart w:id="10" w:name="_Toc63785463"/>
      <w:r>
        <w:rPr>
          <w:rFonts w:hint="eastAsia"/>
        </w:rPr>
        <w:t>建设目标</w:t>
      </w:r>
      <w:bookmarkEnd w:id="9"/>
      <w:bookmarkEnd w:id="10"/>
    </w:p>
    <w:p w14:paraId="7A1B7D08">
      <w:pPr>
        <w:rPr>
          <w:rFonts w:hint="eastAsia"/>
        </w:rPr>
      </w:pPr>
      <w:r>
        <w:rPr>
          <w:rFonts w:hint="eastAsia"/>
        </w:rPr>
        <w:t>围绕市领导“以信息化驱动民族宗教事务高质量发展”指示精神，本项目聚焦“夯基础、强监管、促融合、创智能”四大核心任务，通过构建“1+3+N”体系（1个标准化数据底座，业务治理、安全监管、智慧服务3大能力，N项AI赋能场景），实现民族宗教事务管理全流程数字化升级，助力上海打造宗教中国化实践与民族事务治理现代化标杆。项目通过“基础能力升级-监管效能跃升-服务模式创新-智能生态构建”四阶递进，实现三个转变：从分散粗放管理向集约精准治理转变，从事后被动响应向事前智能预警转变，从单一行政监管向多元协同共治转变，为超大城市民族宗教事务现代化治理提供上海样板。</w:t>
      </w:r>
    </w:p>
    <w:p w14:paraId="4A6872D2">
      <w:pPr>
        <w:rPr>
          <w:rFonts w:hint="eastAsia"/>
        </w:rPr>
      </w:pPr>
      <w:r>
        <w:rPr>
          <w:rFonts w:hint="eastAsia"/>
        </w:rPr>
        <w:t>目标一:深化体系化能力建设​​</w:t>
      </w:r>
    </w:p>
    <w:p w14:paraId="0AFB1954">
      <w:pPr>
        <w:rPr>
          <w:rFonts w:hint="eastAsia"/>
        </w:rPr>
      </w:pPr>
      <w:r>
        <w:rPr>
          <w:rFonts w:hint="eastAsia"/>
        </w:rPr>
        <w:t>升级民族宗教事务服务管理子系统，建成覆盖宗教团体、场所、人员的全生命周期管理平台，强化合规性审批与风险预警能力，确保宗教活动场所消防、历保等安全管理线上全流程闭环。</w:t>
      </w:r>
    </w:p>
    <w:p w14:paraId="617C9923">
      <w:pPr>
        <w:rPr>
          <w:rFonts w:hint="eastAsia"/>
        </w:rPr>
      </w:pPr>
      <w:r>
        <w:rPr>
          <w:rFonts w:hint="eastAsia"/>
        </w:rPr>
        <w:t>深化数据治理，打通跨部门数据壁垒，依托市大数据平台构建民族宗教主题数据库，实现数据穿透式分析、动态更新，支撑决策科学化。</w:t>
      </w:r>
    </w:p>
    <w:p w14:paraId="29CB440F">
      <w:pPr>
        <w:rPr>
          <w:rFonts w:hint="eastAsia"/>
        </w:rPr>
      </w:pPr>
      <w:r>
        <w:rPr>
          <w:rFonts w:hint="eastAsia"/>
        </w:rPr>
        <w:t>目标二:推进智能化创新应用​​</w:t>
      </w:r>
    </w:p>
    <w:p w14:paraId="685EF725">
      <w:pPr>
        <w:rPr>
          <w:rFonts w:hint="eastAsia"/>
        </w:rPr>
      </w:pPr>
      <w:r>
        <w:rPr>
          <w:rFonts w:hint="eastAsia"/>
        </w:rPr>
        <w:t>构建AI知识库智能体，集成多模态信息检索、虚拟宣教场景等模块，打造民族宗教政策精准推送与</w:t>
      </w:r>
      <w:r>
        <w:rPr>
          <w:rFonts w:hint="eastAsia"/>
          <w:lang w:eastAsia="zh-CN"/>
        </w:rPr>
        <w:t>YQ</w:t>
      </w:r>
      <w:r>
        <w:rPr>
          <w:rFonts w:hint="eastAsia"/>
        </w:rPr>
        <w:t>情感分析能力，建立“感知-分析-处置-反馈”智慧管理闭环。</w:t>
      </w:r>
    </w:p>
    <w:p w14:paraId="01290476">
      <w:pPr>
        <w:rPr>
          <w:rFonts w:hint="eastAsia"/>
        </w:rPr>
      </w:pPr>
      <w:r>
        <w:rPr>
          <w:rFonts w:hint="eastAsia"/>
        </w:rPr>
        <w:t>移动端服务延伸，随申办市民云侧强化公共服务（如民族政策查询、活动预约），政务云侧深化协同监管（如场所年检、涉外活动备案），实现“掌上办”“指尖管”。</w:t>
      </w:r>
    </w:p>
    <w:p w14:paraId="283A1EFD">
      <w:pPr>
        <w:rPr>
          <w:rFonts w:hint="eastAsia"/>
        </w:rPr>
      </w:pPr>
      <w:r>
        <w:rPr>
          <w:rFonts w:hint="eastAsia"/>
        </w:rPr>
        <w:t>目标三:促进长效标准化与数字化转型发展​​</w:t>
      </w:r>
    </w:p>
    <w:p w14:paraId="046EC9FC">
      <w:r>
        <w:rPr>
          <w:rFonts w:hint="eastAsia"/>
        </w:rPr>
        <w:t>制定民族宗教数据规范与业务标准以及AI模型持续自学习机制，确保系统适配政策法规迭代与业务场景演进，推动面向数字化转型标准化长效发展，形成可复制推广的数字化治理范式。</w:t>
      </w:r>
    </w:p>
    <w:p w14:paraId="54EE3015">
      <w:pPr>
        <w:pStyle w:val="3"/>
      </w:pPr>
      <w:r>
        <w:rPr>
          <w:rFonts w:hint="eastAsia"/>
        </w:rPr>
        <w:t>应用指标</w:t>
      </w:r>
    </w:p>
    <w:p w14:paraId="049D0303">
      <w:pPr>
        <w:rPr>
          <w:rFonts w:hint="eastAsia"/>
        </w:rPr>
      </w:pPr>
      <w:r>
        <w:rPr>
          <w:rFonts w:hint="eastAsia"/>
        </w:rPr>
        <w:t>项目建设内容主要围绕两大任务：</w:t>
      </w:r>
    </w:p>
    <w:p w14:paraId="5AFD642C">
      <w:pPr>
        <w:rPr>
          <w:rFonts w:hint="eastAsia"/>
        </w:rPr>
      </w:pPr>
      <w:r>
        <w:rPr>
          <w:rFonts w:hint="eastAsia"/>
        </w:rPr>
        <w:t>一是定制开发围绕业务事务工作的功能升级改造，主要功能板块有宗教教职人员备案全过程管理、随申办移动端改造、人才库管理、宗教活动场所消防安全达标管理、深度查询、审批中心、数据和报表分析、财务监管、宗教活动场所管理功能升级、宗教活动（非中文）语种监管和审查。</w:t>
      </w:r>
    </w:p>
    <w:p w14:paraId="59E0E898">
      <w:pPr>
        <w:rPr>
          <w:rFonts w:hint="eastAsia"/>
        </w:rPr>
      </w:pPr>
      <w:r>
        <w:rPr>
          <w:rFonts w:hint="eastAsia"/>
        </w:rPr>
        <w:t>二是人工智能模型定制开发，包括AI知识库智能体新建、虚拟式宣教场景建设、民族宗教政策和指引专项研修、持续自学习能力和代码逻辑服务。</w:t>
      </w:r>
    </w:p>
    <w:p w14:paraId="24F51FDE">
      <w:r>
        <w:rPr>
          <w:rFonts w:hint="eastAsia"/>
        </w:rPr>
        <w:t>软件形式以基于政务外网的网页端系统为主，移动端的功能部署在（基于互联网的）随申办市民云和随申办政务云系统中</w:t>
      </w:r>
      <w:r>
        <w:t>。</w:t>
      </w:r>
    </w:p>
    <w:p w14:paraId="10FE030A">
      <w:pPr>
        <w:pStyle w:val="3"/>
      </w:pPr>
      <w:r>
        <w:rPr>
          <w:rFonts w:hint="eastAsia"/>
        </w:rPr>
        <w:t>技术指标</w:t>
      </w:r>
    </w:p>
    <w:p w14:paraId="2C9131E2">
      <w:r>
        <w:rPr>
          <w:rFonts w:hint="eastAsia"/>
        </w:rPr>
        <w:t>基础服务组件性能：基础服务组件满足支撑应用系统实现7×24小时的连续运行。</w:t>
      </w:r>
      <w:r>
        <w:rPr>
          <w:rFonts w:hint="eastAsia" w:ascii="仿宋" w:hAnsi="仿宋" w:eastAsia="仿宋" w:cs="仿宋"/>
          <w:kern w:val="0"/>
          <w:sz w:val="24"/>
          <w:szCs w:val="24"/>
          <w:lang w:bidi="ar"/>
        </w:rPr>
        <w:t>年度系统可用率≥99.9%</w:t>
      </w:r>
      <w:r>
        <w:rPr>
          <w:rFonts w:hint="eastAsia"/>
        </w:rPr>
        <w:t>。</w:t>
      </w:r>
    </w:p>
    <w:p w14:paraId="416A8530">
      <w:r>
        <w:rPr>
          <w:rFonts w:hint="eastAsia"/>
        </w:rPr>
        <w:t>可靠性指标：系统需具备7*24小时连续服务的能力。在连续正常负荷运行过程中，系统不会出现响应性能和响应能力下降、资源占用显著增加等现象。</w:t>
      </w:r>
    </w:p>
    <w:p w14:paraId="1DA596EF">
      <w:r>
        <w:rPr>
          <w:rFonts w:hint="eastAsia"/>
        </w:rPr>
        <w:t>在线用户数和并发数：支持同时在线用户数500个以上，并发用户数50个以上。</w:t>
      </w:r>
    </w:p>
    <w:p w14:paraId="63DE21D3">
      <w:r>
        <w:rPr>
          <w:rFonts w:hint="eastAsia"/>
        </w:rPr>
        <w:t>其他性能指标：系统登陆时间≤</w:t>
      </w:r>
      <w:r>
        <w:rPr>
          <w:rFonts w:hint="eastAsia"/>
          <w:lang w:val="en-US" w:eastAsia="zh-CN"/>
        </w:rPr>
        <w:t>5</w:t>
      </w:r>
      <w:r>
        <w:rPr>
          <w:rFonts w:hint="eastAsia"/>
        </w:rPr>
        <w:t>秒；一般查询和写入操作响应时间≤5秒；搜索类操作响应时间≤10秒；报表统计类操作响应时间≤15秒。预计每年新增存储量约为</w:t>
      </w:r>
      <w:r>
        <w:rPr>
          <w:rFonts w:hint="eastAsia"/>
          <w:lang w:val="en-US" w:eastAsia="zh-CN"/>
        </w:rPr>
        <w:t>20T</w:t>
      </w:r>
      <w:r>
        <w:rPr>
          <w:rFonts w:hint="eastAsia"/>
        </w:rPr>
        <w:t>B。三年约需</w:t>
      </w:r>
      <w:r>
        <w:rPr>
          <w:rFonts w:hint="eastAsia"/>
          <w:lang w:val="en-US" w:eastAsia="zh-CN"/>
        </w:rPr>
        <w:t>60</w:t>
      </w:r>
      <w:r>
        <w:rPr>
          <w:rFonts w:hint="eastAsia"/>
        </w:rPr>
        <w:t>TB。</w:t>
      </w:r>
    </w:p>
    <w:p w14:paraId="6A64DA07">
      <w:pPr>
        <w:pStyle w:val="3"/>
      </w:pPr>
      <w:bookmarkStart w:id="11" w:name="_Toc140228825"/>
      <w:r>
        <w:rPr>
          <w:rFonts w:hint="eastAsia"/>
        </w:rPr>
        <w:t>绩效目标</w:t>
      </w:r>
      <w:bookmarkEnd w:id="11"/>
    </w:p>
    <w:p w14:paraId="2A741CFB">
      <w:r>
        <w:rPr>
          <w:rFonts w:hint="eastAsia"/>
        </w:rPr>
        <w:t>实现民族事务、宗教管理核心业务的信息化管理覆盖率不低于95%，纳入项目范围的行政审批与服务事项提供100%在线申请入口和审批。宗教活动场所消防安全预警系统，其预警结果的准确率不低于92%。系统支持主流PC浏览器端与主流移动终端访问与操作，兼容性达到100%。</w:t>
      </w:r>
    </w:p>
    <w:p w14:paraId="004BAB6B">
      <w:pPr>
        <w:pStyle w:val="2"/>
      </w:pPr>
      <w:bookmarkStart w:id="12" w:name="_Toc47536304"/>
      <w:bookmarkEnd w:id="12"/>
      <w:bookmarkStart w:id="13" w:name="_Toc47537166"/>
      <w:bookmarkEnd w:id="13"/>
      <w:bookmarkStart w:id="14" w:name="_Toc47536676"/>
      <w:bookmarkEnd w:id="14"/>
      <w:bookmarkStart w:id="15" w:name="_Toc47532923"/>
      <w:bookmarkEnd w:id="15"/>
      <w:bookmarkStart w:id="16" w:name="_Toc47539102"/>
      <w:bookmarkEnd w:id="16"/>
      <w:bookmarkStart w:id="17" w:name="_Toc47533288"/>
      <w:bookmarkEnd w:id="17"/>
      <w:r>
        <w:rPr>
          <w:rFonts w:hint="eastAsia"/>
        </w:rPr>
        <w:t>项目建设内容</w:t>
      </w:r>
    </w:p>
    <w:p w14:paraId="2B873859">
      <w:pPr>
        <w:pStyle w:val="3"/>
      </w:pPr>
      <w:r>
        <w:rPr>
          <w:rFonts w:hint="eastAsia"/>
        </w:rPr>
        <w:t>技术路线、架构、部署环境</w:t>
      </w:r>
    </w:p>
    <w:p w14:paraId="357DFB55">
      <w:pPr>
        <w:numPr>
          <w:ilvl w:val="0"/>
          <w:numId w:val="3"/>
        </w:numPr>
      </w:pPr>
      <w:r>
        <w:t>本项目</w:t>
      </w:r>
      <w:r>
        <w:rPr>
          <w:rFonts w:hint="eastAsia"/>
        </w:rPr>
        <w:t>技术路线</w:t>
      </w:r>
      <w:r>
        <w:t>需采用JAVA语言开发，支持</w:t>
      </w:r>
      <w:r>
        <w:rPr>
          <w:rFonts w:hint="eastAsia"/>
        </w:rPr>
        <w:t>J</w:t>
      </w:r>
      <w:r>
        <w:t>AVA主流技术架构，</w:t>
      </w:r>
      <w:r>
        <w:rPr>
          <w:rFonts w:hint="eastAsia"/>
        </w:rPr>
        <w:t>使用政务云提供的操作系统、</w:t>
      </w:r>
      <w:r>
        <w:t>数据库、中间件等</w:t>
      </w:r>
      <w:r>
        <w:rPr>
          <w:rFonts w:hint="eastAsia"/>
        </w:rPr>
        <w:t>产品</w:t>
      </w:r>
      <w:r>
        <w:t>。</w:t>
      </w:r>
    </w:p>
    <w:p w14:paraId="38769568">
      <w:pPr>
        <w:numPr>
          <w:ilvl w:val="0"/>
          <w:numId w:val="3"/>
        </w:numPr>
      </w:pPr>
      <w:r>
        <w:rPr>
          <w:rFonts w:hint="eastAsia"/>
        </w:rPr>
        <w:t>整体架构如下所示</w:t>
      </w:r>
      <w:r>
        <w:rPr>
          <w:rFonts w:hint="eastAsia"/>
          <w:lang w:eastAsia="zh-CN"/>
        </w:rPr>
        <w:t>（</w:t>
      </w:r>
      <w:r>
        <w:rPr>
          <w:rFonts w:hint="eastAsia"/>
          <w:lang w:val="en-US" w:eastAsia="zh-CN"/>
        </w:rPr>
        <w:t>红色部分为本次升级改造内容</w:t>
      </w:r>
      <w:r>
        <w:rPr>
          <w:rFonts w:hint="eastAsia"/>
          <w:lang w:eastAsia="zh-CN"/>
        </w:rPr>
        <w:t>）</w:t>
      </w:r>
      <w:r>
        <w:rPr>
          <w:rFonts w:hint="eastAsia"/>
        </w:rPr>
        <w:t>：</w:t>
      </w:r>
    </w:p>
    <w:p w14:paraId="705B5870">
      <w:r>
        <w:drawing>
          <wp:inline distT="0" distB="0" distL="114300" distR="114300">
            <wp:extent cx="5273675" cy="3331845"/>
            <wp:effectExtent l="0" t="0" r="5080" b="381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3"/>
                    <a:stretch>
                      <a:fillRect/>
                    </a:stretch>
                  </pic:blipFill>
                  <pic:spPr>
                    <a:xfrm>
                      <a:off x="0" y="0"/>
                      <a:ext cx="5273675" cy="3331845"/>
                    </a:xfrm>
                    <a:prstGeom prst="rect">
                      <a:avLst/>
                    </a:prstGeom>
                    <a:noFill/>
                    <a:ln>
                      <a:noFill/>
                    </a:ln>
                  </pic:spPr>
                </pic:pic>
              </a:graphicData>
            </a:graphic>
          </wp:inline>
        </w:drawing>
      </w:r>
    </w:p>
    <w:p w14:paraId="1CB32F13">
      <w:r>
        <w:rPr>
          <w:rFonts w:hint="eastAsia"/>
        </w:rPr>
        <w:t>（</w:t>
      </w:r>
      <w:r>
        <w:t>3）</w:t>
      </w:r>
      <w:r>
        <w:rPr>
          <w:rFonts w:hint="eastAsia"/>
        </w:rPr>
        <w:t>本系统部署于电子政务云</w:t>
      </w:r>
      <w:r>
        <w:rPr>
          <w:rFonts w:hint="eastAsia"/>
          <w:lang w:eastAsia="zh-CN"/>
        </w:rPr>
        <w:t>XC</w:t>
      </w:r>
      <w:r>
        <w:rPr>
          <w:rFonts w:hint="eastAsia"/>
        </w:rPr>
        <w:t>环境，上海市电子政务云平台分为政务外网区域和互联网区域，分别面向政府部门和企业公众提供访问，两个区域之间通过安全隔离设备实现逻辑隔离。本项目应用系统根据业务访问需求分别部署在政务外网区域和互联网区域，外部数据接入需符合“一网通办”、“一网统管”等接口标准。本项目部署环境的网络拓扑图如下所示。</w:t>
      </w:r>
    </w:p>
    <w:p w14:paraId="6759D445">
      <w:pPr>
        <w:ind w:firstLine="0" w:firstLineChars="0"/>
        <w:jc w:val="center"/>
      </w:pPr>
      <w:r>
        <w:drawing>
          <wp:inline distT="0" distB="0" distL="114300" distR="114300">
            <wp:extent cx="4482465" cy="3388360"/>
            <wp:effectExtent l="0" t="0" r="8255" b="1270"/>
            <wp:docPr id="1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2"/>
                    <pic:cNvPicPr>
                      <a:picLocks noChangeAspect="1"/>
                    </pic:cNvPicPr>
                  </pic:nvPicPr>
                  <pic:blipFill>
                    <a:blip r:embed="rId14"/>
                    <a:stretch>
                      <a:fillRect/>
                    </a:stretch>
                  </pic:blipFill>
                  <pic:spPr>
                    <a:xfrm>
                      <a:off x="0" y="0"/>
                      <a:ext cx="4482465" cy="3388360"/>
                    </a:xfrm>
                    <a:prstGeom prst="rect">
                      <a:avLst/>
                    </a:prstGeom>
                    <a:noFill/>
                    <a:ln w="9525">
                      <a:noFill/>
                    </a:ln>
                  </pic:spPr>
                </pic:pic>
              </a:graphicData>
            </a:graphic>
          </wp:inline>
        </w:drawing>
      </w:r>
    </w:p>
    <w:p w14:paraId="3874DD33"/>
    <w:p w14:paraId="241BBCB4">
      <w:pPr>
        <w:pStyle w:val="3"/>
      </w:pPr>
      <w:r>
        <w:rPr>
          <w:rFonts w:hint="eastAsia"/>
        </w:rPr>
        <w:t>软件系统组成</w:t>
      </w:r>
    </w:p>
    <w:p w14:paraId="41C0B229">
      <w:r>
        <w:rPr>
          <w:rFonts w:hint="eastAsia"/>
        </w:rPr>
        <w:t>项目建设内容的软件需求主要是定制开发，软件形式以基于政务外网和互联网的网页端系统为主，基于互联网的随申办移动端应用涉及信息查询共享等方面。主要功能模块如下：</w:t>
      </w:r>
    </w:p>
    <w:p w14:paraId="267C8213">
      <w:pPr>
        <w:rPr>
          <w:rStyle w:val="37"/>
          <w:rFonts w:hint="eastAsia" w:ascii="宋体" w:hAnsi="宋体" w:eastAsia="宋体"/>
          <w:color w:val="auto"/>
        </w:rPr>
      </w:pPr>
      <w:r>
        <w:rPr>
          <w:rFonts w:hint="eastAsia"/>
          <w:color w:val="auto"/>
        </w:rPr>
        <w:t>1、</w:t>
      </w:r>
      <w:bookmarkStart w:id="18" w:name="_Toc17511"/>
      <w:r>
        <w:rPr>
          <w:rStyle w:val="37"/>
          <w:rFonts w:hint="eastAsia" w:ascii="宋体" w:hAnsi="宋体" w:eastAsia="宋体"/>
          <w:color w:val="auto"/>
        </w:rPr>
        <w:t>宗教活动场所管理功能升级</w:t>
      </w:r>
      <w:bookmarkEnd w:id="18"/>
    </w:p>
    <w:p w14:paraId="03A8071F">
      <w:pPr>
        <w:rPr>
          <w:rStyle w:val="37"/>
          <w:rFonts w:hint="eastAsia" w:ascii="宋体" w:hAnsi="宋体" w:eastAsia="宋体"/>
          <w:color w:val="auto"/>
        </w:rPr>
      </w:pPr>
      <w:r>
        <w:rPr>
          <w:rStyle w:val="37"/>
          <w:rFonts w:hint="eastAsia" w:ascii="宋体" w:hAnsi="宋体" w:eastAsia="宋体"/>
          <w:color w:val="auto"/>
        </w:rPr>
        <w:t>本版块是升级改造板块。</w:t>
      </w:r>
    </w:p>
    <w:p w14:paraId="4FA1E64C">
      <w:pPr>
        <w:rPr>
          <w:rStyle w:val="37"/>
          <w:rFonts w:hint="eastAsia" w:ascii="宋体" w:hAnsi="宋体" w:eastAsia="宋体"/>
          <w:color w:val="auto"/>
        </w:rPr>
      </w:pPr>
      <w:r>
        <w:rPr>
          <w:rStyle w:val="37"/>
          <w:rFonts w:hint="eastAsia" w:ascii="宋体" w:hAnsi="宋体" w:eastAsia="宋体"/>
          <w:color w:val="auto"/>
        </w:rPr>
        <w:t>本板块主要包含工作事务升级（国定假期值班表、宗教活动场所年度活动报备）、互联网客户端升级、场所登记证申请全过程管理。</w:t>
      </w:r>
    </w:p>
    <w:p w14:paraId="4FBB15CB">
      <w:pPr>
        <w:rPr>
          <w:rStyle w:val="37"/>
          <w:rFonts w:hint="eastAsia" w:ascii="宋体" w:hAnsi="宋体" w:eastAsia="宋体"/>
          <w:color w:val="auto"/>
          <w:lang w:eastAsia="zh-CN"/>
        </w:rPr>
      </w:pPr>
      <w:r>
        <w:rPr>
          <w:rStyle w:val="37"/>
          <w:rFonts w:hint="eastAsia" w:ascii="宋体" w:hAnsi="宋体" w:eastAsia="宋体"/>
          <w:color w:val="auto"/>
          <w:lang w:val="en-US" w:eastAsia="zh-CN"/>
        </w:rPr>
        <w:t>本版块建设依据为《上海市民宗信息化建设三年行动计划（2024-2026年）》，上海市民族和宗教事务局，沪民宗发【2024】16号。文中指出“</w:t>
      </w:r>
      <w:r>
        <w:rPr>
          <w:rStyle w:val="37"/>
          <w:rFonts w:hint="eastAsia" w:ascii="宋体" w:hAnsi="宋体" w:eastAsia="宋体"/>
          <w:color w:val="auto"/>
        </w:rPr>
        <w:t>（三）落实推进民族宗教事务服务管理全过程全流程的数字化转型</w:t>
      </w:r>
      <w:r>
        <w:rPr>
          <w:rStyle w:val="37"/>
          <w:rFonts w:hint="eastAsia" w:ascii="宋体" w:hAnsi="宋体" w:eastAsia="宋体"/>
          <w:color w:val="auto"/>
          <w:lang w:eastAsia="zh-CN"/>
        </w:rPr>
        <w:t>。</w:t>
      </w:r>
    </w:p>
    <w:p w14:paraId="25214290">
      <w:pPr>
        <w:rPr>
          <w:rFonts w:hint="eastAsia"/>
          <w:color w:val="auto"/>
        </w:rPr>
      </w:pPr>
      <w:bookmarkStart w:id="19" w:name="_Toc15346"/>
      <w:r>
        <w:rPr>
          <w:rFonts w:hint="eastAsia"/>
          <w:color w:val="auto"/>
          <w:lang w:val="en-US" w:eastAsia="zh-CN"/>
        </w:rPr>
        <w:t>2、</w:t>
      </w:r>
      <w:r>
        <w:rPr>
          <w:rFonts w:hint="eastAsia"/>
          <w:color w:val="auto"/>
        </w:rPr>
        <w:t>随申办移动端</w:t>
      </w:r>
      <w:r>
        <w:rPr>
          <w:rFonts w:hint="eastAsia"/>
          <w:color w:val="auto"/>
          <w:lang w:val="en-US" w:eastAsia="zh-CN"/>
        </w:rPr>
        <w:t>新增</w:t>
      </w:r>
      <w:bookmarkEnd w:id="19"/>
    </w:p>
    <w:p w14:paraId="22B6EFE5">
      <w:pPr>
        <w:rPr>
          <w:rFonts w:hint="eastAsia"/>
          <w:color w:val="auto"/>
        </w:rPr>
      </w:pPr>
      <w:r>
        <w:rPr>
          <w:rFonts w:hint="eastAsia"/>
          <w:color w:val="auto"/>
        </w:rPr>
        <w:t>本版块是</w:t>
      </w:r>
      <w:r>
        <w:rPr>
          <w:rFonts w:hint="eastAsia"/>
          <w:color w:val="auto"/>
          <w:lang w:val="en-US" w:eastAsia="zh-CN"/>
        </w:rPr>
        <w:t>新增</w:t>
      </w:r>
      <w:r>
        <w:rPr>
          <w:rFonts w:hint="eastAsia"/>
          <w:color w:val="auto"/>
        </w:rPr>
        <w:t>板块</w:t>
      </w:r>
      <w:r>
        <w:rPr>
          <w:rFonts w:hint="eastAsia"/>
          <w:color w:val="auto"/>
          <w:lang w:eastAsia="zh-CN"/>
        </w:rPr>
        <w:t>，</w:t>
      </w:r>
      <w:r>
        <w:rPr>
          <w:rFonts w:hint="eastAsia"/>
          <w:color w:val="auto"/>
        </w:rPr>
        <w:t>随申办移动端包含市民云和政务云2类应用载体。</w:t>
      </w:r>
    </w:p>
    <w:p w14:paraId="6710D7E9">
      <w:pPr>
        <w:rPr>
          <w:rFonts w:hint="eastAsia"/>
          <w:color w:val="auto"/>
        </w:rPr>
      </w:pPr>
      <w:r>
        <w:rPr>
          <w:rFonts w:hint="eastAsia"/>
          <w:color w:val="auto"/>
        </w:rPr>
        <w:t>现有上海市民族宗教事务服务管理子系统以PC端为主，除了宗教教职人员信息子维护功能外，没有其他移动端应用。随着现有业务功能的全面铺开，基于移动端的使用需求与日俱增，很多基层单位（宗教活动场所、区级宗教团体）都提出了移动端使用的意愿。</w:t>
      </w:r>
    </w:p>
    <w:p w14:paraId="0038FB10">
      <w:pPr>
        <w:rPr>
          <w:rFonts w:hint="eastAsia"/>
          <w:color w:val="auto"/>
        </w:rPr>
      </w:pPr>
      <w:r>
        <w:rPr>
          <w:rFonts w:hint="eastAsia"/>
          <w:color w:val="auto"/>
        </w:rPr>
        <w:t>随申办移动端主要有民族类、宗教类、综合事务管理类、资料库、综合查询类。</w:t>
      </w:r>
    </w:p>
    <w:p w14:paraId="231EA9B3">
      <w:pPr>
        <w:rPr>
          <w:rFonts w:hint="eastAsia"/>
          <w:color w:val="auto"/>
        </w:rPr>
      </w:pPr>
      <w:bookmarkStart w:id="20" w:name="_Toc15131"/>
      <w:r>
        <w:rPr>
          <w:rFonts w:hint="eastAsia"/>
          <w:color w:val="auto"/>
          <w:lang w:val="en-US" w:eastAsia="zh-CN"/>
        </w:rPr>
        <w:t>3、</w:t>
      </w:r>
      <w:r>
        <w:rPr>
          <w:rFonts w:hint="eastAsia"/>
          <w:color w:val="auto"/>
        </w:rPr>
        <w:t>宗教教职人员备案全过程管理</w:t>
      </w:r>
      <w:bookmarkEnd w:id="20"/>
    </w:p>
    <w:p w14:paraId="7227D528">
      <w:pPr>
        <w:rPr>
          <w:rFonts w:hint="eastAsia"/>
          <w:color w:val="auto"/>
        </w:rPr>
      </w:pPr>
      <w:r>
        <w:rPr>
          <w:rFonts w:hint="eastAsia"/>
          <w:color w:val="auto"/>
        </w:rPr>
        <w:t>本版块是新增板块。</w:t>
      </w:r>
    </w:p>
    <w:p w14:paraId="65F2FB68">
      <w:pPr>
        <w:rPr>
          <w:rFonts w:hint="eastAsia"/>
          <w:color w:val="auto"/>
        </w:rPr>
      </w:pPr>
      <w:r>
        <w:rPr>
          <w:rFonts w:hint="eastAsia"/>
          <w:color w:val="auto"/>
        </w:rPr>
        <w:t>教职人员备案是根据国家宗教事务局发布的《宗教教职人员管理办法》的规定，对宗教教职人员的新增备案、修改备案、注销备案进行相应的审批流程管理。</w:t>
      </w:r>
    </w:p>
    <w:p w14:paraId="492D8C1C">
      <w:pPr>
        <w:rPr>
          <w:rFonts w:hint="eastAsia"/>
          <w:color w:val="auto"/>
        </w:rPr>
      </w:pPr>
      <w:r>
        <w:rPr>
          <w:rFonts w:hint="eastAsia"/>
          <w:color w:val="auto"/>
        </w:rPr>
        <w:t>教职人员备案全过程管理主要包含宗教教职人员的新增备案、修改备案、注销备案、数据时间切片4个部分。每个教派的宗教教职人员的新增/修改/注销备案流程各不相同。</w:t>
      </w:r>
    </w:p>
    <w:p w14:paraId="72D8043A">
      <w:pPr>
        <w:rPr>
          <w:rFonts w:hint="eastAsia"/>
          <w:color w:val="auto"/>
        </w:rPr>
      </w:pPr>
      <w:r>
        <w:rPr>
          <w:rFonts w:hint="eastAsia"/>
          <w:color w:val="auto"/>
          <w:lang w:val="en-US" w:eastAsia="zh-CN"/>
        </w:rPr>
        <w:t>4、</w:t>
      </w:r>
      <w:r>
        <w:rPr>
          <w:rFonts w:hint="eastAsia"/>
          <w:color w:val="auto"/>
        </w:rPr>
        <w:t>人才库管理</w:t>
      </w:r>
    </w:p>
    <w:p w14:paraId="42916504">
      <w:pPr>
        <w:rPr>
          <w:rFonts w:hint="eastAsia"/>
          <w:color w:val="auto"/>
        </w:rPr>
      </w:pPr>
      <w:r>
        <w:rPr>
          <w:rFonts w:hint="eastAsia"/>
          <w:color w:val="auto"/>
        </w:rPr>
        <w:t>本版块是新增板块。</w:t>
      </w:r>
    </w:p>
    <w:p w14:paraId="07185DC8">
      <w:pPr>
        <w:rPr>
          <w:rFonts w:hint="eastAsia"/>
          <w:color w:val="auto"/>
        </w:rPr>
      </w:pPr>
      <w:r>
        <w:rPr>
          <w:rFonts w:hint="eastAsia"/>
          <w:color w:val="auto"/>
        </w:rPr>
        <w:t>人才库管理的建设目标是实现市民宗局对宗教界人才信息管理、预警提示、查询分析的管理职能，实现对本市宗教界人才（特别是代表人士）的全方位反映和综合研判分析，为宗教人才培养、代表人士队伍建设和团体换届工作提供信息服务和工具支撑。</w:t>
      </w:r>
    </w:p>
    <w:p w14:paraId="68B0BA31">
      <w:pPr>
        <w:rPr>
          <w:rFonts w:hint="eastAsia"/>
          <w:color w:val="auto"/>
        </w:rPr>
      </w:pPr>
      <w:r>
        <w:rPr>
          <w:rFonts w:hint="eastAsia"/>
          <w:color w:val="auto"/>
          <w:lang w:val="en-US" w:eastAsia="zh-CN"/>
        </w:rPr>
        <w:t>5、</w:t>
      </w:r>
      <w:r>
        <w:rPr>
          <w:rFonts w:hint="eastAsia"/>
          <w:color w:val="auto"/>
        </w:rPr>
        <w:t>宗教活动场所消防安全管理</w:t>
      </w:r>
    </w:p>
    <w:p w14:paraId="459C16D8">
      <w:pPr>
        <w:rPr>
          <w:rFonts w:hint="eastAsia"/>
          <w:color w:val="auto"/>
        </w:rPr>
      </w:pPr>
      <w:r>
        <w:rPr>
          <w:rFonts w:hint="eastAsia"/>
          <w:color w:val="auto"/>
        </w:rPr>
        <w:t>本版块是新增板块。</w:t>
      </w:r>
    </w:p>
    <w:p w14:paraId="505E2270">
      <w:pPr>
        <w:rPr>
          <w:rFonts w:hint="eastAsia"/>
          <w:color w:val="auto"/>
        </w:rPr>
      </w:pPr>
      <w:r>
        <w:rPr>
          <w:rFonts w:hint="eastAsia"/>
          <w:color w:val="auto"/>
        </w:rPr>
        <w:t>本版块的建设目标是构建本市宗教活动场所消防安全线上管理体系，建立消防标准化线上评价准则，实现消防达标场所申请、评估打分、工作检查、达标场所复检等全过程管理，助力提升全市宗教活动场所消防安全能级。</w:t>
      </w:r>
    </w:p>
    <w:p w14:paraId="65F8F8BB">
      <w:pPr>
        <w:rPr>
          <w:rFonts w:hint="eastAsia"/>
          <w:color w:val="auto"/>
        </w:rPr>
      </w:pPr>
      <w:r>
        <w:rPr>
          <w:rFonts w:hint="eastAsia"/>
          <w:color w:val="auto"/>
          <w:lang w:val="en-US" w:eastAsia="zh-CN"/>
        </w:rPr>
        <w:t>6、</w:t>
      </w:r>
      <w:r>
        <w:rPr>
          <w:rFonts w:hint="eastAsia"/>
          <w:color w:val="auto"/>
        </w:rPr>
        <w:t>深度查询</w:t>
      </w:r>
    </w:p>
    <w:p w14:paraId="500FE795">
      <w:pPr>
        <w:rPr>
          <w:rFonts w:hint="eastAsia"/>
          <w:color w:val="auto"/>
        </w:rPr>
      </w:pPr>
      <w:r>
        <w:rPr>
          <w:rFonts w:hint="eastAsia"/>
          <w:color w:val="auto"/>
        </w:rPr>
        <w:t>本版块是新增板块。</w:t>
      </w:r>
    </w:p>
    <w:p w14:paraId="7AFC7136">
      <w:pPr>
        <w:rPr>
          <w:rFonts w:hint="eastAsia"/>
          <w:color w:val="auto"/>
        </w:rPr>
      </w:pPr>
      <w:r>
        <w:rPr>
          <w:rFonts w:hint="eastAsia"/>
          <w:color w:val="auto"/>
        </w:rPr>
        <w:t>深度查询主要对现有系统中的全量业务数据进行关联式穿透查询，比如查询某个宗教教职人员，可以穿透到该教职人员工作的宗教活动场所或宗教团体，然后再从该宗教活动场所或宗教团体穿透到其他宗教教职人员或该组织的奖惩情况等。由此形成闭环式深度查询。</w:t>
      </w:r>
    </w:p>
    <w:p w14:paraId="32929954">
      <w:pPr>
        <w:rPr>
          <w:rFonts w:hint="eastAsia"/>
          <w:color w:val="auto"/>
        </w:rPr>
      </w:pPr>
      <w:r>
        <w:rPr>
          <w:rFonts w:hint="eastAsia"/>
          <w:color w:val="auto"/>
        </w:rPr>
        <w:t>本版块建设依据为《上海市民宗信息化建设三年行动计划（2024-2026年）》，上海市民族和宗教事务局，沪民宗发【2024】16号。</w:t>
      </w:r>
    </w:p>
    <w:p w14:paraId="615678D1">
      <w:pPr>
        <w:rPr>
          <w:rFonts w:hint="eastAsia"/>
          <w:color w:val="auto"/>
        </w:rPr>
      </w:pPr>
      <w:r>
        <w:rPr>
          <w:rFonts w:hint="eastAsia"/>
          <w:color w:val="auto"/>
        </w:rPr>
        <w:t>7</w:t>
      </w:r>
      <w:r>
        <w:rPr>
          <w:rFonts w:hint="eastAsia"/>
          <w:color w:val="auto"/>
          <w:lang w:eastAsia="zh-CN"/>
        </w:rPr>
        <w:t>、</w:t>
      </w:r>
      <w:r>
        <w:rPr>
          <w:rFonts w:hint="eastAsia"/>
          <w:color w:val="auto"/>
        </w:rPr>
        <w:t>审批中心</w:t>
      </w:r>
    </w:p>
    <w:p w14:paraId="5BDB0CA2">
      <w:pPr>
        <w:rPr>
          <w:rFonts w:hint="eastAsia"/>
          <w:color w:val="auto"/>
        </w:rPr>
      </w:pPr>
      <w:r>
        <w:rPr>
          <w:rFonts w:hint="eastAsia"/>
          <w:color w:val="auto"/>
        </w:rPr>
        <w:t>本版块是新增板块。</w:t>
      </w:r>
    </w:p>
    <w:p w14:paraId="1167CAEA">
      <w:pPr>
        <w:rPr>
          <w:rFonts w:hint="eastAsia"/>
          <w:color w:val="auto"/>
        </w:rPr>
      </w:pPr>
      <w:r>
        <w:rPr>
          <w:rFonts w:hint="eastAsia"/>
          <w:color w:val="auto"/>
        </w:rPr>
        <w:t>目前上海市民族宗教事务服务管理子系统中涉及内部工作审批及民族宗教类对外审批事项共42条，涉及操作的用户账户约2800个，据统计2025年2月到4月间，现有系统中涉及到审批流程的操作提醒约7200条，依靠原有的消息中心和各模块的审批信息的方式已经无法满足高效管理的目标。</w:t>
      </w:r>
    </w:p>
    <w:p w14:paraId="5CDD8FBA">
      <w:pPr>
        <w:rPr>
          <w:rFonts w:hint="eastAsia"/>
          <w:color w:val="auto"/>
        </w:rPr>
      </w:pPr>
      <w:r>
        <w:rPr>
          <w:rFonts w:hint="eastAsia"/>
          <w:color w:val="auto"/>
        </w:rPr>
        <w:t>本版块建设依据为《上海市民宗信息化建设三年行动计划（2024-2026年）》，上海市民族和宗教事务局，沪民宗发【2024】16号。文中指出“（三）落实推进民族宗教事务服务管理全过程全流程的数字化转型</w:t>
      </w:r>
    </w:p>
    <w:p w14:paraId="11E61C07">
      <w:pPr>
        <w:rPr>
          <w:rFonts w:hint="eastAsia"/>
          <w:color w:val="auto"/>
        </w:rPr>
      </w:pPr>
      <w:r>
        <w:rPr>
          <w:rFonts w:hint="eastAsia"/>
          <w:color w:val="auto"/>
          <w:lang w:val="en-US" w:eastAsia="zh-CN"/>
        </w:rPr>
        <w:t>8、</w:t>
      </w:r>
      <w:r>
        <w:rPr>
          <w:rFonts w:hint="eastAsia"/>
          <w:color w:val="auto"/>
        </w:rPr>
        <w:t>数据和报表分析</w:t>
      </w:r>
    </w:p>
    <w:p w14:paraId="63E2F990">
      <w:pPr>
        <w:rPr>
          <w:rFonts w:hint="eastAsia"/>
          <w:color w:val="auto"/>
        </w:rPr>
      </w:pPr>
      <w:r>
        <w:rPr>
          <w:rFonts w:hint="eastAsia"/>
          <w:color w:val="auto"/>
        </w:rPr>
        <w:t>本版块是新增板块。</w:t>
      </w:r>
    </w:p>
    <w:p w14:paraId="3AFD063E">
      <w:pPr>
        <w:rPr>
          <w:rFonts w:hint="eastAsia"/>
          <w:color w:val="auto"/>
        </w:rPr>
      </w:pPr>
      <w:r>
        <w:rPr>
          <w:rFonts w:hint="eastAsia"/>
          <w:color w:val="auto"/>
        </w:rPr>
        <w:t>数据和报表分析主要是将现有系统（上海市民族宗教事务服务管理子系统）的业务数据和运行数据进行报表和图表分析。</w:t>
      </w:r>
    </w:p>
    <w:p w14:paraId="7ECE0FC5">
      <w:pPr>
        <w:rPr>
          <w:rFonts w:hint="eastAsia"/>
          <w:color w:val="auto"/>
        </w:rPr>
      </w:pPr>
      <w:r>
        <w:rPr>
          <w:rFonts w:hint="eastAsia"/>
          <w:color w:val="auto"/>
        </w:rPr>
        <w:t>数据和报表分析分为民族和宗教2类。</w:t>
      </w:r>
    </w:p>
    <w:p w14:paraId="6EB5BCCA">
      <w:pPr>
        <w:rPr>
          <w:rFonts w:hint="eastAsia"/>
          <w:color w:val="auto"/>
        </w:rPr>
      </w:pPr>
      <w:r>
        <w:rPr>
          <w:rFonts w:hint="eastAsia"/>
          <w:color w:val="auto"/>
        </w:rPr>
        <w:t>本版块建设依据为《上海市民宗信息化建设三年行动计划（2024-2026年）》，上海市民族和宗教事务局，沪民宗发【2024】16号。文中指出“（二）建设民族宗教数据资源中心，统一标准规范，持续完善四级应用体系建设</w:t>
      </w:r>
    </w:p>
    <w:p w14:paraId="3E70E829">
      <w:pPr>
        <w:rPr>
          <w:rFonts w:hint="eastAsia"/>
          <w:color w:val="auto"/>
        </w:rPr>
      </w:pPr>
      <w:r>
        <w:rPr>
          <w:rFonts w:hint="eastAsia"/>
          <w:color w:val="auto"/>
        </w:rPr>
        <w:t>9</w:t>
      </w:r>
      <w:r>
        <w:rPr>
          <w:rFonts w:hint="eastAsia"/>
          <w:color w:val="auto"/>
          <w:lang w:eastAsia="zh-CN"/>
        </w:rPr>
        <w:t>、</w:t>
      </w:r>
      <w:r>
        <w:rPr>
          <w:rFonts w:hint="eastAsia"/>
          <w:color w:val="auto"/>
        </w:rPr>
        <w:t>财务监管</w:t>
      </w:r>
    </w:p>
    <w:p w14:paraId="7562A7C4">
      <w:pPr>
        <w:rPr>
          <w:rFonts w:hint="eastAsia"/>
          <w:color w:val="auto"/>
        </w:rPr>
      </w:pPr>
      <w:r>
        <w:rPr>
          <w:rFonts w:hint="eastAsia"/>
          <w:color w:val="auto"/>
        </w:rPr>
        <w:t>本版块是新增板块。</w:t>
      </w:r>
    </w:p>
    <w:p w14:paraId="785A46C5">
      <w:pPr>
        <w:rPr>
          <w:rFonts w:hint="eastAsia"/>
          <w:color w:val="auto"/>
        </w:rPr>
      </w:pPr>
      <w:r>
        <w:rPr>
          <w:rFonts w:hint="eastAsia"/>
          <w:color w:val="auto"/>
        </w:rPr>
        <w:t>本板块建设业务依据《宗教活动场所财务管理办法》（国家宗教事务局令第18号）和《宗教事务条例》（国务院令第686号）。</w:t>
      </w:r>
    </w:p>
    <w:p w14:paraId="1B5E5421">
      <w:pPr>
        <w:rPr>
          <w:rFonts w:hint="eastAsia"/>
          <w:color w:val="auto"/>
        </w:rPr>
      </w:pPr>
      <w:r>
        <w:rPr>
          <w:rFonts w:hint="eastAsia"/>
          <w:color w:val="auto"/>
        </w:rPr>
        <w:t>财务监管主要围绕宗教活动场所和宗教团体的财务数据和财务行为。</w:t>
      </w:r>
    </w:p>
    <w:p w14:paraId="463A5D2B">
      <w:pPr>
        <w:rPr>
          <w:rFonts w:hint="eastAsia"/>
          <w:color w:val="auto"/>
        </w:rPr>
      </w:pPr>
      <w:r>
        <w:rPr>
          <w:rFonts w:hint="eastAsia"/>
          <w:color w:val="auto"/>
          <w:lang w:val="en-US" w:eastAsia="zh-CN"/>
        </w:rPr>
        <w:t>10、</w:t>
      </w:r>
      <w:r>
        <w:rPr>
          <w:rFonts w:hint="eastAsia"/>
          <w:color w:val="auto"/>
        </w:rPr>
        <w:t>民宗AI大模型</w:t>
      </w:r>
    </w:p>
    <w:p w14:paraId="147531DB">
      <w:pPr>
        <w:rPr>
          <w:rFonts w:hint="eastAsia"/>
          <w:color w:val="auto"/>
        </w:rPr>
      </w:pPr>
      <w:r>
        <w:rPr>
          <w:rFonts w:hint="eastAsia"/>
          <w:color w:val="auto"/>
        </w:rPr>
        <w:t>基于市大数据中心AI大模型建设的知识库和智能体主要由</w:t>
      </w:r>
      <w:r>
        <w:rPr>
          <w:rFonts w:hint="eastAsia"/>
          <w:color w:val="auto"/>
          <w:lang w:val="en-US" w:eastAsia="zh-CN"/>
        </w:rPr>
        <w:t>5</w:t>
      </w:r>
      <w:r>
        <w:rPr>
          <w:rFonts w:hint="eastAsia"/>
          <w:color w:val="auto"/>
        </w:rPr>
        <w:t>个应用场景组成：民宗知识库、智能问答机器人、个性化推荐与精准推送（资料检索）、虚拟式宣教场景建设(文本生成)、宗教外语种审查和风险监管（资料检索）。其中虚拟式宣教场景建设(文本生成)、宗教外语种审查和风险监管（资料检索）的2种智能体能力涉及到场景配套功能的开发。</w:t>
      </w:r>
    </w:p>
    <w:p w14:paraId="24160451">
      <w:pPr>
        <w:rPr>
          <w:rFonts w:hint="eastAsia"/>
          <w:color w:val="auto"/>
        </w:rPr>
      </w:pPr>
      <w:r>
        <w:rPr>
          <w:rFonts w:hint="eastAsia"/>
          <w:color w:val="auto"/>
          <w:lang w:val="en-US" w:eastAsia="zh-CN"/>
        </w:rPr>
        <w:t>11、</w:t>
      </w:r>
      <w:r>
        <w:rPr>
          <w:rFonts w:hint="eastAsia"/>
          <w:color w:val="auto"/>
        </w:rPr>
        <w:t>虚拟式宣教场景建设</w:t>
      </w:r>
    </w:p>
    <w:p w14:paraId="3B658D07">
      <w:pPr>
        <w:rPr>
          <w:rFonts w:hint="eastAsia"/>
          <w:color w:val="auto"/>
        </w:rPr>
      </w:pPr>
      <w:r>
        <w:rPr>
          <w:rFonts w:hint="eastAsia"/>
          <w:color w:val="auto"/>
        </w:rPr>
        <w:t>本版块需要利用市大数据中心AI大模型的文本生成能力，构建虚拟式宣教场景智能体和辅助功能模块开发相结合的应用场景。</w:t>
      </w:r>
    </w:p>
    <w:p w14:paraId="64B93C22">
      <w:pPr>
        <w:rPr>
          <w:rFonts w:hint="eastAsia"/>
          <w:color w:val="auto"/>
        </w:rPr>
      </w:pPr>
      <w:r>
        <w:rPr>
          <w:rFonts w:hint="eastAsia"/>
          <w:color w:val="auto"/>
        </w:rPr>
        <w:t>虚拟式宣教场景建设应定位为民族宗教文化传承与教育创新的“数字化桥梁”，通过构建虚拟宗教场所、民族文化体验馆等高度仿真的数字化空间，为信教群众和民族地区群众提供身临其境的文化体验，从而深化对民族宗教文化的理解，增强对“中华民族一家亲”的认同感。</w:t>
      </w:r>
    </w:p>
    <w:p w14:paraId="6A0C2CA7">
      <w:pPr>
        <w:rPr>
          <w:rFonts w:hint="eastAsia"/>
          <w:color w:val="auto"/>
        </w:rPr>
      </w:pPr>
      <w:r>
        <w:rPr>
          <w:rFonts w:hint="eastAsia"/>
          <w:color w:val="auto"/>
          <w:lang w:val="en-US" w:eastAsia="zh-CN"/>
        </w:rPr>
        <w:t>12、</w:t>
      </w:r>
      <w:r>
        <w:rPr>
          <w:rFonts w:hint="eastAsia"/>
          <w:color w:val="auto"/>
        </w:rPr>
        <w:t>宗教外语种审查和风险监管</w:t>
      </w:r>
    </w:p>
    <w:p w14:paraId="13BF8742">
      <w:pPr>
        <w:rPr>
          <w:rFonts w:hint="eastAsia"/>
          <w:color w:val="auto"/>
        </w:rPr>
      </w:pPr>
      <w:r>
        <w:rPr>
          <w:rFonts w:hint="eastAsia"/>
          <w:color w:val="auto"/>
        </w:rPr>
        <w:t>本版块需要利用市大数据中心AI大模型智能问答的推理能力，通过后台智能问答+代码逻辑的组合形式进行内容审查和风险监管的应用场景。</w:t>
      </w:r>
    </w:p>
    <w:p w14:paraId="54747F23">
      <w:pPr>
        <w:rPr>
          <w:rFonts w:hint="eastAsia"/>
          <w:color w:val="auto"/>
        </w:rPr>
      </w:pPr>
      <w:r>
        <w:rPr>
          <w:rFonts w:hint="eastAsia"/>
          <w:color w:val="auto"/>
          <w:lang w:val="en-US" w:eastAsia="zh-CN"/>
        </w:rPr>
        <w:t>13、</w:t>
      </w:r>
      <w:r>
        <w:rPr>
          <w:rFonts w:hint="eastAsia"/>
          <w:color w:val="auto"/>
        </w:rPr>
        <w:t>大模型数据集预处理服务</w:t>
      </w:r>
    </w:p>
    <w:p w14:paraId="561552F8">
      <w:pPr>
        <w:rPr>
          <w:rFonts w:hint="eastAsia"/>
          <w:color w:val="auto"/>
        </w:rPr>
      </w:pPr>
      <w:r>
        <w:rPr>
          <w:rFonts w:hint="eastAsia"/>
          <w:color w:val="auto"/>
        </w:rPr>
        <w:t>本项目需要大模型数据集预处理服务。</w:t>
      </w:r>
    </w:p>
    <w:p w14:paraId="28B54CAB">
      <w:pPr>
        <w:rPr>
          <w:rFonts w:hint="eastAsia"/>
          <w:color w:val="0000FF"/>
          <w:lang w:val="en-US" w:eastAsia="zh-CN"/>
        </w:rPr>
      </w:pPr>
      <w:r>
        <w:rPr>
          <w:rFonts w:hint="eastAsia"/>
          <w:color w:val="auto"/>
        </w:rPr>
        <w:t>对关联政务系统相关数据进行一系列清洗、转换、去噪、标准化、脱敏等规范化操作的过程。其核心目标是将原始、非结构化的政务数据转化为适合大模型高效学习的高质量、安全合规的结构化或半结构化输入数据。</w:t>
      </w:r>
    </w:p>
    <w:p w14:paraId="13741F7B">
      <w:pPr>
        <w:pStyle w:val="3"/>
      </w:pPr>
      <w:r>
        <w:rPr>
          <w:rFonts w:hint="eastAsia"/>
        </w:rPr>
        <w:t>软件开发清单</w:t>
      </w:r>
    </w:p>
    <w:tbl>
      <w:tblPr>
        <w:tblStyle w:val="3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6"/>
        <w:gridCol w:w="1120"/>
        <w:gridCol w:w="1321"/>
        <w:gridCol w:w="5351"/>
      </w:tblGrid>
      <w:tr w14:paraId="1F7C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4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77728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序号</w:t>
            </w:r>
          </w:p>
        </w:tc>
        <w:tc>
          <w:tcPr>
            <w:tcW w:w="65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B3F7D5">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子系统/模块</w:t>
            </w:r>
          </w:p>
        </w:tc>
        <w:tc>
          <w:tcPr>
            <w:tcW w:w="774" w:type="pct"/>
            <w:tcBorders>
              <w:top w:val="single" w:color="000000" w:sz="8" w:space="0"/>
              <w:left w:val="nil"/>
              <w:bottom w:val="single" w:color="000000" w:sz="8" w:space="0"/>
              <w:right w:val="single" w:color="000000" w:sz="8" w:space="0"/>
            </w:tcBorders>
            <w:shd w:val="clear" w:color="auto" w:fill="auto"/>
            <w:vAlign w:val="center"/>
          </w:tcPr>
          <w:p w14:paraId="1724B5A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二级功能模块</w:t>
            </w:r>
          </w:p>
        </w:tc>
        <w:tc>
          <w:tcPr>
            <w:tcW w:w="3137" w:type="pct"/>
            <w:tcBorders>
              <w:top w:val="single" w:color="000000" w:sz="8" w:space="0"/>
              <w:left w:val="nil"/>
              <w:bottom w:val="single" w:color="000000" w:sz="8" w:space="0"/>
              <w:right w:val="single" w:color="000000" w:sz="8" w:space="0"/>
            </w:tcBorders>
            <w:shd w:val="clear" w:color="auto" w:fill="auto"/>
            <w:vAlign w:val="center"/>
          </w:tcPr>
          <w:p w14:paraId="51E9133D">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功能描述</w:t>
            </w:r>
          </w:p>
        </w:tc>
      </w:tr>
      <w:tr w14:paraId="3E076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5C42">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656" w:type="pct"/>
            <w:vMerge w:val="restart"/>
            <w:tcBorders>
              <w:top w:val="nil"/>
              <w:left w:val="nil"/>
              <w:bottom w:val="single" w:color="000000" w:sz="8" w:space="0"/>
              <w:right w:val="single" w:color="000000" w:sz="8" w:space="0"/>
            </w:tcBorders>
            <w:shd w:val="clear" w:color="auto" w:fill="auto"/>
            <w:vAlign w:val="center"/>
          </w:tcPr>
          <w:p w14:paraId="393C6144">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宗教活动场所管理功能升级</w:t>
            </w:r>
          </w:p>
        </w:tc>
        <w:tc>
          <w:tcPr>
            <w:tcW w:w="774" w:type="pct"/>
            <w:tcBorders>
              <w:top w:val="nil"/>
              <w:left w:val="nil"/>
              <w:bottom w:val="single" w:color="000000" w:sz="8" w:space="0"/>
              <w:right w:val="single" w:color="000000" w:sz="8" w:space="0"/>
            </w:tcBorders>
            <w:shd w:val="clear" w:color="auto" w:fill="auto"/>
            <w:vAlign w:val="center"/>
          </w:tcPr>
          <w:p w14:paraId="16DFF484">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工作事务升级</w:t>
            </w:r>
          </w:p>
        </w:tc>
        <w:tc>
          <w:tcPr>
            <w:tcW w:w="3137" w:type="pct"/>
            <w:tcBorders>
              <w:top w:val="nil"/>
              <w:left w:val="nil"/>
              <w:bottom w:val="single" w:color="000000" w:sz="8" w:space="0"/>
              <w:right w:val="single" w:color="000000" w:sz="8" w:space="0"/>
            </w:tcBorders>
            <w:shd w:val="clear" w:color="auto" w:fill="auto"/>
            <w:vAlign w:val="center"/>
          </w:tcPr>
          <w:p w14:paraId="25053741">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将原有工作事务升级板块进行升级，该板块原有功能主要是信息发布和通知反馈为主。新板块的功能聚焦在宗教活动场所年度活动报备、国定节假日值班表。</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宗教活动场所年度活动报备包含通知、阅知、活动数据上报的功能，可以根据通知的内容上报不同类型的格式数据。按照宗教教派、地理区域、宗教组织类型等进行多部门多单位的集中通知和分散反馈上报。</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国定节假日值班表包含通知、阅知、工作反馈、事件上报的功能集合，可以按照宗教教派、地理区域、宗教组织类型等进行多部门多单位的集中通知和分散反馈上报。</w:t>
            </w:r>
          </w:p>
        </w:tc>
      </w:tr>
      <w:tr w14:paraId="4AC2E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489AD">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656" w:type="pct"/>
            <w:vMerge w:val="continue"/>
            <w:tcBorders>
              <w:top w:val="nil"/>
              <w:left w:val="nil"/>
              <w:bottom w:val="single" w:color="000000" w:sz="8" w:space="0"/>
              <w:right w:val="single" w:color="000000" w:sz="8" w:space="0"/>
            </w:tcBorders>
            <w:shd w:val="clear" w:color="auto" w:fill="auto"/>
            <w:vAlign w:val="center"/>
          </w:tcPr>
          <w:p w14:paraId="69BD5650">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12A393E0">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场所登记证申请全过程管理</w:t>
            </w:r>
          </w:p>
        </w:tc>
        <w:tc>
          <w:tcPr>
            <w:tcW w:w="3137" w:type="pct"/>
            <w:tcBorders>
              <w:top w:val="nil"/>
              <w:left w:val="nil"/>
              <w:bottom w:val="single" w:color="000000" w:sz="8" w:space="0"/>
              <w:right w:val="single" w:color="000000" w:sz="8" w:space="0"/>
            </w:tcBorders>
            <w:shd w:val="clear" w:color="auto" w:fill="auto"/>
            <w:vAlign w:val="center"/>
          </w:tcPr>
          <w:p w14:paraId="284778D6">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目前上海市民族宗教事务服务管理子系统中仅有新建宗教活动场所的新增审批流程，但对于现有的宗教活动场所换证、补证的审批流程尚未实现功能。</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本模块是针对现有的宗教活动场所换证、补证、延证的业务进行的线上申请和审批全过程管理，并且对应到期未换证或延证的宗教活动场所信息进行预警提醒。</w:t>
            </w:r>
          </w:p>
        </w:tc>
      </w:tr>
      <w:tr w14:paraId="3844B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414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656" w:type="pct"/>
            <w:vMerge w:val="continue"/>
            <w:tcBorders>
              <w:top w:val="nil"/>
              <w:left w:val="nil"/>
              <w:bottom w:val="single" w:color="000000" w:sz="8" w:space="0"/>
              <w:right w:val="single" w:color="000000" w:sz="8" w:space="0"/>
            </w:tcBorders>
            <w:shd w:val="clear" w:color="auto" w:fill="auto"/>
            <w:vAlign w:val="center"/>
          </w:tcPr>
          <w:p w14:paraId="7508A567">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425ED096">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互联网客户端新增</w:t>
            </w:r>
          </w:p>
        </w:tc>
        <w:tc>
          <w:tcPr>
            <w:tcW w:w="3137" w:type="pct"/>
            <w:tcBorders>
              <w:top w:val="nil"/>
              <w:left w:val="nil"/>
              <w:bottom w:val="single" w:color="000000" w:sz="8" w:space="0"/>
              <w:right w:val="single" w:color="000000" w:sz="8" w:space="0"/>
            </w:tcBorders>
            <w:shd w:val="clear" w:color="auto" w:fill="auto"/>
            <w:vAlign w:val="center"/>
          </w:tcPr>
          <w:p w14:paraId="09285A3B">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本模块计划对政务外网的功能和互联网功能进行安全性升级，对功能区域进行逻辑划分，对数据区域进行物理划分，以保证在应用层面的安全性管理要求，同时需要对互联网区域进行适配测试。</w:t>
            </w:r>
          </w:p>
        </w:tc>
      </w:tr>
      <w:tr w14:paraId="0E0A4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A26E">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656" w:type="pct"/>
            <w:vMerge w:val="restart"/>
            <w:tcBorders>
              <w:top w:val="nil"/>
              <w:left w:val="nil"/>
              <w:bottom w:val="single" w:color="000000" w:sz="8" w:space="0"/>
              <w:right w:val="single" w:color="000000" w:sz="8" w:space="0"/>
            </w:tcBorders>
            <w:shd w:val="clear" w:color="auto" w:fill="auto"/>
            <w:vAlign w:val="center"/>
          </w:tcPr>
          <w:p w14:paraId="5FE0064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随申办移动端新增</w:t>
            </w:r>
          </w:p>
        </w:tc>
        <w:tc>
          <w:tcPr>
            <w:tcW w:w="774" w:type="pct"/>
            <w:tcBorders>
              <w:top w:val="nil"/>
              <w:left w:val="nil"/>
              <w:bottom w:val="single" w:color="000000" w:sz="8" w:space="0"/>
              <w:right w:val="single" w:color="000000" w:sz="8" w:space="0"/>
            </w:tcBorders>
            <w:shd w:val="clear" w:color="auto" w:fill="auto"/>
            <w:vAlign w:val="center"/>
          </w:tcPr>
          <w:p w14:paraId="4D3846C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民族类应用</w:t>
            </w:r>
          </w:p>
        </w:tc>
        <w:tc>
          <w:tcPr>
            <w:tcW w:w="3137" w:type="pct"/>
            <w:tcBorders>
              <w:top w:val="nil"/>
              <w:left w:val="nil"/>
              <w:bottom w:val="single" w:color="000000" w:sz="8" w:space="0"/>
              <w:right w:val="single" w:color="000000" w:sz="8" w:space="0"/>
            </w:tcBorders>
            <w:shd w:val="clear" w:color="auto" w:fill="auto"/>
            <w:vAlign w:val="center"/>
          </w:tcPr>
          <w:p w14:paraId="7A13422E">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民族类随申办市民云/政务云的应用主要有民族联信息查询、民族联人员信息查询、民族联换届信息查询、民族团结进步教育基地查询、民族表彰查询。</w:t>
            </w:r>
          </w:p>
        </w:tc>
      </w:tr>
      <w:tr w14:paraId="35318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A3E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656" w:type="pct"/>
            <w:vMerge w:val="continue"/>
            <w:tcBorders>
              <w:top w:val="nil"/>
              <w:left w:val="nil"/>
              <w:bottom w:val="single" w:color="000000" w:sz="8" w:space="0"/>
              <w:right w:val="single" w:color="000000" w:sz="8" w:space="0"/>
            </w:tcBorders>
            <w:shd w:val="clear" w:color="auto" w:fill="auto"/>
            <w:vAlign w:val="center"/>
          </w:tcPr>
          <w:p w14:paraId="17BDCAB0">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7BF136B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宗教类应用</w:t>
            </w:r>
          </w:p>
        </w:tc>
        <w:tc>
          <w:tcPr>
            <w:tcW w:w="3137" w:type="pct"/>
            <w:tcBorders>
              <w:top w:val="nil"/>
              <w:left w:val="nil"/>
              <w:bottom w:val="single" w:color="000000" w:sz="8" w:space="0"/>
              <w:right w:val="single" w:color="000000" w:sz="8" w:space="0"/>
            </w:tcBorders>
            <w:shd w:val="clear" w:color="auto" w:fill="auto"/>
            <w:vAlign w:val="center"/>
          </w:tcPr>
          <w:p w14:paraId="308B5F3D">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类随申办市民云/政务云的应用主要有宗教团体信息管理（维护和审批）、宗教团体换届信息查询、宗教团体人员信息查询、宗教团体人员奖惩查询、宗教团体财务报表查询、宗教教职人员信息管理（维护和查询）、宗教活动场所信息管理（维护和查询）、宗教活动场所活动报备、宗教活动场所工作人员信息查询、宗教活动场所人流量上报和查询、宗教活动场所管理组织信息维护、宗教院校信息查询、宗教新媒体信息查询、宗教表彰查询。</w:t>
            </w:r>
          </w:p>
        </w:tc>
      </w:tr>
      <w:tr w14:paraId="46668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285C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656" w:type="pct"/>
            <w:vMerge w:val="continue"/>
            <w:tcBorders>
              <w:top w:val="nil"/>
              <w:left w:val="nil"/>
              <w:bottom w:val="single" w:color="000000" w:sz="8" w:space="0"/>
              <w:right w:val="single" w:color="000000" w:sz="8" w:space="0"/>
            </w:tcBorders>
            <w:shd w:val="clear" w:color="auto" w:fill="auto"/>
            <w:vAlign w:val="center"/>
          </w:tcPr>
          <w:p w14:paraId="4CB3E921">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4A302A4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综合事务管理类应用</w:t>
            </w:r>
          </w:p>
        </w:tc>
        <w:tc>
          <w:tcPr>
            <w:tcW w:w="3137" w:type="pct"/>
            <w:tcBorders>
              <w:top w:val="nil"/>
              <w:left w:val="nil"/>
              <w:bottom w:val="single" w:color="000000" w:sz="8" w:space="0"/>
              <w:right w:val="single" w:color="000000" w:sz="8" w:space="0"/>
            </w:tcBorders>
            <w:shd w:val="clear" w:color="auto" w:fill="auto"/>
            <w:vAlign w:val="center"/>
          </w:tcPr>
          <w:p w14:paraId="35212BB8">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综合事务管理类随申办市民云的应用主要有工作信息查看、工作事务查看、通知公告查看。</w:t>
            </w:r>
          </w:p>
        </w:tc>
      </w:tr>
      <w:tr w14:paraId="15363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CB66">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656" w:type="pct"/>
            <w:vMerge w:val="continue"/>
            <w:tcBorders>
              <w:top w:val="nil"/>
              <w:left w:val="nil"/>
              <w:bottom w:val="single" w:color="000000" w:sz="8" w:space="0"/>
              <w:right w:val="single" w:color="000000" w:sz="8" w:space="0"/>
            </w:tcBorders>
            <w:shd w:val="clear" w:color="auto" w:fill="auto"/>
            <w:vAlign w:val="center"/>
          </w:tcPr>
          <w:p w14:paraId="272AE210">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1F8C6FCF">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资料类应用</w:t>
            </w:r>
          </w:p>
        </w:tc>
        <w:tc>
          <w:tcPr>
            <w:tcW w:w="3137" w:type="pct"/>
            <w:tcBorders>
              <w:top w:val="nil"/>
              <w:left w:val="nil"/>
              <w:bottom w:val="single" w:color="000000" w:sz="8" w:space="0"/>
              <w:right w:val="single" w:color="000000" w:sz="8" w:space="0"/>
            </w:tcBorders>
            <w:shd w:val="clear" w:color="auto" w:fill="auto"/>
            <w:vAlign w:val="center"/>
          </w:tcPr>
          <w:p w14:paraId="28D3D05B">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资料类随申办市民云的应用主要有政策法规库查看、应知应会库查看、专家学者库查看、人文库查看、工作案例库查看。</w:t>
            </w:r>
          </w:p>
        </w:tc>
      </w:tr>
      <w:tr w14:paraId="464A3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3"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B19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656" w:type="pct"/>
            <w:vMerge w:val="restart"/>
            <w:tcBorders>
              <w:top w:val="nil"/>
              <w:left w:val="nil"/>
              <w:bottom w:val="single" w:color="000000" w:sz="8" w:space="0"/>
              <w:right w:val="single" w:color="000000" w:sz="8" w:space="0"/>
            </w:tcBorders>
            <w:shd w:val="clear" w:color="auto" w:fill="auto"/>
            <w:vAlign w:val="center"/>
          </w:tcPr>
          <w:p w14:paraId="6311080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宗教教职人员备案全过程管理</w:t>
            </w:r>
          </w:p>
        </w:tc>
        <w:tc>
          <w:tcPr>
            <w:tcW w:w="774" w:type="pct"/>
            <w:tcBorders>
              <w:top w:val="nil"/>
              <w:left w:val="nil"/>
              <w:bottom w:val="single" w:color="000000" w:sz="8" w:space="0"/>
              <w:right w:val="single" w:color="000000" w:sz="8" w:space="0"/>
            </w:tcBorders>
            <w:shd w:val="clear" w:color="auto" w:fill="auto"/>
            <w:vAlign w:val="center"/>
          </w:tcPr>
          <w:p w14:paraId="530A7612">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教职人员新增备案</w:t>
            </w:r>
          </w:p>
        </w:tc>
        <w:tc>
          <w:tcPr>
            <w:tcW w:w="3137" w:type="pct"/>
            <w:tcBorders>
              <w:top w:val="nil"/>
              <w:left w:val="nil"/>
              <w:bottom w:val="single" w:color="000000" w:sz="8" w:space="0"/>
              <w:right w:val="single" w:color="000000" w:sz="8" w:space="0"/>
            </w:tcBorders>
            <w:shd w:val="clear" w:color="auto" w:fill="auto"/>
            <w:vAlign w:val="center"/>
          </w:tcPr>
          <w:p w14:paraId="285AAA7F">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教和基督教五大教派，同时细分为八个板块，包括基本信息、工作履历、教育经历、政治安排履历、出入境证件、主要成就、家庭成员及证书和备案情况。</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基本信息涉及的字段包括姓名、曾用名、性别、民族、身份证、出生日期、籍贯、户籍地、宗教、认证单位、主要教职人员、参加工作时间、教职身份、认证单位类型、所在行政区划、家庭住址、宗教称谓、认证时间、是否国外永久居留证以及爱好特长等等。</w:t>
            </w:r>
          </w:p>
        </w:tc>
      </w:tr>
      <w:tr w14:paraId="7115E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916E3">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656" w:type="pct"/>
            <w:vMerge w:val="continue"/>
            <w:tcBorders>
              <w:top w:val="nil"/>
              <w:left w:val="nil"/>
              <w:bottom w:val="single" w:color="000000" w:sz="8" w:space="0"/>
              <w:right w:val="single" w:color="000000" w:sz="8" w:space="0"/>
            </w:tcBorders>
            <w:shd w:val="clear" w:color="auto" w:fill="auto"/>
            <w:vAlign w:val="center"/>
          </w:tcPr>
          <w:p w14:paraId="12BDBB14">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4A0B62BF">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教职人员修改备案</w:t>
            </w:r>
          </w:p>
        </w:tc>
        <w:tc>
          <w:tcPr>
            <w:tcW w:w="3137" w:type="pct"/>
            <w:tcBorders>
              <w:top w:val="nil"/>
              <w:left w:val="nil"/>
              <w:bottom w:val="single" w:color="000000" w:sz="8" w:space="0"/>
              <w:right w:val="single" w:color="000000" w:sz="8" w:space="0"/>
            </w:tcBorders>
            <w:shd w:val="clear" w:color="auto" w:fill="auto"/>
            <w:vAlign w:val="center"/>
          </w:tcPr>
          <w:p w14:paraId="7A1B3803">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宗教教职人员修改备案管理分佛教、道教、ysl教、天主教、基督教五大教派。</w:t>
            </w:r>
          </w:p>
        </w:tc>
      </w:tr>
      <w:tr w14:paraId="092CE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947B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656" w:type="pct"/>
            <w:vMerge w:val="continue"/>
            <w:tcBorders>
              <w:top w:val="nil"/>
              <w:left w:val="nil"/>
              <w:bottom w:val="single" w:color="000000" w:sz="8" w:space="0"/>
              <w:right w:val="single" w:color="000000" w:sz="8" w:space="0"/>
            </w:tcBorders>
            <w:shd w:val="clear" w:color="auto" w:fill="auto"/>
            <w:vAlign w:val="center"/>
          </w:tcPr>
          <w:p w14:paraId="31B72BB1">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2275C689">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教职人员注销备案</w:t>
            </w:r>
          </w:p>
        </w:tc>
        <w:tc>
          <w:tcPr>
            <w:tcW w:w="3137" w:type="pct"/>
            <w:tcBorders>
              <w:top w:val="nil"/>
              <w:left w:val="nil"/>
              <w:bottom w:val="single" w:color="000000" w:sz="8" w:space="0"/>
              <w:right w:val="single" w:color="000000" w:sz="8" w:space="0"/>
            </w:tcBorders>
            <w:shd w:val="clear" w:color="auto" w:fill="auto"/>
            <w:vAlign w:val="center"/>
          </w:tcPr>
          <w:p w14:paraId="5451F710">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教职人员注销备案管理分佛教、道教、ysl教、天主教、基督教五大教派，教职工注销备案管理涵盖以下关键字段：人员姓名、注销原因（此为必填项，下拉框选项中包括还俗、出境、去世、违法、开除及其他）、注销依据、以及注销时间。</w:t>
            </w:r>
          </w:p>
        </w:tc>
      </w:tr>
      <w:tr w14:paraId="392C8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299A4">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656" w:type="pct"/>
            <w:vMerge w:val="restart"/>
            <w:tcBorders>
              <w:top w:val="nil"/>
              <w:left w:val="nil"/>
              <w:bottom w:val="single" w:color="000000" w:sz="8" w:space="0"/>
              <w:right w:val="single" w:color="000000" w:sz="8" w:space="0"/>
            </w:tcBorders>
            <w:shd w:val="clear" w:color="auto" w:fill="auto"/>
            <w:vAlign w:val="center"/>
          </w:tcPr>
          <w:p w14:paraId="0C0D5222">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人才库管理</w:t>
            </w:r>
          </w:p>
        </w:tc>
        <w:tc>
          <w:tcPr>
            <w:tcW w:w="774" w:type="pct"/>
            <w:tcBorders>
              <w:top w:val="nil"/>
              <w:left w:val="nil"/>
              <w:bottom w:val="single" w:color="000000" w:sz="8" w:space="0"/>
              <w:right w:val="single" w:color="000000" w:sz="8" w:space="0"/>
            </w:tcBorders>
            <w:shd w:val="clear" w:color="auto" w:fill="auto"/>
            <w:vAlign w:val="center"/>
          </w:tcPr>
          <w:p w14:paraId="01B66A3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宗教人才库</w:t>
            </w:r>
          </w:p>
        </w:tc>
        <w:tc>
          <w:tcPr>
            <w:tcW w:w="3137" w:type="pct"/>
            <w:tcBorders>
              <w:top w:val="nil"/>
              <w:left w:val="nil"/>
              <w:bottom w:val="single" w:color="000000" w:sz="8" w:space="0"/>
              <w:right w:val="single" w:color="000000" w:sz="8" w:space="0"/>
            </w:tcBorders>
            <w:shd w:val="clear" w:color="auto" w:fill="auto"/>
            <w:vAlign w:val="center"/>
          </w:tcPr>
          <w:p w14:paraId="1A2FB634">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宗教人才库人才信息库主要包含人才信息维护、人才信息查询、人才信息变更审批。</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通过输入身份证号码对现有系统的宗教教职人员库进行全员检索，如果匹配到对应人才的，调取该人员基本信息；如果没匹配到对应人才的，则手动录入该人员基本信息等等。</w:t>
            </w:r>
          </w:p>
        </w:tc>
      </w:tr>
      <w:tr w14:paraId="1253B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9"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3A4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656" w:type="pct"/>
            <w:vMerge w:val="continue"/>
            <w:tcBorders>
              <w:top w:val="nil"/>
              <w:left w:val="nil"/>
              <w:bottom w:val="single" w:color="000000" w:sz="8" w:space="0"/>
              <w:right w:val="single" w:color="000000" w:sz="8" w:space="0"/>
            </w:tcBorders>
            <w:shd w:val="clear" w:color="auto" w:fill="auto"/>
            <w:vAlign w:val="center"/>
          </w:tcPr>
          <w:p w14:paraId="795136D8">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48032DD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列名联系（管理）</w:t>
            </w:r>
          </w:p>
        </w:tc>
        <w:tc>
          <w:tcPr>
            <w:tcW w:w="3137" w:type="pct"/>
            <w:tcBorders>
              <w:top w:val="nil"/>
              <w:left w:val="nil"/>
              <w:bottom w:val="single" w:color="000000" w:sz="8" w:space="0"/>
              <w:right w:val="single" w:color="000000" w:sz="8" w:space="0"/>
            </w:tcBorders>
            <w:shd w:val="clear" w:color="auto" w:fill="auto"/>
            <w:vAlign w:val="center"/>
          </w:tcPr>
          <w:p w14:paraId="180B4B77">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列名联系（管理）类似于宗教人才库的功能，区别在于列名联系（管理）的对象还包含宗教界的非教职人员或非宗教界的人员，这类人员（非宗教教职人员）都是对宗教理论有所研究，对宗教界具有一定影响力的专家学者。</w:t>
            </w:r>
          </w:p>
        </w:tc>
      </w:tr>
      <w:tr w14:paraId="20EB1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D55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656" w:type="pct"/>
            <w:vMerge w:val="continue"/>
            <w:tcBorders>
              <w:top w:val="nil"/>
              <w:left w:val="nil"/>
              <w:bottom w:val="single" w:color="000000" w:sz="8" w:space="0"/>
              <w:right w:val="single" w:color="000000" w:sz="8" w:space="0"/>
            </w:tcBorders>
            <w:shd w:val="clear" w:color="auto" w:fill="auto"/>
            <w:vAlign w:val="center"/>
          </w:tcPr>
          <w:p w14:paraId="31A907A7">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2F71542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预警提示</w:t>
            </w:r>
          </w:p>
        </w:tc>
        <w:tc>
          <w:tcPr>
            <w:tcW w:w="3137" w:type="pct"/>
            <w:tcBorders>
              <w:top w:val="nil"/>
              <w:left w:val="nil"/>
              <w:bottom w:val="single" w:color="000000" w:sz="8" w:space="0"/>
              <w:right w:val="single" w:color="000000" w:sz="8" w:space="0"/>
            </w:tcBorders>
            <w:shd w:val="clear" w:color="auto" w:fill="auto"/>
            <w:vAlign w:val="center"/>
          </w:tcPr>
          <w:p w14:paraId="099D7AF6">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预警提示主要是涉及宗教人才库、列名联系（管理）的人员，在系统中其他板块发生奖惩数据时，系统后台自动抽取数据，在人才库管理板块中进行预警提示。便于市民宗局相关处室进行风险预判。</w:t>
            </w:r>
          </w:p>
        </w:tc>
      </w:tr>
      <w:tr w14:paraId="03992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F3DA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656" w:type="pct"/>
            <w:vMerge w:val="restart"/>
            <w:tcBorders>
              <w:top w:val="nil"/>
              <w:left w:val="nil"/>
              <w:bottom w:val="single" w:color="000000" w:sz="8" w:space="0"/>
              <w:right w:val="single" w:color="000000" w:sz="8" w:space="0"/>
            </w:tcBorders>
            <w:shd w:val="clear" w:color="auto" w:fill="auto"/>
            <w:vAlign w:val="center"/>
          </w:tcPr>
          <w:p w14:paraId="140F83D9">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宗教活动场所消防安全管理</w:t>
            </w:r>
          </w:p>
        </w:tc>
        <w:tc>
          <w:tcPr>
            <w:tcW w:w="774" w:type="pct"/>
            <w:tcBorders>
              <w:top w:val="nil"/>
              <w:left w:val="nil"/>
              <w:bottom w:val="single" w:color="000000" w:sz="8" w:space="0"/>
              <w:right w:val="single" w:color="000000" w:sz="8" w:space="0"/>
            </w:tcBorders>
            <w:shd w:val="clear" w:color="auto" w:fill="auto"/>
            <w:vAlign w:val="center"/>
          </w:tcPr>
          <w:p w14:paraId="535695B5">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场所消防安全达标指标设置</w:t>
            </w:r>
          </w:p>
        </w:tc>
        <w:tc>
          <w:tcPr>
            <w:tcW w:w="3137" w:type="pct"/>
            <w:tcBorders>
              <w:top w:val="nil"/>
              <w:left w:val="nil"/>
              <w:bottom w:val="single" w:color="000000" w:sz="8" w:space="0"/>
              <w:right w:val="single" w:color="000000" w:sz="8" w:space="0"/>
            </w:tcBorders>
            <w:shd w:val="clear" w:color="auto" w:fill="auto"/>
            <w:vAlign w:val="center"/>
          </w:tcPr>
          <w:p w14:paraId="0E4540D3">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市民宗局每年根据全市消防安全的工作重点进行场所消防安全达标指标的维护工作，要求每年对《上海市宗教活动场所消防安全标准化管理达标验收评分表》和特殊评分项进行设置，不做指标数据覆盖。</w:t>
            </w:r>
          </w:p>
        </w:tc>
      </w:tr>
      <w:tr w14:paraId="2287C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9"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5FDD">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656" w:type="pct"/>
            <w:vMerge w:val="continue"/>
            <w:tcBorders>
              <w:top w:val="nil"/>
              <w:left w:val="nil"/>
              <w:bottom w:val="single" w:color="000000" w:sz="8" w:space="0"/>
              <w:right w:val="single" w:color="000000" w:sz="8" w:space="0"/>
            </w:tcBorders>
            <w:shd w:val="clear" w:color="auto" w:fill="auto"/>
            <w:vAlign w:val="center"/>
          </w:tcPr>
          <w:p w14:paraId="54C8DB8C">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1D7250D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场所消防底账管理</w:t>
            </w:r>
          </w:p>
        </w:tc>
        <w:tc>
          <w:tcPr>
            <w:tcW w:w="3137" w:type="pct"/>
            <w:tcBorders>
              <w:top w:val="nil"/>
              <w:left w:val="nil"/>
              <w:bottom w:val="single" w:color="000000" w:sz="8" w:space="0"/>
              <w:right w:val="single" w:color="000000" w:sz="8" w:space="0"/>
            </w:tcBorders>
            <w:shd w:val="clear" w:color="auto" w:fill="auto"/>
            <w:vAlign w:val="center"/>
          </w:tcPr>
          <w:p w14:paraId="05D291EA">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对全市宗教活动场所进行消防底账的管理，汇集管理宗教活动场所的消防设施，消防设施种类，由宗教活动场所申请达标场所时进行填报，包含灭火器，微型消防站等设施类型。</w:t>
            </w:r>
          </w:p>
        </w:tc>
      </w:tr>
      <w:tr w14:paraId="2FA50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1689">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656" w:type="pct"/>
            <w:vMerge w:val="continue"/>
            <w:tcBorders>
              <w:top w:val="nil"/>
              <w:left w:val="nil"/>
              <w:bottom w:val="single" w:color="000000" w:sz="8" w:space="0"/>
              <w:right w:val="single" w:color="000000" w:sz="8" w:space="0"/>
            </w:tcBorders>
            <w:shd w:val="clear" w:color="auto" w:fill="auto"/>
            <w:vAlign w:val="center"/>
          </w:tcPr>
          <w:p w14:paraId="347C51F4">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2DCEEC0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场所消防达标申请</w:t>
            </w:r>
          </w:p>
        </w:tc>
        <w:tc>
          <w:tcPr>
            <w:tcW w:w="3137" w:type="pct"/>
            <w:tcBorders>
              <w:top w:val="nil"/>
              <w:left w:val="nil"/>
              <w:bottom w:val="single" w:color="000000" w:sz="8" w:space="0"/>
              <w:right w:val="single" w:color="000000" w:sz="8" w:space="0"/>
            </w:tcBorders>
            <w:shd w:val="clear" w:color="auto" w:fill="auto"/>
            <w:vAlign w:val="center"/>
          </w:tcPr>
          <w:p w14:paraId="567F49F4">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提交消防达标的申请，提交予以自评的《上海市宗教活动场所消防安全标准化管理达标验收评分表》，以及宗教活动场所相关的消防设施底账信息，需经过区民宗办（联同市消防总队相关部门）进行评分表的复核并打分，《上海市宗教活动场所消防安全标准化管理达标验收评分表》包含考评项目、分值、考评内容、评分标准，自评分以及考评分等信息。</w:t>
            </w:r>
          </w:p>
        </w:tc>
      </w:tr>
      <w:tr w14:paraId="05500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1FF0">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656" w:type="pct"/>
            <w:vMerge w:val="continue"/>
            <w:tcBorders>
              <w:top w:val="nil"/>
              <w:left w:val="nil"/>
              <w:bottom w:val="single" w:color="000000" w:sz="8" w:space="0"/>
              <w:right w:val="single" w:color="000000" w:sz="8" w:space="0"/>
            </w:tcBorders>
            <w:shd w:val="clear" w:color="auto" w:fill="auto"/>
            <w:vAlign w:val="center"/>
          </w:tcPr>
          <w:p w14:paraId="607B9B8E">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1550384E">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场所消防达标检查及复核</w:t>
            </w:r>
          </w:p>
        </w:tc>
        <w:tc>
          <w:tcPr>
            <w:tcW w:w="3137" w:type="pct"/>
            <w:tcBorders>
              <w:top w:val="nil"/>
              <w:left w:val="nil"/>
              <w:bottom w:val="single" w:color="000000" w:sz="8" w:space="0"/>
              <w:right w:val="single" w:color="000000" w:sz="8" w:space="0"/>
            </w:tcBorders>
            <w:shd w:val="clear" w:color="auto" w:fill="auto"/>
            <w:vAlign w:val="center"/>
          </w:tcPr>
          <w:p w14:paraId="22BCFFDB">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取得消防达标后，由市宗教服务中心连同市消防总队进行不定期抽查，系统可按区域或指定场所、指定检查的数量制定检查任务，旨在对宗教活动场所的消防安全进行常态化检查，敦促场所管理方提高消防安全意识。对于宗教活动场所消防检查出的问题进行通知整改，并复核整改结果。</w:t>
            </w:r>
          </w:p>
        </w:tc>
      </w:tr>
      <w:tr w14:paraId="1A36B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E9AD">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656" w:type="pct"/>
            <w:vMerge w:val="continue"/>
            <w:tcBorders>
              <w:top w:val="nil"/>
              <w:left w:val="nil"/>
              <w:bottom w:val="single" w:color="000000" w:sz="8" w:space="0"/>
              <w:right w:val="single" w:color="000000" w:sz="8" w:space="0"/>
            </w:tcBorders>
            <w:shd w:val="clear" w:color="auto" w:fill="auto"/>
            <w:vAlign w:val="center"/>
          </w:tcPr>
          <w:p w14:paraId="5E852C63">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65928685">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场所消防安全日常巡查</w:t>
            </w:r>
          </w:p>
        </w:tc>
        <w:tc>
          <w:tcPr>
            <w:tcW w:w="3137" w:type="pct"/>
            <w:tcBorders>
              <w:top w:val="nil"/>
              <w:left w:val="nil"/>
              <w:bottom w:val="single" w:color="000000" w:sz="8" w:space="0"/>
              <w:right w:val="single" w:color="000000" w:sz="8" w:space="0"/>
            </w:tcBorders>
            <w:shd w:val="clear" w:color="auto" w:fill="auto"/>
            <w:vAlign w:val="center"/>
          </w:tcPr>
          <w:p w14:paraId="7198C9B1">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需每日、每月进行场所巡查记录的上报。每日填写《防火巡查记录表》，包含巡查人、主管人、巡查时间、巡查区域、巡查情况（用火\用电情况、安全出口、应急照明灯疏散指示标志、消防设施器材、防火门\防火卷帘、重点部位人员），每月填写《防火巡查记录表》，存在微型消防站的相关宗教活动场所填写《消防控制室值班记录表》。宗教活动场所存在消防设施故障维修的情况的填写《建筑消防设施故障维修记录表》，包含故障情况（发现时间、发现人签名、故障部位、故障情况描述）、故障维修情况（是否停用系统、安全保护措施、维修时间、维修人员（单位）、维修方式）、故障排除情况、复核人签字。</w:t>
            </w:r>
          </w:p>
        </w:tc>
      </w:tr>
      <w:tr w14:paraId="205C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2A3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656" w:type="pct"/>
            <w:vMerge w:val="continue"/>
            <w:tcBorders>
              <w:top w:val="nil"/>
              <w:left w:val="nil"/>
              <w:bottom w:val="single" w:color="000000" w:sz="8" w:space="0"/>
              <w:right w:val="single" w:color="000000" w:sz="8" w:space="0"/>
            </w:tcBorders>
            <w:shd w:val="clear" w:color="auto" w:fill="auto"/>
            <w:vAlign w:val="center"/>
          </w:tcPr>
          <w:p w14:paraId="64653CCE">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7B1B9C7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场所消防安全事件一键报警</w:t>
            </w:r>
          </w:p>
        </w:tc>
        <w:tc>
          <w:tcPr>
            <w:tcW w:w="3137" w:type="pct"/>
            <w:tcBorders>
              <w:top w:val="nil"/>
              <w:left w:val="nil"/>
              <w:bottom w:val="single" w:color="000000" w:sz="8" w:space="0"/>
              <w:right w:val="single" w:color="000000" w:sz="8" w:space="0"/>
            </w:tcBorders>
            <w:shd w:val="clear" w:color="auto" w:fill="auto"/>
            <w:vAlign w:val="center"/>
          </w:tcPr>
          <w:p w14:paraId="12028D0A">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本模块用于对宗教活动场所的预警信息的汇集与记录，宗教活动场所人员在日常巡检时发现的紧急情况，如重大火灾，可移动端进行一键报警，报警信息上报至市级及相关业务处室的移动端进行警情信息的提醒与确认，同时短信提醒，并对报警信息进行记录留存。</w:t>
            </w:r>
          </w:p>
        </w:tc>
      </w:tr>
      <w:tr w14:paraId="01D58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3BA4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656" w:type="pct"/>
            <w:vMerge w:val="continue"/>
            <w:tcBorders>
              <w:top w:val="nil"/>
              <w:left w:val="nil"/>
              <w:bottom w:val="single" w:color="000000" w:sz="8" w:space="0"/>
              <w:right w:val="single" w:color="000000" w:sz="8" w:space="0"/>
            </w:tcBorders>
            <w:shd w:val="clear" w:color="auto" w:fill="auto"/>
            <w:vAlign w:val="center"/>
          </w:tcPr>
          <w:p w14:paraId="2187DA8F">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481919F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场所消防安全统计分析</w:t>
            </w:r>
          </w:p>
        </w:tc>
        <w:tc>
          <w:tcPr>
            <w:tcW w:w="3137" w:type="pct"/>
            <w:tcBorders>
              <w:top w:val="nil"/>
              <w:left w:val="nil"/>
              <w:bottom w:val="single" w:color="000000" w:sz="8" w:space="0"/>
              <w:right w:val="single" w:color="000000" w:sz="8" w:space="0"/>
            </w:tcBorders>
            <w:shd w:val="clear" w:color="auto" w:fill="auto"/>
            <w:vAlign w:val="center"/>
          </w:tcPr>
          <w:p w14:paraId="4E268D7E">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本模块用于对宗教活动场所的消防安全达标情况进行全过程的跟踪统计，聚焦于场所获取达标、合格的时间线统计、历年等级评定情况、安全等级评定数量统计、消防安全事件提醒、随机检查、工作表总结等用于宗教活动场所主管部门辅助决策。</w:t>
            </w:r>
          </w:p>
        </w:tc>
      </w:tr>
      <w:tr w14:paraId="263FC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B2EE2">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21</w:t>
            </w:r>
          </w:p>
        </w:tc>
        <w:tc>
          <w:tcPr>
            <w:tcW w:w="656" w:type="pct"/>
            <w:vMerge w:val="continue"/>
            <w:tcBorders>
              <w:top w:val="nil"/>
              <w:left w:val="nil"/>
              <w:bottom w:val="single" w:color="000000" w:sz="8" w:space="0"/>
              <w:right w:val="single" w:color="000000" w:sz="8" w:space="0"/>
            </w:tcBorders>
            <w:shd w:val="clear" w:color="auto" w:fill="auto"/>
            <w:vAlign w:val="center"/>
          </w:tcPr>
          <w:p w14:paraId="6D3A5CC0">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1D8152F6">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移动端_场所消防底账管理</w:t>
            </w:r>
          </w:p>
        </w:tc>
        <w:tc>
          <w:tcPr>
            <w:tcW w:w="3137" w:type="pct"/>
            <w:tcBorders>
              <w:top w:val="nil"/>
              <w:left w:val="nil"/>
              <w:bottom w:val="single" w:color="000000" w:sz="8" w:space="0"/>
              <w:right w:val="single" w:color="000000" w:sz="8" w:space="0"/>
            </w:tcBorders>
            <w:shd w:val="clear" w:color="auto" w:fill="auto"/>
            <w:vAlign w:val="center"/>
          </w:tcPr>
          <w:p w14:paraId="13BAB210">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对全市宗教活动场所进行消防底账和明细信息的管理，汇集管理宗教活动场所的消防设施，消防设施种类，由宗教活动场所申请达标场所时进行填报，包含灭火器，微型消防站等设施类型。明细信息中涉及的各类检查台账以查询只读方式显示。</w:t>
            </w:r>
          </w:p>
        </w:tc>
      </w:tr>
      <w:tr w14:paraId="4EC82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F225">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w:t>
            </w:r>
          </w:p>
        </w:tc>
        <w:tc>
          <w:tcPr>
            <w:tcW w:w="656" w:type="pct"/>
            <w:vMerge w:val="continue"/>
            <w:tcBorders>
              <w:top w:val="nil"/>
              <w:left w:val="nil"/>
              <w:bottom w:val="single" w:color="000000" w:sz="8" w:space="0"/>
              <w:right w:val="single" w:color="000000" w:sz="8" w:space="0"/>
            </w:tcBorders>
            <w:shd w:val="clear" w:color="auto" w:fill="auto"/>
            <w:vAlign w:val="center"/>
          </w:tcPr>
          <w:p w14:paraId="5F88CCBB">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5C131A3D">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移动端_场所消防达标申请</w:t>
            </w:r>
          </w:p>
        </w:tc>
        <w:tc>
          <w:tcPr>
            <w:tcW w:w="3137" w:type="pct"/>
            <w:tcBorders>
              <w:top w:val="nil"/>
              <w:left w:val="nil"/>
              <w:bottom w:val="single" w:color="000000" w:sz="8" w:space="0"/>
              <w:right w:val="single" w:color="000000" w:sz="8" w:space="0"/>
            </w:tcBorders>
            <w:shd w:val="clear" w:color="auto" w:fill="auto"/>
            <w:vAlign w:val="center"/>
          </w:tcPr>
          <w:p w14:paraId="6F9D8B47">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宗教活动场所提交消防达标申请的移动端应用，提交予以自评的《上海市宗教活动场所消防安全标准化管理达标验收评分表》，以及宗教活动场所相关的消防设施底账信息。</w:t>
            </w:r>
          </w:p>
        </w:tc>
      </w:tr>
      <w:tr w14:paraId="36D51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F19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23</w:t>
            </w:r>
          </w:p>
        </w:tc>
        <w:tc>
          <w:tcPr>
            <w:tcW w:w="656" w:type="pct"/>
            <w:vMerge w:val="continue"/>
            <w:tcBorders>
              <w:top w:val="nil"/>
              <w:left w:val="nil"/>
              <w:bottom w:val="single" w:color="000000" w:sz="8" w:space="0"/>
              <w:right w:val="single" w:color="000000" w:sz="8" w:space="0"/>
            </w:tcBorders>
            <w:shd w:val="clear" w:color="auto" w:fill="auto"/>
            <w:vAlign w:val="center"/>
          </w:tcPr>
          <w:p w14:paraId="02718AF1">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5CC058DF">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移动端_场所消防达标检查及复核</w:t>
            </w:r>
          </w:p>
        </w:tc>
        <w:tc>
          <w:tcPr>
            <w:tcW w:w="3137" w:type="pct"/>
            <w:tcBorders>
              <w:top w:val="nil"/>
              <w:left w:val="nil"/>
              <w:bottom w:val="single" w:color="000000" w:sz="8" w:space="0"/>
              <w:right w:val="single" w:color="000000" w:sz="8" w:space="0"/>
            </w:tcBorders>
            <w:shd w:val="clear" w:color="auto" w:fill="auto"/>
            <w:vAlign w:val="center"/>
          </w:tcPr>
          <w:p w14:paraId="2B95366E">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此模块由区办登录使用，针对宗教活动场所提交自评《上海市宗教活动场所消防安全标准化管理达标验收评分表》进行复核，各区办用户可查看本区办宗教活动场所提交的申请信息以及历史复核记录。宗教活动场所登录后可查看由市宗教服务中心连同市消防总队进行不定期抽查后下发的整改通知，场所用户可通过此模块反馈整改结果。</w:t>
            </w:r>
          </w:p>
        </w:tc>
      </w:tr>
      <w:tr w14:paraId="77B26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A8D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24</w:t>
            </w:r>
          </w:p>
        </w:tc>
        <w:tc>
          <w:tcPr>
            <w:tcW w:w="656" w:type="pct"/>
            <w:vMerge w:val="continue"/>
            <w:tcBorders>
              <w:top w:val="nil"/>
              <w:left w:val="nil"/>
              <w:bottom w:val="single" w:color="000000" w:sz="8" w:space="0"/>
              <w:right w:val="single" w:color="000000" w:sz="8" w:space="0"/>
            </w:tcBorders>
            <w:shd w:val="clear" w:color="auto" w:fill="auto"/>
            <w:vAlign w:val="center"/>
          </w:tcPr>
          <w:p w14:paraId="4CB2ADA5">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050243E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移动端_场所消防安全日常巡查</w:t>
            </w:r>
          </w:p>
        </w:tc>
        <w:tc>
          <w:tcPr>
            <w:tcW w:w="3137" w:type="pct"/>
            <w:tcBorders>
              <w:top w:val="nil"/>
              <w:left w:val="nil"/>
              <w:bottom w:val="single" w:color="000000" w:sz="8" w:space="0"/>
              <w:right w:val="single" w:color="000000" w:sz="8" w:space="0"/>
            </w:tcBorders>
            <w:shd w:val="clear" w:color="auto" w:fill="auto"/>
            <w:vAlign w:val="center"/>
          </w:tcPr>
          <w:p w14:paraId="5482C163">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需每日、每月在移动端进行场所巡查记录的上报。每日填写《防火巡查记录表》，包含巡查人、主管人、巡查时间、巡查区域、巡查情况（用火\用电情况、安全出口、应急照明灯疏散指示标志、消防设施器材、防火门\防火卷帘、重点部位人员），每月填写《防火巡查记录表》，存在微型消防站的相关宗教活动场所填写《消防控制室值班记录表》。宗教活动场所存在消防设施故障维修的情况的填写《建筑消防设施故障维修记录表》，包含故障情况（发现时间、发现人签名、故障部位、故障情况描述）、故障维修情况（是否停用系统、安全保护措施、维修时间、维修人员（单位）、维修方式）、故障排除情况、复核人签字。</w:t>
            </w:r>
          </w:p>
        </w:tc>
      </w:tr>
      <w:tr w14:paraId="005F5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E3A9">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25</w:t>
            </w:r>
          </w:p>
        </w:tc>
        <w:tc>
          <w:tcPr>
            <w:tcW w:w="656" w:type="pct"/>
            <w:vMerge w:val="continue"/>
            <w:tcBorders>
              <w:top w:val="nil"/>
              <w:left w:val="nil"/>
              <w:bottom w:val="single" w:color="000000" w:sz="8" w:space="0"/>
              <w:right w:val="single" w:color="000000" w:sz="8" w:space="0"/>
            </w:tcBorders>
            <w:shd w:val="clear" w:color="auto" w:fill="auto"/>
            <w:vAlign w:val="center"/>
          </w:tcPr>
          <w:p w14:paraId="4883690E">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21BEE9AD">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移动端_场所消防安全事件一键上报</w:t>
            </w:r>
          </w:p>
        </w:tc>
        <w:tc>
          <w:tcPr>
            <w:tcW w:w="3137" w:type="pct"/>
            <w:tcBorders>
              <w:top w:val="nil"/>
              <w:left w:val="nil"/>
              <w:bottom w:val="single" w:color="000000" w:sz="8" w:space="0"/>
              <w:right w:val="single" w:color="000000" w:sz="8" w:space="0"/>
            </w:tcBorders>
            <w:shd w:val="clear" w:color="auto" w:fill="auto"/>
            <w:vAlign w:val="center"/>
          </w:tcPr>
          <w:p w14:paraId="70AA5459">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宗教活动场所人员在日常巡检时发现的紧急情况，如重大火灾，可移动端进行一键报警，报警信息上报至市级及相关业务处室的移动端进行警情信息的提醒与确认。</w:t>
            </w:r>
          </w:p>
        </w:tc>
      </w:tr>
      <w:tr w14:paraId="47D15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46EF">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w:t>
            </w:r>
          </w:p>
        </w:tc>
        <w:tc>
          <w:tcPr>
            <w:tcW w:w="656" w:type="pct"/>
            <w:vMerge w:val="restart"/>
            <w:tcBorders>
              <w:top w:val="nil"/>
              <w:left w:val="nil"/>
              <w:bottom w:val="single" w:color="000000" w:sz="8" w:space="0"/>
              <w:right w:val="single" w:color="000000" w:sz="8" w:space="0"/>
            </w:tcBorders>
            <w:shd w:val="clear" w:color="auto" w:fill="auto"/>
            <w:vAlign w:val="center"/>
          </w:tcPr>
          <w:p w14:paraId="1B09EAC5">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深度查询</w:t>
            </w:r>
          </w:p>
        </w:tc>
        <w:tc>
          <w:tcPr>
            <w:tcW w:w="774" w:type="pct"/>
            <w:tcBorders>
              <w:top w:val="nil"/>
              <w:left w:val="nil"/>
              <w:bottom w:val="single" w:color="000000" w:sz="8" w:space="0"/>
              <w:right w:val="single" w:color="000000" w:sz="8" w:space="0"/>
            </w:tcBorders>
            <w:shd w:val="clear" w:color="auto" w:fill="auto"/>
            <w:vAlign w:val="center"/>
          </w:tcPr>
          <w:p w14:paraId="710A70E2">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全文检索引擎建设</w:t>
            </w:r>
          </w:p>
        </w:tc>
        <w:tc>
          <w:tcPr>
            <w:tcW w:w="3137" w:type="pct"/>
            <w:tcBorders>
              <w:top w:val="nil"/>
              <w:left w:val="nil"/>
              <w:bottom w:val="single" w:color="000000" w:sz="8" w:space="0"/>
              <w:right w:val="single" w:color="000000" w:sz="8" w:space="0"/>
            </w:tcBorders>
            <w:shd w:val="clear" w:color="auto" w:fill="auto"/>
            <w:vAlign w:val="center"/>
          </w:tcPr>
          <w:p w14:paraId="6DD5E11E">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通过精准索引设计、查询语法优化、分词器适配和系统资源调配的方式，可显著提升达梦数据库在结构化数据中的全文检索效率。</w:t>
            </w:r>
          </w:p>
        </w:tc>
      </w:tr>
      <w:tr w14:paraId="15CA0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6FF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w:t>
            </w:r>
          </w:p>
        </w:tc>
        <w:tc>
          <w:tcPr>
            <w:tcW w:w="656" w:type="pct"/>
            <w:vMerge w:val="continue"/>
            <w:tcBorders>
              <w:top w:val="nil"/>
              <w:left w:val="nil"/>
              <w:bottom w:val="single" w:color="000000" w:sz="8" w:space="0"/>
              <w:right w:val="single" w:color="000000" w:sz="8" w:space="0"/>
            </w:tcBorders>
            <w:shd w:val="clear" w:color="auto" w:fill="auto"/>
            <w:vAlign w:val="center"/>
          </w:tcPr>
          <w:p w14:paraId="1AF1A1C7">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1F6C3E1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深度查询功能</w:t>
            </w:r>
          </w:p>
        </w:tc>
        <w:tc>
          <w:tcPr>
            <w:tcW w:w="3137" w:type="pct"/>
            <w:tcBorders>
              <w:top w:val="nil"/>
              <w:left w:val="nil"/>
              <w:bottom w:val="single" w:color="000000" w:sz="8" w:space="0"/>
              <w:right w:val="single" w:color="000000" w:sz="8" w:space="0"/>
            </w:tcBorders>
            <w:shd w:val="clear" w:color="auto" w:fill="auto"/>
            <w:vAlign w:val="center"/>
          </w:tcPr>
          <w:p w14:paraId="4AC4E313">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深度查询主要对现有系统中的宗教教职人员、宗教活动场所工作人员、宗教活动场所、宗教团体、民族团体、历年数据变化等数据进行全文搜索，并且基于用户搜索行为，动态计算关键词热度指数，实时更新热词排行榜。</w:t>
            </w:r>
          </w:p>
        </w:tc>
      </w:tr>
      <w:tr w14:paraId="78BDD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BF55">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w:t>
            </w:r>
          </w:p>
        </w:tc>
        <w:tc>
          <w:tcPr>
            <w:tcW w:w="656" w:type="pct"/>
            <w:vMerge w:val="restart"/>
            <w:tcBorders>
              <w:top w:val="nil"/>
              <w:left w:val="nil"/>
              <w:bottom w:val="single" w:color="000000" w:sz="8" w:space="0"/>
              <w:right w:val="single" w:color="000000" w:sz="8" w:space="0"/>
            </w:tcBorders>
            <w:shd w:val="clear" w:color="auto" w:fill="auto"/>
            <w:vAlign w:val="center"/>
          </w:tcPr>
          <w:p w14:paraId="1B46A79E">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审批中心</w:t>
            </w:r>
          </w:p>
        </w:tc>
        <w:tc>
          <w:tcPr>
            <w:tcW w:w="774" w:type="pct"/>
            <w:tcBorders>
              <w:top w:val="nil"/>
              <w:left w:val="nil"/>
              <w:bottom w:val="single" w:color="000000" w:sz="8" w:space="0"/>
              <w:right w:val="single" w:color="000000" w:sz="8" w:space="0"/>
            </w:tcBorders>
            <w:shd w:val="clear" w:color="auto" w:fill="auto"/>
            <w:vAlign w:val="center"/>
          </w:tcPr>
          <w:p w14:paraId="3442142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审批中心</w:t>
            </w:r>
          </w:p>
        </w:tc>
        <w:tc>
          <w:tcPr>
            <w:tcW w:w="3137" w:type="pct"/>
            <w:tcBorders>
              <w:top w:val="nil"/>
              <w:left w:val="nil"/>
              <w:bottom w:val="single" w:color="000000" w:sz="8" w:space="0"/>
              <w:right w:val="single" w:color="000000" w:sz="8" w:space="0"/>
            </w:tcBorders>
            <w:shd w:val="clear" w:color="auto" w:fill="auto"/>
            <w:vAlign w:val="center"/>
          </w:tcPr>
          <w:p w14:paraId="227A54F9">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审批中心包括审批流程的数量统计功能，包括如下：</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处理中数量：显示当前正在处理的审批流程数量。</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已处理数量：统计已完成审批并处理完毕的流程数量。</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抄送数量：显示已经抄送到相关人员或部门的审批流程数量。列表显示事项名称、事项类型、提交人、提交时间、审批人/抄送人、到达时间、审批/抄送状态。其中审批状态包括审核中、审核完成，抄送状态包括已阅、待查看。</w:t>
            </w:r>
          </w:p>
        </w:tc>
      </w:tr>
      <w:tr w14:paraId="6CF6C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8"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9D4D">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w:t>
            </w:r>
          </w:p>
        </w:tc>
        <w:tc>
          <w:tcPr>
            <w:tcW w:w="656" w:type="pct"/>
            <w:vMerge w:val="continue"/>
            <w:tcBorders>
              <w:top w:val="nil"/>
              <w:left w:val="nil"/>
              <w:bottom w:val="single" w:color="000000" w:sz="8" w:space="0"/>
              <w:right w:val="single" w:color="000000" w:sz="8" w:space="0"/>
            </w:tcBorders>
            <w:shd w:val="clear" w:color="auto" w:fill="auto"/>
            <w:vAlign w:val="center"/>
          </w:tcPr>
          <w:p w14:paraId="7A0FF828">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713D2F89">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引擎审批时效升级</w:t>
            </w:r>
          </w:p>
        </w:tc>
        <w:tc>
          <w:tcPr>
            <w:tcW w:w="3137" w:type="pct"/>
            <w:tcBorders>
              <w:top w:val="nil"/>
              <w:left w:val="nil"/>
              <w:bottom w:val="single" w:color="000000" w:sz="8" w:space="0"/>
              <w:right w:val="single" w:color="000000" w:sz="8" w:space="0"/>
            </w:tcBorders>
            <w:shd w:val="clear" w:color="auto" w:fill="auto"/>
            <w:vAlign w:val="center"/>
          </w:tcPr>
          <w:p w14:paraId="1860A077">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在工作流审批系统中，为提高审批效率和响应速度，需要对现有的引擎审批时效进行升级。升级内容包括：</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优化审批流程设计：重新梳理审批流程，合理设置审批节点和责任人。</w:t>
            </w:r>
          </w:p>
        </w:tc>
      </w:tr>
      <w:tr w14:paraId="23995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8C5A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w:t>
            </w:r>
          </w:p>
        </w:tc>
        <w:tc>
          <w:tcPr>
            <w:tcW w:w="656" w:type="pct"/>
            <w:vMerge w:val="restart"/>
            <w:tcBorders>
              <w:top w:val="nil"/>
              <w:left w:val="nil"/>
              <w:bottom w:val="single" w:color="000000" w:sz="8" w:space="0"/>
              <w:right w:val="single" w:color="000000" w:sz="8" w:space="0"/>
            </w:tcBorders>
            <w:shd w:val="clear" w:color="auto" w:fill="auto"/>
            <w:vAlign w:val="center"/>
          </w:tcPr>
          <w:p w14:paraId="1D12F24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数据和报表分析</w:t>
            </w:r>
          </w:p>
        </w:tc>
        <w:tc>
          <w:tcPr>
            <w:tcW w:w="774" w:type="pct"/>
            <w:tcBorders>
              <w:top w:val="nil"/>
              <w:left w:val="nil"/>
              <w:bottom w:val="single" w:color="000000" w:sz="8" w:space="0"/>
              <w:right w:val="single" w:color="000000" w:sz="8" w:space="0"/>
            </w:tcBorders>
            <w:shd w:val="clear" w:color="auto" w:fill="auto"/>
            <w:vAlign w:val="center"/>
          </w:tcPr>
          <w:p w14:paraId="2501ECC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民族数据维护量分析</w:t>
            </w:r>
          </w:p>
        </w:tc>
        <w:tc>
          <w:tcPr>
            <w:tcW w:w="3137" w:type="pct"/>
            <w:tcBorders>
              <w:top w:val="nil"/>
              <w:left w:val="nil"/>
              <w:bottom w:val="single" w:color="000000" w:sz="8" w:space="0"/>
              <w:right w:val="single" w:color="000000" w:sz="8" w:space="0"/>
            </w:tcBorders>
            <w:shd w:val="clear" w:color="auto" w:fill="auto"/>
            <w:vAlign w:val="center"/>
          </w:tcPr>
          <w:p w14:paraId="23FE3FFC">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民族数据维护量分析是对指定的时间期间进行数据分析，主要集中在民族联数据维护量、民族联人员数据维护量、民族团结进度教育基地数据维护量、民族表彰数据维护量。</w:t>
            </w:r>
          </w:p>
        </w:tc>
      </w:tr>
      <w:tr w14:paraId="1D5B6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2A90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31</w:t>
            </w:r>
          </w:p>
        </w:tc>
        <w:tc>
          <w:tcPr>
            <w:tcW w:w="656" w:type="pct"/>
            <w:vMerge w:val="continue"/>
            <w:tcBorders>
              <w:top w:val="nil"/>
              <w:left w:val="nil"/>
              <w:bottom w:val="single" w:color="000000" w:sz="8" w:space="0"/>
              <w:right w:val="single" w:color="000000" w:sz="8" w:space="0"/>
            </w:tcBorders>
            <w:shd w:val="clear" w:color="auto" w:fill="auto"/>
            <w:vAlign w:val="center"/>
          </w:tcPr>
          <w:p w14:paraId="15AF8CAC">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2C965BC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宗教数据维护量分析</w:t>
            </w:r>
          </w:p>
        </w:tc>
        <w:tc>
          <w:tcPr>
            <w:tcW w:w="3137" w:type="pct"/>
            <w:tcBorders>
              <w:top w:val="nil"/>
              <w:left w:val="nil"/>
              <w:bottom w:val="single" w:color="000000" w:sz="8" w:space="0"/>
              <w:right w:val="single" w:color="000000" w:sz="8" w:space="0"/>
            </w:tcBorders>
            <w:shd w:val="clear" w:color="auto" w:fill="auto"/>
            <w:vAlign w:val="center"/>
          </w:tcPr>
          <w:p w14:paraId="582E3C40">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数据维护量分析是对指定的时间期间进行数据分析，主要集中在宗教教职人员数据维护量、宗教活动场所数据维护量、宗教团体数据维护量、宗教团体工作人员数据维护量、宗教表彰数据维护量、宗教新媒体数据维护量、宗教活动场所财务月报数据维护量、宗教团体财务年报数据维护量、宗教活动场所人流量数据上报量、宗教人员奖惩数据维护量。</w:t>
            </w:r>
          </w:p>
        </w:tc>
      </w:tr>
      <w:tr w14:paraId="563CE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583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32</w:t>
            </w:r>
          </w:p>
        </w:tc>
        <w:tc>
          <w:tcPr>
            <w:tcW w:w="656" w:type="pct"/>
            <w:vMerge w:val="continue"/>
            <w:tcBorders>
              <w:top w:val="nil"/>
              <w:left w:val="nil"/>
              <w:bottom w:val="single" w:color="000000" w:sz="8" w:space="0"/>
              <w:right w:val="single" w:color="000000" w:sz="8" w:space="0"/>
            </w:tcBorders>
            <w:shd w:val="clear" w:color="auto" w:fill="auto"/>
            <w:vAlign w:val="center"/>
          </w:tcPr>
          <w:p w14:paraId="7E1BCF1F">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282FC7B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民族事项审批流转时效分析</w:t>
            </w:r>
          </w:p>
        </w:tc>
        <w:tc>
          <w:tcPr>
            <w:tcW w:w="3137" w:type="pct"/>
            <w:tcBorders>
              <w:top w:val="nil"/>
              <w:left w:val="nil"/>
              <w:bottom w:val="single" w:color="000000" w:sz="8" w:space="0"/>
              <w:right w:val="single" w:color="000000" w:sz="8" w:space="0"/>
            </w:tcBorders>
            <w:shd w:val="clear" w:color="auto" w:fill="auto"/>
            <w:vAlign w:val="center"/>
          </w:tcPr>
          <w:p w14:paraId="2C9B133B">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族事项审批流转时效分析是对指定的时间期间进行数据分析，主要集中在民族联人员数据维护事项审批流转时效分析（最短时效、最长时效、平均时效）、民族联数据维护事项审批流转时效分析（最短时效、最长时效、平均时效）。</w:t>
            </w:r>
          </w:p>
        </w:tc>
      </w:tr>
      <w:tr w14:paraId="6A1B7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31C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w:t>
            </w:r>
          </w:p>
        </w:tc>
        <w:tc>
          <w:tcPr>
            <w:tcW w:w="656" w:type="pct"/>
            <w:vMerge w:val="continue"/>
            <w:tcBorders>
              <w:top w:val="nil"/>
              <w:left w:val="nil"/>
              <w:bottom w:val="single" w:color="000000" w:sz="8" w:space="0"/>
              <w:right w:val="single" w:color="000000" w:sz="8" w:space="0"/>
            </w:tcBorders>
            <w:shd w:val="clear" w:color="auto" w:fill="auto"/>
            <w:vAlign w:val="center"/>
          </w:tcPr>
          <w:p w14:paraId="0E0DDEB7">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753C866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宗教事项审批流转时效分析</w:t>
            </w:r>
          </w:p>
        </w:tc>
        <w:tc>
          <w:tcPr>
            <w:tcW w:w="3137" w:type="pct"/>
            <w:tcBorders>
              <w:top w:val="nil"/>
              <w:left w:val="nil"/>
              <w:bottom w:val="single" w:color="000000" w:sz="8" w:space="0"/>
              <w:right w:val="single" w:color="000000" w:sz="8" w:space="0"/>
            </w:tcBorders>
            <w:shd w:val="clear" w:color="auto" w:fill="auto"/>
            <w:vAlign w:val="center"/>
          </w:tcPr>
          <w:p w14:paraId="77F1238A">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事项审批流转时效分析是对指定的时间期间进行数据分析，主要集中在宗教教职人员数据维护事项审批流转时效分析（最短时效、最长时效、平均时效）、宗教活动场所数据维护事项审批流转时效分析（最短时效、最长时效、平均时效）、宗教团体数据维护事项审批流转时效分析（最短时效、最长时效、平均时效）</w:t>
            </w:r>
          </w:p>
        </w:tc>
      </w:tr>
      <w:tr w14:paraId="39FBF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85F4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w:t>
            </w:r>
          </w:p>
        </w:tc>
        <w:tc>
          <w:tcPr>
            <w:tcW w:w="656" w:type="pct"/>
            <w:vMerge w:val="continue"/>
            <w:tcBorders>
              <w:top w:val="nil"/>
              <w:left w:val="nil"/>
              <w:bottom w:val="single" w:color="000000" w:sz="8" w:space="0"/>
              <w:right w:val="single" w:color="000000" w:sz="8" w:space="0"/>
            </w:tcBorders>
            <w:shd w:val="clear" w:color="auto" w:fill="auto"/>
            <w:vAlign w:val="center"/>
          </w:tcPr>
          <w:p w14:paraId="0354A9EC">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4246CAF0">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民族数据完成度分析</w:t>
            </w:r>
          </w:p>
        </w:tc>
        <w:tc>
          <w:tcPr>
            <w:tcW w:w="3137" w:type="pct"/>
            <w:tcBorders>
              <w:top w:val="nil"/>
              <w:left w:val="nil"/>
              <w:bottom w:val="single" w:color="000000" w:sz="8" w:space="0"/>
              <w:right w:val="single" w:color="000000" w:sz="8" w:space="0"/>
            </w:tcBorders>
            <w:shd w:val="clear" w:color="auto" w:fill="auto"/>
            <w:vAlign w:val="center"/>
          </w:tcPr>
          <w:p w14:paraId="09C3E51E">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民族数据完成度分析是对指定的时间期间进行数据分析，主要集中在民族联人员数据完成度分析、民族联数据完成度分析。</w:t>
            </w:r>
          </w:p>
        </w:tc>
      </w:tr>
      <w:tr w14:paraId="5BF7B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FE82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w:t>
            </w:r>
          </w:p>
        </w:tc>
        <w:tc>
          <w:tcPr>
            <w:tcW w:w="656" w:type="pct"/>
            <w:vMerge w:val="continue"/>
            <w:tcBorders>
              <w:top w:val="nil"/>
              <w:left w:val="nil"/>
              <w:bottom w:val="single" w:color="000000" w:sz="8" w:space="0"/>
              <w:right w:val="single" w:color="000000" w:sz="8" w:space="0"/>
            </w:tcBorders>
            <w:shd w:val="clear" w:color="auto" w:fill="auto"/>
            <w:vAlign w:val="center"/>
          </w:tcPr>
          <w:p w14:paraId="14A15105">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0A6C061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宗教数据完成度分析</w:t>
            </w:r>
          </w:p>
        </w:tc>
        <w:tc>
          <w:tcPr>
            <w:tcW w:w="3137" w:type="pct"/>
            <w:tcBorders>
              <w:top w:val="nil"/>
              <w:left w:val="nil"/>
              <w:bottom w:val="single" w:color="000000" w:sz="8" w:space="0"/>
              <w:right w:val="single" w:color="000000" w:sz="8" w:space="0"/>
            </w:tcBorders>
            <w:shd w:val="clear" w:color="auto" w:fill="auto"/>
            <w:vAlign w:val="center"/>
          </w:tcPr>
          <w:p w14:paraId="5A1A04A9">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宗教数据完成度分析是对指定的时间期间进行数据分析，主要集中在宗教教职人员数据完成度分析、宗教活动场所数据完成度分析、宗教团体数据完成度分析、宗教团体工作人员数据完成度分析。</w:t>
            </w:r>
          </w:p>
        </w:tc>
      </w:tr>
      <w:tr w14:paraId="1F94A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00E4">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36</w:t>
            </w:r>
          </w:p>
        </w:tc>
        <w:tc>
          <w:tcPr>
            <w:tcW w:w="656" w:type="pct"/>
            <w:vMerge w:val="restart"/>
            <w:tcBorders>
              <w:top w:val="nil"/>
              <w:left w:val="nil"/>
              <w:bottom w:val="single" w:color="000000" w:sz="8" w:space="0"/>
              <w:right w:val="single" w:color="000000" w:sz="8" w:space="0"/>
            </w:tcBorders>
            <w:shd w:val="clear" w:color="auto" w:fill="auto"/>
            <w:vAlign w:val="center"/>
          </w:tcPr>
          <w:p w14:paraId="6AFAF7DE">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财务监管</w:t>
            </w:r>
          </w:p>
        </w:tc>
        <w:tc>
          <w:tcPr>
            <w:tcW w:w="774" w:type="pct"/>
            <w:tcBorders>
              <w:top w:val="nil"/>
              <w:left w:val="nil"/>
              <w:bottom w:val="single" w:color="000000" w:sz="8" w:space="0"/>
              <w:right w:val="single" w:color="000000" w:sz="8" w:space="0"/>
            </w:tcBorders>
            <w:shd w:val="clear" w:color="auto" w:fill="auto"/>
            <w:vAlign w:val="center"/>
          </w:tcPr>
          <w:p w14:paraId="27ACD1D3">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宗教活动场所接受国内捐赠管理</w:t>
            </w:r>
          </w:p>
        </w:tc>
        <w:tc>
          <w:tcPr>
            <w:tcW w:w="3137" w:type="pct"/>
            <w:tcBorders>
              <w:top w:val="nil"/>
              <w:left w:val="nil"/>
              <w:bottom w:val="single" w:color="000000" w:sz="8" w:space="0"/>
              <w:right w:val="single" w:color="000000" w:sz="8" w:space="0"/>
            </w:tcBorders>
            <w:shd w:val="clear" w:color="auto" w:fill="auto"/>
            <w:vAlign w:val="center"/>
          </w:tcPr>
          <w:p w14:paraId="74A34229">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接受国内捐赠管理主要对于宗教活动场所名称、《上海市宗教事务部门统一收据》的使用情况报备、捐赠方信息报备、捐赠金额、捐赠见证人、捐赠入账凭证编号。由宗教活动场所向属地管理部门（区民宗办）报备，再有属地管理部门向市民宗局相关处室进行报批，市级宗教团体直接向市民宗局相关处室报备。</w:t>
            </w:r>
          </w:p>
        </w:tc>
      </w:tr>
      <w:tr w14:paraId="3FA13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C3F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37</w:t>
            </w:r>
          </w:p>
        </w:tc>
        <w:tc>
          <w:tcPr>
            <w:tcW w:w="656" w:type="pct"/>
            <w:vMerge w:val="continue"/>
            <w:tcBorders>
              <w:top w:val="nil"/>
              <w:left w:val="nil"/>
              <w:bottom w:val="single" w:color="000000" w:sz="8" w:space="0"/>
              <w:right w:val="single" w:color="000000" w:sz="8" w:space="0"/>
            </w:tcBorders>
            <w:shd w:val="clear" w:color="auto" w:fill="auto"/>
            <w:vAlign w:val="center"/>
          </w:tcPr>
          <w:p w14:paraId="485EC162">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6BB52CB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宗教活动场所接受国外捐赠管理</w:t>
            </w:r>
          </w:p>
        </w:tc>
        <w:tc>
          <w:tcPr>
            <w:tcW w:w="3137" w:type="pct"/>
            <w:tcBorders>
              <w:top w:val="nil"/>
              <w:left w:val="nil"/>
              <w:bottom w:val="single" w:color="000000" w:sz="8" w:space="0"/>
              <w:right w:val="single" w:color="000000" w:sz="8" w:space="0"/>
            </w:tcBorders>
            <w:shd w:val="clear" w:color="auto" w:fill="auto"/>
            <w:vAlign w:val="center"/>
          </w:tcPr>
          <w:p w14:paraId="67868CD9">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接受国外捐赠管理主要对于宗教活动场所名称、《上海市宗教事务部门统一收据》的使用情况报备、捐赠方信息报备、捐赠金额、捐赠见证人、捐赠入账凭证编号。由宗教活动场所向属地管理部门（区民宗办）申请，再有属地管理部门向市民宗局相关处室进行报批，市级宗教团体直接向市民宗局相关处室报批，市民宗局再向相关部门进行横向数据沟通后，符合要求的给予批复。</w:t>
            </w:r>
          </w:p>
        </w:tc>
      </w:tr>
      <w:tr w14:paraId="2B1CC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FE46">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w:t>
            </w:r>
          </w:p>
        </w:tc>
        <w:tc>
          <w:tcPr>
            <w:tcW w:w="656" w:type="pct"/>
            <w:vMerge w:val="continue"/>
            <w:tcBorders>
              <w:top w:val="nil"/>
              <w:left w:val="nil"/>
              <w:bottom w:val="single" w:color="000000" w:sz="8" w:space="0"/>
              <w:right w:val="single" w:color="000000" w:sz="8" w:space="0"/>
            </w:tcBorders>
            <w:shd w:val="clear" w:color="auto" w:fill="auto"/>
            <w:vAlign w:val="center"/>
          </w:tcPr>
          <w:p w14:paraId="37E5E6F7">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0B42A566">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宗教活动场所财务管理体系报备</w:t>
            </w:r>
          </w:p>
        </w:tc>
        <w:tc>
          <w:tcPr>
            <w:tcW w:w="3137" w:type="pct"/>
            <w:tcBorders>
              <w:top w:val="nil"/>
              <w:left w:val="nil"/>
              <w:bottom w:val="single" w:color="000000" w:sz="8" w:space="0"/>
              <w:right w:val="single" w:color="000000" w:sz="8" w:space="0"/>
            </w:tcBorders>
            <w:shd w:val="clear" w:color="auto" w:fill="auto"/>
            <w:vAlign w:val="center"/>
          </w:tcPr>
          <w:p w14:paraId="580CCC60">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财务管理体系主要是对该单位的财务负责人、财务、出纳、财务管理制度、财务代理记账公司（如有）基本情况进行登记，如有发生变化时要求相关单位进行信息如实更新。这部分信息将在财务监管过程中进行核查。</w:t>
            </w:r>
          </w:p>
        </w:tc>
      </w:tr>
      <w:tr w14:paraId="45851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EF7E">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w:t>
            </w:r>
          </w:p>
        </w:tc>
        <w:tc>
          <w:tcPr>
            <w:tcW w:w="656" w:type="pct"/>
            <w:vMerge w:val="continue"/>
            <w:tcBorders>
              <w:top w:val="nil"/>
              <w:left w:val="nil"/>
              <w:bottom w:val="single" w:color="000000" w:sz="8" w:space="0"/>
              <w:right w:val="single" w:color="000000" w:sz="8" w:space="0"/>
            </w:tcBorders>
            <w:shd w:val="clear" w:color="auto" w:fill="auto"/>
            <w:vAlign w:val="center"/>
          </w:tcPr>
          <w:p w14:paraId="75E26D62">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62D27FCF">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宗教活动场所收支预算报批管理</w:t>
            </w:r>
          </w:p>
        </w:tc>
        <w:tc>
          <w:tcPr>
            <w:tcW w:w="3137" w:type="pct"/>
            <w:tcBorders>
              <w:top w:val="nil"/>
              <w:left w:val="nil"/>
              <w:bottom w:val="single" w:color="000000" w:sz="8" w:space="0"/>
              <w:right w:val="single" w:color="000000" w:sz="8" w:space="0"/>
            </w:tcBorders>
            <w:shd w:val="clear" w:color="auto" w:fill="auto"/>
            <w:vAlign w:val="center"/>
          </w:tcPr>
          <w:p w14:paraId="34F8334C">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宗教活动场所收支预算报批管理主要是对依据管理制度，要求宗教活动场所一般应当制定本场所的年度收入和支出预算，报登记管理机关备案。</w:t>
            </w:r>
          </w:p>
        </w:tc>
      </w:tr>
      <w:tr w14:paraId="491BB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CEB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656" w:type="pct"/>
            <w:vMerge w:val="continue"/>
            <w:tcBorders>
              <w:top w:val="nil"/>
              <w:left w:val="nil"/>
              <w:bottom w:val="single" w:color="000000" w:sz="8" w:space="0"/>
              <w:right w:val="single" w:color="000000" w:sz="8" w:space="0"/>
            </w:tcBorders>
            <w:shd w:val="clear" w:color="auto" w:fill="auto"/>
            <w:vAlign w:val="center"/>
          </w:tcPr>
          <w:p w14:paraId="7196EDA1">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6858FA3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宗教活动场所收入管理</w:t>
            </w:r>
          </w:p>
        </w:tc>
        <w:tc>
          <w:tcPr>
            <w:tcW w:w="3137" w:type="pct"/>
            <w:tcBorders>
              <w:top w:val="nil"/>
              <w:left w:val="nil"/>
              <w:bottom w:val="single" w:color="000000" w:sz="8" w:space="0"/>
              <w:right w:val="single" w:color="000000" w:sz="8" w:space="0"/>
            </w:tcBorders>
            <w:shd w:val="clear" w:color="auto" w:fill="auto"/>
            <w:vAlign w:val="center"/>
          </w:tcPr>
          <w:p w14:paraId="414ECD61">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收入管理主要是对依据管理制度，宗教活动场所收入包括：（一）提供宗教服务的收入和出售宗教活动场所门票的收入；（二）按照国家有关规定接受境内外组织和个人捐赠的收入；（三）经销宗教用品、宗教艺术品和宗教出版物，出租宗教活动场所资产取得的收入；（四）政府补助取得的收入；（五）其他合法收入。</w:t>
            </w:r>
          </w:p>
        </w:tc>
      </w:tr>
      <w:tr w14:paraId="4DE9B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DFF4">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41</w:t>
            </w:r>
          </w:p>
        </w:tc>
        <w:tc>
          <w:tcPr>
            <w:tcW w:w="656" w:type="pct"/>
            <w:vMerge w:val="continue"/>
            <w:tcBorders>
              <w:top w:val="nil"/>
              <w:left w:val="nil"/>
              <w:bottom w:val="single" w:color="000000" w:sz="8" w:space="0"/>
              <w:right w:val="single" w:color="000000" w:sz="8" w:space="0"/>
            </w:tcBorders>
            <w:shd w:val="clear" w:color="auto" w:fill="auto"/>
            <w:vAlign w:val="center"/>
          </w:tcPr>
          <w:p w14:paraId="57645E69">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5B12A6B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宗教活动场所支出管理</w:t>
            </w:r>
          </w:p>
        </w:tc>
        <w:tc>
          <w:tcPr>
            <w:tcW w:w="3137" w:type="pct"/>
            <w:tcBorders>
              <w:top w:val="nil"/>
              <w:left w:val="nil"/>
              <w:bottom w:val="single" w:color="000000" w:sz="8" w:space="0"/>
              <w:right w:val="single" w:color="000000" w:sz="8" w:space="0"/>
            </w:tcBorders>
            <w:shd w:val="clear" w:color="auto" w:fill="auto"/>
            <w:vAlign w:val="center"/>
          </w:tcPr>
          <w:p w14:paraId="268FAE48">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支出管理包括：（一）举行宗教活动发生的支出；（二）开展基本建设发生的支出；（三）宗教教职人员生活支出、工作人员报酬支出以及水费、电费等日常性支出；（四）进购宗教用品、宗教艺术品和宗教出版物的支出；（五）从事公益慈善事业和其他社会服务的支出；（六）其他合法支出。</w:t>
            </w:r>
          </w:p>
        </w:tc>
      </w:tr>
      <w:tr w14:paraId="4FFC1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AA6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w:t>
            </w:r>
          </w:p>
        </w:tc>
        <w:tc>
          <w:tcPr>
            <w:tcW w:w="656" w:type="pct"/>
            <w:vMerge w:val="continue"/>
            <w:tcBorders>
              <w:top w:val="nil"/>
              <w:left w:val="nil"/>
              <w:bottom w:val="single" w:color="000000" w:sz="8" w:space="0"/>
              <w:right w:val="single" w:color="000000" w:sz="8" w:space="0"/>
            </w:tcBorders>
            <w:shd w:val="clear" w:color="auto" w:fill="auto"/>
            <w:vAlign w:val="center"/>
          </w:tcPr>
          <w:p w14:paraId="39410008">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49B59069">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宗教活动场所资产管理</w:t>
            </w:r>
          </w:p>
        </w:tc>
        <w:tc>
          <w:tcPr>
            <w:tcW w:w="3137" w:type="pct"/>
            <w:tcBorders>
              <w:top w:val="nil"/>
              <w:left w:val="nil"/>
              <w:bottom w:val="single" w:color="000000" w:sz="8" w:space="0"/>
              <w:right w:val="single" w:color="000000" w:sz="8" w:space="0"/>
            </w:tcBorders>
            <w:shd w:val="clear" w:color="auto" w:fill="auto"/>
            <w:vAlign w:val="center"/>
          </w:tcPr>
          <w:p w14:paraId="363F9C63">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资产管理主要是依据管理制度，宗教活动场所资产是指：宗教活动场所的资产包括流动资产、固定资产、无形资产、文物文化资产等。其中经营性或增值性资产需要关联财务收支数据，比如土地资产租赁、文物资产入账、资产盘点等数据进行全面登记管理，由宗教活动场所向属地管理部门申报。</w:t>
            </w:r>
          </w:p>
        </w:tc>
      </w:tr>
      <w:tr w14:paraId="4073E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5566">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43</w:t>
            </w:r>
          </w:p>
        </w:tc>
        <w:tc>
          <w:tcPr>
            <w:tcW w:w="656" w:type="pct"/>
            <w:vMerge w:val="continue"/>
            <w:tcBorders>
              <w:top w:val="nil"/>
              <w:left w:val="nil"/>
              <w:bottom w:val="single" w:color="000000" w:sz="8" w:space="0"/>
              <w:right w:val="single" w:color="000000" w:sz="8" w:space="0"/>
            </w:tcBorders>
            <w:shd w:val="clear" w:color="auto" w:fill="auto"/>
            <w:vAlign w:val="center"/>
          </w:tcPr>
          <w:p w14:paraId="3029E8E9">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5241864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宗教活动场所预算执行情况管理</w:t>
            </w:r>
          </w:p>
        </w:tc>
        <w:tc>
          <w:tcPr>
            <w:tcW w:w="3137" w:type="pct"/>
            <w:tcBorders>
              <w:top w:val="nil"/>
              <w:left w:val="nil"/>
              <w:bottom w:val="single" w:color="000000" w:sz="8" w:space="0"/>
              <w:right w:val="single" w:color="000000" w:sz="8" w:space="0"/>
            </w:tcBorders>
            <w:shd w:val="clear" w:color="auto" w:fill="auto"/>
            <w:vAlign w:val="center"/>
          </w:tcPr>
          <w:p w14:paraId="537F0A88">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预算执行情况管理主要是对宗教活动场所的年初收支预算和年末运营财务数据进行分析，对宗教活动场所的预算执行情况进行分类解析，对于按照规定进行全过程管理的类目（比如政府补助收入、捐赠收入、经营性资产收入等）进行过程跟踪和梳理。</w:t>
            </w:r>
          </w:p>
        </w:tc>
      </w:tr>
      <w:tr w14:paraId="0C1FC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B874">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w:t>
            </w:r>
          </w:p>
        </w:tc>
        <w:tc>
          <w:tcPr>
            <w:tcW w:w="656" w:type="pct"/>
            <w:vMerge w:val="continue"/>
            <w:tcBorders>
              <w:top w:val="nil"/>
              <w:left w:val="nil"/>
              <w:bottom w:val="single" w:color="000000" w:sz="8" w:space="0"/>
              <w:right w:val="single" w:color="000000" w:sz="8" w:space="0"/>
            </w:tcBorders>
            <w:shd w:val="clear" w:color="auto" w:fill="auto"/>
            <w:vAlign w:val="center"/>
          </w:tcPr>
          <w:p w14:paraId="11B9702F">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0BD4D6D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宗教活动场所财务监管</w:t>
            </w:r>
          </w:p>
        </w:tc>
        <w:tc>
          <w:tcPr>
            <w:tcW w:w="3137" w:type="pct"/>
            <w:tcBorders>
              <w:top w:val="nil"/>
              <w:left w:val="nil"/>
              <w:bottom w:val="single" w:color="000000" w:sz="8" w:space="0"/>
              <w:right w:val="single" w:color="000000" w:sz="8" w:space="0"/>
            </w:tcBorders>
            <w:shd w:val="clear" w:color="auto" w:fill="auto"/>
            <w:vAlign w:val="center"/>
          </w:tcPr>
          <w:p w14:paraId="6670F99A">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活动场所财务监督主要是对宗教活动场所的财务行为进行定期上报汇总和不定期合规化检查。宗教活动场所的财务监督工作由区民宗办在市民宗局指导下进行常态化合规监管的事务，对于财务监管工作记录进行台账管理，以备后期核查和数据追溯。</w:t>
            </w:r>
          </w:p>
        </w:tc>
      </w:tr>
      <w:tr w14:paraId="5085B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8BAF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45</w:t>
            </w:r>
          </w:p>
        </w:tc>
        <w:tc>
          <w:tcPr>
            <w:tcW w:w="656" w:type="pct"/>
            <w:vMerge w:val="continue"/>
            <w:tcBorders>
              <w:top w:val="nil"/>
              <w:left w:val="nil"/>
              <w:bottom w:val="single" w:color="000000" w:sz="8" w:space="0"/>
              <w:right w:val="single" w:color="000000" w:sz="8" w:space="0"/>
            </w:tcBorders>
            <w:shd w:val="clear" w:color="auto" w:fill="auto"/>
            <w:vAlign w:val="center"/>
          </w:tcPr>
          <w:p w14:paraId="7D39EC56">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36AC76C6">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宗教房产台账管理</w:t>
            </w:r>
          </w:p>
        </w:tc>
        <w:tc>
          <w:tcPr>
            <w:tcW w:w="3137" w:type="pct"/>
            <w:tcBorders>
              <w:top w:val="nil"/>
              <w:left w:val="nil"/>
              <w:bottom w:val="single" w:color="000000" w:sz="8" w:space="0"/>
              <w:right w:val="single" w:color="000000" w:sz="8" w:space="0"/>
            </w:tcBorders>
            <w:shd w:val="clear" w:color="auto" w:fill="auto"/>
            <w:vAlign w:val="center"/>
          </w:tcPr>
          <w:p w14:paraId="0729BAE5">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宗教房产台账管理主要包括房产登记、租赁和使用情况记录、设备维护保养、财务管理等方面。通过对房产的详细分类、资产编号和标签管理，确保每一项资产都能得到精准的追踪与管理</w:t>
            </w:r>
          </w:p>
        </w:tc>
      </w:tr>
      <w:tr w14:paraId="0C1EE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0D814">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w:t>
            </w:r>
          </w:p>
        </w:tc>
        <w:tc>
          <w:tcPr>
            <w:tcW w:w="656" w:type="pct"/>
            <w:vMerge w:val="continue"/>
            <w:tcBorders>
              <w:top w:val="nil"/>
              <w:left w:val="nil"/>
              <w:bottom w:val="single" w:color="000000" w:sz="8" w:space="0"/>
              <w:right w:val="single" w:color="000000" w:sz="8" w:space="0"/>
            </w:tcBorders>
            <w:shd w:val="clear" w:color="auto" w:fill="auto"/>
            <w:vAlign w:val="center"/>
          </w:tcPr>
          <w:p w14:paraId="051DA329">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305BFDE6">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宗教房产财务管理</w:t>
            </w:r>
          </w:p>
        </w:tc>
        <w:tc>
          <w:tcPr>
            <w:tcW w:w="3137" w:type="pct"/>
            <w:tcBorders>
              <w:top w:val="nil"/>
              <w:left w:val="nil"/>
              <w:bottom w:val="single" w:color="000000" w:sz="8" w:space="0"/>
              <w:right w:val="single" w:color="000000" w:sz="8" w:space="0"/>
            </w:tcBorders>
            <w:shd w:val="clear" w:color="auto" w:fill="auto"/>
            <w:vAlign w:val="center"/>
          </w:tcPr>
          <w:p w14:paraId="19A80283">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房产的财务管理包括收入管理和支出管理，收入管理包括租金收入、捐赠收入及其他收入来源，需要精确记录和分类；支出管理包括日常运营费用、维修费用及税务支出，确保资金的合理使用，通过收入和支出管理可以生成月度财务和年度财务报告</w:t>
            </w:r>
          </w:p>
        </w:tc>
      </w:tr>
      <w:tr w14:paraId="78691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3C26">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w:t>
            </w:r>
          </w:p>
        </w:tc>
        <w:tc>
          <w:tcPr>
            <w:tcW w:w="656" w:type="pct"/>
            <w:vMerge w:val="continue"/>
            <w:tcBorders>
              <w:top w:val="nil"/>
              <w:left w:val="nil"/>
              <w:bottom w:val="single" w:color="000000" w:sz="8" w:space="0"/>
              <w:right w:val="single" w:color="000000" w:sz="8" w:space="0"/>
            </w:tcBorders>
            <w:shd w:val="clear" w:color="auto" w:fill="auto"/>
            <w:vAlign w:val="center"/>
          </w:tcPr>
          <w:p w14:paraId="385ADEAE">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484C7824">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宗教房产定期盘点</w:t>
            </w:r>
          </w:p>
        </w:tc>
        <w:tc>
          <w:tcPr>
            <w:tcW w:w="3137" w:type="pct"/>
            <w:tcBorders>
              <w:top w:val="nil"/>
              <w:left w:val="nil"/>
              <w:bottom w:val="single" w:color="000000" w:sz="8" w:space="0"/>
              <w:right w:val="single" w:color="000000" w:sz="8" w:space="0"/>
            </w:tcBorders>
            <w:shd w:val="clear" w:color="auto" w:fill="auto"/>
            <w:vAlign w:val="center"/>
          </w:tcPr>
          <w:p w14:paraId="709C5E49">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宗教房产的定期盘点是对所有资产、设施、设备以及财务记录进行详细核查的过程，确保台账信息与实际情况一致</w:t>
            </w:r>
          </w:p>
        </w:tc>
      </w:tr>
      <w:tr w14:paraId="6FBCB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7EBF">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w:t>
            </w:r>
          </w:p>
        </w:tc>
        <w:tc>
          <w:tcPr>
            <w:tcW w:w="656" w:type="pct"/>
            <w:vMerge w:val="continue"/>
            <w:tcBorders>
              <w:top w:val="nil"/>
              <w:left w:val="nil"/>
              <w:bottom w:val="single" w:color="000000" w:sz="8" w:space="0"/>
              <w:right w:val="single" w:color="000000" w:sz="8" w:space="0"/>
            </w:tcBorders>
            <w:shd w:val="clear" w:color="auto" w:fill="auto"/>
            <w:vAlign w:val="center"/>
          </w:tcPr>
          <w:p w14:paraId="73BD0782">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239810A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宗教房产统计分析</w:t>
            </w:r>
          </w:p>
        </w:tc>
        <w:tc>
          <w:tcPr>
            <w:tcW w:w="3137" w:type="pct"/>
            <w:tcBorders>
              <w:top w:val="nil"/>
              <w:left w:val="nil"/>
              <w:bottom w:val="single" w:color="000000" w:sz="8" w:space="0"/>
              <w:right w:val="single" w:color="000000" w:sz="8" w:space="0"/>
            </w:tcBorders>
            <w:shd w:val="clear" w:color="auto" w:fill="auto"/>
            <w:vAlign w:val="center"/>
          </w:tcPr>
          <w:p w14:paraId="550E375C">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宗教房产统计分析包括房产的收入分析、指出分析、房产状态分析，以评估资源利用效率和优化管理决策</w:t>
            </w:r>
          </w:p>
        </w:tc>
      </w:tr>
      <w:tr w14:paraId="61487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0659E">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49</w:t>
            </w:r>
          </w:p>
        </w:tc>
        <w:tc>
          <w:tcPr>
            <w:tcW w:w="656" w:type="pct"/>
            <w:vMerge w:val="restart"/>
            <w:tcBorders>
              <w:top w:val="nil"/>
              <w:left w:val="nil"/>
              <w:bottom w:val="single" w:color="000000" w:sz="8" w:space="0"/>
              <w:right w:val="single" w:color="000000" w:sz="8" w:space="0"/>
            </w:tcBorders>
            <w:shd w:val="clear" w:color="auto" w:fill="auto"/>
            <w:vAlign w:val="center"/>
          </w:tcPr>
          <w:p w14:paraId="21E2EC22">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民宗AI大模型</w:t>
            </w:r>
          </w:p>
        </w:tc>
        <w:tc>
          <w:tcPr>
            <w:tcW w:w="774" w:type="pct"/>
            <w:tcBorders>
              <w:top w:val="nil"/>
              <w:left w:val="nil"/>
              <w:bottom w:val="single" w:color="000000" w:sz="8" w:space="0"/>
              <w:right w:val="single" w:color="000000" w:sz="8" w:space="0"/>
            </w:tcBorders>
            <w:shd w:val="clear" w:color="auto" w:fill="auto"/>
            <w:vAlign w:val="center"/>
          </w:tcPr>
          <w:p w14:paraId="6CDA65B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知识库</w:t>
            </w:r>
          </w:p>
        </w:tc>
        <w:tc>
          <w:tcPr>
            <w:tcW w:w="3137" w:type="pct"/>
            <w:tcBorders>
              <w:top w:val="nil"/>
              <w:left w:val="nil"/>
              <w:bottom w:val="single" w:color="000000" w:sz="8" w:space="0"/>
              <w:right w:val="single" w:color="000000" w:sz="8" w:space="0"/>
            </w:tcBorders>
            <w:shd w:val="clear" w:color="auto" w:fill="auto"/>
            <w:noWrap/>
            <w:vAlign w:val="center"/>
          </w:tcPr>
          <w:p w14:paraId="1B5BF421">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民宗知识库构建包含但不限于民宗领域内的政策文件、法律法规、工作指引、工作案例、应知应会、历史人文等。其中法律法规部门还包含国家和地方层面的全领域法律法规。</w:t>
            </w:r>
          </w:p>
        </w:tc>
      </w:tr>
      <w:tr w14:paraId="1B480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9"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95652">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656" w:type="pct"/>
            <w:vMerge w:val="continue"/>
            <w:tcBorders>
              <w:top w:val="nil"/>
              <w:left w:val="nil"/>
              <w:bottom w:val="single" w:color="000000" w:sz="8" w:space="0"/>
              <w:right w:val="single" w:color="000000" w:sz="8" w:space="0"/>
            </w:tcBorders>
            <w:shd w:val="clear" w:color="auto" w:fill="auto"/>
            <w:vAlign w:val="center"/>
          </w:tcPr>
          <w:p w14:paraId="223EB874">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15EF405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民宗小和智能问答机器人</w:t>
            </w:r>
          </w:p>
        </w:tc>
        <w:tc>
          <w:tcPr>
            <w:tcW w:w="3137" w:type="pct"/>
            <w:tcBorders>
              <w:top w:val="nil"/>
              <w:left w:val="nil"/>
              <w:bottom w:val="single" w:color="000000" w:sz="8" w:space="0"/>
              <w:right w:val="single" w:color="000000" w:sz="8" w:space="0"/>
            </w:tcBorders>
            <w:shd w:val="clear" w:color="auto" w:fill="auto"/>
            <w:vAlign w:val="center"/>
          </w:tcPr>
          <w:p w14:paraId="4520D908">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具备自然语言交互能力的智能问答系统能够让用户通过语音或文本输入表达查询需求。系统通过自然语言处理技术，能够精准理解用户的意图，并根据查询内容提供相关的政策条文、案例解析或应知应会的知识点。这种交互方式不仅提高了用户的操作便捷性，还能使系统与用户之间的沟通更加人性化和智能化。</w:t>
            </w:r>
          </w:p>
        </w:tc>
      </w:tr>
      <w:tr w14:paraId="47488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195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51</w:t>
            </w:r>
          </w:p>
        </w:tc>
        <w:tc>
          <w:tcPr>
            <w:tcW w:w="656" w:type="pct"/>
            <w:vMerge w:val="continue"/>
            <w:tcBorders>
              <w:top w:val="nil"/>
              <w:left w:val="nil"/>
              <w:bottom w:val="single" w:color="000000" w:sz="8" w:space="0"/>
              <w:right w:val="single" w:color="000000" w:sz="8" w:space="0"/>
            </w:tcBorders>
            <w:shd w:val="clear" w:color="auto" w:fill="auto"/>
            <w:vAlign w:val="center"/>
          </w:tcPr>
          <w:p w14:paraId="66264FB2">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6A0FAB45">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个性化推荐与精准推送</w:t>
            </w:r>
          </w:p>
        </w:tc>
        <w:tc>
          <w:tcPr>
            <w:tcW w:w="3137" w:type="pct"/>
            <w:tcBorders>
              <w:top w:val="nil"/>
              <w:left w:val="nil"/>
              <w:bottom w:val="single" w:color="000000" w:sz="8" w:space="0"/>
              <w:right w:val="single" w:color="000000" w:sz="8" w:space="0"/>
            </w:tcBorders>
            <w:shd w:val="clear" w:color="auto" w:fill="auto"/>
            <w:vAlign w:val="center"/>
          </w:tcPr>
          <w:p w14:paraId="5735AF5B">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 个性化推荐：基于用户角色（如民族宗教干部、信教群众、研究人员等）和使用场景（如政策咨询、学习培训、事务办理等），构建个性化推荐模型可以有效提升信息传递的精准度和效率。通过对不同用户群体的需求和行为特征进行深入分析，模型能够根据用户的身份特征和实际场景，提供定制化的内容推荐服务。结合用户的历史查询记录和行为偏好，个性化推荐模型能够在用户首次访问平台时就通过数据分析了解其兴趣和需求，进一步优化内容推送。系统不仅能够主动推送相关的政策更新和工作指引修订，还可以根据用户过往的查询内容推荐典型案例解析、成功经验分享等，以帮助用户在政策执行、学习进修或日常事务办理中更高效地获取信息。</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 精准推送：针对特定事件或政策出台，智能体能够利用大数据分析和智能算法，自动筛选与该事件或政策相关的核心知识点。该过程不仅仅局限于简单的关键词匹配，而是通过深度学习与自然语言处理技术，精准地提炼出与用户需求高度契合的信息。这些信息可以包括政策的细节解析、实施指南、相关案例、行业影响分析等内容，确保推送的知识点全面且具有实际应用价值。</w:t>
            </w:r>
          </w:p>
        </w:tc>
      </w:tr>
      <w:tr w14:paraId="695AD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68FE">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52</w:t>
            </w:r>
          </w:p>
        </w:tc>
        <w:tc>
          <w:tcPr>
            <w:tcW w:w="656" w:type="pct"/>
            <w:vMerge w:val="continue"/>
            <w:tcBorders>
              <w:top w:val="nil"/>
              <w:left w:val="nil"/>
              <w:bottom w:val="single" w:color="000000" w:sz="8" w:space="0"/>
              <w:right w:val="single" w:color="000000" w:sz="8" w:space="0"/>
            </w:tcBorders>
            <w:shd w:val="clear" w:color="auto" w:fill="auto"/>
            <w:vAlign w:val="center"/>
          </w:tcPr>
          <w:p w14:paraId="7263015F">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5493A07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知识库智能体接口对接</w:t>
            </w:r>
          </w:p>
        </w:tc>
        <w:tc>
          <w:tcPr>
            <w:tcW w:w="3137" w:type="pct"/>
            <w:tcBorders>
              <w:top w:val="nil"/>
              <w:left w:val="nil"/>
              <w:bottom w:val="single" w:color="000000" w:sz="8" w:space="0"/>
              <w:right w:val="single" w:color="000000" w:sz="8" w:space="0"/>
            </w:tcBorders>
            <w:shd w:val="clear" w:color="auto" w:fill="auto"/>
            <w:vAlign w:val="center"/>
          </w:tcPr>
          <w:p w14:paraId="76A23064">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通过与MAP平台进行接口对接，实现AI大模型能力的调用。接口模块的架构设计，主要采用分层架构，分为以下模块：</w:t>
            </w:r>
            <w:r>
              <w:rPr>
                <w:rFonts w:hint="eastAsia" w:asciiTheme="minorEastAsia" w:hAnsiTheme="minorEastAsia" w:eastAsiaTheme="minorEastAsia" w:cstheme="minorEastAsia"/>
                <w:b w:val="0"/>
                <w:bCs w:val="0"/>
                <w:i w:val="0"/>
                <w:iCs w:val="0"/>
                <w:color w:val="000000"/>
                <w:kern w:val="0"/>
                <w:sz w:val="22"/>
                <w:szCs w:val="22"/>
                <w:u w:val="none"/>
                <w:lang w:val="en-US" w:eastAsia="zh-CN" w:bidi="ar"/>
              </w:rPr>
              <w:t>（1）接口适配层：定义标准化API接口（如RESTful/WebSocket），统一请求/响应格式。支持异步处理（如消息队列）应对长耗时任务。</w:t>
            </w:r>
            <w:r>
              <w:rPr>
                <w:rFonts w:hint="eastAsia" w:asciiTheme="minorEastAsia" w:hAnsiTheme="minorEastAsia" w:eastAsiaTheme="minorEastAsia" w:cstheme="minorEastAsia"/>
                <w:b w:val="0"/>
                <w:bCs w:val="0"/>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22"/>
                <w:szCs w:val="22"/>
                <w:u w:val="none"/>
                <w:lang w:val="en-US" w:eastAsia="zh-CN" w:bidi="ar"/>
              </w:rPr>
              <w:t>（2）模型路由层：根据模型类型、负载均衡策略动态分配请求至对应模型实例。集成熔断机制，防止故障扩散。（3）数据处理层：输入预处理：格式校验、敏感词过滤、上下文管理。输出后处理：结果解析、结构化提取、异常捕获。（4）安全控制层：身份认证（OAuth2.0/JWT）、权限校验、请求频率限制。数据加密（TLS/SSL）及脱敏处理。</w:t>
            </w:r>
          </w:p>
        </w:tc>
      </w:tr>
      <w:tr w14:paraId="1903D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8"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C9E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53</w:t>
            </w:r>
          </w:p>
        </w:tc>
        <w:tc>
          <w:tcPr>
            <w:tcW w:w="656" w:type="pct"/>
            <w:vMerge w:val="restart"/>
            <w:tcBorders>
              <w:top w:val="nil"/>
              <w:left w:val="nil"/>
              <w:bottom w:val="single" w:color="000000" w:sz="8" w:space="0"/>
              <w:right w:val="single" w:color="000000" w:sz="8" w:space="0"/>
            </w:tcBorders>
            <w:shd w:val="clear" w:color="auto" w:fill="auto"/>
            <w:vAlign w:val="center"/>
          </w:tcPr>
          <w:p w14:paraId="2B43641C">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虚拟式宣教场景建设</w:t>
            </w:r>
          </w:p>
        </w:tc>
        <w:tc>
          <w:tcPr>
            <w:tcW w:w="774" w:type="pct"/>
            <w:tcBorders>
              <w:top w:val="nil"/>
              <w:left w:val="nil"/>
              <w:bottom w:val="single" w:color="000000" w:sz="8" w:space="0"/>
              <w:right w:val="single" w:color="000000" w:sz="8" w:space="0"/>
            </w:tcBorders>
            <w:shd w:val="clear" w:color="auto" w:fill="auto"/>
            <w:vAlign w:val="center"/>
          </w:tcPr>
          <w:p w14:paraId="4A07515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宣教场景内容整合归集</w:t>
            </w:r>
          </w:p>
        </w:tc>
        <w:tc>
          <w:tcPr>
            <w:tcW w:w="3137" w:type="pct"/>
            <w:tcBorders>
              <w:top w:val="nil"/>
              <w:left w:val="nil"/>
              <w:bottom w:val="single" w:color="000000" w:sz="8" w:space="0"/>
              <w:right w:val="single" w:color="000000" w:sz="8" w:space="0"/>
            </w:tcBorders>
            <w:shd w:val="clear" w:color="auto" w:fill="auto"/>
            <w:vAlign w:val="center"/>
          </w:tcPr>
          <w:p w14:paraId="3272E253">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宣教场景内容整合归集主要集中在以下功能：</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 应知应会维护和自动归集</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涵盖民族宗教领域的基础知识、基本概念和核心要点，如民族分布、宗教概况、宗教教义等。</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利用“民宗小和”智能问答机器人生成互动式学习内容，如问答、小测验等，帮助用户快速掌握基础知识。</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 政策工具解读维护和自动归集</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解读国家及地方民族宗教政策法规，包括宪法、民族区域自治法、宗教事务条例等。</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利用“民宗小和”智能问答机器人提供政策条文解读、历史沿革分析、案例对照等功能，确保用户准确理解和掌握政策法规。</w:t>
            </w:r>
          </w:p>
        </w:tc>
      </w:tr>
      <w:tr w14:paraId="2DF49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0A54">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54</w:t>
            </w:r>
          </w:p>
        </w:tc>
        <w:tc>
          <w:tcPr>
            <w:tcW w:w="656" w:type="pct"/>
            <w:vMerge w:val="continue"/>
            <w:tcBorders>
              <w:top w:val="nil"/>
              <w:left w:val="nil"/>
              <w:bottom w:val="single" w:color="000000" w:sz="8" w:space="0"/>
              <w:right w:val="single" w:color="000000" w:sz="8" w:space="0"/>
            </w:tcBorders>
            <w:shd w:val="clear" w:color="auto" w:fill="auto"/>
            <w:vAlign w:val="center"/>
          </w:tcPr>
          <w:p w14:paraId="6327D6D2">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0A081CFF">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宣传教育线上社区</w:t>
            </w:r>
          </w:p>
        </w:tc>
        <w:tc>
          <w:tcPr>
            <w:tcW w:w="3137" w:type="pct"/>
            <w:tcBorders>
              <w:top w:val="nil"/>
              <w:left w:val="nil"/>
              <w:bottom w:val="single" w:color="000000" w:sz="8" w:space="0"/>
              <w:right w:val="single" w:color="000000" w:sz="8" w:space="0"/>
            </w:tcBorders>
            <w:shd w:val="clear" w:color="auto" w:fill="auto"/>
            <w:noWrap/>
            <w:vAlign w:val="center"/>
          </w:tcPr>
          <w:p w14:paraId="6CFCA199">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面向特定人群（市民宗局工作人员、市民宗局下属各事业单位工作人员、区民宗办工作人员、街镇民宗干部、部分民族和宗教团体人员等）建设民族和宗教类的宣传教育线上社区功能</w:t>
            </w:r>
          </w:p>
        </w:tc>
      </w:tr>
      <w:tr w14:paraId="34175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5A7B">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55</w:t>
            </w:r>
          </w:p>
        </w:tc>
        <w:tc>
          <w:tcPr>
            <w:tcW w:w="656" w:type="pct"/>
            <w:vMerge w:val="restart"/>
            <w:tcBorders>
              <w:top w:val="nil"/>
              <w:left w:val="nil"/>
              <w:bottom w:val="single" w:color="000000" w:sz="8" w:space="0"/>
              <w:right w:val="single" w:color="000000" w:sz="8" w:space="0"/>
            </w:tcBorders>
            <w:shd w:val="clear" w:color="auto" w:fill="auto"/>
            <w:vAlign w:val="center"/>
          </w:tcPr>
          <w:p w14:paraId="1A37DCA3">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宗教外语种审查和风险监管</w:t>
            </w:r>
          </w:p>
        </w:tc>
        <w:tc>
          <w:tcPr>
            <w:tcW w:w="774" w:type="pct"/>
            <w:tcBorders>
              <w:top w:val="nil"/>
              <w:left w:val="nil"/>
              <w:bottom w:val="single" w:color="000000" w:sz="8" w:space="0"/>
              <w:right w:val="single" w:color="000000" w:sz="8" w:space="0"/>
            </w:tcBorders>
            <w:shd w:val="clear" w:color="auto" w:fill="auto"/>
            <w:vAlign w:val="center"/>
          </w:tcPr>
          <w:p w14:paraId="7BD6ADC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涉外宗教活动内容智能监管</w:t>
            </w:r>
          </w:p>
        </w:tc>
        <w:tc>
          <w:tcPr>
            <w:tcW w:w="3137" w:type="pct"/>
            <w:tcBorders>
              <w:top w:val="nil"/>
              <w:left w:val="nil"/>
              <w:bottom w:val="single" w:color="000000" w:sz="8" w:space="0"/>
              <w:right w:val="single" w:color="000000" w:sz="8" w:space="0"/>
            </w:tcBorders>
            <w:shd w:val="clear" w:color="auto" w:fill="auto"/>
            <w:noWrap/>
            <w:vAlign w:val="center"/>
          </w:tcPr>
          <w:p w14:paraId="71283933">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市民宗局及各区民宗办在宗教事务的管理中，负有对依法报备的涉外宗教活动进行严格监管的责任。这些涉外宗教活动需要向市民宗局提交事前报备流程，主办该活动的宗教活动场所或宗教团体需要按照规定要求保留全程录音录像的资料备查。</w:t>
            </w:r>
          </w:p>
        </w:tc>
      </w:tr>
      <w:tr w14:paraId="36997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5E2F">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56</w:t>
            </w:r>
          </w:p>
        </w:tc>
        <w:tc>
          <w:tcPr>
            <w:tcW w:w="656" w:type="pct"/>
            <w:vMerge w:val="continue"/>
            <w:tcBorders>
              <w:top w:val="nil"/>
              <w:left w:val="nil"/>
              <w:bottom w:val="single" w:color="000000" w:sz="8" w:space="0"/>
              <w:right w:val="single" w:color="000000" w:sz="8" w:space="0"/>
            </w:tcBorders>
            <w:shd w:val="clear" w:color="auto" w:fill="auto"/>
            <w:vAlign w:val="center"/>
          </w:tcPr>
          <w:p w14:paraId="2F2F531C">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77C1052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宗教文字材料内容智能审查</w:t>
            </w:r>
          </w:p>
        </w:tc>
        <w:tc>
          <w:tcPr>
            <w:tcW w:w="3137" w:type="pct"/>
            <w:tcBorders>
              <w:top w:val="nil"/>
              <w:left w:val="nil"/>
              <w:bottom w:val="single" w:color="000000" w:sz="8" w:space="0"/>
              <w:right w:val="single" w:color="000000" w:sz="8" w:space="0"/>
            </w:tcBorders>
            <w:shd w:val="clear" w:color="auto" w:fill="auto"/>
            <w:vAlign w:val="center"/>
          </w:tcPr>
          <w:p w14:paraId="7DC89DA9">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市民宗局在宗教事务管理中，承担着对宗教相关出版物和文字材料的审查和监督工作。为了确保宗教文字材料（如宗教出版物、宣传资料等）的内容符合国家宗教领域的法律法规和政策要求，市民宗局需要对所有依法申报的宗教文字材料进行严格的内容审查。</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这类宗教文字材料涉及中文或外语种，也涉及各教派的教义及经文类的分析，为了提高审查效率与文字材料的合规性，市民宗局需要借助智能化工具来辅助审查工作，可以进行关键词检测、语义分析、文献比对、法律法规适配、宗教教义分析、政策指引合规等功能辅助审查工作，进一步减少人工审查的工作量，同时提升审查结果的准确度和公正性。</w:t>
            </w:r>
          </w:p>
        </w:tc>
      </w:tr>
      <w:tr w14:paraId="1FC33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A027">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57</w:t>
            </w:r>
          </w:p>
        </w:tc>
        <w:tc>
          <w:tcPr>
            <w:tcW w:w="656" w:type="pct"/>
            <w:vMerge w:val="continue"/>
            <w:tcBorders>
              <w:top w:val="nil"/>
              <w:left w:val="nil"/>
              <w:bottom w:val="single" w:color="000000" w:sz="8" w:space="0"/>
              <w:right w:val="single" w:color="000000" w:sz="8" w:space="0"/>
            </w:tcBorders>
            <w:shd w:val="clear" w:color="auto" w:fill="auto"/>
            <w:vAlign w:val="center"/>
          </w:tcPr>
          <w:p w14:paraId="2F8A8CBB">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14F1488D">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宗教工作治理智能风险提示</w:t>
            </w:r>
          </w:p>
        </w:tc>
        <w:tc>
          <w:tcPr>
            <w:tcW w:w="3137" w:type="pct"/>
            <w:tcBorders>
              <w:top w:val="nil"/>
              <w:left w:val="nil"/>
              <w:bottom w:val="single" w:color="000000" w:sz="8" w:space="0"/>
              <w:right w:val="single" w:color="000000" w:sz="8" w:space="0"/>
            </w:tcBorders>
            <w:shd w:val="clear" w:color="auto" w:fill="auto"/>
            <w:noWrap/>
            <w:vAlign w:val="center"/>
          </w:tcPr>
          <w:p w14:paraId="4011381E">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通过“民宗小和”智能问答机器人的推理功能，实现对上海市宗教界活动形态进行智能化风险评估和预警提示。该系统的数据来源主要来源包括“上海市民族宗教事务服务管理子系统”和正在建设中的“上海市民宗事务两网融合管理子系统”，两者合并后将形成一个庞大的数据池。此数据池包含了丰富的宗教组织和人员信息，涵盖了宗教团体、宗教活动场所、宗教教职人员及其他宗教工作人员和各项宗教活动的详细资料。</w:t>
            </w:r>
          </w:p>
        </w:tc>
      </w:tr>
      <w:tr w14:paraId="2D5A9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1"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105F">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58</w:t>
            </w:r>
          </w:p>
        </w:tc>
        <w:tc>
          <w:tcPr>
            <w:tcW w:w="656" w:type="pct"/>
            <w:vMerge w:val="restart"/>
            <w:tcBorders>
              <w:top w:val="nil"/>
              <w:left w:val="nil"/>
              <w:bottom w:val="single" w:color="000000" w:sz="8" w:space="0"/>
              <w:right w:val="single" w:color="000000" w:sz="8" w:space="0"/>
            </w:tcBorders>
            <w:shd w:val="clear" w:color="auto" w:fill="auto"/>
            <w:vAlign w:val="center"/>
          </w:tcPr>
          <w:p w14:paraId="14302FB1">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大模型数据集预处理服务</w:t>
            </w:r>
          </w:p>
        </w:tc>
        <w:tc>
          <w:tcPr>
            <w:tcW w:w="774" w:type="pct"/>
            <w:tcBorders>
              <w:top w:val="nil"/>
              <w:left w:val="nil"/>
              <w:bottom w:val="single" w:color="000000" w:sz="8" w:space="0"/>
              <w:right w:val="single" w:color="000000" w:sz="8" w:space="0"/>
            </w:tcBorders>
            <w:shd w:val="clear" w:color="auto" w:fill="auto"/>
            <w:vAlign w:val="center"/>
          </w:tcPr>
          <w:p w14:paraId="2DD6600A">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数据预处理服务</w:t>
            </w:r>
          </w:p>
        </w:tc>
        <w:tc>
          <w:tcPr>
            <w:tcW w:w="3137" w:type="pct"/>
            <w:tcBorders>
              <w:top w:val="nil"/>
              <w:left w:val="nil"/>
              <w:bottom w:val="single" w:color="000000" w:sz="8" w:space="0"/>
              <w:right w:val="single" w:color="000000" w:sz="8" w:space="0"/>
            </w:tcBorders>
            <w:shd w:val="clear" w:color="auto" w:fill="auto"/>
            <w:vAlign w:val="center"/>
          </w:tcPr>
          <w:p w14:paraId="429DFC50">
            <w:pPr>
              <w:keepNext w:val="0"/>
              <w:keepLines w:val="0"/>
              <w:widowControl/>
              <w:suppressLineNumbers w:val="0"/>
              <w:ind w:firstLine="0" w:firstLineChars="0"/>
              <w:jc w:val="left"/>
              <w:textAlignment w:val="center"/>
              <w:rPr>
                <w:rFonts w:hint="default"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数据预处理服务主要包含开展数据清洗、转换、去噪、标准化、脱敏等操作。具体涉及</w:t>
            </w:r>
            <w:r>
              <w:rPr>
                <w:rFonts w:hint="eastAsia" w:asciiTheme="minorEastAsia" w:hAnsiTheme="minorEastAsia" w:eastAsiaTheme="minorEastAsia" w:cstheme="minorEastAsia"/>
                <w:b w:val="0"/>
                <w:bCs w:val="0"/>
                <w:i w:val="0"/>
                <w:iCs w:val="0"/>
                <w:color w:val="000000"/>
                <w:kern w:val="0"/>
                <w:sz w:val="22"/>
                <w:szCs w:val="22"/>
                <w:u w:val="none"/>
                <w:lang w:val="en-US" w:eastAsia="zh-CN" w:bidi="ar"/>
              </w:rPr>
              <w:t>数据清洗和转换；</w:t>
            </w:r>
            <w:r>
              <w:rPr>
                <w:rFonts w:hint="eastAsia" w:asciiTheme="minorEastAsia" w:hAnsiTheme="minorEastAsia" w:eastAsiaTheme="minorEastAsia" w:cstheme="minorEastAsia"/>
                <w:i w:val="0"/>
                <w:iCs w:val="0"/>
                <w:color w:val="000000"/>
                <w:kern w:val="0"/>
                <w:sz w:val="22"/>
                <w:szCs w:val="22"/>
                <w:u w:val="none"/>
                <w:lang w:val="en-US" w:eastAsia="zh-CN" w:bidi="ar"/>
              </w:rPr>
              <w:t>检测与修正异常值；噪声过滤与内容校验；数据去敏感化等。</w:t>
            </w:r>
          </w:p>
        </w:tc>
      </w:tr>
      <w:tr w14:paraId="4350B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6F45">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59</w:t>
            </w:r>
          </w:p>
        </w:tc>
        <w:tc>
          <w:tcPr>
            <w:tcW w:w="656" w:type="pct"/>
            <w:vMerge w:val="continue"/>
            <w:tcBorders>
              <w:top w:val="nil"/>
              <w:left w:val="nil"/>
              <w:bottom w:val="single" w:color="000000" w:sz="8" w:space="0"/>
              <w:right w:val="single" w:color="000000" w:sz="8" w:space="0"/>
            </w:tcBorders>
            <w:shd w:val="clear" w:color="auto" w:fill="auto"/>
            <w:vAlign w:val="center"/>
          </w:tcPr>
          <w:p w14:paraId="6475B8A6">
            <w:pPr>
              <w:jc w:val="center"/>
              <w:rPr>
                <w:rFonts w:hint="eastAsia" w:asciiTheme="minorEastAsia" w:hAnsiTheme="minorEastAsia" w:eastAsiaTheme="minorEastAsia" w:cstheme="minorEastAsia"/>
                <w:i w:val="0"/>
                <w:iCs w:val="0"/>
                <w:color w:val="000000"/>
                <w:sz w:val="22"/>
                <w:szCs w:val="22"/>
                <w:u w:val="none"/>
              </w:rPr>
            </w:pPr>
          </w:p>
        </w:tc>
        <w:tc>
          <w:tcPr>
            <w:tcW w:w="774" w:type="pct"/>
            <w:tcBorders>
              <w:top w:val="nil"/>
              <w:left w:val="nil"/>
              <w:bottom w:val="single" w:color="000000" w:sz="8" w:space="0"/>
              <w:right w:val="single" w:color="000000" w:sz="8" w:space="0"/>
            </w:tcBorders>
            <w:shd w:val="clear" w:color="auto" w:fill="auto"/>
            <w:vAlign w:val="center"/>
          </w:tcPr>
          <w:p w14:paraId="3C096AA8">
            <w:pPr>
              <w:keepNext w:val="0"/>
              <w:keepLines w:val="0"/>
              <w:widowControl/>
              <w:suppressLineNumbers w:val="0"/>
              <w:ind w:firstLine="0" w:firstLineChars="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元数据管理</w:t>
            </w:r>
          </w:p>
        </w:tc>
        <w:tc>
          <w:tcPr>
            <w:tcW w:w="3137" w:type="pct"/>
            <w:tcBorders>
              <w:top w:val="nil"/>
              <w:left w:val="nil"/>
              <w:bottom w:val="single" w:color="000000" w:sz="8" w:space="0"/>
              <w:right w:val="single" w:color="000000" w:sz="8" w:space="0"/>
            </w:tcBorders>
            <w:shd w:val="clear" w:color="auto" w:fill="auto"/>
            <w:vAlign w:val="center"/>
          </w:tcPr>
          <w:p w14:paraId="2EADA8C7">
            <w:pPr>
              <w:keepNext w:val="0"/>
              <w:keepLines w:val="0"/>
              <w:widowControl/>
              <w:suppressLineNumbers w:val="0"/>
              <w:ind w:firstLine="0" w:firstLineChars="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对于现有系统的部分核心重要数据进行元数据管理的功能开发。计划对民族联信息、民族联人员信息、宗教团体信息、团体工作人员信息、宗教活动场所信息、宗教教职人员信息的数据列入元数据管理范围，开展元数据管理的功能建设，记录数据的来源、处理过程、版本、脱敏方法、标注信息、质量评估结果等元数据，确保数据可追溯、可审计。</w:t>
            </w:r>
          </w:p>
        </w:tc>
      </w:tr>
    </w:tbl>
    <w:p w14:paraId="0FFC533C"/>
    <w:p w14:paraId="3C2ADFF1"/>
    <w:p w14:paraId="73AA525E">
      <w:pPr>
        <w:pStyle w:val="2"/>
      </w:pPr>
      <w:bookmarkStart w:id="21" w:name="_Toc63785502"/>
      <w:r>
        <w:rPr>
          <w:rFonts w:hint="eastAsia"/>
        </w:rPr>
        <w:t>电子政务云资源需求</w:t>
      </w:r>
      <w:bookmarkEnd w:id="21"/>
    </w:p>
    <w:p w14:paraId="2014232B">
      <w:pPr>
        <w:ind w:firstLine="560"/>
        <w:rPr>
          <w:rFonts w:hint="eastAsia"/>
          <w:lang w:bidi="ar"/>
        </w:rPr>
      </w:pPr>
      <w:r>
        <w:rPr>
          <w:rFonts w:hint="eastAsia"/>
        </w:rPr>
        <w:t>根据项目建设内容</w:t>
      </w:r>
      <w:r>
        <w:rPr>
          <w:rFonts w:hint="eastAsia"/>
          <w:lang w:val="en-US" w:eastAsia="zh-CN"/>
        </w:rPr>
        <w:t>利用</w:t>
      </w:r>
      <w:r>
        <w:rPr>
          <w:rFonts w:hint="eastAsia"/>
          <w:color w:val="0000FF"/>
          <w:lang w:val="en-US" w:eastAsia="zh-CN"/>
        </w:rPr>
        <w:t>电子政务云平台提供的计算与存储资源，包括CPU、内存、存储等</w:t>
      </w:r>
      <w:r>
        <w:rPr>
          <w:rFonts w:hint="eastAsia"/>
          <w:color w:val="0000FF"/>
        </w:rPr>
        <w:t>。</w:t>
      </w:r>
      <w:r>
        <w:rPr>
          <w:rFonts w:hint="eastAsia"/>
          <w:lang w:bidi="ar"/>
        </w:rPr>
        <w:t>项目实施过程中可</w:t>
      </w:r>
      <w:r>
        <w:rPr>
          <w:rFonts w:hint="eastAsia"/>
          <w:lang w:val="en-US" w:eastAsia="zh-CN" w:bidi="ar"/>
        </w:rPr>
        <w:t>按照上海市</w:t>
      </w:r>
      <w:r>
        <w:rPr>
          <w:rFonts w:hint="eastAsia"/>
          <w:lang w:bidi="ar"/>
        </w:rPr>
        <w:t>电子政务云平台</w:t>
      </w:r>
      <w:r>
        <w:rPr>
          <w:rFonts w:hint="eastAsia"/>
          <w:lang w:val="en-US" w:eastAsia="zh-CN" w:bidi="ar"/>
        </w:rPr>
        <w:t>实际分配的资源情况作动态调整，同时可整合利用原有系统主机资源</w:t>
      </w:r>
      <w:r>
        <w:rPr>
          <w:rFonts w:hint="eastAsia"/>
          <w:lang w:bidi="ar"/>
        </w:rPr>
        <w:t>。</w:t>
      </w:r>
    </w:p>
    <w:p w14:paraId="6CA19F4D"/>
    <w:p w14:paraId="43C4C950">
      <w:pPr>
        <w:pStyle w:val="2"/>
      </w:pPr>
      <w:bookmarkStart w:id="22" w:name="_Toc63785503"/>
      <w:r>
        <w:rPr>
          <w:rFonts w:hint="eastAsia"/>
        </w:rPr>
        <w:t>其他工作要求</w:t>
      </w:r>
      <w:bookmarkEnd w:id="22"/>
      <w:bookmarkStart w:id="23" w:name="_Toc61968111"/>
      <w:bookmarkEnd w:id="23"/>
      <w:bookmarkStart w:id="24" w:name="_Toc63785504"/>
      <w:bookmarkEnd w:id="24"/>
      <w:bookmarkStart w:id="25" w:name="_Toc63785439"/>
      <w:bookmarkEnd w:id="25"/>
      <w:bookmarkStart w:id="26" w:name="_Toc63151871"/>
      <w:bookmarkEnd w:id="26"/>
      <w:bookmarkStart w:id="27" w:name="_Toc63585480"/>
      <w:bookmarkEnd w:id="27"/>
      <w:bookmarkStart w:id="28" w:name="_Toc63762370"/>
      <w:bookmarkEnd w:id="28"/>
      <w:bookmarkStart w:id="29" w:name="_Toc62209488"/>
      <w:bookmarkEnd w:id="29"/>
      <w:bookmarkStart w:id="30" w:name="_Toc62219358"/>
      <w:bookmarkEnd w:id="30"/>
    </w:p>
    <w:p w14:paraId="7B96EA36">
      <w:pPr>
        <w:pStyle w:val="3"/>
      </w:pPr>
      <w:bookmarkStart w:id="31" w:name="_Toc63785505"/>
      <w:r>
        <w:rPr>
          <w:rFonts w:hint="eastAsia"/>
        </w:rPr>
        <w:t>售后服务要求</w:t>
      </w:r>
      <w:bookmarkEnd w:id="31"/>
    </w:p>
    <w:p w14:paraId="690C8656">
      <w:pPr>
        <w:pStyle w:val="106"/>
        <w:snapToGrid w:val="0"/>
        <w:spacing w:after="163"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63A5DEAF">
      <w:pPr>
        <w:pStyle w:val="106"/>
        <w:snapToGrid w:val="0"/>
        <w:spacing w:after="163"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w:t>
      </w:r>
      <w:r>
        <w:rPr>
          <w:rFonts w:ascii="宋体" w:hAnsi="宋体"/>
          <w:sz w:val="24"/>
          <w:szCs w:val="24"/>
        </w:rPr>
        <w:t xml:space="preserve"> </w:t>
      </w:r>
    </w:p>
    <w:p w14:paraId="14D8699F">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w:t>
      </w:r>
    </w:p>
    <w:p w14:paraId="38449309">
      <w:pPr>
        <w:pStyle w:val="61"/>
        <w:ind w:left="480" w:hanging="480" w:hangingChars="200"/>
        <w:rPr>
          <w:sz w:val="24"/>
          <w:szCs w:val="32"/>
        </w:rPr>
      </w:pPr>
      <w:r>
        <w:rPr>
          <w:rFonts w:hint="eastAsia"/>
          <w:sz w:val="24"/>
          <w:szCs w:val="32"/>
        </w:rPr>
        <w:t>（1）供应商在响应文件中详细列出售后服务清单，对每项服务需明确服务提供方名称、服务内容、服务方式、服务人员技术要求以及服务响应时间等。</w:t>
      </w:r>
    </w:p>
    <w:p w14:paraId="1D8DB255">
      <w:pPr>
        <w:pStyle w:val="61"/>
        <w:ind w:left="480" w:hanging="480" w:hangingChars="200"/>
        <w:rPr>
          <w:sz w:val="24"/>
          <w:szCs w:val="32"/>
        </w:rPr>
      </w:pPr>
      <w:r>
        <w:rPr>
          <w:rFonts w:hint="eastAsia"/>
          <w:sz w:val="24"/>
          <w:szCs w:val="32"/>
        </w:rPr>
        <w:t>（2）供应商应有专业售后服务团队，可按本需求要求及时提供本需求约定的服务。</w:t>
      </w:r>
    </w:p>
    <w:p w14:paraId="50CB7C5E">
      <w:pPr>
        <w:pStyle w:val="61"/>
        <w:ind w:left="480" w:hanging="480" w:hangingChars="200"/>
        <w:rPr>
          <w:sz w:val="24"/>
          <w:szCs w:val="32"/>
        </w:rPr>
      </w:pPr>
      <w:r>
        <w:rPr>
          <w:rFonts w:hint="eastAsia"/>
          <w:sz w:val="24"/>
          <w:szCs w:val="32"/>
        </w:rPr>
        <w:t>（3）在保修期免费维护期结束前，进行至少一次全面检查，任何缺陷由供应商负责修理，在修理之后，项目实施方将缺陷原因、修理内容、完成修理及恢复正常的时间和日期等报告给采购人。</w:t>
      </w:r>
    </w:p>
    <w:p w14:paraId="7D50C757">
      <w:pPr>
        <w:pStyle w:val="61"/>
        <w:ind w:left="480" w:hanging="480" w:hangingChars="200"/>
        <w:rPr>
          <w:rFonts w:ascii="宋体" w:hAnsi="宋体"/>
          <w:sz w:val="24"/>
        </w:rPr>
      </w:pPr>
      <w:r>
        <w:rPr>
          <w:rFonts w:hint="eastAsia"/>
          <w:sz w:val="24"/>
          <w:szCs w:val="32"/>
        </w:rPr>
        <w:t>（4）供应商应配合采购人做好系统运行情况健康体征监测和数据归集工作。</w:t>
      </w:r>
    </w:p>
    <w:p w14:paraId="3154E71F">
      <w:pPr>
        <w:pStyle w:val="3"/>
      </w:pPr>
      <w:bookmarkStart w:id="32" w:name="_Toc63785506"/>
      <w:r>
        <w:rPr>
          <w:rFonts w:hint="eastAsia"/>
        </w:rPr>
        <w:t>应急响应要求</w:t>
      </w:r>
      <w:bookmarkEnd w:id="32"/>
    </w:p>
    <w:p w14:paraId="58B43D7B">
      <w:pPr>
        <w:pStyle w:val="106"/>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4D2D9E61">
      <w:pPr>
        <w:pStyle w:val="106"/>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14:paraId="3CF4EBB2">
      <w:pPr>
        <w:pStyle w:val="106"/>
        <w:snapToGrid w:val="0"/>
        <w:spacing w:line="360" w:lineRule="auto"/>
        <w:ind w:firstLine="480"/>
        <w:rPr>
          <w:rFonts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7E2131CA">
      <w:pPr>
        <w:pStyle w:val="106"/>
        <w:snapToGrid w:val="0"/>
        <w:spacing w:line="360" w:lineRule="auto"/>
        <w:ind w:firstLine="480"/>
        <w:rPr>
          <w:rFonts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73504F52">
      <w:pPr>
        <w:pStyle w:val="106"/>
        <w:snapToGrid w:val="0"/>
        <w:spacing w:line="360" w:lineRule="auto"/>
        <w:ind w:firstLine="480"/>
        <w:rPr>
          <w:rFonts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6B9180F4">
      <w:pPr>
        <w:pStyle w:val="3"/>
      </w:pPr>
      <w:bookmarkStart w:id="33" w:name="_Toc63785507"/>
      <w:r>
        <w:rPr>
          <w:rFonts w:hint="eastAsia"/>
        </w:rPr>
        <w:t>培训要求</w:t>
      </w:r>
      <w:bookmarkEnd w:id="33"/>
    </w:p>
    <w:p w14:paraId="3AC488D9">
      <w:r>
        <w:rPr>
          <w:rFonts w:hint="eastAsia"/>
        </w:rPr>
        <w:t>对系统使用单位提供业务操作培训，应提供详细培训方案。</w:t>
      </w:r>
    </w:p>
    <w:p w14:paraId="4B5F1A04">
      <w:r>
        <w:rPr>
          <w:rFonts w:hint="eastAsia"/>
        </w:rPr>
        <w:t>（1）在12个月的质量保证期内，提供至少2次与项目相关的必要培训。</w:t>
      </w:r>
    </w:p>
    <w:p w14:paraId="12512F07">
      <w:r>
        <w:rPr>
          <w:rFonts w:hint="eastAsia"/>
        </w:rPr>
        <w:t>（2）供应商需要开展分层次的人员培训工作，每次培训后应对参加培训人员进行测试，评估培训成果。培训应具有培训教材、培训环境和高水平的培训讲师。</w:t>
      </w:r>
    </w:p>
    <w:p w14:paraId="4A4D9FBC">
      <w:r>
        <w:rPr>
          <w:rFonts w:hint="eastAsia"/>
        </w:rPr>
        <w:t>（3）供应商应提供一般用户的基础操作培训和部门信息管理员的日常应用维护的培训，确保用户对象能够掌握对应的操作技能。</w:t>
      </w:r>
    </w:p>
    <w:p w14:paraId="01B7C6F9">
      <w:pPr>
        <w:pStyle w:val="3"/>
      </w:pPr>
      <w:bookmarkStart w:id="34" w:name="_Toc63785508"/>
      <w:r>
        <w:rPr>
          <w:rFonts w:hint="eastAsia"/>
        </w:rPr>
        <w:t>验收要求</w:t>
      </w:r>
      <w:bookmarkEnd w:id="34"/>
    </w:p>
    <w:p w14:paraId="259DFF06">
      <w:pPr>
        <w:rPr>
          <w:szCs w:val="21"/>
        </w:rPr>
      </w:pPr>
      <w:bookmarkStart w:id="35" w:name="_Toc63785509"/>
      <w:r>
        <w:rPr>
          <w:rFonts w:hint="eastAsia"/>
          <w:szCs w:val="21"/>
        </w:rPr>
        <w:t>本项目按下述方式开展验收。</w:t>
      </w:r>
    </w:p>
    <w:p w14:paraId="1AD81A7F">
      <w:pPr>
        <w:rPr>
          <w:szCs w:val="21"/>
        </w:rPr>
      </w:pPr>
      <w:r>
        <w:rPr>
          <w:rFonts w:hint="eastAsia"/>
          <w:szCs w:val="21"/>
        </w:rPr>
        <w:t>（</w:t>
      </w:r>
      <w:r>
        <w:rPr>
          <w:rFonts w:hint="eastAsia"/>
          <w:szCs w:val="21"/>
          <w:lang w:val="en-US" w:eastAsia="zh-CN"/>
        </w:rPr>
        <w:t>1</w:t>
      </w:r>
      <w:r>
        <w:rPr>
          <w:szCs w:val="21"/>
        </w:rPr>
        <w:t>）</w:t>
      </w:r>
      <w:r>
        <w:rPr>
          <w:rFonts w:hint="eastAsia"/>
          <w:szCs w:val="21"/>
          <w:lang w:val="en-US" w:eastAsia="zh-CN"/>
        </w:rPr>
        <w:t>验收</w:t>
      </w:r>
      <w:r>
        <w:rPr>
          <w:szCs w:val="21"/>
        </w:rPr>
        <w:t>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szCs w:val="21"/>
          <w:lang w:eastAsia="zh-CN"/>
        </w:rPr>
        <w:t>采购人</w:t>
      </w:r>
      <w:r>
        <w:rPr>
          <w:szCs w:val="21"/>
        </w:rPr>
        <w:t>递交初验通知书。</w:t>
      </w:r>
      <w:r>
        <w:rPr>
          <w:rFonts w:hint="eastAsia"/>
          <w:szCs w:val="21"/>
          <w:lang w:eastAsia="zh-CN"/>
        </w:rPr>
        <w:t>采购人</w:t>
      </w:r>
      <w:r>
        <w:rPr>
          <w:szCs w:val="21"/>
        </w:rPr>
        <w:t>应当在接到通知后的5个工作日内确定初验的具体日期，由双方按照本项目的约定完成本项目的初验。</w:t>
      </w:r>
      <w:r>
        <w:rPr>
          <w:rFonts w:hint="eastAsia"/>
          <w:szCs w:val="21"/>
          <w:lang w:eastAsia="zh-CN"/>
        </w:rPr>
        <w:t>采购人</w:t>
      </w:r>
      <w:r>
        <w:rPr>
          <w:szCs w:val="21"/>
        </w:rPr>
        <w:t>有权委托第三方检测机构进行验收，对此供应商应当配合。</w:t>
      </w:r>
    </w:p>
    <w:p w14:paraId="3D6115E1">
      <w:pPr>
        <w:rPr>
          <w:szCs w:val="21"/>
        </w:rPr>
      </w:pPr>
      <w:r>
        <w:rPr>
          <w:rFonts w:hint="eastAsia"/>
          <w:szCs w:val="21"/>
        </w:rPr>
        <w:t>（</w:t>
      </w:r>
      <w:r>
        <w:rPr>
          <w:rFonts w:hint="eastAsia"/>
          <w:szCs w:val="21"/>
          <w:lang w:val="en-US" w:eastAsia="zh-CN"/>
        </w:rPr>
        <w:t>2</w:t>
      </w:r>
      <w:r>
        <w:rPr>
          <w:szCs w:val="21"/>
        </w:rPr>
        <w:t>）</w:t>
      </w:r>
      <w:r>
        <w:rPr>
          <w:rFonts w:hint="eastAsia"/>
          <w:szCs w:val="21"/>
          <w:lang w:val="en-US" w:eastAsia="zh-CN"/>
        </w:rPr>
        <w:t>验收</w:t>
      </w:r>
      <w:r>
        <w:rPr>
          <w:szCs w:val="21"/>
        </w:rPr>
        <w:t>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szCs w:val="21"/>
          <w:lang w:eastAsia="zh-CN"/>
        </w:rPr>
        <w:t>采购人</w:t>
      </w:r>
      <w:r>
        <w:rPr>
          <w:szCs w:val="21"/>
        </w:rPr>
        <w:t>应向供应商出具书面报告，陈述需要改进的缺陷。供应商应立即严格依照</w:t>
      </w:r>
      <w:r>
        <w:rPr>
          <w:rFonts w:hint="eastAsia"/>
          <w:szCs w:val="21"/>
          <w:lang w:eastAsia="zh-CN"/>
        </w:rPr>
        <w:t>采购人</w:t>
      </w:r>
      <w:r>
        <w:rPr>
          <w:szCs w:val="21"/>
        </w:rPr>
        <w:t>的书面报告中的要求改进缺陷，并再次进行初验。</w:t>
      </w:r>
    </w:p>
    <w:p w14:paraId="19AF6BFF">
      <w:pPr>
        <w:rPr>
          <w:szCs w:val="21"/>
        </w:rPr>
      </w:pPr>
      <w:r>
        <w:rPr>
          <w:rFonts w:hint="eastAsia"/>
          <w:szCs w:val="21"/>
        </w:rPr>
        <w:t>（</w:t>
      </w:r>
      <w:r>
        <w:rPr>
          <w:szCs w:val="21"/>
        </w:rPr>
        <w:t>4）</w:t>
      </w:r>
      <w:r>
        <w:rPr>
          <w:rFonts w:hint="eastAsia"/>
          <w:szCs w:val="21"/>
          <w:lang w:eastAsia="zh-CN"/>
        </w:rPr>
        <w:t>采购人</w:t>
      </w:r>
      <w:r>
        <w:rPr>
          <w:szCs w:val="21"/>
        </w:rPr>
        <w:t>享有供应商免费提供的</w:t>
      </w:r>
      <w:r>
        <w:rPr>
          <w:rFonts w:hint="eastAsia"/>
          <w:szCs w:val="21"/>
        </w:rPr>
        <w:t>30</w:t>
      </w:r>
      <w:r>
        <w:rPr>
          <w:szCs w:val="21"/>
        </w:rPr>
        <w:t>天的信息系统试运行现场驻场服务期。该期间内，供应商应当按照</w:t>
      </w:r>
      <w:r>
        <w:rPr>
          <w:rFonts w:hint="eastAsia"/>
          <w:szCs w:val="21"/>
          <w:lang w:eastAsia="zh-CN"/>
        </w:rPr>
        <w:t>采购人</w:t>
      </w:r>
      <w:r>
        <w:rPr>
          <w:szCs w:val="21"/>
        </w:rPr>
        <w:t>的要求提供现场技术支持服务，解决信息系统试运行期间可能出现的各类问题，或进一步提高与完善信息系统运行水平。</w:t>
      </w:r>
    </w:p>
    <w:p w14:paraId="709A22E8">
      <w:pPr>
        <w:rPr>
          <w:szCs w:val="21"/>
        </w:rPr>
      </w:pPr>
      <w:r>
        <w:rPr>
          <w:rFonts w:hint="eastAsia"/>
          <w:szCs w:val="21"/>
        </w:rPr>
        <w:t>（</w:t>
      </w:r>
      <w:r>
        <w:rPr>
          <w:szCs w:val="21"/>
        </w:rPr>
        <w:t>5）信息系统试运行期已经达到本项目约定的时间，经供应商确认信息系统具备正常运行条件，且信息系统通过运行测试，供应商应以书面形式通知</w:t>
      </w:r>
      <w:r>
        <w:rPr>
          <w:rFonts w:hint="eastAsia"/>
          <w:szCs w:val="21"/>
          <w:lang w:eastAsia="zh-CN"/>
        </w:rPr>
        <w:t>采购人</w:t>
      </w:r>
      <w:r>
        <w:rPr>
          <w:szCs w:val="21"/>
        </w:rPr>
        <w:t>信息系统已准备就绪等待终验。</w:t>
      </w:r>
      <w:r>
        <w:rPr>
          <w:rFonts w:hint="eastAsia"/>
          <w:szCs w:val="21"/>
          <w:lang w:eastAsia="zh-CN"/>
        </w:rPr>
        <w:t>采购人</w:t>
      </w:r>
      <w:r>
        <w:rPr>
          <w:szCs w:val="21"/>
        </w:rPr>
        <w:t>在收到终验通知后的</w:t>
      </w:r>
      <w:r>
        <w:rPr>
          <w:rFonts w:hint="eastAsia"/>
          <w:szCs w:val="21"/>
        </w:rPr>
        <w:t>20</w:t>
      </w:r>
      <w:r>
        <w:rPr>
          <w:szCs w:val="21"/>
        </w:rPr>
        <w:t>个工作日内发起组织专家验收会。</w:t>
      </w:r>
    </w:p>
    <w:p w14:paraId="054E4757">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2F9EFEB3">
      <w:pPr>
        <w:rPr>
          <w:szCs w:val="21"/>
        </w:rPr>
      </w:pPr>
      <w:r>
        <w:rPr>
          <w:rFonts w:hint="eastAsia"/>
          <w:szCs w:val="21"/>
        </w:rPr>
        <w:t>（7</w:t>
      </w:r>
      <w:r>
        <w:rPr>
          <w:szCs w:val="21"/>
        </w:rPr>
        <w:t>）如果由于</w:t>
      </w:r>
      <w:r>
        <w:rPr>
          <w:rFonts w:hint="eastAsia"/>
          <w:szCs w:val="21"/>
          <w:lang w:eastAsia="zh-CN"/>
        </w:rPr>
        <w:t>采购人</w:t>
      </w:r>
      <w:r>
        <w:rPr>
          <w:szCs w:val="21"/>
        </w:rPr>
        <w:t>原因导致本项目在终验通过前出现故障或问题，供应商应及时配合排除该方面的故障或问题。</w:t>
      </w:r>
    </w:p>
    <w:p w14:paraId="42DE680B">
      <w:pPr>
        <w:rPr>
          <w:szCs w:val="21"/>
        </w:rPr>
      </w:pPr>
      <w:r>
        <w:rPr>
          <w:rFonts w:hint="eastAsia"/>
          <w:szCs w:val="21"/>
        </w:rPr>
        <w:t>（8</w:t>
      </w:r>
      <w:r>
        <w:rPr>
          <w:szCs w:val="21"/>
        </w:rPr>
        <w:t>）如本项目连续3次验收未通过，</w:t>
      </w:r>
      <w:r>
        <w:rPr>
          <w:rFonts w:hint="eastAsia"/>
          <w:szCs w:val="21"/>
          <w:lang w:eastAsia="zh-CN"/>
        </w:rPr>
        <w:t>采购人</w:t>
      </w:r>
      <w:r>
        <w:rPr>
          <w:szCs w:val="21"/>
        </w:rPr>
        <w:t>有权解除项目，并有权依照本项目约定的违约条款追究供应商的违约责任。</w:t>
      </w:r>
    </w:p>
    <w:p w14:paraId="5A5BC89B">
      <w:pPr>
        <w:pStyle w:val="3"/>
      </w:pPr>
      <w:r>
        <w:rPr>
          <w:rFonts w:hint="eastAsia"/>
        </w:rPr>
        <w:t>进度要求</w:t>
      </w:r>
      <w:bookmarkEnd w:id="35"/>
    </w:p>
    <w:p w14:paraId="680A1396">
      <w:r>
        <w:rPr>
          <w:rFonts w:hint="eastAsia"/>
          <w:lang w:eastAsia="zh-CN"/>
        </w:rPr>
        <w:t>供应商</w:t>
      </w:r>
      <w:r>
        <w:rPr>
          <w:rFonts w:hint="eastAsia"/>
        </w:rPr>
        <w:t>应根据建设内容，分阶段制定合理的时间进度，并且应根据</w:t>
      </w:r>
      <w:r>
        <w:rPr>
          <w:rFonts w:hint="eastAsia"/>
          <w:lang w:eastAsia="zh-CN"/>
        </w:rPr>
        <w:t>采购人</w:t>
      </w:r>
      <w:r>
        <w:rPr>
          <w:rFonts w:hint="eastAsia"/>
        </w:rPr>
        <w:t>要求进行调整和细化。</w:t>
      </w:r>
    </w:p>
    <w:p w14:paraId="400F580D">
      <w:r>
        <w:rPr>
          <w:rFonts w:hint="eastAsia"/>
        </w:rPr>
        <w:t>总建设周期为</w:t>
      </w:r>
      <w:r>
        <w:rPr>
          <w:rFonts w:hint="eastAsia"/>
          <w:color w:val="FF0000"/>
          <w:lang w:val="en-US" w:eastAsia="zh-CN"/>
        </w:rPr>
        <w:t>8</w:t>
      </w:r>
      <w:r>
        <w:rPr>
          <w:rFonts w:hint="eastAsia"/>
          <w:color w:val="FF0000"/>
        </w:rPr>
        <w:t>个月</w:t>
      </w:r>
      <w:r>
        <w:rPr>
          <w:rFonts w:hint="eastAsia"/>
        </w:rPr>
        <w:t>，共四个阶段。</w:t>
      </w:r>
    </w:p>
    <w:p w14:paraId="71D37AA6">
      <w:r>
        <w:rPr>
          <w:rFonts w:hint="eastAsia"/>
        </w:rPr>
        <w:t>第一阶段为1个月，完成需求细化和分析。</w:t>
      </w:r>
    </w:p>
    <w:p w14:paraId="391E0563">
      <w:r>
        <w:rPr>
          <w:rFonts w:hint="eastAsia"/>
        </w:rPr>
        <w:t>第二阶段为4个月，完成系统设计和编码。</w:t>
      </w:r>
    </w:p>
    <w:p w14:paraId="133851B8">
      <w:r>
        <w:rPr>
          <w:rFonts w:hint="eastAsia"/>
        </w:rPr>
        <w:t>第三阶段为1个月，完成系统测试。</w:t>
      </w:r>
    </w:p>
    <w:p w14:paraId="43FC39B8">
      <w:r>
        <w:rPr>
          <w:rFonts w:hint="eastAsia"/>
        </w:rPr>
        <w:t>第四阶段为</w:t>
      </w:r>
      <w:r>
        <w:rPr>
          <w:rFonts w:hint="eastAsia"/>
          <w:lang w:val="en-US" w:eastAsia="zh-CN"/>
        </w:rPr>
        <w:t>2</w:t>
      </w:r>
      <w:r>
        <w:rPr>
          <w:rFonts w:hint="eastAsia"/>
        </w:rPr>
        <w:t>个月，完成系统试运行</w:t>
      </w:r>
      <w:r>
        <w:rPr>
          <w:rFonts w:hint="eastAsia"/>
          <w:lang w:eastAsia="zh-CN"/>
        </w:rPr>
        <w:t>，</w:t>
      </w:r>
      <w:r>
        <w:rPr>
          <w:rFonts w:hint="eastAsia"/>
          <w:lang w:val="en-US" w:eastAsia="zh-CN"/>
        </w:rPr>
        <w:t>第三方软件测试、安全测评、密码应用测评和数据编目上链等工作</w:t>
      </w:r>
      <w:r>
        <w:rPr>
          <w:rFonts w:hint="eastAsia"/>
        </w:rPr>
        <w:t>及验收。</w:t>
      </w:r>
    </w:p>
    <w:p w14:paraId="6EF88F55">
      <w:pPr>
        <w:pStyle w:val="3"/>
      </w:pPr>
      <w:bookmarkStart w:id="36" w:name="_Toc63785510"/>
      <w:r>
        <w:rPr>
          <w:rFonts w:hint="eastAsia"/>
        </w:rPr>
        <w:t>项目团队及驻场人员要求</w:t>
      </w:r>
      <w:bookmarkEnd w:id="36"/>
    </w:p>
    <w:p w14:paraId="1102CB67">
      <w:r>
        <w:t>1）</w:t>
      </w:r>
      <w:r>
        <w:rPr>
          <w:rFonts w:hint="eastAsia"/>
          <w:lang w:eastAsia="zh-CN"/>
        </w:rPr>
        <w:t>供应商</w:t>
      </w:r>
      <w:r>
        <w:t>须具有稳定的在职技术保障力量，能够提供及时的技术支援或服务，应针对本项目提供不少于</w:t>
      </w:r>
      <w:r>
        <w:rPr>
          <w:color w:val="FF0000"/>
        </w:rPr>
        <w:t>15人</w:t>
      </w:r>
      <w:r>
        <w:t>的项目服务团队（包括项目经理、产品经理、技术负责人、研发等），</w:t>
      </w:r>
      <w:r>
        <w:rPr>
          <w:rFonts w:hint="eastAsia"/>
          <w:lang w:eastAsia="zh-CN"/>
        </w:rPr>
        <w:t>供应商</w:t>
      </w:r>
      <w:r>
        <w:t>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942"/>
        <w:gridCol w:w="1180"/>
        <w:gridCol w:w="2050"/>
        <w:gridCol w:w="1180"/>
      </w:tblGrid>
      <w:tr w14:paraId="1E2C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58A35F7D">
            <w:pPr>
              <w:widowControl/>
              <w:spacing w:line="240" w:lineRule="auto"/>
              <w:ind w:firstLine="0" w:firstLineChars="0"/>
              <w:jc w:val="center"/>
              <w:rPr>
                <w:b/>
              </w:rPr>
            </w:pPr>
            <w:r>
              <w:rPr>
                <w:rFonts w:hint="eastAsia"/>
                <w:b/>
              </w:rPr>
              <w:t>角色</w:t>
            </w:r>
          </w:p>
        </w:tc>
        <w:tc>
          <w:tcPr>
            <w:tcW w:w="0" w:type="auto"/>
            <w:shd w:val="clear" w:color="auto" w:fill="auto"/>
            <w:noWrap/>
            <w:vAlign w:val="center"/>
          </w:tcPr>
          <w:p w14:paraId="3FDC5AC0">
            <w:pPr>
              <w:widowControl/>
              <w:spacing w:line="240" w:lineRule="auto"/>
              <w:ind w:firstLine="0" w:firstLineChars="0"/>
              <w:jc w:val="center"/>
              <w:rPr>
                <w:b/>
              </w:rPr>
            </w:pPr>
            <w:r>
              <w:rPr>
                <w:rFonts w:hint="eastAsia"/>
                <w:b/>
              </w:rPr>
              <w:t>主要职责</w:t>
            </w:r>
          </w:p>
        </w:tc>
        <w:tc>
          <w:tcPr>
            <w:tcW w:w="0" w:type="auto"/>
            <w:shd w:val="clear" w:color="auto" w:fill="auto"/>
            <w:noWrap/>
            <w:vAlign w:val="center"/>
          </w:tcPr>
          <w:p w14:paraId="112DD08A">
            <w:pPr>
              <w:widowControl/>
              <w:spacing w:line="240" w:lineRule="auto"/>
              <w:ind w:firstLine="0" w:firstLineChars="0"/>
              <w:jc w:val="center"/>
              <w:rPr>
                <w:b/>
              </w:rPr>
            </w:pPr>
            <w:r>
              <w:rPr>
                <w:rFonts w:hint="eastAsia"/>
                <w:b/>
              </w:rPr>
              <w:t>人员数量</w:t>
            </w:r>
          </w:p>
        </w:tc>
        <w:tc>
          <w:tcPr>
            <w:tcW w:w="0" w:type="auto"/>
            <w:vAlign w:val="center"/>
          </w:tcPr>
          <w:p w14:paraId="14BC042B">
            <w:pPr>
              <w:widowControl/>
              <w:spacing w:line="240" w:lineRule="auto"/>
              <w:ind w:firstLine="0" w:firstLineChars="0"/>
              <w:jc w:val="center"/>
              <w:rPr>
                <w:b/>
              </w:rPr>
            </w:pPr>
            <w:r>
              <w:rPr>
                <w:rFonts w:hint="eastAsia"/>
                <w:b/>
              </w:rPr>
              <w:t>人员要求</w:t>
            </w:r>
          </w:p>
        </w:tc>
        <w:tc>
          <w:tcPr>
            <w:tcW w:w="0" w:type="auto"/>
            <w:shd w:val="clear" w:color="auto" w:fill="auto"/>
            <w:noWrap/>
            <w:vAlign w:val="center"/>
          </w:tcPr>
          <w:p w14:paraId="64AC883D">
            <w:pPr>
              <w:widowControl/>
              <w:spacing w:line="240" w:lineRule="auto"/>
              <w:ind w:firstLine="0" w:firstLineChars="0"/>
              <w:jc w:val="center"/>
              <w:rPr>
                <w:b/>
              </w:rPr>
            </w:pPr>
            <w:r>
              <w:rPr>
                <w:rFonts w:hint="eastAsia"/>
                <w:b/>
              </w:rPr>
              <w:t>驻场要求</w:t>
            </w:r>
          </w:p>
        </w:tc>
      </w:tr>
      <w:tr w14:paraId="0652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03EB5E8">
            <w:pPr>
              <w:widowControl/>
              <w:spacing w:line="240" w:lineRule="auto"/>
              <w:ind w:firstLine="0" w:firstLineChars="0"/>
              <w:jc w:val="center"/>
            </w:pPr>
            <w:r>
              <w:rPr>
                <w:rFonts w:hint="eastAsia"/>
              </w:rPr>
              <w:t>项目经理</w:t>
            </w:r>
          </w:p>
        </w:tc>
        <w:tc>
          <w:tcPr>
            <w:tcW w:w="0" w:type="auto"/>
            <w:shd w:val="clear" w:color="auto" w:fill="auto"/>
            <w:vAlign w:val="center"/>
          </w:tcPr>
          <w:p w14:paraId="1D446BA8">
            <w:pPr>
              <w:widowControl/>
              <w:spacing w:line="240" w:lineRule="auto"/>
              <w:ind w:firstLine="0" w:firstLineChars="0"/>
              <w:jc w:val="center"/>
            </w:pPr>
            <w:r>
              <w:rPr>
                <w:rFonts w:hint="eastAsia"/>
              </w:rPr>
              <w:t>负责项目管理、质量和进度控制</w:t>
            </w:r>
          </w:p>
        </w:tc>
        <w:tc>
          <w:tcPr>
            <w:tcW w:w="0" w:type="auto"/>
            <w:shd w:val="clear" w:color="auto" w:fill="auto"/>
            <w:noWrap/>
            <w:vAlign w:val="center"/>
          </w:tcPr>
          <w:p w14:paraId="57808A83">
            <w:pPr>
              <w:widowControl/>
              <w:spacing w:line="240" w:lineRule="auto"/>
              <w:ind w:firstLine="0" w:firstLineChars="0"/>
              <w:jc w:val="center"/>
            </w:pPr>
            <w:r>
              <w:t>1</w:t>
            </w:r>
            <w:r>
              <w:rPr>
                <w:rFonts w:hint="eastAsia"/>
              </w:rPr>
              <w:t>人</w:t>
            </w:r>
          </w:p>
        </w:tc>
        <w:tc>
          <w:tcPr>
            <w:tcW w:w="0" w:type="auto"/>
            <w:vAlign w:val="center"/>
          </w:tcPr>
          <w:p w14:paraId="19D8871A">
            <w:pPr>
              <w:widowControl/>
              <w:spacing w:line="240" w:lineRule="auto"/>
              <w:ind w:firstLine="0" w:firstLineChars="0"/>
              <w:jc w:val="center"/>
              <w:rPr>
                <w:rFonts w:hint="eastAsia" w:eastAsia="宋体"/>
                <w:lang w:val="en-US" w:eastAsia="zh-CN"/>
              </w:rPr>
            </w:pPr>
            <w:r>
              <w:t>具备计算机行业中</w:t>
            </w:r>
            <w:r>
              <w:rPr>
                <w:rFonts w:hint="eastAsia"/>
              </w:rPr>
              <w:t>高级职称或者</w:t>
            </w:r>
            <w:r>
              <w:rPr>
                <w:rFonts w:hint="eastAsia"/>
                <w:lang w:val="en-US" w:eastAsia="zh-CN"/>
              </w:rPr>
              <w:t>项目管理工程师证/</w:t>
            </w:r>
            <w:r>
              <w:rPr>
                <w:rFonts w:hint="eastAsia"/>
              </w:rPr>
              <w:t>信息系统项目管理师</w:t>
            </w:r>
            <w:bookmarkStart w:id="40" w:name="_GoBack"/>
            <w:bookmarkEnd w:id="40"/>
          </w:p>
        </w:tc>
        <w:tc>
          <w:tcPr>
            <w:tcW w:w="0" w:type="auto"/>
            <w:shd w:val="clear" w:color="auto" w:fill="auto"/>
            <w:noWrap/>
            <w:vAlign w:val="center"/>
          </w:tcPr>
          <w:p w14:paraId="339228FE">
            <w:pPr>
              <w:widowControl/>
              <w:spacing w:line="240" w:lineRule="auto"/>
              <w:ind w:firstLine="0" w:firstLineChars="0"/>
            </w:pPr>
            <w:r>
              <w:rPr>
                <w:rFonts w:hint="eastAsia"/>
              </w:rPr>
              <w:t>不驻场</w:t>
            </w:r>
          </w:p>
        </w:tc>
      </w:tr>
      <w:tr w14:paraId="132F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17E3F29B">
            <w:pPr>
              <w:widowControl/>
              <w:spacing w:line="240" w:lineRule="auto"/>
              <w:ind w:firstLine="0" w:firstLineChars="0"/>
              <w:jc w:val="center"/>
            </w:pPr>
            <w:r>
              <w:rPr>
                <w:rFonts w:hint="eastAsia"/>
              </w:rPr>
              <w:t>产品经理</w:t>
            </w:r>
          </w:p>
        </w:tc>
        <w:tc>
          <w:tcPr>
            <w:tcW w:w="0" w:type="auto"/>
            <w:shd w:val="clear" w:color="auto" w:fill="auto"/>
            <w:vAlign w:val="center"/>
          </w:tcPr>
          <w:p w14:paraId="342A66E8">
            <w:pPr>
              <w:widowControl/>
              <w:spacing w:line="240" w:lineRule="auto"/>
              <w:ind w:firstLine="0" w:firstLineChars="0"/>
              <w:jc w:val="center"/>
            </w:pPr>
            <w:r>
              <w:rPr>
                <w:rFonts w:hint="eastAsia"/>
              </w:rPr>
              <w:t>负责项目需求评估与产品设计</w:t>
            </w:r>
          </w:p>
        </w:tc>
        <w:tc>
          <w:tcPr>
            <w:tcW w:w="0" w:type="auto"/>
            <w:shd w:val="clear" w:color="auto" w:fill="auto"/>
            <w:noWrap/>
            <w:vAlign w:val="center"/>
          </w:tcPr>
          <w:p w14:paraId="5796114B">
            <w:pPr>
              <w:widowControl/>
              <w:spacing w:line="240" w:lineRule="auto"/>
              <w:ind w:firstLine="0" w:firstLineChars="0"/>
              <w:jc w:val="center"/>
            </w:pPr>
            <w:r>
              <w:t>1</w:t>
            </w:r>
            <w:r>
              <w:rPr>
                <w:rFonts w:hint="eastAsia"/>
              </w:rPr>
              <w:t>人</w:t>
            </w:r>
          </w:p>
        </w:tc>
        <w:tc>
          <w:tcPr>
            <w:tcW w:w="0" w:type="auto"/>
            <w:vMerge w:val="restart"/>
            <w:vAlign w:val="center"/>
          </w:tcPr>
          <w:p w14:paraId="62D4B1DF">
            <w:pPr>
              <w:widowControl/>
              <w:spacing w:line="240" w:lineRule="auto"/>
              <w:ind w:firstLine="0" w:firstLineChars="0"/>
              <w:jc w:val="center"/>
            </w:pPr>
            <w:r>
              <w:t>具备</w:t>
            </w:r>
            <w:r>
              <w:rPr>
                <w:rFonts w:hint="eastAsia"/>
              </w:rPr>
              <w:t>计算机</w:t>
            </w:r>
            <w:r>
              <w:t>行业相关资质或经验</w:t>
            </w:r>
            <w:r>
              <w:rPr>
                <w:rFonts w:hint="eastAsia"/>
                <w:color w:val="auto"/>
                <w:lang w:eastAsia="zh-CN"/>
              </w:rPr>
              <w:t>（</w:t>
            </w:r>
            <w:r>
              <w:rPr>
                <w:rFonts w:hint="eastAsia"/>
                <w:color w:val="auto"/>
              </w:rPr>
              <w:t>具有计算机相关专业本科及以上学历或有1年以上计算机相关行业从业经历）</w:t>
            </w:r>
          </w:p>
        </w:tc>
        <w:tc>
          <w:tcPr>
            <w:tcW w:w="0" w:type="auto"/>
            <w:shd w:val="clear" w:color="auto" w:fill="auto"/>
            <w:noWrap/>
          </w:tcPr>
          <w:p w14:paraId="3DD7792D">
            <w:pPr>
              <w:ind w:firstLine="0" w:firstLineChars="0"/>
            </w:pPr>
            <w:r>
              <w:rPr>
                <w:rFonts w:hint="eastAsia"/>
              </w:rPr>
              <w:t>不驻场</w:t>
            </w:r>
          </w:p>
        </w:tc>
      </w:tr>
      <w:tr w14:paraId="392B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180E716B">
            <w:pPr>
              <w:widowControl/>
              <w:spacing w:line="240" w:lineRule="auto"/>
              <w:ind w:firstLine="0" w:firstLineChars="0"/>
              <w:jc w:val="center"/>
            </w:pPr>
            <w:r>
              <w:rPr>
                <w:rFonts w:hint="eastAsia"/>
              </w:rPr>
              <w:t>研发</w:t>
            </w:r>
          </w:p>
        </w:tc>
        <w:tc>
          <w:tcPr>
            <w:tcW w:w="0" w:type="auto"/>
            <w:shd w:val="clear" w:color="auto" w:fill="auto"/>
            <w:noWrap/>
            <w:vAlign w:val="center"/>
          </w:tcPr>
          <w:p w14:paraId="6EB85E35">
            <w:pPr>
              <w:widowControl/>
              <w:spacing w:line="240" w:lineRule="auto"/>
              <w:ind w:firstLine="0" w:firstLineChars="0"/>
              <w:jc w:val="center"/>
            </w:pPr>
            <w:r>
              <w:rPr>
                <w:rFonts w:hint="eastAsia"/>
              </w:rPr>
              <w:t>负责项目具体开发与实施</w:t>
            </w:r>
          </w:p>
        </w:tc>
        <w:tc>
          <w:tcPr>
            <w:tcW w:w="0" w:type="auto"/>
            <w:shd w:val="clear" w:color="auto" w:fill="auto"/>
            <w:noWrap/>
            <w:vAlign w:val="center"/>
          </w:tcPr>
          <w:p w14:paraId="645EE359">
            <w:pPr>
              <w:widowControl/>
              <w:spacing w:line="240" w:lineRule="auto"/>
              <w:ind w:firstLine="0" w:firstLineChars="0"/>
              <w:jc w:val="center"/>
            </w:pPr>
            <w:r>
              <w:t>12</w:t>
            </w:r>
            <w:r>
              <w:rPr>
                <w:rFonts w:hint="eastAsia"/>
              </w:rPr>
              <w:t>人</w:t>
            </w:r>
          </w:p>
        </w:tc>
        <w:tc>
          <w:tcPr>
            <w:tcW w:w="0" w:type="auto"/>
            <w:vMerge w:val="continue"/>
            <w:vAlign w:val="center"/>
          </w:tcPr>
          <w:p w14:paraId="192C51F7">
            <w:pPr>
              <w:widowControl/>
              <w:spacing w:line="240" w:lineRule="auto"/>
              <w:ind w:firstLine="0" w:firstLineChars="0"/>
              <w:jc w:val="center"/>
            </w:pPr>
          </w:p>
        </w:tc>
        <w:tc>
          <w:tcPr>
            <w:tcW w:w="0" w:type="auto"/>
            <w:shd w:val="clear" w:color="auto" w:fill="auto"/>
            <w:noWrap/>
          </w:tcPr>
          <w:p w14:paraId="7D8B4999">
            <w:pPr>
              <w:ind w:firstLine="0" w:firstLineChars="0"/>
            </w:pPr>
            <w:r>
              <w:rPr>
                <w:rFonts w:hint="eastAsia"/>
              </w:rPr>
              <w:t>不驻场</w:t>
            </w:r>
          </w:p>
        </w:tc>
      </w:tr>
      <w:tr w14:paraId="2A6A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6DCB307">
            <w:pPr>
              <w:widowControl/>
              <w:spacing w:line="240" w:lineRule="auto"/>
              <w:ind w:firstLine="0" w:firstLineChars="0"/>
              <w:jc w:val="center"/>
            </w:pPr>
            <w:r>
              <w:rPr>
                <w:rFonts w:hint="eastAsia"/>
              </w:rPr>
              <w:t>其他</w:t>
            </w:r>
          </w:p>
        </w:tc>
        <w:tc>
          <w:tcPr>
            <w:tcW w:w="0" w:type="auto"/>
            <w:shd w:val="clear" w:color="auto" w:fill="auto"/>
            <w:noWrap/>
            <w:vAlign w:val="center"/>
          </w:tcPr>
          <w:p w14:paraId="4275609D">
            <w:pPr>
              <w:widowControl/>
              <w:spacing w:line="240" w:lineRule="auto"/>
              <w:ind w:firstLine="0" w:firstLineChars="0"/>
              <w:jc w:val="center"/>
            </w:pPr>
            <w:r>
              <w:rPr>
                <w:rFonts w:hint="eastAsia"/>
              </w:rPr>
              <w:t>项目管理中其他岗位职能</w:t>
            </w:r>
          </w:p>
        </w:tc>
        <w:tc>
          <w:tcPr>
            <w:tcW w:w="0" w:type="auto"/>
            <w:shd w:val="clear" w:color="auto" w:fill="auto"/>
            <w:noWrap/>
            <w:vAlign w:val="center"/>
          </w:tcPr>
          <w:p w14:paraId="626A5732">
            <w:pPr>
              <w:widowControl/>
              <w:spacing w:line="240" w:lineRule="auto"/>
              <w:ind w:firstLine="0" w:firstLineChars="0"/>
              <w:jc w:val="center"/>
            </w:pPr>
            <w:r>
              <w:t>1</w:t>
            </w:r>
            <w:r>
              <w:rPr>
                <w:rFonts w:hint="eastAsia"/>
              </w:rPr>
              <w:t>人</w:t>
            </w:r>
          </w:p>
        </w:tc>
        <w:tc>
          <w:tcPr>
            <w:tcW w:w="0" w:type="auto"/>
            <w:vMerge w:val="continue"/>
            <w:vAlign w:val="center"/>
          </w:tcPr>
          <w:p w14:paraId="48AD2461">
            <w:pPr>
              <w:widowControl/>
              <w:spacing w:line="240" w:lineRule="auto"/>
              <w:ind w:firstLine="0" w:firstLineChars="0"/>
              <w:jc w:val="center"/>
            </w:pPr>
          </w:p>
        </w:tc>
        <w:tc>
          <w:tcPr>
            <w:tcW w:w="0" w:type="auto"/>
            <w:shd w:val="clear" w:color="auto" w:fill="auto"/>
            <w:noWrap/>
          </w:tcPr>
          <w:p w14:paraId="5F089197">
            <w:pPr>
              <w:ind w:firstLine="0" w:firstLineChars="0"/>
            </w:pPr>
            <w:r>
              <w:rPr>
                <w:rFonts w:hint="eastAsia"/>
              </w:rPr>
              <w:t>不驻场</w:t>
            </w:r>
          </w:p>
        </w:tc>
      </w:tr>
    </w:tbl>
    <w:p w14:paraId="7BA28072">
      <w:r>
        <w:t>2）</w:t>
      </w:r>
      <w:r>
        <w:rPr>
          <w:rFonts w:hint="eastAsia"/>
          <w:lang w:eastAsia="zh-CN"/>
        </w:rPr>
        <w:t>供应商</w:t>
      </w:r>
      <w:r>
        <w:t>应针对本项目提供不少于3人</w:t>
      </w:r>
      <w:r>
        <w:rPr>
          <w:rFonts w:hint="eastAsia"/>
        </w:rPr>
        <w:t>质保期</w:t>
      </w:r>
      <w:r>
        <w:rPr>
          <w:rFonts w:hint="eastAsia"/>
          <w:lang w:val="en-US" w:eastAsia="zh-CN"/>
        </w:rPr>
        <w:t>内</w:t>
      </w:r>
      <w:r>
        <w:rPr>
          <w:rFonts w:hint="eastAsia"/>
        </w:rPr>
        <w:t>的</w:t>
      </w:r>
      <w:r>
        <w:t>支撑团队（其中技术经理1人，技术工程师2人）；</w:t>
      </w:r>
      <w:r>
        <w:rPr>
          <w:rFonts w:hint="eastAsia"/>
          <w:lang w:eastAsia="zh-CN"/>
        </w:rPr>
        <w:t>供应商</w:t>
      </w:r>
      <w:r>
        <w:t>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818"/>
        <w:gridCol w:w="1180"/>
        <w:gridCol w:w="1934"/>
        <w:gridCol w:w="1180"/>
      </w:tblGrid>
      <w:tr w14:paraId="71BB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04FB67CB">
            <w:pPr>
              <w:widowControl/>
              <w:spacing w:line="240" w:lineRule="auto"/>
              <w:ind w:firstLine="0" w:firstLineChars="0"/>
              <w:jc w:val="center"/>
              <w:rPr>
                <w:b/>
              </w:rPr>
            </w:pPr>
            <w:r>
              <w:rPr>
                <w:rFonts w:hint="eastAsia"/>
                <w:b/>
              </w:rPr>
              <w:t>角色</w:t>
            </w:r>
          </w:p>
        </w:tc>
        <w:tc>
          <w:tcPr>
            <w:tcW w:w="0" w:type="auto"/>
            <w:shd w:val="clear" w:color="auto" w:fill="auto"/>
            <w:noWrap/>
            <w:vAlign w:val="center"/>
          </w:tcPr>
          <w:p w14:paraId="2C5A8805">
            <w:pPr>
              <w:widowControl/>
              <w:spacing w:line="240" w:lineRule="auto"/>
              <w:ind w:firstLine="0" w:firstLineChars="0"/>
              <w:jc w:val="center"/>
              <w:rPr>
                <w:b/>
              </w:rPr>
            </w:pPr>
            <w:r>
              <w:rPr>
                <w:rFonts w:hint="eastAsia"/>
                <w:b/>
              </w:rPr>
              <w:t>主要职责</w:t>
            </w:r>
          </w:p>
        </w:tc>
        <w:tc>
          <w:tcPr>
            <w:tcW w:w="0" w:type="auto"/>
            <w:shd w:val="clear" w:color="auto" w:fill="auto"/>
            <w:noWrap/>
            <w:vAlign w:val="center"/>
          </w:tcPr>
          <w:p w14:paraId="4AB93455">
            <w:pPr>
              <w:widowControl/>
              <w:spacing w:line="240" w:lineRule="auto"/>
              <w:ind w:firstLine="0" w:firstLineChars="0"/>
              <w:jc w:val="center"/>
              <w:rPr>
                <w:b/>
              </w:rPr>
            </w:pPr>
            <w:r>
              <w:rPr>
                <w:rFonts w:hint="eastAsia"/>
                <w:b/>
              </w:rPr>
              <w:t>人员数量</w:t>
            </w:r>
          </w:p>
        </w:tc>
        <w:tc>
          <w:tcPr>
            <w:tcW w:w="0" w:type="auto"/>
            <w:vAlign w:val="center"/>
          </w:tcPr>
          <w:p w14:paraId="4ACA8E7C">
            <w:pPr>
              <w:widowControl/>
              <w:spacing w:line="240" w:lineRule="auto"/>
              <w:ind w:firstLine="0" w:firstLineChars="0"/>
              <w:jc w:val="center"/>
              <w:rPr>
                <w:b/>
              </w:rPr>
            </w:pPr>
            <w:r>
              <w:rPr>
                <w:rFonts w:hint="eastAsia"/>
                <w:b/>
              </w:rPr>
              <w:t>人员要求</w:t>
            </w:r>
          </w:p>
        </w:tc>
        <w:tc>
          <w:tcPr>
            <w:tcW w:w="0" w:type="auto"/>
            <w:shd w:val="clear" w:color="auto" w:fill="auto"/>
            <w:noWrap/>
            <w:vAlign w:val="center"/>
          </w:tcPr>
          <w:p w14:paraId="71E8508F">
            <w:pPr>
              <w:widowControl/>
              <w:spacing w:line="240" w:lineRule="auto"/>
              <w:ind w:firstLine="0" w:firstLineChars="0"/>
              <w:jc w:val="center"/>
              <w:rPr>
                <w:b/>
              </w:rPr>
            </w:pPr>
            <w:r>
              <w:rPr>
                <w:rFonts w:hint="eastAsia"/>
                <w:b/>
              </w:rPr>
              <w:t>驻场要求</w:t>
            </w:r>
          </w:p>
        </w:tc>
      </w:tr>
      <w:tr w14:paraId="78E1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22FD2374">
            <w:pPr>
              <w:widowControl/>
              <w:spacing w:line="240" w:lineRule="auto"/>
              <w:ind w:firstLine="0" w:firstLineChars="0"/>
            </w:pPr>
            <w:r>
              <w:t>技术</w:t>
            </w:r>
            <w:r>
              <w:rPr>
                <w:rFonts w:hint="eastAsia"/>
              </w:rPr>
              <w:t>经理</w:t>
            </w:r>
          </w:p>
        </w:tc>
        <w:tc>
          <w:tcPr>
            <w:tcW w:w="0" w:type="auto"/>
            <w:shd w:val="clear" w:color="auto" w:fill="auto"/>
            <w:vAlign w:val="center"/>
          </w:tcPr>
          <w:p w14:paraId="095E046A">
            <w:pPr>
              <w:widowControl/>
              <w:spacing w:line="240" w:lineRule="auto"/>
              <w:ind w:firstLine="0" w:firstLineChars="0"/>
              <w:jc w:val="center"/>
            </w:pPr>
            <w:r>
              <w:rPr>
                <w:rFonts w:hint="eastAsia"/>
              </w:rPr>
              <w:t>负责项目管理、质量和进度控制</w:t>
            </w:r>
          </w:p>
        </w:tc>
        <w:tc>
          <w:tcPr>
            <w:tcW w:w="0" w:type="auto"/>
            <w:shd w:val="clear" w:color="auto" w:fill="auto"/>
            <w:noWrap/>
            <w:vAlign w:val="center"/>
          </w:tcPr>
          <w:p w14:paraId="6E3D093D">
            <w:pPr>
              <w:widowControl/>
              <w:spacing w:line="240" w:lineRule="auto"/>
              <w:ind w:firstLine="0" w:firstLineChars="0"/>
              <w:jc w:val="center"/>
            </w:pPr>
            <w:r>
              <w:t>1</w:t>
            </w:r>
            <w:r>
              <w:rPr>
                <w:rFonts w:hint="eastAsia"/>
              </w:rPr>
              <w:t>人</w:t>
            </w:r>
          </w:p>
        </w:tc>
        <w:tc>
          <w:tcPr>
            <w:tcW w:w="0" w:type="auto"/>
            <w:vMerge w:val="restart"/>
            <w:vAlign w:val="center"/>
          </w:tcPr>
          <w:p w14:paraId="66FF9DB2">
            <w:pPr>
              <w:widowControl/>
              <w:spacing w:line="240" w:lineRule="auto"/>
              <w:ind w:firstLine="0" w:firstLineChars="0"/>
              <w:jc w:val="center"/>
            </w:pPr>
            <w:r>
              <w:t>具备</w:t>
            </w:r>
            <w:r>
              <w:rPr>
                <w:rFonts w:hint="eastAsia"/>
              </w:rPr>
              <w:t>计算机</w:t>
            </w:r>
            <w:r>
              <w:t>行业相关资质或经验</w:t>
            </w:r>
          </w:p>
        </w:tc>
        <w:tc>
          <w:tcPr>
            <w:tcW w:w="0" w:type="auto"/>
            <w:shd w:val="clear" w:color="auto" w:fill="auto"/>
            <w:noWrap/>
          </w:tcPr>
          <w:p w14:paraId="594B2FAA">
            <w:pPr>
              <w:ind w:firstLine="0" w:firstLineChars="0"/>
            </w:pPr>
            <w:r>
              <w:rPr>
                <w:rFonts w:hint="eastAsia"/>
              </w:rPr>
              <w:t>不驻场</w:t>
            </w:r>
          </w:p>
        </w:tc>
      </w:tr>
      <w:tr w14:paraId="1AF9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2B9FED5B">
            <w:pPr>
              <w:widowControl/>
              <w:spacing w:line="240" w:lineRule="auto"/>
              <w:ind w:firstLine="0" w:firstLineChars="0"/>
              <w:jc w:val="center"/>
            </w:pPr>
            <w:r>
              <w:rPr>
                <w:rFonts w:hint="eastAsia"/>
              </w:rPr>
              <w:t>技术工程师</w:t>
            </w:r>
          </w:p>
        </w:tc>
        <w:tc>
          <w:tcPr>
            <w:tcW w:w="0" w:type="auto"/>
            <w:shd w:val="clear" w:color="auto" w:fill="auto"/>
            <w:noWrap/>
            <w:vAlign w:val="center"/>
          </w:tcPr>
          <w:p w14:paraId="2056EC54">
            <w:pPr>
              <w:widowControl/>
              <w:spacing w:line="240" w:lineRule="auto"/>
              <w:ind w:firstLine="0" w:firstLineChars="0"/>
              <w:jc w:val="center"/>
            </w:pPr>
            <w:r>
              <w:rPr>
                <w:rFonts w:hint="eastAsia"/>
              </w:rPr>
              <w:t>负责项目运行维护</w:t>
            </w:r>
          </w:p>
        </w:tc>
        <w:tc>
          <w:tcPr>
            <w:tcW w:w="0" w:type="auto"/>
            <w:shd w:val="clear" w:color="auto" w:fill="auto"/>
            <w:noWrap/>
            <w:vAlign w:val="center"/>
          </w:tcPr>
          <w:p w14:paraId="2BB9FDE7">
            <w:pPr>
              <w:widowControl/>
              <w:spacing w:line="240" w:lineRule="auto"/>
              <w:ind w:firstLine="0" w:firstLineChars="0"/>
              <w:jc w:val="center"/>
            </w:pPr>
            <w:r>
              <w:t>2</w:t>
            </w:r>
            <w:r>
              <w:rPr>
                <w:rFonts w:hint="eastAsia"/>
              </w:rPr>
              <w:t>人</w:t>
            </w:r>
          </w:p>
        </w:tc>
        <w:tc>
          <w:tcPr>
            <w:tcW w:w="0" w:type="auto"/>
            <w:vMerge w:val="continue"/>
            <w:vAlign w:val="center"/>
          </w:tcPr>
          <w:p w14:paraId="73B67AE7">
            <w:pPr>
              <w:widowControl/>
              <w:spacing w:line="240" w:lineRule="auto"/>
              <w:ind w:firstLine="0" w:firstLineChars="0"/>
              <w:jc w:val="center"/>
            </w:pPr>
          </w:p>
        </w:tc>
        <w:tc>
          <w:tcPr>
            <w:tcW w:w="0" w:type="auto"/>
            <w:shd w:val="clear" w:color="auto" w:fill="auto"/>
            <w:noWrap/>
          </w:tcPr>
          <w:p w14:paraId="3AAA9825">
            <w:pPr>
              <w:ind w:firstLine="0" w:firstLineChars="0"/>
            </w:pPr>
            <w:r>
              <w:rPr>
                <w:rFonts w:hint="eastAsia"/>
                <w:highlight w:val="yellow"/>
              </w:rPr>
              <w:t>驻场</w:t>
            </w:r>
          </w:p>
        </w:tc>
      </w:tr>
    </w:tbl>
    <w:p w14:paraId="06EE829E"/>
    <w:p w14:paraId="0FB7F185">
      <w:pPr>
        <w:pStyle w:val="3"/>
      </w:pPr>
      <w:bookmarkStart w:id="37" w:name="_Toc63785511"/>
      <w:r>
        <w:t>等级保护要求</w:t>
      </w:r>
      <w:bookmarkEnd w:id="37"/>
    </w:p>
    <w:p w14:paraId="05815BFC">
      <w:r>
        <w:rPr>
          <w:rFonts w:hint="eastAsia"/>
        </w:rPr>
        <w:t>本项目按照等保</w:t>
      </w:r>
      <w:r>
        <w:t>三</w:t>
      </w:r>
      <w:r>
        <w:rPr>
          <w:rFonts w:hint="eastAsia"/>
        </w:rPr>
        <w:t>级要求建设。</w:t>
      </w:r>
    </w:p>
    <w:p w14:paraId="26CAADBA">
      <w:pPr>
        <w:pStyle w:val="3"/>
      </w:pPr>
      <w:bookmarkStart w:id="38" w:name="_Toc63785512"/>
      <w:r>
        <w:rPr>
          <w:rFonts w:hint="eastAsia"/>
        </w:rPr>
        <w:t>商</w:t>
      </w:r>
      <w:r>
        <w:rPr>
          <w:rFonts w:hint="eastAsia"/>
          <w:lang w:val="en-US" w:eastAsia="zh-CN"/>
        </w:rPr>
        <w:t>用</w:t>
      </w:r>
      <w:r>
        <w:rPr>
          <w:rFonts w:hint="eastAsia"/>
        </w:rPr>
        <w:t>密码应用需求</w:t>
      </w:r>
    </w:p>
    <w:p w14:paraId="19607F09">
      <w:r>
        <w:rPr>
          <w:rFonts w:hint="eastAsia"/>
        </w:rPr>
        <w:t>本项目需符合</w:t>
      </w:r>
      <w:r>
        <w:t>商用密码应用建设要求</w:t>
      </w:r>
      <w:r>
        <w:rPr>
          <w:rFonts w:hint="eastAsia"/>
        </w:rPr>
        <w:t>。</w:t>
      </w:r>
    </w:p>
    <w:p w14:paraId="3C08859D">
      <w:pPr>
        <w:pStyle w:val="3"/>
      </w:pPr>
      <w:r>
        <w:rPr>
          <w:rFonts w:hint="eastAsia"/>
        </w:rPr>
        <w:t>技术文件要求</w:t>
      </w:r>
    </w:p>
    <w:p w14:paraId="12B59B7D">
      <w:r>
        <w:rPr>
          <w:rFonts w:hint="eastAsia"/>
          <w:lang w:eastAsia="zh-CN"/>
        </w:rPr>
        <w:t>供应商</w:t>
      </w:r>
      <w:r>
        <w:rPr>
          <w:rFonts w:hint="eastAsia"/>
        </w:rPr>
        <w:t>提供的书面技术资料应能确保系统正常运行所需的管理、运营及维护有关的全套文件。技术文件应该全面、完整、详细。</w:t>
      </w:r>
      <w:r>
        <w:rPr>
          <w:rFonts w:hint="eastAsia"/>
          <w:lang w:eastAsia="zh-CN"/>
        </w:rPr>
        <w:t>供应商</w:t>
      </w:r>
      <w:r>
        <w:rPr>
          <w:rFonts w:hint="eastAsia"/>
        </w:rPr>
        <w:t>提供的技术文件至少应包括：</w:t>
      </w:r>
    </w:p>
    <w:p w14:paraId="599E556E">
      <w:r>
        <w:rPr>
          <w:rFonts w:hint="eastAsia"/>
        </w:rPr>
        <w:t>－</w:t>
      </w:r>
      <w:r>
        <w:t xml:space="preserve"> 系统说明文件； </w:t>
      </w:r>
    </w:p>
    <w:p w14:paraId="245C1101">
      <w:r>
        <w:rPr>
          <w:rFonts w:hint="eastAsia"/>
        </w:rPr>
        <w:t>－</w:t>
      </w:r>
      <w:r>
        <w:t xml:space="preserve"> 技术手册(安装、测试、操作、维护、故障排除等)； </w:t>
      </w:r>
    </w:p>
    <w:p w14:paraId="3794B941">
      <w:r>
        <w:rPr>
          <w:rFonts w:hint="eastAsia"/>
        </w:rPr>
        <w:t>－</w:t>
      </w:r>
      <w:r>
        <w:t xml:space="preserve"> 项目文档，应该包括</w:t>
      </w:r>
      <w:r>
        <w:rPr>
          <w:rFonts w:hint="eastAsia"/>
        </w:rPr>
        <w:t>但不限于</w:t>
      </w:r>
      <w:r>
        <w:t>：</w:t>
      </w:r>
    </w:p>
    <w:p w14:paraId="6EB17E58">
      <w:pPr>
        <w:ind w:left="360"/>
      </w:pPr>
      <w:r>
        <w:t>(1)软件需求说明书</w:t>
      </w:r>
    </w:p>
    <w:p w14:paraId="13569057">
      <w:pPr>
        <w:ind w:left="360"/>
      </w:pPr>
      <w:r>
        <w:t>(2)系统</w:t>
      </w:r>
      <w:r>
        <w:rPr>
          <w:rFonts w:hint="eastAsia"/>
        </w:rPr>
        <w:t>概要</w:t>
      </w:r>
      <w:r>
        <w:t>设计说明书</w:t>
      </w:r>
    </w:p>
    <w:p w14:paraId="1B736527">
      <w:pPr>
        <w:ind w:left="360"/>
      </w:pPr>
      <w:r>
        <w:t>(</w:t>
      </w:r>
      <w:r>
        <w:rPr>
          <w:rFonts w:hint="eastAsia"/>
        </w:rPr>
        <w:t>3</w:t>
      </w:r>
      <w:r>
        <w:t>)</w:t>
      </w:r>
      <w:r>
        <w:rPr>
          <w:rFonts w:hint="eastAsia"/>
        </w:rPr>
        <w:t>系统详细设计说明书</w:t>
      </w:r>
    </w:p>
    <w:p w14:paraId="05B36F75">
      <w:pPr>
        <w:ind w:left="360"/>
      </w:pPr>
      <w:r>
        <w:t>(</w:t>
      </w:r>
      <w:r>
        <w:rPr>
          <w:rFonts w:hint="eastAsia"/>
        </w:rPr>
        <w:t>4</w:t>
      </w:r>
      <w:r>
        <w:t>)</w:t>
      </w:r>
      <w:r>
        <w:rPr>
          <w:rFonts w:hint="eastAsia"/>
        </w:rPr>
        <w:t>数据库设计说明书</w:t>
      </w:r>
    </w:p>
    <w:p w14:paraId="6A5A4511">
      <w:pPr>
        <w:ind w:left="360"/>
      </w:pPr>
      <w:r>
        <w:t>(</w:t>
      </w:r>
      <w:r>
        <w:rPr>
          <w:rFonts w:hint="eastAsia"/>
        </w:rPr>
        <w:t>5</w:t>
      </w:r>
      <w:r>
        <w:t>)</w:t>
      </w:r>
      <w:r>
        <w:rPr>
          <w:rFonts w:hint="eastAsia"/>
        </w:rPr>
        <w:t>实施方案</w:t>
      </w:r>
    </w:p>
    <w:p w14:paraId="78F36158">
      <w:pPr>
        <w:ind w:left="360"/>
      </w:pPr>
      <w:r>
        <w:t>(</w:t>
      </w:r>
      <w:r>
        <w:rPr>
          <w:rFonts w:hint="eastAsia"/>
        </w:rPr>
        <w:t>6</w:t>
      </w:r>
      <w:r>
        <w:t>)</w:t>
      </w:r>
      <w:r>
        <w:tab/>
      </w:r>
      <w:r>
        <w:t>应用软件功能清单</w:t>
      </w:r>
    </w:p>
    <w:p w14:paraId="3D36DDCE">
      <w:pPr>
        <w:ind w:left="360"/>
      </w:pPr>
      <w:r>
        <w:rPr>
          <w:rFonts w:hint="eastAsia"/>
        </w:rPr>
        <w:t>提供全套技术文件纸介质</w:t>
      </w:r>
      <w:r>
        <w:t>3套以及电子文件1套。</w:t>
      </w:r>
    </w:p>
    <w:p w14:paraId="37FEB7BB">
      <w:pPr>
        <w:pStyle w:val="3"/>
      </w:pPr>
      <w:r>
        <w:rPr>
          <w:rFonts w:hint="eastAsia"/>
          <w:lang w:eastAsia="zh-CN"/>
        </w:rPr>
        <w:t>其他</w:t>
      </w:r>
      <w:r>
        <w:rPr>
          <w:rFonts w:hint="eastAsia"/>
        </w:rPr>
        <w:t>要求</w:t>
      </w:r>
    </w:p>
    <w:p w14:paraId="577AAC83">
      <w:pPr>
        <w:rPr>
          <w:rFonts w:hint="eastAsia" w:eastAsia="宋体"/>
          <w:lang w:eastAsia="zh-CN"/>
        </w:rPr>
      </w:pPr>
      <w:r>
        <w:rPr>
          <w:rFonts w:hint="eastAsia"/>
        </w:rPr>
        <w:t>供应商具备有效的信息技术服务管理体系认证</w:t>
      </w:r>
      <w:r>
        <w:rPr>
          <w:rFonts w:hint="eastAsia"/>
          <w:lang w:eastAsia="zh-CN"/>
        </w:rPr>
        <w:t>、</w:t>
      </w:r>
      <w:r>
        <w:rPr>
          <w:rFonts w:hint="eastAsia"/>
        </w:rPr>
        <w:t>信息安全管理体系认证或CCRC信息安全服务资质认证证书（信息系统安全集成方向）</w:t>
      </w:r>
      <w:r>
        <w:rPr>
          <w:rFonts w:hint="eastAsia"/>
          <w:lang w:eastAsia="zh-CN"/>
        </w:rPr>
        <w:t>、</w:t>
      </w:r>
      <w:r>
        <w:rPr>
          <w:rFonts w:hint="eastAsia"/>
        </w:rPr>
        <w:t>信息系统建设和服务能力认证</w:t>
      </w:r>
      <w:r>
        <w:rPr>
          <w:rFonts w:hint="eastAsia"/>
          <w:lang w:eastAsia="zh-CN"/>
        </w:rPr>
        <w:t>、</w:t>
      </w:r>
      <w:r>
        <w:rPr>
          <w:rFonts w:hint="eastAsia"/>
        </w:rPr>
        <w:t>ITSS信息技术服务标准证书</w:t>
      </w:r>
      <w:r>
        <w:rPr>
          <w:rFonts w:hint="eastAsia"/>
          <w:lang w:eastAsia="zh-CN"/>
        </w:rPr>
        <w:t>的优先考虑。</w:t>
      </w:r>
    </w:p>
    <w:p w14:paraId="73AA9CD9"/>
    <w:bookmarkEnd w:id="38"/>
    <w:p w14:paraId="5E97DBD4">
      <w:pPr>
        <w:pStyle w:val="2"/>
      </w:pPr>
      <w:bookmarkStart w:id="39" w:name="_Toc68798863"/>
      <w:r>
        <w:rPr>
          <w:rFonts w:hint="eastAsia"/>
        </w:rPr>
        <w:t>附录</w:t>
      </w:r>
      <w:bookmarkEnd w:id="39"/>
    </w:p>
    <w:p w14:paraId="1563138B">
      <w:pPr>
        <w:ind w:firstLine="482"/>
        <w:rPr>
          <w:b/>
        </w:rPr>
      </w:pPr>
      <w:r>
        <w:rPr>
          <w:rFonts w:hint="eastAsia"/>
          <w:b/>
        </w:rPr>
        <w:t>若项目建设过程中需符合相关技术标准或规范文件的要求，请将相关文件作为附件列出。</w:t>
      </w:r>
    </w:p>
    <w:p w14:paraId="33304B50">
      <w:pPr>
        <w:ind w:firstLine="482"/>
      </w:pPr>
      <w:r>
        <w:rPr>
          <w:rFonts w:hint="eastAsia"/>
          <w:b/>
        </w:rPr>
        <w:t>参考如下：</w:t>
      </w:r>
    </w:p>
    <w:p w14:paraId="0BECB44F">
      <w:pPr>
        <w:ind w:firstLine="0" w:firstLineChars="0"/>
      </w:pPr>
      <w:r>
        <w:rPr>
          <w:rFonts w:hint="eastAsia"/>
        </w:rPr>
        <w:t>1、</w:t>
      </w:r>
      <w:r>
        <w:t>《政务网络安全监测平台总体技术要求》</w:t>
      </w:r>
    </w:p>
    <w:p w14:paraId="7F72BFF6">
      <w:pPr>
        <w:ind w:firstLine="0" w:firstLineChars="0"/>
      </w:pPr>
      <w:r>
        <w:object>
          <v:shape id="_x0000_i1025" o:spt="75" type="#_x0000_t75" style="height:55pt;width:76.05pt;" o:ole="t" filled="f" o:preferrelative="t" stroked="f" coordsize="21600,21600">
            <v:path/>
            <v:fill on="f" focussize="0,0"/>
            <v:stroke on="f" joinstyle="miter"/>
            <v:imagedata r:id="rId16" o:title=""/>
            <o:lock v:ext="edit" aspectratio="t"/>
            <w10:wrap type="none"/>
            <w10:anchorlock/>
          </v:shape>
          <o:OLEObject Type="Embed" ProgID="Package" ShapeID="_x0000_i1025" DrawAspect="Icon" ObjectID="_1468075725" r:id="rId15">
            <o:LockedField>false</o:LockedField>
          </o:OLEObject>
        </w:object>
      </w:r>
    </w:p>
    <w:p w14:paraId="4F8F50CD">
      <w:pPr>
        <w:ind w:firstLine="0" w:firstLineChars="0"/>
      </w:pPr>
    </w:p>
    <w:p w14:paraId="32CFBB89">
      <w:pPr>
        <w:ind w:firstLine="0" w:firstLineChars="0"/>
        <w:jc w:val="left"/>
      </w:pPr>
      <w:r>
        <w:rPr>
          <w:rFonts w:hint="eastAsia"/>
        </w:rPr>
        <w:t>2、《上海市电子政务外网建设和运行管理指南（试行）》</w:t>
      </w:r>
    </w:p>
    <w:p w14:paraId="5A83EA65">
      <w:pPr>
        <w:ind w:firstLine="0" w:firstLineChars="0"/>
        <w:jc w:val="left"/>
      </w:pPr>
      <w:r>
        <w:object>
          <v:shape id="_x0000_i1026" o:spt="75" type="#_x0000_t75" style="height:55pt;width:76.05pt;" o:ole="t" filled="f" o:preferrelative="t" stroked="f" coordsize="21600,21600">
            <v:path/>
            <v:fill on="f" focussize="0,0"/>
            <v:stroke on="f" joinstyle="miter"/>
            <v:imagedata r:id="rId18" o:title=""/>
            <o:lock v:ext="edit" aspectratio="t"/>
            <w10:wrap type="none"/>
            <w10:anchorlock/>
          </v:shape>
          <o:OLEObject Type="Embed" ProgID="Package" ShapeID="_x0000_i1026" DrawAspect="Icon" ObjectID="_1468075726" r:id="rId17">
            <o:LockedField>false</o:LockedField>
          </o:OLEObject>
        </w:object>
      </w:r>
    </w:p>
    <w:p w14:paraId="0E44E7E6">
      <w:pPr>
        <w:ind w:firstLine="0" w:firstLineChars="0"/>
        <w:jc w:val="left"/>
        <w:rPr>
          <w:b/>
          <w:bCs/>
        </w:rPr>
      </w:pPr>
      <w:r>
        <w:rPr>
          <w:rFonts w:hint="eastAsia"/>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文泉驿微米黑"/>
    <w:panose1 w:val="00000000000000000000"/>
    <w:charset w:val="00"/>
    <w:family w:val="roman"/>
    <w:pitch w:val="default"/>
    <w:sig w:usb0="00000000" w:usb1="00000000" w:usb2="00000000" w:usb3="00000000" w:csb0="00040001" w:csb1="00000000"/>
  </w:font>
  <w:font w:name="文泉驿微米黑">
    <w:panose1 w:val="020B0606030804020204"/>
    <w:charset w:val="86"/>
    <w:family w:val="auto"/>
    <w:pitch w:val="default"/>
    <w:sig w:usb0="E10002EF" w:usb1="6BDFFCFB" w:usb2="00800036" w:usb3="00000000" w:csb0="603E019F" w:csb1="DFD70000"/>
  </w:font>
  <w:font w:name="Microsoft YaHei UI">
    <w:altName w:val="文泉驿微米黑"/>
    <w:panose1 w:val="020B0503020204020204"/>
    <w:charset w:val="86"/>
    <w:family w:val="swiss"/>
    <w:pitch w:val="default"/>
    <w:sig w:usb0="00000000" w:usb1="00000000" w:usb2="00000016" w:usb3="00000000" w:csb0="0004001F" w:csb1="0000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0000000000000000000"/>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44FDA">
    <w:pPr>
      <w:ind w:firstLine="0" w:firstLineChars="0"/>
      <w:jc w:val="center"/>
    </w:pPr>
    <w:r>
      <w:fldChar w:fldCharType="begin"/>
    </w:r>
    <w:r>
      <w:instrText xml:space="preserve">PAGE   \* MERGEFORMAT</w:instrText>
    </w:r>
    <w:r>
      <w:fldChar w:fldCharType="separate"/>
    </w:r>
    <w:r>
      <w:rPr>
        <w:lang w:val="zh-CN"/>
      </w:rPr>
      <w:t>5</w:t>
    </w:r>
    <w:r>
      <w:rPr>
        <w:lang w:val="zh-CN"/>
      </w:rPr>
      <w:fldChar w:fldCharType="end"/>
    </w:r>
  </w:p>
  <w:p w14:paraId="32F0D7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F8691"/>
  <w:p w14:paraId="1B02AE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89777">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7448A">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1546D7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DE13B">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3DE2B"/>
  <w:p w14:paraId="335111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F78E0">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417C79"/>
    <w:multiLevelType w:val="singleLevel"/>
    <w:tmpl w:val="C4417C79"/>
    <w:lvl w:ilvl="0" w:tentative="0">
      <w:start w:val="1"/>
      <w:numFmt w:val="decimal"/>
      <w:suff w:val="nothing"/>
      <w:lvlText w:val="（%1）"/>
      <w:lvlJc w:val="left"/>
    </w:lvl>
  </w:abstractNum>
  <w:abstractNum w:abstractNumId="1">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MzJiYTgyNTJkM2E5NzA5NDNiNGU0YmVkYTRiODE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6E68"/>
    <w:rsid w:val="000179E9"/>
    <w:rsid w:val="00020C18"/>
    <w:rsid w:val="00021EE6"/>
    <w:rsid w:val="0002280E"/>
    <w:rsid w:val="00022C74"/>
    <w:rsid w:val="00025122"/>
    <w:rsid w:val="000252D5"/>
    <w:rsid w:val="00026997"/>
    <w:rsid w:val="00027A64"/>
    <w:rsid w:val="00030080"/>
    <w:rsid w:val="00032D27"/>
    <w:rsid w:val="00035325"/>
    <w:rsid w:val="00035D5B"/>
    <w:rsid w:val="000378D0"/>
    <w:rsid w:val="00037F2C"/>
    <w:rsid w:val="00042C2A"/>
    <w:rsid w:val="000430EC"/>
    <w:rsid w:val="000447CB"/>
    <w:rsid w:val="00047915"/>
    <w:rsid w:val="00047D06"/>
    <w:rsid w:val="00047DF0"/>
    <w:rsid w:val="00050FBD"/>
    <w:rsid w:val="0005107A"/>
    <w:rsid w:val="0005192C"/>
    <w:rsid w:val="00052929"/>
    <w:rsid w:val="0005299F"/>
    <w:rsid w:val="000541D7"/>
    <w:rsid w:val="000545C0"/>
    <w:rsid w:val="0005586D"/>
    <w:rsid w:val="00055A0E"/>
    <w:rsid w:val="00056C0E"/>
    <w:rsid w:val="000574A8"/>
    <w:rsid w:val="000574F8"/>
    <w:rsid w:val="00057A49"/>
    <w:rsid w:val="000617A1"/>
    <w:rsid w:val="0006231F"/>
    <w:rsid w:val="00062A05"/>
    <w:rsid w:val="00062EE6"/>
    <w:rsid w:val="0006344E"/>
    <w:rsid w:val="000649E6"/>
    <w:rsid w:val="0006794B"/>
    <w:rsid w:val="00067DCA"/>
    <w:rsid w:val="00070063"/>
    <w:rsid w:val="0007087A"/>
    <w:rsid w:val="000710EC"/>
    <w:rsid w:val="00072237"/>
    <w:rsid w:val="00072A3F"/>
    <w:rsid w:val="00072ABE"/>
    <w:rsid w:val="00074E39"/>
    <w:rsid w:val="00080B39"/>
    <w:rsid w:val="00081B90"/>
    <w:rsid w:val="00083950"/>
    <w:rsid w:val="0008452F"/>
    <w:rsid w:val="000847A3"/>
    <w:rsid w:val="00084E8E"/>
    <w:rsid w:val="00085A68"/>
    <w:rsid w:val="00090625"/>
    <w:rsid w:val="00090948"/>
    <w:rsid w:val="000917C0"/>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07DA"/>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1DC3"/>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490D"/>
    <w:rsid w:val="00176BED"/>
    <w:rsid w:val="0017759D"/>
    <w:rsid w:val="001804A5"/>
    <w:rsid w:val="00181C94"/>
    <w:rsid w:val="00182C84"/>
    <w:rsid w:val="001846D4"/>
    <w:rsid w:val="00187031"/>
    <w:rsid w:val="001872BB"/>
    <w:rsid w:val="00191EA4"/>
    <w:rsid w:val="00192B6C"/>
    <w:rsid w:val="00192C30"/>
    <w:rsid w:val="0019381E"/>
    <w:rsid w:val="00194CF5"/>
    <w:rsid w:val="0019503C"/>
    <w:rsid w:val="00195D94"/>
    <w:rsid w:val="00196F7B"/>
    <w:rsid w:val="001971CB"/>
    <w:rsid w:val="0019795C"/>
    <w:rsid w:val="001A053A"/>
    <w:rsid w:val="001A213E"/>
    <w:rsid w:val="001A22A2"/>
    <w:rsid w:val="001A2971"/>
    <w:rsid w:val="001A3D52"/>
    <w:rsid w:val="001A460A"/>
    <w:rsid w:val="001A4A4C"/>
    <w:rsid w:val="001A6613"/>
    <w:rsid w:val="001B0230"/>
    <w:rsid w:val="001B13AB"/>
    <w:rsid w:val="001B3907"/>
    <w:rsid w:val="001B3B49"/>
    <w:rsid w:val="001B4907"/>
    <w:rsid w:val="001B4DC5"/>
    <w:rsid w:val="001B5505"/>
    <w:rsid w:val="001C0252"/>
    <w:rsid w:val="001C2180"/>
    <w:rsid w:val="001C29CC"/>
    <w:rsid w:val="001C3217"/>
    <w:rsid w:val="001C3B98"/>
    <w:rsid w:val="001C6028"/>
    <w:rsid w:val="001C6365"/>
    <w:rsid w:val="001C7F57"/>
    <w:rsid w:val="001D0E79"/>
    <w:rsid w:val="001D1423"/>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064D5"/>
    <w:rsid w:val="0021028A"/>
    <w:rsid w:val="002129E5"/>
    <w:rsid w:val="00212AA4"/>
    <w:rsid w:val="00212E13"/>
    <w:rsid w:val="00215FAF"/>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47576"/>
    <w:rsid w:val="0025002B"/>
    <w:rsid w:val="002500DE"/>
    <w:rsid w:val="00252457"/>
    <w:rsid w:val="00252581"/>
    <w:rsid w:val="002535B5"/>
    <w:rsid w:val="002538CB"/>
    <w:rsid w:val="002542BD"/>
    <w:rsid w:val="00256775"/>
    <w:rsid w:val="0025774E"/>
    <w:rsid w:val="00257D64"/>
    <w:rsid w:val="0026340A"/>
    <w:rsid w:val="00265075"/>
    <w:rsid w:val="002654EA"/>
    <w:rsid w:val="002704EA"/>
    <w:rsid w:val="0027061A"/>
    <w:rsid w:val="002719CC"/>
    <w:rsid w:val="002722BE"/>
    <w:rsid w:val="002730C5"/>
    <w:rsid w:val="0027337C"/>
    <w:rsid w:val="0027602B"/>
    <w:rsid w:val="00277F5E"/>
    <w:rsid w:val="00280084"/>
    <w:rsid w:val="00280490"/>
    <w:rsid w:val="002860B8"/>
    <w:rsid w:val="0029206E"/>
    <w:rsid w:val="00293382"/>
    <w:rsid w:val="00294F51"/>
    <w:rsid w:val="002A2342"/>
    <w:rsid w:val="002A279E"/>
    <w:rsid w:val="002A4FA3"/>
    <w:rsid w:val="002A62A1"/>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46A9"/>
    <w:rsid w:val="00315216"/>
    <w:rsid w:val="0031691C"/>
    <w:rsid w:val="00317AEF"/>
    <w:rsid w:val="00317F49"/>
    <w:rsid w:val="0032089B"/>
    <w:rsid w:val="00323450"/>
    <w:rsid w:val="00323D93"/>
    <w:rsid w:val="0032489B"/>
    <w:rsid w:val="0032525B"/>
    <w:rsid w:val="00326A7A"/>
    <w:rsid w:val="00326FEE"/>
    <w:rsid w:val="003315D7"/>
    <w:rsid w:val="00332612"/>
    <w:rsid w:val="00334DE6"/>
    <w:rsid w:val="0033536D"/>
    <w:rsid w:val="003353FF"/>
    <w:rsid w:val="003366D2"/>
    <w:rsid w:val="00337C79"/>
    <w:rsid w:val="00337FEF"/>
    <w:rsid w:val="0034084C"/>
    <w:rsid w:val="00340D5E"/>
    <w:rsid w:val="003420B5"/>
    <w:rsid w:val="00343646"/>
    <w:rsid w:val="00344B95"/>
    <w:rsid w:val="00344CCB"/>
    <w:rsid w:val="00345897"/>
    <w:rsid w:val="00351BFC"/>
    <w:rsid w:val="0035575E"/>
    <w:rsid w:val="003565B4"/>
    <w:rsid w:val="00360AD6"/>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6A30"/>
    <w:rsid w:val="0038781A"/>
    <w:rsid w:val="0039080B"/>
    <w:rsid w:val="0039326E"/>
    <w:rsid w:val="00394E22"/>
    <w:rsid w:val="003967A4"/>
    <w:rsid w:val="00397FA3"/>
    <w:rsid w:val="003A1596"/>
    <w:rsid w:val="003A317E"/>
    <w:rsid w:val="003A345B"/>
    <w:rsid w:val="003A49EE"/>
    <w:rsid w:val="003A674D"/>
    <w:rsid w:val="003A7123"/>
    <w:rsid w:val="003B102E"/>
    <w:rsid w:val="003B112F"/>
    <w:rsid w:val="003B2167"/>
    <w:rsid w:val="003B5F5D"/>
    <w:rsid w:val="003B62C8"/>
    <w:rsid w:val="003C0C62"/>
    <w:rsid w:val="003C12DC"/>
    <w:rsid w:val="003C2CDA"/>
    <w:rsid w:val="003D000A"/>
    <w:rsid w:val="003D0F08"/>
    <w:rsid w:val="003D31E9"/>
    <w:rsid w:val="003D544E"/>
    <w:rsid w:val="003D5980"/>
    <w:rsid w:val="003D7749"/>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2D87"/>
    <w:rsid w:val="003F3BA3"/>
    <w:rsid w:val="003F3BD5"/>
    <w:rsid w:val="003F400E"/>
    <w:rsid w:val="003F6F35"/>
    <w:rsid w:val="003F7768"/>
    <w:rsid w:val="00400E8C"/>
    <w:rsid w:val="004017DC"/>
    <w:rsid w:val="00401B53"/>
    <w:rsid w:val="00402212"/>
    <w:rsid w:val="00402668"/>
    <w:rsid w:val="00404FEC"/>
    <w:rsid w:val="0040534D"/>
    <w:rsid w:val="00405FAD"/>
    <w:rsid w:val="004117AB"/>
    <w:rsid w:val="00412B2F"/>
    <w:rsid w:val="00415281"/>
    <w:rsid w:val="00415716"/>
    <w:rsid w:val="0041604D"/>
    <w:rsid w:val="004168D6"/>
    <w:rsid w:val="00417842"/>
    <w:rsid w:val="00417A6E"/>
    <w:rsid w:val="00417B96"/>
    <w:rsid w:val="0042285D"/>
    <w:rsid w:val="004278F7"/>
    <w:rsid w:val="00427D2B"/>
    <w:rsid w:val="00430B13"/>
    <w:rsid w:val="00430CE5"/>
    <w:rsid w:val="0043153C"/>
    <w:rsid w:val="00431D0F"/>
    <w:rsid w:val="00433B21"/>
    <w:rsid w:val="0043481C"/>
    <w:rsid w:val="00444307"/>
    <w:rsid w:val="0044436F"/>
    <w:rsid w:val="004443EB"/>
    <w:rsid w:val="00444432"/>
    <w:rsid w:val="00444673"/>
    <w:rsid w:val="004452D2"/>
    <w:rsid w:val="00445701"/>
    <w:rsid w:val="0044621E"/>
    <w:rsid w:val="004469B8"/>
    <w:rsid w:val="00447BF1"/>
    <w:rsid w:val="00450BA4"/>
    <w:rsid w:val="004511FC"/>
    <w:rsid w:val="00456784"/>
    <w:rsid w:val="00456DCA"/>
    <w:rsid w:val="00461140"/>
    <w:rsid w:val="004611DB"/>
    <w:rsid w:val="004658B0"/>
    <w:rsid w:val="0046614B"/>
    <w:rsid w:val="00467FD7"/>
    <w:rsid w:val="00470073"/>
    <w:rsid w:val="004730F8"/>
    <w:rsid w:val="00473E25"/>
    <w:rsid w:val="00474353"/>
    <w:rsid w:val="00474555"/>
    <w:rsid w:val="004750F4"/>
    <w:rsid w:val="00476CB1"/>
    <w:rsid w:val="004772D3"/>
    <w:rsid w:val="00480A48"/>
    <w:rsid w:val="00482501"/>
    <w:rsid w:val="00482E7D"/>
    <w:rsid w:val="00484395"/>
    <w:rsid w:val="004843DC"/>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13B8"/>
    <w:rsid w:val="004C260D"/>
    <w:rsid w:val="004C2D47"/>
    <w:rsid w:val="004C4357"/>
    <w:rsid w:val="004C4477"/>
    <w:rsid w:val="004C5730"/>
    <w:rsid w:val="004C58FD"/>
    <w:rsid w:val="004C6397"/>
    <w:rsid w:val="004C668F"/>
    <w:rsid w:val="004C682B"/>
    <w:rsid w:val="004D142C"/>
    <w:rsid w:val="004D29F7"/>
    <w:rsid w:val="004D36D8"/>
    <w:rsid w:val="004D4C5C"/>
    <w:rsid w:val="004D5AB0"/>
    <w:rsid w:val="004D5EAE"/>
    <w:rsid w:val="004D7A0E"/>
    <w:rsid w:val="004E06E7"/>
    <w:rsid w:val="004E0AE3"/>
    <w:rsid w:val="004E20D3"/>
    <w:rsid w:val="004E2469"/>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922"/>
    <w:rsid w:val="00546A43"/>
    <w:rsid w:val="00546C70"/>
    <w:rsid w:val="00547258"/>
    <w:rsid w:val="00550CF0"/>
    <w:rsid w:val="005559FE"/>
    <w:rsid w:val="005560D6"/>
    <w:rsid w:val="00556D07"/>
    <w:rsid w:val="0056035B"/>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1EA6"/>
    <w:rsid w:val="005B258C"/>
    <w:rsid w:val="005B61DD"/>
    <w:rsid w:val="005B6735"/>
    <w:rsid w:val="005B7831"/>
    <w:rsid w:val="005C0CD6"/>
    <w:rsid w:val="005C12D9"/>
    <w:rsid w:val="005C2146"/>
    <w:rsid w:val="005C309D"/>
    <w:rsid w:val="005C544B"/>
    <w:rsid w:val="005C5916"/>
    <w:rsid w:val="005C5AEE"/>
    <w:rsid w:val="005C64C2"/>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8FF"/>
    <w:rsid w:val="00602C10"/>
    <w:rsid w:val="00602EBD"/>
    <w:rsid w:val="00604CF2"/>
    <w:rsid w:val="00606DFF"/>
    <w:rsid w:val="00606FB7"/>
    <w:rsid w:val="00607130"/>
    <w:rsid w:val="00610533"/>
    <w:rsid w:val="006110F6"/>
    <w:rsid w:val="00611FA1"/>
    <w:rsid w:val="00612290"/>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08D4"/>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183C"/>
    <w:rsid w:val="00664B26"/>
    <w:rsid w:val="0066596B"/>
    <w:rsid w:val="00670295"/>
    <w:rsid w:val="006704F5"/>
    <w:rsid w:val="00670E1E"/>
    <w:rsid w:val="00671D16"/>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1F03"/>
    <w:rsid w:val="006B27CF"/>
    <w:rsid w:val="006B41BD"/>
    <w:rsid w:val="006B5678"/>
    <w:rsid w:val="006B62B2"/>
    <w:rsid w:val="006C1C57"/>
    <w:rsid w:val="006C5760"/>
    <w:rsid w:val="006C6D6F"/>
    <w:rsid w:val="006C707A"/>
    <w:rsid w:val="006D0D78"/>
    <w:rsid w:val="006D1128"/>
    <w:rsid w:val="006D2848"/>
    <w:rsid w:val="006D30E0"/>
    <w:rsid w:val="006D5521"/>
    <w:rsid w:val="006D5FE9"/>
    <w:rsid w:val="006D6CBB"/>
    <w:rsid w:val="006D76A9"/>
    <w:rsid w:val="006D77F4"/>
    <w:rsid w:val="006E0898"/>
    <w:rsid w:val="006E12AA"/>
    <w:rsid w:val="006E41CD"/>
    <w:rsid w:val="006E6534"/>
    <w:rsid w:val="006F3BEC"/>
    <w:rsid w:val="006F7E26"/>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B07"/>
    <w:rsid w:val="00746E35"/>
    <w:rsid w:val="007470E2"/>
    <w:rsid w:val="0075232F"/>
    <w:rsid w:val="00753132"/>
    <w:rsid w:val="007537B4"/>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A543A"/>
    <w:rsid w:val="007B014B"/>
    <w:rsid w:val="007B0D88"/>
    <w:rsid w:val="007B306F"/>
    <w:rsid w:val="007B4714"/>
    <w:rsid w:val="007B4E82"/>
    <w:rsid w:val="007C1996"/>
    <w:rsid w:val="007C3773"/>
    <w:rsid w:val="007C3F1F"/>
    <w:rsid w:val="007C7474"/>
    <w:rsid w:val="007D2D0D"/>
    <w:rsid w:val="007D3325"/>
    <w:rsid w:val="007D3818"/>
    <w:rsid w:val="007D5154"/>
    <w:rsid w:val="007D6717"/>
    <w:rsid w:val="007D6DC5"/>
    <w:rsid w:val="007D7425"/>
    <w:rsid w:val="007E1591"/>
    <w:rsid w:val="007E320E"/>
    <w:rsid w:val="007E3280"/>
    <w:rsid w:val="007E4A02"/>
    <w:rsid w:val="007E5609"/>
    <w:rsid w:val="007E595C"/>
    <w:rsid w:val="007E59A5"/>
    <w:rsid w:val="007F033A"/>
    <w:rsid w:val="007F2FED"/>
    <w:rsid w:val="007F3B8C"/>
    <w:rsid w:val="007F41D0"/>
    <w:rsid w:val="007F4B8B"/>
    <w:rsid w:val="007F5957"/>
    <w:rsid w:val="007F70B6"/>
    <w:rsid w:val="007F74CA"/>
    <w:rsid w:val="00800F1E"/>
    <w:rsid w:val="0080195A"/>
    <w:rsid w:val="0080239C"/>
    <w:rsid w:val="00802841"/>
    <w:rsid w:val="008037D5"/>
    <w:rsid w:val="0080498B"/>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2B57"/>
    <w:rsid w:val="008250A2"/>
    <w:rsid w:val="00825D64"/>
    <w:rsid w:val="0082650B"/>
    <w:rsid w:val="008301CE"/>
    <w:rsid w:val="008312E3"/>
    <w:rsid w:val="00831D5B"/>
    <w:rsid w:val="00832393"/>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2DF9"/>
    <w:rsid w:val="00855543"/>
    <w:rsid w:val="008566B3"/>
    <w:rsid w:val="008576B7"/>
    <w:rsid w:val="00857F7B"/>
    <w:rsid w:val="00863DA1"/>
    <w:rsid w:val="00865180"/>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3228"/>
    <w:rsid w:val="008848A3"/>
    <w:rsid w:val="00884AF1"/>
    <w:rsid w:val="00885F7A"/>
    <w:rsid w:val="00890712"/>
    <w:rsid w:val="00890D81"/>
    <w:rsid w:val="00892955"/>
    <w:rsid w:val="00893628"/>
    <w:rsid w:val="008941EB"/>
    <w:rsid w:val="0089545A"/>
    <w:rsid w:val="00895A02"/>
    <w:rsid w:val="008A01EE"/>
    <w:rsid w:val="008A051C"/>
    <w:rsid w:val="008A0DAC"/>
    <w:rsid w:val="008A3B78"/>
    <w:rsid w:val="008A4166"/>
    <w:rsid w:val="008A735C"/>
    <w:rsid w:val="008A7DBF"/>
    <w:rsid w:val="008B136C"/>
    <w:rsid w:val="008B55EF"/>
    <w:rsid w:val="008B5E55"/>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02E0"/>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27CE4"/>
    <w:rsid w:val="00934461"/>
    <w:rsid w:val="00934F7E"/>
    <w:rsid w:val="00936A1C"/>
    <w:rsid w:val="00943E35"/>
    <w:rsid w:val="00945278"/>
    <w:rsid w:val="0094658D"/>
    <w:rsid w:val="00947678"/>
    <w:rsid w:val="0094773F"/>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3C1"/>
    <w:rsid w:val="00973B5D"/>
    <w:rsid w:val="0097755E"/>
    <w:rsid w:val="00981467"/>
    <w:rsid w:val="00981C24"/>
    <w:rsid w:val="0098261D"/>
    <w:rsid w:val="009852F6"/>
    <w:rsid w:val="00985DE5"/>
    <w:rsid w:val="00986254"/>
    <w:rsid w:val="0098729E"/>
    <w:rsid w:val="00990067"/>
    <w:rsid w:val="00992977"/>
    <w:rsid w:val="00992B61"/>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B5C80"/>
    <w:rsid w:val="009C397E"/>
    <w:rsid w:val="009C6D07"/>
    <w:rsid w:val="009C7CEC"/>
    <w:rsid w:val="009D154D"/>
    <w:rsid w:val="009D18EF"/>
    <w:rsid w:val="009D3BE8"/>
    <w:rsid w:val="009D44E0"/>
    <w:rsid w:val="009D573B"/>
    <w:rsid w:val="009D59A0"/>
    <w:rsid w:val="009D6E2B"/>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2717"/>
    <w:rsid w:val="00A13124"/>
    <w:rsid w:val="00A15370"/>
    <w:rsid w:val="00A156AB"/>
    <w:rsid w:val="00A16B8D"/>
    <w:rsid w:val="00A21293"/>
    <w:rsid w:val="00A2134B"/>
    <w:rsid w:val="00A21623"/>
    <w:rsid w:val="00A220EB"/>
    <w:rsid w:val="00A22302"/>
    <w:rsid w:val="00A253C9"/>
    <w:rsid w:val="00A25F1B"/>
    <w:rsid w:val="00A301ED"/>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57F98"/>
    <w:rsid w:val="00A60002"/>
    <w:rsid w:val="00A603D8"/>
    <w:rsid w:val="00A60AE2"/>
    <w:rsid w:val="00A61834"/>
    <w:rsid w:val="00A618B0"/>
    <w:rsid w:val="00A62790"/>
    <w:rsid w:val="00A6291F"/>
    <w:rsid w:val="00A63F53"/>
    <w:rsid w:val="00A7111E"/>
    <w:rsid w:val="00A73B55"/>
    <w:rsid w:val="00A755B6"/>
    <w:rsid w:val="00A75B1A"/>
    <w:rsid w:val="00A80ED4"/>
    <w:rsid w:val="00A816C4"/>
    <w:rsid w:val="00A82981"/>
    <w:rsid w:val="00A86F10"/>
    <w:rsid w:val="00A87735"/>
    <w:rsid w:val="00A87AF2"/>
    <w:rsid w:val="00A90B23"/>
    <w:rsid w:val="00A93193"/>
    <w:rsid w:val="00A93C2B"/>
    <w:rsid w:val="00A94556"/>
    <w:rsid w:val="00A974CB"/>
    <w:rsid w:val="00AA1EAC"/>
    <w:rsid w:val="00AA28A2"/>
    <w:rsid w:val="00AA45E2"/>
    <w:rsid w:val="00AA7AC1"/>
    <w:rsid w:val="00AB2AA6"/>
    <w:rsid w:val="00AB6327"/>
    <w:rsid w:val="00AB6B8F"/>
    <w:rsid w:val="00AC0C65"/>
    <w:rsid w:val="00AC0FB2"/>
    <w:rsid w:val="00AC184F"/>
    <w:rsid w:val="00AC2BF3"/>
    <w:rsid w:val="00AC3721"/>
    <w:rsid w:val="00AC41C6"/>
    <w:rsid w:val="00AC4C49"/>
    <w:rsid w:val="00AC70C7"/>
    <w:rsid w:val="00AC76B7"/>
    <w:rsid w:val="00AD0223"/>
    <w:rsid w:val="00AD123A"/>
    <w:rsid w:val="00AD133C"/>
    <w:rsid w:val="00AD15FF"/>
    <w:rsid w:val="00AD1AA5"/>
    <w:rsid w:val="00AD2920"/>
    <w:rsid w:val="00AD2CD5"/>
    <w:rsid w:val="00AD2DFC"/>
    <w:rsid w:val="00AD38C4"/>
    <w:rsid w:val="00AD5A4A"/>
    <w:rsid w:val="00AD60EE"/>
    <w:rsid w:val="00AD6620"/>
    <w:rsid w:val="00AD6A2B"/>
    <w:rsid w:val="00AD73D4"/>
    <w:rsid w:val="00AE0747"/>
    <w:rsid w:val="00AE1EA2"/>
    <w:rsid w:val="00AE2874"/>
    <w:rsid w:val="00AE2BA2"/>
    <w:rsid w:val="00AE2F98"/>
    <w:rsid w:val="00AE3585"/>
    <w:rsid w:val="00AE3602"/>
    <w:rsid w:val="00AE5342"/>
    <w:rsid w:val="00AE5987"/>
    <w:rsid w:val="00AE6472"/>
    <w:rsid w:val="00AF1345"/>
    <w:rsid w:val="00AF38A8"/>
    <w:rsid w:val="00AF63EB"/>
    <w:rsid w:val="00B016D2"/>
    <w:rsid w:val="00B018EC"/>
    <w:rsid w:val="00B01F5A"/>
    <w:rsid w:val="00B060C7"/>
    <w:rsid w:val="00B10067"/>
    <w:rsid w:val="00B11AB7"/>
    <w:rsid w:val="00B12213"/>
    <w:rsid w:val="00B13710"/>
    <w:rsid w:val="00B22623"/>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77E"/>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31EC"/>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267"/>
    <w:rsid w:val="00BE0666"/>
    <w:rsid w:val="00BE24B9"/>
    <w:rsid w:val="00BE2AE8"/>
    <w:rsid w:val="00BE2D55"/>
    <w:rsid w:val="00BE38DD"/>
    <w:rsid w:val="00BE4AB1"/>
    <w:rsid w:val="00BF16C3"/>
    <w:rsid w:val="00BF38E0"/>
    <w:rsid w:val="00BF44FA"/>
    <w:rsid w:val="00BF57E1"/>
    <w:rsid w:val="00C003B4"/>
    <w:rsid w:val="00C00A5F"/>
    <w:rsid w:val="00C036DA"/>
    <w:rsid w:val="00C03B22"/>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2988"/>
    <w:rsid w:val="00C4316E"/>
    <w:rsid w:val="00C44074"/>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7702F"/>
    <w:rsid w:val="00C813EA"/>
    <w:rsid w:val="00C81496"/>
    <w:rsid w:val="00C82CE6"/>
    <w:rsid w:val="00C82E22"/>
    <w:rsid w:val="00C8319C"/>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071A"/>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88D"/>
    <w:rsid w:val="00D21D98"/>
    <w:rsid w:val="00D2317F"/>
    <w:rsid w:val="00D231A9"/>
    <w:rsid w:val="00D24391"/>
    <w:rsid w:val="00D2472B"/>
    <w:rsid w:val="00D253DD"/>
    <w:rsid w:val="00D25A7A"/>
    <w:rsid w:val="00D26FFA"/>
    <w:rsid w:val="00D3215D"/>
    <w:rsid w:val="00D33352"/>
    <w:rsid w:val="00D347D9"/>
    <w:rsid w:val="00D35565"/>
    <w:rsid w:val="00D36A19"/>
    <w:rsid w:val="00D40DCF"/>
    <w:rsid w:val="00D41075"/>
    <w:rsid w:val="00D4192C"/>
    <w:rsid w:val="00D41C76"/>
    <w:rsid w:val="00D41DD8"/>
    <w:rsid w:val="00D4222C"/>
    <w:rsid w:val="00D425CE"/>
    <w:rsid w:val="00D42F40"/>
    <w:rsid w:val="00D4396C"/>
    <w:rsid w:val="00D4446F"/>
    <w:rsid w:val="00D44B55"/>
    <w:rsid w:val="00D45490"/>
    <w:rsid w:val="00D457B8"/>
    <w:rsid w:val="00D457E1"/>
    <w:rsid w:val="00D47BEB"/>
    <w:rsid w:val="00D47CF6"/>
    <w:rsid w:val="00D50487"/>
    <w:rsid w:val="00D50563"/>
    <w:rsid w:val="00D50F50"/>
    <w:rsid w:val="00D5235F"/>
    <w:rsid w:val="00D52F50"/>
    <w:rsid w:val="00D55A98"/>
    <w:rsid w:val="00D56314"/>
    <w:rsid w:val="00D56B49"/>
    <w:rsid w:val="00D6053F"/>
    <w:rsid w:val="00D6073D"/>
    <w:rsid w:val="00D6092E"/>
    <w:rsid w:val="00D618D6"/>
    <w:rsid w:val="00D61B8E"/>
    <w:rsid w:val="00D62426"/>
    <w:rsid w:val="00D62804"/>
    <w:rsid w:val="00D64129"/>
    <w:rsid w:val="00D70F55"/>
    <w:rsid w:val="00D70FA5"/>
    <w:rsid w:val="00D74171"/>
    <w:rsid w:val="00D7474C"/>
    <w:rsid w:val="00D77F41"/>
    <w:rsid w:val="00D8032C"/>
    <w:rsid w:val="00D80CE2"/>
    <w:rsid w:val="00D81ECD"/>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1E04"/>
    <w:rsid w:val="00DA2316"/>
    <w:rsid w:val="00DA25E0"/>
    <w:rsid w:val="00DA2700"/>
    <w:rsid w:val="00DA3001"/>
    <w:rsid w:val="00DA3C5D"/>
    <w:rsid w:val="00DA3EFF"/>
    <w:rsid w:val="00DA7769"/>
    <w:rsid w:val="00DB08C6"/>
    <w:rsid w:val="00DB1BC2"/>
    <w:rsid w:val="00DB1CBB"/>
    <w:rsid w:val="00DB204A"/>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388B"/>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2A87"/>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3E0"/>
    <w:rsid w:val="00E36870"/>
    <w:rsid w:val="00E374E1"/>
    <w:rsid w:val="00E4078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76C27"/>
    <w:rsid w:val="00E8357D"/>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27E3"/>
    <w:rsid w:val="00ED3134"/>
    <w:rsid w:val="00ED38E2"/>
    <w:rsid w:val="00ED5C44"/>
    <w:rsid w:val="00ED635B"/>
    <w:rsid w:val="00EE1A59"/>
    <w:rsid w:val="00EE1E07"/>
    <w:rsid w:val="00EE742D"/>
    <w:rsid w:val="00EF0A22"/>
    <w:rsid w:val="00EF1267"/>
    <w:rsid w:val="00EF180C"/>
    <w:rsid w:val="00EF3B6B"/>
    <w:rsid w:val="00EF4B43"/>
    <w:rsid w:val="00EF6750"/>
    <w:rsid w:val="00EF7289"/>
    <w:rsid w:val="00EF770B"/>
    <w:rsid w:val="00F02836"/>
    <w:rsid w:val="00F02FB5"/>
    <w:rsid w:val="00F0534E"/>
    <w:rsid w:val="00F05C30"/>
    <w:rsid w:val="00F079F9"/>
    <w:rsid w:val="00F105B3"/>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3E1A"/>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D56E0"/>
    <w:rsid w:val="00FD5D53"/>
    <w:rsid w:val="00FE064A"/>
    <w:rsid w:val="00FE0B55"/>
    <w:rsid w:val="00FE1E98"/>
    <w:rsid w:val="00FE2452"/>
    <w:rsid w:val="00FE5469"/>
    <w:rsid w:val="00FE66C2"/>
    <w:rsid w:val="00FE684A"/>
    <w:rsid w:val="00FE6F23"/>
    <w:rsid w:val="00FE782B"/>
    <w:rsid w:val="00FF03FF"/>
    <w:rsid w:val="00FF0F8C"/>
    <w:rsid w:val="00FF408B"/>
    <w:rsid w:val="00FF43E1"/>
    <w:rsid w:val="00FF7242"/>
    <w:rsid w:val="01A82FE4"/>
    <w:rsid w:val="02C933FA"/>
    <w:rsid w:val="03430854"/>
    <w:rsid w:val="035D363D"/>
    <w:rsid w:val="039F5FA6"/>
    <w:rsid w:val="04185410"/>
    <w:rsid w:val="044C6BC5"/>
    <w:rsid w:val="048F069D"/>
    <w:rsid w:val="04967D57"/>
    <w:rsid w:val="049E0EDF"/>
    <w:rsid w:val="05000066"/>
    <w:rsid w:val="05CB1F09"/>
    <w:rsid w:val="05EE463C"/>
    <w:rsid w:val="06F01F8A"/>
    <w:rsid w:val="07027CB2"/>
    <w:rsid w:val="07712415"/>
    <w:rsid w:val="086E6B50"/>
    <w:rsid w:val="08F71534"/>
    <w:rsid w:val="09305ADA"/>
    <w:rsid w:val="0A1B0553"/>
    <w:rsid w:val="0A4968AB"/>
    <w:rsid w:val="0A821CC8"/>
    <w:rsid w:val="0B3B5322"/>
    <w:rsid w:val="0B3D77B9"/>
    <w:rsid w:val="0B901D30"/>
    <w:rsid w:val="0BA47188"/>
    <w:rsid w:val="0BB93035"/>
    <w:rsid w:val="0CB165D0"/>
    <w:rsid w:val="0D791D98"/>
    <w:rsid w:val="0DFE65EE"/>
    <w:rsid w:val="0E8013B7"/>
    <w:rsid w:val="0E9535BD"/>
    <w:rsid w:val="0EC80896"/>
    <w:rsid w:val="0EFD93F5"/>
    <w:rsid w:val="0EFE3224"/>
    <w:rsid w:val="0F4C4A23"/>
    <w:rsid w:val="0F68300C"/>
    <w:rsid w:val="0F7C172E"/>
    <w:rsid w:val="0F807287"/>
    <w:rsid w:val="0FA026B1"/>
    <w:rsid w:val="10032F8D"/>
    <w:rsid w:val="10D604C6"/>
    <w:rsid w:val="115E7A19"/>
    <w:rsid w:val="11B515E0"/>
    <w:rsid w:val="122E779E"/>
    <w:rsid w:val="129917E6"/>
    <w:rsid w:val="129D2015"/>
    <w:rsid w:val="12A82A92"/>
    <w:rsid w:val="12AA13B3"/>
    <w:rsid w:val="12C8585E"/>
    <w:rsid w:val="13A53267"/>
    <w:rsid w:val="13F970D2"/>
    <w:rsid w:val="143B49B8"/>
    <w:rsid w:val="14AA4136"/>
    <w:rsid w:val="15973347"/>
    <w:rsid w:val="16141ACA"/>
    <w:rsid w:val="161F718B"/>
    <w:rsid w:val="163A420B"/>
    <w:rsid w:val="164E3944"/>
    <w:rsid w:val="16737E22"/>
    <w:rsid w:val="16FC430F"/>
    <w:rsid w:val="17AF699D"/>
    <w:rsid w:val="18864D0A"/>
    <w:rsid w:val="19413B26"/>
    <w:rsid w:val="198F6427"/>
    <w:rsid w:val="19AF8876"/>
    <w:rsid w:val="1A102318"/>
    <w:rsid w:val="1A8E4C0C"/>
    <w:rsid w:val="1BCEF3C5"/>
    <w:rsid w:val="1C0C2D77"/>
    <w:rsid w:val="1C6369F5"/>
    <w:rsid w:val="1C6D3688"/>
    <w:rsid w:val="1C7F3E91"/>
    <w:rsid w:val="1CC63D0A"/>
    <w:rsid w:val="1D175D02"/>
    <w:rsid w:val="1D5935E5"/>
    <w:rsid w:val="1D5E2892"/>
    <w:rsid w:val="1DC0111C"/>
    <w:rsid w:val="1DC2081A"/>
    <w:rsid w:val="1DCA2A29"/>
    <w:rsid w:val="1DD94266"/>
    <w:rsid w:val="1E63F874"/>
    <w:rsid w:val="1F1FFC24"/>
    <w:rsid w:val="1F5FC8E8"/>
    <w:rsid w:val="1F769F2B"/>
    <w:rsid w:val="1F7730BB"/>
    <w:rsid w:val="1F9D0947"/>
    <w:rsid w:val="1FA320B8"/>
    <w:rsid w:val="1FBA6F24"/>
    <w:rsid w:val="1FFB29C6"/>
    <w:rsid w:val="2185550B"/>
    <w:rsid w:val="2195773F"/>
    <w:rsid w:val="21963FDB"/>
    <w:rsid w:val="221C5599"/>
    <w:rsid w:val="224475BE"/>
    <w:rsid w:val="22AA4DA8"/>
    <w:rsid w:val="22AF3620"/>
    <w:rsid w:val="22CD7C50"/>
    <w:rsid w:val="22E70AD4"/>
    <w:rsid w:val="233363D5"/>
    <w:rsid w:val="23ECAA4B"/>
    <w:rsid w:val="241906BD"/>
    <w:rsid w:val="24613AEA"/>
    <w:rsid w:val="24C71685"/>
    <w:rsid w:val="24F1508D"/>
    <w:rsid w:val="25410E6E"/>
    <w:rsid w:val="25416717"/>
    <w:rsid w:val="256F3DC0"/>
    <w:rsid w:val="26017BE1"/>
    <w:rsid w:val="266F634F"/>
    <w:rsid w:val="26895B50"/>
    <w:rsid w:val="277F7C5A"/>
    <w:rsid w:val="27FDE6A3"/>
    <w:rsid w:val="28893283"/>
    <w:rsid w:val="291059EA"/>
    <w:rsid w:val="29EF1649"/>
    <w:rsid w:val="2A4D620F"/>
    <w:rsid w:val="2A7A4097"/>
    <w:rsid w:val="2B7822CF"/>
    <w:rsid w:val="2BBF12EC"/>
    <w:rsid w:val="2BC257C7"/>
    <w:rsid w:val="2BC649D9"/>
    <w:rsid w:val="2BF73230"/>
    <w:rsid w:val="2D37572B"/>
    <w:rsid w:val="2DCA6F0B"/>
    <w:rsid w:val="2E3DEDC5"/>
    <w:rsid w:val="2E9E163A"/>
    <w:rsid w:val="2ED2E191"/>
    <w:rsid w:val="2EE63891"/>
    <w:rsid w:val="2EFE112F"/>
    <w:rsid w:val="2EFE1830"/>
    <w:rsid w:val="2F484AA1"/>
    <w:rsid w:val="2F615F98"/>
    <w:rsid w:val="2FBE4AB1"/>
    <w:rsid w:val="2FDB3EE1"/>
    <w:rsid w:val="306F2DD2"/>
    <w:rsid w:val="30A304EF"/>
    <w:rsid w:val="30DD51EB"/>
    <w:rsid w:val="311638A2"/>
    <w:rsid w:val="31351881"/>
    <w:rsid w:val="324200F9"/>
    <w:rsid w:val="32A9702E"/>
    <w:rsid w:val="32C65EB4"/>
    <w:rsid w:val="332B3487"/>
    <w:rsid w:val="339C6039"/>
    <w:rsid w:val="33EC6236"/>
    <w:rsid w:val="342C6888"/>
    <w:rsid w:val="34806536"/>
    <w:rsid w:val="34CD5C7D"/>
    <w:rsid w:val="3515160D"/>
    <w:rsid w:val="352404BD"/>
    <w:rsid w:val="359C0814"/>
    <w:rsid w:val="35B70430"/>
    <w:rsid w:val="35F12C50"/>
    <w:rsid w:val="35FFAF5A"/>
    <w:rsid w:val="36FC40CB"/>
    <w:rsid w:val="372918C0"/>
    <w:rsid w:val="375872F6"/>
    <w:rsid w:val="37B90EBB"/>
    <w:rsid w:val="37C07001"/>
    <w:rsid w:val="37C64366"/>
    <w:rsid w:val="37FD79E1"/>
    <w:rsid w:val="380D2A9A"/>
    <w:rsid w:val="38404BA2"/>
    <w:rsid w:val="38AC319B"/>
    <w:rsid w:val="38B94AC0"/>
    <w:rsid w:val="38F562EC"/>
    <w:rsid w:val="39451A21"/>
    <w:rsid w:val="39861178"/>
    <w:rsid w:val="39A86556"/>
    <w:rsid w:val="39B11955"/>
    <w:rsid w:val="39F27A75"/>
    <w:rsid w:val="3A5B648F"/>
    <w:rsid w:val="3A9A571F"/>
    <w:rsid w:val="3AF87837"/>
    <w:rsid w:val="3AFD8060"/>
    <w:rsid w:val="3B9E50E1"/>
    <w:rsid w:val="3C257BC3"/>
    <w:rsid w:val="3C654012"/>
    <w:rsid w:val="3C7D00D8"/>
    <w:rsid w:val="3CA06C0C"/>
    <w:rsid w:val="3D002574"/>
    <w:rsid w:val="3D34728F"/>
    <w:rsid w:val="3DA51135"/>
    <w:rsid w:val="3DD74139"/>
    <w:rsid w:val="3DF14A1A"/>
    <w:rsid w:val="3DF818E8"/>
    <w:rsid w:val="3E00169D"/>
    <w:rsid w:val="3E1C72D0"/>
    <w:rsid w:val="3EA25851"/>
    <w:rsid w:val="3F6C3757"/>
    <w:rsid w:val="3FA1B91D"/>
    <w:rsid w:val="3FB367E3"/>
    <w:rsid w:val="3FEFE028"/>
    <w:rsid w:val="3FFF248F"/>
    <w:rsid w:val="401D2E8B"/>
    <w:rsid w:val="405D6A10"/>
    <w:rsid w:val="40EE07C1"/>
    <w:rsid w:val="4142704D"/>
    <w:rsid w:val="41630D72"/>
    <w:rsid w:val="41DA6594"/>
    <w:rsid w:val="424443C1"/>
    <w:rsid w:val="42D82EE8"/>
    <w:rsid w:val="43100006"/>
    <w:rsid w:val="433E2E3A"/>
    <w:rsid w:val="435766B4"/>
    <w:rsid w:val="438F2980"/>
    <w:rsid w:val="439715A4"/>
    <w:rsid w:val="43FC159A"/>
    <w:rsid w:val="444C1A75"/>
    <w:rsid w:val="449012A5"/>
    <w:rsid w:val="44A3526F"/>
    <w:rsid w:val="44AE2A12"/>
    <w:rsid w:val="44B032F4"/>
    <w:rsid w:val="44ED6BAD"/>
    <w:rsid w:val="45675AB4"/>
    <w:rsid w:val="457D25F7"/>
    <w:rsid w:val="45A41719"/>
    <w:rsid w:val="45CA063E"/>
    <w:rsid w:val="467375F3"/>
    <w:rsid w:val="468341CD"/>
    <w:rsid w:val="472A1598"/>
    <w:rsid w:val="472C2589"/>
    <w:rsid w:val="488926C7"/>
    <w:rsid w:val="49566B45"/>
    <w:rsid w:val="49B03B47"/>
    <w:rsid w:val="49DE7D77"/>
    <w:rsid w:val="49EE36A4"/>
    <w:rsid w:val="4A2D63C1"/>
    <w:rsid w:val="4A446121"/>
    <w:rsid w:val="4A451CF3"/>
    <w:rsid w:val="4A760AEB"/>
    <w:rsid w:val="4AB04FED"/>
    <w:rsid w:val="4B39170D"/>
    <w:rsid w:val="4B412F8B"/>
    <w:rsid w:val="4B4F1276"/>
    <w:rsid w:val="4B7F219B"/>
    <w:rsid w:val="4CD12850"/>
    <w:rsid w:val="4CE72F88"/>
    <w:rsid w:val="4D627155"/>
    <w:rsid w:val="4E435963"/>
    <w:rsid w:val="4E865A19"/>
    <w:rsid w:val="4EC00145"/>
    <w:rsid w:val="4F0601E3"/>
    <w:rsid w:val="4F3162CA"/>
    <w:rsid w:val="4F3637AC"/>
    <w:rsid w:val="4F3F0305"/>
    <w:rsid w:val="4FA113E3"/>
    <w:rsid w:val="4FED287A"/>
    <w:rsid w:val="4FF5172F"/>
    <w:rsid w:val="4FF53E1A"/>
    <w:rsid w:val="506A051D"/>
    <w:rsid w:val="50BE4B77"/>
    <w:rsid w:val="50C0261D"/>
    <w:rsid w:val="50D95873"/>
    <w:rsid w:val="515F6CB5"/>
    <w:rsid w:val="524644C3"/>
    <w:rsid w:val="526102AF"/>
    <w:rsid w:val="528444DA"/>
    <w:rsid w:val="52CF120F"/>
    <w:rsid w:val="52E34BF5"/>
    <w:rsid w:val="53106BA0"/>
    <w:rsid w:val="533D053D"/>
    <w:rsid w:val="5376211F"/>
    <w:rsid w:val="537745D5"/>
    <w:rsid w:val="539F520B"/>
    <w:rsid w:val="543855FE"/>
    <w:rsid w:val="54C35BDB"/>
    <w:rsid w:val="552306F6"/>
    <w:rsid w:val="555812F1"/>
    <w:rsid w:val="55AF0A16"/>
    <w:rsid w:val="561E4F72"/>
    <w:rsid w:val="562A28CD"/>
    <w:rsid w:val="566C58B6"/>
    <w:rsid w:val="568B79B6"/>
    <w:rsid w:val="56E352D5"/>
    <w:rsid w:val="5712190D"/>
    <w:rsid w:val="57784B01"/>
    <w:rsid w:val="57E435FE"/>
    <w:rsid w:val="582D0655"/>
    <w:rsid w:val="5836855F"/>
    <w:rsid w:val="5846066C"/>
    <w:rsid w:val="58760845"/>
    <w:rsid w:val="58A31BE0"/>
    <w:rsid w:val="5951205C"/>
    <w:rsid w:val="596F55CA"/>
    <w:rsid w:val="59980DBC"/>
    <w:rsid w:val="59B83EF9"/>
    <w:rsid w:val="59D079E8"/>
    <w:rsid w:val="59D40847"/>
    <w:rsid w:val="59EA238B"/>
    <w:rsid w:val="5A823C3E"/>
    <w:rsid w:val="5ACA7E7C"/>
    <w:rsid w:val="5AE37F25"/>
    <w:rsid w:val="5B7D6779"/>
    <w:rsid w:val="5BD123A5"/>
    <w:rsid w:val="5BF1BE5F"/>
    <w:rsid w:val="5BFF46DF"/>
    <w:rsid w:val="5C115965"/>
    <w:rsid w:val="5C3651F9"/>
    <w:rsid w:val="5C8E5206"/>
    <w:rsid w:val="5CB23D47"/>
    <w:rsid w:val="5CBBF184"/>
    <w:rsid w:val="5E2A7EEF"/>
    <w:rsid w:val="5E4A422C"/>
    <w:rsid w:val="5E8D781B"/>
    <w:rsid w:val="5FAF09C4"/>
    <w:rsid w:val="5FAF5CC6"/>
    <w:rsid w:val="5FE53AB1"/>
    <w:rsid w:val="5FEA7762"/>
    <w:rsid w:val="5FFBB285"/>
    <w:rsid w:val="5FFD0BED"/>
    <w:rsid w:val="5FFF95B0"/>
    <w:rsid w:val="608C4642"/>
    <w:rsid w:val="60A4095A"/>
    <w:rsid w:val="62483940"/>
    <w:rsid w:val="62795572"/>
    <w:rsid w:val="62875F78"/>
    <w:rsid w:val="629B63E4"/>
    <w:rsid w:val="62CF7BBD"/>
    <w:rsid w:val="6312592C"/>
    <w:rsid w:val="645652EB"/>
    <w:rsid w:val="64DD6417"/>
    <w:rsid w:val="64FFF732"/>
    <w:rsid w:val="651A1751"/>
    <w:rsid w:val="658729D1"/>
    <w:rsid w:val="65A5383E"/>
    <w:rsid w:val="65CFD332"/>
    <w:rsid w:val="66004745"/>
    <w:rsid w:val="66402404"/>
    <w:rsid w:val="66A2194B"/>
    <w:rsid w:val="66FC3418"/>
    <w:rsid w:val="67507697"/>
    <w:rsid w:val="684B09E1"/>
    <w:rsid w:val="697D2D23"/>
    <w:rsid w:val="69A53F6F"/>
    <w:rsid w:val="6A0B3A65"/>
    <w:rsid w:val="6A567F20"/>
    <w:rsid w:val="6AB07C3E"/>
    <w:rsid w:val="6B276826"/>
    <w:rsid w:val="6B68304A"/>
    <w:rsid w:val="6B8D21F2"/>
    <w:rsid w:val="6B9027C7"/>
    <w:rsid w:val="6C71007D"/>
    <w:rsid w:val="6CA536F1"/>
    <w:rsid w:val="6CD97953"/>
    <w:rsid w:val="6D76BF98"/>
    <w:rsid w:val="6DD93FE6"/>
    <w:rsid w:val="6DE660A4"/>
    <w:rsid w:val="6DFC2AE6"/>
    <w:rsid w:val="6E315BD0"/>
    <w:rsid w:val="6E6B0349"/>
    <w:rsid w:val="6EBC61EE"/>
    <w:rsid w:val="6ED30FD7"/>
    <w:rsid w:val="6EDF7CFD"/>
    <w:rsid w:val="6F6B7017"/>
    <w:rsid w:val="6FDB95F5"/>
    <w:rsid w:val="6FDEA5B1"/>
    <w:rsid w:val="6FFB4600"/>
    <w:rsid w:val="6FFF738E"/>
    <w:rsid w:val="70813A9D"/>
    <w:rsid w:val="712D0D37"/>
    <w:rsid w:val="71606214"/>
    <w:rsid w:val="722926FB"/>
    <w:rsid w:val="723C2CA5"/>
    <w:rsid w:val="72482CD2"/>
    <w:rsid w:val="727D78FD"/>
    <w:rsid w:val="72BB015E"/>
    <w:rsid w:val="733344C5"/>
    <w:rsid w:val="73830C7C"/>
    <w:rsid w:val="73BF3914"/>
    <w:rsid w:val="73CC655F"/>
    <w:rsid w:val="74371495"/>
    <w:rsid w:val="74B20BAD"/>
    <w:rsid w:val="74E038B2"/>
    <w:rsid w:val="74E5D39E"/>
    <w:rsid w:val="75957445"/>
    <w:rsid w:val="75AF6AD7"/>
    <w:rsid w:val="75B56533"/>
    <w:rsid w:val="75D01AE1"/>
    <w:rsid w:val="75EB0A87"/>
    <w:rsid w:val="75FF363A"/>
    <w:rsid w:val="7612404B"/>
    <w:rsid w:val="773F4AE6"/>
    <w:rsid w:val="77524363"/>
    <w:rsid w:val="776E01A4"/>
    <w:rsid w:val="77AA0C67"/>
    <w:rsid w:val="77B917B5"/>
    <w:rsid w:val="77CB1872"/>
    <w:rsid w:val="77D9143E"/>
    <w:rsid w:val="77F9F312"/>
    <w:rsid w:val="78393FFF"/>
    <w:rsid w:val="7863635E"/>
    <w:rsid w:val="78703975"/>
    <w:rsid w:val="78B40C1B"/>
    <w:rsid w:val="78D0148C"/>
    <w:rsid w:val="790113DF"/>
    <w:rsid w:val="79BF239D"/>
    <w:rsid w:val="79CFEF7A"/>
    <w:rsid w:val="79DF2F15"/>
    <w:rsid w:val="7AA77A9C"/>
    <w:rsid w:val="7AF7CF88"/>
    <w:rsid w:val="7AFF30F5"/>
    <w:rsid w:val="7B2A1835"/>
    <w:rsid w:val="7B2F2BFF"/>
    <w:rsid w:val="7B481280"/>
    <w:rsid w:val="7BBF8D70"/>
    <w:rsid w:val="7BCB6031"/>
    <w:rsid w:val="7BE420FD"/>
    <w:rsid w:val="7CB219DA"/>
    <w:rsid w:val="7CDE10B2"/>
    <w:rsid w:val="7CDED22C"/>
    <w:rsid w:val="7CFF8D11"/>
    <w:rsid w:val="7D0D17FC"/>
    <w:rsid w:val="7D0D296B"/>
    <w:rsid w:val="7D4E0B54"/>
    <w:rsid w:val="7D503E78"/>
    <w:rsid w:val="7D6BC047"/>
    <w:rsid w:val="7DCFBE4C"/>
    <w:rsid w:val="7DDB6443"/>
    <w:rsid w:val="7DE23BD4"/>
    <w:rsid w:val="7DFE3410"/>
    <w:rsid w:val="7DFF7E13"/>
    <w:rsid w:val="7E0160D4"/>
    <w:rsid w:val="7E36B4FD"/>
    <w:rsid w:val="7E794F7A"/>
    <w:rsid w:val="7E9F0934"/>
    <w:rsid w:val="7EDAF724"/>
    <w:rsid w:val="7EF31024"/>
    <w:rsid w:val="7EFF8799"/>
    <w:rsid w:val="7EFFEAFC"/>
    <w:rsid w:val="7F79F5E3"/>
    <w:rsid w:val="7F7F2808"/>
    <w:rsid w:val="7F8B71C4"/>
    <w:rsid w:val="7FCD4C3D"/>
    <w:rsid w:val="7FD7E082"/>
    <w:rsid w:val="7FDBA396"/>
    <w:rsid w:val="8F7B46D6"/>
    <w:rsid w:val="905734D2"/>
    <w:rsid w:val="97FE9794"/>
    <w:rsid w:val="9F67418D"/>
    <w:rsid w:val="ADDFDCAC"/>
    <w:rsid w:val="B5FD63A0"/>
    <w:rsid w:val="B6FA9312"/>
    <w:rsid w:val="B75E5348"/>
    <w:rsid w:val="B7CBCA0B"/>
    <w:rsid w:val="BA5D15A4"/>
    <w:rsid w:val="BB5FBA4B"/>
    <w:rsid w:val="BB800AA4"/>
    <w:rsid w:val="BC73D2E1"/>
    <w:rsid w:val="BCB74127"/>
    <w:rsid w:val="BD19E736"/>
    <w:rsid w:val="BF3F4F23"/>
    <w:rsid w:val="BF6EDFBB"/>
    <w:rsid w:val="C7F7A28E"/>
    <w:rsid w:val="C8D6C86A"/>
    <w:rsid w:val="CBBE15A2"/>
    <w:rsid w:val="D2F3A11A"/>
    <w:rsid w:val="D3864E97"/>
    <w:rsid w:val="D3F76836"/>
    <w:rsid w:val="D73B83E3"/>
    <w:rsid w:val="D7DA0E2D"/>
    <w:rsid w:val="D7E7F1BC"/>
    <w:rsid w:val="DB3E2D16"/>
    <w:rsid w:val="DBBB8AA7"/>
    <w:rsid w:val="DBBD21BC"/>
    <w:rsid w:val="DCF7DC32"/>
    <w:rsid w:val="DCFB1020"/>
    <w:rsid w:val="DD7F873D"/>
    <w:rsid w:val="DDD3A0EE"/>
    <w:rsid w:val="DFB70A09"/>
    <w:rsid w:val="DFEF5F6B"/>
    <w:rsid w:val="DFF117FC"/>
    <w:rsid w:val="DFF97BD4"/>
    <w:rsid w:val="DFFE2F8C"/>
    <w:rsid w:val="DFFFE070"/>
    <w:rsid w:val="E4FEC2DD"/>
    <w:rsid w:val="E6FE4190"/>
    <w:rsid w:val="EBF376DC"/>
    <w:rsid w:val="EBF58F10"/>
    <w:rsid w:val="EE6F3FAE"/>
    <w:rsid w:val="EEE7AC54"/>
    <w:rsid w:val="EFDC89CB"/>
    <w:rsid w:val="EFFDA3D3"/>
    <w:rsid w:val="F2DFBD86"/>
    <w:rsid w:val="F3BF1B7A"/>
    <w:rsid w:val="F7DF4745"/>
    <w:rsid w:val="F7DF57F9"/>
    <w:rsid w:val="F7DFE320"/>
    <w:rsid w:val="F7F69B0E"/>
    <w:rsid w:val="FB1EAC9A"/>
    <w:rsid w:val="FB7F8EE1"/>
    <w:rsid w:val="FBB0785A"/>
    <w:rsid w:val="FBFE4A29"/>
    <w:rsid w:val="FD52AEBD"/>
    <w:rsid w:val="FD7FC8F7"/>
    <w:rsid w:val="FDAF543E"/>
    <w:rsid w:val="FDB74580"/>
    <w:rsid w:val="FDF5983D"/>
    <w:rsid w:val="FE7DEB0F"/>
    <w:rsid w:val="FE7E51EE"/>
    <w:rsid w:val="FEDFD773"/>
    <w:rsid w:val="FEF20BF2"/>
    <w:rsid w:val="FEF5A2AC"/>
    <w:rsid w:val="FF67A1FD"/>
    <w:rsid w:val="FF6E33C0"/>
    <w:rsid w:val="FF77DD33"/>
    <w:rsid w:val="FFBEC1E6"/>
    <w:rsid w:val="FFCB4F93"/>
    <w:rsid w:val="FFE3BA9D"/>
    <w:rsid w:val="FFEB5A6D"/>
    <w:rsid w:val="FFF421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9"/>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9"/>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出段落 字符"/>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B-表正文"/>
    <w:qFormat/>
    <w:uiPriority w:val="0"/>
    <w:rPr>
      <w:rFonts w:ascii="Times New Roman" w:hAnsi="Times New Roman" w:eastAsia="仿宋" w:cstheme="minorBidi"/>
      <w:kern w:val="2"/>
      <w:sz w:val="21"/>
      <w:szCs w:val="24"/>
      <w:lang w:val="en-US" w:eastAsia="zh-CN" w:bidi="ar-SA"/>
    </w:rPr>
  </w:style>
  <w:style w:type="paragraph" w:customStyle="1" w:styleId="135">
    <w:name w:val="样式2"/>
    <w:basedOn w:val="1"/>
    <w:qFormat/>
    <w:uiPriority w:val="0"/>
    <w:pPr>
      <w:widowControl/>
      <w:adjustRightInd w:val="0"/>
    </w:pPr>
    <w:rPr>
      <w:kern w:val="0"/>
      <w:lang w:eastAsia="en-US"/>
    </w:rPr>
  </w:style>
  <w:style w:type="paragraph" w:customStyle="1" w:styleId="136">
    <w:name w:val="列出段落1"/>
    <w:basedOn w:val="1"/>
    <w:autoRedefine/>
    <w:qFormat/>
    <w:uiPriority w:val="34"/>
    <w:pPr>
      <w:spacing w:line="240" w:lineRule="auto"/>
      <w:ind w:firstLine="420"/>
    </w:pPr>
    <w:rPr>
      <w:rFonts w:ascii="Calibri" w:hAnsi="Calibri"/>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jpeg"/><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7449</Words>
  <Characters>7610</Characters>
  <Lines>9</Lines>
  <Paragraphs>32</Paragraphs>
  <TotalTime>20</TotalTime>
  <ScaleCrop>false</ScaleCrop>
  <LinksUpToDate>false</LinksUpToDate>
  <CharactersWithSpaces>7610</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2023-12-18T19:56:00Z</dcterms:created>
  <dc:creator>gtig_tzb</dc:creator>
  <cp:lastModifiedBy>user</cp:lastModifiedBy>
  <cp:lastPrinted>2020-08-11T20:08:00Z</cp:lastPrinted>
  <dcterms:modified xsi:type="dcterms:W3CDTF">2026-01-16T09:01:51Z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F6AFE4B31F2C758043DC376967C75244_43</vt:lpwstr>
  </property>
  <property fmtid="{D5CDD505-2E9C-101B-9397-08002B2CF9AE}" pid="4" name="KSOTemplateDocerSaveRecord">
    <vt:lpwstr>eyJoZGlkIjoiN2YzNjBkOTgyNWQ1YTMxYzM3MzMwNWFiODNmOWIzYWMiLCJ1c2VySWQiOiI1NTA2MTExMDQifQ==</vt:lpwstr>
  </property>
</Properties>
</file>