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djustRightInd w:val="0"/>
        <w:snapToGrid w:val="0"/>
        <w:spacing w:line="360" w:lineRule="auto"/>
        <w:jc w:val="center"/>
        <w:rPr>
          <w:rFonts w:hint="eastAsia" w:ascii="宋体" w:hAnsi="宋体" w:cs="宋体"/>
          <w:b/>
          <w:snapToGrid w:val="0"/>
          <w:color w:val="auto"/>
          <w:kern w:val="0"/>
          <w:szCs w:val="21"/>
        </w:rPr>
      </w:pPr>
      <w:r>
        <w:rPr>
          <w:rFonts w:hint="eastAsia" w:ascii="宋体" w:hAnsi="宋体" w:cs="宋体"/>
          <w:b/>
          <w:snapToGrid w:val="0"/>
          <w:color w:val="auto"/>
          <w:kern w:val="0"/>
          <w:szCs w:val="21"/>
        </w:rPr>
        <w:t>上海市内环高架路南段（含鲁班路立交）、苏州河桥梁景观灯光养护维修及运行管理</w:t>
      </w:r>
    </w:p>
    <w:p>
      <w:pPr>
        <w:topLinePunct/>
        <w:adjustRightInd w:val="0"/>
        <w:snapToGrid w:val="0"/>
        <w:spacing w:line="360" w:lineRule="auto"/>
        <w:jc w:val="center"/>
        <w:rPr>
          <w:rFonts w:hint="eastAsia" w:ascii="宋体" w:hAnsi="宋体" w:cs="宋体"/>
          <w:b/>
          <w:snapToGrid w:val="0"/>
          <w:color w:val="auto"/>
          <w:kern w:val="0"/>
          <w:szCs w:val="21"/>
        </w:rPr>
      </w:pPr>
      <w:r>
        <w:rPr>
          <w:rFonts w:hint="eastAsia" w:ascii="宋体" w:hAnsi="宋体" w:cs="宋体"/>
          <w:b/>
          <w:snapToGrid w:val="0"/>
          <w:color w:val="auto"/>
          <w:kern w:val="0"/>
          <w:szCs w:val="21"/>
        </w:rPr>
        <w:t>采购需求</w:t>
      </w:r>
    </w:p>
    <w:p>
      <w:pPr>
        <w:topLinePunct/>
        <w:adjustRightInd w:val="0"/>
        <w:snapToGrid w:val="0"/>
        <w:spacing w:line="360" w:lineRule="auto"/>
        <w:rPr>
          <w:rFonts w:hint="eastAsia" w:ascii="宋体" w:hAnsi="宋体" w:cs="宋体"/>
          <w:bCs/>
          <w:snapToGrid w:val="0"/>
          <w:color w:val="auto"/>
          <w:kern w:val="0"/>
          <w:szCs w:val="21"/>
        </w:rPr>
      </w:pPr>
    </w:p>
    <w:p>
      <w:pPr>
        <w:topLinePunct/>
        <w:adjustRightInd w:val="0"/>
        <w:snapToGrid w:val="0"/>
        <w:spacing w:line="360" w:lineRule="auto"/>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一、项目概况</w:t>
      </w:r>
    </w:p>
    <w:p>
      <w:pPr>
        <w:topLinePunct/>
        <w:adjustRightInd w:val="0"/>
        <w:snapToGrid w:val="0"/>
        <w:spacing w:line="360" w:lineRule="auto"/>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1、项目名称：上海市内环高架路南段（含鲁班路立交）、苏州河桥梁景观灯光养护维修及运行管理</w:t>
      </w:r>
    </w:p>
    <w:p>
      <w:pPr>
        <w:topLinePunct/>
        <w:adjustRightInd w:val="0"/>
        <w:snapToGrid w:val="0"/>
        <w:spacing w:line="360" w:lineRule="auto"/>
        <w:ind w:firstLine="420" w:firstLineChars="200"/>
        <w:rPr>
          <w:rFonts w:hint="eastAsia" w:ascii="宋体" w:hAnsi="宋体"/>
          <w:snapToGrid w:val="0"/>
          <w:color w:val="auto"/>
          <w:kern w:val="0"/>
          <w:szCs w:val="21"/>
        </w:rPr>
      </w:pPr>
      <w:r>
        <w:rPr>
          <w:rFonts w:hint="eastAsia" w:ascii="宋体" w:hAnsi="宋体"/>
          <w:snapToGrid w:val="0"/>
          <w:color w:val="auto"/>
          <w:kern w:val="0"/>
          <w:szCs w:val="21"/>
        </w:rPr>
        <w:t>2、设施概况：</w:t>
      </w:r>
    </w:p>
    <w:p>
      <w:pPr>
        <w:topLinePunct/>
        <w:adjustRightInd w:val="0"/>
        <w:snapToGrid w:val="0"/>
        <w:spacing w:line="360" w:lineRule="auto"/>
        <w:ind w:firstLine="422" w:firstLineChars="200"/>
        <w:rPr>
          <w:rFonts w:hint="eastAsia" w:ascii="宋体" w:hAnsi="宋体" w:cs="宋体"/>
          <w:b/>
          <w:bCs/>
          <w:snapToGrid w:val="0"/>
          <w:color w:val="auto"/>
          <w:kern w:val="0"/>
          <w:szCs w:val="21"/>
        </w:rPr>
      </w:pPr>
      <w:r>
        <w:rPr>
          <w:rFonts w:hint="eastAsia" w:ascii="宋体" w:hAnsi="宋体" w:cs="宋体"/>
          <w:b/>
          <w:bCs/>
          <w:snapToGrid w:val="0"/>
          <w:color w:val="auto"/>
          <w:kern w:val="0"/>
          <w:szCs w:val="21"/>
        </w:rPr>
        <w:t>（1）苏州河桥梁（西段）景观灯光</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对长寿路桥、昌化路桥、江宁路桥、宝成桥、镇坪路桥、西康路桥、武宁路桥、曹杨路桥、凯旋路桥、中山西路东桥、苏州河内环高架桥、中山西路西桥、强家角桥、古北路桥、泸定路桥、祁连山南路桥、北横通道桥和中环路桥（EN、WN、中环主线共三线）跨苏州河桥共18座桥梁的景观灯光进行养护维修及运行管理。其中各类景观灯具共50多款31832套，供电电缆</w:t>
      </w:r>
      <w:r>
        <w:rPr>
          <w:rFonts w:ascii="宋体" w:hAnsi="宋体" w:cs="宋体"/>
          <w:snapToGrid w:val="0"/>
          <w:color w:val="auto"/>
          <w:kern w:val="0"/>
          <w:szCs w:val="21"/>
        </w:rPr>
        <w:t>219846</w:t>
      </w:r>
      <w:r>
        <w:rPr>
          <w:rFonts w:hint="eastAsia" w:ascii="宋体" w:hAnsi="宋体" w:cs="宋体"/>
          <w:snapToGrid w:val="0"/>
          <w:color w:val="auto"/>
          <w:kern w:val="0"/>
          <w:szCs w:val="21"/>
        </w:rPr>
        <w:t>米，信号线</w:t>
      </w:r>
      <w:r>
        <w:rPr>
          <w:rFonts w:ascii="宋体" w:hAnsi="宋体" w:cs="宋体"/>
          <w:snapToGrid w:val="0"/>
          <w:color w:val="auto"/>
          <w:kern w:val="0"/>
          <w:szCs w:val="21"/>
        </w:rPr>
        <w:t>95011</w:t>
      </w:r>
      <w:r>
        <w:rPr>
          <w:rFonts w:hint="eastAsia" w:ascii="宋体" w:hAnsi="宋体" w:cs="宋体"/>
          <w:snapToGrid w:val="0"/>
          <w:color w:val="auto"/>
          <w:kern w:val="0"/>
          <w:szCs w:val="21"/>
        </w:rPr>
        <w:t>米，线槽30580米，配电箱30个，开关电源2374个，弱电控制系统18套，以及景观灯光控制系统。</w:t>
      </w:r>
    </w:p>
    <w:p>
      <w:pPr>
        <w:topLinePunct/>
        <w:adjustRightInd w:val="0"/>
        <w:snapToGrid w:val="0"/>
        <w:spacing w:line="360" w:lineRule="auto"/>
        <w:ind w:firstLine="422" w:firstLineChars="200"/>
        <w:rPr>
          <w:rFonts w:hint="eastAsia" w:ascii="宋体" w:hAnsi="宋体" w:cs="宋体"/>
          <w:b/>
          <w:bCs/>
          <w:snapToGrid w:val="0"/>
          <w:color w:val="auto"/>
          <w:kern w:val="0"/>
          <w:szCs w:val="21"/>
        </w:rPr>
      </w:pPr>
      <w:r>
        <w:rPr>
          <w:rFonts w:hint="eastAsia" w:ascii="宋体" w:hAnsi="宋体" w:cs="宋体"/>
          <w:b/>
          <w:bCs/>
          <w:snapToGrid w:val="0"/>
          <w:color w:val="auto"/>
          <w:kern w:val="0"/>
          <w:szCs w:val="21"/>
        </w:rPr>
        <w:t>（2）内环高架路南段（含鲁班路立交）景观灯光</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对上海市内环高架路南段（含鲁班路立交）（东起南浦大桥（NH010号墩），西至凯旋路（NH337号墩））的景观灯光进行养护维修及运行管理。全线共5款景观灯具36337套，其中中功率灯具29296套，大功率灯具7041套,供电电缆195460米，信号线164573米，线槽48314米，配电箱13个，开关电源2982个，弱电控制系统10套，以及景观灯光控制系统。</w:t>
      </w:r>
    </w:p>
    <w:p>
      <w:pPr>
        <w:topLinePunct/>
        <w:adjustRightInd w:val="0"/>
        <w:snapToGrid w:val="0"/>
        <w:spacing w:line="360" w:lineRule="auto"/>
        <w:ind w:firstLine="422" w:firstLineChars="200"/>
        <w:rPr>
          <w:rFonts w:hint="eastAsia" w:ascii="宋体" w:hAnsi="宋体" w:cs="宋体"/>
          <w:b/>
          <w:bCs/>
          <w:snapToGrid w:val="0"/>
          <w:color w:val="auto"/>
          <w:kern w:val="0"/>
          <w:szCs w:val="21"/>
        </w:rPr>
      </w:pPr>
      <w:r>
        <w:rPr>
          <w:rFonts w:hint="eastAsia" w:ascii="宋体" w:hAnsi="宋体" w:cs="宋体"/>
          <w:b/>
          <w:bCs/>
          <w:snapToGrid w:val="0"/>
          <w:color w:val="auto"/>
          <w:kern w:val="0"/>
          <w:szCs w:val="21"/>
        </w:rPr>
        <w:t>（3）苏州河桥梁（东段）景观灯光</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对外白渡桥、乍浦路桥、四川路桥、河南路桥、山西路桥、福建路桥、浙江路桥、西藏路桥、乌镇路桥、新闸路桥、恒丰路桥和普济路桥共12座桥梁的景观灯光进行养护维修及运行管理。其中各类景观灯具共50多款14276套，供电电缆74617米，信号线47152米，线槽18529米，配电箱14个，开关电源1507个，弱电控制系统12套，以及景观灯光控制系统。</w:t>
      </w:r>
    </w:p>
    <w:p>
      <w:pPr>
        <w:numPr>
          <w:ilvl w:val="255"/>
          <w:numId w:val="0"/>
        </w:num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3、招标范围与内容：</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本次采购工作内容为对苏州河桥梁和内环高架路南段（含鲁班路立交）的景观灯光开展养护维修及运行管理服务工作，主要内容包括对所有设施设备开展日常养护、维修更新、巡视巡查、运行管理和采购人要求的其他服务工作等。</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本项目共分3个包件，包件一为“苏州河桥梁（西段）景观灯光养护维修及运行管理”，包件二为“上海市内环高架路南段（含鲁班路立交）景观灯光养护维修及运行管理”，包件三为“苏州河桥梁（东段）景观灯光养护维修及运行管理”。</w:t>
      </w:r>
    </w:p>
    <w:p>
      <w:pPr>
        <w:topLinePunct/>
        <w:adjustRightInd w:val="0"/>
        <w:snapToGrid w:val="0"/>
        <w:spacing w:line="360" w:lineRule="auto"/>
        <w:ind w:firstLine="422" w:firstLineChars="200"/>
        <w:rPr>
          <w:rFonts w:hint="eastAsia" w:ascii="宋体" w:hAnsi="宋体" w:cs="宋体"/>
          <w:b/>
          <w:bCs/>
          <w:snapToGrid w:val="0"/>
          <w:color w:val="auto"/>
          <w:kern w:val="0"/>
          <w:szCs w:val="21"/>
        </w:rPr>
      </w:pPr>
      <w:r>
        <w:rPr>
          <w:rFonts w:hint="eastAsia" w:ascii="宋体" w:hAnsi="宋体" w:cs="宋体"/>
          <w:b/>
          <w:bCs/>
          <w:snapToGrid w:val="0"/>
          <w:color w:val="auto"/>
          <w:kern w:val="0"/>
          <w:szCs w:val="21"/>
        </w:rPr>
        <w:t>4、若在养护合同期内因重大活动或主管单位工作要求而需增加养护频率的，经费由中标人自行解决。</w:t>
      </w:r>
    </w:p>
    <w:p>
      <w:pPr>
        <w:topLinePunct/>
        <w:adjustRightInd w:val="0"/>
        <w:snapToGrid w:val="0"/>
        <w:spacing w:line="360" w:lineRule="auto"/>
        <w:ind w:firstLine="420" w:firstLineChars="200"/>
        <w:rPr>
          <w:rFonts w:hint="eastAsia" w:ascii="宋体" w:hAnsi="宋体" w:cs="宋体"/>
          <w:snapToGrid w:val="0"/>
          <w:color w:val="auto"/>
          <w:kern w:val="0"/>
          <w:szCs w:val="21"/>
        </w:rPr>
      </w:pPr>
    </w:p>
    <w:p>
      <w:pPr>
        <w:topLinePunct/>
        <w:adjustRightInd w:val="0"/>
        <w:snapToGrid w:val="0"/>
        <w:spacing w:line="360" w:lineRule="auto"/>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二、技术要求与质量标准</w:t>
      </w:r>
    </w:p>
    <w:p>
      <w:pPr>
        <w:topLinePunct/>
        <w:adjustRightInd w:val="0"/>
        <w:snapToGrid w:val="0"/>
        <w:spacing w:line="360" w:lineRule="auto"/>
        <w:ind w:firstLine="422" w:firstLineChars="200"/>
        <w:rPr>
          <w:rFonts w:hint="eastAsia" w:ascii="宋体" w:hAnsi="宋体" w:cs="宋体"/>
          <w:snapToGrid w:val="0"/>
          <w:color w:val="auto"/>
          <w:kern w:val="0"/>
          <w:szCs w:val="21"/>
        </w:rPr>
      </w:pPr>
      <w:r>
        <w:rPr>
          <w:rFonts w:hint="eastAsia" w:ascii="宋体" w:hAnsi="宋体" w:cs="宋体"/>
          <w:b/>
          <w:bCs/>
          <w:snapToGrid w:val="0"/>
          <w:color w:val="auto"/>
          <w:kern w:val="0"/>
          <w:szCs w:val="21"/>
        </w:rPr>
        <w:t>本项目应按以下标准、规范（包括但不限于）开展养护运维作业：</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51"/>
        <w:gridCol w:w="7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851"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b/>
                <w:bCs/>
                <w:snapToGrid w:val="0"/>
                <w:color w:val="auto"/>
                <w:kern w:val="0"/>
                <w:sz w:val="20"/>
                <w:szCs w:val="20"/>
              </w:rPr>
            </w:pPr>
            <w:r>
              <w:rPr>
                <w:rFonts w:hint="eastAsia" w:ascii="宋体" w:hAnsi="宋体"/>
                <w:b/>
                <w:bCs/>
                <w:snapToGrid w:val="0"/>
                <w:color w:val="auto"/>
                <w:kern w:val="0"/>
                <w:sz w:val="20"/>
                <w:szCs w:val="20"/>
              </w:rPr>
              <w:t>序号</w:t>
            </w: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b/>
                <w:bCs/>
                <w:snapToGrid w:val="0"/>
                <w:color w:val="auto"/>
                <w:kern w:val="0"/>
                <w:sz w:val="20"/>
                <w:szCs w:val="20"/>
              </w:rPr>
            </w:pPr>
            <w:r>
              <w:rPr>
                <w:rFonts w:hint="eastAsia" w:ascii="宋体" w:hAnsi="宋体"/>
                <w:b/>
                <w:bCs/>
                <w:snapToGrid w:val="0"/>
                <w:color w:val="auto"/>
                <w:kern w:val="0"/>
                <w:sz w:val="20"/>
                <w:szCs w:val="20"/>
              </w:rPr>
              <w:t>规范名称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《城市道路照明设计标准》（CJJ45-2015）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《灯具一般安全要求与试验》（GB7000.1—2015）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《道路与街道照明灯具的安全要求》（GB7000.5—2016）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《道路与街道照明灯具的性能要求》（GB_T 24827-2015）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《市政道路机电系统维护技术规程》（DG/TJ 08-2171-2015）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《灯的控制装置》（GB 19510.1-2009）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color w:val="auto"/>
                <w:sz w:val="20"/>
                <w:szCs w:val="20"/>
              </w:rPr>
              <w:t>《电业安全工作规程》（高规）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color w:val="auto"/>
                <w:sz w:val="20"/>
                <w:szCs w:val="20"/>
              </w:rPr>
              <w:t>《上海地区低压用户电气装置规程》（低规）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《建筑电气、工程施工质量验收规范》（GB50303-2002）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《上海市景观照明管理办法》（沪府令25号）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《上海市景观照明设施运行维护工作指导意见（试行）》（沪绿容(2020)293号）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《景观照明设施维护规范（试行）》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《上海市防汛条例》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《上海市户外广告、户外招牌、景观照明设施突发事件处置应急预案》（沪绿容(2021)101号）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《上海市城市道路养护维修作业安全技术规程》（DG/TJ08-2183-2015）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numPr>
                <w:ilvl w:val="0"/>
                <w:numId w:val="3"/>
              </w:numPr>
              <w:topLinePunct/>
              <w:adjustRightInd w:val="0"/>
              <w:snapToGrid w:val="0"/>
              <w:ind w:left="0" w:firstLine="0"/>
              <w:jc w:val="right"/>
              <w:rPr>
                <w:rFonts w:hint="eastAsia" w:ascii="宋体" w:hAnsi="宋体"/>
                <w:snapToGrid w:val="0"/>
                <w:color w:val="auto"/>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rPr>
                <w:rFonts w:hint="eastAsia" w:ascii="宋体" w:hAnsi="宋体"/>
                <w:snapToGrid w:val="0"/>
                <w:color w:val="auto"/>
                <w:kern w:val="0"/>
                <w:sz w:val="20"/>
                <w:szCs w:val="20"/>
              </w:rPr>
            </w:pPr>
            <w:r>
              <w:rPr>
                <w:rFonts w:hint="eastAsia" w:ascii="宋体" w:hAnsi="宋体"/>
                <w:snapToGrid w:val="0"/>
                <w:color w:val="auto"/>
                <w:kern w:val="0"/>
                <w:sz w:val="20"/>
                <w:szCs w:val="20"/>
              </w:rPr>
              <w:t>其他国家或上海市相关的管养标准、养护技术要求、规范等</w:t>
            </w:r>
          </w:p>
        </w:tc>
      </w:tr>
    </w:tbl>
    <w:p>
      <w:pPr>
        <w:topLinePunct/>
        <w:adjustRightInd w:val="0"/>
        <w:snapToGrid w:val="0"/>
        <w:spacing w:before="240"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以上技术规范、标准供中标人参考，但并不局限于此，如合同执行中有新规范、标准颁布或更新，则按新规范、标准执行，但国家及地方相关的强制性条文必须无条件执行。</w:t>
      </w:r>
    </w:p>
    <w:p>
      <w:pPr>
        <w:topLinePunct/>
        <w:adjustRightInd w:val="0"/>
        <w:snapToGrid w:val="0"/>
        <w:spacing w:line="360" w:lineRule="auto"/>
        <w:ind w:firstLine="420" w:firstLineChars="200"/>
        <w:rPr>
          <w:rFonts w:hint="eastAsia" w:ascii="宋体" w:hAnsi="宋体" w:cs="宋体"/>
          <w:snapToGrid w:val="0"/>
          <w:color w:val="auto"/>
          <w:kern w:val="0"/>
          <w:szCs w:val="21"/>
        </w:rPr>
      </w:pPr>
    </w:p>
    <w:p>
      <w:pPr>
        <w:topLinePunct/>
        <w:adjustRightInd w:val="0"/>
        <w:snapToGrid w:val="0"/>
        <w:spacing w:line="360" w:lineRule="auto"/>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三、主要人员、设备和养护基地配置基本要求</w:t>
      </w:r>
    </w:p>
    <w:p>
      <w:pPr>
        <w:tabs>
          <w:tab w:val="left" w:pos="7200"/>
        </w:tabs>
        <w:topLinePunct/>
        <w:adjustRightInd w:val="0"/>
        <w:snapToGrid w:val="0"/>
        <w:spacing w:line="360" w:lineRule="auto"/>
        <w:ind w:firstLine="422" w:firstLineChars="200"/>
        <w:outlineLvl w:val="1"/>
        <w:rPr>
          <w:rFonts w:hint="eastAsia" w:ascii="宋体" w:hAnsi="宋体" w:cs="宋体"/>
          <w:b/>
          <w:snapToGrid w:val="0"/>
          <w:color w:val="auto"/>
          <w:kern w:val="0"/>
          <w:szCs w:val="21"/>
        </w:rPr>
      </w:pPr>
      <w:bookmarkStart w:id="0" w:name="_Hlk90815076"/>
      <w:r>
        <w:rPr>
          <w:rFonts w:hint="eastAsia" w:ascii="宋体" w:hAnsi="宋体" w:cs="宋体"/>
          <w:b/>
          <w:snapToGrid w:val="0"/>
          <w:color w:val="auto"/>
          <w:kern w:val="0"/>
          <w:szCs w:val="21"/>
        </w:rPr>
        <w:t>（一）主要管理、技术人员配置基本要求</w:t>
      </w:r>
    </w:p>
    <w:bookmarkEnd w:id="0"/>
    <w:p>
      <w:p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bookmarkStart w:id="1" w:name="_Hlk90815067"/>
      <w:r>
        <w:rPr>
          <w:rFonts w:hint="eastAsia" w:ascii="宋体" w:hAnsi="宋体" w:cs="宋体"/>
          <w:bCs/>
          <w:snapToGrid w:val="0"/>
          <w:color w:val="auto"/>
          <w:kern w:val="0"/>
          <w:szCs w:val="21"/>
        </w:rPr>
        <w:t>1、以下表格所列为最低要求，适用于本项目所有包件。投标人应根据本项目实际需求合理配置管理、技术和一线作业人员。</w:t>
      </w:r>
      <w:bookmarkEnd w:id="1"/>
    </w:p>
    <w:tbl>
      <w:tblPr>
        <w:tblStyle w:val="37"/>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46"/>
        <w:gridCol w:w="2270"/>
        <w:gridCol w:w="6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10" w:hRule="atLeast"/>
          <w:tblHeader/>
          <w:jc w:val="center"/>
        </w:trPr>
        <w:tc>
          <w:tcPr>
            <w:tcW w:w="846" w:type="dxa"/>
            <w:shd w:val="clear" w:color="000000" w:fill="FFFFFF"/>
            <w:vAlign w:val="center"/>
          </w:tcPr>
          <w:p>
            <w:pPr>
              <w:topLinePunct/>
              <w:adjustRightInd w:val="0"/>
              <w:snapToGrid w:val="0"/>
              <w:jc w:val="center"/>
              <w:rPr>
                <w:rFonts w:hint="eastAsia" w:ascii="宋体" w:hAnsi="宋体" w:cs="Arial"/>
                <w:color w:val="auto"/>
                <w:kern w:val="0"/>
                <w:sz w:val="20"/>
                <w:szCs w:val="20"/>
              </w:rPr>
            </w:pPr>
            <w:r>
              <w:rPr>
                <w:rFonts w:ascii="宋体" w:hAnsi="宋体" w:cs="Arial"/>
                <w:color w:val="auto"/>
                <w:kern w:val="0"/>
                <w:sz w:val="20"/>
                <w:szCs w:val="20"/>
              </w:rPr>
              <w:t>序号</w:t>
            </w:r>
          </w:p>
        </w:tc>
        <w:tc>
          <w:tcPr>
            <w:tcW w:w="2270" w:type="dxa"/>
            <w:shd w:val="clear" w:color="000000" w:fill="FFFFFF"/>
            <w:vAlign w:val="center"/>
          </w:tcPr>
          <w:p>
            <w:pPr>
              <w:topLinePunct/>
              <w:adjustRightInd w:val="0"/>
              <w:snapToGrid w:val="0"/>
              <w:jc w:val="center"/>
              <w:rPr>
                <w:rFonts w:hint="eastAsia" w:ascii="宋体" w:hAnsi="宋体" w:cs="Arial"/>
                <w:color w:val="auto"/>
                <w:kern w:val="0"/>
                <w:sz w:val="20"/>
                <w:szCs w:val="20"/>
              </w:rPr>
            </w:pPr>
            <w:r>
              <w:rPr>
                <w:rFonts w:ascii="宋体" w:hAnsi="宋体" w:cs="Arial"/>
                <w:color w:val="auto"/>
                <w:kern w:val="0"/>
                <w:sz w:val="20"/>
                <w:szCs w:val="20"/>
              </w:rPr>
              <w:t>岗位名称</w:t>
            </w:r>
          </w:p>
        </w:tc>
        <w:tc>
          <w:tcPr>
            <w:tcW w:w="6241" w:type="dxa"/>
            <w:shd w:val="clear" w:color="000000" w:fill="FFFFFF"/>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s="宋体"/>
                <w:color w:val="auto"/>
                <w:kern w:val="0"/>
                <w:sz w:val="20"/>
                <w:szCs w:val="2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10" w:hRule="atLeast"/>
          <w:jc w:val="center"/>
        </w:trPr>
        <w:tc>
          <w:tcPr>
            <w:tcW w:w="846" w:type="dxa"/>
            <w:shd w:val="clear" w:color="000000" w:fill="FFFFFF"/>
            <w:vAlign w:val="center"/>
          </w:tcPr>
          <w:p>
            <w:pPr>
              <w:topLinePunct/>
              <w:adjustRightInd w:val="0"/>
              <w:snapToGrid w:val="0"/>
              <w:jc w:val="center"/>
              <w:rPr>
                <w:rFonts w:hint="eastAsia" w:ascii="宋体" w:hAnsi="宋体" w:cs="Arial"/>
                <w:color w:val="auto"/>
                <w:kern w:val="0"/>
                <w:sz w:val="20"/>
                <w:szCs w:val="20"/>
              </w:rPr>
            </w:pPr>
            <w:r>
              <w:rPr>
                <w:rFonts w:ascii="宋体" w:hAnsi="宋体" w:cs="Arial"/>
                <w:color w:val="auto"/>
                <w:kern w:val="0"/>
                <w:sz w:val="20"/>
                <w:szCs w:val="20"/>
              </w:rPr>
              <w:t>1</w:t>
            </w:r>
          </w:p>
        </w:tc>
        <w:tc>
          <w:tcPr>
            <w:tcW w:w="2270"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Arial"/>
                <w:color w:val="auto"/>
                <w:kern w:val="0"/>
                <w:sz w:val="20"/>
                <w:szCs w:val="20"/>
              </w:rPr>
            </w:pPr>
            <w:r>
              <w:rPr>
                <w:rFonts w:hint="eastAsia" w:ascii="宋体" w:hAnsi="宋体"/>
                <w:color w:val="auto"/>
                <w:sz w:val="20"/>
                <w:szCs w:val="20"/>
              </w:rPr>
              <w:t>项目经理（1人）</w:t>
            </w:r>
          </w:p>
        </w:tc>
        <w:tc>
          <w:tcPr>
            <w:tcW w:w="6241" w:type="dxa"/>
            <w:tcBorders>
              <w:top w:val="single" w:color="auto" w:sz="4" w:space="0"/>
              <w:left w:val="nil"/>
              <w:bottom w:val="single" w:color="auto" w:sz="4" w:space="0"/>
              <w:right w:val="single" w:color="auto" w:sz="4" w:space="0"/>
            </w:tcBorders>
            <w:vAlign w:val="center"/>
          </w:tcPr>
          <w:p>
            <w:pPr>
              <w:topLinePunct/>
              <w:adjustRightInd w:val="0"/>
              <w:snapToGrid w:val="0"/>
              <w:spacing w:line="276" w:lineRule="auto"/>
              <w:jc w:val="left"/>
              <w:rPr>
                <w:rFonts w:hint="eastAsia" w:ascii="宋体" w:hAnsi="宋体"/>
                <w:color w:val="auto"/>
                <w:kern w:val="0"/>
                <w:sz w:val="20"/>
                <w:szCs w:val="20"/>
              </w:rPr>
            </w:pPr>
            <w:r>
              <w:rPr>
                <w:rFonts w:hint="eastAsia" w:ascii="宋体" w:hAnsi="宋体"/>
                <w:color w:val="auto"/>
                <w:sz w:val="20"/>
                <w:szCs w:val="20"/>
              </w:rPr>
              <w:t>全面负责本项目的养护维修及运行管理工作，需具有：1、城市道路照明工程、景观灯光养护运维等项目的养护管理经验；2、专科及以上学历；</w:t>
            </w:r>
            <w:r>
              <w:rPr>
                <w:rFonts w:hint="eastAsia" w:ascii="宋体" w:hAnsi="宋体"/>
                <w:b/>
                <w:bCs/>
                <w:color w:val="auto"/>
                <w:sz w:val="20"/>
                <w:szCs w:val="20"/>
              </w:rPr>
              <w:t>★3、机电工程专业二级及以上注册建造师执业资格，或机电类专业工程师及以上职称。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10" w:hRule="atLeast"/>
          <w:jc w:val="center"/>
        </w:trPr>
        <w:tc>
          <w:tcPr>
            <w:tcW w:w="846" w:type="dxa"/>
            <w:shd w:val="clear" w:color="000000" w:fill="FFFFFF"/>
            <w:vAlign w:val="center"/>
          </w:tcPr>
          <w:p>
            <w:pPr>
              <w:topLinePunct/>
              <w:adjustRightInd w:val="0"/>
              <w:snapToGrid w:val="0"/>
              <w:jc w:val="center"/>
              <w:rPr>
                <w:rFonts w:hint="eastAsia" w:ascii="宋体" w:hAnsi="宋体"/>
                <w:color w:val="auto"/>
                <w:kern w:val="0"/>
                <w:sz w:val="20"/>
                <w:szCs w:val="20"/>
              </w:rPr>
            </w:pPr>
            <w:r>
              <w:rPr>
                <w:rFonts w:ascii="宋体" w:hAnsi="宋体"/>
                <w:color w:val="auto"/>
                <w:kern w:val="0"/>
                <w:sz w:val="20"/>
                <w:szCs w:val="20"/>
              </w:rPr>
              <w:t>2</w:t>
            </w:r>
          </w:p>
        </w:tc>
        <w:tc>
          <w:tcPr>
            <w:tcW w:w="2270"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Arial"/>
                <w:color w:val="auto"/>
                <w:kern w:val="0"/>
                <w:sz w:val="20"/>
                <w:szCs w:val="20"/>
              </w:rPr>
            </w:pPr>
            <w:r>
              <w:rPr>
                <w:rFonts w:hint="eastAsia" w:ascii="宋体" w:hAnsi="宋体"/>
                <w:color w:val="auto"/>
                <w:sz w:val="20"/>
                <w:szCs w:val="20"/>
              </w:rPr>
              <w:t>技术负责人（1人）</w:t>
            </w:r>
          </w:p>
        </w:tc>
        <w:tc>
          <w:tcPr>
            <w:tcW w:w="6241" w:type="dxa"/>
            <w:tcBorders>
              <w:top w:val="nil"/>
              <w:left w:val="nil"/>
              <w:bottom w:val="single" w:color="auto" w:sz="4" w:space="0"/>
              <w:right w:val="single" w:color="auto" w:sz="4" w:space="0"/>
            </w:tcBorders>
            <w:vAlign w:val="center"/>
          </w:tcPr>
          <w:p>
            <w:pPr>
              <w:topLinePunct/>
              <w:adjustRightInd w:val="0"/>
              <w:snapToGrid w:val="0"/>
              <w:spacing w:line="276" w:lineRule="auto"/>
              <w:jc w:val="left"/>
              <w:rPr>
                <w:rFonts w:hint="eastAsia" w:ascii="宋体" w:hAnsi="宋体" w:cs="宋体"/>
                <w:color w:val="auto"/>
                <w:kern w:val="0"/>
                <w:sz w:val="20"/>
                <w:szCs w:val="20"/>
              </w:rPr>
            </w:pPr>
            <w:r>
              <w:rPr>
                <w:rFonts w:hint="eastAsia" w:ascii="宋体" w:hAnsi="宋体"/>
                <w:color w:val="auto"/>
                <w:sz w:val="20"/>
                <w:szCs w:val="20"/>
              </w:rPr>
              <w:t>负责专业技术方案的制定和专业技术问题的处理解决等，需具有：1、机电类养护管理经验；2、专科及以上学历；3、机电类专业工程师及以上职称。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10" w:hRule="atLeast"/>
          <w:jc w:val="center"/>
        </w:trPr>
        <w:tc>
          <w:tcPr>
            <w:tcW w:w="846" w:type="dxa"/>
            <w:shd w:val="clear" w:color="000000" w:fill="FFFFFF"/>
            <w:vAlign w:val="center"/>
          </w:tcPr>
          <w:p>
            <w:pPr>
              <w:topLinePunct/>
              <w:adjustRightInd w:val="0"/>
              <w:snapToGrid w:val="0"/>
              <w:jc w:val="center"/>
              <w:rPr>
                <w:rFonts w:hint="eastAsia" w:ascii="宋体" w:hAnsi="宋体"/>
                <w:color w:val="auto"/>
                <w:kern w:val="0"/>
                <w:sz w:val="20"/>
                <w:szCs w:val="20"/>
              </w:rPr>
            </w:pPr>
            <w:r>
              <w:rPr>
                <w:rFonts w:ascii="宋体" w:hAnsi="宋体"/>
                <w:color w:val="auto"/>
                <w:kern w:val="0"/>
                <w:sz w:val="20"/>
                <w:szCs w:val="20"/>
              </w:rPr>
              <w:t>3</w:t>
            </w:r>
          </w:p>
        </w:tc>
        <w:tc>
          <w:tcPr>
            <w:tcW w:w="2270"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专职安全员（1人）</w:t>
            </w:r>
          </w:p>
        </w:tc>
        <w:tc>
          <w:tcPr>
            <w:tcW w:w="6241" w:type="dxa"/>
            <w:tcBorders>
              <w:top w:val="nil"/>
              <w:left w:val="nil"/>
              <w:bottom w:val="single" w:color="auto" w:sz="4" w:space="0"/>
              <w:right w:val="single" w:color="auto" w:sz="4" w:space="0"/>
            </w:tcBorders>
            <w:vAlign w:val="center"/>
          </w:tcPr>
          <w:p>
            <w:pPr>
              <w:topLinePunct/>
              <w:adjustRightInd w:val="0"/>
              <w:snapToGrid w:val="0"/>
              <w:spacing w:line="276" w:lineRule="auto"/>
              <w:jc w:val="left"/>
              <w:rPr>
                <w:rFonts w:hint="eastAsia" w:ascii="宋体" w:hAnsi="宋体" w:cs="宋体"/>
                <w:color w:val="auto"/>
                <w:kern w:val="0"/>
                <w:sz w:val="20"/>
                <w:szCs w:val="20"/>
              </w:rPr>
            </w:pPr>
            <w:r>
              <w:rPr>
                <w:rFonts w:hint="eastAsia" w:ascii="宋体" w:hAnsi="宋体"/>
                <w:color w:val="auto"/>
                <w:sz w:val="20"/>
                <w:szCs w:val="20"/>
              </w:rPr>
              <w:t>负责本项目的安全管理工作，需具有：交通或建设主管部门颁发的交安C证或建安C证。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10" w:hRule="atLeast"/>
          <w:jc w:val="center"/>
        </w:trPr>
        <w:tc>
          <w:tcPr>
            <w:tcW w:w="846" w:type="dxa"/>
            <w:shd w:val="clear" w:color="000000" w:fill="FFFFFF"/>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4</w:t>
            </w:r>
          </w:p>
        </w:tc>
        <w:tc>
          <w:tcPr>
            <w:tcW w:w="2270"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资料员（1人）</w:t>
            </w:r>
          </w:p>
        </w:tc>
        <w:tc>
          <w:tcPr>
            <w:tcW w:w="6241" w:type="dxa"/>
            <w:tcBorders>
              <w:top w:val="nil"/>
              <w:left w:val="nil"/>
              <w:bottom w:val="single" w:color="auto" w:sz="4" w:space="0"/>
              <w:right w:val="single" w:color="auto" w:sz="4" w:space="0"/>
            </w:tcBorders>
            <w:vAlign w:val="center"/>
          </w:tcPr>
          <w:p>
            <w:pPr>
              <w:topLinePunct/>
              <w:adjustRightInd w:val="0"/>
              <w:snapToGrid w:val="0"/>
              <w:spacing w:line="276" w:lineRule="auto"/>
              <w:jc w:val="left"/>
              <w:rPr>
                <w:rFonts w:hint="eastAsia" w:ascii="宋体" w:hAnsi="宋体"/>
                <w:color w:val="auto"/>
                <w:sz w:val="20"/>
                <w:szCs w:val="20"/>
              </w:rPr>
            </w:pPr>
            <w:r>
              <w:rPr>
                <w:rFonts w:hint="eastAsia" w:ascii="宋体" w:hAnsi="宋体"/>
                <w:color w:val="auto"/>
                <w:sz w:val="20"/>
                <w:szCs w:val="20"/>
              </w:rPr>
              <w:t>负责本项目的资料收集、归类、整理。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10" w:hRule="atLeast"/>
          <w:jc w:val="center"/>
        </w:trPr>
        <w:tc>
          <w:tcPr>
            <w:tcW w:w="846" w:type="dxa"/>
            <w:shd w:val="clear" w:color="000000" w:fill="FFFFFF"/>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5</w:t>
            </w:r>
          </w:p>
        </w:tc>
        <w:tc>
          <w:tcPr>
            <w:tcW w:w="2270"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电工（1人）</w:t>
            </w:r>
          </w:p>
        </w:tc>
        <w:tc>
          <w:tcPr>
            <w:tcW w:w="6241" w:type="dxa"/>
            <w:tcBorders>
              <w:top w:val="nil"/>
              <w:left w:val="nil"/>
              <w:bottom w:val="single" w:color="auto" w:sz="4" w:space="0"/>
              <w:right w:val="single" w:color="auto" w:sz="4" w:space="0"/>
            </w:tcBorders>
            <w:vAlign w:val="center"/>
          </w:tcPr>
          <w:p>
            <w:pPr>
              <w:topLinePunct/>
              <w:adjustRightInd w:val="0"/>
              <w:snapToGrid w:val="0"/>
              <w:spacing w:line="276" w:lineRule="auto"/>
              <w:jc w:val="left"/>
              <w:rPr>
                <w:rFonts w:hint="eastAsia" w:ascii="宋体" w:hAnsi="宋体" w:cs="宋体"/>
                <w:color w:val="auto"/>
                <w:kern w:val="0"/>
                <w:sz w:val="20"/>
                <w:szCs w:val="20"/>
              </w:rPr>
            </w:pPr>
            <w:r>
              <w:rPr>
                <w:rFonts w:hint="eastAsia" w:ascii="宋体" w:hAnsi="宋体"/>
                <w:color w:val="auto"/>
                <w:sz w:val="20"/>
                <w:szCs w:val="20"/>
              </w:rPr>
              <w:t>具有电工上岗资格证</w:t>
            </w:r>
          </w:p>
        </w:tc>
      </w:tr>
    </w:tbl>
    <w:p>
      <w:pPr>
        <w:topLinePunct/>
        <w:adjustRightInd w:val="0"/>
        <w:snapToGrid w:val="0"/>
        <w:spacing w:before="240" w:line="360" w:lineRule="auto"/>
        <w:ind w:firstLine="422" w:firstLineChars="200"/>
        <w:rPr>
          <w:rFonts w:hint="eastAsia" w:ascii="宋体" w:hAnsi="宋体"/>
          <w:b/>
          <w:bCs/>
          <w:snapToGrid w:val="0"/>
          <w:color w:val="auto"/>
          <w:kern w:val="0"/>
          <w:szCs w:val="21"/>
        </w:rPr>
      </w:pPr>
      <w:r>
        <w:rPr>
          <w:rFonts w:hint="eastAsia" w:ascii="宋体" w:hAnsi="宋体"/>
          <w:b/>
          <w:bCs/>
          <w:snapToGrid w:val="0"/>
          <w:color w:val="auto"/>
          <w:kern w:val="0"/>
          <w:szCs w:val="21"/>
        </w:rPr>
        <w:t>★2、中标人须配置项目经理一名，并配置技术负责人和专职安全员至少各一名。上述人员必须是本单位员工，投标人需出具开标日前三个月内任意一个月投标人企业为上述人员缴纳社会保险的证明。</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3、未经采购人同意，中标人不得调换或撤离上述人员。如采购人认为有必要，可要求中标人对上述人员中的部分人员做出更好的调整。</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4、所有根据国家或上海法律、法规、规范要求的特种设备车辆操作人员均必须持证上岗。</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5、</w:t>
      </w:r>
      <w:bookmarkStart w:id="2" w:name="OLE_LINK9"/>
      <w:bookmarkStart w:id="3" w:name="OLE_LINK8"/>
      <w:r>
        <w:rPr>
          <w:rFonts w:hint="eastAsia" w:ascii="宋体" w:hAnsi="宋体" w:cs="宋体"/>
          <w:color w:val="auto"/>
          <w:szCs w:val="21"/>
        </w:rPr>
        <w:t>配备的主要技术工人（电工及特种设备车辆操作人员）能够满足项目管养要求，提供技术工人名单及岗位证书</w:t>
      </w:r>
      <w:bookmarkEnd w:id="2"/>
      <w:bookmarkEnd w:id="3"/>
      <w:r>
        <w:rPr>
          <w:rFonts w:hint="eastAsia" w:ascii="宋体" w:hAnsi="宋体" w:cs="宋体"/>
          <w:color w:val="auto"/>
          <w:szCs w:val="21"/>
        </w:rPr>
        <w:t>。</w:t>
      </w:r>
    </w:p>
    <w:p>
      <w:pPr>
        <w:tabs>
          <w:tab w:val="left" w:pos="7200"/>
        </w:tabs>
        <w:topLinePunct/>
        <w:adjustRightInd w:val="0"/>
        <w:snapToGrid w:val="0"/>
        <w:spacing w:line="360" w:lineRule="auto"/>
        <w:ind w:firstLine="422" w:firstLineChars="200"/>
        <w:outlineLvl w:val="1"/>
        <w:rPr>
          <w:rFonts w:hint="eastAsia" w:ascii="宋体" w:hAnsi="宋体" w:cs="宋体"/>
          <w:b/>
          <w:snapToGrid w:val="0"/>
          <w:color w:val="auto"/>
          <w:kern w:val="0"/>
          <w:szCs w:val="21"/>
        </w:rPr>
      </w:pPr>
      <w:r>
        <w:rPr>
          <w:rFonts w:hint="eastAsia" w:ascii="宋体" w:hAnsi="宋体" w:cs="宋体"/>
          <w:b/>
          <w:snapToGrid w:val="0"/>
          <w:color w:val="auto"/>
          <w:kern w:val="0"/>
          <w:szCs w:val="21"/>
        </w:rPr>
        <w:t>（二）设备配置基本要求</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1、为做好本项目服务工作，中标人应至少配置以下用于养护运维作业的车辆及机械设备（不包括采购人提供的车辆及设备）。</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（1）包件一“苏州河桥梁（西段）景观灯光养护维修及运行管理”、包件三“苏州河桥梁（东段）景观灯光养护维修及运行管理”要求：</w:t>
      </w:r>
    </w:p>
    <w:tbl>
      <w:tblPr>
        <w:tblStyle w:val="3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51"/>
        <w:gridCol w:w="2273"/>
        <w:gridCol w:w="851"/>
        <w:gridCol w:w="2835"/>
        <w:gridCol w:w="2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851"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序号</w:t>
            </w:r>
          </w:p>
        </w:tc>
        <w:tc>
          <w:tcPr>
            <w:tcW w:w="2273"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设备名称</w:t>
            </w:r>
          </w:p>
        </w:tc>
        <w:tc>
          <w:tcPr>
            <w:tcW w:w="851"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数量</w:t>
            </w:r>
          </w:p>
        </w:tc>
        <w:tc>
          <w:tcPr>
            <w:tcW w:w="2835"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用途</w:t>
            </w:r>
          </w:p>
        </w:tc>
        <w:tc>
          <w:tcPr>
            <w:tcW w:w="2541"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ascii="宋体" w:hAnsi="宋体"/>
                <w:color w:val="auto"/>
                <w:kern w:val="0"/>
                <w:sz w:val="20"/>
                <w:szCs w:val="20"/>
              </w:rPr>
              <w:t>1</w:t>
            </w:r>
          </w:p>
        </w:tc>
        <w:tc>
          <w:tcPr>
            <w:tcW w:w="2273"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登高车</w:t>
            </w:r>
          </w:p>
        </w:tc>
        <w:tc>
          <w:tcPr>
            <w:tcW w:w="851"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sz w:val="20"/>
                <w:szCs w:val="20"/>
              </w:rPr>
              <w:t>1</w:t>
            </w:r>
          </w:p>
        </w:tc>
        <w:tc>
          <w:tcPr>
            <w:tcW w:w="2835"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设备维修</w:t>
            </w:r>
          </w:p>
        </w:tc>
        <w:tc>
          <w:tcPr>
            <w:tcW w:w="2541"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2</w:t>
            </w:r>
          </w:p>
        </w:tc>
        <w:tc>
          <w:tcPr>
            <w:tcW w:w="2273"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养护作业车（需含封道车或封道设备）</w:t>
            </w:r>
          </w:p>
        </w:tc>
        <w:tc>
          <w:tcPr>
            <w:tcW w:w="85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sz w:val="20"/>
                <w:szCs w:val="20"/>
              </w:rPr>
              <w:t>2</w:t>
            </w:r>
          </w:p>
        </w:tc>
        <w:tc>
          <w:tcPr>
            <w:tcW w:w="2835"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占道养护、施工安全防护</w:t>
            </w:r>
          </w:p>
        </w:tc>
        <w:tc>
          <w:tcPr>
            <w:tcW w:w="254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3</w:t>
            </w:r>
          </w:p>
        </w:tc>
        <w:tc>
          <w:tcPr>
            <w:tcW w:w="2273"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桥检车（船）</w:t>
            </w:r>
          </w:p>
        </w:tc>
        <w:tc>
          <w:tcPr>
            <w:tcW w:w="85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sz w:val="20"/>
                <w:szCs w:val="20"/>
              </w:rPr>
              <w:t>1</w:t>
            </w:r>
          </w:p>
        </w:tc>
        <w:tc>
          <w:tcPr>
            <w:tcW w:w="2835"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修理立交等高处或桥梁下部的景观灯</w:t>
            </w:r>
          </w:p>
        </w:tc>
        <w:tc>
          <w:tcPr>
            <w:tcW w:w="254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4</w:t>
            </w:r>
          </w:p>
        </w:tc>
        <w:tc>
          <w:tcPr>
            <w:tcW w:w="2273"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安全防撞车</w:t>
            </w:r>
          </w:p>
        </w:tc>
        <w:tc>
          <w:tcPr>
            <w:tcW w:w="85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1</w:t>
            </w:r>
          </w:p>
        </w:tc>
        <w:tc>
          <w:tcPr>
            <w:tcW w:w="2835"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占道养护、施工安全防护</w:t>
            </w:r>
          </w:p>
        </w:tc>
        <w:tc>
          <w:tcPr>
            <w:tcW w:w="254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自有或租赁</w:t>
            </w:r>
          </w:p>
        </w:tc>
      </w:tr>
    </w:tbl>
    <w:p>
      <w:pPr>
        <w:topLinePunct/>
        <w:adjustRightInd w:val="0"/>
        <w:snapToGrid w:val="0"/>
        <w:spacing w:before="240"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（2）包件二“上海市内环高架路南段（含鲁班路立交）景观灯光养护维修及运行管理”要求：</w:t>
      </w:r>
    </w:p>
    <w:tbl>
      <w:tblPr>
        <w:tblStyle w:val="3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51"/>
        <w:gridCol w:w="2273"/>
        <w:gridCol w:w="851"/>
        <w:gridCol w:w="2835"/>
        <w:gridCol w:w="2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851" w:type="dxa"/>
            <w:vAlign w:val="center"/>
          </w:tcPr>
          <w:p>
            <w:pPr>
              <w:topLinePunct/>
              <w:adjustRightInd w:val="0"/>
              <w:snapToGrid w:val="0"/>
              <w:jc w:val="center"/>
              <w:rPr>
                <w:rFonts w:hint="eastAsia" w:ascii="宋体" w:hAnsi="宋体" w:cs="宋体"/>
                <w:b/>
                <w:bCs/>
                <w:color w:val="auto"/>
                <w:kern w:val="0"/>
                <w:sz w:val="20"/>
                <w:szCs w:val="20"/>
              </w:rPr>
            </w:pPr>
            <w:bookmarkStart w:id="4" w:name="_Hlk90817084"/>
            <w:r>
              <w:rPr>
                <w:rFonts w:hint="eastAsia" w:ascii="宋体" w:hAnsi="宋体" w:cs="宋体"/>
                <w:b/>
                <w:bCs/>
                <w:color w:val="auto"/>
                <w:kern w:val="0"/>
                <w:sz w:val="20"/>
                <w:szCs w:val="20"/>
              </w:rPr>
              <w:t>序号</w:t>
            </w:r>
          </w:p>
        </w:tc>
        <w:tc>
          <w:tcPr>
            <w:tcW w:w="2273"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设备名称</w:t>
            </w:r>
          </w:p>
        </w:tc>
        <w:tc>
          <w:tcPr>
            <w:tcW w:w="851"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数量</w:t>
            </w:r>
          </w:p>
        </w:tc>
        <w:tc>
          <w:tcPr>
            <w:tcW w:w="2835"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用途</w:t>
            </w:r>
          </w:p>
        </w:tc>
        <w:tc>
          <w:tcPr>
            <w:tcW w:w="2541" w:type="dxa"/>
            <w:vAlign w:val="center"/>
          </w:tcPr>
          <w:p>
            <w:pPr>
              <w:topLinePunct/>
              <w:adjustRightInd w:val="0"/>
              <w:snapToGrid w:val="0"/>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ascii="宋体" w:hAnsi="宋体"/>
                <w:color w:val="auto"/>
                <w:kern w:val="0"/>
                <w:sz w:val="20"/>
                <w:szCs w:val="20"/>
              </w:rPr>
              <w:t>1</w:t>
            </w:r>
          </w:p>
        </w:tc>
        <w:tc>
          <w:tcPr>
            <w:tcW w:w="2273"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登高车（至少有1部为35米以上登高车）</w:t>
            </w:r>
          </w:p>
        </w:tc>
        <w:tc>
          <w:tcPr>
            <w:tcW w:w="851"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1</w:t>
            </w:r>
          </w:p>
        </w:tc>
        <w:tc>
          <w:tcPr>
            <w:tcW w:w="2835"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设备维修</w:t>
            </w:r>
          </w:p>
        </w:tc>
        <w:tc>
          <w:tcPr>
            <w:tcW w:w="2541"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2</w:t>
            </w:r>
          </w:p>
        </w:tc>
        <w:tc>
          <w:tcPr>
            <w:tcW w:w="2273"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养护作业车（需含封道车或封道设备）</w:t>
            </w:r>
          </w:p>
        </w:tc>
        <w:tc>
          <w:tcPr>
            <w:tcW w:w="85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sz w:val="20"/>
                <w:szCs w:val="20"/>
              </w:rPr>
              <w:t>2</w:t>
            </w:r>
          </w:p>
        </w:tc>
        <w:tc>
          <w:tcPr>
            <w:tcW w:w="2835"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占道养护、施工安全防护</w:t>
            </w:r>
          </w:p>
        </w:tc>
        <w:tc>
          <w:tcPr>
            <w:tcW w:w="254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3</w:t>
            </w:r>
          </w:p>
        </w:tc>
        <w:tc>
          <w:tcPr>
            <w:tcW w:w="2273"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桥检车</w:t>
            </w:r>
          </w:p>
        </w:tc>
        <w:tc>
          <w:tcPr>
            <w:tcW w:w="85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sz w:val="20"/>
                <w:szCs w:val="20"/>
              </w:rPr>
              <w:t>1</w:t>
            </w:r>
          </w:p>
        </w:tc>
        <w:tc>
          <w:tcPr>
            <w:tcW w:w="2835"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修理立交等高处的景观灯</w:t>
            </w:r>
          </w:p>
        </w:tc>
        <w:tc>
          <w:tcPr>
            <w:tcW w:w="254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kern w:val="0"/>
                <w:sz w:val="20"/>
                <w:szCs w:val="20"/>
              </w:rPr>
            </w:pPr>
            <w:r>
              <w:rPr>
                <w:rFonts w:hint="eastAsia" w:ascii="宋体" w:hAnsi="宋体"/>
                <w:color w:val="auto"/>
                <w:sz w:val="20"/>
                <w:szCs w:val="20"/>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4</w:t>
            </w:r>
          </w:p>
        </w:tc>
        <w:tc>
          <w:tcPr>
            <w:tcW w:w="2273"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安全防撞车</w:t>
            </w:r>
          </w:p>
        </w:tc>
        <w:tc>
          <w:tcPr>
            <w:tcW w:w="85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1</w:t>
            </w:r>
          </w:p>
        </w:tc>
        <w:tc>
          <w:tcPr>
            <w:tcW w:w="2835"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占道养护、施工安全防护</w:t>
            </w:r>
          </w:p>
        </w:tc>
        <w:tc>
          <w:tcPr>
            <w:tcW w:w="2541"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olor w:val="auto"/>
                <w:sz w:val="20"/>
                <w:szCs w:val="20"/>
              </w:rPr>
            </w:pPr>
            <w:r>
              <w:rPr>
                <w:rFonts w:hint="eastAsia" w:ascii="宋体" w:hAnsi="宋体"/>
                <w:color w:val="auto"/>
                <w:sz w:val="20"/>
                <w:szCs w:val="20"/>
              </w:rPr>
              <w:t>自有或租赁</w:t>
            </w:r>
          </w:p>
        </w:tc>
      </w:tr>
    </w:tbl>
    <w:p>
      <w:pPr>
        <w:topLinePunct/>
        <w:adjustRightInd w:val="0"/>
        <w:snapToGrid w:val="0"/>
        <w:spacing w:before="240" w:line="360" w:lineRule="auto"/>
        <w:ind w:firstLine="420" w:firstLineChars="200"/>
        <w:rPr>
          <w:rFonts w:hint="eastAsia" w:ascii="宋体" w:hAnsi="宋体" w:cs="宋体"/>
          <w:snapToGrid w:val="0"/>
          <w:color w:val="auto"/>
          <w:kern w:val="0"/>
          <w:szCs w:val="21"/>
        </w:rPr>
      </w:pPr>
      <w:r>
        <w:rPr>
          <w:rFonts w:ascii="宋体" w:hAnsi="宋体" w:cs="宋体"/>
          <w:snapToGrid w:val="0"/>
          <w:color w:val="auto"/>
          <w:kern w:val="0"/>
          <w:szCs w:val="21"/>
        </w:rPr>
        <w:t>2</w:t>
      </w:r>
      <w:r>
        <w:rPr>
          <w:rFonts w:hint="eastAsia" w:ascii="宋体" w:hAnsi="宋体" w:cs="宋体"/>
          <w:snapToGrid w:val="0"/>
          <w:color w:val="auto"/>
          <w:kern w:val="0"/>
          <w:szCs w:val="21"/>
        </w:rPr>
        <w:t>、上述设备中车辆的尾气排放标准必须符合国家和上海市的有关标准。</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ascii="宋体" w:hAnsi="宋体" w:cs="宋体"/>
          <w:snapToGrid w:val="0"/>
          <w:color w:val="auto"/>
          <w:kern w:val="0"/>
          <w:szCs w:val="21"/>
        </w:rPr>
        <w:t>3</w:t>
      </w:r>
      <w:r>
        <w:rPr>
          <w:rFonts w:hint="eastAsia" w:ascii="宋体" w:hAnsi="宋体" w:cs="宋体"/>
          <w:snapToGrid w:val="0"/>
          <w:color w:val="auto"/>
          <w:kern w:val="0"/>
          <w:szCs w:val="21"/>
        </w:rPr>
        <w:t>、</w:t>
      </w:r>
      <w:bookmarkStart w:id="5" w:name="_Hlk151490152"/>
      <w:r>
        <w:rPr>
          <w:rFonts w:hint="eastAsia" w:ascii="宋体" w:hAnsi="宋体" w:cs="宋体"/>
          <w:snapToGrid w:val="0"/>
          <w:color w:val="auto"/>
          <w:kern w:val="0"/>
          <w:szCs w:val="21"/>
        </w:rPr>
        <w:t>上述机械设备或作业车辆应由中标人自行配置，且应满足上述需求表中的数量和配置要求。自有机械设备、车辆须提供车辆行驶证或购买发票或拟采购合同（签订日期应在投标截止日之前）等证明材料（关键页应清晰可辨认）；已租赁的机械设备、车辆须提供租赁合同等证明材料（关键页一定要清晰可辨认）。</w:t>
      </w:r>
    </w:p>
    <w:bookmarkEnd w:id="5"/>
    <w:p>
      <w:pPr>
        <w:topLinePunct/>
        <w:adjustRightInd w:val="0"/>
        <w:snapToGrid w:val="0"/>
        <w:spacing w:line="360" w:lineRule="auto"/>
        <w:ind w:firstLine="420" w:firstLineChars="200"/>
        <w:rPr>
          <w:rFonts w:hint="eastAsia" w:ascii="宋体" w:hAnsi="宋体" w:cs="宋体"/>
          <w:snapToGrid w:val="0"/>
          <w:color w:val="auto"/>
          <w:kern w:val="0"/>
          <w:szCs w:val="21"/>
        </w:rPr>
      </w:pPr>
      <w:bookmarkStart w:id="6" w:name="_Hlk151490159"/>
      <w:r>
        <w:rPr>
          <w:rFonts w:ascii="宋体" w:hAnsi="宋体" w:cs="宋体"/>
          <w:snapToGrid w:val="0"/>
          <w:color w:val="auto"/>
          <w:kern w:val="0"/>
          <w:szCs w:val="21"/>
        </w:rPr>
        <w:t>4</w:t>
      </w:r>
      <w:r>
        <w:rPr>
          <w:rFonts w:hint="eastAsia" w:ascii="宋体" w:hAnsi="宋体" w:cs="宋体"/>
          <w:snapToGrid w:val="0"/>
          <w:color w:val="auto"/>
          <w:kern w:val="0"/>
          <w:szCs w:val="21"/>
        </w:rPr>
        <w:t>、投标人在投标阶段若无全部机械设备、作业车辆的，须</w:t>
      </w:r>
      <w:r>
        <w:rPr>
          <w:rFonts w:hint="eastAsia" w:ascii="宋体" w:hAnsi="宋体" w:cs="宋体"/>
          <w:b/>
          <w:bCs/>
          <w:i/>
          <w:iCs/>
          <w:snapToGrid w:val="0"/>
          <w:color w:val="auto"/>
          <w:kern w:val="0"/>
          <w:szCs w:val="21"/>
        </w:rPr>
        <w:t>承诺</w:t>
      </w:r>
      <w:r>
        <w:rPr>
          <w:rFonts w:hint="eastAsia" w:ascii="宋体" w:hAnsi="宋体" w:cs="宋体"/>
          <w:snapToGrid w:val="0"/>
          <w:color w:val="auto"/>
          <w:kern w:val="0"/>
          <w:szCs w:val="21"/>
        </w:rPr>
        <w:t>中标后15天内解决满足本项目需求所有机械设备、作业车辆。</w:t>
      </w:r>
    </w:p>
    <w:bookmarkEnd w:id="6"/>
    <w:p>
      <w:pPr>
        <w:topLinePunct/>
        <w:adjustRightInd w:val="0"/>
        <w:snapToGrid w:val="0"/>
        <w:spacing w:line="360" w:lineRule="auto"/>
        <w:ind w:firstLine="420" w:firstLineChars="200"/>
        <w:rPr>
          <w:rFonts w:hint="eastAsia" w:ascii="宋体" w:hAnsi="宋体" w:cs="宋体"/>
          <w:snapToGrid w:val="0"/>
          <w:color w:val="auto"/>
          <w:kern w:val="0"/>
          <w:szCs w:val="21"/>
        </w:rPr>
      </w:pPr>
      <w:bookmarkStart w:id="7" w:name="_Hlk151490172"/>
      <w:r>
        <w:rPr>
          <w:rFonts w:ascii="宋体" w:hAnsi="宋体" w:cs="宋体"/>
          <w:snapToGrid w:val="0"/>
          <w:color w:val="auto"/>
          <w:kern w:val="0"/>
          <w:szCs w:val="21"/>
        </w:rPr>
        <w:t>5</w:t>
      </w:r>
      <w:r>
        <w:rPr>
          <w:rFonts w:hint="eastAsia" w:ascii="宋体" w:hAnsi="宋体" w:cs="宋体"/>
          <w:snapToGrid w:val="0"/>
          <w:color w:val="auto"/>
          <w:kern w:val="0"/>
          <w:szCs w:val="21"/>
        </w:rPr>
        <w:t>、投标人应</w:t>
      </w:r>
      <w:r>
        <w:rPr>
          <w:rFonts w:hint="eastAsia" w:ascii="宋体" w:hAnsi="宋体" w:cs="宋体"/>
          <w:b/>
          <w:bCs/>
          <w:i/>
          <w:iCs/>
          <w:snapToGrid w:val="0"/>
          <w:color w:val="auto"/>
          <w:kern w:val="0"/>
          <w:szCs w:val="21"/>
        </w:rPr>
        <w:t>承诺</w:t>
      </w:r>
      <w:r>
        <w:rPr>
          <w:rFonts w:hint="eastAsia" w:ascii="宋体" w:hAnsi="宋体" w:cs="宋体"/>
          <w:snapToGrid w:val="0"/>
          <w:color w:val="auto"/>
          <w:kern w:val="0"/>
          <w:szCs w:val="21"/>
        </w:rPr>
        <w:t>一旦中标，将根据实际情况进一步提升日常养护工作的智能化水平，配置一定数量的智能巡查检测设备、日常巡查车辆须安装智能前端感知设备，所有一线养护作业车辆须安装卫星定位系统，并接入采购人的养护在线监管平台。</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6、上述机械设备或作业车辆必须为本设施专用。中标人还应配备一定数量的针对突发事件或自然灾害的应急处置设备，若因突发事件或</w:t>
      </w:r>
      <w:bookmarkStart w:id="8" w:name="_Hlk90300767"/>
      <w:r>
        <w:rPr>
          <w:rFonts w:hint="eastAsia" w:ascii="宋体" w:hAnsi="宋体" w:cs="宋体"/>
          <w:snapToGrid w:val="0"/>
          <w:color w:val="auto"/>
          <w:kern w:val="0"/>
          <w:szCs w:val="21"/>
        </w:rPr>
        <w:t>采购人要求需临时增加养护作业车辆设备</w:t>
      </w:r>
      <w:bookmarkEnd w:id="8"/>
      <w:r>
        <w:rPr>
          <w:rFonts w:hint="eastAsia" w:ascii="宋体" w:hAnsi="宋体" w:cs="宋体"/>
          <w:snapToGrid w:val="0"/>
          <w:color w:val="auto"/>
          <w:kern w:val="0"/>
          <w:szCs w:val="21"/>
        </w:rPr>
        <w:t>的，中标人应予以无条件落实。</w:t>
      </w:r>
    </w:p>
    <w:bookmarkEnd w:id="4"/>
    <w:bookmarkEnd w:id="7"/>
    <w:p>
      <w:pPr>
        <w:tabs>
          <w:tab w:val="left" w:pos="7200"/>
        </w:tabs>
        <w:topLinePunct/>
        <w:adjustRightInd w:val="0"/>
        <w:snapToGrid w:val="0"/>
        <w:spacing w:line="360" w:lineRule="auto"/>
        <w:ind w:firstLine="422" w:firstLineChars="200"/>
        <w:outlineLvl w:val="1"/>
        <w:rPr>
          <w:rFonts w:hint="eastAsia" w:ascii="宋体" w:hAnsi="宋体" w:cs="宋体"/>
          <w:b/>
          <w:snapToGrid w:val="0"/>
          <w:color w:val="auto"/>
          <w:kern w:val="0"/>
          <w:szCs w:val="21"/>
        </w:rPr>
      </w:pPr>
      <w:r>
        <w:rPr>
          <w:rFonts w:hint="eastAsia" w:ascii="宋体" w:hAnsi="宋体" w:cs="宋体"/>
          <w:b/>
          <w:snapToGrid w:val="0"/>
          <w:color w:val="auto"/>
          <w:kern w:val="0"/>
          <w:szCs w:val="21"/>
        </w:rPr>
        <w:t>（三）养护基地配置基本要求</w:t>
      </w:r>
    </w:p>
    <w:p>
      <w:pPr>
        <w:topLinePunct/>
        <w:adjustRightInd w:val="0"/>
        <w:snapToGrid w:val="0"/>
        <w:spacing w:line="360" w:lineRule="auto"/>
        <w:ind w:firstLine="420" w:firstLineChars="200"/>
        <w:rPr>
          <w:rFonts w:hint="eastAsia" w:ascii="宋体" w:hAnsi="宋体" w:cs="宋体"/>
          <w:snapToGrid w:val="0"/>
          <w:color w:val="auto"/>
          <w:kern w:val="0"/>
          <w:szCs w:val="21"/>
        </w:rPr>
      </w:pPr>
      <w:bookmarkStart w:id="9" w:name="_Hlk148275403"/>
      <w:r>
        <w:rPr>
          <w:rFonts w:hint="eastAsia" w:ascii="宋体" w:hAnsi="宋体" w:cs="宋体"/>
          <w:snapToGrid w:val="0"/>
          <w:color w:val="auto"/>
          <w:kern w:val="0"/>
          <w:szCs w:val="21"/>
        </w:rPr>
        <w:t>1、</w:t>
      </w:r>
      <w:r>
        <w:rPr>
          <w:rFonts w:hint="eastAsia" w:ascii="宋体" w:hAnsi="宋体" w:cs="宋体"/>
          <w:color w:val="auto"/>
          <w:szCs w:val="21"/>
        </w:rPr>
        <w:t>中标人应自行解决满足本项目需求的管理用房或养护基地，并</w:t>
      </w:r>
      <w:r>
        <w:rPr>
          <w:rFonts w:hint="eastAsia" w:ascii="宋体" w:hAnsi="宋体" w:cs="宋体"/>
          <w:b/>
          <w:i/>
          <w:iCs/>
          <w:color w:val="auto"/>
          <w:szCs w:val="21"/>
        </w:rPr>
        <w:t>承诺</w:t>
      </w:r>
      <w:r>
        <w:rPr>
          <w:rFonts w:hint="eastAsia" w:ascii="宋体" w:hAnsi="宋体" w:cs="宋体"/>
          <w:color w:val="auto"/>
          <w:szCs w:val="21"/>
        </w:rPr>
        <w:t>提供不小于500平方米的道班房（养护基地），且道班房在项目实施地5公里范围内。</w:t>
      </w:r>
    </w:p>
    <w:bookmarkEnd w:id="9"/>
    <w:p>
      <w:pPr>
        <w:topLinePunct/>
        <w:adjustRightInd w:val="0"/>
        <w:snapToGrid w:val="0"/>
        <w:spacing w:line="360" w:lineRule="auto"/>
        <w:ind w:firstLine="420" w:firstLineChars="200"/>
        <w:rPr>
          <w:rFonts w:hint="eastAsia" w:ascii="宋体" w:hAnsi="宋体" w:cs="宋体"/>
          <w:color w:val="auto"/>
          <w:szCs w:val="21"/>
        </w:rPr>
      </w:pPr>
      <w:bookmarkStart w:id="10" w:name="_Hlk90817098"/>
      <w:bookmarkStart w:id="11" w:name="_Hlk90538879"/>
      <w:r>
        <w:rPr>
          <w:rFonts w:hint="eastAsia" w:ascii="宋体" w:hAnsi="宋体" w:cs="宋体"/>
          <w:snapToGrid w:val="0"/>
          <w:color w:val="auto"/>
          <w:kern w:val="0"/>
          <w:szCs w:val="21"/>
        </w:rPr>
        <w:t>2、</w:t>
      </w:r>
      <w:r>
        <w:rPr>
          <w:rFonts w:hint="eastAsia" w:ascii="宋体" w:hAnsi="宋体" w:cs="宋体"/>
          <w:color w:val="auto"/>
          <w:szCs w:val="21"/>
        </w:rPr>
        <w:t>管理用房、道班房等养护基地应保持环境整洁和设施设备的使用安全。做到各项规章制度上墙，加强日常管理，张贴各类警示标识、标志。配备相应的消防器材，做到安全用气、用电，节约用水。严禁消防通道堆物、电线私拉乱接等行为。室外保持良好整洁的环境，做到场地平整，无污水、垃圾等。车辆及机械设备应整齐有序停放在固定区域，采取防尘措施；材料堆放应有专用仓库或场地，环境应满足材料存放要求。</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3、若因养护运维工作需要或采购人认为有必要需另行增加管理用房、道班房等养护基地的，中标人必须予以增加，并作出明确</w:t>
      </w:r>
      <w:r>
        <w:rPr>
          <w:rFonts w:hint="eastAsia" w:ascii="宋体" w:hAnsi="宋体" w:cs="宋体"/>
          <w:b/>
          <w:bCs/>
          <w:i/>
          <w:iCs/>
          <w:snapToGrid w:val="0"/>
          <w:color w:val="auto"/>
          <w:kern w:val="0"/>
          <w:szCs w:val="21"/>
        </w:rPr>
        <w:t>承诺</w:t>
      </w:r>
      <w:r>
        <w:rPr>
          <w:rFonts w:hint="eastAsia" w:ascii="宋体" w:hAnsi="宋体" w:cs="宋体"/>
          <w:snapToGrid w:val="0"/>
          <w:color w:val="auto"/>
          <w:kern w:val="0"/>
          <w:szCs w:val="21"/>
        </w:rPr>
        <w:t>。中标人应规范合理使用管理用房、道班房等养护基地，并进行经常性养护维修，确保房屋建筑结构安全和外观整洁、干净、完好。</w:t>
      </w:r>
    </w:p>
    <w:bookmarkEnd w:id="10"/>
    <w:p>
      <w:pPr>
        <w:topLinePunct/>
        <w:adjustRightInd w:val="0"/>
        <w:snapToGrid w:val="0"/>
        <w:spacing w:line="360" w:lineRule="auto"/>
        <w:ind w:firstLine="420" w:firstLineChars="200"/>
        <w:rPr>
          <w:rFonts w:hint="eastAsia" w:ascii="宋体" w:hAnsi="宋体" w:cs="宋体"/>
          <w:snapToGrid w:val="0"/>
          <w:color w:val="auto"/>
          <w:kern w:val="0"/>
          <w:szCs w:val="21"/>
        </w:rPr>
      </w:pPr>
    </w:p>
    <w:p>
      <w:pPr>
        <w:topLinePunct/>
        <w:adjustRightInd w:val="0"/>
        <w:snapToGrid w:val="0"/>
        <w:spacing w:line="360" w:lineRule="auto"/>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四、养护运维工作基本要求</w:t>
      </w:r>
    </w:p>
    <w:p>
      <w:pPr>
        <w:tabs>
          <w:tab w:val="left" w:pos="7200"/>
        </w:tabs>
        <w:topLinePunct/>
        <w:adjustRightInd w:val="0"/>
        <w:snapToGrid w:val="0"/>
        <w:spacing w:line="360" w:lineRule="auto"/>
        <w:ind w:firstLine="422" w:firstLineChars="200"/>
        <w:outlineLvl w:val="1"/>
        <w:rPr>
          <w:rFonts w:hint="eastAsia" w:ascii="宋体" w:hAnsi="宋体" w:cs="宋体"/>
          <w:b/>
          <w:snapToGrid w:val="0"/>
          <w:color w:val="auto"/>
          <w:kern w:val="0"/>
          <w:szCs w:val="21"/>
        </w:rPr>
      </w:pPr>
      <w:r>
        <w:rPr>
          <w:rFonts w:hint="eastAsia" w:ascii="宋体" w:hAnsi="宋体" w:cs="宋体"/>
          <w:b/>
          <w:snapToGrid w:val="0"/>
          <w:color w:val="auto"/>
          <w:kern w:val="0"/>
          <w:szCs w:val="21"/>
        </w:rPr>
        <w:t>（一）总体要求</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1、中标人应根据相关技术规范、标准和本招标文件要求对设施及其附属设施进行经常性、及时性、周期性和预防性的维修保养，确保本设施的结构和运行安全、整洁干净和所有设施设备完好无损。</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2、中标人应严格规范养护维修及运行管理作业行为，制定养护运维工作大纲、操作手册，及时编制和严格落实年度养护运维工作计划。</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3、对于新接管设施，中标人应及时进行现场设施量排摸、清点，并制定详细的设施设备量清单表；同时，配合采购人开展有关移交接管手续办理。对于临时移交出去的设施，中标人应配合采购人做好移交工作，并开展经常性养护巡查，确保设施完好无损。</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4、中标人应严格按本招标文件的要求，配置养护管理、技术、一线作业人员和车辆机械设备，并加强人员培训和做好养护车辆机械设备的保养维修工作；同时，中标人应储备好应急队伍和车辆设备。</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5、中标人应严格按有关规定做好养护台账、设施信息更新、年度运行状况分析、养护工作资料的收集、整理、汇编、上报等工作，并提升智慧化管理工作水平。</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6、维护单位维修灯光设施，需更换灯具等设备时，应采用同品牌、规格、型号的设备。如原灯具设备已停产，则更换综合性能不低于原产品灯具设备，如被景观所或监理方发现低于同等级产品或使用三无产品的，应按要求立即整改，并按考核办法进行扣分。</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7、维护单位需建立灯光检查及维修台账(如：整改前后的照片、视频、材料台账、自查等情况台账)，景观所每季度对维护单位的台账进行检查。</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8、全生命周期管理要求</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中标人应贯彻落实全生命周期管养理念，主动推进道路设施智慧管养和一体化管理平台的建立完善，重视数字化技术、设备运用和数据资产的积累与应用，做好基于数据的科学决策，完善预防性养护标准要求和配套评价体系、决策依据等。同时，中标人还应积极落实采购人制定的中长期养护规划方案，统筹考虑日常运维和维修整治工程有机结合，构建与全生命周期管养相配套的资金配置，实现养护资金投入效益最优化。</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运行保障方面，中标人应注重大数据分析，合理优化应急保障力量，进而提升道路有效通行时长；养护维修方面，中标人应以提高设施服役性能为目标，动态调整资源配置，进行主动式养护和预防性养护，并将过程中的经验做法与发现的共性问题总结反馈给采购人，形成综合效益最优的闭环管理。</w:t>
      </w:r>
    </w:p>
    <w:p>
      <w:pPr>
        <w:tabs>
          <w:tab w:val="left" w:pos="7200"/>
        </w:tabs>
        <w:topLinePunct/>
        <w:adjustRightInd w:val="0"/>
        <w:snapToGrid w:val="0"/>
        <w:spacing w:line="360" w:lineRule="auto"/>
        <w:ind w:firstLine="422" w:firstLineChars="200"/>
        <w:outlineLvl w:val="1"/>
        <w:rPr>
          <w:rFonts w:hint="eastAsia" w:ascii="宋体" w:hAnsi="宋体" w:cs="宋体"/>
          <w:b/>
          <w:snapToGrid w:val="0"/>
          <w:color w:val="auto"/>
          <w:kern w:val="0"/>
          <w:szCs w:val="21"/>
        </w:rPr>
      </w:pPr>
      <w:r>
        <w:rPr>
          <w:rFonts w:hint="eastAsia" w:ascii="宋体" w:hAnsi="宋体" w:cs="宋体"/>
          <w:b/>
          <w:snapToGrid w:val="0"/>
          <w:color w:val="auto"/>
          <w:kern w:val="0"/>
          <w:szCs w:val="21"/>
        </w:rPr>
        <w:t>（二）养护运维主要工作内容</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包括（但不限于）下列内容：</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1、主桥桥拱外侧立面大功率LED投光灯分部；</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2、主桥桥身外侧立面大功率LED投光灯分部；</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3、主桥拱风撑大功率LED洗墙灯分部；主桥拉索投光灯分部；</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4、主桥桥腹部投光灯分部；</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5、主桥三角区桥墩投光灯分部；</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6、主桥桥头堡灯光分部；</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7、引桥洗墙灯；</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8、桥腹激光投影灯；</w:t>
      </w:r>
    </w:p>
    <w:p>
      <w:pPr>
        <w:pStyle w:val="20"/>
        <w:numPr>
          <w:ilvl w:val="255"/>
          <w:numId w:val="0"/>
        </w:numPr>
        <w:topLinePunct/>
        <w:adjustRightInd w:val="0"/>
        <w:snapToGrid w:val="0"/>
        <w:spacing w:line="360" w:lineRule="auto"/>
        <w:ind w:firstLine="420" w:firstLineChars="200"/>
        <w:rPr>
          <w:rFonts w:hint="eastAsia" w:hAnsi="宋体" w:cs="宋体"/>
          <w:color w:val="auto"/>
          <w:kern w:val="0"/>
          <w:szCs w:val="21"/>
        </w:rPr>
      </w:pPr>
      <w:r>
        <w:rPr>
          <w:rFonts w:hint="eastAsia" w:hAnsi="宋体" w:cs="宋体"/>
          <w:color w:val="auto"/>
          <w:kern w:val="0"/>
          <w:szCs w:val="21"/>
        </w:rPr>
        <w:t>9、景观灯光程控中心分部；</w:t>
      </w:r>
    </w:p>
    <w:p>
      <w:pPr>
        <w:topLinePunct/>
        <w:adjustRightInd w:val="0"/>
        <w:snapToGrid w:val="0"/>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0</w:t>
      </w:r>
      <w:r>
        <w:rPr>
          <w:rFonts w:hint="eastAsia" w:ascii="宋体" w:hAnsi="宋体" w:cs="宋体"/>
          <w:color w:val="auto"/>
          <w:kern w:val="0"/>
          <w:szCs w:val="21"/>
        </w:rPr>
        <w:t>、控制系统设备分部（集控开关、LED工控机、长距离信号接收器、工业级光纤转换器、千兆单模光纤转换器）；</w:t>
      </w:r>
    </w:p>
    <w:p>
      <w:pPr>
        <w:topLinePunct/>
        <w:adjustRightInd w:val="0"/>
        <w:snapToGrid w:val="0"/>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1</w:t>
      </w:r>
      <w:r>
        <w:rPr>
          <w:rFonts w:hint="eastAsia" w:ascii="宋体" w:hAnsi="宋体" w:cs="宋体"/>
          <w:color w:val="auto"/>
          <w:kern w:val="0"/>
          <w:szCs w:val="21"/>
        </w:rPr>
        <w:t>、配电控制设备强电配电箱分部；</w:t>
      </w:r>
    </w:p>
    <w:p>
      <w:pPr>
        <w:topLinePunct/>
        <w:adjustRightInd w:val="0"/>
        <w:snapToGrid w:val="0"/>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2</w:t>
      </w:r>
      <w:r>
        <w:rPr>
          <w:rFonts w:hint="eastAsia" w:ascii="宋体" w:hAnsi="宋体" w:cs="宋体"/>
          <w:color w:val="auto"/>
          <w:kern w:val="0"/>
          <w:szCs w:val="21"/>
        </w:rPr>
        <w:t>、分支箱、LED驱动电源分部；</w:t>
      </w:r>
    </w:p>
    <w:p>
      <w:pPr>
        <w:topLinePunct/>
        <w:adjustRightInd w:val="0"/>
        <w:snapToGrid w:val="0"/>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3</w:t>
      </w:r>
      <w:r>
        <w:rPr>
          <w:rFonts w:hint="eastAsia" w:ascii="宋体" w:hAnsi="宋体" w:cs="宋体"/>
          <w:color w:val="auto"/>
          <w:kern w:val="0"/>
          <w:szCs w:val="21"/>
        </w:rPr>
        <w:t>、强电线缆、桥架分部；</w:t>
      </w:r>
    </w:p>
    <w:p>
      <w:pPr>
        <w:topLinePunct/>
        <w:adjustRightInd w:val="0"/>
        <w:snapToGrid w:val="0"/>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4</w:t>
      </w:r>
      <w:r>
        <w:rPr>
          <w:rFonts w:hint="eastAsia" w:ascii="宋体" w:hAnsi="宋体" w:cs="宋体"/>
          <w:color w:val="auto"/>
          <w:kern w:val="0"/>
          <w:szCs w:val="21"/>
        </w:rPr>
        <w:t>、弱电控制线缆、桥架分部。</w:t>
      </w:r>
    </w:p>
    <w:p>
      <w:pPr>
        <w:tabs>
          <w:tab w:val="left" w:pos="7200"/>
        </w:tabs>
        <w:topLinePunct/>
        <w:adjustRightInd w:val="0"/>
        <w:snapToGrid w:val="0"/>
        <w:spacing w:line="360" w:lineRule="auto"/>
        <w:ind w:firstLine="422" w:firstLineChars="200"/>
        <w:outlineLvl w:val="1"/>
        <w:rPr>
          <w:rFonts w:hint="eastAsia" w:ascii="宋体" w:hAnsi="宋体" w:cs="宋体"/>
          <w:b/>
          <w:snapToGrid w:val="0"/>
          <w:color w:val="auto"/>
          <w:kern w:val="0"/>
          <w:szCs w:val="21"/>
        </w:rPr>
      </w:pPr>
      <w:r>
        <w:rPr>
          <w:rFonts w:hint="eastAsia" w:ascii="宋体" w:hAnsi="宋体" w:cs="宋体"/>
          <w:b/>
          <w:snapToGrid w:val="0"/>
          <w:color w:val="auto"/>
          <w:kern w:val="0"/>
          <w:szCs w:val="21"/>
        </w:rPr>
        <w:t>（三）</w:t>
      </w:r>
      <w:r>
        <w:rPr>
          <w:rFonts w:hint="eastAsia" w:ascii="宋体" w:hAnsi="宋体" w:cs="宋体"/>
          <w:b/>
          <w:bCs/>
          <w:color w:val="auto"/>
          <w:szCs w:val="21"/>
        </w:rPr>
        <w:t>频率质量要求</w:t>
      </w:r>
    </w:p>
    <w:p>
      <w:pPr>
        <w:topLinePunct/>
        <w:adjustRightInd w:val="0"/>
        <w:snapToGrid w:val="0"/>
        <w:spacing w:line="360" w:lineRule="auto"/>
        <w:ind w:firstLine="420" w:firstLineChars="200"/>
        <w:rPr>
          <w:rFonts w:hint="eastAsia" w:ascii="宋体" w:hAnsi="宋体" w:cs="宋体"/>
          <w:color w:val="auto"/>
          <w:szCs w:val="21"/>
        </w:rPr>
      </w:pPr>
      <w:r>
        <w:rPr>
          <w:rFonts w:hint="eastAsia" w:ascii="宋体" w:hAnsi="宋体" w:cs="宋体"/>
          <w:color w:val="auto"/>
          <w:szCs w:val="21"/>
        </w:rPr>
        <w:t>下列日常养护频率要求表为部分基本要求，仅供中标人参考，必要时，采购人有权要求中标人提高养护频次。设施养护质量必须符合有关规范标准。</w:t>
      </w:r>
    </w:p>
    <w:p>
      <w:pPr>
        <w:topLinePunct/>
        <w:adjustRightInd w:val="0"/>
        <w:snapToGrid w:val="0"/>
        <w:spacing w:line="360" w:lineRule="auto"/>
        <w:ind w:firstLine="420" w:firstLineChars="200"/>
        <w:rPr>
          <w:rFonts w:hint="eastAsia" w:ascii="宋体" w:hAnsi="宋体" w:cs="宋体"/>
          <w:color w:val="auto"/>
          <w:szCs w:val="21"/>
        </w:rPr>
      </w:pPr>
    </w:p>
    <w:p>
      <w:pPr>
        <w:tabs>
          <w:tab w:val="left" w:pos="7200"/>
        </w:tabs>
        <w:topLinePunct/>
        <w:adjustRightInd w:val="0"/>
        <w:snapToGrid w:val="0"/>
        <w:spacing w:line="360" w:lineRule="auto"/>
        <w:jc w:val="center"/>
        <w:rPr>
          <w:rFonts w:hint="eastAsia" w:ascii="宋体" w:hAnsi="宋体" w:cs="宋体"/>
          <w:b/>
          <w:color w:val="auto"/>
          <w:szCs w:val="21"/>
        </w:rPr>
      </w:pPr>
      <w:r>
        <w:rPr>
          <w:rFonts w:hint="eastAsia" w:ascii="宋体" w:hAnsi="宋体" w:cs="宋体"/>
          <w:b/>
          <w:color w:val="auto"/>
          <w:szCs w:val="21"/>
        </w:rPr>
        <w:t>日常养护频率要求表</w:t>
      </w:r>
    </w:p>
    <w:tbl>
      <w:tblPr>
        <w:tblStyle w:val="37"/>
        <w:tblW w:w="0" w:type="auto"/>
        <w:jc w:val="center"/>
        <w:tblLayout w:type="fixed"/>
        <w:tblCellMar>
          <w:top w:w="0" w:type="dxa"/>
          <w:left w:w="85" w:type="dxa"/>
          <w:bottom w:w="0" w:type="dxa"/>
          <w:right w:w="85" w:type="dxa"/>
        </w:tblCellMar>
      </w:tblPr>
      <w:tblGrid>
        <w:gridCol w:w="704"/>
        <w:gridCol w:w="2693"/>
        <w:gridCol w:w="1843"/>
      </w:tblGrid>
      <w:tr>
        <w:tblPrEx>
          <w:tblCellMar>
            <w:top w:w="0" w:type="dxa"/>
            <w:left w:w="85" w:type="dxa"/>
            <w:bottom w:w="0" w:type="dxa"/>
            <w:right w:w="85" w:type="dxa"/>
          </w:tblCellMar>
        </w:tblPrEx>
        <w:trPr>
          <w:trHeight w:val="454" w:hRule="atLeast"/>
          <w:tblHeader/>
          <w:jc w:val="center"/>
        </w:trPr>
        <w:tc>
          <w:tcPr>
            <w:tcW w:w="704"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b/>
                <w:color w:val="auto"/>
                <w:sz w:val="20"/>
                <w:szCs w:val="20"/>
              </w:rPr>
            </w:pPr>
            <w:r>
              <w:rPr>
                <w:rFonts w:hint="eastAsia" w:ascii="宋体" w:hAnsi="宋体" w:cs="宋体"/>
                <w:b/>
                <w:color w:val="auto"/>
                <w:sz w:val="20"/>
                <w:szCs w:val="20"/>
              </w:rPr>
              <w:t>序号</w:t>
            </w:r>
          </w:p>
        </w:tc>
        <w:tc>
          <w:tcPr>
            <w:tcW w:w="2693"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color w:val="auto"/>
                <w:sz w:val="20"/>
                <w:szCs w:val="20"/>
              </w:rPr>
            </w:pPr>
            <w:r>
              <w:rPr>
                <w:rFonts w:hint="eastAsia" w:ascii="宋体" w:hAnsi="宋体" w:cs="宋体"/>
                <w:b/>
                <w:color w:val="auto"/>
                <w:sz w:val="20"/>
                <w:szCs w:val="20"/>
              </w:rPr>
              <w:t>养护项目内容</w:t>
            </w:r>
          </w:p>
        </w:tc>
        <w:tc>
          <w:tcPr>
            <w:tcW w:w="1843"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color w:val="auto"/>
                <w:sz w:val="20"/>
                <w:szCs w:val="20"/>
              </w:rPr>
            </w:pPr>
            <w:r>
              <w:rPr>
                <w:rFonts w:hint="eastAsia" w:ascii="宋体" w:hAnsi="宋体" w:cs="宋体"/>
                <w:b/>
                <w:color w:val="auto"/>
                <w:sz w:val="20"/>
                <w:szCs w:val="20"/>
              </w:rPr>
              <w:t>频率</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1</w:t>
            </w:r>
          </w:p>
        </w:tc>
        <w:tc>
          <w:tcPr>
            <w:tcW w:w="269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巡视</w:t>
            </w:r>
          </w:p>
        </w:tc>
        <w:tc>
          <w:tcPr>
            <w:tcW w:w="184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150次/年</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2</w:t>
            </w:r>
          </w:p>
        </w:tc>
        <w:tc>
          <w:tcPr>
            <w:tcW w:w="269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灯光线路维护</w:t>
            </w:r>
          </w:p>
        </w:tc>
        <w:tc>
          <w:tcPr>
            <w:tcW w:w="184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12次/年</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3</w:t>
            </w:r>
          </w:p>
        </w:tc>
        <w:tc>
          <w:tcPr>
            <w:tcW w:w="269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控制柜维护</w:t>
            </w:r>
          </w:p>
        </w:tc>
        <w:tc>
          <w:tcPr>
            <w:tcW w:w="184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12次/年</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4</w:t>
            </w:r>
          </w:p>
        </w:tc>
        <w:tc>
          <w:tcPr>
            <w:tcW w:w="269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灯光桥架维护</w:t>
            </w:r>
          </w:p>
        </w:tc>
        <w:tc>
          <w:tcPr>
            <w:tcW w:w="184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4次/年</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5</w:t>
            </w:r>
          </w:p>
        </w:tc>
        <w:tc>
          <w:tcPr>
            <w:tcW w:w="269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附属设施维护（电缆）</w:t>
            </w:r>
          </w:p>
        </w:tc>
        <w:tc>
          <w:tcPr>
            <w:tcW w:w="1843"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cs="宋体"/>
                <w:color w:val="auto"/>
                <w:sz w:val="20"/>
                <w:szCs w:val="20"/>
              </w:rPr>
            </w:pPr>
            <w:r>
              <w:rPr>
                <w:rFonts w:hint="eastAsia" w:ascii="宋体" w:hAnsi="宋体" w:cs="宋体"/>
                <w:color w:val="auto"/>
                <w:sz w:val="20"/>
                <w:szCs w:val="20"/>
              </w:rPr>
              <w:t>12次/年</w:t>
            </w:r>
          </w:p>
        </w:tc>
      </w:tr>
    </w:tbl>
    <w:p>
      <w:pPr>
        <w:topLinePunct/>
        <w:adjustRightInd w:val="0"/>
        <w:snapToGrid w:val="0"/>
        <w:rPr>
          <w:rFonts w:hint="eastAsia" w:ascii="宋体" w:hAnsi="宋体" w:cs="宋体"/>
          <w:b/>
          <w:color w:val="auto"/>
          <w:szCs w:val="21"/>
        </w:rPr>
      </w:pPr>
    </w:p>
    <w:p>
      <w:pPr>
        <w:numPr>
          <w:ilvl w:val="255"/>
          <w:numId w:val="0"/>
        </w:numPr>
        <w:tabs>
          <w:tab w:val="left" w:pos="7200"/>
        </w:tabs>
        <w:topLinePunct/>
        <w:adjustRightInd w:val="0"/>
        <w:snapToGrid w:val="0"/>
        <w:spacing w:line="360" w:lineRule="auto"/>
        <w:ind w:firstLine="422" w:firstLineChars="200"/>
        <w:rPr>
          <w:rFonts w:hint="eastAsia" w:ascii="宋体" w:hAnsi="宋体" w:cs="宋体"/>
          <w:b/>
          <w:snapToGrid w:val="0"/>
          <w:color w:val="auto"/>
          <w:kern w:val="0"/>
          <w:szCs w:val="21"/>
        </w:rPr>
      </w:pPr>
      <w:r>
        <w:rPr>
          <w:rFonts w:hint="eastAsia" w:ascii="宋体" w:hAnsi="宋体" w:cs="宋体"/>
          <w:b/>
          <w:snapToGrid w:val="0"/>
          <w:color w:val="auto"/>
          <w:kern w:val="0"/>
          <w:szCs w:val="21"/>
        </w:rPr>
        <w:t>（四）汛期检查要求</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1、汛前检查</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（1）每年对所有点位内的灯具、支架、电气线路等进行逐一排摸检查，覆盖率100%，所有排查点位应有业主/物业管理单位签字作为记录，形成安全检查报告和台账。</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（2）对安全检查中发现的存在安全隐患的点位，视隐患严重程度情况，即知即改，形成台账报告。</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2、恶劣天气或汛后检查</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遇恶劣天气后第一时间，应对全区范围内所有景观照明设施的灯具、支架、锚固件、电气线路等进行全面检查，消除安全隐患，汛后统计检查维修情况、物料损失，形成台账。</w:t>
      </w:r>
    </w:p>
    <w:p>
      <w:pPr>
        <w:numPr>
          <w:ilvl w:val="255"/>
          <w:numId w:val="0"/>
        </w:numPr>
        <w:tabs>
          <w:tab w:val="left" w:pos="7200"/>
        </w:tabs>
        <w:topLinePunct/>
        <w:adjustRightInd w:val="0"/>
        <w:snapToGrid w:val="0"/>
        <w:spacing w:line="360" w:lineRule="auto"/>
        <w:ind w:firstLine="422" w:firstLineChars="200"/>
        <w:rPr>
          <w:rFonts w:hint="eastAsia" w:ascii="宋体" w:hAnsi="宋体" w:cs="宋体"/>
          <w:b/>
          <w:snapToGrid w:val="0"/>
          <w:color w:val="auto"/>
          <w:kern w:val="0"/>
          <w:szCs w:val="21"/>
        </w:rPr>
      </w:pPr>
      <w:r>
        <w:rPr>
          <w:rFonts w:hint="eastAsia" w:ascii="宋体" w:hAnsi="宋体" w:cs="宋体"/>
          <w:b/>
          <w:snapToGrid w:val="0"/>
          <w:color w:val="auto"/>
          <w:kern w:val="0"/>
          <w:szCs w:val="21"/>
        </w:rPr>
        <w:t>（五）节庆与重大活动期间保障要求</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1、人员保障</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元旦3天、春节15天、五一劳动节5天、十一国庆节进博会全周期40天以及其他业主要求的灯光保障期间，应确保本项目配备人员齐全、充足（人员配备日常巡查人员2人、执证电工1人、执证高空人员1人、安全员1人、项目经理1人），并进行全覆盖式巡查。一旦发生抢修情况，30分钟内赶到现场。</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2、备品备件保障</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景观灯光品种备货齐全充足，重点点位应单独备货，并确保备件长期充足。</w:t>
      </w:r>
    </w:p>
    <w:p>
      <w:pPr>
        <w:numPr>
          <w:ilvl w:val="255"/>
          <w:numId w:val="0"/>
        </w:numPr>
        <w:tabs>
          <w:tab w:val="left" w:pos="7200"/>
        </w:tabs>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3、凡遇重大节假日或重大保障活动，维护单位应至少提前2天对全区维护的景观灯光设施安排专人进行检查，并进行检修试灯。如因特殊原因未能在正式开灯前修复的，应提前1天与景观所沟通；在紧急情况下，维修单位应在60分钟内赶到现场，逾时未到的，发包人有权进行扣分处理。</w:t>
      </w:r>
    </w:p>
    <w:p>
      <w:pPr>
        <w:numPr>
          <w:ilvl w:val="255"/>
          <w:numId w:val="0"/>
        </w:numPr>
        <w:tabs>
          <w:tab w:val="left" w:pos="7200"/>
        </w:tabs>
        <w:topLinePunct/>
        <w:adjustRightInd w:val="0"/>
        <w:snapToGrid w:val="0"/>
        <w:spacing w:line="360" w:lineRule="auto"/>
        <w:ind w:firstLine="422" w:firstLineChars="200"/>
        <w:rPr>
          <w:rFonts w:hint="eastAsia" w:ascii="宋体" w:hAnsi="宋体" w:cs="宋体"/>
          <w:b/>
          <w:snapToGrid w:val="0"/>
          <w:color w:val="auto"/>
          <w:kern w:val="0"/>
          <w:szCs w:val="21"/>
        </w:rPr>
      </w:pPr>
      <w:r>
        <w:rPr>
          <w:rFonts w:hint="eastAsia" w:ascii="宋体" w:hAnsi="宋体" w:cs="宋体"/>
          <w:b/>
          <w:snapToGrid w:val="0"/>
          <w:color w:val="auto"/>
          <w:kern w:val="0"/>
          <w:szCs w:val="21"/>
        </w:rPr>
        <w:t>（六）信息化管理要求</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中标人必须应用CIMS城市基础设施管理系统（以下简称“养护在线监管平台”）等相关业务管理系统做好日常养护管理工作，加强信息化手段在设施管理中的应用，提升日常养护数字化、信息化管理水平，规范数据操作流程、管理行为等。</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1、设施资产数字化管理</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（1）应对景观灯光资产进行全面统计，积极配合主体设施数字化模型建立等相关工作。</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（2）应及时做好养护在线监管系统中资产基础数据的维护及更新工作。</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2、日常养护信息化管理</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（1）应配备人员及手持式设备，每日将巡查发现的问题上报至养护在线监管平台的小程序，及时将病害处置流程进行闭环。</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（2）应在所配置的巡视车上安装卫星定位系统，卫星定位轨迹数据应实时传入养护在线监管平台，按日常巡查要求按时打卡，严禁弄虚作假、伪造巡查事实等行为。</w:t>
      </w:r>
    </w:p>
    <w:p>
      <w:pPr>
        <w:topLinePunct/>
        <w:adjustRightInd w:val="0"/>
        <w:snapToGrid w:val="0"/>
        <w:spacing w:line="360" w:lineRule="auto"/>
        <w:ind w:firstLine="420" w:firstLineChars="200"/>
        <w:rPr>
          <w:rFonts w:hint="eastAsia" w:ascii="宋体" w:hAnsi="宋体" w:cs="宋体"/>
          <w:bCs/>
          <w:snapToGrid w:val="0"/>
          <w:color w:val="auto"/>
          <w:kern w:val="0"/>
          <w:szCs w:val="21"/>
        </w:rPr>
      </w:pPr>
      <w:r>
        <w:rPr>
          <w:rFonts w:hint="eastAsia" w:ascii="宋体" w:hAnsi="宋体" w:cs="宋体"/>
          <w:bCs/>
          <w:snapToGrid w:val="0"/>
          <w:color w:val="auto"/>
          <w:kern w:val="0"/>
          <w:szCs w:val="21"/>
        </w:rPr>
        <w:t>（3）应按时按要求将项目管理基本资料、养护过程管理资料、安全管理资料等各类设施养护运维内业资料上传至业务管理平台，确保信息真实、完整、准确。</w:t>
      </w:r>
    </w:p>
    <w:p>
      <w:pPr>
        <w:tabs>
          <w:tab w:val="left" w:pos="7200"/>
        </w:tabs>
        <w:topLinePunct/>
        <w:adjustRightInd w:val="0"/>
        <w:snapToGrid w:val="0"/>
        <w:spacing w:line="360" w:lineRule="auto"/>
        <w:ind w:firstLine="422" w:firstLineChars="200"/>
        <w:rPr>
          <w:rFonts w:hint="eastAsia" w:ascii="宋体" w:hAnsi="宋体" w:cs="宋体"/>
          <w:b/>
          <w:snapToGrid w:val="0"/>
          <w:color w:val="auto"/>
          <w:kern w:val="0"/>
          <w:szCs w:val="21"/>
        </w:rPr>
      </w:pPr>
      <w:r>
        <w:rPr>
          <w:rFonts w:hint="eastAsia" w:ascii="宋体" w:hAnsi="宋体" w:cs="宋体"/>
          <w:b/>
          <w:snapToGrid w:val="0"/>
          <w:color w:val="auto"/>
          <w:kern w:val="0"/>
          <w:szCs w:val="21"/>
        </w:rPr>
        <w:t>（七）资料、数据编制和管理要求</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1、中标人应做好设施设备量的排查、清点、记录和更新工作，并收集整理好所有设施设备的基础资料和数据，包括但不限于建设过程中的有关报审批复文件（如环评报告和批复、规划土地批复等）、设计图纸、验收文件、机电设备的型号、品牌、生产厂家、使用年限等。</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2、中标人应在合同签订后1个月内向采购人提交设施养护维修及运行管理工作大纲和手册，并报备各类人员、机械设备等资料；年度养护工作完成后，应在1个月内向采购人提交养护维修及运行管理年度总结报告和设施年度运行状况报告。上述资料格式、内容由采购人统一制定。</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3、中标人应根据采购人提供的基础资料，通过调查建立设施设备量清单及养护工作台账，有条件时应建立设施养护维修数据信息管理系统，并与采购人的管理系统做好对接，实时上报养护维修情况和数据；中标人应及时上报设施状况及设施量变化情况，并协助做好采购人的数据信息管理系统的建设完善工作。</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4、中标人应配备专职的内业资料员，收集、整理、编制以及上报各类养护运维作业资料，要求及时准确完整地反映中标人的全部养护运维作业实施过程及管理状况。</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5、中标人应严格落实采购人在招标文件中提出的有关设施设备量清单表更新完善、资产数字化等数据信息管理工作。</w:t>
      </w:r>
    </w:p>
    <w:p>
      <w:pPr>
        <w:topLinePunct/>
        <w:adjustRightInd w:val="0"/>
        <w:snapToGrid w:val="0"/>
        <w:spacing w:line="360" w:lineRule="auto"/>
        <w:ind w:firstLine="420" w:firstLineChars="200"/>
        <w:rPr>
          <w:rFonts w:hint="eastAsia" w:ascii="宋体" w:hAnsi="宋体" w:cs="宋体"/>
          <w:snapToGrid w:val="0"/>
          <w:color w:val="auto"/>
          <w:kern w:val="0"/>
          <w:szCs w:val="21"/>
        </w:rPr>
      </w:pPr>
    </w:p>
    <w:p>
      <w:pPr>
        <w:topLinePunct/>
        <w:adjustRightInd w:val="0"/>
        <w:snapToGrid w:val="0"/>
        <w:spacing w:line="360" w:lineRule="auto"/>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六、考核与奖惩要求</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1、采购人按照《上海市道路运输事业发展中心市管城市道路日常养护运维工作考核管理办法（试行）》（见附件一）对中标人进行考核，市管城市道路日常养护运维考核包括月（季）度考核和年度考核两部分组成，主要考核设施规范化管理成效和养护运维目标计划完成情况。</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2、采购人有权对月度考核不通过的中标人进行一定范围内的通报，年度有连续两个月月度考核不合格、或累计三个月月度考核不合格、或季度考核不合格，记为年度考核不合格。</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3、月度考核中对设施设备养护未完成、养护质量不符合要求、设施和运行管理不到位、资料提交不及时或不完整、媒体舆情曝光批评等情况在日常运维经费中进行单项扣款。</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4、考核办法仅供参考，以采购人最终发布的通知或文件为准。</w:t>
      </w:r>
    </w:p>
    <w:p>
      <w:pPr>
        <w:topLinePunct/>
        <w:adjustRightInd w:val="0"/>
        <w:snapToGrid w:val="0"/>
        <w:spacing w:line="360" w:lineRule="auto"/>
        <w:ind w:firstLine="420" w:firstLineChars="200"/>
        <w:rPr>
          <w:rFonts w:hint="eastAsia" w:ascii="宋体" w:hAnsi="宋体" w:cs="宋体"/>
          <w:snapToGrid w:val="0"/>
          <w:color w:val="auto"/>
          <w:kern w:val="0"/>
          <w:szCs w:val="21"/>
        </w:rPr>
      </w:pPr>
      <w:r>
        <w:rPr>
          <w:rFonts w:hint="eastAsia" w:ascii="宋体" w:hAnsi="宋体" w:cs="宋体"/>
          <w:snapToGrid w:val="0"/>
          <w:color w:val="auto"/>
          <w:kern w:val="0"/>
          <w:szCs w:val="21"/>
        </w:rPr>
        <w:t>5、考核办法的解释权归采购人，采购人有权根据实际情况进行调整。</w:t>
      </w:r>
    </w:p>
    <w:p>
      <w:pPr>
        <w:topLinePunct/>
        <w:adjustRightInd w:val="0"/>
        <w:snapToGrid w:val="0"/>
        <w:spacing w:line="360" w:lineRule="auto"/>
        <w:rPr>
          <w:rFonts w:hint="eastAsia" w:ascii="宋体" w:hAnsi="宋体"/>
          <w:snapToGrid w:val="0"/>
          <w:color w:val="auto"/>
          <w:kern w:val="0"/>
          <w:szCs w:val="21"/>
        </w:rPr>
      </w:pPr>
      <w:r>
        <w:rPr>
          <w:rFonts w:ascii="宋体" w:hAnsi="宋体"/>
          <w:snapToGrid w:val="0"/>
          <w:color w:val="auto"/>
          <w:kern w:val="0"/>
          <w:szCs w:val="21"/>
        </w:rPr>
        <w:br w:type="page"/>
      </w:r>
    </w:p>
    <w:p>
      <w:pPr>
        <w:topLinePunct/>
        <w:adjustRightInd w:val="0"/>
        <w:snapToGrid w:val="0"/>
        <w:spacing w:line="360" w:lineRule="auto"/>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附件一：考核办法</w:t>
      </w:r>
    </w:p>
    <w:bookmarkEnd w:id="11"/>
    <w:p>
      <w:pPr>
        <w:spacing w:line="360" w:lineRule="auto"/>
        <w:rPr>
          <w:color w:val="auto"/>
        </w:rPr>
      </w:pPr>
    </w:p>
    <w:p>
      <w:pPr>
        <w:spacing w:line="360" w:lineRule="auto"/>
        <w:rPr>
          <w:color w:val="auto"/>
        </w:rPr>
      </w:pPr>
    </w:p>
    <w:p>
      <w:pPr>
        <w:spacing w:line="600" w:lineRule="exact"/>
        <w:jc w:val="center"/>
        <w:rPr>
          <w:rFonts w:ascii="Times New Roman" w:hAnsi="Times New Roman" w:eastAsia="华文中宋"/>
          <w:b/>
          <w:color w:val="auto"/>
          <w:sz w:val="36"/>
          <w:szCs w:val="36"/>
        </w:rPr>
      </w:pPr>
      <w:r>
        <w:rPr>
          <w:rFonts w:hint="eastAsia" w:ascii="Times New Roman" w:hAnsi="Times New Roman" w:eastAsia="华文中宋"/>
          <w:b/>
          <w:color w:val="auto"/>
          <w:sz w:val="36"/>
          <w:szCs w:val="36"/>
        </w:rPr>
        <w:t>上海市道路运输事业发展中心</w:t>
      </w:r>
      <w:bookmarkStart w:id="12" w:name="_Hlk89870992"/>
      <w:r>
        <w:rPr>
          <w:rFonts w:hint="eastAsia" w:ascii="Times New Roman" w:hAnsi="Times New Roman" w:eastAsia="华文中宋"/>
          <w:b/>
          <w:color w:val="auto"/>
          <w:sz w:val="36"/>
          <w:szCs w:val="36"/>
        </w:rPr>
        <w:t>市管城市道路</w:t>
      </w:r>
      <w:bookmarkEnd w:id="12"/>
    </w:p>
    <w:p>
      <w:pPr>
        <w:spacing w:line="600" w:lineRule="exact"/>
        <w:jc w:val="center"/>
        <w:rPr>
          <w:rFonts w:ascii="Times New Roman" w:hAnsi="Times New Roman" w:eastAsia="华文中宋"/>
          <w:b/>
          <w:color w:val="auto"/>
          <w:sz w:val="36"/>
          <w:szCs w:val="36"/>
        </w:rPr>
      </w:pPr>
      <w:r>
        <w:rPr>
          <w:rFonts w:hint="eastAsia" w:ascii="Times New Roman" w:hAnsi="Times New Roman" w:eastAsia="华文中宋"/>
          <w:b/>
          <w:color w:val="auto"/>
          <w:sz w:val="36"/>
          <w:szCs w:val="36"/>
        </w:rPr>
        <w:t>日常养护运维工作考核管理办法（试行）</w:t>
      </w:r>
    </w:p>
    <w:p>
      <w:pPr>
        <w:rPr>
          <w:rFonts w:ascii="Times New Roman" w:hAnsi="Times New Roman"/>
          <w:color w:val="auto"/>
          <w:szCs w:val="21"/>
        </w:rPr>
      </w:pPr>
    </w:p>
    <w:p>
      <w:pPr>
        <w:spacing w:line="560" w:lineRule="exact"/>
        <w:ind w:firstLine="560" w:firstLineChars="200"/>
        <w:rPr>
          <w:rFonts w:ascii="宋体" w:hAnsi="Times New Roman" w:eastAsia="仿宋_GB2312" w:cs="宋体"/>
          <w:color w:val="auto"/>
          <w:sz w:val="28"/>
          <w:szCs w:val="28"/>
        </w:rPr>
      </w:pPr>
      <w:r>
        <w:rPr>
          <w:rFonts w:ascii="Times New Roman" w:hAnsi="Times New Roman" w:eastAsia="仿宋_GB2312"/>
          <w:color w:val="auto"/>
          <w:sz w:val="28"/>
          <w:szCs w:val="28"/>
        </w:rPr>
        <w:t>为</w:t>
      </w:r>
      <w:r>
        <w:rPr>
          <w:rFonts w:hint="eastAsia" w:ascii="Times New Roman" w:hAnsi="Times New Roman" w:eastAsia="仿宋_GB2312"/>
          <w:color w:val="auto"/>
          <w:sz w:val="28"/>
          <w:szCs w:val="28"/>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pPr>
        <w:numPr>
          <w:ilvl w:val="0"/>
          <w:numId w:val="4"/>
        </w:numPr>
        <w:spacing w:before="120" w:beforeLines="50" w:line="560" w:lineRule="exact"/>
        <w:ind w:left="843" w:hanging="843" w:hangingChars="300"/>
        <w:jc w:val="center"/>
        <w:rPr>
          <w:rFonts w:hint="eastAsia" w:ascii="黑体" w:hAnsi="黑体" w:eastAsia="黑体"/>
          <w:b/>
          <w:color w:val="auto"/>
          <w:sz w:val="28"/>
          <w:szCs w:val="28"/>
        </w:rPr>
      </w:pPr>
      <w:r>
        <w:rPr>
          <w:rFonts w:hint="eastAsia" w:ascii="黑体" w:hAnsi="黑体" w:eastAsia="黑体"/>
          <w:b/>
          <w:color w:val="auto"/>
          <w:sz w:val="28"/>
          <w:szCs w:val="28"/>
        </w:rPr>
        <w:t>总则</w:t>
      </w:r>
    </w:p>
    <w:p>
      <w:pPr>
        <w:numPr>
          <w:ilvl w:val="0"/>
          <w:numId w:val="5"/>
        </w:numPr>
        <w:spacing w:line="600" w:lineRule="exact"/>
        <w:rPr>
          <w:rFonts w:ascii="Times New Roman" w:hAnsi="Times New Roman" w:eastAsia="楷体_GB2312"/>
          <w:b/>
          <w:color w:val="auto"/>
          <w:sz w:val="28"/>
          <w:szCs w:val="28"/>
        </w:rPr>
      </w:pPr>
      <w:bookmarkStart w:id="13" w:name="_Hlk161301422"/>
      <w:r>
        <w:rPr>
          <w:rFonts w:hint="eastAsia" w:ascii="Times New Roman" w:hAnsi="Times New Roman" w:eastAsia="楷体_GB2312"/>
          <w:b/>
          <w:color w:val="auto"/>
          <w:sz w:val="28"/>
          <w:szCs w:val="28"/>
        </w:rPr>
        <w:t>适用范围</w:t>
      </w:r>
    </w:p>
    <w:p>
      <w:pPr>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上海市道路运输事业发展中心（以下简称“市道运中心”）直接管理的市管城市道路及其附属设施。</w:t>
      </w:r>
    </w:p>
    <w:p>
      <w:pPr>
        <w:numPr>
          <w:ilvl w:val="0"/>
          <w:numId w:val="5"/>
        </w:numPr>
        <w:spacing w:line="600" w:lineRule="exact"/>
        <w:rPr>
          <w:rFonts w:ascii="Times New Roman" w:hAnsi="Times New Roman" w:eastAsia="楷体_GB2312"/>
          <w:b/>
          <w:color w:val="auto"/>
          <w:sz w:val="28"/>
          <w:szCs w:val="28"/>
        </w:rPr>
      </w:pPr>
      <w:r>
        <w:rPr>
          <w:rFonts w:ascii="Times New Roman" w:hAnsi="Times New Roman" w:eastAsia="楷体_GB2312"/>
          <w:b/>
          <w:color w:val="auto"/>
          <w:sz w:val="28"/>
          <w:szCs w:val="28"/>
        </w:rPr>
        <w:t>考核对象</w:t>
      </w:r>
    </w:p>
    <w:p>
      <w:pPr>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承担市管城市快速路、桥隧、地道及其附属设施日常养护运维工作的各中标单位（以下简称“养护单位”）。</w:t>
      </w:r>
    </w:p>
    <w:p>
      <w:pPr>
        <w:numPr>
          <w:ilvl w:val="0"/>
          <w:numId w:val="5"/>
        </w:numPr>
        <w:spacing w:line="600" w:lineRule="exact"/>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考核原则</w:t>
      </w:r>
    </w:p>
    <w:p>
      <w:pPr>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科学合理、客观公正、公平公开、优胜劣汰。</w:t>
      </w:r>
    </w:p>
    <w:bookmarkEnd w:id="13"/>
    <w:p>
      <w:pPr>
        <w:numPr>
          <w:ilvl w:val="0"/>
          <w:numId w:val="4"/>
        </w:numPr>
        <w:spacing w:before="120" w:beforeLines="50" w:line="560" w:lineRule="exact"/>
        <w:ind w:left="0" w:firstLine="0"/>
        <w:jc w:val="center"/>
        <w:rPr>
          <w:rFonts w:hint="eastAsia" w:ascii="黑体" w:hAnsi="黑体" w:eastAsia="黑体"/>
          <w:b/>
          <w:color w:val="auto"/>
          <w:sz w:val="28"/>
          <w:szCs w:val="28"/>
        </w:rPr>
      </w:pPr>
      <w:r>
        <w:rPr>
          <w:rFonts w:hint="eastAsia" w:ascii="黑体" w:hAnsi="黑体" w:eastAsia="黑体"/>
          <w:b/>
          <w:color w:val="auto"/>
          <w:sz w:val="28"/>
          <w:szCs w:val="28"/>
        </w:rPr>
        <w:t>考核内容</w:t>
      </w:r>
    </w:p>
    <w:p>
      <w:pPr>
        <w:numPr>
          <w:ilvl w:val="0"/>
          <w:numId w:val="5"/>
        </w:numPr>
        <w:spacing w:line="600" w:lineRule="exact"/>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考核方式</w:t>
      </w:r>
    </w:p>
    <w:p>
      <w:pPr>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市管城市快速路、桥隧、地道及其附属设施日常养护运维</w:t>
      </w:r>
      <w:r>
        <w:rPr>
          <w:rFonts w:ascii="Times New Roman" w:hAnsi="Times New Roman" w:eastAsia="仿宋_GB2312"/>
          <w:color w:val="auto"/>
          <w:sz w:val="28"/>
          <w:szCs w:val="28"/>
        </w:rPr>
        <w:t>考核</w:t>
      </w:r>
      <w:r>
        <w:rPr>
          <w:rFonts w:hint="eastAsia" w:ascii="Times New Roman" w:hAnsi="Times New Roman" w:eastAsia="仿宋_GB2312"/>
          <w:color w:val="auto"/>
          <w:sz w:val="28"/>
          <w:szCs w:val="28"/>
        </w:rPr>
        <w:t>包括月度、季度和年度考核，主要考核养护单位是否根据合同约定和有关要求完成所有养护运维工作内容及完成质量、设施结构及运行安全状况、职责履行情况等，采用综合评价打分制形式。</w:t>
      </w:r>
    </w:p>
    <w:p>
      <w:pPr>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所有考核评分保留两位小数并向下取整。</w:t>
      </w:r>
    </w:p>
    <w:p>
      <w:pPr>
        <w:numPr>
          <w:ilvl w:val="0"/>
          <w:numId w:val="5"/>
        </w:numPr>
        <w:spacing w:line="600" w:lineRule="exact"/>
        <w:rPr>
          <w:rFonts w:ascii="Times New Roman" w:hAnsi="Times New Roman" w:eastAsia="楷体_GB2312"/>
          <w:b/>
          <w:color w:val="auto"/>
          <w:sz w:val="28"/>
          <w:szCs w:val="28"/>
        </w:rPr>
      </w:pPr>
      <w:r>
        <w:rPr>
          <w:rFonts w:ascii="Times New Roman" w:hAnsi="Times New Roman" w:eastAsia="楷体_GB2312"/>
          <w:b/>
          <w:color w:val="auto"/>
          <w:sz w:val="28"/>
          <w:szCs w:val="28"/>
        </w:rPr>
        <w:t>月度考核</w:t>
      </w:r>
    </w:p>
    <w:p>
      <w:pPr>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每月开展一次，适用于主体设施养护运维的项目。月度考核由定量、定性和专项考核三个部分组成。其中，定量考核是指对各项养护运维工作完成率进行考核，定性考核是指对养护运维工作开展过程及完成质量进行考核，专项考核是针对本项目设施特点单独列举的考核内容（具体详见附件）。通过各部分累加后得到月度考核评分，满分为1</w:t>
      </w:r>
      <w:r>
        <w:rPr>
          <w:rFonts w:ascii="Times New Roman" w:hAnsi="Times New Roman" w:eastAsia="仿宋_GB2312"/>
          <w:color w:val="auto"/>
          <w:sz w:val="28"/>
          <w:szCs w:val="28"/>
        </w:rPr>
        <w:t>00</w:t>
      </w:r>
      <w:r>
        <w:rPr>
          <w:rFonts w:hint="eastAsia" w:ascii="Times New Roman" w:hAnsi="Times New Roman" w:eastAsia="仿宋_GB2312"/>
          <w:color w:val="auto"/>
          <w:sz w:val="28"/>
          <w:szCs w:val="28"/>
        </w:rPr>
        <w:t>分，计算方式如下：</w:t>
      </w:r>
    </w:p>
    <w:p>
      <w:pPr>
        <w:adjustRightInd w:val="0"/>
        <w:snapToGrid w:val="0"/>
        <w:spacing w:line="560" w:lineRule="exact"/>
        <w:ind w:firstLine="562" w:firstLineChars="200"/>
        <w:rPr>
          <w:rFonts w:ascii="Times New Roman" w:hAnsi="Times New Roman" w:eastAsia="仿宋_GB2312"/>
          <w:color w:val="auto"/>
          <w:sz w:val="28"/>
          <w:szCs w:val="28"/>
        </w:rPr>
      </w:pPr>
      <w:r>
        <w:rPr>
          <w:rFonts w:hint="eastAsia" w:ascii="Times New Roman" w:hAnsi="Times New Roman" w:eastAsia="仿宋_GB2312"/>
          <w:b/>
          <w:bCs/>
          <w:color w:val="auto"/>
          <w:sz w:val="28"/>
          <w:szCs w:val="28"/>
        </w:rPr>
        <w:t>主体设施月度考核评分</w:t>
      </w:r>
      <w:r>
        <w:rPr>
          <w:rFonts w:hint="eastAsia" w:ascii="Times New Roman" w:hAnsi="Times New Roman" w:eastAsia="仿宋_GB2312"/>
          <w:color w:val="auto"/>
          <w:sz w:val="28"/>
          <w:szCs w:val="28"/>
        </w:rPr>
        <w:t>=定量考核（6</w:t>
      </w:r>
      <w:r>
        <w:rPr>
          <w:rFonts w:ascii="Times New Roman" w:hAnsi="Times New Roman" w:eastAsia="仿宋_GB2312"/>
          <w:color w:val="auto"/>
          <w:sz w:val="28"/>
          <w:szCs w:val="28"/>
        </w:rPr>
        <w:t>0</w:t>
      </w:r>
      <w:r>
        <w:rPr>
          <w:rFonts w:hint="eastAsia" w:ascii="Times New Roman" w:hAnsi="Times New Roman" w:eastAsia="仿宋_GB2312"/>
          <w:color w:val="auto"/>
          <w:sz w:val="28"/>
          <w:szCs w:val="28"/>
        </w:rPr>
        <w:t>分）+定性考核（4</w:t>
      </w:r>
      <w:r>
        <w:rPr>
          <w:rFonts w:ascii="Times New Roman" w:hAnsi="Times New Roman" w:eastAsia="仿宋_GB2312"/>
          <w:color w:val="auto"/>
          <w:sz w:val="28"/>
          <w:szCs w:val="28"/>
        </w:rPr>
        <w:t>0</w:t>
      </w:r>
      <w:r>
        <w:rPr>
          <w:rFonts w:hint="eastAsia" w:ascii="Times New Roman" w:hAnsi="Times New Roman" w:eastAsia="仿宋_GB2312"/>
          <w:color w:val="auto"/>
          <w:sz w:val="28"/>
          <w:szCs w:val="28"/>
        </w:rPr>
        <w:t>分）+专项考核</w:t>
      </w:r>
    </w:p>
    <w:p>
      <w:pPr>
        <w:numPr>
          <w:ilvl w:val="0"/>
          <w:numId w:val="5"/>
        </w:numPr>
        <w:spacing w:line="600" w:lineRule="exact"/>
        <w:rPr>
          <w:rFonts w:ascii="Times New Roman" w:hAnsi="Times New Roman" w:eastAsia="楷体_GB2312"/>
          <w:b/>
          <w:color w:val="auto"/>
          <w:sz w:val="28"/>
          <w:szCs w:val="28"/>
        </w:rPr>
      </w:pPr>
      <w:r>
        <w:rPr>
          <w:rFonts w:ascii="Times New Roman" w:hAnsi="Times New Roman" w:eastAsia="楷体_GB2312"/>
          <w:b/>
          <w:color w:val="auto"/>
          <w:sz w:val="28"/>
          <w:szCs w:val="28"/>
        </w:rPr>
        <w:t>季度考核</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每季开展一次，一般为3、6、9、1</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1</w:t>
      </w:r>
      <w:r>
        <w:rPr>
          <w:rFonts w:ascii="Times New Roman" w:hAnsi="Times New Roman" w:eastAsia="仿宋_GB2312"/>
          <w:color w:val="auto"/>
          <w:sz w:val="28"/>
          <w:szCs w:val="28"/>
        </w:rPr>
        <w:t>00</w:t>
      </w:r>
      <w:r>
        <w:rPr>
          <w:rFonts w:hint="eastAsia" w:ascii="Times New Roman" w:hAnsi="Times New Roman" w:eastAsia="仿宋_GB2312"/>
          <w:color w:val="auto"/>
          <w:sz w:val="28"/>
          <w:szCs w:val="28"/>
        </w:rPr>
        <w:t>分，计算方式如下：</w:t>
      </w:r>
    </w:p>
    <w:p>
      <w:pPr>
        <w:adjustRightInd w:val="0"/>
        <w:snapToGrid w:val="0"/>
        <w:spacing w:line="560" w:lineRule="exact"/>
        <w:ind w:firstLine="562" w:firstLineChars="200"/>
        <w:rPr>
          <w:rFonts w:ascii="Times New Roman" w:hAnsi="Times New Roman" w:eastAsia="仿宋_GB2312"/>
          <w:color w:val="auto"/>
          <w:sz w:val="28"/>
          <w:szCs w:val="28"/>
        </w:rPr>
      </w:pPr>
      <w:r>
        <w:rPr>
          <w:rFonts w:hint="eastAsia" w:ascii="Times New Roman" w:hAnsi="Times New Roman" w:eastAsia="仿宋_GB2312"/>
          <w:b/>
          <w:bCs/>
          <w:color w:val="auto"/>
          <w:sz w:val="28"/>
          <w:szCs w:val="28"/>
        </w:rPr>
        <w:t>下部涂装保洁/道路绿化/景观灯光月度考核评分</w:t>
      </w:r>
      <w:r>
        <w:rPr>
          <w:rFonts w:hint="eastAsia" w:ascii="Times New Roman" w:hAnsi="Times New Roman" w:eastAsia="仿宋_GB2312"/>
          <w:color w:val="auto"/>
          <w:sz w:val="28"/>
          <w:szCs w:val="28"/>
        </w:rPr>
        <w:t>=定量考核（</w:t>
      </w:r>
      <w:r>
        <w:rPr>
          <w:rFonts w:ascii="Times New Roman" w:hAnsi="Times New Roman" w:eastAsia="仿宋_GB2312"/>
          <w:color w:val="auto"/>
          <w:sz w:val="28"/>
          <w:szCs w:val="28"/>
        </w:rPr>
        <w:t>60</w:t>
      </w:r>
      <w:r>
        <w:rPr>
          <w:rFonts w:hint="eastAsia" w:ascii="Times New Roman" w:hAnsi="Times New Roman" w:eastAsia="仿宋_GB2312"/>
          <w:color w:val="auto"/>
          <w:sz w:val="28"/>
          <w:szCs w:val="28"/>
        </w:rPr>
        <w:t>分）+定性考核（</w:t>
      </w:r>
      <w:r>
        <w:rPr>
          <w:rFonts w:ascii="Times New Roman" w:hAnsi="Times New Roman" w:eastAsia="仿宋_GB2312"/>
          <w:color w:val="auto"/>
          <w:sz w:val="28"/>
          <w:szCs w:val="28"/>
        </w:rPr>
        <w:t>40</w:t>
      </w:r>
      <w:r>
        <w:rPr>
          <w:rFonts w:hint="eastAsia" w:ascii="Times New Roman" w:hAnsi="Times New Roman" w:eastAsia="仿宋_GB2312"/>
          <w:color w:val="auto"/>
          <w:sz w:val="28"/>
          <w:szCs w:val="28"/>
        </w:rPr>
        <w:t>分）+专项考核</w:t>
      </w:r>
    </w:p>
    <w:p>
      <w:pPr>
        <w:numPr>
          <w:ilvl w:val="0"/>
          <w:numId w:val="5"/>
        </w:numPr>
        <w:spacing w:line="600" w:lineRule="exact"/>
        <w:rPr>
          <w:rFonts w:ascii="Times New Roman" w:hAnsi="Times New Roman" w:eastAsia="楷体_GB2312"/>
          <w:b/>
          <w:color w:val="auto"/>
          <w:sz w:val="28"/>
          <w:szCs w:val="28"/>
        </w:rPr>
      </w:pPr>
      <w:r>
        <w:rPr>
          <w:rFonts w:ascii="Times New Roman" w:hAnsi="Times New Roman" w:eastAsia="楷体_GB2312"/>
          <w:b/>
          <w:color w:val="auto"/>
          <w:sz w:val="28"/>
          <w:szCs w:val="28"/>
        </w:rPr>
        <w:t>年度考核</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年度考核评分由月度考核或季度考核的算术平均值和年度检测得分（如有）组成，满分为1</w:t>
      </w:r>
      <w:r>
        <w:rPr>
          <w:rFonts w:ascii="Times New Roman" w:hAnsi="Times New Roman" w:eastAsia="仿宋_GB2312"/>
          <w:color w:val="auto"/>
          <w:sz w:val="28"/>
          <w:szCs w:val="28"/>
        </w:rPr>
        <w:t>00</w:t>
      </w:r>
      <w:r>
        <w:rPr>
          <w:rFonts w:hint="eastAsia" w:ascii="Times New Roman" w:hAnsi="Times New Roman" w:eastAsia="仿宋_GB2312"/>
          <w:color w:val="auto"/>
          <w:sz w:val="28"/>
          <w:szCs w:val="28"/>
        </w:rPr>
        <w:t>分。其中，年度检测得分主要是指由市道运中心委托第三方单位出具的有关检测报告计算出来的得分。</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根据上述原则，各设施年度考核评分情况分别为：主体设施年度考核评分为月度考核算数平均值和年度检测得分之和，下部涂装保洁/道路绿化/景观灯光年度考核评分为季度考核算数平均值。</w:t>
      </w:r>
    </w:p>
    <w:p>
      <w:pPr>
        <w:numPr>
          <w:ilvl w:val="0"/>
          <w:numId w:val="5"/>
        </w:numPr>
        <w:spacing w:line="600" w:lineRule="exact"/>
        <w:rPr>
          <w:rFonts w:ascii="Times New Roman" w:hAnsi="Times New Roman" w:eastAsia="楷体_GB2312"/>
          <w:b/>
          <w:color w:val="auto"/>
          <w:sz w:val="28"/>
          <w:szCs w:val="28"/>
        </w:rPr>
      </w:pPr>
      <w:r>
        <w:rPr>
          <w:rFonts w:ascii="Times New Roman" w:hAnsi="Times New Roman" w:eastAsia="楷体_GB2312"/>
          <w:b/>
          <w:color w:val="auto"/>
          <w:sz w:val="28"/>
          <w:szCs w:val="28"/>
        </w:rPr>
        <w:t>考核组织</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市道运中心城市道路科（以下简称“城道科”）负责牵头组织开展市管城市道路日常养护运维考核的具体工作，包括但不限于考评资料准备、组建考核工作小组、组织开展具体考核工作、汇总分析考评情况、编制考评报告等。</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考评小组成员由市道运中心城道科、计划财务科、科技信息科和养护监理单位等组成，必要时将邀请上海市政府采购中心、上级单位主管部门和行业专家一并参加考评。</w:t>
      </w:r>
    </w:p>
    <w:p>
      <w:pPr>
        <w:numPr>
          <w:ilvl w:val="0"/>
          <w:numId w:val="5"/>
        </w:numPr>
        <w:spacing w:line="600" w:lineRule="exact"/>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考核报告</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月度、季度考核工作完成后，考评小组负责汇总整理月度、季度考评工作具体情况，对各设施考评情况进行研究分析后，正式编制月度、季度考评报告。年度考评工作完成后，考评小组负责汇总整理年度考评工作具体情况，并编制年度考评报告。上述报告将分送各相关单位。</w:t>
      </w:r>
    </w:p>
    <w:p>
      <w:pPr>
        <w:numPr>
          <w:ilvl w:val="0"/>
          <w:numId w:val="5"/>
        </w:numPr>
        <w:spacing w:line="600" w:lineRule="exact"/>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考核标准</w:t>
      </w:r>
    </w:p>
    <w:p>
      <w:pPr>
        <w:adjustRightInd w:val="0"/>
        <w:snapToGrid w:val="0"/>
        <w:spacing w:line="560" w:lineRule="exact"/>
        <w:ind w:firstLine="562" w:firstLineChars="200"/>
        <w:rPr>
          <w:rFonts w:ascii="Times New Roman" w:hAnsi="Times New Roman" w:eastAsia="仿宋_GB2312"/>
          <w:color w:val="auto"/>
          <w:sz w:val="28"/>
          <w:szCs w:val="28"/>
        </w:rPr>
      </w:pPr>
      <w:r>
        <w:rPr>
          <w:rFonts w:hint="eastAsia" w:ascii="Times New Roman" w:hAnsi="Times New Roman" w:eastAsia="楷体_GB2312"/>
          <w:b/>
          <w:bCs/>
          <w:color w:val="auto"/>
          <w:sz w:val="28"/>
          <w:szCs w:val="28"/>
        </w:rPr>
        <w:t>月度、季度考核：</w:t>
      </w:r>
      <w:r>
        <w:rPr>
          <w:rFonts w:hint="eastAsia" w:ascii="Times New Roman" w:hAnsi="Times New Roman" w:eastAsia="仿宋_GB2312"/>
          <w:color w:val="auto"/>
          <w:sz w:val="28"/>
          <w:szCs w:val="28"/>
        </w:rPr>
        <w:t>考核评分8</w:t>
      </w:r>
      <w:r>
        <w:rPr>
          <w:rFonts w:ascii="Times New Roman" w:hAnsi="Times New Roman" w:eastAsia="仿宋_GB2312"/>
          <w:color w:val="auto"/>
          <w:sz w:val="28"/>
          <w:szCs w:val="28"/>
        </w:rPr>
        <w:t>5</w:t>
      </w:r>
      <w:r>
        <w:rPr>
          <w:rFonts w:hint="eastAsia" w:ascii="Times New Roman" w:hAnsi="Times New Roman" w:eastAsia="仿宋_GB2312"/>
          <w:color w:val="auto"/>
          <w:sz w:val="28"/>
          <w:szCs w:val="28"/>
        </w:rPr>
        <w:t>分及以上为合格，8</w:t>
      </w:r>
      <w:r>
        <w:rPr>
          <w:rFonts w:ascii="Times New Roman" w:hAnsi="Times New Roman" w:eastAsia="仿宋_GB2312"/>
          <w:color w:val="auto"/>
          <w:sz w:val="28"/>
          <w:szCs w:val="28"/>
        </w:rPr>
        <w:t>5</w:t>
      </w:r>
      <w:r>
        <w:rPr>
          <w:rFonts w:hint="eastAsia" w:ascii="Times New Roman" w:hAnsi="Times New Roman" w:eastAsia="仿宋_GB2312"/>
          <w:color w:val="auto"/>
          <w:sz w:val="28"/>
          <w:szCs w:val="28"/>
        </w:rPr>
        <w:t>分以下为不合格。</w:t>
      </w:r>
    </w:p>
    <w:p>
      <w:pPr>
        <w:adjustRightInd w:val="0"/>
        <w:snapToGrid w:val="0"/>
        <w:spacing w:line="560" w:lineRule="exact"/>
        <w:ind w:firstLine="562" w:firstLineChars="200"/>
        <w:rPr>
          <w:rFonts w:ascii="Times New Roman" w:hAnsi="Times New Roman" w:eastAsia="仿宋_GB2312"/>
          <w:color w:val="auto"/>
          <w:sz w:val="28"/>
          <w:szCs w:val="28"/>
        </w:rPr>
      </w:pPr>
      <w:r>
        <w:rPr>
          <w:rFonts w:ascii="Times New Roman" w:hAnsi="Times New Roman" w:eastAsia="楷体_GB2312"/>
          <w:b/>
          <w:bCs/>
          <w:color w:val="auto"/>
          <w:sz w:val="28"/>
          <w:szCs w:val="28"/>
        </w:rPr>
        <w:t>年度考核：</w:t>
      </w:r>
      <w:r>
        <w:rPr>
          <w:rFonts w:hint="eastAsia" w:ascii="Times New Roman" w:hAnsi="Times New Roman" w:eastAsia="仿宋_GB2312"/>
          <w:color w:val="auto"/>
          <w:sz w:val="28"/>
          <w:szCs w:val="28"/>
        </w:rPr>
        <w:t>年度考核评分95分及以上为优秀；90分及以上为良好；85分及以上，且无连续两个月月度考核不合格、无累计三个月月度考核不合格，或无季度考核不合格，则该年度考核结果为合格，其余为不合格。</w:t>
      </w:r>
    </w:p>
    <w:p>
      <w:pPr>
        <w:numPr>
          <w:ilvl w:val="0"/>
          <w:numId w:val="4"/>
        </w:numPr>
        <w:spacing w:before="120" w:beforeLines="50" w:line="560" w:lineRule="exact"/>
        <w:ind w:left="0" w:firstLine="0"/>
        <w:jc w:val="center"/>
        <w:rPr>
          <w:rFonts w:hint="eastAsia" w:ascii="黑体" w:hAnsi="黑体" w:eastAsia="黑体"/>
          <w:b/>
          <w:color w:val="auto"/>
          <w:sz w:val="28"/>
          <w:szCs w:val="28"/>
        </w:rPr>
      </w:pPr>
      <w:r>
        <w:rPr>
          <w:rFonts w:hint="eastAsia" w:ascii="黑体" w:hAnsi="黑体" w:eastAsia="黑体"/>
          <w:b/>
          <w:color w:val="auto"/>
          <w:sz w:val="28"/>
          <w:szCs w:val="28"/>
        </w:rPr>
        <w:t>考核奖惩</w:t>
      </w:r>
    </w:p>
    <w:p>
      <w:pPr>
        <w:numPr>
          <w:ilvl w:val="0"/>
          <w:numId w:val="5"/>
        </w:numPr>
        <w:spacing w:line="600" w:lineRule="exact"/>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奖励措施</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年度考核评分结果优秀的设施在年度报告中通报表扬，并纳入推优范围，在市级、行业优秀称号、先进等各类评比中优先提名推荐。</w:t>
      </w:r>
    </w:p>
    <w:p>
      <w:pPr>
        <w:numPr>
          <w:ilvl w:val="0"/>
          <w:numId w:val="5"/>
        </w:numPr>
        <w:spacing w:line="600" w:lineRule="exact"/>
        <w:rPr>
          <w:rFonts w:ascii="Times New Roman" w:hAnsi="Times New Roman" w:eastAsia="楷体_GB2312"/>
          <w:b/>
          <w:color w:val="auto"/>
          <w:sz w:val="28"/>
          <w:szCs w:val="28"/>
        </w:rPr>
      </w:pPr>
      <w:r>
        <w:rPr>
          <w:rFonts w:ascii="Times New Roman" w:hAnsi="Times New Roman" w:eastAsia="楷体_GB2312"/>
          <w:b/>
          <w:color w:val="auto"/>
          <w:sz w:val="28"/>
          <w:szCs w:val="28"/>
        </w:rPr>
        <w:t>考核扣款</w:t>
      </w:r>
    </w:p>
    <w:p>
      <w:pPr>
        <w:adjustRightInd w:val="0"/>
        <w:snapToGrid w:val="0"/>
        <w:spacing w:line="560" w:lineRule="exact"/>
        <w:ind w:firstLine="560" w:firstLineChars="200"/>
        <w:rPr>
          <w:rFonts w:ascii="Times New Roman" w:hAnsi="Times New Roman" w:eastAsia="仿宋_GB2312"/>
          <w:color w:val="auto"/>
          <w:sz w:val="28"/>
          <w:szCs w:val="28"/>
        </w:rPr>
      </w:pPr>
      <w:r>
        <w:rPr>
          <w:rFonts w:ascii="Times New Roman" w:hAnsi="Times New Roman" w:eastAsia="仿宋_GB2312"/>
          <w:color w:val="auto"/>
          <w:sz w:val="28"/>
          <w:szCs w:val="28"/>
        </w:rPr>
        <w:t>月</w:t>
      </w:r>
      <w:r>
        <w:rPr>
          <w:rFonts w:hint="eastAsia" w:ascii="Times New Roman" w:hAnsi="Times New Roman" w:eastAsia="仿宋_GB2312"/>
          <w:color w:val="auto"/>
          <w:sz w:val="28"/>
          <w:szCs w:val="28"/>
        </w:rPr>
        <w:t>度、季度考核结果不合格，则按比例扣减该设施项目当月或季度日常养护运维经费，计算方式如下：</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扣减金额=（1-当月或季度考核评分/85）*当月或季度日常养护运维经费。</w:t>
      </w:r>
    </w:p>
    <w:p>
      <w:pPr>
        <w:numPr>
          <w:ilvl w:val="0"/>
          <w:numId w:val="5"/>
        </w:numPr>
        <w:spacing w:line="600" w:lineRule="exact"/>
        <w:ind w:left="0" w:firstLine="0"/>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履约管理</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年度考核结果不合格，则视为违约，将扣减该设施项目当年度日常养护运维经费的3%。养护服务期限为3年的设施，年度考核结果在服务期限内连续或累计2年不合格的，则其养护单位3年内不得参与该设施的养护采购项目竞标。</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在同类设施的年度考核评分中排名末位的设施，其养护单位之后3年内如若参与本设施养护采购项目竞标的，将予以扣除一定分数，具体以招标文件规定为准。</w:t>
      </w:r>
    </w:p>
    <w:p>
      <w:pPr>
        <w:numPr>
          <w:ilvl w:val="0"/>
          <w:numId w:val="5"/>
        </w:numPr>
        <w:spacing w:line="600" w:lineRule="exact"/>
        <w:ind w:left="0" w:firstLine="0"/>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退出机制</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养护单位出现下列行为之一或在服务期限为3年的设施中前2次年度考核结果不合格的，市道运中心有权提前终止合同，并重新启动招投标。同时，该养护单位应立即整改并承担所有相关费用、责任和经济赔偿。</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1、忽视制度管理，缺少两项及以上制度。包括安全生产责任制度、检查制度、特种作业管理制度、动火管理制度、安措经费使用管理制度、安全交底制度、带班制度、事故报告与处理制度、安全考核奖罚制度等；</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2、违法违规</w:t>
      </w:r>
      <w:r>
        <w:rPr>
          <w:rFonts w:ascii="Times New Roman" w:hAnsi="Times New Roman" w:eastAsia="仿宋_GB2312"/>
          <w:color w:val="auto"/>
          <w:sz w:val="28"/>
          <w:szCs w:val="28"/>
        </w:rPr>
        <w:t>，影响</w:t>
      </w:r>
      <w:r>
        <w:rPr>
          <w:rFonts w:hint="eastAsia" w:ascii="Times New Roman" w:hAnsi="Times New Roman" w:eastAsia="仿宋_GB2312"/>
          <w:color w:val="auto"/>
          <w:sz w:val="28"/>
          <w:szCs w:val="28"/>
        </w:rPr>
        <w:t>设施结构和运行安全、社会稳定</w:t>
      </w:r>
      <w:r>
        <w:rPr>
          <w:rFonts w:ascii="Times New Roman" w:hAnsi="Times New Roman" w:eastAsia="仿宋_GB2312"/>
          <w:color w:val="auto"/>
          <w:sz w:val="28"/>
          <w:szCs w:val="28"/>
        </w:rPr>
        <w:t>的情况。如违法分包、转包、恶意拖欠工人工资、养护资质资格变动不符合招标要求</w:t>
      </w:r>
      <w:r>
        <w:rPr>
          <w:rFonts w:hint="eastAsia" w:ascii="Times New Roman" w:hAnsi="Times New Roman" w:eastAsia="仿宋_GB2312"/>
          <w:color w:val="auto"/>
          <w:sz w:val="28"/>
          <w:szCs w:val="28"/>
        </w:rPr>
        <w:t>、利用设施开展经营性行为</w:t>
      </w:r>
      <w:r>
        <w:rPr>
          <w:rFonts w:ascii="Times New Roman" w:hAnsi="Times New Roman" w:eastAsia="仿宋_GB2312"/>
          <w:color w:val="auto"/>
          <w:sz w:val="28"/>
          <w:szCs w:val="28"/>
        </w:rPr>
        <w:t>等；</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3、</w:t>
      </w:r>
      <w:r>
        <w:rPr>
          <w:rFonts w:ascii="Times New Roman" w:hAnsi="Times New Roman" w:eastAsia="仿宋_GB2312"/>
          <w:color w:val="auto"/>
          <w:sz w:val="28"/>
          <w:szCs w:val="28"/>
        </w:rPr>
        <w:t>发生重大安全责任事故或者严重质量问题</w:t>
      </w:r>
      <w:r>
        <w:rPr>
          <w:rFonts w:hint="eastAsia" w:ascii="Times New Roman" w:hAnsi="Times New Roman" w:eastAsia="仿宋_GB2312"/>
          <w:color w:val="auto"/>
          <w:sz w:val="28"/>
          <w:szCs w:val="28"/>
        </w:rPr>
        <w:t>、重大节假日或活动保障不力，</w:t>
      </w:r>
      <w:r>
        <w:rPr>
          <w:rFonts w:ascii="Times New Roman" w:hAnsi="Times New Roman" w:eastAsia="仿宋_GB2312"/>
          <w:color w:val="auto"/>
          <w:sz w:val="28"/>
          <w:szCs w:val="28"/>
        </w:rPr>
        <w:t>造成不良社会影响的。</w:t>
      </w:r>
    </w:p>
    <w:p>
      <w:pPr>
        <w:numPr>
          <w:ilvl w:val="0"/>
          <w:numId w:val="4"/>
        </w:numPr>
        <w:spacing w:before="120" w:beforeLines="50" w:line="560" w:lineRule="exact"/>
        <w:ind w:left="0" w:firstLine="0"/>
        <w:jc w:val="center"/>
        <w:rPr>
          <w:rFonts w:hint="eastAsia" w:ascii="黑体" w:hAnsi="黑体" w:eastAsia="黑体"/>
          <w:b/>
          <w:color w:val="auto"/>
          <w:sz w:val="28"/>
          <w:szCs w:val="28"/>
        </w:rPr>
      </w:pPr>
      <w:r>
        <w:rPr>
          <w:rFonts w:ascii="黑体" w:hAnsi="黑体" w:eastAsia="黑体"/>
          <w:b/>
          <w:color w:val="auto"/>
          <w:sz w:val="28"/>
          <w:szCs w:val="28"/>
        </w:rPr>
        <w:t>公示及通报</w:t>
      </w:r>
    </w:p>
    <w:p>
      <w:pPr>
        <w:numPr>
          <w:ilvl w:val="0"/>
          <w:numId w:val="5"/>
        </w:numPr>
        <w:spacing w:line="600" w:lineRule="exact"/>
        <w:ind w:left="0" w:firstLine="0"/>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 xml:space="preserve">结果公示 </w:t>
      </w:r>
    </w:p>
    <w:p>
      <w:pPr>
        <w:adjustRightInd w:val="0"/>
        <w:snapToGrid w:val="0"/>
        <w:spacing w:line="560" w:lineRule="exact"/>
        <w:ind w:firstLine="562" w:firstLineChars="200"/>
        <w:rPr>
          <w:rFonts w:ascii="Times New Roman" w:hAnsi="Times New Roman" w:eastAsia="楷体_GB2312"/>
          <w:b/>
          <w:bCs/>
          <w:color w:val="auto"/>
          <w:sz w:val="28"/>
          <w:szCs w:val="28"/>
        </w:rPr>
      </w:pPr>
      <w:r>
        <w:rPr>
          <w:rFonts w:ascii="Times New Roman" w:hAnsi="Times New Roman" w:eastAsia="楷体_GB2312"/>
          <w:b/>
          <w:bCs/>
          <w:color w:val="auto"/>
          <w:sz w:val="28"/>
          <w:szCs w:val="28"/>
        </w:rPr>
        <w:t>月</w:t>
      </w:r>
      <w:r>
        <w:rPr>
          <w:rFonts w:hint="eastAsia" w:ascii="Times New Roman" w:hAnsi="Times New Roman" w:eastAsia="楷体_GB2312"/>
          <w:b/>
          <w:bCs/>
          <w:color w:val="auto"/>
          <w:sz w:val="28"/>
          <w:szCs w:val="28"/>
        </w:rPr>
        <w:t>度考核：</w:t>
      </w:r>
      <w:r>
        <w:rPr>
          <w:rFonts w:hint="eastAsia" w:ascii="Times New Roman" w:hAnsi="Times New Roman" w:eastAsia="仿宋_GB2312"/>
          <w:color w:val="auto"/>
          <w:sz w:val="28"/>
          <w:szCs w:val="28"/>
        </w:rPr>
        <w:t>次月11日，由养护在线监管系统出具定量指标分数；次月11至15日，由中心设施负责人考评定性指标分数，同时养护单位对定量考核结果有异议的可进行申诉；次月1</w:t>
      </w:r>
      <w:r>
        <w:rPr>
          <w:rFonts w:ascii="Times New Roman" w:hAnsi="Times New Roman" w:eastAsia="仿宋_GB2312"/>
          <w:color w:val="auto"/>
          <w:sz w:val="28"/>
          <w:szCs w:val="28"/>
        </w:rPr>
        <w:t>5</w:t>
      </w:r>
      <w:r>
        <w:rPr>
          <w:rFonts w:hint="eastAsia" w:ascii="Times New Roman" w:hAnsi="Times New Roman" w:eastAsia="仿宋_GB2312"/>
          <w:color w:val="auto"/>
          <w:sz w:val="28"/>
          <w:szCs w:val="28"/>
        </w:rPr>
        <w:t>至2</w:t>
      </w:r>
      <w:r>
        <w:rPr>
          <w:rFonts w:ascii="Times New Roman" w:hAnsi="Times New Roman" w:eastAsia="仿宋_GB2312"/>
          <w:color w:val="auto"/>
          <w:sz w:val="28"/>
          <w:szCs w:val="28"/>
        </w:rPr>
        <w:t>0</w:t>
      </w:r>
      <w:r>
        <w:rPr>
          <w:rFonts w:hint="eastAsia" w:ascii="Times New Roman" w:hAnsi="Times New Roman" w:eastAsia="仿宋_GB2312"/>
          <w:color w:val="auto"/>
          <w:sz w:val="28"/>
          <w:szCs w:val="28"/>
        </w:rPr>
        <w:t>日，由部门复核总分；一般于次月2</w:t>
      </w:r>
      <w:r>
        <w:rPr>
          <w:rFonts w:ascii="Times New Roman" w:hAnsi="Times New Roman" w:eastAsia="仿宋_GB2312"/>
          <w:color w:val="auto"/>
          <w:sz w:val="28"/>
          <w:szCs w:val="28"/>
        </w:rPr>
        <w:t>5</w:t>
      </w:r>
      <w:r>
        <w:rPr>
          <w:rFonts w:hint="eastAsia" w:ascii="Times New Roman" w:hAnsi="Times New Roman" w:eastAsia="仿宋_GB2312"/>
          <w:color w:val="auto"/>
          <w:sz w:val="28"/>
          <w:szCs w:val="28"/>
        </w:rPr>
        <w:t>日，形成正式分数并上传云路。</w:t>
      </w:r>
    </w:p>
    <w:p>
      <w:pPr>
        <w:adjustRightInd w:val="0"/>
        <w:snapToGrid w:val="0"/>
        <w:spacing w:line="560" w:lineRule="exact"/>
        <w:ind w:firstLine="562" w:firstLineChars="200"/>
        <w:rPr>
          <w:rFonts w:ascii="Times New Roman" w:hAnsi="Times New Roman"/>
          <w:color w:val="auto"/>
          <w:szCs w:val="21"/>
        </w:rPr>
      </w:pPr>
      <w:r>
        <w:rPr>
          <w:rFonts w:hint="eastAsia" w:ascii="Times New Roman" w:hAnsi="Times New Roman" w:eastAsia="楷体_GB2312"/>
          <w:b/>
          <w:bCs/>
          <w:color w:val="auto"/>
          <w:sz w:val="28"/>
          <w:szCs w:val="28"/>
        </w:rPr>
        <w:t>季度考核：</w:t>
      </w:r>
      <w:r>
        <w:rPr>
          <w:rFonts w:hint="eastAsia" w:ascii="Times New Roman" w:hAnsi="Times New Roman" w:eastAsia="仿宋_GB2312"/>
          <w:color w:val="auto"/>
          <w:sz w:val="28"/>
          <w:szCs w:val="28"/>
        </w:rPr>
        <w:t>一般于次月2</w:t>
      </w:r>
      <w:r>
        <w:rPr>
          <w:rFonts w:ascii="Times New Roman" w:hAnsi="Times New Roman" w:eastAsia="仿宋_GB2312"/>
          <w:color w:val="auto"/>
          <w:sz w:val="28"/>
          <w:szCs w:val="28"/>
        </w:rPr>
        <w:t>5</w:t>
      </w:r>
      <w:r>
        <w:rPr>
          <w:rFonts w:hint="eastAsia" w:ascii="Times New Roman" w:hAnsi="Times New Roman" w:eastAsia="仿宋_GB2312"/>
          <w:color w:val="auto"/>
          <w:sz w:val="28"/>
          <w:szCs w:val="28"/>
        </w:rPr>
        <w:t>日后形成结果报告并公示，公示期为五个工作日。各相关单位如对结果持有异议可在公示期内以书面形式向城道科申请复核。</w:t>
      </w:r>
    </w:p>
    <w:p>
      <w:pPr>
        <w:adjustRightInd w:val="0"/>
        <w:snapToGrid w:val="0"/>
        <w:spacing w:line="560" w:lineRule="exact"/>
        <w:ind w:firstLine="562" w:firstLineChars="200"/>
        <w:rPr>
          <w:rFonts w:ascii="Times New Roman" w:hAnsi="Times New Roman" w:eastAsia="仿宋_GB2312"/>
          <w:color w:val="auto"/>
          <w:sz w:val="28"/>
          <w:szCs w:val="28"/>
        </w:rPr>
      </w:pPr>
      <w:r>
        <w:rPr>
          <w:rFonts w:ascii="Times New Roman" w:hAnsi="Times New Roman" w:eastAsia="楷体_GB2312"/>
          <w:b/>
          <w:bCs/>
          <w:color w:val="auto"/>
          <w:sz w:val="28"/>
          <w:szCs w:val="28"/>
        </w:rPr>
        <w:t>年度考核</w:t>
      </w:r>
      <w:r>
        <w:rPr>
          <w:rFonts w:hint="eastAsia" w:ascii="Times New Roman" w:hAnsi="Times New Roman" w:eastAsia="楷体_GB2312"/>
          <w:b/>
          <w:bCs/>
          <w:color w:val="auto"/>
          <w:sz w:val="28"/>
          <w:szCs w:val="28"/>
        </w:rPr>
        <w:t>：</w:t>
      </w:r>
      <w:r>
        <w:rPr>
          <w:rFonts w:hint="eastAsia" w:ascii="Times New Roman" w:hAnsi="Times New Roman" w:eastAsia="仿宋_GB2312"/>
          <w:color w:val="auto"/>
          <w:sz w:val="28"/>
          <w:szCs w:val="28"/>
        </w:rPr>
        <w:t>一般于次年春节后的两周内形成结果报告并公示，公示期为五个工作日。各相关单位如对结果持有异议可在公示期内以书面形式向城道科申请复核。其中，年度检测得分由科技信息科负责复核。</w:t>
      </w:r>
    </w:p>
    <w:p>
      <w:pPr>
        <w:adjustRightInd w:val="0"/>
        <w:snapToGrid w:val="0"/>
        <w:spacing w:line="560" w:lineRule="exact"/>
        <w:ind w:firstLine="562" w:firstLineChars="200"/>
        <w:rPr>
          <w:rFonts w:ascii="Times New Roman" w:hAnsi="Times New Roman" w:eastAsia="仿宋_GB2312"/>
          <w:color w:val="auto"/>
          <w:szCs w:val="21"/>
        </w:rPr>
      </w:pPr>
      <w:r>
        <w:rPr>
          <w:rFonts w:hint="eastAsia" w:ascii="Times New Roman" w:hAnsi="Times New Roman" w:eastAsia="楷体_GB2312"/>
          <w:b/>
          <w:bCs/>
          <w:color w:val="auto"/>
          <w:sz w:val="28"/>
          <w:szCs w:val="28"/>
        </w:rPr>
        <w:t>结果复核：</w:t>
      </w:r>
      <w:r>
        <w:rPr>
          <w:rFonts w:hint="eastAsia" w:ascii="Times New Roman" w:hAnsi="Times New Roman" w:eastAsia="仿宋_GB2312"/>
          <w:color w:val="auto"/>
          <w:sz w:val="28"/>
          <w:szCs w:val="28"/>
        </w:rPr>
        <w:t>内容包括是否有漏评、错统情况；打分是否超出规定阈值；各小项得分合成后是否准确等。超出上述规定事项范围的申请不予受理。</w:t>
      </w:r>
    </w:p>
    <w:p>
      <w:pPr>
        <w:numPr>
          <w:ilvl w:val="0"/>
          <w:numId w:val="5"/>
        </w:numPr>
        <w:spacing w:line="600" w:lineRule="exact"/>
        <w:ind w:left="0" w:firstLine="0"/>
        <w:rPr>
          <w:rFonts w:ascii="Times New Roman" w:hAnsi="Times New Roman" w:eastAsia="楷体_GB2312"/>
          <w:b/>
          <w:color w:val="auto"/>
          <w:sz w:val="28"/>
          <w:szCs w:val="28"/>
        </w:rPr>
      </w:pPr>
      <w:r>
        <w:rPr>
          <w:rFonts w:hint="eastAsia" w:ascii="Times New Roman" w:hAnsi="Times New Roman" w:eastAsia="楷体_GB2312"/>
          <w:b/>
          <w:color w:val="auto"/>
          <w:sz w:val="28"/>
          <w:szCs w:val="28"/>
        </w:rPr>
        <w:t xml:space="preserve">结果通报 </w:t>
      </w:r>
    </w:p>
    <w:p>
      <w:pPr>
        <w:adjustRightInd w:val="0"/>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公示期结束后，各类考核结果予以行业通报，年度考核报告同步抄送上级主管部门。</w:t>
      </w:r>
    </w:p>
    <w:p>
      <w:pPr>
        <w:numPr>
          <w:ilvl w:val="0"/>
          <w:numId w:val="4"/>
        </w:numPr>
        <w:spacing w:before="120" w:beforeLines="50" w:line="560" w:lineRule="exact"/>
        <w:ind w:left="0" w:firstLine="0"/>
        <w:jc w:val="center"/>
        <w:rPr>
          <w:rFonts w:hint="eastAsia" w:ascii="黑体" w:hAnsi="黑体" w:eastAsia="黑体"/>
          <w:b/>
          <w:color w:val="auto"/>
          <w:sz w:val="28"/>
          <w:szCs w:val="28"/>
        </w:rPr>
      </w:pPr>
      <w:r>
        <w:rPr>
          <w:rFonts w:hint="eastAsia" w:ascii="黑体" w:hAnsi="黑体" w:eastAsia="黑体"/>
          <w:b/>
          <w:color w:val="auto"/>
          <w:sz w:val="28"/>
          <w:szCs w:val="28"/>
        </w:rPr>
        <w:t>附则</w:t>
      </w:r>
    </w:p>
    <w:p>
      <w:pPr>
        <w:spacing w:line="500" w:lineRule="exact"/>
        <w:rPr>
          <w:rFonts w:ascii="Times New Roman" w:hAnsi="Times New Roman" w:eastAsia="仿宋_GB2312"/>
          <w:color w:val="auto"/>
          <w:sz w:val="28"/>
          <w:szCs w:val="28"/>
        </w:rPr>
      </w:pPr>
      <w:r>
        <w:rPr>
          <w:rFonts w:ascii="Times New Roman" w:hAnsi="Times New Roman" w:eastAsia="楷体_GB2312"/>
          <w:b/>
          <w:color w:val="auto"/>
          <w:sz w:val="28"/>
          <w:szCs w:val="28"/>
        </w:rPr>
        <w:t>第</w:t>
      </w:r>
      <w:r>
        <w:rPr>
          <w:rFonts w:hint="eastAsia" w:ascii="Times New Roman" w:hAnsi="Times New Roman" w:eastAsia="楷体_GB2312"/>
          <w:b/>
          <w:color w:val="auto"/>
          <w:sz w:val="28"/>
          <w:szCs w:val="28"/>
        </w:rPr>
        <w:t>十七</w:t>
      </w:r>
      <w:r>
        <w:rPr>
          <w:rFonts w:ascii="Times New Roman" w:hAnsi="Times New Roman" w:eastAsia="楷体_GB2312"/>
          <w:b/>
          <w:color w:val="auto"/>
          <w:sz w:val="28"/>
          <w:szCs w:val="28"/>
        </w:rPr>
        <w:t>条</w:t>
      </w:r>
      <w:r>
        <w:rPr>
          <w:rFonts w:ascii="仿宋_GB2312" w:hAnsi="宋体" w:eastAsia="仿宋_GB2312"/>
          <w:b/>
          <w:color w:val="auto"/>
          <w:sz w:val="28"/>
          <w:szCs w:val="28"/>
        </w:rPr>
        <w:t xml:space="preserve"> </w:t>
      </w:r>
      <w:r>
        <w:rPr>
          <w:rFonts w:ascii="Times New Roman" w:hAnsi="Times New Roman" w:eastAsia="仿宋_GB2312"/>
          <w:color w:val="auto"/>
          <w:sz w:val="28"/>
          <w:szCs w:val="28"/>
        </w:rPr>
        <w:t>本办法由上海市道路运输事业发展中心负责解释。</w:t>
      </w:r>
    </w:p>
    <w:p>
      <w:pPr>
        <w:widowControl/>
        <w:spacing w:line="500" w:lineRule="exact"/>
        <w:rPr>
          <w:rFonts w:ascii="Times New Roman" w:hAnsi="Times New Roman" w:eastAsia="仿宋_GB2312"/>
          <w:color w:val="auto"/>
          <w:sz w:val="28"/>
          <w:szCs w:val="28"/>
        </w:rPr>
      </w:pPr>
      <w:r>
        <w:rPr>
          <w:rFonts w:ascii="Times New Roman" w:hAnsi="Times New Roman" w:eastAsia="楷体_GB2312"/>
          <w:b/>
          <w:color w:val="auto"/>
          <w:sz w:val="28"/>
          <w:szCs w:val="28"/>
        </w:rPr>
        <w:t>第十</w:t>
      </w:r>
      <w:r>
        <w:rPr>
          <w:rFonts w:hint="eastAsia" w:ascii="Times New Roman" w:hAnsi="Times New Roman" w:eastAsia="楷体_GB2312"/>
          <w:b/>
          <w:color w:val="auto"/>
          <w:sz w:val="28"/>
          <w:szCs w:val="28"/>
        </w:rPr>
        <w:t>八</w:t>
      </w:r>
      <w:r>
        <w:rPr>
          <w:rFonts w:ascii="Times New Roman" w:hAnsi="Times New Roman" w:eastAsia="楷体_GB2312"/>
          <w:b/>
          <w:color w:val="auto"/>
          <w:sz w:val="28"/>
          <w:szCs w:val="28"/>
        </w:rPr>
        <w:t xml:space="preserve">条 </w:t>
      </w:r>
      <w:r>
        <w:rPr>
          <w:rFonts w:ascii="Times New Roman" w:hAnsi="Times New Roman" w:eastAsia="仿宋_GB2312"/>
          <w:color w:val="auto"/>
          <w:sz w:val="28"/>
          <w:szCs w:val="28"/>
        </w:rPr>
        <w:t>本办法自 2024 年 10 月 1 日起试行。</w:t>
      </w:r>
    </w:p>
    <w:p>
      <w:pPr>
        <w:widowControl/>
        <w:spacing w:line="500" w:lineRule="exact"/>
        <w:rPr>
          <w:rFonts w:hint="eastAsia" w:ascii="仿宋_GB2312" w:hAnsi="仿宋_GB2312" w:eastAsia="仿宋_GB2312"/>
          <w:color w:val="auto"/>
          <w:sz w:val="24"/>
        </w:rPr>
      </w:pPr>
    </w:p>
    <w:p>
      <w:pPr>
        <w:widowControl/>
        <w:spacing w:line="500" w:lineRule="exact"/>
        <w:rPr>
          <w:rFonts w:hint="eastAsia" w:ascii="仿宋_GB2312" w:hAnsi="仿宋_GB2312" w:eastAsia="仿宋_GB2312"/>
          <w:color w:val="auto"/>
          <w:sz w:val="24"/>
        </w:rPr>
      </w:pPr>
      <w:r>
        <w:rPr>
          <w:rFonts w:hint="eastAsia" w:ascii="仿宋_GB2312" w:hAnsi="仿宋_GB2312" w:eastAsia="仿宋_GB2312"/>
          <w:color w:val="auto"/>
          <w:sz w:val="24"/>
        </w:rPr>
        <w:br w:type="page"/>
      </w:r>
    </w:p>
    <w:p>
      <w:pPr>
        <w:topLinePunct/>
        <w:adjustRightInd w:val="0"/>
        <w:snapToGrid w:val="0"/>
        <w:spacing w:line="480" w:lineRule="auto"/>
        <w:jc w:val="center"/>
        <w:rPr>
          <w:rFonts w:hint="eastAsia" w:ascii="黑体" w:hAnsi="黑体" w:eastAsia="黑体"/>
          <w:color w:val="auto"/>
          <w:sz w:val="32"/>
          <w:szCs w:val="40"/>
        </w:rPr>
      </w:pPr>
      <w:r>
        <w:rPr>
          <w:rFonts w:hint="eastAsia" w:ascii="黑体" w:hAnsi="黑体" w:eastAsia="黑体"/>
          <w:color w:val="auto"/>
          <w:sz w:val="32"/>
          <w:szCs w:val="40"/>
        </w:rPr>
        <w:t>附件目录</w:t>
      </w:r>
    </w:p>
    <w:p>
      <w:pPr>
        <w:topLinePunct/>
        <w:adjustRightInd w:val="0"/>
        <w:snapToGrid w:val="0"/>
        <w:spacing w:line="480" w:lineRule="auto"/>
        <w:rPr>
          <w:rFonts w:ascii="仿宋_GB2312" w:eastAsia="仿宋_GB2312"/>
          <w:color w:val="auto"/>
          <w:sz w:val="28"/>
          <w:szCs w:val="36"/>
        </w:rPr>
      </w:pPr>
      <w:r>
        <w:rPr>
          <w:rFonts w:hint="eastAsia" w:ascii="仿宋_GB2312" w:eastAsia="仿宋_GB2312"/>
          <w:color w:val="auto"/>
          <w:sz w:val="28"/>
          <w:szCs w:val="36"/>
        </w:rPr>
        <w:t>一、考核依据</w:t>
      </w:r>
    </w:p>
    <w:p>
      <w:pPr>
        <w:topLinePunct/>
        <w:adjustRightInd w:val="0"/>
        <w:snapToGrid w:val="0"/>
        <w:spacing w:line="480" w:lineRule="auto"/>
        <w:rPr>
          <w:rFonts w:ascii="仿宋_GB2312" w:eastAsia="仿宋_GB2312"/>
          <w:color w:val="auto"/>
          <w:sz w:val="28"/>
          <w:szCs w:val="36"/>
        </w:rPr>
      </w:pPr>
      <w:r>
        <w:rPr>
          <w:rFonts w:hint="eastAsia" w:ascii="仿宋_GB2312" w:eastAsia="仿宋_GB2312"/>
          <w:color w:val="auto"/>
          <w:sz w:val="28"/>
          <w:szCs w:val="36"/>
        </w:rPr>
        <w:t>二、市管城市道路主体设施养护运维月度考核评分细则（修订）（略）</w:t>
      </w:r>
    </w:p>
    <w:p>
      <w:pPr>
        <w:topLinePunct/>
        <w:adjustRightInd w:val="0"/>
        <w:snapToGrid w:val="0"/>
        <w:spacing w:line="480" w:lineRule="auto"/>
        <w:rPr>
          <w:rFonts w:ascii="仿宋_GB2312" w:eastAsia="仿宋_GB2312"/>
          <w:color w:val="auto"/>
          <w:sz w:val="28"/>
          <w:szCs w:val="36"/>
        </w:rPr>
      </w:pPr>
      <w:r>
        <w:rPr>
          <w:rFonts w:hint="eastAsia" w:ascii="仿宋_GB2312" w:eastAsia="仿宋_GB2312"/>
          <w:color w:val="auto"/>
          <w:sz w:val="28"/>
          <w:szCs w:val="36"/>
        </w:rPr>
        <w:t>三、市管设施下部涂装保洁工作考核评分细则（略）</w:t>
      </w:r>
    </w:p>
    <w:p>
      <w:pPr>
        <w:topLinePunct/>
        <w:adjustRightInd w:val="0"/>
        <w:snapToGrid w:val="0"/>
        <w:spacing w:line="480" w:lineRule="auto"/>
        <w:rPr>
          <w:rFonts w:ascii="仿宋_GB2312" w:eastAsia="仿宋_GB2312"/>
          <w:color w:val="auto"/>
          <w:sz w:val="28"/>
          <w:szCs w:val="36"/>
        </w:rPr>
      </w:pPr>
      <w:r>
        <w:rPr>
          <w:rFonts w:hint="eastAsia" w:ascii="仿宋_GB2312" w:eastAsia="仿宋_GB2312"/>
          <w:color w:val="auto"/>
          <w:sz w:val="28"/>
          <w:szCs w:val="36"/>
        </w:rPr>
        <w:t>四、市管城市道路绿化养护工作考核评分细则（略）</w:t>
      </w:r>
    </w:p>
    <w:p>
      <w:pPr>
        <w:topLinePunct/>
        <w:adjustRightInd w:val="0"/>
        <w:snapToGrid w:val="0"/>
        <w:spacing w:line="480" w:lineRule="auto"/>
        <w:rPr>
          <w:rFonts w:ascii="仿宋_GB2312" w:eastAsia="仿宋_GB2312"/>
          <w:color w:val="auto"/>
          <w:sz w:val="28"/>
          <w:szCs w:val="36"/>
        </w:rPr>
      </w:pPr>
      <w:r>
        <w:rPr>
          <w:rFonts w:hint="eastAsia" w:ascii="仿宋_GB2312" w:eastAsia="仿宋_GB2312"/>
          <w:color w:val="auto"/>
          <w:sz w:val="28"/>
          <w:szCs w:val="36"/>
        </w:rPr>
        <w:t>五、市管城市道路景观灯光养护运维考核评分细则</w:t>
      </w:r>
    </w:p>
    <w:p>
      <w:pPr>
        <w:topLinePunct/>
        <w:adjustRightInd w:val="0"/>
        <w:snapToGrid w:val="0"/>
        <w:spacing w:line="360" w:lineRule="auto"/>
        <w:rPr>
          <w:rFonts w:ascii="Times New Roman" w:hAnsi="Times New Roman"/>
          <w:b/>
          <w:bCs/>
          <w:color w:val="auto"/>
          <w:sz w:val="32"/>
          <w:szCs w:val="32"/>
        </w:rPr>
      </w:pPr>
      <w:r>
        <w:rPr>
          <w:rFonts w:ascii="Times New Roman" w:hAnsi="Times New Roman"/>
          <w:b/>
          <w:bCs/>
          <w:color w:val="auto"/>
          <w:sz w:val="32"/>
          <w:szCs w:val="32"/>
        </w:rPr>
        <w:br w:type="page"/>
      </w:r>
    </w:p>
    <w:p>
      <w:pPr>
        <w:topLinePunct/>
        <w:adjustRightInd w:val="0"/>
        <w:snapToGrid w:val="0"/>
        <w:spacing w:line="360" w:lineRule="auto"/>
        <w:rPr>
          <w:rFonts w:hint="eastAsia" w:ascii="黑体" w:hAnsi="黑体" w:eastAsia="黑体"/>
          <w:bCs/>
          <w:color w:val="auto"/>
          <w:kern w:val="0"/>
          <w:sz w:val="28"/>
          <w:szCs w:val="28"/>
        </w:rPr>
      </w:pPr>
      <w:r>
        <w:rPr>
          <w:rFonts w:hint="eastAsia" w:ascii="黑体" w:hAnsi="黑体" w:eastAsia="黑体"/>
          <w:bCs/>
          <w:color w:val="auto"/>
          <w:kern w:val="0"/>
          <w:sz w:val="28"/>
          <w:szCs w:val="28"/>
        </w:rPr>
        <w:t>附件一：</w:t>
      </w:r>
    </w:p>
    <w:p>
      <w:pPr>
        <w:topLinePunct/>
        <w:adjustRightInd w:val="0"/>
        <w:snapToGrid w:val="0"/>
        <w:spacing w:line="360" w:lineRule="auto"/>
        <w:jc w:val="center"/>
        <w:rPr>
          <w:rFonts w:hint="eastAsia" w:ascii="Times New Roman" w:hAnsi="华文中宋" w:eastAsia="华文中宋"/>
          <w:b/>
          <w:color w:val="auto"/>
          <w:kern w:val="0"/>
          <w:sz w:val="32"/>
          <w:szCs w:val="32"/>
        </w:rPr>
      </w:pPr>
      <w:r>
        <w:rPr>
          <w:rFonts w:hint="eastAsia" w:ascii="Times New Roman" w:hAnsi="华文中宋" w:eastAsia="华文中宋"/>
          <w:b/>
          <w:color w:val="auto"/>
          <w:kern w:val="0"/>
          <w:sz w:val="32"/>
          <w:szCs w:val="32"/>
        </w:rPr>
        <w:t>考核依据</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7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编号</w:t>
            </w:r>
          </w:p>
        </w:tc>
        <w:tc>
          <w:tcPr>
            <w:tcW w:w="7303"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规范名称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《城镇道路养护技术规范》（CJJ36）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《城市桥梁养护技术标准》（CJJ99）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3</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《隧道养护技术规程》（DG/TJ08-2175）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4</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《城市高架道路养护技术规范》（DB31/T 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5</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《城市道路养护技术规程》（DG/TJ08-92）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6</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《城市桥梁养护技术规程》（DG/TJ08-2145）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7</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《城市综合管廊维护技术规程》（DG/TJ08-2168）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8</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《桥梁结构检测技术规程》（DG/TJ08-2149）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9</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《城市桥梁结构加固技术规程》（CJJ/T 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10</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《城市道路工程施工与质量验收规范》（CJJ1）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11</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《城市桥梁工程施工与质量验收规范》（CJJ2）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12</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《城市道路和桥梁数据采集标准》（DG/TJ08-2284）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13</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《城市道路养护维修作业安全技术规程》（DG/TJ08-2183）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14</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《上海市市政道路机电系统维护技术规程》（DG/TJ 08-2171）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15</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《城市道路交通标志、标线、信号设施养护技术标准》（DG/TJ08-2256）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16</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《道路声屏障结构技术规范》（DG/TJ08-2086）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17</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《斜拉桥养护技术规程》（SZ-09）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18</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《卢浦大桥养护技术规程》（市建交委2009行业标准）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19</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《城市桥梁、隧道安全保护区域技术标准》（</w:t>
            </w:r>
            <w:r>
              <w:rPr>
                <w:rFonts w:hint="eastAsia" w:ascii="仿宋_GB2312" w:hAnsi="宋体" w:eastAsia="仿宋_GB2312" w:cs="宋体"/>
                <w:color w:val="auto"/>
                <w:szCs w:val="21"/>
                <w:lang w:eastAsia="ja-JP"/>
              </w:rPr>
              <w:t>沪建交〔2010〕511号</w:t>
            </w:r>
            <w:r>
              <w:rPr>
                <w:rFonts w:hint="eastAsia" w:ascii="仿宋_GB2312" w:hAnsi="宋体" w:eastAsia="仿宋_GB2312"/>
                <w:color w:val="auto"/>
                <w:kern w:val="0"/>
                <w:sz w:val="20"/>
                <w:szCs w:val="20"/>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20</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《上海城市桥梁限载标准》（SZ-C-E02）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21</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《桥梁结构健康监测系统设计与实施标准》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22</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s="宋体"/>
                <w:color w:val="auto"/>
                <w:szCs w:val="21"/>
                <w:lang w:eastAsia="ja-JP"/>
              </w:rPr>
              <w:t>上海市防汛防台应急响应规范（沪道运安委办〔2022〕41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23</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s="宋体"/>
                <w:color w:val="auto"/>
                <w:szCs w:val="21"/>
                <w:lang w:eastAsia="ja-JP"/>
              </w:rPr>
              <w:t>《城市道路工程设计规范》(CJJ37-2012)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24</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w:t>
            </w:r>
            <w:r>
              <w:rPr>
                <w:rFonts w:hint="eastAsia" w:ascii="仿宋_GB2312" w:hAnsi="宋体" w:eastAsia="仿宋_GB2312" w:cs="宋体"/>
                <w:color w:val="auto"/>
                <w:szCs w:val="21"/>
                <w:lang w:eastAsia="ja-JP"/>
              </w:rPr>
              <w:t>城镇排水管渠与泵站运行、维护及安全技术规程</w:t>
            </w:r>
            <w:r>
              <w:rPr>
                <w:rFonts w:hint="eastAsia" w:ascii="仿宋_GB2312" w:hAnsi="宋体" w:eastAsia="仿宋_GB2312"/>
                <w:color w:val="auto"/>
                <w:kern w:val="0"/>
                <w:sz w:val="20"/>
                <w:szCs w:val="20"/>
                <w:lang w:eastAsia="ja-JP"/>
              </w:rPr>
              <w:t>》（</w:t>
            </w:r>
            <w:r>
              <w:rPr>
                <w:rFonts w:hint="eastAsia" w:ascii="仿宋_GB2312" w:hAnsi="宋体" w:eastAsia="仿宋_GB2312" w:cs="宋体"/>
                <w:color w:val="auto"/>
                <w:szCs w:val="21"/>
                <w:lang w:eastAsia="ja-JP"/>
              </w:rPr>
              <w:t>CJJ 68—2016</w:t>
            </w:r>
            <w:r>
              <w:rPr>
                <w:rFonts w:hint="eastAsia" w:ascii="仿宋_GB2312" w:hAnsi="宋体" w:eastAsia="仿宋_GB2312"/>
                <w:color w:val="auto"/>
                <w:kern w:val="0"/>
                <w:sz w:val="20"/>
                <w:szCs w:val="20"/>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25</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s="宋体"/>
                <w:color w:val="auto"/>
                <w:szCs w:val="21"/>
                <w:lang w:eastAsia="ja-JP"/>
              </w:rPr>
              <w:t>道路照明设施运行养护标准（DG/TJ08-2215-2016）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auto"/>
                <w:kern w:val="0"/>
                <w:sz w:val="20"/>
                <w:szCs w:val="20"/>
                <w:lang w:eastAsia="ja-JP"/>
              </w:rPr>
            </w:pPr>
            <w:r>
              <w:rPr>
                <w:rFonts w:hint="eastAsia" w:ascii="仿宋_GB2312" w:hAnsi="宋体" w:eastAsia="仿宋_GB2312"/>
                <w:color w:val="auto"/>
                <w:kern w:val="0"/>
                <w:sz w:val="20"/>
                <w:szCs w:val="20"/>
                <w:lang w:eastAsia="ja-JP"/>
              </w:rPr>
              <w:t>26</w:t>
            </w:r>
          </w:p>
        </w:tc>
        <w:tc>
          <w:tcPr>
            <w:tcW w:w="7303" w:type="dxa"/>
            <w:vAlign w:val="center"/>
          </w:tcPr>
          <w:p>
            <w:pPr>
              <w:topLinePunct/>
              <w:adjustRightInd w:val="0"/>
              <w:rPr>
                <w:rFonts w:hint="eastAsia" w:ascii="仿宋_GB2312" w:hAnsi="宋体" w:eastAsia="仿宋_GB2312"/>
                <w:color w:val="auto"/>
                <w:kern w:val="0"/>
                <w:sz w:val="20"/>
                <w:szCs w:val="20"/>
                <w:lang w:eastAsia="ja-JP"/>
              </w:rPr>
            </w:pPr>
            <w:r>
              <w:rPr>
                <w:rFonts w:hint="eastAsia" w:ascii="仿宋_GB2312" w:hAnsi="宋体" w:eastAsia="仿宋_GB2312" w:cs="宋体"/>
                <w:color w:val="auto"/>
                <w:szCs w:val="21"/>
                <w:lang w:eastAsia="ja-JP"/>
              </w:rPr>
              <w:t>道路隧道养护运行评价技术标准（DG/TJ08-2425-2023）</w:t>
            </w:r>
          </w:p>
        </w:tc>
      </w:tr>
    </w:tbl>
    <w:p>
      <w:pPr>
        <w:topLinePunct/>
        <w:adjustRightInd w:val="0"/>
        <w:snapToGrid w:val="0"/>
        <w:jc w:val="left"/>
        <w:rPr>
          <w:rFonts w:ascii="Times New Roman" w:hAnsi="Times New Roman"/>
          <w:b/>
          <w:bCs/>
          <w:color w:val="auto"/>
          <w:sz w:val="32"/>
          <w:szCs w:val="32"/>
        </w:rPr>
      </w:pPr>
      <w:r>
        <w:rPr>
          <w:rFonts w:ascii="Times New Roman" w:hAnsi="Times New Roman"/>
          <w:b/>
          <w:bCs/>
          <w:color w:val="auto"/>
          <w:sz w:val="32"/>
          <w:szCs w:val="32"/>
        </w:rPr>
        <w:br w:type="page"/>
      </w:r>
    </w:p>
    <w:p>
      <w:pPr>
        <w:topLinePunct/>
        <w:adjustRightInd w:val="0"/>
        <w:snapToGrid w:val="0"/>
        <w:jc w:val="left"/>
        <w:rPr>
          <w:rFonts w:hint="eastAsia" w:ascii="黑体" w:hAnsi="黑体" w:eastAsia="黑体"/>
          <w:bCs/>
          <w:color w:val="auto"/>
          <w:kern w:val="0"/>
          <w:sz w:val="28"/>
          <w:szCs w:val="28"/>
        </w:rPr>
      </w:pPr>
      <w:r>
        <w:rPr>
          <w:rFonts w:hint="eastAsia" w:ascii="黑体" w:hAnsi="黑体" w:eastAsia="黑体"/>
          <w:bCs/>
          <w:color w:val="auto"/>
          <w:kern w:val="0"/>
          <w:sz w:val="28"/>
          <w:szCs w:val="28"/>
        </w:rPr>
        <w:t>附件五：</w:t>
      </w:r>
    </w:p>
    <w:p>
      <w:pPr>
        <w:widowControl/>
        <w:spacing w:line="500" w:lineRule="exact"/>
        <w:rPr>
          <w:rFonts w:hint="eastAsia" w:ascii="仿宋_GB2312" w:hAnsi="仿宋_GB2312" w:eastAsia="仿宋_GB2312"/>
          <w:color w:val="auto"/>
          <w:sz w:val="24"/>
        </w:rPr>
      </w:pPr>
    </w:p>
    <w:p>
      <w:pPr>
        <w:topLinePunct/>
        <w:adjustRightInd w:val="0"/>
        <w:snapToGrid w:val="0"/>
        <w:spacing w:before="120" w:beforeLines="50" w:after="120" w:afterLines="50" w:line="360" w:lineRule="auto"/>
        <w:jc w:val="center"/>
        <w:textAlignment w:val="center"/>
        <w:rPr>
          <w:rFonts w:hint="eastAsia" w:ascii="Times New Roman" w:hAnsi="华文中宋" w:eastAsia="华文中宋"/>
          <w:b/>
          <w:color w:val="auto"/>
          <w:kern w:val="0"/>
          <w:sz w:val="32"/>
          <w:szCs w:val="32"/>
        </w:rPr>
      </w:pPr>
      <w:r>
        <w:rPr>
          <w:rFonts w:hint="eastAsia" w:ascii="Times New Roman" w:hAnsi="华文中宋" w:eastAsia="华文中宋"/>
          <w:b/>
          <w:color w:val="auto"/>
          <w:kern w:val="0"/>
          <w:sz w:val="32"/>
          <w:szCs w:val="32"/>
        </w:rPr>
        <w:t>市管城市道路景观灯光养护运维考核评分细则</w:t>
      </w:r>
    </w:p>
    <w:p>
      <w:pPr>
        <w:topLinePunct/>
        <w:adjustRightInd w:val="0"/>
        <w:snapToGrid w:val="0"/>
        <w:spacing w:line="360" w:lineRule="auto"/>
        <w:ind w:firstLine="480" w:firstLineChars="200"/>
        <w:jc w:val="left"/>
        <w:textAlignment w:val="center"/>
        <w:rPr>
          <w:rFonts w:hint="eastAsia" w:ascii="仿宋_GB2312" w:hAnsi="仿宋_GB2312" w:eastAsia="仿宋_GB2312"/>
          <w:color w:val="auto"/>
          <w:sz w:val="24"/>
        </w:rPr>
      </w:pPr>
      <w:r>
        <w:rPr>
          <w:rFonts w:hint="eastAsia" w:ascii="仿宋_GB2312" w:hAnsi="仿宋_GB2312" w:eastAsia="仿宋_GB2312"/>
          <w:color w:val="auto"/>
          <w:sz w:val="24"/>
        </w:rPr>
        <w:t>为进一步完善市管城市道路日常养护运维考核办法，提高城市道路养护运维质量，保证考核评分工作规范化和可操作性，根据《上海市道路运输事业发展中心市管城市道路日常养护运维工作考核管理办法（试行）》，结合灯光养护技术规范以及检查考核工作实践，修订《市管城市道路景观灯光养护运维考核评分细则》（以下简称“评分细则”）如下。</w:t>
      </w:r>
    </w:p>
    <w:p>
      <w:pPr>
        <w:topLinePunct/>
        <w:adjustRightInd w:val="0"/>
        <w:snapToGrid w:val="0"/>
        <w:spacing w:line="360" w:lineRule="auto"/>
        <w:ind w:firstLine="482" w:firstLineChars="200"/>
        <w:rPr>
          <w:rFonts w:hint="eastAsia" w:ascii="黑体" w:hAnsi="黑体" w:eastAsia="黑体"/>
          <w:b/>
          <w:bCs/>
          <w:color w:val="auto"/>
          <w:sz w:val="24"/>
        </w:rPr>
      </w:pPr>
      <w:r>
        <w:rPr>
          <w:rFonts w:hint="eastAsia" w:ascii="黑体" w:hAnsi="黑体" w:eastAsia="黑体"/>
          <w:b/>
          <w:bCs/>
          <w:color w:val="auto"/>
          <w:sz w:val="24"/>
        </w:rPr>
        <w:t>一、定量考核（6</w:t>
      </w:r>
      <w:r>
        <w:rPr>
          <w:rFonts w:ascii="黑体" w:hAnsi="黑体" w:eastAsia="黑体"/>
          <w:b/>
          <w:bCs/>
          <w:color w:val="auto"/>
          <w:sz w:val="24"/>
        </w:rPr>
        <w:t>0</w:t>
      </w:r>
      <w:r>
        <w:rPr>
          <w:rFonts w:hint="eastAsia" w:ascii="黑体" w:hAnsi="黑体" w:eastAsia="黑体"/>
          <w:b/>
          <w:bCs/>
          <w:color w:val="auto"/>
          <w:sz w:val="24"/>
        </w:rPr>
        <w:t>分）</w:t>
      </w:r>
    </w:p>
    <w:p>
      <w:pPr>
        <w:topLinePunct/>
        <w:adjustRightInd w:val="0"/>
        <w:snapToGrid w:val="0"/>
        <w:spacing w:line="360" w:lineRule="auto"/>
        <w:ind w:firstLine="482" w:firstLineChars="200"/>
        <w:rPr>
          <w:rFonts w:hint="eastAsia" w:ascii="微软雅黑" w:hAnsi="微软雅黑" w:eastAsia="微软雅黑" w:cs="微软雅黑"/>
          <w:color w:val="auto"/>
          <w:szCs w:val="21"/>
          <w:shd w:val="clear" w:color="auto" w:fill="FFFFFF"/>
        </w:rPr>
      </w:pPr>
      <w:r>
        <w:rPr>
          <w:rFonts w:hint="eastAsia" w:ascii="楷体_GB2312" w:hAnsi="宋体" w:eastAsia="楷体_GB2312"/>
          <w:b/>
          <w:bCs/>
          <w:color w:val="auto"/>
          <w:sz w:val="24"/>
        </w:rPr>
        <w:t>1.巡查覆盖率</w:t>
      </w:r>
    </w:p>
    <w:p>
      <w:pPr>
        <w:topLinePunct/>
        <w:adjustRightInd w:val="0"/>
        <w:snapToGrid w:val="0"/>
        <w:spacing w:line="360" w:lineRule="auto"/>
        <w:ind w:firstLine="480" w:firstLineChars="200"/>
        <w:rPr>
          <w:rFonts w:hint="eastAsia" w:ascii="仿宋_GB2312" w:hAnsi="仿宋_GB2312" w:eastAsia="仿宋_GB2312"/>
          <w:color w:val="auto"/>
          <w:sz w:val="24"/>
        </w:rPr>
      </w:pPr>
      <w:r>
        <w:rPr>
          <w:rFonts w:hint="eastAsia" w:ascii="仿宋_GB2312" w:hAnsi="仿宋_GB2312" w:eastAsia="仿宋_GB2312"/>
          <w:color w:val="auto"/>
          <w:sz w:val="24"/>
        </w:rPr>
        <w:t>满分 10 分。养护单位应每3天对管养设施（高架景观灯、苏州河沿线桥梁景观灯）全覆盖巡查养护。巡视车辆GPS 巡查数据覆盖率达到里程的90%以上；针对苏州河沿线桥梁及南浦、杨浦、卢浦大桥景观灯光要求利用水印相机对桥两侧进行拍照打卡，打卡</w:t>
      </w:r>
      <w:r>
        <w:rPr>
          <w:rFonts w:ascii="仿宋_GB2312" w:hAnsi="仿宋_GB2312" w:eastAsia="仿宋_GB2312"/>
          <w:color w:val="auto"/>
          <w:sz w:val="24"/>
        </w:rPr>
        <w:t>率应达到 100%。</w:t>
      </w:r>
      <w:r>
        <w:rPr>
          <w:rFonts w:hint="eastAsia" w:ascii="仿宋_GB2312" w:hAnsi="仿宋_GB2312" w:eastAsia="仿宋_GB2312"/>
          <w:color w:val="auto"/>
          <w:sz w:val="24"/>
        </w:rPr>
        <w:t>不合格扣1分/天，扣完为止。</w:t>
      </w:r>
    </w:p>
    <w:p>
      <w:pPr>
        <w:topLinePunct/>
        <w:adjustRightInd w:val="0"/>
        <w:snapToGrid w:val="0"/>
        <w:spacing w:line="360" w:lineRule="auto"/>
        <w:ind w:firstLine="482" w:firstLineChars="200"/>
        <w:rPr>
          <w:rFonts w:hint="eastAsia" w:ascii="楷体_GB2312" w:hAnsi="宋体" w:eastAsia="楷体_GB2312"/>
          <w:b/>
          <w:bCs/>
          <w:color w:val="auto"/>
          <w:sz w:val="24"/>
        </w:rPr>
      </w:pPr>
      <w:r>
        <w:rPr>
          <w:rFonts w:hint="eastAsia" w:ascii="楷体_GB2312" w:hAnsi="宋体" w:eastAsia="楷体_GB2312"/>
          <w:b/>
          <w:bCs/>
          <w:color w:val="auto"/>
          <w:sz w:val="24"/>
        </w:rPr>
        <w:t>2.病害处置率</w:t>
      </w:r>
    </w:p>
    <w:p>
      <w:pPr>
        <w:topLinePunct/>
        <w:adjustRightInd w:val="0"/>
        <w:snapToGrid w:val="0"/>
        <w:spacing w:line="360" w:lineRule="auto"/>
        <w:ind w:firstLine="480" w:firstLineChars="200"/>
        <w:jc w:val="left"/>
        <w:rPr>
          <w:rFonts w:hint="eastAsia" w:ascii="仿宋_GB2312" w:hAnsi="仿宋_GB2312" w:eastAsia="仿宋_GB2312"/>
          <w:color w:val="auto"/>
          <w:sz w:val="24"/>
        </w:rPr>
      </w:pPr>
      <w:r>
        <w:rPr>
          <w:rFonts w:hint="eastAsia" w:ascii="仿宋_GB2312" w:hAnsi="仿宋_GB2312" w:eastAsia="仿宋_GB2312"/>
          <w:color w:val="auto"/>
          <w:sz w:val="24"/>
        </w:rPr>
        <w:t>满分 20 分。养护单位日常巡查发现的病害应及时录入至养护在线监管系统，并由监理单位复核其处置情况，在规定的处置时限内完成闭环。</w:t>
      </w:r>
    </w:p>
    <w:p>
      <w:pPr>
        <w:topLinePunct/>
        <w:adjustRightInd w:val="0"/>
        <w:snapToGrid w:val="0"/>
        <w:spacing w:line="360" w:lineRule="auto"/>
        <w:ind w:firstLine="480" w:firstLineChars="200"/>
        <w:jc w:val="left"/>
        <w:rPr>
          <w:rFonts w:hint="eastAsia" w:ascii="仿宋_GB2312" w:hAnsi="仿宋_GB2312" w:eastAsia="仿宋_GB2312"/>
          <w:color w:val="auto"/>
          <w:sz w:val="24"/>
        </w:rPr>
      </w:pPr>
      <w:r>
        <w:rPr>
          <w:rFonts w:hint="eastAsia" w:ascii="仿宋_GB2312" w:hAnsi="仿宋_GB2312" w:eastAsia="仿宋_GB2312"/>
          <w:color w:val="auto"/>
          <w:sz w:val="24"/>
        </w:rPr>
        <w:t>（1）每季度上报养护在线监管系统的病害数量应达到相应标准，上报数量不少于40个/季度。未达到季度上报养护在线监管系统病害数量的扣 3 分。</w:t>
      </w:r>
    </w:p>
    <w:p>
      <w:pPr>
        <w:topLinePunct/>
        <w:adjustRightInd w:val="0"/>
        <w:snapToGrid w:val="0"/>
        <w:spacing w:line="360" w:lineRule="auto"/>
        <w:jc w:val="left"/>
        <w:rPr>
          <w:rFonts w:hint="eastAsia" w:ascii="仿宋_GB2312" w:hAnsi="仿宋_GB2312" w:eastAsia="仿宋_GB2312"/>
          <w:color w:val="auto"/>
          <w:sz w:val="24"/>
        </w:rPr>
      </w:pPr>
      <w:r>
        <w:rPr>
          <w:rFonts w:hint="eastAsia" w:ascii="仿宋_GB2312" w:hAnsi="仿宋_GB2312" w:eastAsia="仿宋_GB2312"/>
          <w:color w:val="auto"/>
          <w:sz w:val="24"/>
        </w:rPr>
        <w:t>（2）病害按规定要求已处置完成，数量不少于 60个/季度（含业主、监理上报病害）。未按规定要求处置完成的扣 2 分。</w:t>
      </w:r>
    </w:p>
    <w:p>
      <w:pPr>
        <w:topLinePunct/>
        <w:adjustRightInd w:val="0"/>
        <w:snapToGrid w:val="0"/>
        <w:spacing w:line="360" w:lineRule="auto"/>
        <w:jc w:val="left"/>
        <w:rPr>
          <w:rFonts w:hint="eastAsia" w:ascii="仿宋_GB2312" w:hAnsi="仿宋_GB2312" w:eastAsia="仿宋_GB2312"/>
          <w:color w:val="auto"/>
          <w:sz w:val="24"/>
        </w:rPr>
      </w:pPr>
      <w:r>
        <w:rPr>
          <w:rFonts w:hint="eastAsia" w:ascii="仿宋_GB2312" w:hAnsi="仿宋_GB2312" w:eastAsia="仿宋_GB2312"/>
          <w:color w:val="auto"/>
          <w:sz w:val="24"/>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天，危险病害不超过 1 天。若因特殊原因出现逾期情况，需进行说明，由监理单位进行审核。</w:t>
      </w:r>
    </w:p>
    <w:p>
      <w:pPr>
        <w:topLinePunct/>
        <w:adjustRightInd w:val="0"/>
        <w:snapToGrid w:val="0"/>
        <w:spacing w:line="360" w:lineRule="auto"/>
        <w:ind w:firstLine="482" w:firstLineChars="200"/>
        <w:rPr>
          <w:rFonts w:hint="eastAsia" w:ascii="楷体_GB2312" w:hAnsi="宋体" w:eastAsia="楷体_GB2312"/>
          <w:b/>
          <w:bCs/>
          <w:color w:val="auto"/>
          <w:sz w:val="24"/>
        </w:rPr>
      </w:pPr>
      <w:r>
        <w:rPr>
          <w:rFonts w:hint="eastAsia" w:ascii="楷体_GB2312" w:hAnsi="宋体" w:eastAsia="楷体_GB2312"/>
          <w:b/>
          <w:bCs/>
          <w:color w:val="auto"/>
          <w:sz w:val="24"/>
        </w:rPr>
        <w:t>3</w:t>
      </w:r>
      <w:r>
        <w:rPr>
          <w:rFonts w:ascii="楷体_GB2312" w:hAnsi="宋体" w:eastAsia="楷体_GB2312"/>
          <w:b/>
          <w:bCs/>
          <w:color w:val="auto"/>
          <w:sz w:val="24"/>
        </w:rPr>
        <w:t xml:space="preserve">. </w:t>
      </w:r>
      <w:r>
        <w:rPr>
          <w:rFonts w:hint="eastAsia" w:ascii="楷体_GB2312" w:hAnsi="宋体" w:eastAsia="楷体_GB2312"/>
          <w:b/>
          <w:bCs/>
          <w:color w:val="auto"/>
          <w:sz w:val="24"/>
        </w:rPr>
        <w:t>计划执行率</w:t>
      </w:r>
    </w:p>
    <w:p>
      <w:pPr>
        <w:topLinePunct/>
        <w:adjustRightInd w:val="0"/>
        <w:snapToGrid w:val="0"/>
        <w:spacing w:line="360" w:lineRule="auto"/>
        <w:ind w:firstLine="480" w:firstLineChars="200"/>
        <w:rPr>
          <w:rFonts w:hint="eastAsia" w:ascii="仿宋_GB2312" w:hAnsi="仿宋_GB2312" w:eastAsia="仿宋_GB2312"/>
          <w:color w:val="auto"/>
          <w:sz w:val="24"/>
        </w:rPr>
      </w:pPr>
      <w:r>
        <w:rPr>
          <w:rFonts w:hint="eastAsia" w:ascii="仿宋_GB2312" w:hAnsi="仿宋_GB2312" w:eastAsia="仿宋_GB2312"/>
          <w:color w:val="auto"/>
          <w:sz w:val="24"/>
        </w:rPr>
        <w:t>满分2</w:t>
      </w:r>
      <w:r>
        <w:rPr>
          <w:rFonts w:ascii="仿宋_GB2312" w:hAnsi="仿宋_GB2312" w:eastAsia="仿宋_GB2312"/>
          <w:color w:val="auto"/>
          <w:sz w:val="24"/>
        </w:rPr>
        <w:t>0</w:t>
      </w:r>
      <w:r>
        <w:rPr>
          <w:rFonts w:hint="eastAsia" w:ascii="仿宋_GB2312" w:hAnsi="仿宋_GB2312" w:eastAsia="仿宋_GB2312"/>
          <w:color w:val="auto"/>
          <w:sz w:val="24"/>
        </w:rPr>
        <w:t>分。养护单位应每周报送养护作业计划，并填写实际完成情况，由监理单位进行审核，结果为已完成或未完成。对考核时间内的每日计划完成情况进行统计，季度计划执行率应达到</w:t>
      </w:r>
      <w:r>
        <w:rPr>
          <w:rFonts w:ascii="仿宋_GB2312" w:hAnsi="仿宋_GB2312" w:eastAsia="仿宋_GB2312"/>
          <w:color w:val="auto"/>
          <w:sz w:val="24"/>
        </w:rPr>
        <w:t>100%</w:t>
      </w:r>
      <w:r>
        <w:rPr>
          <w:rFonts w:hint="eastAsia" w:ascii="仿宋_GB2312" w:hAnsi="仿宋_GB2312" w:eastAsia="仿宋_GB2312"/>
          <w:color w:val="auto"/>
          <w:sz w:val="24"/>
        </w:rPr>
        <w:t>，</w:t>
      </w:r>
      <w:r>
        <w:rPr>
          <w:rFonts w:ascii="仿宋_GB2312" w:hAnsi="仿宋_GB2312" w:eastAsia="仿宋_GB2312"/>
          <w:b/>
          <w:color w:val="auto"/>
          <w:sz w:val="24"/>
        </w:rPr>
        <w:t>每降低1%扣2分</w:t>
      </w:r>
      <w:r>
        <w:rPr>
          <w:rFonts w:hint="eastAsia" w:ascii="仿宋_GB2312" w:hAnsi="仿宋_GB2312" w:eastAsia="仿宋_GB2312"/>
          <w:color w:val="auto"/>
          <w:sz w:val="24"/>
        </w:rPr>
        <w:t>，扣完为止。若因特殊原因出现未完成情况，需进行说明，由监理单位进行审核。</w:t>
      </w:r>
    </w:p>
    <w:p>
      <w:pPr>
        <w:topLinePunct/>
        <w:adjustRightInd w:val="0"/>
        <w:snapToGrid w:val="0"/>
        <w:spacing w:line="360" w:lineRule="auto"/>
        <w:jc w:val="center"/>
        <w:rPr>
          <w:rFonts w:hint="eastAsia" w:ascii="宋体" w:hAnsi="宋体"/>
          <w:iCs/>
          <w:color w:val="auto"/>
          <w:sz w:val="24"/>
        </w:rPr>
      </w:pPr>
      <w:r>
        <w:rPr>
          <w:rFonts w:hint="eastAsia" w:ascii="宋体" w:hAnsi="宋体"/>
          <w:color w:val="auto"/>
          <w:sz w:val="24"/>
        </w:rPr>
        <w:t>考核时间内计划执行率 =</w:t>
      </w:r>
      <m:oMath>
        <m:f>
          <m:fPr>
            <m:ctrlPr>
              <w:rPr>
                <w:rFonts w:ascii="Cambria Math" w:hAnsi="Cambria Math"/>
                <w:iCs/>
                <w:color w:val="auto"/>
                <w:sz w:val="24"/>
              </w:rPr>
            </m:ctrlPr>
          </m:fPr>
          <m:num>
            <m:r>
              <m:rPr>
                <m:sty m:val="p"/>
              </m:rPr>
              <w:rPr>
                <w:rFonts w:hint="eastAsia" w:ascii="Cambria Math" w:hAnsi="Cambria Math"/>
                <w:color w:val="auto"/>
                <w:sz w:val="24"/>
              </w:rPr>
              <m:t>已完成保洁作业总量</m:t>
            </m:r>
            <m:ctrlPr>
              <w:rPr>
                <w:rFonts w:ascii="Cambria Math" w:hAnsi="Cambria Math"/>
                <w:iCs/>
                <w:color w:val="auto"/>
                <w:sz w:val="24"/>
              </w:rPr>
            </m:ctrlPr>
          </m:num>
          <m:den>
            <m:r>
              <m:rPr>
                <m:sty m:val="p"/>
              </m:rPr>
              <w:rPr>
                <w:rFonts w:hint="eastAsia" w:ascii="Cambria Math" w:hAnsi="Cambria Math"/>
                <w:color w:val="auto"/>
                <w:sz w:val="24"/>
              </w:rPr>
              <m:t>已报送保洁作业计划总量</m:t>
            </m:r>
            <m:ctrlPr>
              <w:rPr>
                <w:rFonts w:ascii="Cambria Math" w:hAnsi="Cambria Math"/>
                <w:iCs/>
                <w:color w:val="auto"/>
                <w:sz w:val="24"/>
              </w:rPr>
            </m:ctrlPr>
          </m:den>
        </m:f>
      </m:oMath>
    </w:p>
    <w:p>
      <w:pPr>
        <w:topLinePunct/>
        <w:adjustRightInd w:val="0"/>
        <w:snapToGrid w:val="0"/>
        <w:spacing w:line="360" w:lineRule="auto"/>
        <w:ind w:firstLine="482" w:firstLineChars="200"/>
        <w:rPr>
          <w:rFonts w:hint="eastAsia" w:ascii="楷体_GB2312" w:hAnsi="宋体" w:eastAsia="楷体_GB2312"/>
          <w:b/>
          <w:bCs/>
          <w:color w:val="auto"/>
          <w:sz w:val="24"/>
        </w:rPr>
      </w:pPr>
      <w:r>
        <w:rPr>
          <w:rFonts w:hint="eastAsia" w:ascii="楷体_GB2312" w:hAnsi="宋体" w:eastAsia="楷体_GB2312"/>
          <w:b/>
          <w:bCs/>
          <w:color w:val="auto"/>
          <w:sz w:val="24"/>
        </w:rPr>
        <w:t>4</w:t>
      </w:r>
      <w:r>
        <w:rPr>
          <w:rFonts w:ascii="楷体_GB2312" w:hAnsi="宋体" w:eastAsia="楷体_GB2312"/>
          <w:b/>
          <w:bCs/>
          <w:color w:val="auto"/>
          <w:sz w:val="24"/>
        </w:rPr>
        <w:t xml:space="preserve">. </w:t>
      </w:r>
      <w:r>
        <w:rPr>
          <w:rFonts w:hint="eastAsia" w:ascii="楷体_GB2312" w:hAnsi="宋体" w:eastAsia="楷体_GB2312"/>
          <w:b/>
          <w:bCs/>
          <w:color w:val="auto"/>
          <w:sz w:val="24"/>
        </w:rPr>
        <w:t>内业提交情况</w:t>
      </w:r>
    </w:p>
    <w:p>
      <w:pPr>
        <w:topLinePunct/>
        <w:adjustRightInd w:val="0"/>
        <w:snapToGrid w:val="0"/>
        <w:spacing w:line="360" w:lineRule="auto"/>
        <w:ind w:firstLine="480" w:firstLineChars="200"/>
        <w:rPr>
          <w:rFonts w:hint="eastAsia" w:ascii="仿宋_GB2312" w:hAnsi="仿宋_GB2312" w:eastAsia="仿宋_GB2312"/>
          <w:color w:val="auto"/>
          <w:sz w:val="24"/>
        </w:rPr>
      </w:pPr>
      <w:r>
        <w:rPr>
          <w:rFonts w:hint="eastAsia" w:ascii="仿宋_GB2312" w:hAnsi="仿宋_GB2312" w:eastAsia="仿宋_GB2312"/>
          <w:color w:val="auto"/>
          <w:sz w:val="24"/>
        </w:rPr>
        <w:t>满分</w:t>
      </w:r>
      <w:r>
        <w:rPr>
          <w:rFonts w:ascii="仿宋_GB2312" w:hAnsi="仿宋_GB2312" w:eastAsia="仿宋_GB2312"/>
          <w:color w:val="auto"/>
          <w:sz w:val="24"/>
        </w:rPr>
        <w:t>10</w:t>
      </w:r>
      <w:r>
        <w:rPr>
          <w:rFonts w:hint="eastAsia" w:ascii="仿宋_GB2312" w:hAnsi="仿宋_GB2312" w:eastAsia="仿宋_GB2312"/>
          <w:color w:val="auto"/>
          <w:sz w:val="24"/>
        </w:rPr>
        <w:t>分。养护单位应安排相对固定的人员负责养护信息化系统管理工作，要求</w:t>
      </w:r>
      <w:r>
        <w:rPr>
          <w:rFonts w:ascii="仿宋_GB2312" w:hAnsi="仿宋_GB2312" w:eastAsia="仿宋_GB2312"/>
          <w:color w:val="auto"/>
          <w:sz w:val="24"/>
        </w:rPr>
        <w:t>内业资料按时上报且齐全</w:t>
      </w:r>
      <w:r>
        <w:rPr>
          <w:rFonts w:hint="eastAsia" w:ascii="仿宋_GB2312" w:hAnsi="仿宋_GB2312" w:eastAsia="仿宋_GB2312"/>
          <w:color w:val="auto"/>
          <w:sz w:val="24"/>
        </w:rPr>
        <w:t>，及时反馈系统问题。养护内业资料目录详见附录八，若未按时提交，扣</w:t>
      </w:r>
      <w:r>
        <w:rPr>
          <w:rFonts w:ascii="仿宋_GB2312" w:hAnsi="仿宋_GB2312" w:eastAsia="仿宋_GB2312"/>
          <w:color w:val="auto"/>
          <w:sz w:val="24"/>
        </w:rPr>
        <w:t>2</w:t>
      </w:r>
      <w:r>
        <w:rPr>
          <w:rFonts w:hint="eastAsia" w:ascii="仿宋_GB2312" w:hAnsi="仿宋_GB2312" w:eastAsia="仿宋_GB2312"/>
          <w:color w:val="auto"/>
          <w:sz w:val="24"/>
        </w:rPr>
        <w:t>分/项，扣完为止。</w:t>
      </w:r>
    </w:p>
    <w:p>
      <w:pPr>
        <w:topLinePunct/>
        <w:adjustRightInd w:val="0"/>
        <w:snapToGrid w:val="0"/>
        <w:spacing w:line="360" w:lineRule="auto"/>
        <w:ind w:firstLine="482" w:firstLineChars="200"/>
        <w:rPr>
          <w:rFonts w:hint="eastAsia" w:ascii="黑体" w:hAnsi="黑体" w:eastAsia="黑体"/>
          <w:b/>
          <w:bCs/>
          <w:color w:val="auto"/>
          <w:sz w:val="24"/>
        </w:rPr>
      </w:pPr>
      <w:r>
        <w:rPr>
          <w:rFonts w:hint="eastAsia" w:ascii="黑体" w:hAnsi="黑体" w:eastAsia="黑体"/>
          <w:b/>
          <w:bCs/>
          <w:color w:val="auto"/>
          <w:sz w:val="24"/>
        </w:rPr>
        <w:t>二、定性考核（4</w:t>
      </w:r>
      <w:r>
        <w:rPr>
          <w:rFonts w:ascii="黑体" w:hAnsi="黑体" w:eastAsia="黑体"/>
          <w:b/>
          <w:bCs/>
          <w:color w:val="auto"/>
          <w:sz w:val="24"/>
        </w:rPr>
        <w:t>0</w:t>
      </w:r>
      <w:r>
        <w:rPr>
          <w:rFonts w:hint="eastAsia" w:ascii="黑体" w:hAnsi="黑体" w:eastAsia="黑体"/>
          <w:b/>
          <w:bCs/>
          <w:color w:val="auto"/>
          <w:sz w:val="24"/>
        </w:rPr>
        <w:t>分）</w:t>
      </w:r>
    </w:p>
    <w:p>
      <w:pPr>
        <w:topLinePunct/>
        <w:adjustRightInd w:val="0"/>
        <w:snapToGrid w:val="0"/>
        <w:spacing w:line="360" w:lineRule="auto"/>
        <w:ind w:firstLine="482" w:firstLineChars="200"/>
        <w:rPr>
          <w:rFonts w:hint="eastAsia" w:ascii="楷体_GB2312" w:hAnsi="宋体" w:eastAsia="楷体_GB2312"/>
          <w:b/>
          <w:bCs/>
          <w:color w:val="auto"/>
          <w:sz w:val="24"/>
        </w:rPr>
      </w:pPr>
      <w:r>
        <w:rPr>
          <w:rFonts w:hint="eastAsia" w:ascii="楷体_GB2312" w:hAnsi="宋体" w:eastAsia="楷体_GB2312"/>
          <w:b/>
          <w:bCs/>
          <w:color w:val="auto"/>
          <w:sz w:val="24"/>
        </w:rPr>
        <w:t>（一）外场检查（30分）</w:t>
      </w:r>
    </w:p>
    <w:p>
      <w:pPr>
        <w:topLinePunct/>
        <w:adjustRightInd w:val="0"/>
        <w:snapToGrid w:val="0"/>
        <w:spacing w:line="360" w:lineRule="auto"/>
        <w:ind w:firstLine="482" w:firstLineChars="200"/>
        <w:jc w:val="left"/>
        <w:textAlignment w:val="center"/>
        <w:rPr>
          <w:rFonts w:hint="eastAsia" w:ascii="楷体_GB2312" w:hAnsi="宋体" w:eastAsia="楷体_GB2312"/>
          <w:b/>
          <w:bCs/>
          <w:color w:val="auto"/>
          <w:sz w:val="24"/>
        </w:rPr>
      </w:pPr>
      <w:r>
        <w:rPr>
          <w:rFonts w:hint="eastAsia" w:ascii="楷体_GB2312" w:hAnsi="宋体" w:eastAsia="楷体_GB2312"/>
          <w:b/>
          <w:bCs/>
          <w:color w:val="auto"/>
          <w:sz w:val="24"/>
        </w:rPr>
        <w:t>1.亮灯率</w:t>
      </w:r>
    </w:p>
    <w:p>
      <w:pPr>
        <w:topLinePunct/>
        <w:adjustRightInd w:val="0"/>
        <w:snapToGrid w:val="0"/>
        <w:spacing w:line="360" w:lineRule="auto"/>
        <w:ind w:firstLine="480" w:firstLineChars="200"/>
        <w:jc w:val="left"/>
        <w:textAlignment w:val="center"/>
        <w:rPr>
          <w:rFonts w:hint="eastAsia" w:ascii="仿宋_GB2312" w:hAnsi="仿宋_GB2312" w:eastAsia="仿宋_GB2312"/>
          <w:color w:val="auto"/>
          <w:sz w:val="24"/>
        </w:rPr>
      </w:pPr>
      <w:r>
        <w:rPr>
          <w:rFonts w:hint="eastAsia" w:ascii="仿宋_GB2312" w:hAnsi="仿宋_GB2312" w:eastAsia="仿宋_GB2312"/>
          <w:color w:val="auto"/>
          <w:sz w:val="24"/>
        </w:rPr>
        <w:t>满分1</w:t>
      </w:r>
      <w:r>
        <w:rPr>
          <w:rFonts w:ascii="仿宋_GB2312" w:hAnsi="仿宋_GB2312" w:eastAsia="仿宋_GB2312"/>
          <w:color w:val="auto"/>
          <w:sz w:val="24"/>
        </w:rPr>
        <w:t>0</w:t>
      </w:r>
      <w:r>
        <w:rPr>
          <w:rFonts w:hint="eastAsia" w:ascii="仿宋_GB2312" w:hAnsi="仿宋_GB2312" w:eastAsia="仿宋_GB2312"/>
          <w:color w:val="auto"/>
          <w:sz w:val="24"/>
        </w:rPr>
        <w:t>分。养护单位应确保</w:t>
      </w:r>
      <w:r>
        <w:rPr>
          <w:rFonts w:ascii="仿宋_GB2312" w:hAnsi="仿宋_GB2312" w:eastAsia="仿宋_GB2312"/>
          <w:color w:val="auto"/>
          <w:sz w:val="24"/>
        </w:rPr>
        <w:t>景观灯光设施固定</w:t>
      </w:r>
      <w:r>
        <w:rPr>
          <w:rFonts w:hint="eastAsia" w:ascii="仿宋_GB2312" w:hAnsi="仿宋_GB2312" w:eastAsia="仿宋_GB2312"/>
          <w:color w:val="auto"/>
          <w:sz w:val="24"/>
        </w:rPr>
        <w:t>情况</w:t>
      </w:r>
      <w:r>
        <w:rPr>
          <w:rFonts w:ascii="仿宋_GB2312" w:hAnsi="仿宋_GB2312" w:eastAsia="仿宋_GB2312"/>
          <w:color w:val="auto"/>
          <w:sz w:val="24"/>
        </w:rPr>
        <w:t>的巡视</w:t>
      </w:r>
      <w:r>
        <w:rPr>
          <w:rFonts w:hint="eastAsia" w:ascii="仿宋_GB2312" w:hAnsi="仿宋_GB2312" w:eastAsia="仿宋_GB2312"/>
          <w:color w:val="auto"/>
          <w:sz w:val="24"/>
        </w:rPr>
        <w:t>，要求景观灯光100</w:t>
      </w:r>
      <w:r>
        <w:rPr>
          <w:rFonts w:ascii="仿宋_GB2312" w:hAnsi="仿宋_GB2312" w:eastAsia="仿宋_GB2312"/>
          <w:color w:val="auto"/>
          <w:sz w:val="24"/>
        </w:rPr>
        <w:t>%亮灯率</w:t>
      </w:r>
      <w:r>
        <w:rPr>
          <w:rFonts w:hint="eastAsia" w:ascii="仿宋_GB2312" w:hAnsi="仿宋_GB2312" w:eastAsia="仿宋_GB2312"/>
          <w:color w:val="auto"/>
          <w:sz w:val="24"/>
        </w:rPr>
        <w:t>，每降低0</w:t>
      </w:r>
      <w:r>
        <w:rPr>
          <w:rFonts w:ascii="仿宋_GB2312" w:hAnsi="仿宋_GB2312" w:eastAsia="仿宋_GB2312"/>
          <w:color w:val="auto"/>
          <w:sz w:val="24"/>
        </w:rPr>
        <w:t>.5%</w:t>
      </w:r>
      <w:r>
        <w:rPr>
          <w:rFonts w:hint="eastAsia" w:ascii="仿宋_GB2312" w:hAnsi="仿宋_GB2312" w:eastAsia="仿宋_GB2312"/>
          <w:color w:val="auto"/>
          <w:sz w:val="24"/>
        </w:rPr>
        <w:t>扣5分，扣完为止。</w:t>
      </w:r>
    </w:p>
    <w:p>
      <w:pPr>
        <w:topLinePunct/>
        <w:adjustRightInd w:val="0"/>
        <w:snapToGrid w:val="0"/>
        <w:spacing w:line="360" w:lineRule="auto"/>
        <w:ind w:firstLine="482" w:firstLineChars="200"/>
        <w:jc w:val="left"/>
        <w:textAlignment w:val="center"/>
        <w:rPr>
          <w:rFonts w:hint="eastAsia" w:ascii="楷体_GB2312" w:hAnsi="宋体" w:eastAsia="楷体_GB2312"/>
          <w:b/>
          <w:bCs/>
          <w:color w:val="auto"/>
          <w:sz w:val="24"/>
        </w:rPr>
      </w:pPr>
      <w:r>
        <w:rPr>
          <w:rFonts w:hint="eastAsia" w:ascii="楷体_GB2312" w:hAnsi="宋体" w:eastAsia="楷体_GB2312"/>
          <w:b/>
          <w:bCs/>
          <w:color w:val="auto"/>
          <w:sz w:val="24"/>
        </w:rPr>
        <w:t>2</w:t>
      </w:r>
      <w:r>
        <w:rPr>
          <w:rFonts w:ascii="楷体_GB2312" w:hAnsi="宋体" w:eastAsia="楷体_GB2312"/>
          <w:b/>
          <w:bCs/>
          <w:color w:val="auto"/>
          <w:sz w:val="24"/>
        </w:rPr>
        <w:t xml:space="preserve">. </w:t>
      </w:r>
      <w:r>
        <w:rPr>
          <w:rFonts w:hint="eastAsia" w:ascii="楷体_GB2312" w:hAnsi="宋体" w:eastAsia="楷体_GB2312"/>
          <w:b/>
          <w:bCs/>
          <w:color w:val="auto"/>
          <w:sz w:val="24"/>
        </w:rPr>
        <w:t>病害处置</w:t>
      </w:r>
    </w:p>
    <w:p>
      <w:pPr>
        <w:topLinePunct/>
        <w:adjustRightInd w:val="0"/>
        <w:snapToGrid w:val="0"/>
        <w:spacing w:line="360" w:lineRule="auto"/>
        <w:ind w:firstLine="480" w:firstLineChars="200"/>
        <w:jc w:val="left"/>
        <w:textAlignment w:val="center"/>
        <w:rPr>
          <w:rFonts w:hint="eastAsia" w:ascii="仿宋_GB2312" w:hAnsi="仿宋_GB2312" w:eastAsia="仿宋_GB2312"/>
          <w:color w:val="auto"/>
          <w:sz w:val="24"/>
        </w:rPr>
      </w:pPr>
      <w:r>
        <w:rPr>
          <w:rFonts w:hint="eastAsia" w:ascii="仿宋_GB2312" w:hAnsi="仿宋_GB2312" w:eastAsia="仿宋_GB2312"/>
          <w:color w:val="auto"/>
          <w:sz w:val="24"/>
        </w:rPr>
        <w:t>满分2</w:t>
      </w:r>
      <w:r>
        <w:rPr>
          <w:rFonts w:ascii="仿宋_GB2312" w:hAnsi="仿宋_GB2312" w:eastAsia="仿宋_GB2312"/>
          <w:color w:val="auto"/>
          <w:sz w:val="24"/>
        </w:rPr>
        <w:t>0</w:t>
      </w:r>
      <w:r>
        <w:rPr>
          <w:rFonts w:hint="eastAsia" w:ascii="仿宋_GB2312" w:hAnsi="仿宋_GB2312" w:eastAsia="仿宋_GB2312"/>
          <w:color w:val="auto"/>
          <w:sz w:val="24"/>
        </w:rPr>
        <w:t>分。养护单位应确保</w:t>
      </w:r>
      <w:r>
        <w:rPr>
          <w:rFonts w:ascii="仿宋_GB2312" w:hAnsi="仿宋_GB2312" w:eastAsia="仿宋_GB2312"/>
          <w:color w:val="auto"/>
          <w:sz w:val="24"/>
        </w:rPr>
        <w:t>景观灯光设施固定</w:t>
      </w:r>
      <w:r>
        <w:rPr>
          <w:rFonts w:hint="eastAsia" w:ascii="仿宋_GB2312" w:hAnsi="仿宋_GB2312" w:eastAsia="仿宋_GB2312"/>
          <w:color w:val="auto"/>
          <w:sz w:val="24"/>
        </w:rPr>
        <w:t>情况</w:t>
      </w:r>
      <w:r>
        <w:rPr>
          <w:rFonts w:ascii="仿宋_GB2312" w:hAnsi="仿宋_GB2312" w:eastAsia="仿宋_GB2312"/>
          <w:color w:val="auto"/>
          <w:sz w:val="24"/>
        </w:rPr>
        <w:t>的维修</w:t>
      </w:r>
      <w:r>
        <w:rPr>
          <w:rFonts w:hint="eastAsia" w:ascii="仿宋_GB2312" w:hAnsi="仿宋_GB2312" w:eastAsia="仿宋_GB2312"/>
          <w:color w:val="auto"/>
          <w:sz w:val="24"/>
        </w:rPr>
        <w:t>，每一次不合格扣2分，扣完为止。故障修复时限要求如下：</w:t>
      </w:r>
    </w:p>
    <w:p>
      <w:pPr>
        <w:topLinePunct/>
        <w:adjustRightInd w:val="0"/>
        <w:snapToGrid w:val="0"/>
        <w:spacing w:line="360" w:lineRule="auto"/>
        <w:ind w:firstLine="480" w:firstLineChars="200"/>
        <w:jc w:val="left"/>
        <w:textAlignment w:val="center"/>
        <w:rPr>
          <w:rFonts w:hint="eastAsia" w:ascii="仿宋_GB2312" w:hAnsi="仿宋_GB2312" w:eastAsia="仿宋_GB2312"/>
          <w:color w:val="auto"/>
          <w:sz w:val="24"/>
        </w:rPr>
      </w:pPr>
      <w:r>
        <w:rPr>
          <w:rFonts w:hint="eastAsia" w:ascii="仿宋_GB2312" w:hAnsi="仿宋_GB2312" w:eastAsia="仿宋_GB2312"/>
          <w:color w:val="auto"/>
          <w:sz w:val="24"/>
        </w:rPr>
        <w:t>（1）节庆日：</w:t>
      </w:r>
      <w:r>
        <w:rPr>
          <w:rFonts w:ascii="仿宋_GB2312" w:hAnsi="仿宋_GB2312" w:eastAsia="仿宋_GB2312"/>
          <w:color w:val="auto"/>
          <w:sz w:val="24"/>
        </w:rPr>
        <w:t>单根不</w:t>
      </w:r>
      <w:r>
        <w:rPr>
          <w:rFonts w:hint="eastAsia" w:ascii="仿宋_GB2312" w:hAnsi="仿宋_GB2312" w:eastAsia="仿宋_GB2312"/>
          <w:color w:val="auto"/>
          <w:sz w:val="24"/>
        </w:rPr>
        <w:t>亮</w:t>
      </w:r>
      <w:r>
        <w:rPr>
          <w:rFonts w:ascii="仿宋_GB2312" w:hAnsi="仿宋_GB2312" w:eastAsia="仿宋_GB2312"/>
          <w:color w:val="auto"/>
          <w:sz w:val="24"/>
        </w:rPr>
        <w:t>（</w:t>
      </w:r>
      <w:r>
        <w:rPr>
          <w:rFonts w:hint="eastAsia" w:ascii="仿宋_GB2312" w:hAnsi="仿宋_GB2312" w:eastAsia="仿宋_GB2312"/>
          <w:color w:val="auto"/>
          <w:sz w:val="24"/>
        </w:rPr>
        <w:t>过暗</w:t>
      </w:r>
      <w:r>
        <w:rPr>
          <w:rFonts w:ascii="仿宋_GB2312" w:hAnsi="仿宋_GB2312" w:eastAsia="仿宋_GB2312"/>
          <w:color w:val="auto"/>
          <w:sz w:val="24"/>
        </w:rPr>
        <w:t>）</w:t>
      </w:r>
      <w:r>
        <w:rPr>
          <w:rFonts w:hint="eastAsia" w:ascii="仿宋_GB2312" w:hAnsi="仿宋_GB2312" w:eastAsia="仿宋_GB2312"/>
          <w:color w:val="auto"/>
          <w:sz w:val="24"/>
        </w:rPr>
        <w:t>的</w:t>
      </w:r>
      <w:r>
        <w:rPr>
          <w:rFonts w:ascii="仿宋_GB2312" w:hAnsi="仿宋_GB2312" w:eastAsia="仿宋_GB2312"/>
          <w:color w:val="auto"/>
          <w:sz w:val="24"/>
        </w:rPr>
        <w:t>灯具或电脑变光失控应于</w:t>
      </w:r>
      <w:r>
        <w:rPr>
          <w:rFonts w:hint="eastAsia" w:ascii="仿宋_GB2312" w:hAnsi="仿宋_GB2312" w:eastAsia="仿宋_GB2312"/>
          <w:color w:val="auto"/>
          <w:sz w:val="24"/>
        </w:rPr>
        <w:t>3天</w:t>
      </w:r>
      <w:r>
        <w:rPr>
          <w:rFonts w:ascii="仿宋_GB2312" w:hAnsi="仿宋_GB2312" w:eastAsia="仿宋_GB2312"/>
          <w:color w:val="auto"/>
          <w:sz w:val="24"/>
        </w:rPr>
        <w:t>内修复，连续数根不亮（</w:t>
      </w:r>
      <w:r>
        <w:rPr>
          <w:rFonts w:hint="eastAsia" w:ascii="仿宋_GB2312" w:hAnsi="仿宋_GB2312" w:eastAsia="仿宋_GB2312"/>
          <w:color w:val="auto"/>
          <w:sz w:val="24"/>
        </w:rPr>
        <w:t>过暗</w:t>
      </w:r>
      <w:r>
        <w:rPr>
          <w:rFonts w:ascii="仿宋_GB2312" w:hAnsi="仿宋_GB2312" w:eastAsia="仿宋_GB2312"/>
          <w:color w:val="auto"/>
          <w:sz w:val="24"/>
        </w:rPr>
        <w:t>）</w:t>
      </w:r>
      <w:r>
        <w:rPr>
          <w:rFonts w:hint="eastAsia" w:ascii="仿宋_GB2312" w:hAnsi="仿宋_GB2312" w:eastAsia="仿宋_GB2312"/>
          <w:color w:val="auto"/>
          <w:sz w:val="24"/>
        </w:rPr>
        <w:t>的</w:t>
      </w:r>
      <w:r>
        <w:rPr>
          <w:rFonts w:ascii="仿宋_GB2312" w:hAnsi="仿宋_GB2312" w:eastAsia="仿宋_GB2312"/>
          <w:color w:val="auto"/>
          <w:sz w:val="24"/>
        </w:rPr>
        <w:t>灯具或电脑变光失控应于</w:t>
      </w:r>
      <w:r>
        <w:rPr>
          <w:rFonts w:hint="eastAsia" w:ascii="仿宋_GB2312" w:hAnsi="仿宋_GB2312" w:eastAsia="仿宋_GB2312"/>
          <w:color w:val="auto"/>
          <w:sz w:val="24"/>
        </w:rPr>
        <w:t>24小时</w:t>
      </w:r>
      <w:r>
        <w:rPr>
          <w:rFonts w:ascii="仿宋_GB2312" w:hAnsi="仿宋_GB2312" w:eastAsia="仿宋_GB2312"/>
          <w:color w:val="auto"/>
          <w:sz w:val="24"/>
        </w:rPr>
        <w:t>内修复；</w:t>
      </w:r>
    </w:p>
    <w:p>
      <w:pPr>
        <w:topLinePunct/>
        <w:adjustRightInd w:val="0"/>
        <w:snapToGrid w:val="0"/>
        <w:spacing w:line="360" w:lineRule="auto"/>
        <w:ind w:firstLine="480" w:firstLineChars="200"/>
        <w:jc w:val="left"/>
        <w:textAlignment w:val="center"/>
        <w:rPr>
          <w:rFonts w:hint="eastAsia" w:ascii="仿宋_GB2312" w:hAnsi="仿宋_GB2312" w:eastAsia="仿宋_GB2312"/>
          <w:color w:val="auto"/>
          <w:sz w:val="24"/>
        </w:rPr>
      </w:pPr>
      <w:r>
        <w:rPr>
          <w:rFonts w:hint="eastAsia" w:ascii="仿宋_GB2312" w:hAnsi="仿宋_GB2312" w:eastAsia="仿宋_GB2312"/>
          <w:color w:val="auto"/>
          <w:sz w:val="24"/>
        </w:rPr>
        <w:t>（2）</w:t>
      </w:r>
      <w:r>
        <w:rPr>
          <w:rFonts w:ascii="仿宋_GB2312" w:hAnsi="仿宋_GB2312" w:eastAsia="仿宋_GB2312"/>
          <w:color w:val="auto"/>
          <w:sz w:val="24"/>
        </w:rPr>
        <w:t>其余时段</w:t>
      </w:r>
      <w:r>
        <w:rPr>
          <w:rFonts w:hint="eastAsia" w:ascii="仿宋_GB2312" w:hAnsi="仿宋_GB2312" w:eastAsia="仿宋_GB2312"/>
          <w:color w:val="auto"/>
          <w:sz w:val="24"/>
        </w:rPr>
        <w:t>：</w:t>
      </w:r>
      <w:r>
        <w:rPr>
          <w:rFonts w:ascii="仿宋_GB2312" w:hAnsi="仿宋_GB2312" w:eastAsia="仿宋_GB2312"/>
          <w:color w:val="auto"/>
          <w:sz w:val="24"/>
        </w:rPr>
        <w:t>单根不亮（</w:t>
      </w:r>
      <w:r>
        <w:rPr>
          <w:rFonts w:hint="eastAsia" w:ascii="仿宋_GB2312" w:hAnsi="仿宋_GB2312" w:eastAsia="仿宋_GB2312"/>
          <w:color w:val="auto"/>
          <w:sz w:val="24"/>
        </w:rPr>
        <w:t>过暗</w:t>
      </w:r>
      <w:r>
        <w:rPr>
          <w:rFonts w:ascii="仿宋_GB2312" w:hAnsi="仿宋_GB2312" w:eastAsia="仿宋_GB2312"/>
          <w:color w:val="auto"/>
          <w:sz w:val="24"/>
        </w:rPr>
        <w:t>）</w:t>
      </w:r>
      <w:r>
        <w:rPr>
          <w:rFonts w:hint="eastAsia" w:ascii="仿宋_GB2312" w:hAnsi="仿宋_GB2312" w:eastAsia="仿宋_GB2312"/>
          <w:color w:val="auto"/>
          <w:sz w:val="24"/>
        </w:rPr>
        <w:t>和</w:t>
      </w:r>
      <w:r>
        <w:rPr>
          <w:rFonts w:ascii="仿宋_GB2312" w:hAnsi="仿宋_GB2312" w:eastAsia="仿宋_GB2312"/>
          <w:color w:val="auto"/>
          <w:sz w:val="24"/>
        </w:rPr>
        <w:t>连续数根不亮（</w:t>
      </w:r>
      <w:r>
        <w:rPr>
          <w:rFonts w:hint="eastAsia" w:ascii="仿宋_GB2312" w:hAnsi="仿宋_GB2312" w:eastAsia="仿宋_GB2312"/>
          <w:color w:val="auto"/>
          <w:sz w:val="24"/>
        </w:rPr>
        <w:t>过暗</w:t>
      </w:r>
      <w:r>
        <w:rPr>
          <w:rFonts w:ascii="仿宋_GB2312" w:hAnsi="仿宋_GB2312" w:eastAsia="仿宋_GB2312"/>
          <w:color w:val="auto"/>
          <w:sz w:val="24"/>
        </w:rPr>
        <w:t>）</w:t>
      </w:r>
      <w:r>
        <w:rPr>
          <w:rFonts w:hint="eastAsia" w:ascii="仿宋_GB2312" w:hAnsi="仿宋_GB2312" w:eastAsia="仿宋_GB2312"/>
          <w:color w:val="auto"/>
          <w:sz w:val="24"/>
        </w:rPr>
        <w:t>的</w:t>
      </w:r>
      <w:r>
        <w:rPr>
          <w:rFonts w:ascii="仿宋_GB2312" w:hAnsi="仿宋_GB2312" w:eastAsia="仿宋_GB2312"/>
          <w:color w:val="auto"/>
          <w:sz w:val="24"/>
        </w:rPr>
        <w:t>或电脑变光失控灯具应于</w:t>
      </w:r>
      <w:r>
        <w:rPr>
          <w:rFonts w:hint="eastAsia" w:ascii="仿宋_GB2312" w:hAnsi="仿宋_GB2312" w:eastAsia="仿宋_GB2312"/>
          <w:color w:val="auto"/>
          <w:sz w:val="24"/>
        </w:rPr>
        <w:t>3天内</w:t>
      </w:r>
      <w:r>
        <w:rPr>
          <w:rFonts w:ascii="仿宋_GB2312" w:hAnsi="仿宋_GB2312" w:eastAsia="仿宋_GB2312"/>
          <w:color w:val="auto"/>
          <w:sz w:val="24"/>
        </w:rPr>
        <w:t>修复</w:t>
      </w:r>
      <w:r>
        <w:rPr>
          <w:rFonts w:hint="eastAsia" w:ascii="仿宋_GB2312" w:hAnsi="仿宋_GB2312" w:eastAsia="仿宋_GB2312"/>
          <w:color w:val="auto"/>
          <w:sz w:val="24"/>
        </w:rPr>
        <w:t>；</w:t>
      </w:r>
    </w:p>
    <w:p>
      <w:pPr>
        <w:topLinePunct/>
        <w:adjustRightInd w:val="0"/>
        <w:snapToGrid w:val="0"/>
        <w:spacing w:line="360" w:lineRule="auto"/>
        <w:ind w:firstLine="480" w:firstLineChars="200"/>
        <w:jc w:val="left"/>
        <w:textAlignment w:val="center"/>
        <w:rPr>
          <w:rFonts w:hint="eastAsia" w:ascii="仿宋_GB2312" w:hAnsi="仿宋_GB2312" w:eastAsia="仿宋_GB2312"/>
          <w:color w:val="auto"/>
          <w:sz w:val="24"/>
        </w:rPr>
      </w:pPr>
      <w:r>
        <w:rPr>
          <w:rFonts w:hint="eastAsia" w:ascii="仿宋_GB2312" w:hAnsi="仿宋_GB2312" w:eastAsia="仿宋_GB2312"/>
          <w:color w:val="auto"/>
          <w:sz w:val="24"/>
        </w:rPr>
        <w:t>（3）</w:t>
      </w:r>
      <w:r>
        <w:rPr>
          <w:rFonts w:ascii="仿宋_GB2312" w:hAnsi="仿宋_GB2312" w:eastAsia="仿宋_GB2312"/>
          <w:color w:val="auto"/>
          <w:sz w:val="24"/>
        </w:rPr>
        <w:t>发现景观灯灯具或零部件松动必须立即加固，最长不超过</w:t>
      </w:r>
      <w:r>
        <w:rPr>
          <w:rFonts w:hint="eastAsia" w:ascii="仿宋_GB2312" w:hAnsi="仿宋_GB2312" w:eastAsia="仿宋_GB2312"/>
          <w:color w:val="auto"/>
          <w:sz w:val="24"/>
        </w:rPr>
        <w:t>12小时</w:t>
      </w:r>
      <w:r>
        <w:rPr>
          <w:rFonts w:ascii="仿宋_GB2312" w:hAnsi="仿宋_GB2312" w:eastAsia="仿宋_GB2312"/>
          <w:color w:val="auto"/>
          <w:sz w:val="24"/>
        </w:rPr>
        <w:t>；发现其他可能出现人身伤害的故障，必须做好相关防护工作，并在</w:t>
      </w:r>
      <w:r>
        <w:rPr>
          <w:rFonts w:hint="eastAsia" w:ascii="仿宋_GB2312" w:hAnsi="仿宋_GB2312" w:eastAsia="仿宋_GB2312"/>
          <w:color w:val="auto"/>
          <w:sz w:val="24"/>
        </w:rPr>
        <w:t>24小时</w:t>
      </w:r>
      <w:r>
        <w:rPr>
          <w:rFonts w:ascii="仿宋_GB2312" w:hAnsi="仿宋_GB2312" w:eastAsia="仿宋_GB2312"/>
          <w:color w:val="auto"/>
          <w:sz w:val="24"/>
        </w:rPr>
        <w:t>内修复</w:t>
      </w:r>
      <w:r>
        <w:rPr>
          <w:rFonts w:hint="eastAsia" w:ascii="仿宋_GB2312" w:hAnsi="仿宋_GB2312" w:eastAsia="仿宋_GB2312"/>
          <w:color w:val="auto"/>
          <w:sz w:val="24"/>
        </w:rPr>
        <w:t>。</w:t>
      </w:r>
    </w:p>
    <w:p>
      <w:pPr>
        <w:topLinePunct/>
        <w:adjustRightInd w:val="0"/>
        <w:snapToGrid w:val="0"/>
        <w:spacing w:line="360" w:lineRule="auto"/>
        <w:ind w:firstLine="480" w:firstLineChars="200"/>
        <w:jc w:val="left"/>
        <w:textAlignment w:val="center"/>
        <w:rPr>
          <w:rFonts w:hint="eastAsia" w:ascii="仿宋_GB2312" w:hAnsi="仿宋_GB2312" w:eastAsia="仿宋_GB2312"/>
          <w:color w:val="auto"/>
          <w:sz w:val="24"/>
        </w:rPr>
      </w:pPr>
      <w:r>
        <w:rPr>
          <w:rFonts w:hint="eastAsia" w:ascii="仿宋_GB2312" w:hAnsi="仿宋_GB2312" w:eastAsia="仿宋_GB2312"/>
          <w:color w:val="auto"/>
          <w:sz w:val="24"/>
        </w:rPr>
        <w:t>若因特殊原因出现未维修情况，需进行说明，由监理单位进行审核。</w:t>
      </w:r>
    </w:p>
    <w:p>
      <w:pPr>
        <w:numPr>
          <w:ilvl w:val="0"/>
          <w:numId w:val="6"/>
        </w:numPr>
        <w:topLinePunct/>
        <w:adjustRightInd w:val="0"/>
        <w:snapToGrid w:val="0"/>
        <w:spacing w:line="360" w:lineRule="auto"/>
        <w:ind w:firstLine="482" w:firstLineChars="200"/>
        <w:jc w:val="left"/>
        <w:textAlignment w:val="center"/>
        <w:rPr>
          <w:rFonts w:hint="eastAsia" w:ascii="楷体_GB2312" w:hAnsi="宋体" w:eastAsia="楷体_GB2312"/>
          <w:b/>
          <w:bCs/>
          <w:color w:val="auto"/>
          <w:sz w:val="24"/>
        </w:rPr>
      </w:pPr>
      <w:r>
        <w:rPr>
          <w:rFonts w:hint="eastAsia" w:ascii="楷体_GB2312" w:hAnsi="宋体" w:eastAsia="楷体_GB2312"/>
          <w:b/>
          <w:bCs/>
          <w:color w:val="auto"/>
          <w:sz w:val="24"/>
        </w:rPr>
        <w:t>安全管理（10分）</w:t>
      </w:r>
    </w:p>
    <w:p>
      <w:pPr>
        <w:topLinePunct/>
        <w:adjustRightInd w:val="0"/>
        <w:snapToGrid w:val="0"/>
        <w:spacing w:line="560" w:lineRule="exact"/>
        <w:ind w:left="479" w:leftChars="228"/>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1、道路养护现场安全标准化落实情况（5 分）</w:t>
      </w:r>
    </w:p>
    <w:p>
      <w:pPr>
        <w:topLinePunct/>
        <w:adjustRightInd w:val="0"/>
        <w:snapToGrid w:val="0"/>
        <w:spacing w:line="560" w:lineRule="exact"/>
        <w:ind w:firstLine="480" w:firstLineChars="200"/>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养护单位日常养护中应严格按照《道路交通标志和标线第 4 部分：作业区》（GB 5768.4-2017）、《城市道路养护维修作业安全技术规程》（DG/TJ08-2183-2015）、《上海市高速公路和快速路养护维修安全作业指南》（沪道运安〔2021〕315 号）等相关规范落实安全防范措施。设施负责人或监理单位每季度对现场养护安全标准化落实情况进行检查，总分 5分，扣完为止。检查考核表详见附表三。</w:t>
      </w:r>
    </w:p>
    <w:p>
      <w:pPr>
        <w:topLinePunct/>
        <w:adjustRightInd w:val="0"/>
        <w:snapToGrid w:val="0"/>
        <w:spacing w:line="560" w:lineRule="exact"/>
        <w:ind w:left="479" w:leftChars="228"/>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2、市道运中心安全应急系统填报（1 分）</w:t>
      </w:r>
    </w:p>
    <w:p>
      <w:pPr>
        <w:topLinePunct/>
        <w:adjustRightInd w:val="0"/>
        <w:snapToGrid w:val="0"/>
        <w:spacing w:line="560" w:lineRule="exact"/>
        <w:ind w:firstLine="480" w:firstLineChars="200"/>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恶劣天气发生预警信息，需要填报应急物资人员出动情况信息时，养护单位应该规定时间内填报相关信息，未及时填报每次扣 0.5 分，总分 1 分，扣完为止。</w:t>
      </w:r>
    </w:p>
    <w:p>
      <w:pPr>
        <w:topLinePunct/>
        <w:adjustRightInd w:val="0"/>
        <w:snapToGrid w:val="0"/>
        <w:spacing w:line="560" w:lineRule="exact"/>
        <w:ind w:left="479" w:leftChars="228"/>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3、安全文件宣贯及学习，安全内业资料（2 分）</w:t>
      </w:r>
    </w:p>
    <w:p>
      <w:pPr>
        <w:topLinePunct/>
        <w:adjustRightInd w:val="0"/>
        <w:snapToGrid w:val="0"/>
        <w:spacing w:line="560" w:lineRule="exact"/>
        <w:ind w:firstLine="480" w:firstLineChars="200"/>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养护单位对于中心下发的安全文件要对全体人员及时进行宣贯，并组织学习，并形成记录。安全内业资料需按《上海市道路运输事业发展中心安全管理工作基础台账》“沪道运事安（2020）12 号”进行编制归档，文件宣贯少一份扣 0.5分，内业资料不符合基础台账要求扣 0.5 分，总分 2 分，扣完为止。</w:t>
      </w:r>
    </w:p>
    <w:p>
      <w:pPr>
        <w:topLinePunct/>
        <w:adjustRightInd w:val="0"/>
        <w:snapToGrid w:val="0"/>
        <w:spacing w:line="560" w:lineRule="exact"/>
        <w:ind w:left="479" w:leftChars="228"/>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4、养护基地管理（2 分）</w:t>
      </w:r>
    </w:p>
    <w:p>
      <w:pPr>
        <w:topLinePunct/>
        <w:adjustRightInd w:val="0"/>
        <w:snapToGrid w:val="0"/>
        <w:spacing w:line="560" w:lineRule="exact"/>
        <w:ind w:firstLine="480" w:firstLineChars="200"/>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养护单位日常养护做好管理中心及应急基地的管理。使用桥下空间的需符合《上海市道路桥梁桥下空间内设施设置准则》；设施负责人或监理单位每季度对现场养护安全标准化落实情况进行检查，总分 2 分，扣完为止。检查考核表详见附表四。</w:t>
      </w:r>
    </w:p>
    <w:p>
      <w:pPr>
        <w:topLinePunct/>
        <w:adjustRightInd w:val="0"/>
        <w:snapToGrid w:val="0"/>
        <w:spacing w:line="560" w:lineRule="exact"/>
        <w:ind w:firstLine="480" w:firstLineChars="200"/>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5、安全生产事故</w:t>
      </w:r>
    </w:p>
    <w:p>
      <w:pPr>
        <w:topLinePunct/>
        <w:adjustRightInd w:val="0"/>
        <w:snapToGrid w:val="0"/>
        <w:spacing w:line="560" w:lineRule="exact"/>
        <w:ind w:firstLine="480" w:firstLineChars="200"/>
        <w:jc w:val="left"/>
        <w:textAlignment w:val="center"/>
        <w:rPr>
          <w:rFonts w:ascii="Times New Roman" w:hAnsi="Times New Roman" w:eastAsia="仿宋_GB2312"/>
          <w:color w:val="auto"/>
          <w:sz w:val="24"/>
        </w:rPr>
      </w:pPr>
      <w:r>
        <w:rPr>
          <w:rFonts w:hint="eastAsia" w:ascii="Times New Roman" w:hAnsi="Times New Roman" w:eastAsia="仿宋_GB2312"/>
          <w:color w:val="auto"/>
          <w:sz w:val="24"/>
        </w:rPr>
        <w:t>养护单位要确保主体设施、附属设施运行安全，无安全隐患。日常养护项目、专项整治项目、养护基地不得发生安全生产事故。发生单次有责事故造成 1 人及以上死亡的扣 10分，单次有责事故扣 5 分；总分 10 分，扣完为止。</w:t>
      </w:r>
    </w:p>
    <w:p>
      <w:pPr>
        <w:topLinePunct/>
        <w:adjustRightInd w:val="0"/>
        <w:snapToGrid w:val="0"/>
        <w:spacing w:line="360" w:lineRule="auto"/>
        <w:ind w:firstLine="482" w:firstLineChars="200"/>
        <w:textAlignment w:val="center"/>
        <w:rPr>
          <w:rFonts w:eastAsia="楷体_GB2312"/>
          <w:b/>
          <w:color w:val="auto"/>
          <w:szCs w:val="21"/>
        </w:rPr>
      </w:pPr>
      <w:bookmarkStart w:id="14" w:name="OLE_LINK5"/>
      <w:r>
        <w:rPr>
          <w:rFonts w:eastAsia="黑体"/>
          <w:b/>
          <w:color w:val="auto"/>
          <w:sz w:val="24"/>
        </w:rPr>
        <w:t>三、专项评分</w:t>
      </w:r>
    </w:p>
    <w:p>
      <w:pPr>
        <w:topLinePunct/>
        <w:adjustRightInd w:val="0"/>
        <w:snapToGrid w:val="0"/>
        <w:spacing w:line="360" w:lineRule="auto"/>
        <w:ind w:firstLine="482" w:firstLineChars="200"/>
        <w:textAlignment w:val="center"/>
        <w:rPr>
          <w:rFonts w:eastAsia="楷体_GB2312"/>
          <w:b/>
          <w:color w:val="auto"/>
          <w:sz w:val="24"/>
        </w:rPr>
      </w:pPr>
      <w:r>
        <w:rPr>
          <w:rFonts w:eastAsia="楷体_GB2312"/>
          <w:b/>
          <w:color w:val="auto"/>
          <w:sz w:val="24"/>
        </w:rPr>
        <w:t>（一）专项扣分</w:t>
      </w:r>
    </w:p>
    <w:p>
      <w:pPr>
        <w:topLinePunct/>
        <w:adjustRightInd w:val="0"/>
        <w:snapToGrid w:val="0"/>
        <w:spacing w:line="360" w:lineRule="auto"/>
        <w:ind w:firstLine="480" w:firstLineChars="200"/>
        <w:textAlignment w:val="center"/>
        <w:rPr>
          <w:rFonts w:eastAsia="仿宋_GB2312"/>
          <w:color w:val="auto"/>
          <w:sz w:val="24"/>
        </w:rPr>
      </w:pPr>
      <w:r>
        <w:rPr>
          <w:rFonts w:eastAsia="仿宋_GB2312"/>
          <w:color w:val="auto"/>
          <w:sz w:val="24"/>
        </w:rPr>
        <w:t>发生下列情况之一的，在</w:t>
      </w:r>
      <w:r>
        <w:rPr>
          <w:rFonts w:hint="eastAsia" w:eastAsia="仿宋_GB2312"/>
          <w:color w:val="auto"/>
          <w:sz w:val="24"/>
        </w:rPr>
        <w:t>季度</w:t>
      </w:r>
      <w:r>
        <w:rPr>
          <w:rFonts w:eastAsia="仿宋_GB2312"/>
          <w:color w:val="auto"/>
          <w:sz w:val="24"/>
        </w:rPr>
        <w:t>考核的基础上另行扣除专项分数</w:t>
      </w:r>
      <w:r>
        <w:rPr>
          <w:rFonts w:hint="eastAsia" w:eastAsia="仿宋_GB2312"/>
          <w:color w:val="auto"/>
          <w:sz w:val="24"/>
        </w:rPr>
        <w:t>，详见下表。</w:t>
      </w:r>
    </w:p>
    <w:p>
      <w:pPr>
        <w:topLinePunct/>
        <w:adjustRightInd w:val="0"/>
        <w:snapToGrid w:val="0"/>
        <w:spacing w:before="120" w:beforeLines="50"/>
        <w:ind w:firstLine="220"/>
        <w:jc w:val="center"/>
        <w:textAlignment w:val="center"/>
        <w:rPr>
          <w:rFonts w:eastAsia="黑体"/>
          <w:color w:val="auto"/>
          <w:sz w:val="22"/>
          <w:szCs w:val="22"/>
        </w:rPr>
      </w:pPr>
      <w:r>
        <w:rPr>
          <w:rFonts w:eastAsia="黑体"/>
          <w:color w:val="auto"/>
          <w:sz w:val="22"/>
          <w:szCs w:val="22"/>
        </w:rPr>
        <w:t>表</w:t>
      </w:r>
      <w:r>
        <w:rPr>
          <w:rFonts w:eastAsia="黑体"/>
          <w:color w:val="auto"/>
          <w:sz w:val="22"/>
          <w:szCs w:val="22"/>
        </w:rPr>
        <w:fldChar w:fldCharType="begin"/>
      </w:r>
      <w:r>
        <w:rPr>
          <w:rFonts w:eastAsia="黑体"/>
          <w:color w:val="auto"/>
          <w:sz w:val="22"/>
          <w:szCs w:val="22"/>
        </w:rPr>
        <w:instrText xml:space="preserve"> SEQ 表 \* ARABIC </w:instrText>
      </w:r>
      <w:r>
        <w:rPr>
          <w:rFonts w:eastAsia="黑体"/>
          <w:color w:val="auto"/>
          <w:sz w:val="22"/>
          <w:szCs w:val="22"/>
        </w:rPr>
        <w:fldChar w:fldCharType="separate"/>
      </w:r>
      <w:r>
        <w:rPr>
          <w:rFonts w:eastAsia="黑体"/>
          <w:color w:val="auto"/>
          <w:sz w:val="22"/>
          <w:szCs w:val="22"/>
        </w:rPr>
        <w:t>1</w:t>
      </w:r>
      <w:r>
        <w:rPr>
          <w:rFonts w:eastAsia="黑体"/>
          <w:color w:val="auto"/>
          <w:sz w:val="22"/>
          <w:szCs w:val="22"/>
        </w:rPr>
        <w:fldChar w:fldCharType="end"/>
      </w:r>
      <w:r>
        <w:rPr>
          <w:rFonts w:eastAsia="黑体"/>
          <w:color w:val="auto"/>
          <w:sz w:val="22"/>
          <w:szCs w:val="22"/>
        </w:rPr>
        <w:t xml:space="preserve"> </w:t>
      </w:r>
      <w:r>
        <w:rPr>
          <w:rFonts w:hint="eastAsia" w:eastAsia="黑体"/>
          <w:color w:val="auto"/>
          <w:sz w:val="22"/>
          <w:szCs w:val="22"/>
        </w:rPr>
        <w:t>附属</w:t>
      </w:r>
      <w:r>
        <w:rPr>
          <w:rFonts w:eastAsia="黑体"/>
          <w:color w:val="auto"/>
          <w:sz w:val="22"/>
          <w:szCs w:val="22"/>
        </w:rPr>
        <w:t>设施养护运维</w:t>
      </w:r>
      <w:r>
        <w:rPr>
          <w:rFonts w:hint="eastAsia" w:eastAsia="黑体"/>
          <w:color w:val="auto"/>
          <w:sz w:val="22"/>
          <w:szCs w:val="22"/>
        </w:rPr>
        <w:t>季度</w:t>
      </w:r>
      <w:r>
        <w:rPr>
          <w:rFonts w:eastAsia="黑体"/>
          <w:color w:val="auto"/>
          <w:sz w:val="22"/>
          <w:szCs w:val="22"/>
        </w:rPr>
        <w:t>考核专项扣分表</w:t>
      </w:r>
    </w:p>
    <w:tbl>
      <w:tblPr>
        <w:tblStyle w:val="392"/>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384"/>
        <w:gridCol w:w="4672"/>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tblHeader/>
          <w:jc w:val="center"/>
        </w:trPr>
        <w:tc>
          <w:tcPr>
            <w:tcW w:w="704" w:type="dxa"/>
            <w:vAlign w:val="center"/>
          </w:tcPr>
          <w:p>
            <w:pPr>
              <w:topLinePunct/>
              <w:adjustRightInd w:val="0"/>
              <w:snapToGrid w:val="0"/>
              <w:jc w:val="center"/>
              <w:textAlignment w:val="center"/>
              <w:rPr>
                <w:rFonts w:ascii="仿宋_GB2312" w:eastAsia="仿宋_GB2312"/>
                <w:b/>
                <w:bCs/>
                <w:color w:val="auto"/>
                <w:kern w:val="0"/>
              </w:rPr>
            </w:pPr>
            <w:r>
              <w:rPr>
                <w:rFonts w:ascii="仿宋_GB2312" w:eastAsia="仿宋_GB2312"/>
                <w:b/>
                <w:bCs/>
                <w:color w:val="auto"/>
                <w:kern w:val="0"/>
              </w:rPr>
              <w:t>序号</w:t>
            </w:r>
          </w:p>
        </w:tc>
        <w:tc>
          <w:tcPr>
            <w:tcW w:w="1384" w:type="dxa"/>
            <w:vAlign w:val="center"/>
          </w:tcPr>
          <w:p>
            <w:pPr>
              <w:topLinePunct/>
              <w:adjustRightInd w:val="0"/>
              <w:snapToGrid w:val="0"/>
              <w:jc w:val="center"/>
              <w:textAlignment w:val="center"/>
              <w:rPr>
                <w:rFonts w:ascii="仿宋_GB2312" w:eastAsia="仿宋_GB2312"/>
                <w:b/>
                <w:bCs/>
                <w:color w:val="auto"/>
                <w:kern w:val="0"/>
              </w:rPr>
            </w:pPr>
            <w:r>
              <w:rPr>
                <w:rFonts w:ascii="仿宋_GB2312" w:eastAsia="仿宋_GB2312"/>
                <w:b/>
                <w:bCs/>
                <w:color w:val="auto"/>
                <w:kern w:val="0"/>
              </w:rPr>
              <w:t>分类</w:t>
            </w:r>
          </w:p>
        </w:tc>
        <w:tc>
          <w:tcPr>
            <w:tcW w:w="4672" w:type="dxa"/>
            <w:vAlign w:val="center"/>
          </w:tcPr>
          <w:p>
            <w:pPr>
              <w:topLinePunct/>
              <w:adjustRightInd w:val="0"/>
              <w:snapToGrid w:val="0"/>
              <w:jc w:val="center"/>
              <w:textAlignment w:val="center"/>
              <w:rPr>
                <w:rFonts w:ascii="仿宋_GB2312" w:eastAsia="仿宋_GB2312"/>
                <w:b/>
                <w:bCs/>
                <w:color w:val="auto"/>
                <w:kern w:val="0"/>
              </w:rPr>
            </w:pPr>
            <w:r>
              <w:rPr>
                <w:rFonts w:ascii="仿宋_GB2312" w:eastAsia="仿宋_GB2312"/>
                <w:b/>
                <w:bCs/>
                <w:color w:val="auto"/>
                <w:kern w:val="0"/>
              </w:rPr>
              <w:t>扣分事由</w:t>
            </w:r>
          </w:p>
        </w:tc>
        <w:tc>
          <w:tcPr>
            <w:tcW w:w="1599" w:type="dxa"/>
            <w:vAlign w:val="center"/>
          </w:tcPr>
          <w:p>
            <w:pPr>
              <w:topLinePunct/>
              <w:adjustRightInd w:val="0"/>
              <w:snapToGrid w:val="0"/>
              <w:jc w:val="center"/>
              <w:textAlignment w:val="center"/>
              <w:rPr>
                <w:rFonts w:ascii="仿宋_GB2312" w:eastAsia="仿宋_GB2312"/>
                <w:b/>
                <w:bCs/>
                <w:color w:val="auto"/>
                <w:kern w:val="0"/>
              </w:rPr>
            </w:pPr>
            <w:r>
              <w:rPr>
                <w:rFonts w:ascii="仿宋_GB2312" w:eastAsia="仿宋_GB2312"/>
                <w:b/>
                <w:bCs/>
                <w:color w:val="auto"/>
                <w:kern w:val="0"/>
              </w:rPr>
              <w:t>扣分准则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1</w:t>
            </w:r>
          </w:p>
        </w:tc>
        <w:tc>
          <w:tcPr>
            <w:tcW w:w="1384" w:type="dxa"/>
            <w:vMerge w:val="restart"/>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管理要求</w:t>
            </w:r>
          </w:p>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执行</w:t>
            </w:r>
          </w:p>
        </w:tc>
        <w:tc>
          <w:tcPr>
            <w:tcW w:w="4672"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社会舆论和信访投诉：</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未在规定时间内及时妥善处理人民来信、来电、来访等诉求工单和社会投诉，每次扣2分；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行业、业主、上级部门点名批评或书面通报，每次扣3分；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有责并被社会新闻媒体公开负面报道或造成严重舆情影响，每次扣5分。</w:t>
            </w:r>
          </w:p>
        </w:tc>
        <w:tc>
          <w:tcPr>
            <w:tcW w:w="1599"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每次扣2~5分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2</w:t>
            </w:r>
          </w:p>
        </w:tc>
        <w:tc>
          <w:tcPr>
            <w:tcW w:w="1384" w:type="dxa"/>
            <w:vMerge w:val="continue"/>
            <w:vAlign w:val="center"/>
          </w:tcPr>
          <w:p>
            <w:pPr>
              <w:topLinePunct/>
              <w:adjustRightInd w:val="0"/>
              <w:snapToGrid w:val="0"/>
              <w:jc w:val="center"/>
              <w:textAlignment w:val="center"/>
              <w:rPr>
                <w:rFonts w:ascii="仿宋_GB2312" w:eastAsia="仿宋_GB2312"/>
                <w:color w:val="auto"/>
                <w:kern w:val="0"/>
              </w:rPr>
            </w:pPr>
          </w:p>
        </w:tc>
        <w:tc>
          <w:tcPr>
            <w:tcW w:w="4672"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人员车辆和设施资源管理：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项目管理人员、车辆设备和材料未按招标文件所规定的数量、规格配置到位，每次每项扣1分；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擅自出租、出借、挪用设施设备和违规使用或侵占附属设施、应标资源，造成恶劣影响，每次扣5分。</w:t>
            </w:r>
          </w:p>
        </w:tc>
        <w:tc>
          <w:tcPr>
            <w:tcW w:w="1599"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每次扣1~5分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3</w:t>
            </w:r>
          </w:p>
        </w:tc>
        <w:tc>
          <w:tcPr>
            <w:tcW w:w="1384" w:type="dxa"/>
            <w:vMerge w:val="continue"/>
            <w:vAlign w:val="center"/>
          </w:tcPr>
          <w:p>
            <w:pPr>
              <w:topLinePunct/>
              <w:adjustRightInd w:val="0"/>
              <w:snapToGrid w:val="0"/>
              <w:jc w:val="center"/>
              <w:textAlignment w:val="center"/>
              <w:rPr>
                <w:rFonts w:ascii="仿宋_GB2312" w:eastAsia="仿宋_GB2312"/>
                <w:color w:val="auto"/>
                <w:kern w:val="0"/>
              </w:rPr>
            </w:pPr>
          </w:p>
        </w:tc>
        <w:tc>
          <w:tcPr>
            <w:tcW w:w="4672"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重要条款响应：</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在网签合同生成后的15日内（国家法定节假日除外），未提交软件版投标报价文件，每次扣2分；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未严格按照养护资金监管相关管理办法及要求提供相关依据、配合实施请款工作，每次扣2分。</w:t>
            </w:r>
          </w:p>
        </w:tc>
        <w:tc>
          <w:tcPr>
            <w:tcW w:w="1599"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每次扣2分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4</w:t>
            </w:r>
          </w:p>
        </w:tc>
        <w:tc>
          <w:tcPr>
            <w:tcW w:w="1384" w:type="dxa"/>
            <w:vMerge w:val="continue"/>
            <w:vAlign w:val="center"/>
          </w:tcPr>
          <w:p>
            <w:pPr>
              <w:topLinePunct/>
              <w:adjustRightInd w:val="0"/>
              <w:snapToGrid w:val="0"/>
              <w:jc w:val="center"/>
              <w:textAlignment w:val="center"/>
              <w:rPr>
                <w:rFonts w:ascii="仿宋_GB2312" w:eastAsia="仿宋_GB2312"/>
                <w:color w:val="auto"/>
                <w:kern w:val="0"/>
              </w:rPr>
            </w:pPr>
          </w:p>
        </w:tc>
        <w:tc>
          <w:tcPr>
            <w:tcW w:w="4672"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智慧化工作推进：</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未配置智能巡检设备或智能巡检设备未处于良好运行状态的，每次扣1分；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未按要求响应落实智慧化、信息化管理工作，由云路或中心发现未按要求报送数据、附件，每次扣2分。</w:t>
            </w:r>
          </w:p>
        </w:tc>
        <w:tc>
          <w:tcPr>
            <w:tcW w:w="1599"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每次扣1~2分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5</w:t>
            </w:r>
          </w:p>
        </w:tc>
        <w:tc>
          <w:tcPr>
            <w:tcW w:w="138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养护作业</w:t>
            </w:r>
          </w:p>
        </w:tc>
        <w:tc>
          <w:tcPr>
            <w:tcW w:w="4672"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对市道运中心委托的第三方单位（专业检测、专业网格化巡查等）发现的问题、病害或缺陷，未及时整改或采取措施，每次扣1分；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未针对各类检测报告中指出的问题进行有效处置，造成设施病害缺陷加剧、人员财产损失或影响正常通行，每次扣3分。</w:t>
            </w:r>
          </w:p>
        </w:tc>
        <w:tc>
          <w:tcPr>
            <w:tcW w:w="1599"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每次扣1~3分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6</w:t>
            </w:r>
          </w:p>
        </w:tc>
        <w:tc>
          <w:tcPr>
            <w:tcW w:w="138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运维保障</w:t>
            </w:r>
          </w:p>
        </w:tc>
        <w:tc>
          <w:tcPr>
            <w:tcW w:w="4672"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未能按时、保质保量完成重大任务或指令要求，每次扣3分；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风险隐患、险情或重大事件存在不报、瞒报、误报、处置不力，造成设施人员财产损失或严重影响交通运行，每次扣3分。</w:t>
            </w:r>
          </w:p>
        </w:tc>
        <w:tc>
          <w:tcPr>
            <w:tcW w:w="1599"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每次扣3分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7</w:t>
            </w:r>
          </w:p>
        </w:tc>
        <w:tc>
          <w:tcPr>
            <w:tcW w:w="1384" w:type="dxa"/>
            <w:vAlign w:val="center"/>
          </w:tcPr>
          <w:p>
            <w:pPr>
              <w:topLinePunct/>
              <w:adjustRightInd w:val="0"/>
              <w:snapToGrid w:val="0"/>
              <w:jc w:val="center"/>
              <w:textAlignment w:val="center"/>
              <w:rPr>
                <w:rFonts w:ascii="仿宋_GB2312" w:eastAsia="仿宋_GB2312"/>
                <w:color w:val="auto"/>
                <w:kern w:val="0"/>
              </w:rPr>
            </w:pPr>
            <w:r>
              <w:rPr>
                <w:rFonts w:ascii="仿宋_GB2312" w:eastAsia="仿宋_GB2312"/>
                <w:color w:val="auto"/>
                <w:kern w:val="0"/>
              </w:rPr>
              <w:t>安全生产和应急处置</w:t>
            </w:r>
          </w:p>
        </w:tc>
        <w:tc>
          <w:tcPr>
            <w:tcW w:w="4672"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因养护运维作业质量不达标，影响设施运行安全或交通运行、受到行业主管部门严肃批评问责或引起社会舆论反响等，每次扣3分；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因养护运维管理或作业行为的缺失、违规，造成设施人员财产损失或导致第三方发生安全事故、引起次生灾害，每次扣5分；</w:t>
            </w:r>
          </w:p>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发生有责生产安全事故，造成人员死亡、重伤或致使设施出现重大结构安全隐患，每次扣10分。</w:t>
            </w:r>
          </w:p>
        </w:tc>
        <w:tc>
          <w:tcPr>
            <w:tcW w:w="1599" w:type="dxa"/>
            <w:vAlign w:val="center"/>
          </w:tcPr>
          <w:p>
            <w:pPr>
              <w:topLinePunct/>
              <w:adjustRightInd w:val="0"/>
              <w:snapToGrid w:val="0"/>
              <w:jc w:val="left"/>
              <w:textAlignment w:val="center"/>
              <w:rPr>
                <w:rFonts w:ascii="仿宋_GB2312" w:eastAsia="仿宋_GB2312"/>
                <w:color w:val="auto"/>
                <w:kern w:val="0"/>
              </w:rPr>
            </w:pPr>
            <w:r>
              <w:rPr>
                <w:rFonts w:ascii="仿宋_GB2312" w:eastAsia="仿宋_GB2312"/>
                <w:color w:val="auto"/>
                <w:kern w:val="0"/>
              </w:rPr>
              <w:t>每次扣3~10分</w:t>
            </w:r>
          </w:p>
        </w:tc>
      </w:tr>
    </w:tbl>
    <w:p>
      <w:pPr>
        <w:topLinePunct/>
        <w:adjustRightInd w:val="0"/>
        <w:snapToGrid w:val="0"/>
        <w:jc w:val="left"/>
        <w:textAlignment w:val="center"/>
        <w:rPr>
          <w:color w:val="auto"/>
        </w:rPr>
      </w:pPr>
    </w:p>
    <w:p>
      <w:pPr>
        <w:topLinePunct/>
        <w:adjustRightInd w:val="0"/>
        <w:snapToGrid w:val="0"/>
        <w:ind w:firstLine="482" w:firstLineChars="200"/>
        <w:textAlignment w:val="center"/>
        <w:rPr>
          <w:rFonts w:eastAsia="楷体_GB2312"/>
          <w:b/>
          <w:color w:val="auto"/>
          <w:sz w:val="24"/>
        </w:rPr>
      </w:pPr>
      <w:r>
        <w:rPr>
          <w:rFonts w:eastAsia="楷体_GB2312"/>
          <w:b/>
          <w:color w:val="auto"/>
          <w:sz w:val="24"/>
        </w:rPr>
        <w:t>（二）专项加分</w:t>
      </w:r>
    </w:p>
    <w:p>
      <w:pPr>
        <w:topLinePunct/>
        <w:adjustRightInd w:val="0"/>
        <w:snapToGrid w:val="0"/>
        <w:spacing w:line="560" w:lineRule="exact"/>
        <w:ind w:firstLine="480" w:firstLineChars="200"/>
        <w:textAlignment w:val="center"/>
        <w:rPr>
          <w:rFonts w:eastAsia="仿宋_GB2312"/>
          <w:color w:val="auto"/>
          <w:sz w:val="24"/>
        </w:rPr>
      </w:pPr>
      <w:r>
        <w:rPr>
          <w:rFonts w:eastAsia="仿宋_GB2312"/>
          <w:color w:val="auto"/>
          <w:sz w:val="24"/>
        </w:rPr>
        <w:t>发生下列情况之一的，在</w:t>
      </w:r>
      <w:r>
        <w:rPr>
          <w:rFonts w:hint="eastAsia" w:eastAsia="仿宋_GB2312"/>
          <w:color w:val="auto"/>
          <w:sz w:val="24"/>
        </w:rPr>
        <w:t>季度</w:t>
      </w:r>
      <w:r>
        <w:rPr>
          <w:rFonts w:eastAsia="仿宋_GB2312"/>
          <w:color w:val="auto"/>
          <w:sz w:val="24"/>
        </w:rPr>
        <w:t>考核（满分100分）的基础上进行加分，上限为10分。养护单位应在当</w:t>
      </w:r>
      <w:r>
        <w:rPr>
          <w:rFonts w:hint="eastAsia" w:eastAsia="仿宋_GB2312"/>
          <w:color w:val="auto"/>
          <w:sz w:val="24"/>
        </w:rPr>
        <w:t>季度</w:t>
      </w:r>
      <w:r>
        <w:rPr>
          <w:rFonts w:eastAsia="仿宋_GB2312"/>
          <w:color w:val="auto"/>
          <w:sz w:val="24"/>
        </w:rPr>
        <w:t>底前主动提供所有加分事项的书面支持文件作为依据，经考评小组认可后方能计入</w:t>
      </w:r>
      <w:r>
        <w:rPr>
          <w:rFonts w:hint="eastAsia" w:eastAsia="仿宋_GB2312"/>
          <w:color w:val="auto"/>
          <w:sz w:val="24"/>
        </w:rPr>
        <w:t>季度</w:t>
      </w:r>
      <w:r>
        <w:rPr>
          <w:rFonts w:eastAsia="仿宋_GB2312"/>
          <w:color w:val="auto"/>
          <w:sz w:val="24"/>
        </w:rPr>
        <w:t>加分</w:t>
      </w:r>
      <w:r>
        <w:rPr>
          <w:rFonts w:hint="eastAsia" w:eastAsia="仿宋_GB2312"/>
          <w:color w:val="auto"/>
          <w:sz w:val="24"/>
        </w:rPr>
        <w:t>，详见下表。</w:t>
      </w:r>
    </w:p>
    <w:p>
      <w:pPr>
        <w:topLinePunct/>
        <w:adjustRightInd w:val="0"/>
        <w:snapToGrid w:val="0"/>
        <w:spacing w:before="120" w:beforeLines="50"/>
        <w:ind w:firstLine="220"/>
        <w:jc w:val="center"/>
        <w:textAlignment w:val="center"/>
        <w:rPr>
          <w:rFonts w:eastAsia="黑体"/>
          <w:color w:val="auto"/>
          <w:sz w:val="22"/>
          <w:szCs w:val="22"/>
        </w:rPr>
      </w:pPr>
      <w:r>
        <w:rPr>
          <w:rFonts w:eastAsia="黑体"/>
          <w:color w:val="auto"/>
          <w:sz w:val="22"/>
          <w:szCs w:val="22"/>
        </w:rPr>
        <w:t xml:space="preserve">表 </w:t>
      </w:r>
      <w:r>
        <w:rPr>
          <w:rFonts w:eastAsia="黑体"/>
          <w:color w:val="auto"/>
          <w:sz w:val="22"/>
          <w:szCs w:val="22"/>
        </w:rPr>
        <w:fldChar w:fldCharType="begin"/>
      </w:r>
      <w:r>
        <w:rPr>
          <w:rFonts w:eastAsia="黑体"/>
          <w:color w:val="auto"/>
          <w:sz w:val="22"/>
          <w:szCs w:val="22"/>
        </w:rPr>
        <w:instrText xml:space="preserve"> SEQ 表 \* ARABIC </w:instrText>
      </w:r>
      <w:r>
        <w:rPr>
          <w:rFonts w:eastAsia="黑体"/>
          <w:color w:val="auto"/>
          <w:sz w:val="22"/>
          <w:szCs w:val="22"/>
        </w:rPr>
        <w:fldChar w:fldCharType="separate"/>
      </w:r>
      <w:r>
        <w:rPr>
          <w:rFonts w:eastAsia="黑体"/>
          <w:color w:val="auto"/>
          <w:sz w:val="22"/>
          <w:szCs w:val="22"/>
        </w:rPr>
        <w:t>2</w:t>
      </w:r>
      <w:r>
        <w:rPr>
          <w:rFonts w:eastAsia="黑体"/>
          <w:color w:val="auto"/>
          <w:sz w:val="22"/>
          <w:szCs w:val="22"/>
        </w:rPr>
        <w:fldChar w:fldCharType="end"/>
      </w:r>
      <w:r>
        <w:rPr>
          <w:rFonts w:eastAsia="黑体"/>
          <w:color w:val="auto"/>
          <w:sz w:val="22"/>
          <w:szCs w:val="22"/>
        </w:rPr>
        <w:t xml:space="preserve"> </w:t>
      </w:r>
      <w:r>
        <w:rPr>
          <w:rFonts w:hint="eastAsia" w:eastAsia="黑体"/>
          <w:color w:val="auto"/>
          <w:sz w:val="22"/>
          <w:szCs w:val="22"/>
        </w:rPr>
        <w:t>附属</w:t>
      </w:r>
      <w:r>
        <w:rPr>
          <w:rFonts w:eastAsia="黑体"/>
          <w:color w:val="auto"/>
          <w:sz w:val="22"/>
          <w:szCs w:val="22"/>
        </w:rPr>
        <w:t>设施养护运维</w:t>
      </w:r>
      <w:r>
        <w:rPr>
          <w:rFonts w:hint="eastAsia" w:eastAsia="黑体"/>
          <w:color w:val="auto"/>
          <w:sz w:val="22"/>
          <w:szCs w:val="22"/>
        </w:rPr>
        <w:t>季度</w:t>
      </w:r>
      <w:r>
        <w:rPr>
          <w:rFonts w:eastAsia="黑体"/>
          <w:color w:val="auto"/>
          <w:sz w:val="22"/>
          <w:szCs w:val="22"/>
        </w:rPr>
        <w:t>考核专项加分表</w:t>
      </w:r>
    </w:p>
    <w:tbl>
      <w:tblPr>
        <w:tblStyle w:val="392"/>
        <w:tblW w:w="8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298"/>
        <w:gridCol w:w="4657"/>
        <w:gridCol w:w="2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topLinePunct/>
              <w:adjustRightInd w:val="0"/>
              <w:snapToGrid w:val="0"/>
              <w:jc w:val="center"/>
              <w:textAlignment w:val="center"/>
              <w:rPr>
                <w:rFonts w:eastAsia="仿宋_GB2312"/>
                <w:b/>
                <w:bCs/>
                <w:color w:val="auto"/>
                <w:kern w:val="0"/>
              </w:rPr>
            </w:pPr>
            <w:r>
              <w:rPr>
                <w:rFonts w:eastAsia="仿宋_GB2312"/>
                <w:b/>
                <w:bCs/>
                <w:color w:val="auto"/>
                <w:kern w:val="0"/>
              </w:rPr>
              <w:t>序号</w:t>
            </w:r>
          </w:p>
        </w:tc>
        <w:tc>
          <w:tcPr>
            <w:tcW w:w="1298" w:type="dxa"/>
            <w:vAlign w:val="center"/>
          </w:tcPr>
          <w:p>
            <w:pPr>
              <w:topLinePunct/>
              <w:adjustRightInd w:val="0"/>
              <w:snapToGrid w:val="0"/>
              <w:jc w:val="center"/>
              <w:textAlignment w:val="center"/>
              <w:rPr>
                <w:rFonts w:eastAsia="仿宋_GB2312"/>
                <w:b/>
                <w:bCs/>
                <w:color w:val="auto"/>
                <w:kern w:val="0"/>
              </w:rPr>
            </w:pPr>
            <w:r>
              <w:rPr>
                <w:rFonts w:eastAsia="仿宋_GB2312"/>
                <w:b/>
                <w:bCs/>
                <w:color w:val="auto"/>
                <w:kern w:val="0"/>
              </w:rPr>
              <w:t>分类</w:t>
            </w:r>
          </w:p>
        </w:tc>
        <w:tc>
          <w:tcPr>
            <w:tcW w:w="4657" w:type="dxa"/>
            <w:vAlign w:val="center"/>
          </w:tcPr>
          <w:p>
            <w:pPr>
              <w:topLinePunct/>
              <w:adjustRightInd w:val="0"/>
              <w:snapToGrid w:val="0"/>
              <w:jc w:val="center"/>
              <w:textAlignment w:val="center"/>
              <w:rPr>
                <w:rFonts w:eastAsia="仿宋_GB2312"/>
                <w:b/>
                <w:bCs/>
                <w:color w:val="auto"/>
                <w:kern w:val="0"/>
              </w:rPr>
            </w:pPr>
            <w:r>
              <w:rPr>
                <w:rFonts w:eastAsia="仿宋_GB2312"/>
                <w:b/>
                <w:bCs/>
                <w:color w:val="auto"/>
                <w:kern w:val="0"/>
              </w:rPr>
              <w:t>加分事由</w:t>
            </w:r>
          </w:p>
        </w:tc>
        <w:tc>
          <w:tcPr>
            <w:tcW w:w="2045" w:type="dxa"/>
            <w:vAlign w:val="center"/>
          </w:tcPr>
          <w:p>
            <w:pPr>
              <w:topLinePunct/>
              <w:adjustRightInd w:val="0"/>
              <w:snapToGrid w:val="0"/>
              <w:jc w:val="center"/>
              <w:textAlignment w:val="center"/>
              <w:rPr>
                <w:rFonts w:eastAsia="仿宋_GB2312"/>
                <w:b/>
                <w:bCs/>
                <w:color w:val="auto"/>
                <w:kern w:val="0"/>
              </w:rPr>
            </w:pPr>
            <w:r>
              <w:rPr>
                <w:rFonts w:eastAsia="仿宋_GB2312"/>
                <w:b/>
                <w:bCs/>
                <w:color w:val="auto"/>
                <w:kern w:val="0"/>
              </w:rPr>
              <w:t>加分准则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1</w:t>
            </w:r>
          </w:p>
        </w:tc>
        <w:tc>
          <w:tcPr>
            <w:tcW w:w="1298" w:type="dxa"/>
            <w:vMerge w:val="restart"/>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宣传与公众服务</w:t>
            </w:r>
          </w:p>
        </w:tc>
        <w:tc>
          <w:tcPr>
            <w:tcW w:w="4657"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通讯稿被上海市道运中心微信公众号或其它新闻媒介采纳发布。</w:t>
            </w:r>
          </w:p>
        </w:tc>
        <w:tc>
          <w:tcPr>
            <w:tcW w:w="2045"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每次加2分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2</w:t>
            </w:r>
          </w:p>
        </w:tc>
        <w:tc>
          <w:tcPr>
            <w:tcW w:w="1298" w:type="dxa"/>
            <w:vMerge w:val="continue"/>
            <w:vAlign w:val="center"/>
          </w:tcPr>
          <w:p>
            <w:pPr>
              <w:topLinePunct/>
              <w:adjustRightInd w:val="0"/>
              <w:snapToGrid w:val="0"/>
              <w:jc w:val="center"/>
              <w:textAlignment w:val="center"/>
              <w:rPr>
                <w:rFonts w:eastAsia="仿宋_GB2312"/>
                <w:color w:val="auto"/>
                <w:kern w:val="0"/>
              </w:rPr>
            </w:pPr>
          </w:p>
        </w:tc>
        <w:tc>
          <w:tcPr>
            <w:tcW w:w="4657"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妥善处理人民来信、来电、来访等诉求工单和社会投诉，被录用至热线处置工单优秀案例。</w:t>
            </w:r>
          </w:p>
        </w:tc>
        <w:tc>
          <w:tcPr>
            <w:tcW w:w="2045"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每次加2分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3</w:t>
            </w:r>
          </w:p>
        </w:tc>
        <w:tc>
          <w:tcPr>
            <w:tcW w:w="1298" w:type="dxa"/>
            <w:vMerge w:val="restart"/>
            <w:vAlign w:val="center"/>
          </w:tcPr>
          <w:p>
            <w:pPr>
              <w:topLinePunct/>
              <w:adjustRightInd w:val="0"/>
              <w:snapToGrid w:val="0"/>
              <w:jc w:val="center"/>
              <w:textAlignment w:val="center"/>
              <w:rPr>
                <w:rFonts w:eastAsia="仿宋_GB2312"/>
                <w:color w:val="auto"/>
                <w:kern w:val="0"/>
              </w:rPr>
            </w:pPr>
            <w:r>
              <w:rPr>
                <w:rFonts w:eastAsia="仿宋_GB2312"/>
                <w:color w:val="auto"/>
                <w:kern w:val="0"/>
              </w:rPr>
              <w:t>行业示范带头作用</w:t>
            </w:r>
          </w:p>
        </w:tc>
        <w:tc>
          <w:tcPr>
            <w:tcW w:w="4657"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当</w:t>
            </w:r>
            <w:r>
              <w:rPr>
                <w:rFonts w:hint="eastAsia" w:eastAsia="仿宋_GB2312"/>
                <w:color w:val="auto"/>
                <w:kern w:val="0"/>
              </w:rPr>
              <w:t>季度</w:t>
            </w:r>
            <w:r>
              <w:rPr>
                <w:rFonts w:eastAsia="仿宋_GB2312"/>
                <w:color w:val="auto"/>
                <w:kern w:val="0"/>
              </w:rPr>
              <w:t>在各类专项评比中获奖。</w:t>
            </w:r>
          </w:p>
        </w:tc>
        <w:tc>
          <w:tcPr>
            <w:tcW w:w="2045"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一等奖每项加3分</w:t>
            </w:r>
          </w:p>
          <w:p>
            <w:pPr>
              <w:topLinePunct/>
              <w:adjustRightInd w:val="0"/>
              <w:snapToGrid w:val="0"/>
              <w:jc w:val="left"/>
              <w:textAlignment w:val="center"/>
              <w:rPr>
                <w:rFonts w:eastAsia="仿宋_GB2312"/>
                <w:color w:val="auto"/>
                <w:kern w:val="0"/>
              </w:rPr>
            </w:pPr>
            <w:r>
              <w:rPr>
                <w:rFonts w:eastAsia="仿宋_GB2312"/>
                <w:color w:val="auto"/>
                <w:kern w:val="0"/>
              </w:rPr>
              <w:t>二等奖每项加2分</w:t>
            </w:r>
          </w:p>
          <w:p>
            <w:pPr>
              <w:topLinePunct/>
              <w:adjustRightInd w:val="0"/>
              <w:snapToGrid w:val="0"/>
              <w:jc w:val="left"/>
              <w:textAlignment w:val="center"/>
              <w:rPr>
                <w:rFonts w:eastAsia="仿宋_GB2312"/>
                <w:color w:val="auto"/>
                <w:kern w:val="0"/>
              </w:rPr>
            </w:pPr>
            <w:r>
              <w:rPr>
                <w:rFonts w:eastAsia="仿宋_GB2312"/>
                <w:color w:val="auto"/>
                <w:kern w:val="0"/>
              </w:rPr>
              <w:t>三等奖每项加1分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4</w:t>
            </w:r>
          </w:p>
        </w:tc>
        <w:tc>
          <w:tcPr>
            <w:tcW w:w="1298" w:type="dxa"/>
            <w:vMerge w:val="continue"/>
            <w:vAlign w:val="center"/>
          </w:tcPr>
          <w:p>
            <w:pPr>
              <w:topLinePunct/>
              <w:adjustRightInd w:val="0"/>
              <w:snapToGrid w:val="0"/>
              <w:jc w:val="left"/>
              <w:textAlignment w:val="center"/>
              <w:rPr>
                <w:rFonts w:eastAsia="仿宋_GB2312"/>
                <w:color w:val="auto"/>
                <w:kern w:val="0"/>
              </w:rPr>
            </w:pPr>
          </w:p>
        </w:tc>
        <w:tc>
          <w:tcPr>
            <w:tcW w:w="4657"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养护设施获得市级或行业级奖项。</w:t>
            </w:r>
          </w:p>
        </w:tc>
        <w:tc>
          <w:tcPr>
            <w:tcW w:w="2045"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市级每项加5分</w:t>
            </w:r>
          </w:p>
          <w:p>
            <w:pPr>
              <w:topLinePunct/>
              <w:adjustRightInd w:val="0"/>
              <w:snapToGrid w:val="0"/>
              <w:jc w:val="left"/>
              <w:textAlignment w:val="center"/>
              <w:rPr>
                <w:rFonts w:eastAsia="仿宋_GB2312"/>
                <w:color w:val="auto"/>
                <w:kern w:val="0"/>
              </w:rPr>
            </w:pPr>
            <w:r>
              <w:rPr>
                <w:rFonts w:eastAsia="仿宋_GB2312"/>
                <w:color w:val="auto"/>
                <w:kern w:val="0"/>
              </w:rPr>
              <w:t>行业级每项加3分</w:t>
            </w:r>
          </w:p>
        </w:tc>
      </w:tr>
    </w:tbl>
    <w:p>
      <w:pPr>
        <w:topLinePunct/>
        <w:adjustRightInd w:val="0"/>
        <w:snapToGrid w:val="0"/>
        <w:jc w:val="left"/>
        <w:textAlignment w:val="center"/>
        <w:rPr>
          <w:color w:val="auto"/>
        </w:rPr>
      </w:pPr>
    </w:p>
    <w:p>
      <w:pPr>
        <w:widowControl/>
        <w:topLinePunct/>
        <w:adjustRightInd w:val="0"/>
        <w:snapToGrid w:val="0"/>
        <w:spacing w:after="180" w:line="259" w:lineRule="auto"/>
        <w:jc w:val="left"/>
        <w:textAlignment w:val="center"/>
        <w:rPr>
          <w:color w:val="auto"/>
        </w:rPr>
      </w:pPr>
      <w:r>
        <w:rPr>
          <w:color w:val="auto"/>
        </w:rPr>
        <w:br w:type="page"/>
      </w:r>
    </w:p>
    <w:p>
      <w:pPr>
        <w:topLinePunct/>
        <w:adjustRightInd w:val="0"/>
        <w:snapToGrid w:val="0"/>
        <w:spacing w:line="360" w:lineRule="auto"/>
        <w:jc w:val="left"/>
        <w:textAlignment w:val="center"/>
        <w:rPr>
          <w:rFonts w:eastAsia="华文中宋"/>
          <w:b/>
          <w:color w:val="auto"/>
          <w:sz w:val="28"/>
          <w:szCs w:val="28"/>
        </w:rPr>
      </w:pPr>
      <w:r>
        <w:rPr>
          <w:rFonts w:hint="eastAsia" w:eastAsia="华文中宋"/>
          <w:b/>
          <w:color w:val="auto"/>
          <w:sz w:val="28"/>
          <w:szCs w:val="28"/>
        </w:rPr>
        <w:t>附表三：道路养护现场安全标准化检查表</w:t>
      </w:r>
    </w:p>
    <w:p>
      <w:pPr>
        <w:topLinePunct/>
        <w:adjustRightInd w:val="0"/>
        <w:snapToGrid w:val="0"/>
        <w:spacing w:line="360" w:lineRule="auto"/>
        <w:ind w:right="720" w:firstLine="210" w:firstLineChars="100"/>
        <w:jc w:val="left"/>
        <w:textAlignment w:val="center"/>
        <w:rPr>
          <w:rFonts w:hint="eastAsia" w:ascii="仿宋" w:hAnsi="仿宋" w:eastAsia="仿宋" w:cs="Arial Unicode MS"/>
          <w:color w:val="auto"/>
          <w:kern w:val="0"/>
        </w:rPr>
      </w:pPr>
      <w:r>
        <w:rPr>
          <w:rFonts w:hint="eastAsia" w:ascii="仿宋" w:hAnsi="仿宋" w:eastAsia="仿宋" w:cs="Arial Unicode MS"/>
          <w:color w:val="auto"/>
          <w:kern w:val="0"/>
        </w:rPr>
        <w:t xml:space="preserve">项目名称：                     养护单位：                   </w:t>
      </w:r>
    </w:p>
    <w:tbl>
      <w:tblPr>
        <w:tblStyle w:val="3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4320"/>
        <w:gridCol w:w="780"/>
        <w:gridCol w:w="880"/>
        <w:gridCol w:w="7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9620" w:type="dxa"/>
            <w:gridSpan w:val="7"/>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道路养护现场安全标准化检查表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1080" w:type="dxa"/>
            <w:vMerge w:val="restart"/>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检查项目</w:t>
            </w:r>
          </w:p>
        </w:tc>
        <w:tc>
          <w:tcPr>
            <w:tcW w:w="1080" w:type="dxa"/>
            <w:vMerge w:val="restart"/>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检查内容</w:t>
            </w:r>
          </w:p>
        </w:tc>
        <w:tc>
          <w:tcPr>
            <w:tcW w:w="4320" w:type="dxa"/>
            <w:vMerge w:val="restart"/>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现场检查扣分标准</w:t>
            </w:r>
          </w:p>
        </w:tc>
        <w:tc>
          <w:tcPr>
            <w:tcW w:w="780" w:type="dxa"/>
            <w:vMerge w:val="restart"/>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标准分</w:t>
            </w:r>
          </w:p>
        </w:tc>
        <w:tc>
          <w:tcPr>
            <w:tcW w:w="2360" w:type="dxa"/>
            <w:gridSpan w:val="3"/>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0" w:type="auto"/>
            <w:vMerge w:val="continue"/>
            <w:vAlign w:val="center"/>
          </w:tcPr>
          <w:p>
            <w:pPr>
              <w:topLinePunct/>
              <w:adjustRightInd w:val="0"/>
              <w:snapToGrid w:val="0"/>
              <w:jc w:val="left"/>
              <w:textAlignment w:val="center"/>
              <w:rPr>
                <w:rFonts w:eastAsia="仿宋_GB2312"/>
                <w:color w:val="auto"/>
                <w:kern w:val="0"/>
              </w:rPr>
            </w:pPr>
          </w:p>
        </w:tc>
        <w:tc>
          <w:tcPr>
            <w:tcW w:w="0" w:type="auto"/>
            <w:vMerge w:val="continue"/>
            <w:vAlign w:val="center"/>
          </w:tcPr>
          <w:p>
            <w:pPr>
              <w:topLinePunct/>
              <w:adjustRightInd w:val="0"/>
              <w:snapToGrid w:val="0"/>
              <w:jc w:val="left"/>
              <w:textAlignment w:val="center"/>
              <w:rPr>
                <w:rFonts w:eastAsia="仿宋_GB2312"/>
                <w:color w:val="auto"/>
                <w:kern w:val="0"/>
              </w:rPr>
            </w:pPr>
          </w:p>
        </w:tc>
        <w:tc>
          <w:tcPr>
            <w:tcW w:w="0" w:type="auto"/>
            <w:vMerge w:val="continue"/>
            <w:vAlign w:val="center"/>
          </w:tcPr>
          <w:p>
            <w:pPr>
              <w:topLinePunct/>
              <w:adjustRightInd w:val="0"/>
              <w:snapToGrid w:val="0"/>
              <w:jc w:val="left"/>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扣分情况</w:t>
            </w:r>
          </w:p>
        </w:tc>
        <w:tc>
          <w:tcPr>
            <w:tcW w:w="76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扣分</w:t>
            </w:r>
          </w:p>
        </w:tc>
        <w:tc>
          <w:tcPr>
            <w:tcW w:w="7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80" w:type="dxa"/>
            <w:vMerge w:val="restart"/>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制度管理（2分）</w:t>
            </w: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制度建立</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1、安全生产责任制度、检查制度、特种作业管理制度、动火管理制度、安措经费使用管理制度、安全交底制度、带班制度、事故报告与处理制度、安全考核奖罚制度等。每缺一项扣0.5分。</w:t>
            </w:r>
          </w:p>
        </w:tc>
        <w:tc>
          <w:tcPr>
            <w:tcW w:w="780" w:type="dxa"/>
            <w:vMerge w:val="restart"/>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2</w:t>
            </w: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资质、资格</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2、企业总包、分包资质不符规定，考评为不合格。养护企业无安全许可证的“三类”人员必须参加“贯标”培训，每缺一类人员扣0.5分。</w:t>
            </w:r>
          </w:p>
        </w:tc>
        <w:tc>
          <w:tcPr>
            <w:tcW w:w="780" w:type="dxa"/>
            <w:vMerge w:val="continue"/>
            <w:vAlign w:val="center"/>
          </w:tcPr>
          <w:p>
            <w:pPr>
              <w:topLinePunct/>
              <w:adjustRightInd w:val="0"/>
              <w:snapToGrid w:val="0"/>
              <w:jc w:val="left"/>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危险源控制</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4、安全专项方案未辨识、审核的；每项扣0.5分；未按应急预案要求落实应急物资储备和演练的，危险品及有毒有害物品管理规定的每项扣0.5分。</w:t>
            </w:r>
          </w:p>
        </w:tc>
        <w:tc>
          <w:tcPr>
            <w:tcW w:w="780" w:type="dxa"/>
            <w:vMerge w:val="continue"/>
            <w:vAlign w:val="center"/>
          </w:tcPr>
          <w:p>
            <w:pPr>
              <w:topLinePunct/>
              <w:adjustRightInd w:val="0"/>
              <w:snapToGrid w:val="0"/>
              <w:jc w:val="left"/>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安全经费</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5、未制定专项计划、建立专项台账、未审批、未专款专用的；每项扣0.5分。</w:t>
            </w:r>
          </w:p>
        </w:tc>
        <w:tc>
          <w:tcPr>
            <w:tcW w:w="780" w:type="dxa"/>
            <w:vMerge w:val="continue"/>
            <w:vAlign w:val="center"/>
          </w:tcPr>
          <w:p>
            <w:pPr>
              <w:topLinePunct/>
              <w:adjustRightInd w:val="0"/>
              <w:snapToGrid w:val="0"/>
              <w:jc w:val="left"/>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从业人员  维权</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6、无用工手续；未按规定办理相关保险；未按标准发放劳动防护用品的；每项扣0.5分。</w:t>
            </w:r>
          </w:p>
        </w:tc>
        <w:tc>
          <w:tcPr>
            <w:tcW w:w="780" w:type="dxa"/>
            <w:vMerge w:val="continue"/>
            <w:vAlign w:val="center"/>
          </w:tcPr>
          <w:p>
            <w:pPr>
              <w:topLinePunct/>
              <w:adjustRightInd w:val="0"/>
              <w:snapToGrid w:val="0"/>
              <w:jc w:val="left"/>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80" w:type="dxa"/>
            <w:vMerge w:val="restart"/>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现场管理  （3）分</w:t>
            </w: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安全教育  交底</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1、未进行三级教育、安全贯标培训的；未根据各工种的特点进行上岗安全交底、交底无书面记录的；每项扣0.5分。</w:t>
            </w:r>
          </w:p>
        </w:tc>
        <w:tc>
          <w:tcPr>
            <w:tcW w:w="780" w:type="dxa"/>
            <w:vMerge w:val="restart"/>
            <w:vAlign w:val="center"/>
          </w:tcPr>
          <w:p>
            <w:pPr>
              <w:topLinePunct/>
              <w:adjustRightInd w:val="0"/>
              <w:snapToGrid w:val="0"/>
              <w:ind w:firstLine="210" w:firstLineChars="100"/>
              <w:jc w:val="left"/>
              <w:textAlignment w:val="center"/>
              <w:rPr>
                <w:rFonts w:eastAsia="仿宋_GB2312"/>
                <w:color w:val="auto"/>
                <w:kern w:val="0"/>
              </w:rPr>
            </w:pPr>
            <w:r>
              <w:rPr>
                <w:rFonts w:hint="eastAsia" w:eastAsia="仿宋_GB2312"/>
                <w:color w:val="auto"/>
                <w:kern w:val="0"/>
              </w:rPr>
              <w:t>3</w:t>
            </w: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1080" w:type="dxa"/>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作业           控制与              防护</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2、未按规范标准（专项方案）布设和撤除安全作业控制区的；各类施工（交通）标志、标牌制作不符规范标准等；安全围护设施的设置不符规范标准要求或缺失；车辆、机具违反进出现场、停放要求的；每项扣0.5分。</w:t>
            </w:r>
          </w:p>
        </w:tc>
        <w:tc>
          <w:tcPr>
            <w:tcW w:w="780" w:type="dxa"/>
            <w:vMerge w:val="continue"/>
            <w:noWrap/>
            <w:vAlign w:val="center"/>
          </w:tcPr>
          <w:p>
            <w:pPr>
              <w:topLinePunct/>
              <w:adjustRightInd w:val="0"/>
              <w:snapToGrid w:val="0"/>
              <w:jc w:val="left"/>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80" w:type="dxa"/>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人员配备</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3、安全员不到位；班组未按要求配置安全协管员的；每项扣1分；相关人员无安全证书、资料不全的；每项扣0.5分；</w:t>
            </w:r>
          </w:p>
        </w:tc>
        <w:tc>
          <w:tcPr>
            <w:tcW w:w="780" w:type="dxa"/>
            <w:vMerge w:val="continue"/>
            <w:noWrap/>
            <w:vAlign w:val="center"/>
          </w:tcPr>
          <w:p>
            <w:pPr>
              <w:topLinePunct/>
              <w:adjustRightInd w:val="0"/>
              <w:snapToGrid w:val="0"/>
              <w:jc w:val="left"/>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检查项目</w:t>
            </w: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检查内容</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现场检查扣分标准</w:t>
            </w:r>
          </w:p>
        </w:tc>
        <w:tc>
          <w:tcPr>
            <w:tcW w:w="780" w:type="dxa"/>
            <w:noWrap/>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标准分</w:t>
            </w:r>
          </w:p>
        </w:tc>
        <w:tc>
          <w:tcPr>
            <w:tcW w:w="8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扣分情况</w:t>
            </w:r>
          </w:p>
        </w:tc>
        <w:tc>
          <w:tcPr>
            <w:tcW w:w="76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扣分</w:t>
            </w:r>
          </w:p>
        </w:tc>
        <w:tc>
          <w:tcPr>
            <w:tcW w:w="7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实得分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restart"/>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现场管理  （3）分</w:t>
            </w: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车辆设置</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4、未按规定配备移动式标志车辆和作业人员乘用车辆或不符标准要求；养护作业车辆未设置安全警示灯牌、标识；每项扣0.5分</w:t>
            </w:r>
          </w:p>
        </w:tc>
        <w:tc>
          <w:tcPr>
            <w:tcW w:w="780" w:type="dxa"/>
            <w:vMerge w:val="restart"/>
            <w:noWrap/>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3</w:t>
            </w: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夜间作业</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5、未按规范标准要求设置高度清晰频闪警示灯、导向灯牌或缺失的每项扣0.5分。</w:t>
            </w:r>
          </w:p>
        </w:tc>
        <w:tc>
          <w:tcPr>
            <w:tcW w:w="780" w:type="dxa"/>
            <w:vMerge w:val="continue"/>
            <w:noWrap/>
            <w:vAlign w:val="center"/>
          </w:tcPr>
          <w:p>
            <w:pPr>
              <w:topLinePunct/>
              <w:adjustRightInd w:val="0"/>
              <w:snapToGrid w:val="0"/>
              <w:jc w:val="center"/>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现场防护</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6、现场未设置安全提示、警示标识标牌安全防护不符规范要求的每项扣0.5分。</w:t>
            </w:r>
          </w:p>
        </w:tc>
        <w:tc>
          <w:tcPr>
            <w:tcW w:w="780" w:type="dxa"/>
            <w:vMerge w:val="continue"/>
            <w:noWrap/>
            <w:vAlign w:val="center"/>
          </w:tcPr>
          <w:p>
            <w:pPr>
              <w:topLinePunct/>
              <w:adjustRightInd w:val="0"/>
              <w:snapToGrid w:val="0"/>
              <w:jc w:val="center"/>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人员防护</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7、养护施工作业人员未穿着统一桔红色带有反光功能工作套装、管理人员未穿反光背心进入现场的；未正确使用劳动防护用品的；每发现一人扣0.5分。</w:t>
            </w:r>
          </w:p>
        </w:tc>
        <w:tc>
          <w:tcPr>
            <w:tcW w:w="780" w:type="dxa"/>
            <w:vMerge w:val="continue"/>
            <w:noWrap/>
            <w:vAlign w:val="center"/>
          </w:tcPr>
          <w:p>
            <w:pPr>
              <w:topLinePunct/>
              <w:adjustRightInd w:val="0"/>
              <w:snapToGrid w:val="0"/>
              <w:jc w:val="center"/>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安全检查</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8、未按制度落实班组每周安全检查、企业领导带队每季度安全检查；安全隐患整改未做到“三定”的；每项扣0.5分；</w:t>
            </w:r>
          </w:p>
        </w:tc>
        <w:tc>
          <w:tcPr>
            <w:tcW w:w="780" w:type="dxa"/>
            <w:vMerge w:val="continue"/>
            <w:noWrap/>
            <w:vAlign w:val="center"/>
          </w:tcPr>
          <w:p>
            <w:pPr>
              <w:topLinePunct/>
              <w:adjustRightInd w:val="0"/>
              <w:snapToGrid w:val="0"/>
              <w:jc w:val="center"/>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 xml:space="preserve">设施、设备      </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9、使用不符安全要求的设施设备、电器、机具；每项扣0.5分。</w:t>
            </w:r>
          </w:p>
        </w:tc>
        <w:tc>
          <w:tcPr>
            <w:tcW w:w="780" w:type="dxa"/>
            <w:vMerge w:val="continue"/>
            <w:noWrap/>
            <w:vAlign w:val="center"/>
          </w:tcPr>
          <w:p>
            <w:pPr>
              <w:topLinePunct/>
              <w:adjustRightInd w:val="0"/>
              <w:snapToGrid w:val="0"/>
              <w:jc w:val="center"/>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1080" w:type="dxa"/>
            <w:vMerge w:val="restart"/>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用电</w:t>
            </w: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10、现场用电不规范；不符三级配电两级保护要求；用电未采用“一机、一箱、一闸、一漏”要求的；每项扣0.5分。</w:t>
            </w:r>
          </w:p>
        </w:tc>
        <w:tc>
          <w:tcPr>
            <w:tcW w:w="780" w:type="dxa"/>
            <w:vMerge w:val="continue"/>
            <w:noWrap/>
            <w:vAlign w:val="center"/>
          </w:tcPr>
          <w:p>
            <w:pPr>
              <w:topLinePunct/>
              <w:adjustRightInd w:val="0"/>
              <w:snapToGrid w:val="0"/>
              <w:jc w:val="center"/>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pPr>
              <w:topLinePunct/>
              <w:adjustRightInd w:val="0"/>
              <w:snapToGrid w:val="0"/>
              <w:jc w:val="left"/>
              <w:textAlignment w:val="center"/>
              <w:rPr>
                <w:rFonts w:eastAsia="仿宋_GB2312"/>
                <w:color w:val="auto"/>
                <w:kern w:val="0"/>
              </w:rPr>
            </w:pPr>
          </w:p>
        </w:tc>
        <w:tc>
          <w:tcPr>
            <w:tcW w:w="0" w:type="auto"/>
            <w:vMerge w:val="continue"/>
            <w:vAlign w:val="center"/>
          </w:tcPr>
          <w:p>
            <w:pPr>
              <w:topLinePunct/>
              <w:adjustRightInd w:val="0"/>
              <w:snapToGrid w:val="0"/>
              <w:jc w:val="left"/>
              <w:textAlignment w:val="center"/>
              <w:rPr>
                <w:rFonts w:eastAsia="仿宋_GB2312"/>
                <w:color w:val="auto"/>
                <w:kern w:val="0"/>
              </w:rPr>
            </w:pPr>
          </w:p>
        </w:tc>
        <w:tc>
          <w:tcPr>
            <w:tcW w:w="4320"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11、未按规定要求对电气设备进行定期检查、检测、记录不全的；每项扣0.5分。</w:t>
            </w:r>
          </w:p>
        </w:tc>
        <w:tc>
          <w:tcPr>
            <w:tcW w:w="780" w:type="dxa"/>
            <w:vMerge w:val="continue"/>
            <w:noWrap/>
            <w:vAlign w:val="center"/>
          </w:tcPr>
          <w:p>
            <w:pPr>
              <w:topLinePunct/>
              <w:adjustRightInd w:val="0"/>
              <w:snapToGrid w:val="0"/>
              <w:jc w:val="center"/>
              <w:textAlignment w:val="center"/>
              <w:rPr>
                <w:rFonts w:eastAsia="仿宋_GB2312"/>
                <w:color w:val="auto"/>
                <w:kern w:val="0"/>
              </w:rPr>
            </w:pP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080" w:type="dxa"/>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合计</w:t>
            </w:r>
          </w:p>
        </w:tc>
        <w:tc>
          <w:tcPr>
            <w:tcW w:w="5400" w:type="dxa"/>
            <w:gridSpan w:val="2"/>
            <w:vAlign w:val="center"/>
          </w:tcPr>
          <w:p>
            <w:pPr>
              <w:topLinePunct/>
              <w:adjustRightInd w:val="0"/>
              <w:snapToGrid w:val="0"/>
              <w:jc w:val="left"/>
              <w:textAlignment w:val="center"/>
              <w:rPr>
                <w:rFonts w:eastAsia="仿宋_GB2312"/>
                <w:color w:val="auto"/>
                <w:kern w:val="0"/>
              </w:rPr>
            </w:pPr>
          </w:p>
        </w:tc>
        <w:tc>
          <w:tcPr>
            <w:tcW w:w="780" w:type="dxa"/>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5</w:t>
            </w:r>
          </w:p>
        </w:tc>
        <w:tc>
          <w:tcPr>
            <w:tcW w:w="880" w:type="dxa"/>
            <w:vAlign w:val="center"/>
          </w:tcPr>
          <w:p>
            <w:pPr>
              <w:topLinePunct/>
              <w:adjustRightInd w:val="0"/>
              <w:snapToGrid w:val="0"/>
              <w:jc w:val="left"/>
              <w:textAlignment w:val="center"/>
              <w:rPr>
                <w:rFonts w:eastAsia="仿宋_GB2312"/>
                <w:color w:val="auto"/>
                <w:kern w:val="0"/>
              </w:rPr>
            </w:pPr>
          </w:p>
        </w:tc>
        <w:tc>
          <w:tcPr>
            <w:tcW w:w="760" w:type="dxa"/>
            <w:vAlign w:val="center"/>
          </w:tcPr>
          <w:p>
            <w:pPr>
              <w:topLinePunct/>
              <w:adjustRightInd w:val="0"/>
              <w:snapToGrid w:val="0"/>
              <w:jc w:val="left"/>
              <w:textAlignment w:val="center"/>
              <w:rPr>
                <w:rFonts w:eastAsia="仿宋_GB2312"/>
                <w:color w:val="auto"/>
                <w:kern w:val="0"/>
              </w:rPr>
            </w:pPr>
          </w:p>
        </w:tc>
        <w:tc>
          <w:tcPr>
            <w:tcW w:w="720" w:type="dxa"/>
            <w:vAlign w:val="center"/>
          </w:tcPr>
          <w:p>
            <w:pPr>
              <w:topLinePunct/>
              <w:adjustRightInd w:val="0"/>
              <w:snapToGrid w:val="0"/>
              <w:jc w:val="left"/>
              <w:textAlignment w:val="center"/>
              <w:rPr>
                <w:rFonts w:eastAsia="仿宋_GB2312"/>
                <w:color w:val="auto"/>
                <w:kern w:val="0"/>
              </w:rPr>
            </w:pPr>
          </w:p>
        </w:tc>
      </w:tr>
    </w:tbl>
    <w:p>
      <w:pPr>
        <w:topLinePunct/>
        <w:adjustRightInd w:val="0"/>
        <w:snapToGrid w:val="0"/>
        <w:ind w:right="720" w:firstLine="210" w:firstLineChars="100"/>
        <w:jc w:val="left"/>
        <w:textAlignment w:val="center"/>
        <w:rPr>
          <w:rFonts w:hint="eastAsia" w:ascii="仿宋" w:hAnsi="仿宋" w:eastAsia="仿宋" w:cs="Arial Unicode MS"/>
          <w:color w:val="auto"/>
          <w:kern w:val="0"/>
        </w:rPr>
      </w:pPr>
      <w:r>
        <w:rPr>
          <w:rFonts w:hint="eastAsia" w:ascii="仿宋" w:hAnsi="仿宋" w:eastAsia="仿宋" w:cs="Arial Unicode MS"/>
          <w:color w:val="auto"/>
          <w:kern w:val="0"/>
        </w:rPr>
        <w:t xml:space="preserve">检查人员：   </w:t>
      </w:r>
    </w:p>
    <w:p>
      <w:pPr>
        <w:topLinePunct/>
        <w:adjustRightInd w:val="0"/>
        <w:snapToGrid w:val="0"/>
        <w:ind w:right="720" w:firstLine="210" w:firstLineChars="100"/>
        <w:jc w:val="left"/>
        <w:textAlignment w:val="center"/>
        <w:rPr>
          <w:rFonts w:hint="eastAsia" w:ascii="仿宋" w:hAnsi="仿宋" w:eastAsia="仿宋" w:cs="Arial Unicode MS"/>
          <w:color w:val="auto"/>
          <w:kern w:val="0"/>
        </w:rPr>
      </w:pPr>
      <w:r>
        <w:rPr>
          <w:rFonts w:hint="eastAsia" w:ascii="仿宋" w:hAnsi="仿宋" w:eastAsia="仿宋" w:cs="Arial Unicode MS"/>
          <w:color w:val="auto"/>
          <w:kern w:val="0"/>
        </w:rPr>
        <w:t xml:space="preserve">设施负责人签字：              </w:t>
      </w:r>
    </w:p>
    <w:p>
      <w:pPr>
        <w:topLinePunct/>
        <w:adjustRightInd w:val="0"/>
        <w:snapToGrid w:val="0"/>
        <w:ind w:right="720" w:firstLine="210" w:firstLineChars="100"/>
        <w:jc w:val="left"/>
        <w:textAlignment w:val="center"/>
        <w:rPr>
          <w:rFonts w:hint="eastAsia" w:ascii="仿宋" w:hAnsi="仿宋" w:eastAsia="仿宋" w:cs="Arial Unicode MS"/>
          <w:color w:val="auto"/>
          <w:kern w:val="0"/>
        </w:rPr>
      </w:pPr>
      <w:r>
        <w:rPr>
          <w:rFonts w:hint="eastAsia" w:ascii="仿宋" w:hAnsi="仿宋" w:eastAsia="仿宋" w:cs="Arial Unicode MS"/>
          <w:color w:val="auto"/>
          <w:kern w:val="0"/>
        </w:rPr>
        <w:t>日期：      年      月     日</w:t>
      </w:r>
    </w:p>
    <w:p>
      <w:pPr>
        <w:topLinePunct/>
        <w:adjustRightInd w:val="0"/>
        <w:snapToGrid w:val="0"/>
        <w:spacing w:before="120" w:beforeLines="50" w:after="120" w:afterLines="50" w:line="360" w:lineRule="auto"/>
        <w:jc w:val="center"/>
        <w:rPr>
          <w:rFonts w:hint="eastAsia" w:ascii="Times New Roman" w:hAnsi="华文中宋" w:eastAsia="华文中宋"/>
          <w:b/>
          <w:color w:val="auto"/>
          <w:kern w:val="0"/>
          <w:sz w:val="32"/>
          <w:szCs w:val="32"/>
        </w:rPr>
      </w:pPr>
    </w:p>
    <w:p>
      <w:pPr>
        <w:topLinePunct/>
        <w:adjustRightInd w:val="0"/>
        <w:snapToGrid w:val="0"/>
        <w:spacing w:before="120" w:beforeLines="50" w:after="120" w:afterLines="50" w:line="360" w:lineRule="auto"/>
        <w:rPr>
          <w:rFonts w:hint="eastAsia" w:ascii="Times New Roman" w:hAnsi="华文中宋" w:eastAsia="华文中宋"/>
          <w:b/>
          <w:color w:val="auto"/>
          <w:kern w:val="0"/>
          <w:sz w:val="32"/>
          <w:szCs w:val="32"/>
        </w:rPr>
      </w:pPr>
      <w:r>
        <w:rPr>
          <w:rFonts w:hint="eastAsia" w:ascii="Times New Roman" w:hAnsi="华文中宋" w:eastAsia="华文中宋"/>
          <w:b/>
          <w:color w:val="auto"/>
          <w:kern w:val="0"/>
          <w:sz w:val="32"/>
          <w:szCs w:val="32"/>
        </w:rPr>
        <w:br w:type="page"/>
      </w:r>
    </w:p>
    <w:p>
      <w:pPr>
        <w:topLinePunct/>
        <w:adjustRightInd w:val="0"/>
        <w:snapToGrid w:val="0"/>
        <w:spacing w:before="120" w:beforeLines="50" w:after="120" w:afterLines="50" w:line="360" w:lineRule="auto"/>
        <w:jc w:val="center"/>
        <w:rPr>
          <w:rFonts w:hint="eastAsia" w:ascii="Times New Roman" w:hAnsi="华文中宋" w:eastAsia="华文中宋"/>
          <w:b/>
          <w:color w:val="auto"/>
          <w:kern w:val="0"/>
          <w:sz w:val="32"/>
          <w:szCs w:val="32"/>
        </w:rPr>
      </w:pPr>
      <w:r>
        <w:rPr>
          <w:rFonts w:hint="eastAsia" w:ascii="Times New Roman" w:hAnsi="华文中宋" w:eastAsia="华文中宋"/>
          <w:b/>
          <w:color w:val="auto"/>
          <w:kern w:val="0"/>
          <w:sz w:val="32"/>
          <w:szCs w:val="32"/>
        </w:rPr>
        <w:t>附录八  市管城市道路景观灯光内业资料清单</w:t>
      </w:r>
      <w:bookmarkEnd w:id="14"/>
    </w:p>
    <w:tbl>
      <w:tblPr>
        <w:tblStyle w:val="37"/>
        <w:tblW w:w="10349" w:type="dxa"/>
        <w:jc w:val="center"/>
        <w:tblLayout w:type="autofit"/>
        <w:tblCellMar>
          <w:top w:w="0" w:type="dxa"/>
          <w:left w:w="108" w:type="dxa"/>
          <w:bottom w:w="0" w:type="dxa"/>
          <w:right w:w="108" w:type="dxa"/>
        </w:tblCellMar>
      </w:tblPr>
      <w:tblGrid>
        <w:gridCol w:w="724"/>
        <w:gridCol w:w="3700"/>
        <w:gridCol w:w="2636"/>
        <w:gridCol w:w="1134"/>
        <w:gridCol w:w="2155"/>
      </w:tblGrid>
      <w:tr>
        <w:tblPrEx>
          <w:tblCellMar>
            <w:top w:w="0" w:type="dxa"/>
            <w:left w:w="108" w:type="dxa"/>
            <w:bottom w:w="0" w:type="dxa"/>
            <w:right w:w="108" w:type="dxa"/>
          </w:tblCellMar>
        </w:tblPrEx>
        <w:trPr>
          <w:trHeight w:val="454" w:hRule="exact"/>
          <w:jc w:val="center"/>
        </w:trPr>
        <w:tc>
          <w:tcPr>
            <w:tcW w:w="724" w:type="dxa"/>
            <w:tcBorders>
              <w:top w:val="single" w:color="auto" w:sz="4" w:space="0"/>
              <w:left w:val="single" w:color="auto" w:sz="4" w:space="0"/>
              <w:bottom w:val="single" w:color="auto" w:sz="4" w:space="0"/>
              <w:right w:val="single" w:color="auto" w:sz="4" w:space="0"/>
            </w:tcBorders>
            <w:shd w:val="clear" w:color="auto" w:fill="D9D9D9"/>
            <w:vAlign w:val="center"/>
          </w:tcPr>
          <w:p>
            <w:pPr>
              <w:topLinePunct/>
              <w:adjustRightInd w:val="0"/>
              <w:snapToGrid w:val="0"/>
              <w:jc w:val="center"/>
              <w:rPr>
                <w:rFonts w:hint="eastAsia" w:ascii="黑体" w:hAnsi="黑体" w:eastAsia="黑体"/>
                <w:b/>
                <w:bCs/>
                <w:color w:val="auto"/>
                <w:kern w:val="0"/>
                <w:sz w:val="20"/>
                <w:szCs w:val="20"/>
              </w:rPr>
            </w:pPr>
            <w:r>
              <w:rPr>
                <w:rFonts w:ascii="黑体" w:hAnsi="黑体" w:eastAsia="黑体"/>
                <w:b/>
                <w:bCs/>
                <w:color w:val="auto"/>
                <w:kern w:val="0"/>
                <w:sz w:val="20"/>
                <w:szCs w:val="20"/>
              </w:rPr>
              <w:t>序号</w:t>
            </w:r>
          </w:p>
        </w:tc>
        <w:tc>
          <w:tcPr>
            <w:tcW w:w="3700" w:type="dxa"/>
            <w:tcBorders>
              <w:top w:val="single" w:color="auto" w:sz="4" w:space="0"/>
              <w:left w:val="nil"/>
              <w:bottom w:val="single" w:color="auto" w:sz="4" w:space="0"/>
              <w:right w:val="single" w:color="auto" w:sz="4" w:space="0"/>
            </w:tcBorders>
            <w:shd w:val="clear" w:color="auto" w:fill="D9D9D9"/>
            <w:vAlign w:val="center"/>
          </w:tcPr>
          <w:p>
            <w:pPr>
              <w:topLinePunct/>
              <w:adjustRightInd w:val="0"/>
              <w:snapToGrid w:val="0"/>
              <w:jc w:val="center"/>
              <w:rPr>
                <w:rFonts w:hint="eastAsia" w:ascii="黑体" w:hAnsi="黑体" w:eastAsia="黑体"/>
                <w:b/>
                <w:bCs/>
                <w:color w:val="auto"/>
                <w:kern w:val="0"/>
                <w:sz w:val="20"/>
                <w:szCs w:val="20"/>
              </w:rPr>
            </w:pPr>
            <w:r>
              <w:rPr>
                <w:rFonts w:ascii="黑体" w:hAnsi="黑体" w:eastAsia="黑体"/>
                <w:b/>
                <w:bCs/>
                <w:color w:val="auto"/>
                <w:kern w:val="0"/>
                <w:sz w:val="20"/>
                <w:szCs w:val="20"/>
              </w:rPr>
              <w:t>审核文件</w:t>
            </w:r>
          </w:p>
        </w:tc>
        <w:tc>
          <w:tcPr>
            <w:tcW w:w="2636" w:type="dxa"/>
            <w:tcBorders>
              <w:top w:val="single" w:color="auto" w:sz="4" w:space="0"/>
              <w:left w:val="nil"/>
              <w:bottom w:val="single" w:color="auto" w:sz="4" w:space="0"/>
              <w:right w:val="single" w:color="auto" w:sz="4" w:space="0"/>
            </w:tcBorders>
            <w:shd w:val="clear" w:color="auto" w:fill="D9D9D9"/>
            <w:vAlign w:val="center"/>
          </w:tcPr>
          <w:p>
            <w:pPr>
              <w:topLinePunct/>
              <w:adjustRightInd w:val="0"/>
              <w:snapToGrid w:val="0"/>
              <w:jc w:val="center"/>
              <w:rPr>
                <w:rFonts w:hint="eastAsia" w:ascii="黑体" w:hAnsi="黑体" w:eastAsia="黑体"/>
                <w:b/>
                <w:bCs/>
                <w:color w:val="auto"/>
                <w:kern w:val="0"/>
                <w:sz w:val="20"/>
                <w:szCs w:val="20"/>
              </w:rPr>
            </w:pPr>
            <w:r>
              <w:rPr>
                <w:rFonts w:ascii="黑体" w:hAnsi="黑体" w:eastAsia="黑体"/>
                <w:b/>
                <w:bCs/>
                <w:color w:val="auto"/>
                <w:kern w:val="0"/>
                <w:sz w:val="20"/>
                <w:szCs w:val="20"/>
              </w:rPr>
              <w:t>细化文件</w:t>
            </w:r>
          </w:p>
        </w:tc>
        <w:tc>
          <w:tcPr>
            <w:tcW w:w="1134" w:type="dxa"/>
            <w:tcBorders>
              <w:top w:val="single" w:color="auto" w:sz="4" w:space="0"/>
              <w:left w:val="nil"/>
              <w:bottom w:val="single" w:color="auto" w:sz="4" w:space="0"/>
              <w:right w:val="single" w:color="auto" w:sz="4" w:space="0"/>
            </w:tcBorders>
            <w:shd w:val="clear" w:color="auto" w:fill="D9D9D9"/>
            <w:vAlign w:val="center"/>
          </w:tcPr>
          <w:p>
            <w:pPr>
              <w:topLinePunct/>
              <w:adjustRightInd w:val="0"/>
              <w:snapToGrid w:val="0"/>
              <w:jc w:val="center"/>
              <w:rPr>
                <w:rFonts w:hint="eastAsia" w:ascii="黑体" w:hAnsi="黑体" w:eastAsia="黑体"/>
                <w:b/>
                <w:bCs/>
                <w:color w:val="auto"/>
                <w:kern w:val="0"/>
                <w:sz w:val="20"/>
                <w:szCs w:val="20"/>
              </w:rPr>
            </w:pPr>
            <w:r>
              <w:rPr>
                <w:rFonts w:ascii="黑体" w:hAnsi="黑体" w:eastAsia="黑体"/>
                <w:b/>
                <w:bCs/>
                <w:color w:val="auto"/>
                <w:kern w:val="0"/>
                <w:sz w:val="20"/>
                <w:szCs w:val="20"/>
              </w:rPr>
              <w:t>频次</w:t>
            </w:r>
          </w:p>
        </w:tc>
        <w:tc>
          <w:tcPr>
            <w:tcW w:w="2155" w:type="dxa"/>
            <w:tcBorders>
              <w:top w:val="single" w:color="auto" w:sz="4" w:space="0"/>
              <w:left w:val="nil"/>
              <w:bottom w:val="single" w:color="auto" w:sz="4" w:space="0"/>
              <w:right w:val="single" w:color="auto" w:sz="4" w:space="0"/>
            </w:tcBorders>
            <w:shd w:val="clear" w:color="auto" w:fill="D9D9D9"/>
            <w:vAlign w:val="center"/>
          </w:tcPr>
          <w:p>
            <w:pPr>
              <w:topLinePunct/>
              <w:adjustRightInd w:val="0"/>
              <w:snapToGrid w:val="0"/>
              <w:jc w:val="center"/>
              <w:rPr>
                <w:rFonts w:hint="eastAsia" w:ascii="黑体" w:hAnsi="黑体" w:eastAsia="黑体"/>
                <w:b/>
                <w:bCs/>
                <w:color w:val="auto"/>
                <w:kern w:val="0"/>
                <w:sz w:val="20"/>
                <w:szCs w:val="20"/>
              </w:rPr>
            </w:pPr>
            <w:r>
              <w:rPr>
                <w:rFonts w:ascii="黑体" w:hAnsi="黑体" w:eastAsia="黑体"/>
                <w:b/>
                <w:bCs/>
                <w:color w:val="auto"/>
                <w:kern w:val="0"/>
                <w:sz w:val="20"/>
                <w:szCs w:val="20"/>
              </w:rPr>
              <w:t>备注</w:t>
            </w:r>
          </w:p>
        </w:tc>
      </w:tr>
      <w:tr>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noWrap/>
            <w:vAlign w:val="center"/>
          </w:tcPr>
          <w:p>
            <w:pPr>
              <w:numPr>
                <w:ilvl w:val="0"/>
                <w:numId w:val="7"/>
              </w:numPr>
              <w:topLinePunct/>
              <w:adjustRightInd w:val="0"/>
              <w:snapToGrid w:val="0"/>
              <w:jc w:val="center"/>
              <w:textAlignment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项目管理基本资料</w:t>
            </w: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1</w:t>
            </w:r>
          </w:p>
        </w:tc>
        <w:tc>
          <w:tcPr>
            <w:tcW w:w="3700" w:type="dxa"/>
            <w:tcBorders>
              <w:top w:val="nil"/>
              <w:left w:val="nil"/>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中标通知书、合同</w:t>
            </w:r>
          </w:p>
        </w:tc>
        <w:tc>
          <w:tcPr>
            <w:tcW w:w="2636" w:type="dxa"/>
            <w:tcBorders>
              <w:top w:val="nil"/>
              <w:left w:val="nil"/>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2</w:t>
            </w:r>
          </w:p>
        </w:tc>
        <w:tc>
          <w:tcPr>
            <w:tcW w:w="3700" w:type="dxa"/>
            <w:tcBorders>
              <w:top w:val="nil"/>
              <w:left w:val="nil"/>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设施量汇总清单</w:t>
            </w:r>
          </w:p>
        </w:tc>
        <w:tc>
          <w:tcPr>
            <w:tcW w:w="2636" w:type="dxa"/>
            <w:tcBorders>
              <w:top w:val="nil"/>
              <w:left w:val="nil"/>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3</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养护大纲（计划）方案</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4</w:t>
            </w:r>
          </w:p>
        </w:tc>
        <w:tc>
          <w:tcPr>
            <w:tcW w:w="3700" w:type="dxa"/>
            <w:vMerge w:val="restart"/>
            <w:tcBorders>
              <w:top w:val="nil"/>
              <w:left w:val="single" w:color="auto" w:sz="4" w:space="0"/>
              <w:bottom w:val="single" w:color="000000"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日常养护运行专项方案</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日常巡视专项养护方案</w:t>
            </w: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5</w:t>
            </w:r>
          </w:p>
        </w:tc>
        <w:tc>
          <w:tcPr>
            <w:tcW w:w="3700" w:type="dxa"/>
            <w:vMerge w:val="continue"/>
            <w:tcBorders>
              <w:top w:val="nil"/>
              <w:left w:val="single" w:color="auto" w:sz="4" w:space="0"/>
              <w:bottom w:val="single" w:color="000000"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重大活动保障专项养护方案</w:t>
            </w: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6</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宋体" w:eastAsia="仿宋_GB2312"/>
                <w:color w:val="auto"/>
                <w:sz w:val="20"/>
                <w:szCs w:val="20"/>
              </w:rPr>
              <w:t>主要材料供应单位汇总台帐</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7</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养护机械设备台账及相关合格证</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巡视车、登高车等</w:t>
            </w: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8</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企业安全诚信考核表</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vAlign w:val="center"/>
          </w:tcPr>
          <w:p>
            <w:pPr>
              <w:numPr>
                <w:ilvl w:val="0"/>
                <w:numId w:val="7"/>
              </w:numPr>
              <w:topLinePunct/>
              <w:adjustRightInd w:val="0"/>
              <w:snapToGrid w:val="0"/>
              <w:jc w:val="center"/>
              <w:textAlignment w:val="center"/>
              <w:rPr>
                <w:rFonts w:ascii="仿宋_GB2312" w:hAnsi="Times New Roman" w:eastAsia="仿宋_GB2312"/>
                <w:color w:val="auto"/>
                <w:kern w:val="0"/>
                <w:sz w:val="20"/>
                <w:szCs w:val="20"/>
              </w:rPr>
            </w:pPr>
            <w:r>
              <w:rPr>
                <w:rFonts w:hint="eastAsia" w:ascii="仿宋_GB2312" w:hAnsi="宋体" w:eastAsia="仿宋_GB2312"/>
                <w:color w:val="auto"/>
                <w:kern w:val="0"/>
                <w:sz w:val="20"/>
                <w:szCs w:val="20"/>
              </w:rPr>
              <w:t>养护过程管理资料</w:t>
            </w: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1</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月度日常养护工作计划</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月</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2</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月度养护运行工作小结（月报）</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月</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3</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业主、监理指令回复记录</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按时</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4</w:t>
            </w:r>
          </w:p>
        </w:tc>
        <w:tc>
          <w:tcPr>
            <w:tcW w:w="3700"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媒体曝光、人民来信投诉处理季度汇总</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月</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r>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vAlign w:val="center"/>
          </w:tcPr>
          <w:p>
            <w:pPr>
              <w:numPr>
                <w:ilvl w:val="0"/>
                <w:numId w:val="7"/>
              </w:numPr>
              <w:topLinePunct/>
              <w:adjustRightInd w:val="0"/>
              <w:snapToGrid w:val="0"/>
              <w:jc w:val="center"/>
              <w:textAlignment w:val="center"/>
              <w:rPr>
                <w:rFonts w:ascii="仿宋_GB2312" w:hAnsi="Times New Roman" w:eastAsia="仿宋_GB2312"/>
                <w:color w:val="auto"/>
                <w:kern w:val="0"/>
                <w:sz w:val="20"/>
                <w:szCs w:val="20"/>
              </w:rPr>
            </w:pPr>
            <w:r>
              <w:rPr>
                <w:rFonts w:hint="eastAsia" w:ascii="仿宋_GB2312" w:hAnsi="宋体" w:eastAsia="仿宋_GB2312"/>
                <w:color w:val="auto"/>
                <w:kern w:val="0"/>
                <w:sz w:val="20"/>
                <w:szCs w:val="20"/>
              </w:rPr>
              <w:t>安全管理资料</w:t>
            </w:r>
          </w:p>
        </w:tc>
      </w:tr>
      <w:tr>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1</w:t>
            </w:r>
          </w:p>
        </w:tc>
        <w:tc>
          <w:tcPr>
            <w:tcW w:w="3700" w:type="dxa"/>
            <w:tcBorders>
              <w:top w:val="nil"/>
              <w:left w:val="single" w:color="auto" w:sz="4" w:space="0"/>
              <w:bottom w:val="single" w:color="000000"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各类应急预案</w:t>
            </w:r>
          </w:p>
        </w:tc>
        <w:tc>
          <w:tcPr>
            <w:tcW w:w="2636"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c>
          <w:tcPr>
            <w:tcW w:w="1134"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r>
              <w:rPr>
                <w:rFonts w:hint="eastAsia" w:ascii="仿宋_GB2312" w:hAnsi="Times New Roman" w:eastAsia="仿宋_GB2312"/>
                <w:color w:val="auto"/>
                <w:kern w:val="0"/>
                <w:sz w:val="20"/>
                <w:szCs w:val="20"/>
              </w:rPr>
              <w:t>年度</w:t>
            </w:r>
          </w:p>
        </w:tc>
        <w:tc>
          <w:tcPr>
            <w:tcW w:w="2155" w:type="dxa"/>
            <w:tcBorders>
              <w:top w:val="nil"/>
              <w:left w:val="nil"/>
              <w:bottom w:val="single" w:color="auto" w:sz="4" w:space="0"/>
              <w:right w:val="single" w:color="auto" w:sz="4" w:space="0"/>
            </w:tcBorders>
            <w:vAlign w:val="center"/>
          </w:tcPr>
          <w:p>
            <w:pPr>
              <w:topLinePunct/>
              <w:adjustRightInd w:val="0"/>
              <w:snapToGrid w:val="0"/>
              <w:jc w:val="center"/>
              <w:rPr>
                <w:rFonts w:ascii="仿宋_GB2312" w:hAnsi="Times New Roman" w:eastAsia="仿宋_GB2312"/>
                <w:color w:val="auto"/>
                <w:kern w:val="0"/>
                <w:sz w:val="20"/>
                <w:szCs w:val="20"/>
              </w:rPr>
            </w:pPr>
          </w:p>
        </w:tc>
      </w:tr>
    </w:tbl>
    <w:p>
      <w:pPr>
        <w:topLinePunct/>
        <w:adjustRightInd w:val="0"/>
        <w:snapToGrid w:val="0"/>
        <w:spacing w:line="500" w:lineRule="exact"/>
        <w:jc w:val="center"/>
        <w:rPr>
          <w:rFonts w:ascii="Times New Roman" w:hAnsi="Times New Roman"/>
          <w:b/>
          <w:bCs/>
          <w:color w:val="auto"/>
          <w:sz w:val="32"/>
          <w:szCs w:val="32"/>
        </w:rPr>
      </w:pPr>
      <w:r>
        <w:rPr>
          <w:rFonts w:ascii="Times New Roman" w:hAnsi="Times New Roman"/>
          <w:b/>
          <w:bCs/>
          <w:color w:val="auto"/>
          <w:sz w:val="32"/>
          <w:szCs w:val="32"/>
        </w:rPr>
        <w:br w:type="page"/>
      </w:r>
    </w:p>
    <w:p>
      <w:pPr>
        <w:topLinePunct/>
        <w:adjustRightInd w:val="0"/>
        <w:snapToGrid w:val="0"/>
        <w:spacing w:before="120" w:beforeLines="50" w:after="120" w:afterLines="50" w:line="360" w:lineRule="auto"/>
        <w:jc w:val="center"/>
        <w:rPr>
          <w:rFonts w:hint="eastAsia" w:ascii="Times New Roman" w:hAnsi="华文中宋" w:eastAsia="华文中宋"/>
          <w:b/>
          <w:color w:val="auto"/>
          <w:kern w:val="0"/>
          <w:sz w:val="32"/>
          <w:szCs w:val="32"/>
        </w:rPr>
      </w:pPr>
      <w:r>
        <w:rPr>
          <w:rFonts w:hint="eastAsia" w:ascii="Times New Roman" w:hAnsi="华文中宋" w:eastAsia="华文中宋"/>
          <w:b/>
          <w:color w:val="auto"/>
          <w:kern w:val="0"/>
          <w:sz w:val="32"/>
          <w:szCs w:val="32"/>
        </w:rPr>
        <w:t>附录九  市管城市道路景观灯光季度考核评分表</w:t>
      </w:r>
    </w:p>
    <w:tbl>
      <w:tblPr>
        <w:tblStyle w:val="393"/>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1539"/>
        <w:gridCol w:w="5245"/>
        <w:gridCol w:w="113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343" w:type="dxa"/>
            <w:gridSpan w:val="5"/>
            <w:vAlign w:val="center"/>
          </w:tcPr>
          <w:p>
            <w:pPr>
              <w:topLinePunct/>
              <w:adjustRightInd w:val="0"/>
              <w:snapToGrid w:val="0"/>
              <w:jc w:val="center"/>
              <w:rPr>
                <w:rFonts w:hint="eastAsia" w:ascii="黑体" w:hAnsi="黑体" w:eastAsia="黑体"/>
                <w:color w:val="auto"/>
                <w:kern w:val="0"/>
                <w:sz w:val="20"/>
                <w:szCs w:val="21"/>
              </w:rPr>
            </w:pPr>
            <w:r>
              <w:rPr>
                <w:rFonts w:hint="eastAsia" w:ascii="黑体" w:hAnsi="黑体" w:eastAsia="黑体"/>
                <w:color w:val="auto"/>
                <w:kern w:val="0"/>
                <w:sz w:val="28"/>
                <w:szCs w:val="32"/>
              </w:rPr>
              <w:t>表</w:t>
            </w:r>
            <w:r>
              <w:rPr>
                <w:rFonts w:ascii="黑体" w:hAnsi="黑体" w:eastAsia="黑体"/>
                <w:color w:val="auto"/>
                <w:kern w:val="0"/>
                <w:sz w:val="28"/>
                <w:szCs w:val="32"/>
              </w:rPr>
              <w:t xml:space="preserve">6 </w:t>
            </w:r>
            <w:r>
              <w:rPr>
                <w:rFonts w:hint="eastAsia" w:ascii="黑体" w:hAnsi="黑体" w:eastAsia="黑体"/>
                <w:color w:val="auto"/>
                <w:kern w:val="0"/>
                <w:sz w:val="28"/>
                <w:szCs w:val="32"/>
              </w:rPr>
              <w:t>市管城市道路景观灯光季度定量考核评分表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650" w:type="dxa"/>
            <w:gridSpan w:val="3"/>
            <w:vMerge w:val="restart"/>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考核设施：</w:t>
            </w:r>
          </w:p>
        </w:tc>
        <w:tc>
          <w:tcPr>
            <w:tcW w:w="2693" w:type="dxa"/>
            <w:gridSpan w:val="2"/>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650" w:type="dxa"/>
            <w:gridSpan w:val="3"/>
            <w:vMerge w:val="continue"/>
            <w:vAlign w:val="center"/>
          </w:tcPr>
          <w:p>
            <w:pPr>
              <w:topLinePunct/>
              <w:adjustRightInd w:val="0"/>
              <w:snapToGrid w:val="0"/>
              <w:rPr>
                <w:rFonts w:hint="eastAsia" w:ascii="仿宋_GB2312" w:hAnsi="宋体" w:eastAsia="仿宋_GB2312"/>
                <w:color w:val="auto"/>
                <w:kern w:val="0"/>
                <w:sz w:val="24"/>
                <w:szCs w:val="28"/>
                <w:u w:val="single"/>
              </w:rPr>
            </w:pPr>
          </w:p>
        </w:tc>
        <w:tc>
          <w:tcPr>
            <w:tcW w:w="2693" w:type="dxa"/>
            <w:gridSpan w:val="2"/>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6"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序号</w:t>
            </w:r>
          </w:p>
        </w:tc>
        <w:tc>
          <w:tcPr>
            <w:tcW w:w="1539"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项目</w:t>
            </w:r>
          </w:p>
        </w:tc>
        <w:tc>
          <w:tcPr>
            <w:tcW w:w="5245"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评分标准</w:t>
            </w:r>
          </w:p>
        </w:tc>
        <w:tc>
          <w:tcPr>
            <w:tcW w:w="113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标准分</w:t>
            </w:r>
          </w:p>
        </w:tc>
        <w:tc>
          <w:tcPr>
            <w:tcW w:w="1559" w:type="dxa"/>
            <w:vAlign w:val="center"/>
          </w:tcPr>
          <w:p>
            <w:pPr>
              <w:topLinePunct/>
              <w:adjustRightInd w:val="0"/>
              <w:snapToGrid w:val="0"/>
              <w:spacing w:line="240" w:lineRule="exact"/>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66"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w:t>
            </w:r>
          </w:p>
        </w:tc>
        <w:tc>
          <w:tcPr>
            <w:tcW w:w="1539"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巡查覆盖率</w:t>
            </w:r>
          </w:p>
        </w:tc>
        <w:tc>
          <w:tcPr>
            <w:tcW w:w="5245" w:type="dxa"/>
            <w:vAlign w:val="center"/>
          </w:tcPr>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满分 10 分。养护单位应每3天对管养设施（高架景观灯、苏州河沿线桥梁景观灯）全覆盖巡查养护。巡视车辆GPS 巡查数据覆盖率达到里程90%以上；针对苏州河沿线桥梁及南浦、杨浦、卢浦大桥景观灯光要求利用水印相机对桥两侧进行拍照打卡，打卡</w:t>
            </w:r>
            <w:r>
              <w:rPr>
                <w:rFonts w:ascii="仿宋_GB2312" w:hAnsi="宋体" w:eastAsia="仿宋_GB2312"/>
                <w:color w:val="auto"/>
                <w:kern w:val="0"/>
                <w:sz w:val="20"/>
                <w:szCs w:val="20"/>
              </w:rPr>
              <w:t>率应达到 100%。</w:t>
            </w:r>
            <w:r>
              <w:rPr>
                <w:rFonts w:hint="eastAsia" w:ascii="仿宋_GB2312" w:hAnsi="宋体" w:eastAsia="仿宋_GB2312"/>
                <w:color w:val="auto"/>
                <w:kern w:val="0"/>
                <w:sz w:val="20"/>
                <w:szCs w:val="20"/>
              </w:rPr>
              <w:t>不合格扣1分/天，扣完为止。</w:t>
            </w:r>
          </w:p>
        </w:tc>
        <w:tc>
          <w:tcPr>
            <w:tcW w:w="113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10</w:t>
            </w:r>
          </w:p>
        </w:tc>
        <w:tc>
          <w:tcPr>
            <w:tcW w:w="1559" w:type="dxa"/>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66"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w:t>
            </w:r>
          </w:p>
        </w:tc>
        <w:tc>
          <w:tcPr>
            <w:tcW w:w="1539"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病害处置率</w:t>
            </w:r>
          </w:p>
        </w:tc>
        <w:tc>
          <w:tcPr>
            <w:tcW w:w="5245" w:type="dxa"/>
            <w:vAlign w:val="center"/>
          </w:tcPr>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满分 20 分。养护单位日常巡查发现的病害应及时录入至养护在线监管系统，并由监理单位复核其处置情况，在规定的处置时限内完成闭环。</w:t>
            </w:r>
          </w:p>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（1）每季度上报养护在线监管系统的病害数量应达到相应标准，上报数量不少于40个/季度。未达到季度上报养护在线监管系统病害数量的扣 3 分。</w:t>
            </w:r>
          </w:p>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（2）病害按规定要求已处置完成，数量不少于 60个/季度（含业主、监理上报病害）。未按规定要求处置完成的扣 2 分。</w:t>
            </w:r>
          </w:p>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天，危险病害不超过 1 天。若因特殊原因出现逾期情况，需进行说明，由监理单位进行审核。</w:t>
            </w:r>
          </w:p>
        </w:tc>
        <w:tc>
          <w:tcPr>
            <w:tcW w:w="113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20</w:t>
            </w:r>
          </w:p>
        </w:tc>
        <w:tc>
          <w:tcPr>
            <w:tcW w:w="1559" w:type="dxa"/>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（3）</w:t>
            </w:r>
          </w:p>
        </w:tc>
        <w:tc>
          <w:tcPr>
            <w:tcW w:w="1539"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计划执行率</w:t>
            </w:r>
          </w:p>
        </w:tc>
        <w:tc>
          <w:tcPr>
            <w:tcW w:w="5245" w:type="dxa"/>
            <w:vAlign w:val="center"/>
          </w:tcPr>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满分10分。养护单位应每周报送养护作业计划，并填写实际完成情况，由监理单位进行审核，结果为已完成或未完成。对考核时间内的每日计划完成情况进行统计，季度计划执行率应达到100%，每降低1%扣2分，扣完为止。若因特殊原因出现未完成情况，需进行说明，由监理单位进行审核。</w:t>
            </w:r>
          </w:p>
        </w:tc>
        <w:tc>
          <w:tcPr>
            <w:tcW w:w="113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20</w:t>
            </w:r>
          </w:p>
        </w:tc>
        <w:tc>
          <w:tcPr>
            <w:tcW w:w="1559" w:type="dxa"/>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（4）</w:t>
            </w:r>
          </w:p>
        </w:tc>
        <w:tc>
          <w:tcPr>
            <w:tcW w:w="1539"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内业提交情况</w:t>
            </w:r>
          </w:p>
        </w:tc>
        <w:tc>
          <w:tcPr>
            <w:tcW w:w="5245" w:type="dxa"/>
            <w:vAlign w:val="center"/>
          </w:tcPr>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满分10分。养护单位应安排相对固定的人员负责养护信息化系统管理工作，要求内业资料按时上报且齐全，及时反馈系统问题。养护内业资料目录详见附录八，若未按时提交，扣2分/项，扣完为止。</w:t>
            </w:r>
          </w:p>
        </w:tc>
        <w:tc>
          <w:tcPr>
            <w:tcW w:w="113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10</w:t>
            </w:r>
          </w:p>
        </w:tc>
        <w:tc>
          <w:tcPr>
            <w:tcW w:w="1559" w:type="dxa"/>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gridSpan w:val="2"/>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养护季度</w:t>
            </w:r>
          </w:p>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定量得分</w:t>
            </w:r>
          </w:p>
        </w:tc>
        <w:tc>
          <w:tcPr>
            <w:tcW w:w="5245" w:type="dxa"/>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（1）~（4）得分总和</w:t>
            </w:r>
          </w:p>
        </w:tc>
        <w:tc>
          <w:tcPr>
            <w:tcW w:w="1134" w:type="dxa"/>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60</w:t>
            </w:r>
          </w:p>
        </w:tc>
        <w:tc>
          <w:tcPr>
            <w:tcW w:w="1559" w:type="dxa"/>
            <w:tcBorders>
              <w:bottom w:val="single" w:color="auto" w:sz="4" w:space="0"/>
            </w:tcBorders>
            <w:vAlign w:val="center"/>
          </w:tcPr>
          <w:p>
            <w:pPr>
              <w:topLinePunct/>
              <w:adjustRightInd w:val="0"/>
              <w:snapToGrid w:val="0"/>
              <w:jc w:val="center"/>
              <w:rPr>
                <w:rFonts w:hint="eastAsia" w:ascii="仿宋_GB2312" w:hAnsi="宋体" w:eastAsia="仿宋_GB2312"/>
                <w:color w:val="auto"/>
                <w:kern w:val="0"/>
                <w:sz w:val="20"/>
                <w:szCs w:val="20"/>
              </w:rPr>
            </w:pPr>
          </w:p>
        </w:tc>
      </w:tr>
    </w:tbl>
    <w:tbl>
      <w:tblPr>
        <w:tblStyle w:val="393"/>
        <w:tblpPr w:leftFromText="180" w:rightFromText="180" w:vertAnchor="page" w:horzAnchor="page" w:tblpX="658" w:tblpY="1427"/>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721"/>
        <w:gridCol w:w="1288"/>
        <w:gridCol w:w="3544"/>
        <w:gridCol w:w="992"/>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343" w:type="dxa"/>
            <w:gridSpan w:val="7"/>
            <w:vAlign w:val="center"/>
          </w:tcPr>
          <w:p>
            <w:pPr>
              <w:topLinePunct/>
              <w:adjustRightInd w:val="0"/>
              <w:snapToGrid w:val="0"/>
              <w:jc w:val="center"/>
              <w:rPr>
                <w:rFonts w:hint="eastAsia" w:ascii="宋体" w:hAnsi="宋体"/>
                <w:color w:val="auto"/>
                <w:kern w:val="0"/>
                <w:sz w:val="20"/>
                <w:szCs w:val="21"/>
              </w:rPr>
            </w:pPr>
            <w:r>
              <w:rPr>
                <w:rFonts w:hint="eastAsia" w:ascii="黑体" w:hAnsi="黑体" w:eastAsia="黑体"/>
                <w:color w:val="auto"/>
                <w:kern w:val="0"/>
                <w:sz w:val="28"/>
                <w:szCs w:val="32"/>
              </w:rPr>
              <w:t>表</w:t>
            </w:r>
            <w:r>
              <w:rPr>
                <w:rFonts w:ascii="黑体" w:hAnsi="黑体" w:eastAsia="黑体"/>
                <w:color w:val="auto"/>
                <w:kern w:val="0"/>
                <w:sz w:val="28"/>
                <w:szCs w:val="32"/>
              </w:rPr>
              <w:t xml:space="preserve">7 </w:t>
            </w:r>
            <w:r>
              <w:rPr>
                <w:rFonts w:hint="eastAsia" w:ascii="黑体" w:hAnsi="黑体" w:eastAsia="黑体"/>
                <w:color w:val="auto"/>
                <w:kern w:val="0"/>
                <w:sz w:val="28"/>
                <w:szCs w:val="32"/>
              </w:rPr>
              <w:t>市管城市道路景观灯光季度定性考核评分表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516" w:type="dxa"/>
            <w:gridSpan w:val="4"/>
            <w:vMerge w:val="restart"/>
            <w:vAlign w:val="center"/>
          </w:tcPr>
          <w:p>
            <w:pPr>
              <w:topLinePunct/>
              <w:adjustRightInd w:val="0"/>
              <w:snapToGrid w:val="0"/>
              <w:rPr>
                <w:rFonts w:hint="eastAsia" w:ascii="仿宋_GB2312" w:hAnsi="宋体" w:eastAsia="仿宋_GB2312"/>
                <w:color w:val="auto"/>
                <w:kern w:val="0"/>
                <w:sz w:val="24"/>
                <w:szCs w:val="20"/>
              </w:rPr>
            </w:pPr>
            <w:r>
              <w:rPr>
                <w:rFonts w:hint="eastAsia" w:ascii="仿宋_GB2312" w:hAnsi="宋体" w:eastAsia="仿宋_GB2312"/>
                <w:color w:val="auto"/>
                <w:kern w:val="0"/>
                <w:sz w:val="24"/>
                <w:szCs w:val="20"/>
              </w:rPr>
              <w:t>考核设施：</w:t>
            </w:r>
          </w:p>
        </w:tc>
        <w:tc>
          <w:tcPr>
            <w:tcW w:w="3827" w:type="dxa"/>
            <w:gridSpan w:val="3"/>
            <w:vAlign w:val="center"/>
          </w:tcPr>
          <w:p>
            <w:pPr>
              <w:topLinePunct/>
              <w:adjustRightInd w:val="0"/>
              <w:snapToGrid w:val="0"/>
              <w:rPr>
                <w:rFonts w:hint="eastAsia" w:ascii="仿宋_GB2312" w:hAnsi="宋体" w:eastAsia="仿宋_GB2312"/>
                <w:color w:val="auto"/>
                <w:kern w:val="0"/>
                <w:sz w:val="24"/>
                <w:szCs w:val="20"/>
              </w:rPr>
            </w:pPr>
            <w:r>
              <w:rPr>
                <w:rFonts w:hint="eastAsia" w:ascii="仿宋_GB2312" w:hAnsi="宋体" w:eastAsia="仿宋_GB2312"/>
                <w:color w:val="auto"/>
                <w:kern w:val="0"/>
                <w:sz w:val="24"/>
                <w:szCs w:val="20"/>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516" w:type="dxa"/>
            <w:gridSpan w:val="4"/>
            <w:vMerge w:val="continue"/>
            <w:vAlign w:val="center"/>
          </w:tcPr>
          <w:p>
            <w:pPr>
              <w:topLinePunct/>
              <w:adjustRightInd w:val="0"/>
              <w:snapToGrid w:val="0"/>
              <w:rPr>
                <w:rFonts w:hint="eastAsia" w:ascii="仿宋_GB2312" w:hAnsi="宋体" w:eastAsia="仿宋_GB2312"/>
                <w:color w:val="auto"/>
                <w:kern w:val="0"/>
                <w:sz w:val="24"/>
                <w:szCs w:val="20"/>
                <w:u w:val="single"/>
              </w:rPr>
            </w:pPr>
          </w:p>
        </w:tc>
        <w:tc>
          <w:tcPr>
            <w:tcW w:w="3827" w:type="dxa"/>
            <w:gridSpan w:val="3"/>
            <w:vAlign w:val="center"/>
          </w:tcPr>
          <w:p>
            <w:pPr>
              <w:topLinePunct/>
              <w:adjustRightInd w:val="0"/>
              <w:snapToGrid w:val="0"/>
              <w:rPr>
                <w:rFonts w:hint="eastAsia" w:ascii="仿宋_GB2312" w:hAnsi="宋体" w:eastAsia="仿宋_GB2312"/>
                <w:color w:val="auto"/>
                <w:kern w:val="0"/>
                <w:sz w:val="24"/>
                <w:szCs w:val="20"/>
              </w:rPr>
            </w:pPr>
            <w:r>
              <w:rPr>
                <w:rFonts w:hint="eastAsia" w:ascii="仿宋_GB2312" w:hAnsi="宋体" w:eastAsia="仿宋_GB2312"/>
                <w:color w:val="auto"/>
                <w:kern w:val="0"/>
                <w:sz w:val="24"/>
                <w:szCs w:val="20"/>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63"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序号</w:t>
            </w:r>
          </w:p>
        </w:tc>
        <w:tc>
          <w:tcPr>
            <w:tcW w:w="2009" w:type="dxa"/>
            <w:gridSpan w:val="2"/>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项目</w:t>
            </w:r>
          </w:p>
        </w:tc>
        <w:tc>
          <w:tcPr>
            <w:tcW w:w="35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评分标准</w:t>
            </w:r>
          </w:p>
        </w:tc>
        <w:tc>
          <w:tcPr>
            <w:tcW w:w="992"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标准分</w:t>
            </w:r>
          </w:p>
        </w:tc>
        <w:tc>
          <w:tcPr>
            <w:tcW w:w="1417" w:type="dxa"/>
            <w:vAlign w:val="center"/>
          </w:tcPr>
          <w:p>
            <w:pPr>
              <w:topLinePunct/>
              <w:adjustRightInd w:val="0"/>
              <w:snapToGrid w:val="0"/>
              <w:spacing w:line="240" w:lineRule="exact"/>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考核得分</w:t>
            </w:r>
          </w:p>
        </w:tc>
        <w:tc>
          <w:tcPr>
            <w:tcW w:w="1418" w:type="dxa"/>
            <w:vAlign w:val="center"/>
          </w:tcPr>
          <w:p>
            <w:pPr>
              <w:topLinePunct/>
              <w:adjustRightInd w:val="0"/>
              <w:snapToGrid w:val="0"/>
              <w:spacing w:line="240" w:lineRule="exact"/>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检查记录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w:t>
            </w:r>
          </w:p>
        </w:tc>
        <w:tc>
          <w:tcPr>
            <w:tcW w:w="721"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外场检查</w:t>
            </w:r>
          </w:p>
        </w:tc>
        <w:tc>
          <w:tcPr>
            <w:tcW w:w="1288"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亮灯率</w:t>
            </w:r>
          </w:p>
        </w:tc>
        <w:tc>
          <w:tcPr>
            <w:tcW w:w="3544" w:type="dxa"/>
            <w:vAlign w:val="center"/>
          </w:tcPr>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养护单位应确保景观灯光设施固定情况的巡视，要求景观灯光100%亮灯率，每降低0.5%扣5分，</w:t>
            </w:r>
          </w:p>
        </w:tc>
        <w:tc>
          <w:tcPr>
            <w:tcW w:w="992"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10</w:t>
            </w:r>
          </w:p>
        </w:tc>
        <w:tc>
          <w:tcPr>
            <w:tcW w:w="1417" w:type="dxa"/>
            <w:vAlign w:val="center"/>
          </w:tcPr>
          <w:p>
            <w:pPr>
              <w:topLinePunct/>
              <w:adjustRightInd w:val="0"/>
              <w:snapToGrid w:val="0"/>
              <w:jc w:val="center"/>
              <w:rPr>
                <w:rFonts w:hint="eastAsia" w:ascii="仿宋_GB2312" w:hAnsi="宋体" w:eastAsia="仿宋_GB2312"/>
                <w:color w:val="auto"/>
                <w:kern w:val="0"/>
                <w:sz w:val="20"/>
                <w:szCs w:val="20"/>
              </w:rPr>
            </w:pPr>
          </w:p>
        </w:tc>
        <w:tc>
          <w:tcPr>
            <w:tcW w:w="1418" w:type="dxa"/>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w:t>
            </w:r>
          </w:p>
        </w:tc>
        <w:tc>
          <w:tcPr>
            <w:tcW w:w="721"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288"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病害处置</w:t>
            </w:r>
          </w:p>
        </w:tc>
        <w:tc>
          <w:tcPr>
            <w:tcW w:w="3544" w:type="dxa"/>
            <w:vAlign w:val="center"/>
          </w:tcPr>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养护单位应确保景观灯光设施固定情况的维修，每一次不合格扣2分，扣完为止。故障修复时限要求如下：</w:t>
            </w:r>
          </w:p>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（1）节庆日：单根不亮（过暗）的灯具或电脑变光失控应于3天内修复，连续数根不亮（过暗）的灯具或电脑变光失控应于24小时内修复；</w:t>
            </w:r>
          </w:p>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（2）其余时段：单根不亮（过暗）和连续数根不亮（过暗）的或电脑变光失控灯具应于3天内修复；</w:t>
            </w:r>
          </w:p>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（3）发现景观灯灯具或零部件松动必须立即加固，最长不超过12小时；发现其他可能出现人身伤害的故障，必须做好相关防护工作，并在24小时内修复。</w:t>
            </w:r>
          </w:p>
          <w:p>
            <w:pPr>
              <w:topLinePunct/>
              <w:adjustRightInd w:val="0"/>
              <w:snapToGrid w:val="0"/>
              <w:jc w:val="left"/>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若因特殊原因出现未维修情况，需进行说明，由监理单位进行审核。</w:t>
            </w:r>
          </w:p>
        </w:tc>
        <w:tc>
          <w:tcPr>
            <w:tcW w:w="992"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20</w:t>
            </w:r>
          </w:p>
        </w:tc>
        <w:tc>
          <w:tcPr>
            <w:tcW w:w="1417" w:type="dxa"/>
            <w:vAlign w:val="center"/>
          </w:tcPr>
          <w:p>
            <w:pPr>
              <w:topLinePunct/>
              <w:adjustRightInd w:val="0"/>
              <w:snapToGrid w:val="0"/>
              <w:jc w:val="center"/>
              <w:rPr>
                <w:rFonts w:hint="eastAsia" w:ascii="仿宋_GB2312" w:hAnsi="宋体" w:eastAsia="仿宋_GB2312"/>
                <w:color w:val="auto"/>
                <w:kern w:val="0"/>
                <w:sz w:val="20"/>
                <w:szCs w:val="20"/>
              </w:rPr>
            </w:pPr>
          </w:p>
        </w:tc>
        <w:tc>
          <w:tcPr>
            <w:tcW w:w="1418" w:type="dxa"/>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（3）</w:t>
            </w:r>
          </w:p>
        </w:tc>
        <w:tc>
          <w:tcPr>
            <w:tcW w:w="2009" w:type="dxa"/>
            <w:gridSpan w:val="2"/>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安全管理</w:t>
            </w:r>
          </w:p>
        </w:tc>
        <w:tc>
          <w:tcPr>
            <w:tcW w:w="3544" w:type="dxa"/>
            <w:vAlign w:val="center"/>
          </w:tcPr>
          <w:p>
            <w:pPr>
              <w:topLinePunct/>
              <w:adjustRightInd w:val="0"/>
              <w:snapToGrid w:val="0"/>
              <w:jc w:val="left"/>
              <w:textAlignment w:val="center"/>
              <w:rPr>
                <w:rFonts w:eastAsia="仿宋_GB2312"/>
                <w:color w:val="auto"/>
                <w:kern w:val="0"/>
              </w:rPr>
            </w:pPr>
            <w:r>
              <w:rPr>
                <w:rFonts w:hint="eastAsia" w:eastAsia="仿宋_GB2312"/>
                <w:color w:val="auto"/>
                <w:kern w:val="0"/>
              </w:rPr>
              <w:t>1、道路养护现场安全标准化落实情况（5分）</w:t>
            </w:r>
          </w:p>
          <w:p>
            <w:pPr>
              <w:topLinePunct/>
              <w:adjustRightInd w:val="0"/>
              <w:snapToGrid w:val="0"/>
              <w:jc w:val="left"/>
              <w:textAlignment w:val="center"/>
              <w:rPr>
                <w:rFonts w:eastAsia="仿宋_GB2312"/>
                <w:color w:val="auto"/>
                <w:kern w:val="0"/>
              </w:rPr>
            </w:pPr>
            <w:r>
              <w:rPr>
                <w:rFonts w:hint="eastAsia" w:eastAsia="仿宋_GB2312"/>
                <w:color w:val="auto"/>
                <w:kern w:val="0"/>
              </w:rPr>
              <w:t>养护单位日常养护中应严格按照《道路交通标志和标线 第4部分：作业区》（GB 5768.4-2017）、《城市道路养护维修作业安全技术规程》（DG/TJ 08-2183-2015）、《上海市高速公路和快速路养护维修安全作业指南》（沪道运安〔2021〕315号）等相关规范落实安全防范措施。设施负责人或监理单位每季度对现场养护安全标准化落实情况进行检查，总分5分，扣完为止。检查考核表详见附表三。</w:t>
            </w:r>
          </w:p>
          <w:p>
            <w:pPr>
              <w:topLinePunct/>
              <w:adjustRightInd w:val="0"/>
              <w:snapToGrid w:val="0"/>
              <w:jc w:val="left"/>
              <w:textAlignment w:val="center"/>
              <w:rPr>
                <w:rFonts w:eastAsia="仿宋_GB2312"/>
                <w:color w:val="auto"/>
                <w:kern w:val="0"/>
              </w:rPr>
            </w:pPr>
            <w:r>
              <w:rPr>
                <w:rFonts w:hint="eastAsia" w:eastAsia="仿宋_GB2312"/>
                <w:color w:val="auto"/>
                <w:kern w:val="0"/>
              </w:rPr>
              <w:t>2、市道运中心安全应急系统填报（1分）</w:t>
            </w:r>
          </w:p>
          <w:p>
            <w:pPr>
              <w:topLinePunct/>
              <w:adjustRightInd w:val="0"/>
              <w:snapToGrid w:val="0"/>
              <w:jc w:val="left"/>
              <w:textAlignment w:val="center"/>
              <w:rPr>
                <w:rFonts w:eastAsia="仿宋_GB2312"/>
                <w:color w:val="auto"/>
                <w:kern w:val="0"/>
              </w:rPr>
            </w:pPr>
            <w:r>
              <w:rPr>
                <w:rFonts w:hint="eastAsia" w:eastAsia="仿宋_GB2312"/>
                <w:color w:val="auto"/>
                <w:kern w:val="0"/>
              </w:rPr>
              <w:t>恶劣天气发生预警信息，需要填报应急物资人员出动情况信息时，养护单位应该规定时间内填报相关信息，未及时填报每次扣0.5分，总分1分，扣完为止。</w:t>
            </w:r>
          </w:p>
          <w:p>
            <w:pPr>
              <w:topLinePunct/>
              <w:adjustRightInd w:val="0"/>
              <w:snapToGrid w:val="0"/>
              <w:jc w:val="left"/>
              <w:textAlignment w:val="center"/>
              <w:rPr>
                <w:rFonts w:eastAsia="仿宋_GB2312"/>
                <w:color w:val="auto"/>
                <w:kern w:val="0"/>
              </w:rPr>
            </w:pPr>
            <w:r>
              <w:rPr>
                <w:rFonts w:hint="eastAsia" w:eastAsia="仿宋_GB2312"/>
                <w:color w:val="auto"/>
                <w:kern w:val="0"/>
              </w:rPr>
              <w:t>3、安全文件宣贯及学习，安全内业资料（2分）</w:t>
            </w:r>
          </w:p>
          <w:p>
            <w:pPr>
              <w:topLinePunct/>
              <w:adjustRightInd w:val="0"/>
              <w:snapToGrid w:val="0"/>
              <w:jc w:val="left"/>
              <w:textAlignment w:val="center"/>
              <w:rPr>
                <w:rFonts w:eastAsia="仿宋_GB2312"/>
                <w:color w:val="auto"/>
                <w:kern w:val="0"/>
              </w:rPr>
            </w:pPr>
            <w:r>
              <w:rPr>
                <w:rFonts w:hint="eastAsia" w:eastAsia="仿宋_GB2312"/>
                <w:color w:val="auto"/>
                <w:kern w:val="0"/>
              </w:rPr>
              <w:t>养护单位对于中心下发的安全文件要对全体人员及时进行宣贯，并组织学习，并形成记录。安全内业资料需按《上海市道路运输事业发展中心安全管理工作基础台账》“沪道运事安（2020）12号”进行编制归档，文件宣贯少一份扣0.5分，内业资料不符合基础台账要求扣0.5分，总分2分，扣完为止。</w:t>
            </w:r>
          </w:p>
          <w:p>
            <w:pPr>
              <w:topLinePunct/>
              <w:adjustRightInd w:val="0"/>
              <w:snapToGrid w:val="0"/>
              <w:jc w:val="left"/>
              <w:textAlignment w:val="center"/>
              <w:rPr>
                <w:rFonts w:eastAsia="仿宋_GB2312"/>
                <w:color w:val="auto"/>
                <w:kern w:val="0"/>
              </w:rPr>
            </w:pPr>
            <w:r>
              <w:rPr>
                <w:rFonts w:hint="eastAsia" w:eastAsia="仿宋_GB2312"/>
                <w:color w:val="auto"/>
                <w:kern w:val="0"/>
              </w:rPr>
              <w:t>4、养护基地管理（2分）</w:t>
            </w:r>
          </w:p>
          <w:p>
            <w:pPr>
              <w:topLinePunct/>
              <w:adjustRightInd w:val="0"/>
              <w:snapToGrid w:val="0"/>
              <w:jc w:val="left"/>
              <w:textAlignment w:val="center"/>
              <w:rPr>
                <w:rFonts w:eastAsia="仿宋_GB2312"/>
                <w:color w:val="auto"/>
                <w:kern w:val="0"/>
              </w:rPr>
            </w:pPr>
            <w:r>
              <w:rPr>
                <w:rFonts w:hint="eastAsia" w:eastAsia="仿宋_GB2312"/>
                <w:color w:val="auto"/>
                <w:kern w:val="0"/>
              </w:rPr>
              <w:t>养护单位日常养护做好管理中心及应急基地的管理。使用桥下空间的需符合《上海市道路桥梁桥下空间内设施设置准则》；设施负责人或监理单位每季度对现场养护安全标准化落实情况进行检查，总分2分，扣完为止。检查考核表详见附表四。</w:t>
            </w:r>
          </w:p>
          <w:p>
            <w:pPr>
              <w:topLinePunct/>
              <w:adjustRightInd w:val="0"/>
              <w:snapToGrid w:val="0"/>
              <w:jc w:val="left"/>
              <w:textAlignment w:val="center"/>
              <w:rPr>
                <w:rFonts w:eastAsia="仿宋_GB2312"/>
                <w:color w:val="auto"/>
                <w:kern w:val="0"/>
              </w:rPr>
            </w:pPr>
            <w:r>
              <w:rPr>
                <w:rFonts w:hint="eastAsia" w:eastAsia="仿宋_GB2312"/>
                <w:color w:val="auto"/>
                <w:kern w:val="0"/>
              </w:rPr>
              <w:t>5、安全生产事故</w:t>
            </w:r>
          </w:p>
          <w:p>
            <w:pPr>
              <w:topLinePunct/>
              <w:adjustRightInd w:val="0"/>
              <w:snapToGrid w:val="0"/>
              <w:rPr>
                <w:rFonts w:hint="eastAsia" w:ascii="仿宋_GB2312" w:hAnsi="Yu Mincho" w:eastAsia="仿宋_GB2312"/>
                <w:color w:val="auto"/>
                <w:kern w:val="0"/>
                <w:sz w:val="20"/>
                <w:szCs w:val="20"/>
              </w:rPr>
            </w:pPr>
            <w:r>
              <w:rPr>
                <w:rFonts w:hint="eastAsia" w:eastAsia="仿宋_GB2312"/>
                <w:color w:val="auto"/>
                <w:kern w:val="0"/>
              </w:rPr>
              <w:t>养护单位要确保主体设施、附属设施运行安全，无安全隐患。日常养护项目、专项整治项目、养护基地不得发生安全生产事故。发生单次有责事故造成1人及以上死亡的扣10分，单次有责事故扣5分；总分10分，扣完为止。</w:t>
            </w:r>
            <w:r>
              <w:rPr>
                <w:rFonts w:hint="eastAsia" w:ascii="仿宋_GB2312" w:hAnsi="宋体" w:eastAsia="仿宋_GB2312"/>
                <w:color w:val="auto"/>
                <w:kern w:val="0"/>
                <w:sz w:val="20"/>
                <w:szCs w:val="20"/>
              </w:rPr>
              <w:t>。</w:t>
            </w:r>
          </w:p>
        </w:tc>
        <w:tc>
          <w:tcPr>
            <w:tcW w:w="992"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10</w:t>
            </w:r>
          </w:p>
        </w:tc>
        <w:tc>
          <w:tcPr>
            <w:tcW w:w="1417" w:type="dxa"/>
            <w:vAlign w:val="center"/>
          </w:tcPr>
          <w:p>
            <w:pPr>
              <w:topLinePunct/>
              <w:adjustRightInd w:val="0"/>
              <w:snapToGrid w:val="0"/>
              <w:jc w:val="center"/>
              <w:rPr>
                <w:rFonts w:hint="eastAsia" w:ascii="仿宋_GB2312" w:hAnsi="宋体" w:eastAsia="仿宋_GB2312"/>
                <w:color w:val="auto"/>
                <w:kern w:val="0"/>
                <w:sz w:val="20"/>
                <w:szCs w:val="20"/>
              </w:rPr>
            </w:pPr>
          </w:p>
        </w:tc>
        <w:tc>
          <w:tcPr>
            <w:tcW w:w="1418" w:type="dxa"/>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gridSpan w:val="3"/>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养护季度</w:t>
            </w:r>
          </w:p>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定性得分</w:t>
            </w:r>
          </w:p>
        </w:tc>
        <w:tc>
          <w:tcPr>
            <w:tcW w:w="3544" w:type="dxa"/>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（1）~（3）得分总和</w:t>
            </w:r>
          </w:p>
        </w:tc>
        <w:tc>
          <w:tcPr>
            <w:tcW w:w="992" w:type="dxa"/>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40</w:t>
            </w:r>
          </w:p>
        </w:tc>
        <w:tc>
          <w:tcPr>
            <w:tcW w:w="1417" w:type="dxa"/>
            <w:tcBorders>
              <w:bottom w:val="single" w:color="auto" w:sz="4" w:space="0"/>
            </w:tcBorders>
            <w:vAlign w:val="center"/>
          </w:tcPr>
          <w:p>
            <w:pPr>
              <w:topLinePunct/>
              <w:adjustRightInd w:val="0"/>
              <w:snapToGrid w:val="0"/>
              <w:jc w:val="center"/>
              <w:rPr>
                <w:rFonts w:hint="eastAsia" w:ascii="仿宋_GB2312" w:hAnsi="宋体" w:eastAsia="仿宋_GB2312"/>
                <w:color w:val="auto"/>
                <w:kern w:val="0"/>
                <w:sz w:val="20"/>
                <w:szCs w:val="20"/>
              </w:rPr>
            </w:pPr>
          </w:p>
        </w:tc>
        <w:tc>
          <w:tcPr>
            <w:tcW w:w="1418" w:type="dxa"/>
            <w:tcBorders>
              <w:bottom w:val="single" w:color="auto" w:sz="4" w:space="0"/>
            </w:tcBorders>
            <w:vAlign w:val="center"/>
          </w:tcPr>
          <w:p>
            <w:pPr>
              <w:topLinePunct/>
              <w:adjustRightInd w:val="0"/>
              <w:snapToGrid w:val="0"/>
              <w:jc w:val="center"/>
              <w:rPr>
                <w:rFonts w:hint="eastAsia" w:ascii="仿宋_GB2312" w:hAnsi="宋体" w:eastAsia="仿宋_GB2312"/>
                <w:color w:val="auto"/>
                <w:kern w:val="0"/>
                <w:sz w:val="20"/>
                <w:szCs w:val="20"/>
              </w:rPr>
            </w:pPr>
          </w:p>
        </w:tc>
      </w:tr>
    </w:tbl>
    <w:p>
      <w:pPr>
        <w:topLinePunct/>
        <w:adjustRightInd w:val="0"/>
        <w:snapToGrid w:val="0"/>
        <w:spacing w:line="500" w:lineRule="exact"/>
        <w:rPr>
          <w:rFonts w:ascii="Times New Roman" w:hAnsi="Times New Roman"/>
          <w:color w:val="auto"/>
          <w:szCs w:val="21"/>
        </w:rPr>
      </w:pPr>
      <w:r>
        <w:rPr>
          <w:rFonts w:ascii="Times New Roman" w:hAnsi="Times New Roman"/>
          <w:color w:val="auto"/>
          <w:szCs w:val="21"/>
        </w:rPr>
        <w:br w:type="page"/>
      </w:r>
    </w:p>
    <w:tbl>
      <w:tblPr>
        <w:tblStyle w:val="392"/>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856"/>
        <w:gridCol w:w="859"/>
        <w:gridCol w:w="4242"/>
        <w:gridCol w:w="1556"/>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647" w:type="dxa"/>
            <w:gridSpan w:val="6"/>
            <w:vAlign w:val="center"/>
          </w:tcPr>
          <w:p>
            <w:pPr>
              <w:topLinePunct/>
              <w:adjustRightInd w:val="0"/>
              <w:snapToGrid w:val="0"/>
              <w:jc w:val="center"/>
              <w:textAlignment w:val="center"/>
              <w:rPr>
                <w:rFonts w:eastAsia="仿宋_GB2312"/>
                <w:color w:val="auto"/>
                <w:kern w:val="0"/>
              </w:rPr>
            </w:pPr>
            <w:r>
              <w:rPr>
                <w:rFonts w:hint="eastAsia" w:ascii="黑体" w:hAnsi="黑体" w:eastAsia="黑体"/>
                <w:color w:val="auto"/>
                <w:kern w:val="0"/>
                <w:sz w:val="28"/>
                <w:szCs w:val="32"/>
              </w:rPr>
              <w:t>表8 市管城市道路景观灯光季度专项考核评分表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83" w:type="dxa"/>
            <w:gridSpan w:val="4"/>
            <w:vMerge w:val="restart"/>
            <w:vAlign w:val="center"/>
          </w:tcPr>
          <w:p>
            <w:pPr>
              <w:topLinePunct/>
              <w:adjustRightInd w:val="0"/>
              <w:snapToGrid w:val="0"/>
              <w:jc w:val="left"/>
              <w:textAlignment w:val="center"/>
              <w:rPr>
                <w:rFonts w:eastAsia="仿宋_GB2312"/>
                <w:color w:val="auto"/>
                <w:kern w:val="0"/>
              </w:rPr>
            </w:pPr>
            <w:r>
              <w:rPr>
                <w:rFonts w:eastAsia="仿宋_GB2312"/>
                <w:color w:val="auto"/>
                <w:kern w:val="0"/>
              </w:rPr>
              <w:t xml:space="preserve">考核设施：                   </w:t>
            </w:r>
          </w:p>
        </w:tc>
        <w:tc>
          <w:tcPr>
            <w:tcW w:w="2264" w:type="dxa"/>
            <w:gridSpan w:val="2"/>
            <w:vAlign w:val="center"/>
          </w:tcPr>
          <w:p>
            <w:pPr>
              <w:topLinePunct/>
              <w:adjustRightInd w:val="0"/>
              <w:snapToGrid w:val="0"/>
              <w:jc w:val="left"/>
              <w:textAlignment w:val="center"/>
              <w:rPr>
                <w:rFonts w:eastAsia="仿宋_GB2312"/>
                <w:color w:val="auto"/>
                <w:kern w:val="0"/>
              </w:rPr>
            </w:pPr>
            <w:r>
              <w:rPr>
                <w:rFonts w:eastAsia="仿宋_GB2312"/>
                <w:color w:val="auto"/>
                <w:kern w:val="0"/>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83" w:type="dxa"/>
            <w:gridSpan w:val="4"/>
            <w:vMerge w:val="continue"/>
            <w:vAlign w:val="center"/>
          </w:tcPr>
          <w:p>
            <w:pPr>
              <w:topLinePunct/>
              <w:adjustRightInd w:val="0"/>
              <w:snapToGrid w:val="0"/>
              <w:jc w:val="left"/>
              <w:textAlignment w:val="center"/>
              <w:rPr>
                <w:rFonts w:eastAsia="仿宋_GB2312"/>
                <w:color w:val="auto"/>
                <w:kern w:val="0"/>
              </w:rPr>
            </w:pPr>
          </w:p>
        </w:tc>
        <w:tc>
          <w:tcPr>
            <w:tcW w:w="2264" w:type="dxa"/>
            <w:gridSpan w:val="2"/>
            <w:vAlign w:val="center"/>
          </w:tcPr>
          <w:p>
            <w:pPr>
              <w:topLinePunct/>
              <w:adjustRightInd w:val="0"/>
              <w:snapToGrid w:val="0"/>
              <w:jc w:val="left"/>
              <w:textAlignment w:val="center"/>
              <w:rPr>
                <w:rFonts w:eastAsia="仿宋_GB2312"/>
                <w:color w:val="auto"/>
                <w:kern w:val="0"/>
              </w:rPr>
            </w:pPr>
            <w:r>
              <w:rPr>
                <w:rFonts w:eastAsia="仿宋_GB2312"/>
                <w:color w:val="auto"/>
                <w:kern w:val="0"/>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分类</w:t>
            </w:r>
          </w:p>
        </w:tc>
        <w:tc>
          <w:tcPr>
            <w:tcW w:w="8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序号</w:t>
            </w:r>
          </w:p>
        </w:tc>
        <w:tc>
          <w:tcPr>
            <w:tcW w:w="859"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项目</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评分标准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标准分</w:t>
            </w:r>
          </w:p>
        </w:tc>
        <w:tc>
          <w:tcPr>
            <w:tcW w:w="708"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restart"/>
            <w:vAlign w:val="center"/>
          </w:tcPr>
          <w:p>
            <w:pPr>
              <w:topLinePunct/>
              <w:adjustRightInd w:val="0"/>
              <w:snapToGrid w:val="0"/>
              <w:jc w:val="left"/>
              <w:textAlignment w:val="center"/>
              <w:rPr>
                <w:rFonts w:eastAsia="仿宋_GB2312"/>
                <w:color w:val="auto"/>
                <w:kern w:val="0"/>
              </w:rPr>
            </w:pPr>
            <w:r>
              <w:rPr>
                <w:rFonts w:eastAsia="仿宋_GB2312"/>
                <w:color w:val="auto"/>
                <w:kern w:val="0"/>
              </w:rPr>
              <w:t>扣分</w:t>
            </w: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1</w:t>
            </w:r>
          </w:p>
        </w:tc>
        <w:tc>
          <w:tcPr>
            <w:tcW w:w="859" w:type="dxa"/>
            <w:vMerge w:val="restart"/>
            <w:vAlign w:val="center"/>
          </w:tcPr>
          <w:p>
            <w:pPr>
              <w:topLinePunct/>
              <w:adjustRightInd w:val="0"/>
              <w:snapToGrid w:val="0"/>
              <w:jc w:val="left"/>
              <w:textAlignment w:val="center"/>
              <w:rPr>
                <w:rFonts w:eastAsia="仿宋_GB2312"/>
                <w:color w:val="auto"/>
                <w:kern w:val="0"/>
              </w:rPr>
            </w:pPr>
            <w:r>
              <w:rPr>
                <w:rFonts w:eastAsia="仿宋_GB2312"/>
                <w:color w:val="auto"/>
                <w:kern w:val="0"/>
              </w:rPr>
              <w:t>管理要求</w:t>
            </w:r>
          </w:p>
          <w:p>
            <w:pPr>
              <w:topLinePunct/>
              <w:adjustRightInd w:val="0"/>
              <w:snapToGrid w:val="0"/>
              <w:jc w:val="left"/>
              <w:textAlignment w:val="center"/>
              <w:rPr>
                <w:rFonts w:eastAsia="仿宋_GB2312"/>
                <w:color w:val="auto"/>
                <w:kern w:val="0"/>
              </w:rPr>
            </w:pPr>
            <w:r>
              <w:rPr>
                <w:rFonts w:eastAsia="仿宋_GB2312"/>
                <w:color w:val="auto"/>
                <w:kern w:val="0"/>
              </w:rPr>
              <w:t>执行</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社会舆论和信访投诉：</w:t>
            </w:r>
          </w:p>
          <w:p>
            <w:pPr>
              <w:topLinePunct/>
              <w:adjustRightInd w:val="0"/>
              <w:snapToGrid w:val="0"/>
              <w:jc w:val="left"/>
              <w:textAlignment w:val="center"/>
              <w:rPr>
                <w:rFonts w:eastAsia="仿宋_GB2312"/>
                <w:color w:val="auto"/>
                <w:kern w:val="0"/>
              </w:rPr>
            </w:pPr>
            <w:r>
              <w:rPr>
                <w:rFonts w:eastAsia="仿宋_GB2312"/>
                <w:color w:val="auto"/>
                <w:kern w:val="0"/>
              </w:rPr>
              <w:t>未在规定时间内及时妥善处理人民来信、来电、来访等诉求工单和社会投诉，每次扣2分；</w:t>
            </w:r>
          </w:p>
          <w:p>
            <w:pPr>
              <w:topLinePunct/>
              <w:adjustRightInd w:val="0"/>
              <w:snapToGrid w:val="0"/>
              <w:jc w:val="left"/>
              <w:textAlignment w:val="center"/>
              <w:rPr>
                <w:rFonts w:eastAsia="仿宋_GB2312"/>
                <w:color w:val="auto"/>
                <w:kern w:val="0"/>
              </w:rPr>
            </w:pPr>
            <w:r>
              <w:rPr>
                <w:rFonts w:eastAsia="仿宋_GB2312"/>
                <w:color w:val="auto"/>
                <w:kern w:val="0"/>
              </w:rPr>
              <w:t>行业、业主、上级部门点名批评或书面通报，每次扣3分；</w:t>
            </w:r>
          </w:p>
          <w:p>
            <w:pPr>
              <w:topLinePunct/>
              <w:adjustRightInd w:val="0"/>
              <w:snapToGrid w:val="0"/>
              <w:jc w:val="left"/>
              <w:textAlignment w:val="center"/>
              <w:rPr>
                <w:rFonts w:eastAsia="仿宋_GB2312"/>
                <w:color w:val="auto"/>
                <w:kern w:val="0"/>
              </w:rPr>
            </w:pPr>
            <w:r>
              <w:rPr>
                <w:rFonts w:eastAsia="仿宋_GB2312"/>
                <w:color w:val="auto"/>
                <w:kern w:val="0"/>
              </w:rPr>
              <w:t>有责并被社会新闻媒体公开负面报道或造成严重舆情影响，每次扣5分。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扣2~5分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2</w:t>
            </w:r>
          </w:p>
        </w:tc>
        <w:tc>
          <w:tcPr>
            <w:tcW w:w="859" w:type="dxa"/>
            <w:vMerge w:val="continue"/>
            <w:vAlign w:val="center"/>
          </w:tcPr>
          <w:p>
            <w:pPr>
              <w:topLinePunct/>
              <w:adjustRightInd w:val="0"/>
              <w:snapToGrid w:val="0"/>
              <w:jc w:val="center"/>
              <w:textAlignment w:val="center"/>
              <w:rPr>
                <w:rFonts w:eastAsia="仿宋_GB2312"/>
                <w:color w:val="auto"/>
                <w:kern w:val="0"/>
              </w:rPr>
            </w:pP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人员车辆和设施资源管理：</w:t>
            </w:r>
          </w:p>
          <w:p>
            <w:pPr>
              <w:topLinePunct/>
              <w:adjustRightInd w:val="0"/>
              <w:snapToGrid w:val="0"/>
              <w:jc w:val="left"/>
              <w:textAlignment w:val="center"/>
              <w:rPr>
                <w:rFonts w:eastAsia="仿宋_GB2312"/>
                <w:color w:val="auto"/>
                <w:kern w:val="0"/>
              </w:rPr>
            </w:pPr>
            <w:r>
              <w:rPr>
                <w:rFonts w:eastAsia="仿宋_GB2312"/>
                <w:color w:val="auto"/>
                <w:kern w:val="0"/>
              </w:rPr>
              <w:t>项目管理人员、车辆设备和材料未按招标文件所规定的数量、规格配置到位，每次每项扣1分；</w:t>
            </w:r>
          </w:p>
          <w:p>
            <w:pPr>
              <w:topLinePunct/>
              <w:adjustRightInd w:val="0"/>
              <w:snapToGrid w:val="0"/>
              <w:jc w:val="left"/>
              <w:textAlignment w:val="center"/>
              <w:rPr>
                <w:rFonts w:eastAsia="仿宋_GB2312"/>
                <w:color w:val="auto"/>
                <w:kern w:val="0"/>
              </w:rPr>
            </w:pPr>
            <w:r>
              <w:rPr>
                <w:rFonts w:eastAsia="仿宋_GB2312"/>
                <w:color w:val="auto"/>
                <w:kern w:val="0"/>
              </w:rPr>
              <w:t>擅自出租、出借、挪用设施设备和违规使用或侵占附属设施、应标资源，造成恶劣影响，每次扣5分。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扣1~5</w:t>
            </w:r>
            <w:r>
              <w:rPr>
                <w:rFonts w:hint="eastAsia" w:eastAsia="仿宋_GB2312"/>
                <w:color w:val="auto"/>
                <w:kern w:val="0"/>
              </w:rPr>
              <w:t>分/次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3</w:t>
            </w:r>
          </w:p>
        </w:tc>
        <w:tc>
          <w:tcPr>
            <w:tcW w:w="859" w:type="dxa"/>
            <w:vMerge w:val="continue"/>
            <w:vAlign w:val="center"/>
          </w:tcPr>
          <w:p>
            <w:pPr>
              <w:topLinePunct/>
              <w:adjustRightInd w:val="0"/>
              <w:snapToGrid w:val="0"/>
              <w:jc w:val="center"/>
              <w:textAlignment w:val="center"/>
              <w:rPr>
                <w:rFonts w:eastAsia="仿宋_GB2312"/>
                <w:color w:val="auto"/>
                <w:kern w:val="0"/>
              </w:rPr>
            </w:pP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重要条款响应：</w:t>
            </w:r>
          </w:p>
          <w:p>
            <w:pPr>
              <w:topLinePunct/>
              <w:adjustRightInd w:val="0"/>
              <w:snapToGrid w:val="0"/>
              <w:jc w:val="left"/>
              <w:textAlignment w:val="center"/>
              <w:rPr>
                <w:rFonts w:eastAsia="仿宋_GB2312"/>
                <w:color w:val="auto"/>
                <w:kern w:val="0"/>
              </w:rPr>
            </w:pPr>
            <w:r>
              <w:rPr>
                <w:rFonts w:eastAsia="仿宋_GB2312"/>
                <w:color w:val="auto"/>
                <w:kern w:val="0"/>
              </w:rPr>
              <w:t>在网签合同生成后的15日内（国家法定节假日除外），未提交软件版投标报价文件，每次扣2分；</w:t>
            </w:r>
          </w:p>
          <w:p>
            <w:pPr>
              <w:topLinePunct/>
              <w:adjustRightInd w:val="0"/>
              <w:snapToGrid w:val="0"/>
              <w:jc w:val="left"/>
              <w:textAlignment w:val="center"/>
              <w:rPr>
                <w:rFonts w:eastAsia="仿宋_GB2312"/>
                <w:color w:val="auto"/>
                <w:kern w:val="0"/>
              </w:rPr>
            </w:pPr>
            <w:r>
              <w:rPr>
                <w:rFonts w:eastAsia="仿宋_GB2312"/>
                <w:color w:val="auto"/>
                <w:kern w:val="0"/>
              </w:rPr>
              <w:t>未严格按照养护资金监管相关管理办法及要求提供相关依据、配合实施请款工作，每次扣2分。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扣2分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4</w:t>
            </w:r>
          </w:p>
        </w:tc>
        <w:tc>
          <w:tcPr>
            <w:tcW w:w="859" w:type="dxa"/>
            <w:vMerge w:val="continue"/>
            <w:vAlign w:val="center"/>
          </w:tcPr>
          <w:p>
            <w:pPr>
              <w:topLinePunct/>
              <w:adjustRightInd w:val="0"/>
              <w:snapToGrid w:val="0"/>
              <w:jc w:val="center"/>
              <w:textAlignment w:val="center"/>
              <w:rPr>
                <w:rFonts w:eastAsia="仿宋_GB2312"/>
                <w:color w:val="auto"/>
                <w:kern w:val="0"/>
              </w:rPr>
            </w:pP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智慧化工作推进：</w:t>
            </w:r>
          </w:p>
          <w:p>
            <w:pPr>
              <w:topLinePunct/>
              <w:adjustRightInd w:val="0"/>
              <w:snapToGrid w:val="0"/>
              <w:jc w:val="left"/>
              <w:textAlignment w:val="center"/>
              <w:rPr>
                <w:rFonts w:eastAsia="仿宋_GB2312"/>
                <w:color w:val="auto"/>
                <w:kern w:val="0"/>
              </w:rPr>
            </w:pPr>
            <w:r>
              <w:rPr>
                <w:rFonts w:eastAsia="仿宋_GB2312"/>
                <w:color w:val="auto"/>
                <w:kern w:val="0"/>
              </w:rPr>
              <w:t>未配置智能巡检设备或智能巡检设备未处于良好运行状态的，每次扣1分；</w:t>
            </w:r>
          </w:p>
          <w:p>
            <w:pPr>
              <w:topLinePunct/>
              <w:adjustRightInd w:val="0"/>
              <w:snapToGrid w:val="0"/>
              <w:jc w:val="left"/>
              <w:textAlignment w:val="center"/>
              <w:rPr>
                <w:rFonts w:eastAsia="仿宋_GB2312"/>
                <w:color w:val="auto"/>
                <w:kern w:val="0"/>
              </w:rPr>
            </w:pPr>
            <w:r>
              <w:rPr>
                <w:rFonts w:eastAsia="仿宋_GB2312"/>
                <w:color w:val="auto"/>
                <w:kern w:val="0"/>
              </w:rPr>
              <w:t>未按要求响应落实智慧化、信息化管理工作，由云路或中心发现未按要求报送数据、附件，每次扣2分。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扣1~2分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5</w:t>
            </w:r>
          </w:p>
        </w:tc>
        <w:tc>
          <w:tcPr>
            <w:tcW w:w="859"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养护作业</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对市道运中心委托的第三方单位（专业检测、专业网格化巡查等）发现的问题、病害或缺陷，未及时整改或采取措施，每次扣1分；</w:t>
            </w:r>
          </w:p>
          <w:p>
            <w:pPr>
              <w:topLinePunct/>
              <w:adjustRightInd w:val="0"/>
              <w:snapToGrid w:val="0"/>
              <w:jc w:val="left"/>
              <w:textAlignment w:val="center"/>
              <w:rPr>
                <w:rFonts w:eastAsia="仿宋_GB2312"/>
                <w:color w:val="auto"/>
                <w:kern w:val="0"/>
              </w:rPr>
            </w:pPr>
            <w:r>
              <w:rPr>
                <w:rFonts w:eastAsia="仿宋_GB2312"/>
                <w:color w:val="auto"/>
                <w:kern w:val="0"/>
              </w:rPr>
              <w:t>未针对各类检测报告中指出的问题进行有效处置，造成设施病害缺陷加剧、人员财产损失或影响正常通行，每次扣3分。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扣1~3分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6</w:t>
            </w:r>
          </w:p>
        </w:tc>
        <w:tc>
          <w:tcPr>
            <w:tcW w:w="859"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运维保障</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未能按时、保质保量完成重大任务或指令要求，每次扣3分；</w:t>
            </w:r>
          </w:p>
          <w:p>
            <w:pPr>
              <w:topLinePunct/>
              <w:adjustRightInd w:val="0"/>
              <w:snapToGrid w:val="0"/>
              <w:jc w:val="left"/>
              <w:textAlignment w:val="center"/>
              <w:rPr>
                <w:rFonts w:eastAsia="仿宋_GB2312"/>
                <w:color w:val="auto"/>
                <w:kern w:val="0"/>
              </w:rPr>
            </w:pPr>
            <w:r>
              <w:rPr>
                <w:rFonts w:eastAsia="仿宋_GB2312"/>
                <w:color w:val="auto"/>
                <w:kern w:val="0"/>
              </w:rPr>
              <w:t>风险隐患、险情或重大事件存在不报、瞒报、误报、处置不力，造成设施人员财产损失或严重影响交通运行，每次扣3分。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扣3分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7</w:t>
            </w:r>
          </w:p>
        </w:tc>
        <w:tc>
          <w:tcPr>
            <w:tcW w:w="859"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安全生产和应急处置</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因养护运维作业质量不达标，影响设施运行安全或交通运行、受到行业主管部门严肃批评问责或引起社会舆论反响等，每次扣3分；</w:t>
            </w:r>
          </w:p>
          <w:p>
            <w:pPr>
              <w:topLinePunct/>
              <w:adjustRightInd w:val="0"/>
              <w:snapToGrid w:val="0"/>
              <w:jc w:val="left"/>
              <w:textAlignment w:val="center"/>
              <w:rPr>
                <w:rFonts w:eastAsia="仿宋_GB2312"/>
                <w:color w:val="auto"/>
                <w:kern w:val="0"/>
              </w:rPr>
            </w:pPr>
            <w:r>
              <w:rPr>
                <w:rFonts w:eastAsia="仿宋_GB2312"/>
                <w:color w:val="auto"/>
                <w:kern w:val="0"/>
              </w:rPr>
              <w:t>因养护运维管理或作业行为的缺失、违规，造成设施人员财产损失或导致第三方发生安全事故、引起次生灾害，每次扣5分；</w:t>
            </w:r>
          </w:p>
          <w:p>
            <w:pPr>
              <w:topLinePunct/>
              <w:adjustRightInd w:val="0"/>
              <w:snapToGrid w:val="0"/>
              <w:jc w:val="left"/>
              <w:textAlignment w:val="center"/>
              <w:rPr>
                <w:rFonts w:eastAsia="仿宋_GB2312"/>
                <w:color w:val="auto"/>
                <w:kern w:val="0"/>
              </w:rPr>
            </w:pPr>
            <w:r>
              <w:rPr>
                <w:rFonts w:eastAsia="仿宋_GB2312"/>
                <w:color w:val="auto"/>
                <w:kern w:val="0"/>
              </w:rPr>
              <w:t>发生有责生产安全事故，造成人员死亡、重伤或致使设施出现重大结构安全隐患，每次扣10分。</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扣3~10分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6" w:type="dxa"/>
            <w:vMerge w:val="continue"/>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8</w:t>
            </w:r>
          </w:p>
        </w:tc>
        <w:tc>
          <w:tcPr>
            <w:tcW w:w="859" w:type="dxa"/>
            <w:vMerge w:val="restart"/>
            <w:vAlign w:val="center"/>
          </w:tcPr>
          <w:p>
            <w:pPr>
              <w:topLinePunct/>
              <w:adjustRightInd w:val="0"/>
              <w:snapToGrid w:val="0"/>
              <w:jc w:val="center"/>
              <w:textAlignment w:val="center"/>
              <w:rPr>
                <w:rFonts w:eastAsia="仿宋_GB2312"/>
                <w:color w:val="auto"/>
                <w:kern w:val="0"/>
              </w:rPr>
            </w:pPr>
            <w:r>
              <w:rPr>
                <w:rFonts w:hint="eastAsia" w:eastAsia="仿宋_GB2312"/>
                <w:color w:val="auto"/>
                <w:kern w:val="0"/>
              </w:rPr>
              <w:t>宣传与公众服务</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通讯稿被上海市道运中心微信公众号采纳。</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加2分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9</w:t>
            </w:r>
          </w:p>
        </w:tc>
        <w:tc>
          <w:tcPr>
            <w:tcW w:w="859" w:type="dxa"/>
            <w:vMerge w:val="continue"/>
            <w:vAlign w:val="center"/>
          </w:tcPr>
          <w:p>
            <w:pPr>
              <w:topLinePunct/>
              <w:adjustRightInd w:val="0"/>
              <w:snapToGrid w:val="0"/>
              <w:jc w:val="center"/>
              <w:textAlignment w:val="center"/>
              <w:rPr>
                <w:rFonts w:eastAsia="仿宋_GB2312"/>
                <w:color w:val="auto"/>
                <w:kern w:val="0"/>
              </w:rPr>
            </w:pP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妥善处理人民来信、来电、来访等诉求工单和社会投诉，被录用至热线处置工单优秀案例。</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加2分</w:t>
            </w:r>
            <w:r>
              <w:rPr>
                <w:rFonts w:hint="eastAsia" w:eastAsia="仿宋_GB2312"/>
                <w:color w:val="auto"/>
                <w:kern w:val="0"/>
              </w:rPr>
              <w:t>/次</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10</w:t>
            </w:r>
          </w:p>
        </w:tc>
        <w:tc>
          <w:tcPr>
            <w:tcW w:w="859" w:type="dxa"/>
            <w:vMerge w:val="restart"/>
            <w:vAlign w:val="center"/>
          </w:tcPr>
          <w:p>
            <w:pPr>
              <w:topLinePunct/>
              <w:adjustRightInd w:val="0"/>
              <w:snapToGrid w:val="0"/>
              <w:jc w:val="center"/>
              <w:textAlignment w:val="center"/>
              <w:rPr>
                <w:rFonts w:eastAsia="仿宋_GB2312"/>
                <w:color w:val="auto"/>
                <w:kern w:val="0"/>
              </w:rPr>
            </w:pPr>
            <w:r>
              <w:rPr>
                <w:rFonts w:eastAsia="仿宋_GB2312"/>
                <w:color w:val="auto"/>
                <w:kern w:val="0"/>
              </w:rPr>
              <w:t>行业示范带头作用</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当</w:t>
            </w:r>
            <w:r>
              <w:rPr>
                <w:rFonts w:hint="eastAsia" w:eastAsia="仿宋_GB2312"/>
                <w:color w:val="auto"/>
                <w:kern w:val="0"/>
              </w:rPr>
              <w:t>季</w:t>
            </w:r>
            <w:r>
              <w:rPr>
                <w:rFonts w:eastAsia="仿宋_GB2312"/>
                <w:color w:val="auto"/>
                <w:kern w:val="0"/>
              </w:rPr>
              <w:t>在各类专项评比中获奖。</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一等奖加3分</w:t>
            </w:r>
            <w:r>
              <w:rPr>
                <w:rFonts w:hint="eastAsia" w:eastAsia="仿宋_GB2312"/>
                <w:color w:val="auto"/>
                <w:kern w:val="0"/>
              </w:rPr>
              <w:t>/项</w:t>
            </w:r>
          </w:p>
          <w:p>
            <w:pPr>
              <w:topLinePunct/>
              <w:adjustRightInd w:val="0"/>
              <w:snapToGrid w:val="0"/>
              <w:jc w:val="left"/>
              <w:textAlignment w:val="center"/>
              <w:rPr>
                <w:rFonts w:eastAsia="仿宋_GB2312"/>
                <w:color w:val="auto"/>
                <w:kern w:val="0"/>
              </w:rPr>
            </w:pPr>
            <w:r>
              <w:rPr>
                <w:rFonts w:eastAsia="仿宋_GB2312"/>
                <w:color w:val="auto"/>
                <w:kern w:val="0"/>
              </w:rPr>
              <w:t>二等奖加2分</w:t>
            </w:r>
            <w:r>
              <w:rPr>
                <w:rFonts w:hint="eastAsia" w:eastAsia="仿宋_GB2312"/>
                <w:color w:val="auto"/>
                <w:kern w:val="0"/>
              </w:rPr>
              <w:t>/项</w:t>
            </w:r>
          </w:p>
          <w:p>
            <w:pPr>
              <w:topLinePunct/>
              <w:adjustRightInd w:val="0"/>
              <w:snapToGrid w:val="0"/>
              <w:jc w:val="left"/>
              <w:textAlignment w:val="center"/>
              <w:rPr>
                <w:rFonts w:eastAsia="仿宋_GB2312"/>
                <w:color w:val="auto"/>
                <w:kern w:val="0"/>
              </w:rPr>
            </w:pPr>
            <w:r>
              <w:rPr>
                <w:rFonts w:eastAsia="仿宋_GB2312"/>
                <w:color w:val="auto"/>
                <w:kern w:val="0"/>
              </w:rPr>
              <w:t>三等奖加1分</w:t>
            </w:r>
            <w:r>
              <w:rPr>
                <w:rFonts w:hint="eastAsia" w:eastAsia="仿宋_GB2312"/>
                <w:color w:val="auto"/>
                <w:kern w:val="0"/>
              </w:rPr>
              <w:t>/项</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pPr>
              <w:topLinePunct/>
              <w:adjustRightInd w:val="0"/>
              <w:snapToGrid w:val="0"/>
              <w:jc w:val="left"/>
              <w:textAlignment w:val="center"/>
              <w:rPr>
                <w:rFonts w:eastAsia="仿宋_GB2312"/>
                <w:color w:val="auto"/>
                <w:kern w:val="0"/>
              </w:rPr>
            </w:pPr>
          </w:p>
        </w:tc>
        <w:tc>
          <w:tcPr>
            <w:tcW w:w="856" w:type="dxa"/>
            <w:vAlign w:val="center"/>
          </w:tcPr>
          <w:p>
            <w:pPr>
              <w:topLinePunct/>
              <w:adjustRightInd w:val="0"/>
              <w:snapToGrid w:val="0"/>
              <w:jc w:val="center"/>
              <w:textAlignment w:val="center"/>
              <w:rPr>
                <w:rFonts w:eastAsia="仿宋_GB2312"/>
                <w:color w:val="auto"/>
                <w:kern w:val="0"/>
              </w:rPr>
            </w:pPr>
            <w:r>
              <w:rPr>
                <w:rFonts w:eastAsia="仿宋_GB2312"/>
                <w:color w:val="auto"/>
                <w:kern w:val="0"/>
              </w:rPr>
              <w:t>11</w:t>
            </w:r>
          </w:p>
        </w:tc>
        <w:tc>
          <w:tcPr>
            <w:tcW w:w="859" w:type="dxa"/>
            <w:vMerge w:val="continue"/>
            <w:vAlign w:val="center"/>
          </w:tcPr>
          <w:p>
            <w:pPr>
              <w:topLinePunct/>
              <w:adjustRightInd w:val="0"/>
              <w:snapToGrid w:val="0"/>
              <w:jc w:val="left"/>
              <w:textAlignment w:val="center"/>
              <w:rPr>
                <w:rFonts w:eastAsia="仿宋_GB2312"/>
                <w:color w:val="auto"/>
                <w:kern w:val="0"/>
              </w:rPr>
            </w:pP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养护设施获得市级或行业级奖项。</w:t>
            </w:r>
          </w:p>
        </w:tc>
        <w:tc>
          <w:tcPr>
            <w:tcW w:w="1556"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市级加5分</w:t>
            </w:r>
            <w:r>
              <w:rPr>
                <w:rFonts w:hint="eastAsia" w:eastAsia="仿宋_GB2312"/>
                <w:color w:val="auto"/>
                <w:kern w:val="0"/>
              </w:rPr>
              <w:t>/项</w:t>
            </w:r>
          </w:p>
          <w:p>
            <w:pPr>
              <w:topLinePunct/>
              <w:adjustRightInd w:val="0"/>
              <w:snapToGrid w:val="0"/>
              <w:jc w:val="left"/>
              <w:textAlignment w:val="center"/>
              <w:rPr>
                <w:rFonts w:eastAsia="仿宋_GB2312"/>
                <w:color w:val="auto"/>
                <w:kern w:val="0"/>
              </w:rPr>
            </w:pPr>
            <w:r>
              <w:rPr>
                <w:rFonts w:eastAsia="仿宋_GB2312"/>
                <w:color w:val="auto"/>
                <w:kern w:val="0"/>
              </w:rPr>
              <w:t>行业级加3分</w:t>
            </w:r>
            <w:r>
              <w:rPr>
                <w:rFonts w:hint="eastAsia" w:eastAsia="仿宋_GB2312"/>
                <w:color w:val="auto"/>
                <w:kern w:val="0"/>
              </w:rPr>
              <w:t>/项</w:t>
            </w:r>
          </w:p>
        </w:tc>
        <w:tc>
          <w:tcPr>
            <w:tcW w:w="708" w:type="dxa"/>
            <w:vAlign w:val="center"/>
          </w:tcPr>
          <w:p>
            <w:pPr>
              <w:topLinePunct/>
              <w:adjustRightInd w:val="0"/>
              <w:snapToGrid w:val="0"/>
              <w:jc w:val="left"/>
              <w:textAlignment w:val="center"/>
              <w:rPr>
                <w:rFonts w:eastAsia="仿宋_GB2312"/>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gridSpan w:val="3"/>
          </w:tcPr>
          <w:p>
            <w:pPr>
              <w:topLinePunct/>
              <w:adjustRightInd w:val="0"/>
              <w:snapToGrid w:val="0"/>
              <w:jc w:val="center"/>
              <w:textAlignment w:val="center"/>
              <w:rPr>
                <w:rFonts w:eastAsia="仿宋_GB2312"/>
                <w:color w:val="auto"/>
                <w:kern w:val="0"/>
              </w:rPr>
            </w:pPr>
            <w:r>
              <w:rPr>
                <w:rFonts w:eastAsia="仿宋_GB2312"/>
                <w:color w:val="auto"/>
                <w:kern w:val="0"/>
              </w:rPr>
              <w:t>设施</w:t>
            </w:r>
            <w:r>
              <w:rPr>
                <w:rFonts w:hint="eastAsia" w:eastAsia="仿宋_GB2312"/>
                <w:color w:val="auto"/>
                <w:kern w:val="0"/>
              </w:rPr>
              <w:t>季</w:t>
            </w:r>
            <w:r>
              <w:rPr>
                <w:rFonts w:eastAsia="仿宋_GB2312"/>
                <w:color w:val="auto"/>
                <w:kern w:val="0"/>
              </w:rPr>
              <w:t>度</w:t>
            </w:r>
          </w:p>
          <w:p>
            <w:pPr>
              <w:topLinePunct/>
              <w:adjustRightInd w:val="0"/>
              <w:snapToGrid w:val="0"/>
              <w:jc w:val="center"/>
              <w:textAlignment w:val="center"/>
              <w:rPr>
                <w:rFonts w:eastAsia="仿宋_GB2312"/>
                <w:color w:val="auto"/>
                <w:kern w:val="0"/>
              </w:rPr>
            </w:pPr>
            <w:r>
              <w:rPr>
                <w:rFonts w:eastAsia="仿宋_GB2312"/>
                <w:color w:val="auto"/>
                <w:kern w:val="0"/>
              </w:rPr>
              <w:t>专项得分</w:t>
            </w:r>
          </w:p>
        </w:tc>
        <w:tc>
          <w:tcPr>
            <w:tcW w:w="4242" w:type="dxa"/>
            <w:vAlign w:val="center"/>
          </w:tcPr>
          <w:p>
            <w:pPr>
              <w:topLinePunct/>
              <w:adjustRightInd w:val="0"/>
              <w:snapToGrid w:val="0"/>
              <w:jc w:val="left"/>
              <w:textAlignment w:val="center"/>
              <w:rPr>
                <w:rFonts w:eastAsia="仿宋_GB2312"/>
                <w:color w:val="auto"/>
                <w:kern w:val="0"/>
              </w:rPr>
            </w:pPr>
            <w:r>
              <w:rPr>
                <w:rFonts w:eastAsia="仿宋_GB2312"/>
                <w:color w:val="auto"/>
                <w:kern w:val="0"/>
              </w:rPr>
              <w:t>（1）~（11）得分总和</w:t>
            </w:r>
          </w:p>
        </w:tc>
        <w:tc>
          <w:tcPr>
            <w:tcW w:w="2264" w:type="dxa"/>
            <w:gridSpan w:val="2"/>
            <w:vAlign w:val="center"/>
          </w:tcPr>
          <w:p>
            <w:pPr>
              <w:topLinePunct/>
              <w:adjustRightInd w:val="0"/>
              <w:snapToGrid w:val="0"/>
              <w:jc w:val="left"/>
              <w:textAlignment w:val="center"/>
              <w:rPr>
                <w:rFonts w:eastAsia="仿宋_GB2312"/>
                <w:color w:val="auto"/>
                <w:kern w:val="0"/>
              </w:rPr>
            </w:pPr>
          </w:p>
        </w:tc>
      </w:tr>
    </w:tbl>
    <w:p>
      <w:pPr>
        <w:topLinePunct/>
        <w:adjustRightInd w:val="0"/>
        <w:snapToGrid w:val="0"/>
        <w:spacing w:line="500" w:lineRule="exact"/>
        <w:rPr>
          <w:rFonts w:ascii="Times New Roman" w:hAnsi="Times New Roman"/>
          <w:color w:val="auto"/>
          <w:sz w:val="18"/>
          <w:szCs w:val="18"/>
        </w:rPr>
      </w:pPr>
      <w:r>
        <w:rPr>
          <w:rFonts w:ascii="Times New Roman" w:hAnsi="Times New Roman"/>
          <w:color w:val="auto"/>
          <w:sz w:val="18"/>
          <w:szCs w:val="18"/>
        </w:rPr>
        <w:br w:type="page"/>
      </w:r>
    </w:p>
    <w:p>
      <w:pPr>
        <w:topLinePunct/>
        <w:adjustRightInd w:val="0"/>
        <w:snapToGrid w:val="0"/>
        <w:spacing w:line="500" w:lineRule="exact"/>
        <w:rPr>
          <w:rFonts w:ascii="Times New Roman" w:hAnsi="Times New Roman"/>
          <w:color w:val="auto"/>
          <w:sz w:val="18"/>
          <w:szCs w:val="18"/>
        </w:rPr>
      </w:pPr>
    </w:p>
    <w:tbl>
      <w:tblPr>
        <w:tblStyle w:val="393"/>
        <w:tblpPr w:leftFromText="142" w:rightFromText="142" w:vertAnchor="text" w:horzAnchor="margin" w:tblpXSpec="center" w:tblpY="110"/>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442"/>
        <w:gridCol w:w="3944"/>
        <w:gridCol w:w="851"/>
        <w:gridCol w:w="3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343" w:type="dxa"/>
            <w:gridSpan w:val="5"/>
            <w:vAlign w:val="center"/>
          </w:tcPr>
          <w:p>
            <w:pPr>
              <w:topLinePunct/>
              <w:adjustRightInd w:val="0"/>
              <w:snapToGrid w:val="0"/>
              <w:jc w:val="center"/>
              <w:rPr>
                <w:rFonts w:hint="eastAsia" w:ascii="黑体" w:hAnsi="黑体" w:eastAsia="黑体"/>
                <w:color w:val="auto"/>
                <w:kern w:val="0"/>
                <w:sz w:val="20"/>
                <w:szCs w:val="21"/>
              </w:rPr>
            </w:pPr>
            <w:r>
              <w:rPr>
                <w:rFonts w:hint="eastAsia" w:ascii="黑体" w:hAnsi="黑体" w:eastAsia="黑体"/>
                <w:color w:val="auto"/>
                <w:kern w:val="0"/>
                <w:sz w:val="28"/>
                <w:szCs w:val="32"/>
              </w:rPr>
              <w:t>表</w:t>
            </w:r>
            <w:r>
              <w:rPr>
                <w:rFonts w:ascii="黑体" w:hAnsi="黑体" w:eastAsia="黑体"/>
                <w:color w:val="auto"/>
                <w:kern w:val="0"/>
                <w:sz w:val="28"/>
                <w:szCs w:val="32"/>
              </w:rPr>
              <w:t>9</w:t>
            </w:r>
            <w:r>
              <w:rPr>
                <w:rFonts w:hint="eastAsia" w:ascii="黑体" w:hAnsi="黑体" w:eastAsia="黑体"/>
                <w:color w:val="auto"/>
                <w:kern w:val="0"/>
                <w:sz w:val="28"/>
                <w:szCs w:val="32"/>
              </w:rPr>
              <w:t>市管城市道路景观灯光季度考核评分总表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349" w:type="dxa"/>
            <w:gridSpan w:val="3"/>
            <w:vMerge w:val="restart"/>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考核设施：</w:t>
            </w:r>
          </w:p>
        </w:tc>
        <w:tc>
          <w:tcPr>
            <w:tcW w:w="3994" w:type="dxa"/>
            <w:gridSpan w:val="2"/>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349" w:type="dxa"/>
            <w:gridSpan w:val="3"/>
            <w:vMerge w:val="continue"/>
          </w:tcPr>
          <w:p>
            <w:pPr>
              <w:topLinePunct/>
              <w:adjustRightInd w:val="0"/>
              <w:snapToGrid w:val="0"/>
              <w:rPr>
                <w:rFonts w:hint="eastAsia" w:ascii="仿宋_GB2312" w:hAnsi="宋体" w:eastAsia="仿宋_GB2312"/>
                <w:color w:val="auto"/>
                <w:kern w:val="0"/>
                <w:sz w:val="24"/>
                <w:szCs w:val="28"/>
                <w:u w:val="single"/>
              </w:rPr>
            </w:pPr>
          </w:p>
        </w:tc>
        <w:tc>
          <w:tcPr>
            <w:tcW w:w="3994" w:type="dxa"/>
            <w:gridSpan w:val="2"/>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序号</w:t>
            </w:r>
          </w:p>
        </w:tc>
        <w:tc>
          <w:tcPr>
            <w:tcW w:w="1442"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项目</w:t>
            </w: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考核内容</w:t>
            </w:r>
          </w:p>
        </w:tc>
        <w:tc>
          <w:tcPr>
            <w:tcW w:w="851"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标准分</w:t>
            </w:r>
          </w:p>
        </w:tc>
        <w:tc>
          <w:tcPr>
            <w:tcW w:w="3143" w:type="dxa"/>
            <w:vAlign w:val="center"/>
          </w:tcPr>
          <w:p>
            <w:pPr>
              <w:topLinePunct/>
              <w:adjustRightInd w:val="0"/>
              <w:snapToGrid w:val="0"/>
              <w:spacing w:line="240" w:lineRule="exact"/>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963"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(1)</w:t>
            </w:r>
          </w:p>
        </w:tc>
        <w:tc>
          <w:tcPr>
            <w:tcW w:w="1442"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定量考核</w:t>
            </w: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巡查覆盖率（10）</w:t>
            </w:r>
          </w:p>
        </w:tc>
        <w:tc>
          <w:tcPr>
            <w:tcW w:w="851"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60</w:t>
            </w:r>
          </w:p>
        </w:tc>
        <w:tc>
          <w:tcPr>
            <w:tcW w:w="3143" w:type="dxa"/>
            <w:vMerge w:val="restart"/>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442"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病害处置率（20）</w:t>
            </w:r>
          </w:p>
        </w:tc>
        <w:tc>
          <w:tcPr>
            <w:tcW w:w="851"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14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442"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计划执行率（20）</w:t>
            </w:r>
          </w:p>
        </w:tc>
        <w:tc>
          <w:tcPr>
            <w:tcW w:w="851"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14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442"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内业提交情况（10）</w:t>
            </w:r>
          </w:p>
        </w:tc>
        <w:tc>
          <w:tcPr>
            <w:tcW w:w="851"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14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(2)</w:t>
            </w:r>
          </w:p>
        </w:tc>
        <w:tc>
          <w:tcPr>
            <w:tcW w:w="1442"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定性考核</w:t>
            </w: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外场检查（30）</w:t>
            </w:r>
          </w:p>
        </w:tc>
        <w:tc>
          <w:tcPr>
            <w:tcW w:w="851"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40</w:t>
            </w:r>
          </w:p>
        </w:tc>
        <w:tc>
          <w:tcPr>
            <w:tcW w:w="3143" w:type="dxa"/>
            <w:vMerge w:val="restart"/>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442"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安全管理（10）</w:t>
            </w:r>
          </w:p>
        </w:tc>
        <w:tc>
          <w:tcPr>
            <w:tcW w:w="851"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3143"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(3)</w:t>
            </w:r>
          </w:p>
        </w:tc>
        <w:tc>
          <w:tcPr>
            <w:tcW w:w="1442"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专项考核</w:t>
            </w: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管理要求执行</w:t>
            </w:r>
          </w:p>
        </w:tc>
        <w:tc>
          <w:tcPr>
            <w:tcW w:w="851" w:type="dxa"/>
            <w:vMerge w:val="restart"/>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w:t>
            </w:r>
          </w:p>
        </w:tc>
        <w:tc>
          <w:tcPr>
            <w:tcW w:w="3143" w:type="dxa"/>
            <w:vMerge w:val="restart"/>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宋体" w:hAnsi="宋体"/>
                <w:color w:val="auto"/>
                <w:kern w:val="0"/>
                <w:sz w:val="20"/>
                <w:szCs w:val="20"/>
              </w:rPr>
            </w:pPr>
          </w:p>
        </w:tc>
        <w:tc>
          <w:tcPr>
            <w:tcW w:w="1442" w:type="dxa"/>
            <w:vMerge w:val="continue"/>
            <w:vAlign w:val="center"/>
          </w:tcPr>
          <w:p>
            <w:pPr>
              <w:topLinePunct/>
              <w:adjustRightInd w:val="0"/>
              <w:snapToGrid w:val="0"/>
              <w:jc w:val="center"/>
              <w:rPr>
                <w:rFonts w:hint="eastAsia" w:ascii="宋体" w:hAnsi="宋体"/>
                <w:color w:val="auto"/>
                <w:kern w:val="0"/>
                <w:sz w:val="20"/>
                <w:szCs w:val="20"/>
              </w:rPr>
            </w:pPr>
          </w:p>
        </w:tc>
        <w:tc>
          <w:tcPr>
            <w:tcW w:w="3944" w:type="dxa"/>
            <w:vAlign w:val="center"/>
          </w:tcPr>
          <w:p>
            <w:pPr>
              <w:topLinePunct/>
              <w:adjustRightInd w:val="0"/>
              <w:snapToGrid w:val="0"/>
              <w:jc w:val="center"/>
              <w:rPr>
                <w:rFonts w:hint="eastAsia" w:ascii="仿宋_GB2312" w:hAnsi="Yu Mincho" w:eastAsia="仿宋_GB2312"/>
                <w:color w:val="auto"/>
                <w:kern w:val="0"/>
                <w:sz w:val="20"/>
                <w:szCs w:val="20"/>
              </w:rPr>
            </w:pPr>
            <w:r>
              <w:rPr>
                <w:rFonts w:hint="eastAsia" w:ascii="仿宋_GB2312" w:hAnsi="Yu Mincho" w:eastAsia="仿宋_GB2312"/>
                <w:color w:val="auto"/>
                <w:kern w:val="0"/>
                <w:sz w:val="20"/>
                <w:szCs w:val="20"/>
              </w:rPr>
              <w:t>养护作业</w:t>
            </w:r>
          </w:p>
        </w:tc>
        <w:tc>
          <w:tcPr>
            <w:tcW w:w="851" w:type="dxa"/>
            <w:vMerge w:val="continue"/>
            <w:vAlign w:val="center"/>
          </w:tcPr>
          <w:p>
            <w:pPr>
              <w:topLinePunct/>
              <w:adjustRightInd w:val="0"/>
              <w:snapToGrid w:val="0"/>
              <w:jc w:val="center"/>
              <w:rPr>
                <w:rFonts w:hint="eastAsia" w:ascii="宋体" w:hAnsi="宋体"/>
                <w:color w:val="auto"/>
                <w:kern w:val="0"/>
                <w:sz w:val="20"/>
                <w:szCs w:val="20"/>
              </w:rPr>
            </w:pPr>
          </w:p>
        </w:tc>
        <w:tc>
          <w:tcPr>
            <w:tcW w:w="3143" w:type="dxa"/>
            <w:vMerge w:val="continue"/>
            <w:vAlign w:val="center"/>
          </w:tcPr>
          <w:p>
            <w:pPr>
              <w:topLinePunct/>
              <w:adjustRightInd w:val="0"/>
              <w:snapToGrid w:val="0"/>
              <w:jc w:val="center"/>
              <w:rPr>
                <w:rFonts w:hint="eastAsia"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宋体" w:hAnsi="宋体"/>
                <w:color w:val="auto"/>
                <w:kern w:val="0"/>
                <w:sz w:val="20"/>
                <w:szCs w:val="20"/>
              </w:rPr>
            </w:pPr>
          </w:p>
        </w:tc>
        <w:tc>
          <w:tcPr>
            <w:tcW w:w="1442" w:type="dxa"/>
            <w:vMerge w:val="continue"/>
            <w:vAlign w:val="center"/>
          </w:tcPr>
          <w:p>
            <w:pPr>
              <w:topLinePunct/>
              <w:adjustRightInd w:val="0"/>
              <w:snapToGrid w:val="0"/>
              <w:jc w:val="center"/>
              <w:rPr>
                <w:rFonts w:hint="eastAsia" w:ascii="宋体" w:hAnsi="宋体"/>
                <w:color w:val="auto"/>
                <w:kern w:val="0"/>
                <w:sz w:val="20"/>
                <w:szCs w:val="20"/>
              </w:rPr>
            </w:pPr>
          </w:p>
        </w:tc>
        <w:tc>
          <w:tcPr>
            <w:tcW w:w="3944" w:type="dxa"/>
            <w:vAlign w:val="center"/>
          </w:tcPr>
          <w:p>
            <w:pPr>
              <w:topLinePunct/>
              <w:adjustRightInd w:val="0"/>
              <w:snapToGrid w:val="0"/>
              <w:jc w:val="center"/>
              <w:rPr>
                <w:rFonts w:hint="eastAsia" w:ascii="仿宋_GB2312" w:hAnsi="Yu Mincho" w:eastAsia="仿宋_GB2312"/>
                <w:color w:val="auto"/>
                <w:kern w:val="0"/>
                <w:sz w:val="20"/>
                <w:szCs w:val="20"/>
              </w:rPr>
            </w:pPr>
            <w:r>
              <w:rPr>
                <w:rFonts w:hint="eastAsia" w:ascii="仿宋_GB2312" w:hAnsi="Yu Mincho" w:eastAsia="仿宋_GB2312"/>
                <w:color w:val="auto"/>
                <w:kern w:val="0"/>
                <w:sz w:val="20"/>
                <w:szCs w:val="20"/>
              </w:rPr>
              <w:t>运行保障</w:t>
            </w:r>
          </w:p>
        </w:tc>
        <w:tc>
          <w:tcPr>
            <w:tcW w:w="851" w:type="dxa"/>
            <w:vMerge w:val="continue"/>
            <w:vAlign w:val="center"/>
          </w:tcPr>
          <w:p>
            <w:pPr>
              <w:topLinePunct/>
              <w:adjustRightInd w:val="0"/>
              <w:snapToGrid w:val="0"/>
              <w:jc w:val="center"/>
              <w:rPr>
                <w:rFonts w:hint="eastAsia" w:ascii="宋体" w:hAnsi="宋体"/>
                <w:color w:val="auto"/>
                <w:kern w:val="0"/>
                <w:sz w:val="20"/>
                <w:szCs w:val="20"/>
              </w:rPr>
            </w:pPr>
          </w:p>
        </w:tc>
        <w:tc>
          <w:tcPr>
            <w:tcW w:w="3143" w:type="dxa"/>
            <w:vMerge w:val="continue"/>
            <w:vAlign w:val="center"/>
          </w:tcPr>
          <w:p>
            <w:pPr>
              <w:topLinePunct/>
              <w:adjustRightInd w:val="0"/>
              <w:snapToGrid w:val="0"/>
              <w:jc w:val="center"/>
              <w:rPr>
                <w:rFonts w:hint="eastAsia"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宋体" w:hAnsi="宋体"/>
                <w:color w:val="auto"/>
                <w:kern w:val="0"/>
                <w:sz w:val="20"/>
                <w:szCs w:val="20"/>
              </w:rPr>
            </w:pPr>
          </w:p>
        </w:tc>
        <w:tc>
          <w:tcPr>
            <w:tcW w:w="1442" w:type="dxa"/>
            <w:vMerge w:val="continue"/>
            <w:vAlign w:val="center"/>
          </w:tcPr>
          <w:p>
            <w:pPr>
              <w:topLinePunct/>
              <w:adjustRightInd w:val="0"/>
              <w:snapToGrid w:val="0"/>
              <w:jc w:val="center"/>
              <w:rPr>
                <w:rFonts w:hint="eastAsia" w:ascii="宋体" w:hAnsi="宋体"/>
                <w:color w:val="auto"/>
                <w:kern w:val="0"/>
                <w:sz w:val="20"/>
                <w:szCs w:val="20"/>
              </w:rPr>
            </w:pPr>
          </w:p>
        </w:tc>
        <w:tc>
          <w:tcPr>
            <w:tcW w:w="3944" w:type="dxa"/>
            <w:vAlign w:val="center"/>
          </w:tcPr>
          <w:p>
            <w:pPr>
              <w:topLinePunct/>
              <w:adjustRightInd w:val="0"/>
              <w:snapToGrid w:val="0"/>
              <w:jc w:val="center"/>
              <w:rPr>
                <w:rFonts w:hint="eastAsia" w:ascii="仿宋_GB2312" w:hAnsi="Yu Mincho" w:eastAsia="仿宋_GB2312"/>
                <w:color w:val="auto"/>
                <w:kern w:val="0"/>
                <w:sz w:val="20"/>
                <w:szCs w:val="20"/>
              </w:rPr>
            </w:pPr>
            <w:r>
              <w:rPr>
                <w:rFonts w:hint="eastAsia" w:ascii="仿宋_GB2312" w:hAnsi="Yu Mincho" w:eastAsia="仿宋_GB2312"/>
                <w:color w:val="auto"/>
                <w:kern w:val="0"/>
                <w:sz w:val="20"/>
                <w:szCs w:val="20"/>
              </w:rPr>
              <w:t>安全生产和应急处置</w:t>
            </w:r>
          </w:p>
        </w:tc>
        <w:tc>
          <w:tcPr>
            <w:tcW w:w="851" w:type="dxa"/>
            <w:vMerge w:val="continue"/>
            <w:vAlign w:val="center"/>
          </w:tcPr>
          <w:p>
            <w:pPr>
              <w:topLinePunct/>
              <w:adjustRightInd w:val="0"/>
              <w:snapToGrid w:val="0"/>
              <w:jc w:val="center"/>
              <w:rPr>
                <w:rFonts w:hint="eastAsia" w:ascii="宋体" w:hAnsi="宋体"/>
                <w:color w:val="auto"/>
                <w:kern w:val="0"/>
                <w:sz w:val="20"/>
                <w:szCs w:val="20"/>
              </w:rPr>
            </w:pPr>
          </w:p>
        </w:tc>
        <w:tc>
          <w:tcPr>
            <w:tcW w:w="3143" w:type="dxa"/>
            <w:vMerge w:val="continue"/>
            <w:vAlign w:val="center"/>
          </w:tcPr>
          <w:p>
            <w:pPr>
              <w:topLinePunct/>
              <w:adjustRightInd w:val="0"/>
              <w:snapToGrid w:val="0"/>
              <w:jc w:val="center"/>
              <w:rPr>
                <w:rFonts w:hint="eastAsia"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pPr>
              <w:topLinePunct/>
              <w:adjustRightInd w:val="0"/>
              <w:snapToGrid w:val="0"/>
              <w:jc w:val="center"/>
              <w:rPr>
                <w:rFonts w:hint="eastAsia" w:ascii="宋体" w:hAnsi="宋体"/>
                <w:color w:val="auto"/>
                <w:kern w:val="0"/>
                <w:sz w:val="20"/>
                <w:szCs w:val="20"/>
              </w:rPr>
            </w:pPr>
          </w:p>
        </w:tc>
        <w:tc>
          <w:tcPr>
            <w:tcW w:w="1442" w:type="dxa"/>
            <w:vMerge w:val="continue"/>
            <w:vAlign w:val="center"/>
          </w:tcPr>
          <w:p>
            <w:pPr>
              <w:topLinePunct/>
              <w:adjustRightInd w:val="0"/>
              <w:snapToGrid w:val="0"/>
              <w:jc w:val="center"/>
              <w:rPr>
                <w:rFonts w:hint="eastAsia" w:ascii="宋体" w:hAnsi="宋体"/>
                <w:color w:val="auto"/>
                <w:kern w:val="0"/>
                <w:sz w:val="20"/>
                <w:szCs w:val="20"/>
              </w:rPr>
            </w:pPr>
          </w:p>
        </w:tc>
        <w:tc>
          <w:tcPr>
            <w:tcW w:w="3944" w:type="dxa"/>
            <w:vAlign w:val="center"/>
          </w:tcPr>
          <w:p>
            <w:pPr>
              <w:topLinePunct/>
              <w:adjustRightInd w:val="0"/>
              <w:snapToGrid w:val="0"/>
              <w:jc w:val="center"/>
              <w:rPr>
                <w:rFonts w:hint="eastAsia" w:ascii="仿宋_GB2312" w:hAnsi="Yu Mincho" w:eastAsia="仿宋_GB2312"/>
                <w:color w:val="auto"/>
                <w:kern w:val="0"/>
                <w:sz w:val="20"/>
                <w:szCs w:val="20"/>
              </w:rPr>
            </w:pPr>
            <w:r>
              <w:rPr>
                <w:rFonts w:hint="eastAsia" w:ascii="仿宋_GB2312" w:hAnsi="Yu Mincho" w:eastAsia="仿宋_GB2312"/>
                <w:color w:val="auto"/>
                <w:kern w:val="0"/>
                <w:sz w:val="20"/>
                <w:szCs w:val="20"/>
              </w:rPr>
              <w:t>宣传与公众服务</w:t>
            </w:r>
          </w:p>
        </w:tc>
        <w:tc>
          <w:tcPr>
            <w:tcW w:w="851" w:type="dxa"/>
            <w:vMerge w:val="continue"/>
            <w:vAlign w:val="center"/>
          </w:tcPr>
          <w:p>
            <w:pPr>
              <w:topLinePunct/>
              <w:adjustRightInd w:val="0"/>
              <w:snapToGrid w:val="0"/>
              <w:jc w:val="center"/>
              <w:rPr>
                <w:rFonts w:hint="eastAsia" w:ascii="宋体" w:hAnsi="宋体"/>
                <w:color w:val="auto"/>
                <w:kern w:val="0"/>
                <w:sz w:val="20"/>
                <w:szCs w:val="20"/>
              </w:rPr>
            </w:pPr>
          </w:p>
        </w:tc>
        <w:tc>
          <w:tcPr>
            <w:tcW w:w="3143" w:type="dxa"/>
            <w:vMerge w:val="continue"/>
            <w:vAlign w:val="center"/>
          </w:tcPr>
          <w:p>
            <w:pPr>
              <w:topLinePunct/>
              <w:adjustRightInd w:val="0"/>
              <w:snapToGrid w:val="0"/>
              <w:jc w:val="center"/>
              <w:rPr>
                <w:rFonts w:hint="eastAsia"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963" w:type="dxa"/>
            <w:vMerge w:val="continue"/>
            <w:vAlign w:val="center"/>
          </w:tcPr>
          <w:p>
            <w:pPr>
              <w:topLinePunct/>
              <w:adjustRightInd w:val="0"/>
              <w:snapToGrid w:val="0"/>
              <w:jc w:val="center"/>
              <w:rPr>
                <w:rFonts w:hint="eastAsia" w:ascii="宋体" w:hAnsi="宋体"/>
                <w:color w:val="auto"/>
                <w:kern w:val="0"/>
                <w:sz w:val="20"/>
                <w:szCs w:val="20"/>
              </w:rPr>
            </w:pPr>
          </w:p>
        </w:tc>
        <w:tc>
          <w:tcPr>
            <w:tcW w:w="1442" w:type="dxa"/>
            <w:vMerge w:val="continue"/>
            <w:vAlign w:val="center"/>
          </w:tcPr>
          <w:p>
            <w:pPr>
              <w:topLinePunct/>
              <w:adjustRightInd w:val="0"/>
              <w:snapToGrid w:val="0"/>
              <w:jc w:val="center"/>
              <w:rPr>
                <w:rFonts w:hint="eastAsia" w:ascii="宋体" w:hAnsi="宋体"/>
                <w:color w:val="auto"/>
                <w:kern w:val="0"/>
                <w:sz w:val="20"/>
                <w:szCs w:val="20"/>
              </w:rPr>
            </w:pPr>
          </w:p>
        </w:tc>
        <w:tc>
          <w:tcPr>
            <w:tcW w:w="3944"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Yu Mincho" w:eastAsia="仿宋_GB2312"/>
                <w:color w:val="auto"/>
                <w:kern w:val="0"/>
                <w:sz w:val="20"/>
                <w:szCs w:val="20"/>
              </w:rPr>
              <w:t>行业示范带头作用</w:t>
            </w:r>
          </w:p>
        </w:tc>
        <w:tc>
          <w:tcPr>
            <w:tcW w:w="851" w:type="dxa"/>
            <w:vMerge w:val="continue"/>
            <w:vAlign w:val="center"/>
          </w:tcPr>
          <w:p>
            <w:pPr>
              <w:topLinePunct/>
              <w:adjustRightInd w:val="0"/>
              <w:snapToGrid w:val="0"/>
              <w:jc w:val="center"/>
              <w:rPr>
                <w:rFonts w:hint="eastAsia" w:ascii="宋体" w:hAnsi="宋体"/>
                <w:color w:val="auto"/>
                <w:kern w:val="0"/>
                <w:sz w:val="20"/>
                <w:szCs w:val="20"/>
              </w:rPr>
            </w:pPr>
          </w:p>
        </w:tc>
        <w:tc>
          <w:tcPr>
            <w:tcW w:w="3143" w:type="dxa"/>
            <w:vMerge w:val="continue"/>
            <w:vAlign w:val="center"/>
          </w:tcPr>
          <w:p>
            <w:pPr>
              <w:topLinePunct/>
              <w:adjustRightInd w:val="0"/>
              <w:snapToGrid w:val="0"/>
              <w:jc w:val="center"/>
              <w:rPr>
                <w:rFonts w:hint="eastAsia"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2"/>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景观灯光季度</w:t>
            </w:r>
          </w:p>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考核得分</w:t>
            </w:r>
          </w:p>
        </w:tc>
        <w:tc>
          <w:tcPr>
            <w:tcW w:w="3944" w:type="dxa"/>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（1）~（3）得分总和</w:t>
            </w:r>
          </w:p>
        </w:tc>
        <w:tc>
          <w:tcPr>
            <w:tcW w:w="851" w:type="dxa"/>
            <w:vAlign w:val="center"/>
          </w:tcPr>
          <w:p>
            <w:pPr>
              <w:topLinePunct/>
              <w:adjustRightInd w:val="0"/>
              <w:snapToGrid w:val="0"/>
              <w:jc w:val="center"/>
              <w:rPr>
                <w:rFonts w:hint="eastAsia" w:ascii="宋体" w:hAnsi="宋体"/>
                <w:b/>
                <w:bCs/>
                <w:color w:val="auto"/>
                <w:kern w:val="0"/>
                <w:sz w:val="20"/>
                <w:szCs w:val="20"/>
              </w:rPr>
            </w:pPr>
            <w:r>
              <w:rPr>
                <w:rFonts w:ascii="宋体" w:hAnsi="宋体"/>
                <w:b/>
                <w:bCs/>
                <w:color w:val="auto"/>
                <w:kern w:val="0"/>
                <w:sz w:val="20"/>
                <w:szCs w:val="20"/>
              </w:rPr>
              <w:t>-</w:t>
            </w:r>
          </w:p>
        </w:tc>
        <w:tc>
          <w:tcPr>
            <w:tcW w:w="3143" w:type="dxa"/>
            <w:vAlign w:val="center"/>
          </w:tcPr>
          <w:p>
            <w:pPr>
              <w:topLinePunct/>
              <w:adjustRightInd w:val="0"/>
              <w:snapToGrid w:val="0"/>
              <w:jc w:val="center"/>
              <w:rPr>
                <w:rFonts w:hint="eastAsia" w:ascii="宋体" w:hAnsi="宋体"/>
                <w:color w:val="auto"/>
                <w:kern w:val="0"/>
                <w:sz w:val="20"/>
                <w:szCs w:val="20"/>
              </w:rPr>
            </w:pPr>
          </w:p>
        </w:tc>
      </w:tr>
    </w:tbl>
    <w:p>
      <w:pPr>
        <w:topLinePunct/>
        <w:adjustRightInd w:val="0"/>
        <w:snapToGrid w:val="0"/>
        <w:spacing w:line="500" w:lineRule="exact"/>
        <w:ind w:firstLine="420" w:firstLineChars="200"/>
        <w:rPr>
          <w:rFonts w:ascii="Times New Roman" w:hAnsi="Times New Roman"/>
          <w:color w:val="auto"/>
          <w:szCs w:val="21"/>
        </w:rPr>
      </w:pPr>
    </w:p>
    <w:p>
      <w:pPr>
        <w:topLinePunct/>
        <w:adjustRightInd w:val="0"/>
        <w:snapToGrid w:val="0"/>
        <w:spacing w:line="500" w:lineRule="exact"/>
        <w:ind w:firstLine="422" w:firstLineChars="200"/>
        <w:rPr>
          <w:rFonts w:hint="eastAsia" w:ascii="宋体" w:hAnsi="宋体"/>
          <w:b/>
          <w:bCs/>
          <w:color w:val="auto"/>
          <w:szCs w:val="21"/>
        </w:rPr>
      </w:pPr>
      <w:r>
        <w:rPr>
          <w:rFonts w:ascii="宋体" w:hAnsi="宋体"/>
          <w:b/>
          <w:bCs/>
          <w:color w:val="auto"/>
          <w:szCs w:val="21"/>
        </w:rPr>
        <w:br w:type="page"/>
      </w:r>
    </w:p>
    <w:p>
      <w:pPr>
        <w:topLinePunct/>
        <w:adjustRightInd w:val="0"/>
        <w:snapToGrid w:val="0"/>
        <w:spacing w:before="120" w:beforeLines="50" w:after="120" w:afterLines="50" w:line="360" w:lineRule="auto"/>
        <w:jc w:val="center"/>
        <w:rPr>
          <w:rFonts w:hint="eastAsia" w:ascii="Times New Roman" w:hAnsi="华文中宋" w:eastAsia="华文中宋"/>
          <w:b/>
          <w:color w:val="auto"/>
          <w:kern w:val="0"/>
          <w:sz w:val="32"/>
          <w:szCs w:val="32"/>
        </w:rPr>
      </w:pPr>
      <w:r>
        <w:rPr>
          <w:rFonts w:hint="eastAsia" w:ascii="Times New Roman" w:hAnsi="华文中宋" w:eastAsia="华文中宋"/>
          <w:b/>
          <w:color w:val="auto"/>
          <w:kern w:val="0"/>
          <w:sz w:val="32"/>
          <w:szCs w:val="32"/>
        </w:rPr>
        <w:t>附录十  市管城市道路景观灯光年度考核评分表</w:t>
      </w:r>
    </w:p>
    <w:tbl>
      <w:tblPr>
        <w:tblStyle w:val="39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2127"/>
        <w:gridCol w:w="2810"/>
        <w:gridCol w:w="1017"/>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355" w:type="dxa"/>
            <w:gridSpan w:val="5"/>
            <w:vAlign w:val="center"/>
          </w:tcPr>
          <w:p>
            <w:pPr>
              <w:topLinePunct/>
              <w:adjustRightInd w:val="0"/>
              <w:snapToGrid w:val="0"/>
              <w:jc w:val="center"/>
              <w:rPr>
                <w:rFonts w:hint="eastAsia" w:ascii="黑体" w:hAnsi="黑体" w:eastAsia="黑体"/>
                <w:color w:val="auto"/>
                <w:kern w:val="0"/>
                <w:sz w:val="20"/>
                <w:szCs w:val="21"/>
              </w:rPr>
            </w:pPr>
            <w:r>
              <w:rPr>
                <w:rFonts w:hint="eastAsia" w:ascii="黑体" w:hAnsi="黑体" w:eastAsia="黑体"/>
                <w:color w:val="auto"/>
                <w:kern w:val="0"/>
                <w:sz w:val="28"/>
                <w:szCs w:val="32"/>
              </w:rPr>
              <w:t>表</w:t>
            </w:r>
            <w:r>
              <w:rPr>
                <w:rFonts w:ascii="黑体" w:hAnsi="黑体" w:eastAsia="黑体"/>
                <w:color w:val="auto"/>
                <w:kern w:val="0"/>
                <w:sz w:val="28"/>
                <w:szCs w:val="32"/>
              </w:rPr>
              <w:t xml:space="preserve">10 </w:t>
            </w:r>
            <w:r>
              <w:rPr>
                <w:rFonts w:hint="eastAsia" w:ascii="黑体" w:hAnsi="黑体" w:eastAsia="黑体"/>
                <w:color w:val="auto"/>
                <w:kern w:val="0"/>
                <w:sz w:val="28"/>
                <w:szCs w:val="32"/>
              </w:rPr>
              <w:t>市管城市道路景观灯光年度考核评分表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54" w:type="dxa"/>
            <w:gridSpan w:val="3"/>
            <w:vMerge w:val="restart"/>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考核设施：</w:t>
            </w:r>
          </w:p>
        </w:tc>
        <w:tc>
          <w:tcPr>
            <w:tcW w:w="3001" w:type="dxa"/>
            <w:gridSpan w:val="2"/>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54" w:type="dxa"/>
            <w:gridSpan w:val="3"/>
            <w:vMerge w:val="continue"/>
            <w:vAlign w:val="center"/>
          </w:tcPr>
          <w:p>
            <w:pPr>
              <w:topLinePunct/>
              <w:adjustRightInd w:val="0"/>
              <w:snapToGrid w:val="0"/>
              <w:rPr>
                <w:rFonts w:hint="eastAsia" w:ascii="仿宋_GB2312" w:hAnsi="宋体" w:eastAsia="仿宋_GB2312"/>
                <w:color w:val="auto"/>
                <w:kern w:val="0"/>
                <w:sz w:val="24"/>
                <w:szCs w:val="28"/>
              </w:rPr>
            </w:pPr>
          </w:p>
        </w:tc>
        <w:tc>
          <w:tcPr>
            <w:tcW w:w="3001" w:type="dxa"/>
            <w:gridSpan w:val="2"/>
            <w:vAlign w:val="center"/>
          </w:tcPr>
          <w:p>
            <w:pPr>
              <w:topLinePunct/>
              <w:adjustRightInd w:val="0"/>
              <w:snapToGrid w:val="0"/>
              <w:rPr>
                <w:rFonts w:hint="eastAsia" w:ascii="仿宋_GB2312" w:hAnsi="宋体" w:eastAsia="仿宋_GB2312"/>
                <w:color w:val="auto"/>
                <w:kern w:val="0"/>
                <w:sz w:val="24"/>
                <w:szCs w:val="28"/>
              </w:rPr>
            </w:pPr>
            <w:r>
              <w:rPr>
                <w:rFonts w:hint="eastAsia" w:ascii="仿宋_GB2312" w:hAnsi="宋体" w:eastAsia="仿宋_GB2312"/>
                <w:color w:val="auto"/>
                <w:kern w:val="0"/>
                <w:sz w:val="24"/>
                <w:szCs w:val="28"/>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项目</w:t>
            </w:r>
          </w:p>
        </w:tc>
        <w:tc>
          <w:tcPr>
            <w:tcW w:w="2127"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考核内容</w:t>
            </w:r>
          </w:p>
        </w:tc>
        <w:tc>
          <w:tcPr>
            <w:tcW w:w="2810"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考核得分</w:t>
            </w:r>
          </w:p>
        </w:tc>
        <w:tc>
          <w:tcPr>
            <w:tcW w:w="1017"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标准分</w:t>
            </w:r>
          </w:p>
        </w:tc>
        <w:tc>
          <w:tcPr>
            <w:tcW w:w="1984" w:type="dxa"/>
            <w:vAlign w:val="center"/>
          </w:tcPr>
          <w:p>
            <w:pPr>
              <w:topLinePunct/>
              <w:adjustRightInd w:val="0"/>
              <w:snapToGrid w:val="0"/>
              <w:spacing w:line="240" w:lineRule="exact"/>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考核总分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restart"/>
            <w:vAlign w:val="center"/>
          </w:tcPr>
          <w:p>
            <w:pPr>
              <w:topLinePunct/>
              <w:adjustRightInd w:val="0"/>
              <w:snapToGrid w:val="0"/>
              <w:jc w:val="center"/>
              <w:rPr>
                <w:rFonts w:hint="eastAsia" w:ascii="宋体" w:hAnsi="宋体"/>
                <w:color w:val="auto"/>
                <w:kern w:val="0"/>
                <w:sz w:val="20"/>
                <w:szCs w:val="20"/>
              </w:rPr>
            </w:pPr>
            <w:r>
              <w:rPr>
                <w:rFonts w:hint="eastAsia" w:ascii="宋体" w:hAnsi="宋体"/>
                <w:color w:val="auto"/>
                <w:kern w:val="0"/>
                <w:sz w:val="20"/>
                <w:szCs w:val="20"/>
              </w:rPr>
              <w:t>季度考核分</w:t>
            </w:r>
          </w:p>
        </w:tc>
        <w:tc>
          <w:tcPr>
            <w:tcW w:w="2127"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第一次考核</w:t>
            </w:r>
          </w:p>
        </w:tc>
        <w:tc>
          <w:tcPr>
            <w:tcW w:w="2810" w:type="dxa"/>
            <w:vAlign w:val="center"/>
          </w:tcPr>
          <w:p>
            <w:pPr>
              <w:topLinePunct/>
              <w:adjustRightInd w:val="0"/>
              <w:snapToGrid w:val="0"/>
              <w:jc w:val="center"/>
              <w:rPr>
                <w:rFonts w:hint="eastAsia" w:ascii="仿宋_GB2312" w:hAnsi="宋体" w:eastAsia="仿宋_GB2312"/>
                <w:color w:val="auto"/>
                <w:kern w:val="0"/>
                <w:sz w:val="20"/>
                <w:szCs w:val="20"/>
              </w:rPr>
            </w:pPr>
          </w:p>
        </w:tc>
        <w:tc>
          <w:tcPr>
            <w:tcW w:w="1017" w:type="dxa"/>
            <w:vMerge w:val="restart"/>
            <w:vAlign w:val="center"/>
          </w:tcPr>
          <w:p>
            <w:pPr>
              <w:topLinePunct/>
              <w:adjustRightInd w:val="0"/>
              <w:snapToGrid w:val="0"/>
              <w:jc w:val="center"/>
              <w:rPr>
                <w:rFonts w:hint="eastAsia" w:ascii="仿宋_GB2312" w:hAnsi="宋体" w:eastAsia="仿宋_GB2312"/>
                <w:color w:val="auto"/>
                <w:kern w:val="0"/>
                <w:sz w:val="20"/>
                <w:szCs w:val="20"/>
              </w:rPr>
            </w:pPr>
          </w:p>
        </w:tc>
        <w:tc>
          <w:tcPr>
            <w:tcW w:w="1984" w:type="dxa"/>
            <w:vMerge w:val="restart"/>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continue"/>
            <w:vAlign w:val="center"/>
          </w:tcPr>
          <w:p>
            <w:pPr>
              <w:topLinePunct/>
              <w:adjustRightInd w:val="0"/>
              <w:snapToGrid w:val="0"/>
              <w:jc w:val="center"/>
              <w:rPr>
                <w:rFonts w:hint="eastAsia" w:ascii="宋体" w:hAnsi="宋体"/>
                <w:color w:val="auto"/>
                <w:kern w:val="0"/>
                <w:sz w:val="20"/>
                <w:szCs w:val="20"/>
              </w:rPr>
            </w:pPr>
          </w:p>
        </w:tc>
        <w:tc>
          <w:tcPr>
            <w:tcW w:w="2127"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第二次考核</w:t>
            </w:r>
          </w:p>
        </w:tc>
        <w:tc>
          <w:tcPr>
            <w:tcW w:w="2810" w:type="dxa"/>
            <w:vAlign w:val="center"/>
          </w:tcPr>
          <w:p>
            <w:pPr>
              <w:topLinePunct/>
              <w:adjustRightInd w:val="0"/>
              <w:snapToGrid w:val="0"/>
              <w:jc w:val="center"/>
              <w:rPr>
                <w:rFonts w:hint="eastAsia" w:ascii="仿宋_GB2312" w:hAnsi="宋体" w:eastAsia="仿宋_GB2312"/>
                <w:color w:val="auto"/>
                <w:kern w:val="0"/>
                <w:sz w:val="20"/>
                <w:szCs w:val="20"/>
              </w:rPr>
            </w:pPr>
          </w:p>
        </w:tc>
        <w:tc>
          <w:tcPr>
            <w:tcW w:w="1017"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984"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continue"/>
            <w:vAlign w:val="center"/>
          </w:tcPr>
          <w:p>
            <w:pPr>
              <w:topLinePunct/>
              <w:adjustRightInd w:val="0"/>
              <w:snapToGrid w:val="0"/>
              <w:jc w:val="center"/>
              <w:rPr>
                <w:rFonts w:hint="eastAsia" w:ascii="宋体" w:hAnsi="宋体"/>
                <w:color w:val="auto"/>
                <w:kern w:val="0"/>
                <w:sz w:val="20"/>
                <w:szCs w:val="20"/>
              </w:rPr>
            </w:pPr>
          </w:p>
        </w:tc>
        <w:tc>
          <w:tcPr>
            <w:tcW w:w="2127"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第三次考核</w:t>
            </w:r>
          </w:p>
        </w:tc>
        <w:tc>
          <w:tcPr>
            <w:tcW w:w="2810" w:type="dxa"/>
            <w:vAlign w:val="center"/>
          </w:tcPr>
          <w:p>
            <w:pPr>
              <w:topLinePunct/>
              <w:adjustRightInd w:val="0"/>
              <w:snapToGrid w:val="0"/>
              <w:jc w:val="center"/>
              <w:rPr>
                <w:rFonts w:hint="eastAsia" w:ascii="仿宋_GB2312" w:hAnsi="宋体" w:eastAsia="仿宋_GB2312"/>
                <w:color w:val="auto"/>
                <w:kern w:val="0"/>
                <w:sz w:val="20"/>
                <w:szCs w:val="20"/>
              </w:rPr>
            </w:pPr>
          </w:p>
        </w:tc>
        <w:tc>
          <w:tcPr>
            <w:tcW w:w="1017"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984"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continue"/>
            <w:vAlign w:val="center"/>
          </w:tcPr>
          <w:p>
            <w:pPr>
              <w:topLinePunct/>
              <w:adjustRightInd w:val="0"/>
              <w:snapToGrid w:val="0"/>
              <w:jc w:val="center"/>
              <w:rPr>
                <w:rFonts w:hint="eastAsia" w:ascii="宋体" w:hAnsi="宋体"/>
                <w:color w:val="auto"/>
                <w:kern w:val="0"/>
                <w:sz w:val="20"/>
                <w:szCs w:val="20"/>
              </w:rPr>
            </w:pPr>
          </w:p>
        </w:tc>
        <w:tc>
          <w:tcPr>
            <w:tcW w:w="2127" w:type="dxa"/>
            <w:vAlign w:val="center"/>
          </w:tcPr>
          <w:p>
            <w:pPr>
              <w:topLinePunct/>
              <w:adjustRightInd w:val="0"/>
              <w:snapToGrid w:val="0"/>
              <w:jc w:val="center"/>
              <w:rPr>
                <w:rFonts w:hint="eastAsia" w:ascii="仿宋_GB2312" w:hAnsi="宋体" w:eastAsia="仿宋_GB2312"/>
                <w:color w:val="auto"/>
                <w:kern w:val="0"/>
                <w:sz w:val="20"/>
                <w:szCs w:val="20"/>
              </w:rPr>
            </w:pPr>
            <w:r>
              <w:rPr>
                <w:rFonts w:hint="eastAsia" w:ascii="仿宋_GB2312" w:hAnsi="宋体" w:eastAsia="仿宋_GB2312"/>
                <w:color w:val="auto"/>
                <w:kern w:val="0"/>
                <w:sz w:val="20"/>
                <w:szCs w:val="20"/>
              </w:rPr>
              <w:t>第四次考核</w:t>
            </w:r>
          </w:p>
        </w:tc>
        <w:tc>
          <w:tcPr>
            <w:tcW w:w="2810" w:type="dxa"/>
            <w:vAlign w:val="center"/>
          </w:tcPr>
          <w:p>
            <w:pPr>
              <w:topLinePunct/>
              <w:adjustRightInd w:val="0"/>
              <w:snapToGrid w:val="0"/>
              <w:jc w:val="center"/>
              <w:rPr>
                <w:rFonts w:hint="eastAsia" w:ascii="仿宋_GB2312" w:hAnsi="宋体" w:eastAsia="仿宋_GB2312"/>
                <w:color w:val="auto"/>
                <w:kern w:val="0"/>
                <w:sz w:val="20"/>
                <w:szCs w:val="20"/>
              </w:rPr>
            </w:pPr>
          </w:p>
        </w:tc>
        <w:tc>
          <w:tcPr>
            <w:tcW w:w="1017"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c>
          <w:tcPr>
            <w:tcW w:w="1984" w:type="dxa"/>
            <w:vMerge w:val="continue"/>
            <w:vAlign w:val="center"/>
          </w:tcPr>
          <w:p>
            <w:pPr>
              <w:topLinePunct/>
              <w:adjustRightInd w:val="0"/>
              <w:snapToGrid w:val="0"/>
              <w:jc w:val="center"/>
              <w:rPr>
                <w:rFonts w:hint="eastAsia" w:ascii="仿宋_GB2312" w:hAnsi="宋体" w:eastAsia="仿宋_GB2312"/>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景观灯光年度考核得分</w:t>
            </w:r>
          </w:p>
        </w:tc>
        <w:tc>
          <w:tcPr>
            <w:tcW w:w="4937" w:type="dxa"/>
            <w:gridSpan w:val="2"/>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color w:val="auto"/>
                <w:kern w:val="0"/>
                <w:sz w:val="20"/>
                <w:szCs w:val="20"/>
                <w:lang w:eastAsia="ja-JP"/>
              </w:rPr>
              <w:t>各季度考核分的算术平均值</w:t>
            </w:r>
          </w:p>
        </w:tc>
        <w:tc>
          <w:tcPr>
            <w:tcW w:w="1017" w:type="dxa"/>
            <w:vAlign w:val="center"/>
          </w:tcPr>
          <w:p>
            <w:pPr>
              <w:topLinePunct/>
              <w:adjustRightInd w:val="0"/>
              <w:snapToGrid w:val="0"/>
              <w:jc w:val="center"/>
              <w:rPr>
                <w:rFonts w:hint="eastAsia" w:ascii="仿宋_GB2312" w:hAnsi="宋体" w:eastAsia="仿宋_GB2312"/>
                <w:b/>
                <w:bCs/>
                <w:color w:val="auto"/>
                <w:kern w:val="0"/>
                <w:sz w:val="20"/>
                <w:szCs w:val="20"/>
              </w:rPr>
            </w:pPr>
            <w:r>
              <w:rPr>
                <w:rFonts w:hint="eastAsia" w:ascii="仿宋_GB2312" w:hAnsi="宋体" w:eastAsia="仿宋_GB2312"/>
                <w:b/>
                <w:bCs/>
                <w:color w:val="auto"/>
                <w:kern w:val="0"/>
                <w:sz w:val="20"/>
                <w:szCs w:val="20"/>
              </w:rPr>
              <w:t>-</w:t>
            </w:r>
          </w:p>
        </w:tc>
        <w:tc>
          <w:tcPr>
            <w:tcW w:w="1984" w:type="dxa"/>
            <w:tcBorders>
              <w:bottom w:val="single" w:color="auto" w:sz="4" w:space="0"/>
            </w:tcBorders>
            <w:vAlign w:val="center"/>
          </w:tcPr>
          <w:p>
            <w:pPr>
              <w:topLinePunct/>
              <w:adjustRightInd w:val="0"/>
              <w:snapToGrid w:val="0"/>
              <w:jc w:val="center"/>
              <w:rPr>
                <w:rFonts w:hint="eastAsia" w:ascii="仿宋_GB2312" w:hAnsi="宋体" w:eastAsia="仿宋_GB2312"/>
                <w:color w:val="auto"/>
                <w:kern w:val="0"/>
                <w:sz w:val="20"/>
                <w:szCs w:val="20"/>
              </w:rPr>
            </w:pPr>
          </w:p>
        </w:tc>
      </w:tr>
    </w:tbl>
    <w:p>
      <w:pPr>
        <w:topLinePunct/>
        <w:adjustRightInd w:val="0"/>
        <w:snapToGrid w:val="0"/>
        <w:jc w:val="left"/>
        <w:rPr>
          <w:rFonts w:ascii="Cambria Math" w:hAnsi="Cambria Math" w:cs="Cambria Math"/>
          <w:color w:val="auto"/>
          <w:sz w:val="20"/>
          <w:szCs w:val="20"/>
        </w:rPr>
      </w:pPr>
      <w:r>
        <w:rPr>
          <w:rFonts w:hint="eastAsia" w:ascii="仿宋" w:hAnsi="仿宋" w:eastAsia="仿宋"/>
          <w:color w:val="auto"/>
          <w:sz w:val="20"/>
          <w:szCs w:val="20"/>
        </w:rPr>
        <w:t>备</w:t>
      </w:r>
      <w:r>
        <w:rPr>
          <w:rFonts w:ascii="仿宋" w:hAnsi="仿宋" w:eastAsia="仿宋"/>
          <w:color w:val="auto"/>
          <w:sz w:val="20"/>
          <w:szCs w:val="20"/>
        </w:rPr>
        <w:t>注：</w:t>
      </w:r>
      <w:r>
        <w:rPr>
          <w:rFonts w:hint="eastAsia" w:ascii="仿宋" w:hAnsi="仿宋" w:eastAsia="仿宋"/>
          <w:color w:val="auto"/>
          <w:sz w:val="20"/>
          <w:szCs w:val="20"/>
        </w:rPr>
        <w:t>景观灯光无年度检测分，年度考核期间各季度考核分的算术平均值即为年度考核得分。</w:t>
      </w:r>
    </w:p>
    <w:p>
      <w:pPr>
        <w:topLinePunct/>
        <w:adjustRightInd w:val="0"/>
        <w:snapToGrid w:val="0"/>
        <w:spacing w:line="500" w:lineRule="exact"/>
        <w:ind w:firstLine="422" w:firstLineChars="200"/>
        <w:rPr>
          <w:rFonts w:hint="eastAsia" w:ascii="宋体" w:hAnsi="宋体"/>
          <w:b/>
          <w:bCs/>
          <w:color w:val="auto"/>
          <w:szCs w:val="21"/>
        </w:rPr>
      </w:pPr>
    </w:p>
    <w:p>
      <w:pPr>
        <w:widowControl/>
        <w:spacing w:line="500" w:lineRule="exact"/>
        <w:rPr>
          <w:rFonts w:hint="eastAsia" w:ascii="仿宋_GB2312" w:hAnsi="仿宋_GB2312" w:eastAsia="仿宋_GB2312"/>
          <w:color w:val="auto"/>
          <w:sz w:val="24"/>
        </w:rPr>
      </w:pPr>
    </w:p>
    <w:p>
      <w:pPr>
        <w:rPr>
          <w:rFonts w:hint="eastAsia" w:ascii="宋体" w:hAnsi="宋体" w:cs="宋体"/>
          <w:b/>
          <w:snapToGrid w:val="0"/>
          <w:color w:val="auto"/>
          <w:kern w:val="0"/>
          <w:szCs w:val="21"/>
        </w:rPr>
      </w:pPr>
      <w:r>
        <w:rPr>
          <w:color w:val="auto"/>
        </w:rPr>
        <w:br w:type="page"/>
      </w:r>
    </w:p>
    <w:p>
      <w:pPr>
        <w:topLinePunct/>
        <w:adjustRightInd w:val="0"/>
        <w:snapToGrid w:val="0"/>
        <w:spacing w:line="360" w:lineRule="auto"/>
        <w:jc w:val="left"/>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附件二：养护运维工作量清单（另行提供）</w:t>
      </w:r>
    </w:p>
    <w:p>
      <w:pPr>
        <w:topLinePunct/>
        <w:adjustRightInd w:val="0"/>
        <w:snapToGrid w:val="0"/>
        <w:spacing w:line="360" w:lineRule="auto"/>
        <w:jc w:val="left"/>
        <w:rPr>
          <w:rFonts w:hint="eastAsia" w:ascii="宋体" w:hAnsi="宋体" w:cs="宋体"/>
          <w:b/>
          <w:bCs/>
          <w:snapToGrid w:val="0"/>
          <w:color w:val="auto"/>
          <w:kern w:val="0"/>
          <w:szCs w:val="21"/>
        </w:rPr>
      </w:pPr>
    </w:p>
    <w:p>
      <w:pPr>
        <w:topLinePunct/>
        <w:adjustRightInd w:val="0"/>
        <w:snapToGrid w:val="0"/>
        <w:spacing w:line="360" w:lineRule="auto"/>
        <w:jc w:val="left"/>
        <w:rPr>
          <w:rFonts w:hint="eastAsia" w:ascii="宋体" w:hAnsi="宋体" w:cs="宋体"/>
          <w:b/>
          <w:bCs/>
          <w:snapToGrid w:val="0"/>
          <w:color w:val="auto"/>
          <w:kern w:val="0"/>
          <w:szCs w:val="21"/>
        </w:rPr>
      </w:pPr>
    </w:p>
    <w:p>
      <w:pPr>
        <w:topLinePunct/>
        <w:adjustRightInd w:val="0"/>
        <w:snapToGrid w:val="0"/>
        <w:spacing w:before="120" w:beforeLines="50" w:line="360" w:lineRule="auto"/>
        <w:jc w:val="left"/>
        <w:outlineLvl w:val="0"/>
        <w:rPr>
          <w:rFonts w:hint="eastAsia" w:ascii="宋体" w:hAnsi="宋体" w:cs="宋体"/>
          <w:b/>
          <w:snapToGrid w:val="0"/>
          <w:color w:val="auto"/>
          <w:kern w:val="0"/>
          <w:szCs w:val="21"/>
        </w:rPr>
      </w:pPr>
      <w:r>
        <w:rPr>
          <w:rFonts w:hint="eastAsia" w:ascii="宋体" w:hAnsi="宋体" w:cs="宋体"/>
          <w:b/>
          <w:snapToGrid w:val="0"/>
          <w:color w:val="auto"/>
          <w:kern w:val="0"/>
          <w:szCs w:val="21"/>
        </w:rPr>
        <w:t>附件三：设施设备量清单（另行提供）</w:t>
      </w:r>
    </w:p>
    <w:p>
      <w:pPr>
        <w:topLinePunct/>
        <w:adjustRightInd w:val="0"/>
        <w:snapToGrid w:val="0"/>
        <w:spacing w:line="360" w:lineRule="auto"/>
        <w:jc w:val="left"/>
        <w:rPr>
          <w:rFonts w:hint="eastAsia" w:ascii="宋体" w:hAnsi="宋体" w:cs="宋体"/>
          <w:b/>
          <w:bCs/>
          <w:snapToGrid w:val="0"/>
          <w:color w:val="auto"/>
          <w:kern w:val="0"/>
          <w:szCs w:val="21"/>
        </w:rPr>
      </w:pPr>
    </w:p>
    <w:p>
      <w:pPr>
        <w:topLinePunct/>
        <w:adjustRightInd w:val="0"/>
        <w:snapToGrid w:val="0"/>
        <w:spacing w:line="360" w:lineRule="auto"/>
        <w:jc w:val="left"/>
        <w:rPr>
          <w:rFonts w:hint="eastAsia" w:ascii="宋体" w:hAnsi="宋体" w:cs="宋体"/>
          <w:b/>
          <w:bCs/>
          <w:snapToGrid w:val="0"/>
          <w:color w:val="auto"/>
          <w:kern w:val="0"/>
          <w:szCs w:val="21"/>
        </w:rPr>
      </w:pPr>
    </w:p>
    <w:sectPr>
      <w:footerReference r:id="rId3" w:type="even"/>
      <w:pgSz w:w="11906" w:h="16838"/>
      <w:pgMar w:top="1304" w:right="1361" w:bottom="1304" w:left="136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1F00FF" w:csb1="FFFF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隶书">
    <w:altName w:val="Arial Unicode MS"/>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Verdana">
    <w:altName w:val="Indeal Pro 1.23"/>
    <w:panose1 w:val="020B0604030504040204"/>
    <w:charset w:val="00"/>
    <w:family w:val="swiss"/>
    <w:pitch w:val="default"/>
    <w:sig w:usb0="00000000" w:usb1="00000000" w:usb2="00000010" w:usb3="00000000" w:csb0="0000019F" w:csb1="00000000"/>
  </w:font>
  <w:font w:name="Indeal Pro 1.23">
    <w:panose1 w:val="020B0604030504040204"/>
    <w:charset w:val="00"/>
    <w:family w:val="auto"/>
    <w:pitch w:val="default"/>
    <w:sig w:usb0="00000287" w:usb1="00000000" w:usb2="00000000" w:usb3="00000000" w:csb0="2000019F" w:csb1="00000000"/>
  </w:font>
  <w:font w:name="Arial Narrow">
    <w:panose1 w:val="020B0606020202030204"/>
    <w:charset w:val="00"/>
    <w:family w:val="swiss"/>
    <w:pitch w:val="default"/>
    <w:sig w:usb0="00000287" w:usb1="00000800" w:usb2="00000000" w:usb3="00000000" w:csb0="2000009F" w:csb1="DFD70000"/>
  </w:font>
  <w:font w:name="Tahoma">
    <w:altName w:val="DejaVu Sans"/>
    <w:panose1 w:val="020B0604030504040204"/>
    <w:charset w:val="00"/>
    <w:family w:val="swiss"/>
    <w:pitch w:val="default"/>
    <w:sig w:usb0="00000000" w:usb1="00000000" w:usb2="00000029" w:usb3="00000000" w:csb0="000101FF"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0F3C52" w:usb2="00000016" w:usb3="00000000" w:csb0="0004001F" w:csb1="00000000"/>
  </w:font>
  <w:font w:name="Cambria Math">
    <w:panose1 w:val="02040503050406030204"/>
    <w:charset w:val="00"/>
    <w:family w:val="roman"/>
    <w:pitch w:val="default"/>
    <w:sig w:usb0="A00002EF" w:usb1="420020EB" w:usb2="00000000" w:usb3="00000000" w:csb0="2000009F" w:csb1="00000000"/>
  </w:font>
  <w:font w:name="仿宋">
    <w:panose1 w:val="02010609060101010101"/>
    <w:charset w:val="86"/>
    <w:family w:val="modern"/>
    <w:pitch w:val="default"/>
    <w:sig w:usb0="800002BF" w:usb1="38CF7CFA" w:usb2="00000016" w:usb3="00000000" w:csb0="00040001" w:csb1="00000000"/>
  </w:font>
  <w:font w:name="Yu Mincho">
    <w:altName w:val="Arial Unicode MS"/>
    <w:panose1 w:val="00000000000000000000"/>
    <w:charset w:val="80"/>
    <w:family w:val="roman"/>
    <w:pitch w:val="default"/>
    <w:sig w:usb0="00000000" w:usb1="0000000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uto" w:vAnchor="text" w:hAnchor="margin" w:xAlign="center" w:y="1"/>
      <w:rPr>
        <w:rStyle w:val="42"/>
      </w:rPr>
    </w:pPr>
    <w:r>
      <w:rPr>
        <w:rStyle w:val="42"/>
      </w:rPr>
      <w:fldChar w:fldCharType="begin"/>
    </w:r>
    <w:r>
      <w:rPr>
        <w:rStyle w:val="42"/>
      </w:rPr>
      <w:instrText xml:space="preserve"> PAGE </w:instrText>
    </w:r>
    <w:r>
      <w:rPr>
        <w:rStyle w:val="42"/>
      </w:rPr>
      <w:fldChar w:fldCharType="separate"/>
    </w:r>
    <w:r>
      <w:rPr>
        <w:rStyle w:val="42"/>
      </w:rPr>
      <w:t>1</w:t>
    </w:r>
    <w:r>
      <w:rPr>
        <w:rStyle w:val="42"/>
      </w:rPr>
      <w:fldChar w:fldCharType="end"/>
    </w:r>
  </w:p>
  <w:p>
    <w:pPr>
      <w:pStyle w:val="2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2"/>
      <w:numFmt w:val="decimal"/>
      <w:lvlText w:val="%1"/>
      <w:lvlJc w:val="left"/>
      <w:pPr>
        <w:tabs>
          <w:tab w:val="left" w:pos="425"/>
        </w:tabs>
        <w:ind w:left="425" w:hanging="425"/>
      </w:pPr>
    </w:lvl>
    <w:lvl w:ilvl="1" w:tentative="0">
      <w:start w:val="2"/>
      <w:numFmt w:val="decimal"/>
      <w:lvlText w:val="%1.%2"/>
      <w:lvlJc w:val="left"/>
      <w:pPr>
        <w:tabs>
          <w:tab w:val="left" w:pos="992"/>
        </w:tabs>
        <w:ind w:left="992" w:hanging="567"/>
      </w:pPr>
    </w:lvl>
    <w:lvl w:ilvl="2" w:tentative="0">
      <w:start w:val="1"/>
      <w:numFmt w:val="decimal"/>
      <w:lvlText w:val="%1.%2.%3"/>
      <w:lvlJc w:val="left"/>
      <w:pPr>
        <w:tabs>
          <w:tab w:val="left" w:pos="1571"/>
        </w:tabs>
        <w:ind w:left="1418" w:hanging="567"/>
      </w:pPr>
    </w:lvl>
    <w:lvl w:ilvl="3" w:tentative="0">
      <w:start w:val="1"/>
      <w:numFmt w:val="decimal"/>
      <w:pStyle w:val="5"/>
      <w:lvlText w:val="%1.%2.%3.%4"/>
      <w:lvlJc w:val="left"/>
      <w:pPr>
        <w:tabs>
          <w:tab w:val="left" w:pos="2356"/>
        </w:tabs>
        <w:ind w:left="1984" w:hanging="708"/>
      </w:pPr>
    </w:lvl>
    <w:lvl w:ilvl="4" w:tentative="0">
      <w:start w:val="1"/>
      <w:numFmt w:val="decimal"/>
      <w:lvlText w:val="%1.%2.%3.%4.%5"/>
      <w:lvlJc w:val="left"/>
      <w:pPr>
        <w:tabs>
          <w:tab w:val="left" w:pos="3141"/>
        </w:tabs>
        <w:ind w:left="2551" w:hanging="850"/>
      </w:pPr>
    </w:lvl>
    <w:lvl w:ilvl="5" w:tentative="0">
      <w:start w:val="1"/>
      <w:numFmt w:val="decimal"/>
      <w:lvlText w:val="%1.%2.%3.%4.%5.%6"/>
      <w:lvlJc w:val="left"/>
      <w:pPr>
        <w:tabs>
          <w:tab w:val="left" w:pos="3926"/>
        </w:tabs>
        <w:ind w:left="3260" w:hanging="1134"/>
      </w:pPr>
    </w:lvl>
    <w:lvl w:ilvl="6" w:tentative="0">
      <w:start w:val="1"/>
      <w:numFmt w:val="decimal"/>
      <w:lvlText w:val="%1.%2.%3.%4.%5.%6.%7"/>
      <w:lvlJc w:val="left"/>
      <w:pPr>
        <w:tabs>
          <w:tab w:val="left" w:pos="4711"/>
        </w:tabs>
        <w:ind w:left="3827" w:hanging="1276"/>
      </w:pPr>
    </w:lvl>
    <w:lvl w:ilvl="7" w:tentative="0">
      <w:start w:val="1"/>
      <w:numFmt w:val="decimal"/>
      <w:lvlText w:val="%1.%2.%3.%4.%5.%6.%7.%8"/>
      <w:lvlJc w:val="left"/>
      <w:pPr>
        <w:tabs>
          <w:tab w:val="left" w:pos="5136"/>
        </w:tabs>
        <w:ind w:left="4394" w:hanging="1418"/>
      </w:pPr>
    </w:lvl>
    <w:lvl w:ilvl="8" w:tentative="0">
      <w:start w:val="1"/>
      <w:numFmt w:val="decimal"/>
      <w:lvlText w:val="%1.%2.%3.%4.%5.%6.%7.%8.%9"/>
      <w:lvlJc w:val="left"/>
      <w:pPr>
        <w:tabs>
          <w:tab w:val="left" w:pos="5922"/>
        </w:tabs>
        <w:ind w:left="5102" w:hanging="1700"/>
      </w:pPr>
    </w:lvl>
  </w:abstractNum>
  <w:abstractNum w:abstractNumId="1">
    <w:nsid w:val="07938C92"/>
    <w:multiLevelType w:val="singleLevel"/>
    <w:tmpl w:val="07938C92"/>
    <w:lvl w:ilvl="0" w:tentative="0">
      <w:start w:val="2"/>
      <w:numFmt w:val="chineseCounting"/>
      <w:suff w:val="nothing"/>
      <w:lvlText w:val="（%1）"/>
      <w:lvlJc w:val="left"/>
      <w:rPr>
        <w:rFonts w:hint="eastAsia"/>
      </w:rPr>
    </w:lvl>
  </w:abstractNum>
  <w:abstractNum w:abstractNumId="2">
    <w:nsid w:val="11C27D60"/>
    <w:multiLevelType w:val="multilevel"/>
    <w:tmpl w:val="11C27D60"/>
    <w:lvl w:ilvl="0" w:tentative="0">
      <w:start w:val="1"/>
      <w:numFmt w:val="japaneseCounting"/>
      <w:lvlText w:val="第%1条"/>
      <w:lvlJc w:val="left"/>
      <w:pPr>
        <w:ind w:left="1110" w:hanging="11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A390176"/>
    <w:multiLevelType w:val="multilevel"/>
    <w:tmpl w:val="2A390176"/>
    <w:lvl w:ilvl="0" w:tentative="0">
      <w:start w:val="1"/>
      <w:numFmt w:val="decimal"/>
      <w:lvlText w:val="%1"/>
      <w:lvlJc w:val="center"/>
      <w:pPr>
        <w:ind w:left="440" w:hanging="152"/>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0AB4ADA"/>
    <w:multiLevelType w:val="multilevel"/>
    <w:tmpl w:val="30AB4ADA"/>
    <w:lvl w:ilvl="0" w:tentative="0">
      <w:start w:val="1"/>
      <w:numFmt w:val="decimal"/>
      <w:lvlText w:val="(%1)"/>
      <w:lvlJc w:val="left"/>
      <w:pPr>
        <w:tabs>
          <w:tab w:val="left" w:pos="845"/>
        </w:tabs>
        <w:ind w:left="845"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262"/>
      <w:lvlText w:val="%3."/>
      <w:lvlJc w:val="right"/>
      <w:pPr>
        <w:tabs>
          <w:tab w:val="left" w:pos="1260"/>
        </w:tabs>
        <w:ind w:left="1260" w:hanging="420"/>
      </w:pPr>
    </w:lvl>
    <w:lvl w:ilvl="3" w:tentative="0">
      <w:start w:val="1"/>
      <w:numFmt w:val="decimal"/>
      <w:pStyle w:val="350"/>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BB747D5"/>
    <w:multiLevelType w:val="multilevel"/>
    <w:tmpl w:val="5BB747D5"/>
    <w:lvl w:ilvl="0" w:tentative="0">
      <w:start w:val="1"/>
      <w:numFmt w:val="japaneseCounting"/>
      <w:lvlText w:val="第%1章"/>
      <w:lvlJc w:val="left"/>
      <w:pPr>
        <w:ind w:left="1792" w:hanging="123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6">
    <w:nsid w:val="5BD83592"/>
    <w:multiLevelType w:val="multilevel"/>
    <w:tmpl w:val="5BD83592"/>
    <w:lvl w:ilvl="0" w:tentative="0">
      <w:start w:val="1"/>
      <w:numFmt w:val="japaneseCounting"/>
      <w:lvlText w:val="%1、"/>
      <w:lvlJc w:val="left"/>
      <w:pPr>
        <w:ind w:left="400" w:hanging="400"/>
      </w:pPr>
      <w:rPr>
        <w:rFonts w:hint="default" w:ascii="宋体" w:hAnsi="宋体" w:eastAsia="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hNDdmMzQzYWExNmEwM2FhZmY1ZWU5MjI3YjUwOGQifQ=="/>
    <w:docVar w:name="KSO_WPS_MARK_KEY" w:val="c3fb30f2-d639-4644-91b7-cea44f77d85f"/>
  </w:docVars>
  <w:rsids>
    <w:rsidRoot w:val="009F3C28"/>
    <w:rsid w:val="00003AAF"/>
    <w:rsid w:val="000052D3"/>
    <w:rsid w:val="00006966"/>
    <w:rsid w:val="00007FD9"/>
    <w:rsid w:val="00010FB6"/>
    <w:rsid w:val="000135FD"/>
    <w:rsid w:val="0001468D"/>
    <w:rsid w:val="00015B86"/>
    <w:rsid w:val="0002337F"/>
    <w:rsid w:val="00024418"/>
    <w:rsid w:val="000246E9"/>
    <w:rsid w:val="00024D5F"/>
    <w:rsid w:val="00037134"/>
    <w:rsid w:val="000436D0"/>
    <w:rsid w:val="0004389B"/>
    <w:rsid w:val="00045BA2"/>
    <w:rsid w:val="00050D89"/>
    <w:rsid w:val="00051475"/>
    <w:rsid w:val="00052D45"/>
    <w:rsid w:val="00057228"/>
    <w:rsid w:val="00060837"/>
    <w:rsid w:val="000626C7"/>
    <w:rsid w:val="00066E2B"/>
    <w:rsid w:val="0007008F"/>
    <w:rsid w:val="000761D2"/>
    <w:rsid w:val="0007674C"/>
    <w:rsid w:val="00083AC4"/>
    <w:rsid w:val="000936B8"/>
    <w:rsid w:val="00094A94"/>
    <w:rsid w:val="00095FB2"/>
    <w:rsid w:val="00096B0B"/>
    <w:rsid w:val="000976C7"/>
    <w:rsid w:val="000A268E"/>
    <w:rsid w:val="000A3D7D"/>
    <w:rsid w:val="000A62CA"/>
    <w:rsid w:val="000B0B65"/>
    <w:rsid w:val="000B28A5"/>
    <w:rsid w:val="000C298D"/>
    <w:rsid w:val="000C6376"/>
    <w:rsid w:val="000D5609"/>
    <w:rsid w:val="000D7D2E"/>
    <w:rsid w:val="000E376E"/>
    <w:rsid w:val="000E509F"/>
    <w:rsid w:val="000E773C"/>
    <w:rsid w:val="000F0BB0"/>
    <w:rsid w:val="000F2C80"/>
    <w:rsid w:val="000F4839"/>
    <w:rsid w:val="000F6FC3"/>
    <w:rsid w:val="00106A29"/>
    <w:rsid w:val="0011052E"/>
    <w:rsid w:val="00116153"/>
    <w:rsid w:val="00123028"/>
    <w:rsid w:val="001275ED"/>
    <w:rsid w:val="001305F1"/>
    <w:rsid w:val="001310BB"/>
    <w:rsid w:val="00135FE8"/>
    <w:rsid w:val="001372AC"/>
    <w:rsid w:val="0014093B"/>
    <w:rsid w:val="00141D71"/>
    <w:rsid w:val="00142C6B"/>
    <w:rsid w:val="00143716"/>
    <w:rsid w:val="001447B1"/>
    <w:rsid w:val="001449EA"/>
    <w:rsid w:val="0015057E"/>
    <w:rsid w:val="00152356"/>
    <w:rsid w:val="00166C4D"/>
    <w:rsid w:val="001710A2"/>
    <w:rsid w:val="00176013"/>
    <w:rsid w:val="00177E11"/>
    <w:rsid w:val="001802B9"/>
    <w:rsid w:val="00181507"/>
    <w:rsid w:val="00185094"/>
    <w:rsid w:val="00187D5D"/>
    <w:rsid w:val="00187F60"/>
    <w:rsid w:val="001951A0"/>
    <w:rsid w:val="00195BE9"/>
    <w:rsid w:val="00196495"/>
    <w:rsid w:val="001A0FDA"/>
    <w:rsid w:val="001A58CD"/>
    <w:rsid w:val="001A664E"/>
    <w:rsid w:val="001A7436"/>
    <w:rsid w:val="001B2D72"/>
    <w:rsid w:val="001B6002"/>
    <w:rsid w:val="001C0E11"/>
    <w:rsid w:val="001C45A8"/>
    <w:rsid w:val="001C4D9A"/>
    <w:rsid w:val="001D1D5B"/>
    <w:rsid w:val="001D3E8D"/>
    <w:rsid w:val="001D4B7A"/>
    <w:rsid w:val="001D56DF"/>
    <w:rsid w:val="001D63EF"/>
    <w:rsid w:val="001E0F87"/>
    <w:rsid w:val="001E1595"/>
    <w:rsid w:val="001E2CF5"/>
    <w:rsid w:val="001E2E56"/>
    <w:rsid w:val="001F2214"/>
    <w:rsid w:val="00200FFE"/>
    <w:rsid w:val="0020493A"/>
    <w:rsid w:val="0021183D"/>
    <w:rsid w:val="002136BF"/>
    <w:rsid w:val="00215316"/>
    <w:rsid w:val="002176C5"/>
    <w:rsid w:val="00230DB5"/>
    <w:rsid w:val="0023150A"/>
    <w:rsid w:val="002360E6"/>
    <w:rsid w:val="00236AFB"/>
    <w:rsid w:val="00240224"/>
    <w:rsid w:val="0024229C"/>
    <w:rsid w:val="00242EFB"/>
    <w:rsid w:val="002456DC"/>
    <w:rsid w:val="002523E6"/>
    <w:rsid w:val="00252B07"/>
    <w:rsid w:val="00253CEE"/>
    <w:rsid w:val="0026263F"/>
    <w:rsid w:val="00277930"/>
    <w:rsid w:val="0028076D"/>
    <w:rsid w:val="00285430"/>
    <w:rsid w:val="002905E6"/>
    <w:rsid w:val="00292367"/>
    <w:rsid w:val="002934FB"/>
    <w:rsid w:val="00294298"/>
    <w:rsid w:val="0029496C"/>
    <w:rsid w:val="00297599"/>
    <w:rsid w:val="002A3186"/>
    <w:rsid w:val="002A32FE"/>
    <w:rsid w:val="002A65A2"/>
    <w:rsid w:val="002B7449"/>
    <w:rsid w:val="002C3370"/>
    <w:rsid w:val="002C6534"/>
    <w:rsid w:val="002D04AB"/>
    <w:rsid w:val="002D12A2"/>
    <w:rsid w:val="002D1A15"/>
    <w:rsid w:val="002E1229"/>
    <w:rsid w:val="002E1F46"/>
    <w:rsid w:val="002E2C8D"/>
    <w:rsid w:val="002E3241"/>
    <w:rsid w:val="002F0CBE"/>
    <w:rsid w:val="002F35BD"/>
    <w:rsid w:val="002F3F69"/>
    <w:rsid w:val="002F784A"/>
    <w:rsid w:val="00300072"/>
    <w:rsid w:val="00300154"/>
    <w:rsid w:val="00302DC1"/>
    <w:rsid w:val="00303F28"/>
    <w:rsid w:val="00305FDC"/>
    <w:rsid w:val="00311F54"/>
    <w:rsid w:val="0031251C"/>
    <w:rsid w:val="00313D9D"/>
    <w:rsid w:val="00320659"/>
    <w:rsid w:val="00330E07"/>
    <w:rsid w:val="00331642"/>
    <w:rsid w:val="003330E6"/>
    <w:rsid w:val="003357E9"/>
    <w:rsid w:val="003363CE"/>
    <w:rsid w:val="00340409"/>
    <w:rsid w:val="0034219B"/>
    <w:rsid w:val="00342432"/>
    <w:rsid w:val="00344305"/>
    <w:rsid w:val="0034614C"/>
    <w:rsid w:val="003479E3"/>
    <w:rsid w:val="00350CB3"/>
    <w:rsid w:val="00360110"/>
    <w:rsid w:val="0036520C"/>
    <w:rsid w:val="0036724B"/>
    <w:rsid w:val="00374E55"/>
    <w:rsid w:val="00374EBC"/>
    <w:rsid w:val="0037579D"/>
    <w:rsid w:val="003860CD"/>
    <w:rsid w:val="00386895"/>
    <w:rsid w:val="00392151"/>
    <w:rsid w:val="00393839"/>
    <w:rsid w:val="00396142"/>
    <w:rsid w:val="003A27D9"/>
    <w:rsid w:val="003A4BBF"/>
    <w:rsid w:val="003A759C"/>
    <w:rsid w:val="003B2F6B"/>
    <w:rsid w:val="003B3450"/>
    <w:rsid w:val="003C1743"/>
    <w:rsid w:val="003C4A05"/>
    <w:rsid w:val="003C653A"/>
    <w:rsid w:val="003C6BCB"/>
    <w:rsid w:val="003C6DED"/>
    <w:rsid w:val="003D116B"/>
    <w:rsid w:val="003D1266"/>
    <w:rsid w:val="003D57D2"/>
    <w:rsid w:val="003D7BCF"/>
    <w:rsid w:val="003E3567"/>
    <w:rsid w:val="003E4692"/>
    <w:rsid w:val="003E51DC"/>
    <w:rsid w:val="003F1DAE"/>
    <w:rsid w:val="003F213B"/>
    <w:rsid w:val="003F4AD7"/>
    <w:rsid w:val="00403F07"/>
    <w:rsid w:val="00410439"/>
    <w:rsid w:val="00411AB7"/>
    <w:rsid w:val="00417024"/>
    <w:rsid w:val="004244F3"/>
    <w:rsid w:val="00425C5C"/>
    <w:rsid w:val="00425FD8"/>
    <w:rsid w:val="00430E52"/>
    <w:rsid w:val="00432497"/>
    <w:rsid w:val="0043557E"/>
    <w:rsid w:val="00435758"/>
    <w:rsid w:val="00437BB7"/>
    <w:rsid w:val="004405B5"/>
    <w:rsid w:val="00443B6F"/>
    <w:rsid w:val="00444095"/>
    <w:rsid w:val="00446B1A"/>
    <w:rsid w:val="00452D91"/>
    <w:rsid w:val="0045381B"/>
    <w:rsid w:val="00454696"/>
    <w:rsid w:val="00454D5C"/>
    <w:rsid w:val="00457BFD"/>
    <w:rsid w:val="00457CE5"/>
    <w:rsid w:val="00460D44"/>
    <w:rsid w:val="0046138B"/>
    <w:rsid w:val="00462131"/>
    <w:rsid w:val="00463044"/>
    <w:rsid w:val="00466AA0"/>
    <w:rsid w:val="0047104D"/>
    <w:rsid w:val="00471340"/>
    <w:rsid w:val="00475E2B"/>
    <w:rsid w:val="0048304D"/>
    <w:rsid w:val="004849B8"/>
    <w:rsid w:val="00486928"/>
    <w:rsid w:val="00491AEF"/>
    <w:rsid w:val="00494CAE"/>
    <w:rsid w:val="004A1718"/>
    <w:rsid w:val="004A1DAA"/>
    <w:rsid w:val="004A510C"/>
    <w:rsid w:val="004A5228"/>
    <w:rsid w:val="004A5AF8"/>
    <w:rsid w:val="004A7C9C"/>
    <w:rsid w:val="004B7956"/>
    <w:rsid w:val="004C47C0"/>
    <w:rsid w:val="004C5EE1"/>
    <w:rsid w:val="004D31C1"/>
    <w:rsid w:val="004D3BB9"/>
    <w:rsid w:val="004D5270"/>
    <w:rsid w:val="004D52D3"/>
    <w:rsid w:val="004E183B"/>
    <w:rsid w:val="004E2B31"/>
    <w:rsid w:val="004E4CC3"/>
    <w:rsid w:val="004F122B"/>
    <w:rsid w:val="004F17BE"/>
    <w:rsid w:val="00500F72"/>
    <w:rsid w:val="00504D3E"/>
    <w:rsid w:val="00507B8F"/>
    <w:rsid w:val="00510410"/>
    <w:rsid w:val="00510768"/>
    <w:rsid w:val="00512021"/>
    <w:rsid w:val="00515141"/>
    <w:rsid w:val="00517A28"/>
    <w:rsid w:val="0052159D"/>
    <w:rsid w:val="00522DB7"/>
    <w:rsid w:val="00523927"/>
    <w:rsid w:val="00523DDA"/>
    <w:rsid w:val="00525CD5"/>
    <w:rsid w:val="0052753F"/>
    <w:rsid w:val="00530F7C"/>
    <w:rsid w:val="0053342A"/>
    <w:rsid w:val="00534985"/>
    <w:rsid w:val="00537C6C"/>
    <w:rsid w:val="005409DE"/>
    <w:rsid w:val="00547F4A"/>
    <w:rsid w:val="00550361"/>
    <w:rsid w:val="005527E1"/>
    <w:rsid w:val="00552FC8"/>
    <w:rsid w:val="00553E65"/>
    <w:rsid w:val="00554EBC"/>
    <w:rsid w:val="00555465"/>
    <w:rsid w:val="0055604A"/>
    <w:rsid w:val="0056391F"/>
    <w:rsid w:val="00564243"/>
    <w:rsid w:val="00564B27"/>
    <w:rsid w:val="005722CF"/>
    <w:rsid w:val="005737D1"/>
    <w:rsid w:val="00573E35"/>
    <w:rsid w:val="005837E1"/>
    <w:rsid w:val="005858DE"/>
    <w:rsid w:val="00586D0C"/>
    <w:rsid w:val="00592988"/>
    <w:rsid w:val="0059404F"/>
    <w:rsid w:val="0059765C"/>
    <w:rsid w:val="005A5AE8"/>
    <w:rsid w:val="005A7430"/>
    <w:rsid w:val="005B1BA0"/>
    <w:rsid w:val="005B1F4D"/>
    <w:rsid w:val="005B3EB6"/>
    <w:rsid w:val="005B6488"/>
    <w:rsid w:val="005C31B4"/>
    <w:rsid w:val="005D2F0E"/>
    <w:rsid w:val="005D6C37"/>
    <w:rsid w:val="005E25FB"/>
    <w:rsid w:val="005E560D"/>
    <w:rsid w:val="005F112F"/>
    <w:rsid w:val="005F12B5"/>
    <w:rsid w:val="005F510F"/>
    <w:rsid w:val="005F662E"/>
    <w:rsid w:val="005F6CEE"/>
    <w:rsid w:val="005F7DCA"/>
    <w:rsid w:val="00604207"/>
    <w:rsid w:val="00606325"/>
    <w:rsid w:val="00617321"/>
    <w:rsid w:val="00617E3B"/>
    <w:rsid w:val="00620ED5"/>
    <w:rsid w:val="006254A8"/>
    <w:rsid w:val="006255FB"/>
    <w:rsid w:val="00625A9A"/>
    <w:rsid w:val="00626F3A"/>
    <w:rsid w:val="006279DC"/>
    <w:rsid w:val="00630F54"/>
    <w:rsid w:val="00634A76"/>
    <w:rsid w:val="0063530D"/>
    <w:rsid w:val="00635F30"/>
    <w:rsid w:val="00640133"/>
    <w:rsid w:val="00641C95"/>
    <w:rsid w:val="00642A6F"/>
    <w:rsid w:val="00643D77"/>
    <w:rsid w:val="00645FE8"/>
    <w:rsid w:val="00646567"/>
    <w:rsid w:val="00650766"/>
    <w:rsid w:val="00656C24"/>
    <w:rsid w:val="00656EF1"/>
    <w:rsid w:val="0065760C"/>
    <w:rsid w:val="00660273"/>
    <w:rsid w:val="00663622"/>
    <w:rsid w:val="0066512B"/>
    <w:rsid w:val="00665CF4"/>
    <w:rsid w:val="00665DE5"/>
    <w:rsid w:val="00666BD0"/>
    <w:rsid w:val="00671592"/>
    <w:rsid w:val="00671C75"/>
    <w:rsid w:val="00674C76"/>
    <w:rsid w:val="00680B24"/>
    <w:rsid w:val="00681E00"/>
    <w:rsid w:val="00682347"/>
    <w:rsid w:val="006835EB"/>
    <w:rsid w:val="00684012"/>
    <w:rsid w:val="00684CBC"/>
    <w:rsid w:val="00684D97"/>
    <w:rsid w:val="006957A8"/>
    <w:rsid w:val="00697246"/>
    <w:rsid w:val="006A459D"/>
    <w:rsid w:val="006A4A57"/>
    <w:rsid w:val="006A55B9"/>
    <w:rsid w:val="006B57A8"/>
    <w:rsid w:val="006B6B5A"/>
    <w:rsid w:val="006C05AA"/>
    <w:rsid w:val="006C1E3B"/>
    <w:rsid w:val="006C3A6A"/>
    <w:rsid w:val="006C409A"/>
    <w:rsid w:val="006D072A"/>
    <w:rsid w:val="006D488E"/>
    <w:rsid w:val="006E21B2"/>
    <w:rsid w:val="006F1489"/>
    <w:rsid w:val="006F4074"/>
    <w:rsid w:val="00700B37"/>
    <w:rsid w:val="00701589"/>
    <w:rsid w:val="00702CE0"/>
    <w:rsid w:val="00704FB1"/>
    <w:rsid w:val="007153A9"/>
    <w:rsid w:val="007248DA"/>
    <w:rsid w:val="00732202"/>
    <w:rsid w:val="00736292"/>
    <w:rsid w:val="0074061A"/>
    <w:rsid w:val="00746316"/>
    <w:rsid w:val="00750A30"/>
    <w:rsid w:val="00750B9A"/>
    <w:rsid w:val="00751E3E"/>
    <w:rsid w:val="00751F7F"/>
    <w:rsid w:val="00752981"/>
    <w:rsid w:val="007529FA"/>
    <w:rsid w:val="00753F9E"/>
    <w:rsid w:val="00756BC6"/>
    <w:rsid w:val="007619B5"/>
    <w:rsid w:val="00762D64"/>
    <w:rsid w:val="0077027D"/>
    <w:rsid w:val="007731B9"/>
    <w:rsid w:val="0077509E"/>
    <w:rsid w:val="00775203"/>
    <w:rsid w:val="00780935"/>
    <w:rsid w:val="00782078"/>
    <w:rsid w:val="0078380C"/>
    <w:rsid w:val="0078503F"/>
    <w:rsid w:val="00787419"/>
    <w:rsid w:val="007910F4"/>
    <w:rsid w:val="00791D08"/>
    <w:rsid w:val="007942A7"/>
    <w:rsid w:val="00795F3E"/>
    <w:rsid w:val="00797616"/>
    <w:rsid w:val="007A0D31"/>
    <w:rsid w:val="007A2CC3"/>
    <w:rsid w:val="007A31F7"/>
    <w:rsid w:val="007B51E1"/>
    <w:rsid w:val="007C2C6A"/>
    <w:rsid w:val="007C4556"/>
    <w:rsid w:val="007C4FCF"/>
    <w:rsid w:val="007D14AD"/>
    <w:rsid w:val="007D2B36"/>
    <w:rsid w:val="007D2FFD"/>
    <w:rsid w:val="007D690F"/>
    <w:rsid w:val="007D69D5"/>
    <w:rsid w:val="007E198C"/>
    <w:rsid w:val="007E2370"/>
    <w:rsid w:val="007E5723"/>
    <w:rsid w:val="007E77A1"/>
    <w:rsid w:val="007F380F"/>
    <w:rsid w:val="007F7B17"/>
    <w:rsid w:val="007F7EE9"/>
    <w:rsid w:val="008005CC"/>
    <w:rsid w:val="008062F9"/>
    <w:rsid w:val="00807790"/>
    <w:rsid w:val="00813A7A"/>
    <w:rsid w:val="00817A68"/>
    <w:rsid w:val="008229FA"/>
    <w:rsid w:val="0082543E"/>
    <w:rsid w:val="008279C3"/>
    <w:rsid w:val="00830FF5"/>
    <w:rsid w:val="008312DF"/>
    <w:rsid w:val="0083610A"/>
    <w:rsid w:val="008437E6"/>
    <w:rsid w:val="0085320D"/>
    <w:rsid w:val="00855028"/>
    <w:rsid w:val="00857B24"/>
    <w:rsid w:val="008614AC"/>
    <w:rsid w:val="00862B81"/>
    <w:rsid w:val="008643D5"/>
    <w:rsid w:val="00864810"/>
    <w:rsid w:val="00865CE0"/>
    <w:rsid w:val="00870323"/>
    <w:rsid w:val="008716F7"/>
    <w:rsid w:val="00872C28"/>
    <w:rsid w:val="00873B12"/>
    <w:rsid w:val="008747A3"/>
    <w:rsid w:val="00874B8F"/>
    <w:rsid w:val="008757AA"/>
    <w:rsid w:val="00875BA5"/>
    <w:rsid w:val="0087723A"/>
    <w:rsid w:val="008773BA"/>
    <w:rsid w:val="00877404"/>
    <w:rsid w:val="00877E6E"/>
    <w:rsid w:val="0088111C"/>
    <w:rsid w:val="00881B4D"/>
    <w:rsid w:val="008832F5"/>
    <w:rsid w:val="00885370"/>
    <w:rsid w:val="008869D9"/>
    <w:rsid w:val="0089359D"/>
    <w:rsid w:val="008979BB"/>
    <w:rsid w:val="00897D65"/>
    <w:rsid w:val="00897D6B"/>
    <w:rsid w:val="008A2A06"/>
    <w:rsid w:val="008A3AAF"/>
    <w:rsid w:val="008A64FD"/>
    <w:rsid w:val="008B08DF"/>
    <w:rsid w:val="008B4E56"/>
    <w:rsid w:val="008B5A18"/>
    <w:rsid w:val="008C33EE"/>
    <w:rsid w:val="008C784A"/>
    <w:rsid w:val="008D1C22"/>
    <w:rsid w:val="008D5297"/>
    <w:rsid w:val="008D6F2A"/>
    <w:rsid w:val="008E3866"/>
    <w:rsid w:val="008E4102"/>
    <w:rsid w:val="008E4191"/>
    <w:rsid w:val="008E5C08"/>
    <w:rsid w:val="008E5D09"/>
    <w:rsid w:val="008E6832"/>
    <w:rsid w:val="008E78D9"/>
    <w:rsid w:val="008F1487"/>
    <w:rsid w:val="008F1ECC"/>
    <w:rsid w:val="008F3A19"/>
    <w:rsid w:val="00901A0A"/>
    <w:rsid w:val="009031D2"/>
    <w:rsid w:val="00905195"/>
    <w:rsid w:val="00906A75"/>
    <w:rsid w:val="00912E82"/>
    <w:rsid w:val="0091665D"/>
    <w:rsid w:val="00917682"/>
    <w:rsid w:val="00927344"/>
    <w:rsid w:val="00932151"/>
    <w:rsid w:val="00932DCD"/>
    <w:rsid w:val="00937E6B"/>
    <w:rsid w:val="009405F5"/>
    <w:rsid w:val="009408EF"/>
    <w:rsid w:val="00950367"/>
    <w:rsid w:val="00951E68"/>
    <w:rsid w:val="00955A59"/>
    <w:rsid w:val="00957312"/>
    <w:rsid w:val="00960B02"/>
    <w:rsid w:val="00961B27"/>
    <w:rsid w:val="00964C55"/>
    <w:rsid w:val="0097325F"/>
    <w:rsid w:val="00975D98"/>
    <w:rsid w:val="00976588"/>
    <w:rsid w:val="009806ED"/>
    <w:rsid w:val="0098588B"/>
    <w:rsid w:val="0098600C"/>
    <w:rsid w:val="00987171"/>
    <w:rsid w:val="00993C2D"/>
    <w:rsid w:val="009968A9"/>
    <w:rsid w:val="009A21DF"/>
    <w:rsid w:val="009A22C3"/>
    <w:rsid w:val="009B0639"/>
    <w:rsid w:val="009B19B1"/>
    <w:rsid w:val="009B3253"/>
    <w:rsid w:val="009C182C"/>
    <w:rsid w:val="009C4559"/>
    <w:rsid w:val="009C495A"/>
    <w:rsid w:val="009C55FC"/>
    <w:rsid w:val="009C5CDE"/>
    <w:rsid w:val="009C7BE6"/>
    <w:rsid w:val="009C7C8C"/>
    <w:rsid w:val="009D049C"/>
    <w:rsid w:val="009D3459"/>
    <w:rsid w:val="009D3F3E"/>
    <w:rsid w:val="009D4738"/>
    <w:rsid w:val="009E0C57"/>
    <w:rsid w:val="009E0D28"/>
    <w:rsid w:val="009E12C1"/>
    <w:rsid w:val="009E3191"/>
    <w:rsid w:val="009E4077"/>
    <w:rsid w:val="009E416F"/>
    <w:rsid w:val="009F095C"/>
    <w:rsid w:val="009F18CC"/>
    <w:rsid w:val="009F3C28"/>
    <w:rsid w:val="009F6B0E"/>
    <w:rsid w:val="009F751B"/>
    <w:rsid w:val="009F75E8"/>
    <w:rsid w:val="00A01113"/>
    <w:rsid w:val="00A04000"/>
    <w:rsid w:val="00A04C2F"/>
    <w:rsid w:val="00A04DFD"/>
    <w:rsid w:val="00A0517F"/>
    <w:rsid w:val="00A05BF9"/>
    <w:rsid w:val="00A060F3"/>
    <w:rsid w:val="00A100E9"/>
    <w:rsid w:val="00A14E89"/>
    <w:rsid w:val="00A166B6"/>
    <w:rsid w:val="00A170D1"/>
    <w:rsid w:val="00A22AC5"/>
    <w:rsid w:val="00A234A9"/>
    <w:rsid w:val="00A23B83"/>
    <w:rsid w:val="00A37E60"/>
    <w:rsid w:val="00A40E5F"/>
    <w:rsid w:val="00A43540"/>
    <w:rsid w:val="00A443D7"/>
    <w:rsid w:val="00A462EC"/>
    <w:rsid w:val="00A51180"/>
    <w:rsid w:val="00A57519"/>
    <w:rsid w:val="00A627FA"/>
    <w:rsid w:val="00A674C0"/>
    <w:rsid w:val="00A7041A"/>
    <w:rsid w:val="00A75EFA"/>
    <w:rsid w:val="00A830B1"/>
    <w:rsid w:val="00A85AF3"/>
    <w:rsid w:val="00A86D5B"/>
    <w:rsid w:val="00A91705"/>
    <w:rsid w:val="00A97073"/>
    <w:rsid w:val="00AA0625"/>
    <w:rsid w:val="00AA1172"/>
    <w:rsid w:val="00AA1B68"/>
    <w:rsid w:val="00AA23F9"/>
    <w:rsid w:val="00AA2886"/>
    <w:rsid w:val="00AA4A89"/>
    <w:rsid w:val="00AA5A0A"/>
    <w:rsid w:val="00AB1123"/>
    <w:rsid w:val="00AB2405"/>
    <w:rsid w:val="00AB2912"/>
    <w:rsid w:val="00AB4F7A"/>
    <w:rsid w:val="00AB7FC5"/>
    <w:rsid w:val="00AC19D2"/>
    <w:rsid w:val="00AC1A3E"/>
    <w:rsid w:val="00AC306A"/>
    <w:rsid w:val="00AC4B80"/>
    <w:rsid w:val="00AC770C"/>
    <w:rsid w:val="00AD25F9"/>
    <w:rsid w:val="00AD356C"/>
    <w:rsid w:val="00AD6458"/>
    <w:rsid w:val="00AE0150"/>
    <w:rsid w:val="00AE133D"/>
    <w:rsid w:val="00AE1BC8"/>
    <w:rsid w:val="00AE2A1B"/>
    <w:rsid w:val="00AE2D6B"/>
    <w:rsid w:val="00AE3A16"/>
    <w:rsid w:val="00AE4E58"/>
    <w:rsid w:val="00AF027C"/>
    <w:rsid w:val="00AF24C3"/>
    <w:rsid w:val="00AF31E7"/>
    <w:rsid w:val="00AF5F8C"/>
    <w:rsid w:val="00AF6231"/>
    <w:rsid w:val="00B0489D"/>
    <w:rsid w:val="00B04AE7"/>
    <w:rsid w:val="00B04FDA"/>
    <w:rsid w:val="00B15151"/>
    <w:rsid w:val="00B20512"/>
    <w:rsid w:val="00B220B8"/>
    <w:rsid w:val="00B23A7D"/>
    <w:rsid w:val="00B24FAD"/>
    <w:rsid w:val="00B27A3E"/>
    <w:rsid w:val="00B30C90"/>
    <w:rsid w:val="00B30F83"/>
    <w:rsid w:val="00B31071"/>
    <w:rsid w:val="00B33620"/>
    <w:rsid w:val="00B34C92"/>
    <w:rsid w:val="00B406CC"/>
    <w:rsid w:val="00B45275"/>
    <w:rsid w:val="00B54DF9"/>
    <w:rsid w:val="00B65982"/>
    <w:rsid w:val="00B65C28"/>
    <w:rsid w:val="00B74D30"/>
    <w:rsid w:val="00B834F0"/>
    <w:rsid w:val="00B8452B"/>
    <w:rsid w:val="00B856EE"/>
    <w:rsid w:val="00B857AD"/>
    <w:rsid w:val="00B8643C"/>
    <w:rsid w:val="00B9066B"/>
    <w:rsid w:val="00B90F6F"/>
    <w:rsid w:val="00B9489D"/>
    <w:rsid w:val="00B94CEA"/>
    <w:rsid w:val="00BA1483"/>
    <w:rsid w:val="00BA25ED"/>
    <w:rsid w:val="00BA2E47"/>
    <w:rsid w:val="00BA2EFB"/>
    <w:rsid w:val="00BA34CB"/>
    <w:rsid w:val="00BA580A"/>
    <w:rsid w:val="00BA7DC8"/>
    <w:rsid w:val="00BB1706"/>
    <w:rsid w:val="00BB2CEB"/>
    <w:rsid w:val="00BB3813"/>
    <w:rsid w:val="00BB3989"/>
    <w:rsid w:val="00BB5B6F"/>
    <w:rsid w:val="00BC0E22"/>
    <w:rsid w:val="00BC400D"/>
    <w:rsid w:val="00BC4C6F"/>
    <w:rsid w:val="00BD48DD"/>
    <w:rsid w:val="00BE18AF"/>
    <w:rsid w:val="00BE48B3"/>
    <w:rsid w:val="00BF09D6"/>
    <w:rsid w:val="00BF2876"/>
    <w:rsid w:val="00BF54CE"/>
    <w:rsid w:val="00BF578C"/>
    <w:rsid w:val="00BF57C7"/>
    <w:rsid w:val="00C057C7"/>
    <w:rsid w:val="00C05E28"/>
    <w:rsid w:val="00C06A8D"/>
    <w:rsid w:val="00C1029C"/>
    <w:rsid w:val="00C2645F"/>
    <w:rsid w:val="00C278D4"/>
    <w:rsid w:val="00C30ACE"/>
    <w:rsid w:val="00C3691D"/>
    <w:rsid w:val="00C37F33"/>
    <w:rsid w:val="00C4380A"/>
    <w:rsid w:val="00C45769"/>
    <w:rsid w:val="00C47608"/>
    <w:rsid w:val="00C51EE2"/>
    <w:rsid w:val="00C53347"/>
    <w:rsid w:val="00C6769B"/>
    <w:rsid w:val="00C71615"/>
    <w:rsid w:val="00C74AC0"/>
    <w:rsid w:val="00C83E88"/>
    <w:rsid w:val="00C92947"/>
    <w:rsid w:val="00C92B07"/>
    <w:rsid w:val="00C94DA9"/>
    <w:rsid w:val="00C95F05"/>
    <w:rsid w:val="00CA13C3"/>
    <w:rsid w:val="00CB2569"/>
    <w:rsid w:val="00CB47C7"/>
    <w:rsid w:val="00CC7628"/>
    <w:rsid w:val="00CD0281"/>
    <w:rsid w:val="00CD3E4B"/>
    <w:rsid w:val="00CD5F97"/>
    <w:rsid w:val="00CE3D71"/>
    <w:rsid w:val="00CE49BC"/>
    <w:rsid w:val="00CE76A1"/>
    <w:rsid w:val="00CF2E9C"/>
    <w:rsid w:val="00D0576F"/>
    <w:rsid w:val="00D07051"/>
    <w:rsid w:val="00D12D2F"/>
    <w:rsid w:val="00D13710"/>
    <w:rsid w:val="00D15D1A"/>
    <w:rsid w:val="00D3174C"/>
    <w:rsid w:val="00D32E64"/>
    <w:rsid w:val="00D32FCE"/>
    <w:rsid w:val="00D346AB"/>
    <w:rsid w:val="00D34A08"/>
    <w:rsid w:val="00D41FA0"/>
    <w:rsid w:val="00D52940"/>
    <w:rsid w:val="00D54FF4"/>
    <w:rsid w:val="00D61B46"/>
    <w:rsid w:val="00D620C7"/>
    <w:rsid w:val="00D63EA1"/>
    <w:rsid w:val="00D6782B"/>
    <w:rsid w:val="00D735C5"/>
    <w:rsid w:val="00D8495E"/>
    <w:rsid w:val="00D84F06"/>
    <w:rsid w:val="00D86044"/>
    <w:rsid w:val="00D8695D"/>
    <w:rsid w:val="00D94914"/>
    <w:rsid w:val="00D94C71"/>
    <w:rsid w:val="00D950A7"/>
    <w:rsid w:val="00DA19BE"/>
    <w:rsid w:val="00DA7658"/>
    <w:rsid w:val="00DB0CBD"/>
    <w:rsid w:val="00DB6A59"/>
    <w:rsid w:val="00DB703E"/>
    <w:rsid w:val="00DC241E"/>
    <w:rsid w:val="00DE49B0"/>
    <w:rsid w:val="00DE6220"/>
    <w:rsid w:val="00DF0152"/>
    <w:rsid w:val="00DF3439"/>
    <w:rsid w:val="00DF384E"/>
    <w:rsid w:val="00E03C3F"/>
    <w:rsid w:val="00E05523"/>
    <w:rsid w:val="00E0694C"/>
    <w:rsid w:val="00E114BB"/>
    <w:rsid w:val="00E20A53"/>
    <w:rsid w:val="00E20F26"/>
    <w:rsid w:val="00E219CB"/>
    <w:rsid w:val="00E25421"/>
    <w:rsid w:val="00E27C33"/>
    <w:rsid w:val="00E30E2F"/>
    <w:rsid w:val="00E36EC4"/>
    <w:rsid w:val="00E44171"/>
    <w:rsid w:val="00E44B3F"/>
    <w:rsid w:val="00E46605"/>
    <w:rsid w:val="00E51B1A"/>
    <w:rsid w:val="00E658AF"/>
    <w:rsid w:val="00E66561"/>
    <w:rsid w:val="00E71BF0"/>
    <w:rsid w:val="00E75F71"/>
    <w:rsid w:val="00E850C2"/>
    <w:rsid w:val="00E8595A"/>
    <w:rsid w:val="00E86A4A"/>
    <w:rsid w:val="00E9020D"/>
    <w:rsid w:val="00E905B1"/>
    <w:rsid w:val="00E90AEE"/>
    <w:rsid w:val="00E926EE"/>
    <w:rsid w:val="00E93A1A"/>
    <w:rsid w:val="00EA0BC3"/>
    <w:rsid w:val="00EA46AA"/>
    <w:rsid w:val="00EA4AE1"/>
    <w:rsid w:val="00EA50CF"/>
    <w:rsid w:val="00EA755C"/>
    <w:rsid w:val="00EB1890"/>
    <w:rsid w:val="00EB220D"/>
    <w:rsid w:val="00EB2CDD"/>
    <w:rsid w:val="00EB4540"/>
    <w:rsid w:val="00EB6CE5"/>
    <w:rsid w:val="00EB7274"/>
    <w:rsid w:val="00EC2D93"/>
    <w:rsid w:val="00EC3842"/>
    <w:rsid w:val="00ED0F55"/>
    <w:rsid w:val="00ED3A53"/>
    <w:rsid w:val="00ED62F6"/>
    <w:rsid w:val="00EE1735"/>
    <w:rsid w:val="00EE194D"/>
    <w:rsid w:val="00EE401B"/>
    <w:rsid w:val="00EE52F3"/>
    <w:rsid w:val="00EF0C51"/>
    <w:rsid w:val="00EF25C3"/>
    <w:rsid w:val="00EF550E"/>
    <w:rsid w:val="00EF6032"/>
    <w:rsid w:val="00F011BF"/>
    <w:rsid w:val="00F0229A"/>
    <w:rsid w:val="00F02BF1"/>
    <w:rsid w:val="00F03796"/>
    <w:rsid w:val="00F04B10"/>
    <w:rsid w:val="00F04B99"/>
    <w:rsid w:val="00F07DD7"/>
    <w:rsid w:val="00F25807"/>
    <w:rsid w:val="00F34F80"/>
    <w:rsid w:val="00F360F9"/>
    <w:rsid w:val="00F36705"/>
    <w:rsid w:val="00F40595"/>
    <w:rsid w:val="00F44D6D"/>
    <w:rsid w:val="00F44DD0"/>
    <w:rsid w:val="00F455BC"/>
    <w:rsid w:val="00F45FCE"/>
    <w:rsid w:val="00F47601"/>
    <w:rsid w:val="00F47827"/>
    <w:rsid w:val="00F53711"/>
    <w:rsid w:val="00F56558"/>
    <w:rsid w:val="00F57302"/>
    <w:rsid w:val="00F579A4"/>
    <w:rsid w:val="00F636F6"/>
    <w:rsid w:val="00F64E17"/>
    <w:rsid w:val="00F76A6D"/>
    <w:rsid w:val="00F837AB"/>
    <w:rsid w:val="00FA163A"/>
    <w:rsid w:val="00FA441F"/>
    <w:rsid w:val="00FA55B2"/>
    <w:rsid w:val="00FB1A33"/>
    <w:rsid w:val="00FB7843"/>
    <w:rsid w:val="00FC2494"/>
    <w:rsid w:val="00FC2C3F"/>
    <w:rsid w:val="00FC6934"/>
    <w:rsid w:val="00FD2C6D"/>
    <w:rsid w:val="00FD3123"/>
    <w:rsid w:val="00FD42DA"/>
    <w:rsid w:val="00FD7A32"/>
    <w:rsid w:val="00FE1527"/>
    <w:rsid w:val="00FE4384"/>
    <w:rsid w:val="00FE5EC9"/>
    <w:rsid w:val="00FF387B"/>
    <w:rsid w:val="00FF5DBD"/>
    <w:rsid w:val="01E4364B"/>
    <w:rsid w:val="020255DA"/>
    <w:rsid w:val="028C47E9"/>
    <w:rsid w:val="03F107CC"/>
    <w:rsid w:val="067577F9"/>
    <w:rsid w:val="076E16F2"/>
    <w:rsid w:val="096E4E82"/>
    <w:rsid w:val="0A0B269C"/>
    <w:rsid w:val="0AA47D81"/>
    <w:rsid w:val="0B005F1C"/>
    <w:rsid w:val="0CB664E7"/>
    <w:rsid w:val="0D4D415A"/>
    <w:rsid w:val="0FCB7901"/>
    <w:rsid w:val="0FF423D4"/>
    <w:rsid w:val="104015AC"/>
    <w:rsid w:val="109158BE"/>
    <w:rsid w:val="112C6175"/>
    <w:rsid w:val="1171712A"/>
    <w:rsid w:val="12931517"/>
    <w:rsid w:val="129D5B7D"/>
    <w:rsid w:val="12F71682"/>
    <w:rsid w:val="135F0ED4"/>
    <w:rsid w:val="13A76F3E"/>
    <w:rsid w:val="146F641A"/>
    <w:rsid w:val="14AA2906"/>
    <w:rsid w:val="161E671F"/>
    <w:rsid w:val="16C519F8"/>
    <w:rsid w:val="174C2783"/>
    <w:rsid w:val="17CD749A"/>
    <w:rsid w:val="18080D66"/>
    <w:rsid w:val="180F082F"/>
    <w:rsid w:val="184A4865"/>
    <w:rsid w:val="18B04E35"/>
    <w:rsid w:val="1B4F25E6"/>
    <w:rsid w:val="1CA03585"/>
    <w:rsid w:val="1CAA4493"/>
    <w:rsid w:val="1D2109B3"/>
    <w:rsid w:val="1D7644E2"/>
    <w:rsid w:val="1F485A62"/>
    <w:rsid w:val="1FC31B28"/>
    <w:rsid w:val="20974BB9"/>
    <w:rsid w:val="210C2DC4"/>
    <w:rsid w:val="215E343C"/>
    <w:rsid w:val="22583EFD"/>
    <w:rsid w:val="22F2729C"/>
    <w:rsid w:val="234C0E46"/>
    <w:rsid w:val="246065A9"/>
    <w:rsid w:val="26592A51"/>
    <w:rsid w:val="27AA0FB2"/>
    <w:rsid w:val="282D52E1"/>
    <w:rsid w:val="28897809"/>
    <w:rsid w:val="28D202CC"/>
    <w:rsid w:val="297536FB"/>
    <w:rsid w:val="29933D47"/>
    <w:rsid w:val="29F52A7C"/>
    <w:rsid w:val="2C3E23A2"/>
    <w:rsid w:val="2CDE7D2D"/>
    <w:rsid w:val="2D49615A"/>
    <w:rsid w:val="2D584B67"/>
    <w:rsid w:val="2DA907C3"/>
    <w:rsid w:val="2DBD58A5"/>
    <w:rsid w:val="2E8E096D"/>
    <w:rsid w:val="2F266DBF"/>
    <w:rsid w:val="2F631C4A"/>
    <w:rsid w:val="2F6B056E"/>
    <w:rsid w:val="30232088"/>
    <w:rsid w:val="3073310C"/>
    <w:rsid w:val="30EF5972"/>
    <w:rsid w:val="31673619"/>
    <w:rsid w:val="317B5FA6"/>
    <w:rsid w:val="32A51FD4"/>
    <w:rsid w:val="334C7BFA"/>
    <w:rsid w:val="33BB606C"/>
    <w:rsid w:val="36157C82"/>
    <w:rsid w:val="36405F7D"/>
    <w:rsid w:val="37122244"/>
    <w:rsid w:val="37646CF7"/>
    <w:rsid w:val="3790083E"/>
    <w:rsid w:val="37903539"/>
    <w:rsid w:val="38111509"/>
    <w:rsid w:val="382175A5"/>
    <w:rsid w:val="383374BF"/>
    <w:rsid w:val="3869593B"/>
    <w:rsid w:val="394551CE"/>
    <w:rsid w:val="39A460F8"/>
    <w:rsid w:val="3A8C2E48"/>
    <w:rsid w:val="3B2E23D2"/>
    <w:rsid w:val="3D004BF7"/>
    <w:rsid w:val="3EA21AE5"/>
    <w:rsid w:val="40FC2E5B"/>
    <w:rsid w:val="43962AEF"/>
    <w:rsid w:val="43AF64F0"/>
    <w:rsid w:val="45406320"/>
    <w:rsid w:val="459A22C0"/>
    <w:rsid w:val="46765B61"/>
    <w:rsid w:val="46AE6F33"/>
    <w:rsid w:val="4761087A"/>
    <w:rsid w:val="476C711C"/>
    <w:rsid w:val="48F61D17"/>
    <w:rsid w:val="4A1D0E57"/>
    <w:rsid w:val="4AC13386"/>
    <w:rsid w:val="4B0D06CC"/>
    <w:rsid w:val="4B412124"/>
    <w:rsid w:val="4C3B15EE"/>
    <w:rsid w:val="4C844AD6"/>
    <w:rsid w:val="4E686830"/>
    <w:rsid w:val="4F7943BA"/>
    <w:rsid w:val="4FFE0850"/>
    <w:rsid w:val="50093D5E"/>
    <w:rsid w:val="50113369"/>
    <w:rsid w:val="50744CDE"/>
    <w:rsid w:val="511F44F1"/>
    <w:rsid w:val="521E0406"/>
    <w:rsid w:val="527D4B05"/>
    <w:rsid w:val="52CC4866"/>
    <w:rsid w:val="5382152B"/>
    <w:rsid w:val="540E28F4"/>
    <w:rsid w:val="55B00AB8"/>
    <w:rsid w:val="56412C14"/>
    <w:rsid w:val="58895E0A"/>
    <w:rsid w:val="58EC27F2"/>
    <w:rsid w:val="59A72F25"/>
    <w:rsid w:val="5A1C09BD"/>
    <w:rsid w:val="5ABC71EA"/>
    <w:rsid w:val="5BD7470F"/>
    <w:rsid w:val="5C520904"/>
    <w:rsid w:val="5CA90A11"/>
    <w:rsid w:val="5DB062C3"/>
    <w:rsid w:val="5DF21F7F"/>
    <w:rsid w:val="5ECF5150"/>
    <w:rsid w:val="5F6D7533"/>
    <w:rsid w:val="60320161"/>
    <w:rsid w:val="60B62355"/>
    <w:rsid w:val="61374B25"/>
    <w:rsid w:val="61526439"/>
    <w:rsid w:val="619A2136"/>
    <w:rsid w:val="62D916A8"/>
    <w:rsid w:val="62E30E34"/>
    <w:rsid w:val="63065872"/>
    <w:rsid w:val="63392A57"/>
    <w:rsid w:val="668279D5"/>
    <w:rsid w:val="670D4A21"/>
    <w:rsid w:val="67334BBF"/>
    <w:rsid w:val="67D11EA1"/>
    <w:rsid w:val="67D17A3D"/>
    <w:rsid w:val="67E104CE"/>
    <w:rsid w:val="680074AC"/>
    <w:rsid w:val="685F585F"/>
    <w:rsid w:val="69F3315F"/>
    <w:rsid w:val="6B990F28"/>
    <w:rsid w:val="6BA37623"/>
    <w:rsid w:val="6BFC160C"/>
    <w:rsid w:val="6C6B0957"/>
    <w:rsid w:val="6D6B41F6"/>
    <w:rsid w:val="6F3351AD"/>
    <w:rsid w:val="70813B3F"/>
    <w:rsid w:val="7081672F"/>
    <w:rsid w:val="70F86666"/>
    <w:rsid w:val="70F9191D"/>
    <w:rsid w:val="71B17625"/>
    <w:rsid w:val="71F272E6"/>
    <w:rsid w:val="723D0AFC"/>
    <w:rsid w:val="73992FB6"/>
    <w:rsid w:val="75E044E4"/>
    <w:rsid w:val="7635037C"/>
    <w:rsid w:val="764C3824"/>
    <w:rsid w:val="76714436"/>
    <w:rsid w:val="7715546B"/>
    <w:rsid w:val="788E0645"/>
    <w:rsid w:val="7B0B3EAF"/>
    <w:rsid w:val="7BDE06A1"/>
    <w:rsid w:val="7C57180B"/>
    <w:rsid w:val="7CE41E52"/>
    <w:rsid w:val="7D387BFF"/>
    <w:rsid w:val="7DD4587F"/>
    <w:rsid w:val="7DDC172F"/>
    <w:rsid w:val="7E4412E8"/>
    <w:rsid w:val="7E607661"/>
    <w:rsid w:val="7F0A04A3"/>
    <w:rsid w:val="BEF7DB24"/>
    <w:rsid w:val="CFF62429"/>
    <w:rsid w:val="DB774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nhideWhenUsed="0" w:uiPriority="99"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0" w:semiHidden="0" w:name="Body Text 2"/>
    <w:lsdException w:qFormat="1" w:unhideWhenUsed="0" w:uiPriority="0" w:semiHidden="0" w:name="Body Text 3"/>
    <w:lsdException w:qFormat="1"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48"/>
    <w:qFormat/>
    <w:uiPriority w:val="9"/>
    <w:pPr>
      <w:keepNext/>
      <w:keepLines/>
      <w:spacing w:before="340" w:after="330" w:line="576" w:lineRule="auto"/>
      <w:outlineLvl w:val="0"/>
    </w:pPr>
    <w:rPr>
      <w:b/>
      <w:kern w:val="44"/>
      <w:sz w:val="44"/>
      <w:szCs w:val="20"/>
      <w:lang w:val="zh-CN"/>
    </w:rPr>
  </w:style>
  <w:style w:type="paragraph" w:styleId="3">
    <w:name w:val="heading 2"/>
    <w:basedOn w:val="1"/>
    <w:next w:val="1"/>
    <w:link w:val="49"/>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50"/>
    <w:unhideWhenUsed/>
    <w:qFormat/>
    <w:uiPriority w:val="9"/>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link w:val="51"/>
    <w:qFormat/>
    <w:uiPriority w:val="9"/>
    <w:pPr>
      <w:keepNext/>
      <w:widowControl/>
      <w:numPr>
        <w:ilvl w:val="3"/>
        <w:numId w:val="1"/>
      </w:numPr>
      <w:spacing w:before="240" w:after="60" w:line="360" w:lineRule="auto"/>
      <w:ind w:left="0" w:firstLine="0"/>
      <w:outlineLvl w:val="3"/>
    </w:pPr>
    <w:rPr>
      <w:rFonts w:ascii="宋体" w:hAnsi="Arial"/>
      <w:b/>
      <w:kern w:val="0"/>
      <w:sz w:val="24"/>
      <w:szCs w:val="20"/>
    </w:rPr>
  </w:style>
  <w:style w:type="paragraph" w:styleId="6">
    <w:name w:val="heading 5"/>
    <w:basedOn w:val="1"/>
    <w:next w:val="1"/>
    <w:link w:val="52"/>
    <w:qFormat/>
    <w:uiPriority w:val="9"/>
    <w:pPr>
      <w:keepNext/>
      <w:keepLines/>
      <w:adjustRightInd w:val="0"/>
      <w:spacing w:before="280" w:after="290" w:line="376" w:lineRule="atLeast"/>
      <w:textAlignment w:val="baseline"/>
      <w:outlineLvl w:val="4"/>
    </w:pPr>
    <w:rPr>
      <w:rFonts w:ascii="宋体" w:eastAsia="仿宋_GB2312"/>
      <w:b/>
      <w:kern w:val="0"/>
      <w:sz w:val="28"/>
      <w:szCs w:val="20"/>
    </w:rPr>
  </w:style>
  <w:style w:type="paragraph" w:styleId="7">
    <w:name w:val="heading 6"/>
    <w:basedOn w:val="1"/>
    <w:next w:val="1"/>
    <w:link w:val="102"/>
    <w:qFormat/>
    <w:uiPriority w:val="9"/>
    <w:pPr>
      <w:keepNext/>
      <w:keepLines/>
      <w:tabs>
        <w:tab w:val="left" w:pos="992"/>
      </w:tabs>
      <w:adjustRightInd w:val="0"/>
      <w:spacing w:before="240" w:after="64" w:line="320" w:lineRule="atLeast"/>
      <w:textAlignment w:val="baseline"/>
      <w:outlineLvl w:val="5"/>
    </w:pPr>
    <w:rPr>
      <w:rFonts w:ascii="Arial" w:hAnsi="Arial" w:eastAsia="黑体"/>
      <w:b/>
      <w:kern w:val="0"/>
      <w:sz w:val="24"/>
      <w:szCs w:val="20"/>
    </w:rPr>
  </w:style>
  <w:style w:type="paragraph" w:styleId="8">
    <w:name w:val="heading 7"/>
    <w:basedOn w:val="1"/>
    <w:next w:val="1"/>
    <w:link w:val="103"/>
    <w:qFormat/>
    <w:uiPriority w:val="9"/>
    <w:pPr>
      <w:keepNext/>
      <w:keepLines/>
      <w:tabs>
        <w:tab w:val="left" w:pos="1571"/>
      </w:tabs>
      <w:adjustRightInd w:val="0"/>
      <w:spacing w:before="240" w:after="64" w:line="320" w:lineRule="atLeast"/>
      <w:textAlignment w:val="baseline"/>
      <w:outlineLvl w:val="6"/>
    </w:pPr>
    <w:rPr>
      <w:rFonts w:ascii="宋体" w:hAnsi="Times New Roman" w:eastAsia="仿宋_GB2312"/>
      <w:b/>
      <w:kern w:val="0"/>
      <w:sz w:val="24"/>
      <w:szCs w:val="20"/>
    </w:rPr>
  </w:style>
  <w:style w:type="paragraph" w:styleId="9">
    <w:name w:val="heading 8"/>
    <w:basedOn w:val="1"/>
    <w:next w:val="1"/>
    <w:link w:val="104"/>
    <w:qFormat/>
    <w:uiPriority w:val="9"/>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0">
    <w:name w:val="heading 9"/>
    <w:basedOn w:val="1"/>
    <w:next w:val="1"/>
    <w:link w:val="105"/>
    <w:qFormat/>
    <w:uiPriority w:val="9"/>
    <w:pPr>
      <w:keepNext/>
      <w:keepLines/>
      <w:adjustRightInd w:val="0"/>
      <w:spacing w:before="240" w:after="64" w:line="320" w:lineRule="atLeast"/>
      <w:textAlignment w:val="baseline"/>
      <w:outlineLvl w:val="8"/>
    </w:pPr>
    <w:rPr>
      <w:rFonts w:ascii="Arial" w:hAnsi="Arial" w:eastAsia="黑体"/>
      <w:kern w:val="0"/>
      <w:sz w:val="28"/>
      <w:szCs w:val="20"/>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5"/>
    </w:pPr>
    <w:rPr>
      <w:rFonts w:ascii="Times New Roman" w:hAnsi="Times New Roman"/>
      <w:szCs w:val="20"/>
    </w:rPr>
  </w:style>
  <w:style w:type="paragraph" w:styleId="12">
    <w:name w:val="caption"/>
    <w:basedOn w:val="1"/>
    <w:next w:val="1"/>
    <w:qFormat/>
    <w:uiPriority w:val="35"/>
    <w:pPr>
      <w:widowControl/>
      <w:spacing w:after="200"/>
      <w:jc w:val="left"/>
    </w:pPr>
    <w:rPr>
      <w:b/>
      <w:bCs/>
      <w:color w:val="4F81BD"/>
      <w:kern w:val="0"/>
      <w:sz w:val="18"/>
      <w:szCs w:val="18"/>
      <w:lang w:eastAsia="en-US" w:bidi="en-US"/>
    </w:rPr>
  </w:style>
  <w:style w:type="paragraph" w:styleId="13">
    <w:name w:val="Document Map"/>
    <w:basedOn w:val="1"/>
    <w:link w:val="106"/>
    <w:qFormat/>
    <w:uiPriority w:val="0"/>
    <w:pPr>
      <w:shd w:val="clear" w:color="auto" w:fill="000080"/>
    </w:pPr>
    <w:rPr>
      <w:rFonts w:ascii="等线" w:hAnsi="等线" w:eastAsia="等线"/>
    </w:rPr>
  </w:style>
  <w:style w:type="paragraph" w:styleId="14">
    <w:name w:val="annotation text"/>
    <w:basedOn w:val="1"/>
    <w:link w:val="53"/>
    <w:unhideWhenUsed/>
    <w:qFormat/>
    <w:uiPriority w:val="99"/>
    <w:pPr>
      <w:jc w:val="left"/>
    </w:pPr>
  </w:style>
  <w:style w:type="paragraph" w:styleId="15">
    <w:name w:val="Body Text 3"/>
    <w:basedOn w:val="1"/>
    <w:link w:val="107"/>
    <w:qFormat/>
    <w:uiPriority w:val="0"/>
    <w:pPr>
      <w:spacing w:after="120"/>
    </w:pPr>
    <w:rPr>
      <w:rFonts w:ascii="等线" w:hAnsi="等线" w:eastAsia="等线"/>
      <w:sz w:val="16"/>
      <w:szCs w:val="16"/>
    </w:rPr>
  </w:style>
  <w:style w:type="paragraph" w:styleId="16">
    <w:name w:val="Body Text"/>
    <w:basedOn w:val="1"/>
    <w:link w:val="54"/>
    <w:qFormat/>
    <w:uiPriority w:val="0"/>
    <w:pPr>
      <w:widowControl/>
      <w:spacing w:line="320" w:lineRule="atLeast"/>
    </w:pPr>
    <w:rPr>
      <w:rFonts w:eastAsia="隶书"/>
      <w:b/>
      <w:kern w:val="0"/>
      <w:sz w:val="44"/>
      <w:szCs w:val="20"/>
    </w:rPr>
  </w:style>
  <w:style w:type="paragraph" w:styleId="17">
    <w:name w:val="Body Text Indent"/>
    <w:basedOn w:val="1"/>
    <w:link w:val="55"/>
    <w:unhideWhenUsed/>
    <w:qFormat/>
    <w:uiPriority w:val="0"/>
    <w:pPr>
      <w:spacing w:after="120"/>
      <w:ind w:left="420" w:leftChars="200"/>
    </w:pPr>
    <w:rPr>
      <w:rFonts w:ascii="宋体" w:hAnsi="宋体"/>
      <w:sz w:val="28"/>
      <w:szCs w:val="22"/>
    </w:rPr>
  </w:style>
  <w:style w:type="paragraph" w:styleId="18">
    <w:name w:val="List 2"/>
    <w:basedOn w:val="1"/>
    <w:qFormat/>
    <w:uiPriority w:val="0"/>
    <w:pPr>
      <w:ind w:left="100" w:leftChars="200" w:hanging="200" w:hangingChars="200"/>
    </w:pPr>
    <w:rPr>
      <w:rFonts w:ascii="Times New Roman" w:hAnsi="Times New Roman"/>
      <w:sz w:val="28"/>
    </w:rPr>
  </w:style>
  <w:style w:type="paragraph" w:styleId="19">
    <w:name w:val="toc 3"/>
    <w:basedOn w:val="1"/>
    <w:next w:val="1"/>
    <w:qFormat/>
    <w:uiPriority w:val="0"/>
    <w:pPr>
      <w:tabs>
        <w:tab w:val="left" w:pos="1680"/>
        <w:tab w:val="right" w:leader="dot" w:pos="9743"/>
      </w:tabs>
      <w:jc w:val="left"/>
    </w:pPr>
    <w:rPr>
      <w:rFonts w:ascii="Times New Roman" w:hAnsi="Times New Roman"/>
      <w:b/>
      <w:szCs w:val="21"/>
    </w:rPr>
  </w:style>
  <w:style w:type="paragraph" w:styleId="20">
    <w:name w:val="Plain Text"/>
    <w:basedOn w:val="1"/>
    <w:link w:val="56"/>
    <w:qFormat/>
    <w:uiPriority w:val="0"/>
    <w:rPr>
      <w:rFonts w:ascii="宋体" w:hAnsi="Courier New"/>
      <w:szCs w:val="20"/>
    </w:rPr>
  </w:style>
  <w:style w:type="paragraph" w:styleId="21">
    <w:name w:val="Date"/>
    <w:basedOn w:val="1"/>
    <w:next w:val="1"/>
    <w:link w:val="108"/>
    <w:qFormat/>
    <w:uiPriority w:val="0"/>
    <w:rPr>
      <w:rFonts w:ascii="等线" w:hAnsi="等线" w:eastAsia="等线"/>
      <w:szCs w:val="22"/>
    </w:rPr>
  </w:style>
  <w:style w:type="paragraph" w:styleId="22">
    <w:name w:val="Body Text Indent 2"/>
    <w:basedOn w:val="1"/>
    <w:link w:val="100"/>
    <w:unhideWhenUsed/>
    <w:qFormat/>
    <w:uiPriority w:val="0"/>
    <w:pPr>
      <w:spacing w:after="120" w:line="480" w:lineRule="auto"/>
      <w:ind w:left="420" w:leftChars="200"/>
    </w:pPr>
  </w:style>
  <w:style w:type="paragraph" w:styleId="23">
    <w:name w:val="endnote text"/>
    <w:basedOn w:val="1"/>
    <w:link w:val="384"/>
    <w:semiHidden/>
    <w:unhideWhenUsed/>
    <w:qFormat/>
    <w:uiPriority w:val="99"/>
    <w:pPr>
      <w:snapToGrid w:val="0"/>
      <w:jc w:val="left"/>
    </w:pPr>
    <w:rPr>
      <w:rFonts w:ascii="Times New Roman" w:hAnsi="Times New Roman"/>
      <w:szCs w:val="21"/>
    </w:rPr>
  </w:style>
  <w:style w:type="paragraph" w:styleId="24">
    <w:name w:val="Balloon Text"/>
    <w:basedOn w:val="1"/>
    <w:link w:val="57"/>
    <w:qFormat/>
    <w:uiPriority w:val="99"/>
    <w:rPr>
      <w:rFonts w:ascii="等线" w:hAnsi="等线" w:eastAsia="等线"/>
      <w:sz w:val="18"/>
      <w:szCs w:val="18"/>
    </w:rPr>
  </w:style>
  <w:style w:type="paragraph" w:styleId="25">
    <w:name w:val="footer"/>
    <w:basedOn w:val="1"/>
    <w:link w:val="58"/>
    <w:qFormat/>
    <w:uiPriority w:val="99"/>
    <w:pPr>
      <w:tabs>
        <w:tab w:val="center" w:pos="4153"/>
        <w:tab w:val="right" w:pos="8306"/>
      </w:tabs>
      <w:snapToGrid w:val="0"/>
      <w:jc w:val="left"/>
    </w:pPr>
    <w:rPr>
      <w:sz w:val="18"/>
      <w:szCs w:val="18"/>
    </w:rPr>
  </w:style>
  <w:style w:type="paragraph" w:styleId="26">
    <w:name w:val="header"/>
    <w:basedOn w:val="1"/>
    <w:link w:val="59"/>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0"/>
    <w:rPr>
      <w:rFonts w:ascii="Times New Roman" w:hAnsi="Times New Roman"/>
      <w:szCs w:val="20"/>
    </w:rPr>
  </w:style>
  <w:style w:type="paragraph" w:styleId="28">
    <w:name w:val="Subtitle"/>
    <w:basedOn w:val="1"/>
    <w:next w:val="1"/>
    <w:link w:val="109"/>
    <w:qFormat/>
    <w:uiPriority w:val="11"/>
    <w:pPr>
      <w:spacing w:before="240" w:after="60" w:line="312" w:lineRule="auto"/>
      <w:jc w:val="center"/>
      <w:outlineLvl w:val="1"/>
    </w:pPr>
    <w:rPr>
      <w:rFonts w:ascii="黑体" w:hAnsi="黑体" w:eastAsia="黑体"/>
      <w:bCs/>
      <w:kern w:val="28"/>
      <w:sz w:val="24"/>
      <w:szCs w:val="32"/>
    </w:rPr>
  </w:style>
  <w:style w:type="paragraph" w:styleId="29">
    <w:name w:val="List"/>
    <w:basedOn w:val="1"/>
    <w:qFormat/>
    <w:uiPriority w:val="0"/>
    <w:pPr>
      <w:ind w:left="200" w:hanging="200" w:hangingChars="200"/>
    </w:pPr>
    <w:rPr>
      <w:rFonts w:ascii="Times New Roman" w:hAnsi="Times New Roman"/>
    </w:rPr>
  </w:style>
  <w:style w:type="paragraph" w:styleId="30">
    <w:name w:val="footnote text"/>
    <w:basedOn w:val="1"/>
    <w:link w:val="101"/>
    <w:semiHidden/>
    <w:unhideWhenUsed/>
    <w:qFormat/>
    <w:uiPriority w:val="99"/>
    <w:pPr>
      <w:snapToGrid w:val="0"/>
      <w:jc w:val="left"/>
    </w:pPr>
    <w:rPr>
      <w:rFonts w:ascii="Times New Roman" w:hAnsi="Times New Roman"/>
      <w:sz w:val="18"/>
      <w:szCs w:val="18"/>
    </w:rPr>
  </w:style>
  <w:style w:type="paragraph" w:styleId="31">
    <w:name w:val="Body Text Indent 3"/>
    <w:basedOn w:val="1"/>
    <w:link w:val="60"/>
    <w:qFormat/>
    <w:uiPriority w:val="0"/>
    <w:pPr>
      <w:spacing w:after="120"/>
      <w:ind w:left="420" w:leftChars="200"/>
    </w:pPr>
    <w:rPr>
      <w:rFonts w:ascii="等线" w:hAnsi="等线" w:eastAsia="等线"/>
      <w:sz w:val="16"/>
      <w:szCs w:val="16"/>
    </w:rPr>
  </w:style>
  <w:style w:type="paragraph" w:styleId="32">
    <w:name w:val="Body Text 2"/>
    <w:basedOn w:val="1"/>
    <w:link w:val="110"/>
    <w:unhideWhenUsed/>
    <w:qFormat/>
    <w:uiPriority w:val="0"/>
    <w:pPr>
      <w:spacing w:after="120" w:line="480" w:lineRule="auto"/>
    </w:pPr>
    <w:rPr>
      <w:rFonts w:ascii="等线" w:hAnsi="等线" w:eastAsia="等线"/>
    </w:rPr>
  </w:style>
  <w:style w:type="paragraph" w:styleId="33">
    <w:name w:val="HTML Preformatted"/>
    <w:basedOn w:val="1"/>
    <w:link w:val="1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等线" w:cs="Arial"/>
      <w:szCs w:val="21"/>
    </w:rPr>
  </w:style>
  <w:style w:type="paragraph" w:styleId="34">
    <w:name w:val="Normal (Web)"/>
    <w:basedOn w:val="1"/>
    <w:qFormat/>
    <w:uiPriority w:val="0"/>
    <w:pPr>
      <w:widowControl/>
      <w:spacing w:before="100" w:beforeAutospacing="1" w:after="100" w:afterAutospacing="1"/>
      <w:jc w:val="left"/>
    </w:pPr>
    <w:rPr>
      <w:rFonts w:ascii="宋体" w:hAnsi="宋体"/>
      <w:kern w:val="0"/>
      <w:sz w:val="24"/>
    </w:rPr>
  </w:style>
  <w:style w:type="paragraph" w:styleId="35">
    <w:name w:val="Title"/>
    <w:basedOn w:val="1"/>
    <w:next w:val="1"/>
    <w:link w:val="112"/>
    <w:qFormat/>
    <w:uiPriority w:val="10"/>
    <w:pPr>
      <w:spacing w:before="240" w:after="60"/>
      <w:jc w:val="center"/>
      <w:outlineLvl w:val="0"/>
    </w:pPr>
    <w:rPr>
      <w:rFonts w:ascii="Cambria" w:hAnsi="Cambria" w:eastAsia="等线"/>
      <w:b/>
      <w:bCs/>
      <w:sz w:val="32"/>
      <w:szCs w:val="32"/>
    </w:rPr>
  </w:style>
  <w:style w:type="paragraph" w:styleId="36">
    <w:name w:val="annotation subject"/>
    <w:basedOn w:val="14"/>
    <w:next w:val="14"/>
    <w:link w:val="61"/>
    <w:qFormat/>
    <w:uiPriority w:val="99"/>
    <w:rPr>
      <w:rFonts w:ascii="等线" w:hAnsi="等线" w:eastAsia="等线"/>
      <w:b/>
      <w:bCs/>
    </w:rPr>
  </w:style>
  <w:style w:type="table" w:styleId="38">
    <w:name w:val="Table Grid"/>
    <w:basedOn w:val="3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bCs/>
    </w:rPr>
  </w:style>
  <w:style w:type="character" w:styleId="41">
    <w:name w:val="endnote reference"/>
    <w:semiHidden/>
    <w:unhideWhenUsed/>
    <w:qFormat/>
    <w:uiPriority w:val="99"/>
    <w:rPr>
      <w:vertAlign w:val="superscript"/>
    </w:rPr>
  </w:style>
  <w:style w:type="character" w:styleId="42">
    <w:name w:val="page number"/>
    <w:qFormat/>
    <w:uiPriority w:val="99"/>
  </w:style>
  <w:style w:type="character" w:styleId="43">
    <w:name w:val="FollowedHyperlink"/>
    <w:unhideWhenUsed/>
    <w:qFormat/>
    <w:uiPriority w:val="99"/>
    <w:rPr>
      <w:color w:val="954F72"/>
      <w:u w:val="single"/>
    </w:rPr>
  </w:style>
  <w:style w:type="character" w:styleId="44">
    <w:name w:val="Emphasis"/>
    <w:qFormat/>
    <w:uiPriority w:val="20"/>
    <w:rPr>
      <w:color w:val="CC0033"/>
    </w:rPr>
  </w:style>
  <w:style w:type="character" w:styleId="45">
    <w:name w:val="Hyperlink"/>
    <w:qFormat/>
    <w:uiPriority w:val="99"/>
    <w:rPr>
      <w:color w:val="0000FF"/>
      <w:u w:val="single"/>
    </w:rPr>
  </w:style>
  <w:style w:type="character" w:styleId="46">
    <w:name w:val="annotation reference"/>
    <w:unhideWhenUsed/>
    <w:qFormat/>
    <w:uiPriority w:val="99"/>
    <w:rPr>
      <w:sz w:val="21"/>
      <w:szCs w:val="21"/>
    </w:rPr>
  </w:style>
  <w:style w:type="character" w:styleId="47">
    <w:name w:val="footnote reference"/>
    <w:semiHidden/>
    <w:unhideWhenUsed/>
    <w:qFormat/>
    <w:uiPriority w:val="99"/>
    <w:rPr>
      <w:vertAlign w:val="superscript"/>
    </w:rPr>
  </w:style>
  <w:style w:type="character" w:customStyle="1" w:styleId="48">
    <w:name w:val="标题 1 字符"/>
    <w:link w:val="2"/>
    <w:qFormat/>
    <w:uiPriority w:val="9"/>
    <w:rPr>
      <w:rFonts w:ascii="Calibri" w:hAnsi="Calibri" w:eastAsia="宋体" w:cs="Times New Roman"/>
      <w:b/>
      <w:kern w:val="44"/>
      <w:sz w:val="44"/>
      <w:szCs w:val="20"/>
      <w:lang w:val="zh-CN" w:eastAsia="zh-CN"/>
    </w:rPr>
  </w:style>
  <w:style w:type="character" w:customStyle="1" w:styleId="49">
    <w:name w:val="标题 2 字符"/>
    <w:link w:val="3"/>
    <w:qFormat/>
    <w:uiPriority w:val="9"/>
    <w:rPr>
      <w:rFonts w:ascii="等线 Light" w:hAnsi="等线 Light" w:eastAsia="等线 Light" w:cs="Times New Roman"/>
      <w:b/>
      <w:bCs/>
      <w:kern w:val="2"/>
      <w:sz w:val="32"/>
      <w:szCs w:val="32"/>
    </w:rPr>
  </w:style>
  <w:style w:type="character" w:customStyle="1" w:styleId="50">
    <w:name w:val="标题 3 字符"/>
    <w:link w:val="4"/>
    <w:qFormat/>
    <w:uiPriority w:val="9"/>
    <w:rPr>
      <w:rFonts w:ascii="Times New Roman" w:hAnsi="Times New Roman" w:eastAsia="宋体" w:cs="Times New Roman"/>
      <w:b/>
      <w:bCs/>
      <w:kern w:val="2"/>
      <w:sz w:val="32"/>
      <w:szCs w:val="32"/>
    </w:rPr>
  </w:style>
  <w:style w:type="character" w:customStyle="1" w:styleId="51">
    <w:name w:val="标题 4 字符"/>
    <w:link w:val="5"/>
    <w:qFormat/>
    <w:uiPriority w:val="9"/>
    <w:rPr>
      <w:rFonts w:ascii="宋体" w:hAnsi="Arial" w:eastAsia="宋体" w:cs="Times New Roman"/>
      <w:b/>
      <w:kern w:val="0"/>
      <w:sz w:val="24"/>
      <w:szCs w:val="20"/>
    </w:rPr>
  </w:style>
  <w:style w:type="character" w:customStyle="1" w:styleId="52">
    <w:name w:val="标题 5 字符"/>
    <w:link w:val="6"/>
    <w:qFormat/>
    <w:uiPriority w:val="9"/>
    <w:rPr>
      <w:rFonts w:ascii="宋体" w:hAnsi="Calibri" w:eastAsia="仿宋_GB2312" w:cs="Times New Roman"/>
      <w:b/>
      <w:kern w:val="0"/>
      <w:sz w:val="28"/>
      <w:szCs w:val="20"/>
    </w:rPr>
  </w:style>
  <w:style w:type="character" w:customStyle="1" w:styleId="53">
    <w:name w:val="批注文字 字符1"/>
    <w:link w:val="14"/>
    <w:qFormat/>
    <w:uiPriority w:val="0"/>
    <w:rPr>
      <w:rFonts w:ascii="Calibri" w:hAnsi="Calibri" w:eastAsia="宋体" w:cs="Times New Roman"/>
      <w:szCs w:val="24"/>
    </w:rPr>
  </w:style>
  <w:style w:type="character" w:customStyle="1" w:styleId="54">
    <w:name w:val="正文文本 字符"/>
    <w:link w:val="16"/>
    <w:qFormat/>
    <w:uiPriority w:val="99"/>
    <w:rPr>
      <w:rFonts w:ascii="Calibri" w:hAnsi="Calibri" w:eastAsia="隶书" w:cs="Times New Roman"/>
      <w:b/>
      <w:kern w:val="0"/>
      <w:sz w:val="44"/>
      <w:szCs w:val="20"/>
    </w:rPr>
  </w:style>
  <w:style w:type="character" w:customStyle="1" w:styleId="55">
    <w:name w:val="正文文本缩进 字符"/>
    <w:link w:val="17"/>
    <w:qFormat/>
    <w:uiPriority w:val="99"/>
    <w:rPr>
      <w:rFonts w:ascii="宋体" w:hAnsi="宋体" w:eastAsia="宋体" w:cs="Times New Roman"/>
      <w:sz w:val="28"/>
    </w:rPr>
  </w:style>
  <w:style w:type="character" w:customStyle="1" w:styleId="56">
    <w:name w:val="纯文本 字符"/>
    <w:link w:val="20"/>
    <w:qFormat/>
    <w:uiPriority w:val="0"/>
    <w:rPr>
      <w:rFonts w:ascii="宋体" w:hAnsi="Courier New" w:eastAsia="宋体" w:cs="Times New Roman"/>
      <w:szCs w:val="20"/>
    </w:rPr>
  </w:style>
  <w:style w:type="character" w:customStyle="1" w:styleId="57">
    <w:name w:val="批注框文本 字符"/>
    <w:link w:val="24"/>
    <w:qFormat/>
    <w:uiPriority w:val="99"/>
    <w:rPr>
      <w:sz w:val="18"/>
      <w:szCs w:val="18"/>
    </w:rPr>
  </w:style>
  <w:style w:type="character" w:customStyle="1" w:styleId="58">
    <w:name w:val="页脚 字符"/>
    <w:link w:val="25"/>
    <w:qFormat/>
    <w:uiPriority w:val="99"/>
    <w:rPr>
      <w:rFonts w:ascii="Calibri" w:hAnsi="Calibri" w:eastAsia="宋体" w:cs="Times New Roman"/>
      <w:sz w:val="18"/>
      <w:szCs w:val="18"/>
    </w:rPr>
  </w:style>
  <w:style w:type="character" w:customStyle="1" w:styleId="59">
    <w:name w:val="页眉 字符"/>
    <w:link w:val="26"/>
    <w:qFormat/>
    <w:uiPriority w:val="99"/>
    <w:rPr>
      <w:rFonts w:ascii="Calibri" w:hAnsi="Calibri" w:eastAsia="宋体" w:cs="Times New Roman"/>
      <w:sz w:val="18"/>
      <w:szCs w:val="18"/>
    </w:rPr>
  </w:style>
  <w:style w:type="character" w:customStyle="1" w:styleId="60">
    <w:name w:val="正文文本缩进 3 字符"/>
    <w:link w:val="31"/>
    <w:qFormat/>
    <w:uiPriority w:val="99"/>
    <w:rPr>
      <w:sz w:val="16"/>
      <w:szCs w:val="16"/>
    </w:rPr>
  </w:style>
  <w:style w:type="character" w:customStyle="1" w:styleId="61">
    <w:name w:val="批注主题 字符"/>
    <w:link w:val="36"/>
    <w:qFormat/>
    <w:uiPriority w:val="99"/>
    <w:rPr>
      <w:b/>
      <w:bCs/>
      <w:szCs w:val="24"/>
    </w:rPr>
  </w:style>
  <w:style w:type="character" w:customStyle="1" w:styleId="62">
    <w:name w:val="批注文字 字符"/>
    <w:qFormat/>
    <w:uiPriority w:val="99"/>
    <w:rPr>
      <w:kern w:val="2"/>
      <w:sz w:val="21"/>
      <w:szCs w:val="24"/>
    </w:rPr>
  </w:style>
  <w:style w:type="character" w:customStyle="1" w:styleId="63">
    <w:name w:val="msoins"/>
    <w:qFormat/>
    <w:uiPriority w:val="99"/>
  </w:style>
  <w:style w:type="paragraph" w:customStyle="1" w:styleId="6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65">
    <w:name w:val="No Spacing"/>
    <w:link w:val="229"/>
    <w:qFormat/>
    <w:uiPriority w:val="0"/>
    <w:rPr>
      <w:rFonts w:ascii="Calibri" w:hAnsi="Calibri" w:eastAsia="宋体" w:cs="Times New Roman"/>
      <w:kern w:val="2"/>
      <w:sz w:val="22"/>
      <w:szCs w:val="22"/>
      <w:lang w:val="en-US" w:eastAsia="en-US" w:bidi="en-US"/>
    </w:rPr>
  </w:style>
  <w:style w:type="paragraph" w:customStyle="1" w:styleId="6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6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character" w:customStyle="1" w:styleId="69">
    <w:name w:val="批注主题 字符1"/>
    <w:semiHidden/>
    <w:qFormat/>
    <w:uiPriority w:val="99"/>
    <w:rPr>
      <w:rFonts w:ascii="Calibri" w:hAnsi="Calibri" w:eastAsia="宋体" w:cs="Times New Roman"/>
      <w:b/>
      <w:bCs/>
      <w:szCs w:val="24"/>
    </w:rPr>
  </w:style>
  <w:style w:type="paragraph" w:customStyle="1" w:styleId="70">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character" w:customStyle="1" w:styleId="71">
    <w:name w:val="批注框文本 字符1"/>
    <w:semiHidden/>
    <w:qFormat/>
    <w:uiPriority w:val="99"/>
    <w:rPr>
      <w:rFonts w:ascii="Calibri" w:hAnsi="Calibri" w:eastAsia="宋体" w:cs="Times New Roman"/>
      <w:sz w:val="18"/>
      <w:szCs w:val="18"/>
    </w:rPr>
  </w:style>
  <w:style w:type="character" w:customStyle="1" w:styleId="72">
    <w:name w:val="正文文本缩进 3 字符1"/>
    <w:semiHidden/>
    <w:qFormat/>
    <w:uiPriority w:val="99"/>
    <w:rPr>
      <w:rFonts w:ascii="Calibri" w:hAnsi="Calibri" w:eastAsia="宋体" w:cs="Times New Roman"/>
      <w:sz w:val="16"/>
      <w:szCs w:val="16"/>
    </w:rPr>
  </w:style>
  <w:style w:type="paragraph" w:customStyle="1" w:styleId="7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7">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7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79">
    <w:name w:val="List Paragraph"/>
    <w:basedOn w:val="1"/>
    <w:qFormat/>
    <w:uiPriority w:val="34"/>
    <w:pPr>
      <w:ind w:firstLine="420" w:firstLineChars="200"/>
    </w:pPr>
    <w:rPr>
      <w:szCs w:val="22"/>
    </w:rPr>
  </w:style>
  <w:style w:type="paragraph" w:customStyle="1" w:styleId="80">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8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82">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8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85">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8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8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8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89">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91">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2">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3">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4">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95">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7">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8">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9">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character" w:customStyle="1" w:styleId="100">
    <w:name w:val="正文文本缩进 2 字符"/>
    <w:link w:val="22"/>
    <w:qFormat/>
    <w:uiPriority w:val="0"/>
    <w:rPr>
      <w:rFonts w:ascii="Calibri" w:hAnsi="Calibri" w:eastAsia="宋体" w:cs="Times New Roman"/>
      <w:kern w:val="2"/>
      <w:sz w:val="21"/>
      <w:szCs w:val="24"/>
    </w:rPr>
  </w:style>
  <w:style w:type="character" w:customStyle="1" w:styleId="101">
    <w:name w:val="脚注文本 字符"/>
    <w:link w:val="30"/>
    <w:semiHidden/>
    <w:qFormat/>
    <w:uiPriority w:val="99"/>
    <w:rPr>
      <w:rFonts w:ascii="Times New Roman" w:hAnsi="Times New Roman" w:eastAsia="宋体" w:cs="Times New Roman"/>
      <w:kern w:val="2"/>
      <w:sz w:val="18"/>
      <w:szCs w:val="18"/>
    </w:rPr>
  </w:style>
  <w:style w:type="character" w:customStyle="1" w:styleId="102">
    <w:name w:val="标题 6 字符"/>
    <w:link w:val="7"/>
    <w:qFormat/>
    <w:uiPriority w:val="9"/>
    <w:rPr>
      <w:rFonts w:ascii="Arial" w:hAnsi="Arial" w:eastAsia="黑体" w:cs="Times New Roman"/>
      <w:b/>
      <w:sz w:val="24"/>
    </w:rPr>
  </w:style>
  <w:style w:type="character" w:customStyle="1" w:styleId="103">
    <w:name w:val="标题 7 字符"/>
    <w:link w:val="8"/>
    <w:qFormat/>
    <w:uiPriority w:val="9"/>
    <w:rPr>
      <w:rFonts w:ascii="宋体" w:hAnsi="Times New Roman" w:eastAsia="仿宋_GB2312" w:cs="Times New Roman"/>
      <w:b/>
      <w:sz w:val="24"/>
    </w:rPr>
  </w:style>
  <w:style w:type="character" w:customStyle="1" w:styleId="104">
    <w:name w:val="标题 8 字符"/>
    <w:link w:val="9"/>
    <w:qFormat/>
    <w:uiPriority w:val="9"/>
    <w:rPr>
      <w:rFonts w:ascii="Arial" w:hAnsi="Arial" w:eastAsia="黑体" w:cs="Times New Roman"/>
      <w:sz w:val="24"/>
    </w:rPr>
  </w:style>
  <w:style w:type="character" w:customStyle="1" w:styleId="105">
    <w:name w:val="标题 9 字符"/>
    <w:link w:val="10"/>
    <w:qFormat/>
    <w:uiPriority w:val="9"/>
    <w:rPr>
      <w:rFonts w:ascii="Arial" w:hAnsi="Arial" w:eastAsia="黑体" w:cs="Times New Roman"/>
      <w:sz w:val="28"/>
    </w:rPr>
  </w:style>
  <w:style w:type="character" w:customStyle="1" w:styleId="106">
    <w:name w:val="文档结构图 字符"/>
    <w:link w:val="13"/>
    <w:qFormat/>
    <w:uiPriority w:val="0"/>
    <w:rPr>
      <w:kern w:val="2"/>
      <w:sz w:val="21"/>
      <w:szCs w:val="24"/>
      <w:shd w:val="clear" w:color="auto" w:fill="000080"/>
    </w:rPr>
  </w:style>
  <w:style w:type="character" w:customStyle="1" w:styleId="107">
    <w:name w:val="正文文本 3 字符"/>
    <w:link w:val="15"/>
    <w:qFormat/>
    <w:uiPriority w:val="0"/>
    <w:rPr>
      <w:kern w:val="2"/>
      <w:sz w:val="16"/>
      <w:szCs w:val="16"/>
    </w:rPr>
  </w:style>
  <w:style w:type="character" w:customStyle="1" w:styleId="108">
    <w:name w:val="日期 字符"/>
    <w:link w:val="21"/>
    <w:qFormat/>
    <w:uiPriority w:val="0"/>
    <w:rPr>
      <w:kern w:val="2"/>
      <w:sz w:val="21"/>
      <w:szCs w:val="22"/>
    </w:rPr>
  </w:style>
  <w:style w:type="character" w:customStyle="1" w:styleId="109">
    <w:name w:val="副标题 字符"/>
    <w:link w:val="28"/>
    <w:qFormat/>
    <w:uiPriority w:val="11"/>
    <w:rPr>
      <w:rFonts w:ascii="黑体" w:hAnsi="黑体" w:eastAsia="黑体"/>
      <w:bCs/>
      <w:kern w:val="28"/>
      <w:sz w:val="24"/>
      <w:szCs w:val="32"/>
    </w:rPr>
  </w:style>
  <w:style w:type="character" w:customStyle="1" w:styleId="110">
    <w:name w:val="正文文本 2 字符"/>
    <w:link w:val="32"/>
    <w:qFormat/>
    <w:uiPriority w:val="0"/>
    <w:rPr>
      <w:kern w:val="2"/>
      <w:sz w:val="21"/>
      <w:szCs w:val="24"/>
    </w:rPr>
  </w:style>
  <w:style w:type="character" w:customStyle="1" w:styleId="111">
    <w:name w:val="HTML 预设格式 字符"/>
    <w:link w:val="33"/>
    <w:qFormat/>
    <w:uiPriority w:val="99"/>
    <w:rPr>
      <w:rFonts w:ascii="Arial" w:hAnsi="Arial" w:cs="Arial"/>
      <w:kern w:val="2"/>
      <w:sz w:val="21"/>
      <w:szCs w:val="21"/>
    </w:rPr>
  </w:style>
  <w:style w:type="character" w:customStyle="1" w:styleId="112">
    <w:name w:val="标题 字符"/>
    <w:link w:val="35"/>
    <w:qFormat/>
    <w:uiPriority w:val="10"/>
    <w:rPr>
      <w:rFonts w:ascii="Cambria" w:hAnsi="Cambria"/>
      <w:b/>
      <w:bCs/>
      <w:kern w:val="2"/>
      <w:sz w:val="32"/>
      <w:szCs w:val="32"/>
    </w:rPr>
  </w:style>
  <w:style w:type="character" w:customStyle="1" w:styleId="113">
    <w:name w:val="标题 3 Char"/>
    <w:qFormat/>
    <w:uiPriority w:val="0"/>
    <w:rPr>
      <w:b/>
      <w:bCs/>
      <w:sz w:val="32"/>
      <w:szCs w:val="32"/>
    </w:rPr>
  </w:style>
  <w:style w:type="character" w:customStyle="1" w:styleId="114">
    <w:name w:val="标题 1 1 Char"/>
    <w:qFormat/>
    <w:locked/>
    <w:uiPriority w:val="0"/>
    <w:rPr>
      <w:rFonts w:eastAsia="宋体"/>
      <w:kern w:val="2"/>
      <w:sz w:val="28"/>
      <w:szCs w:val="24"/>
      <w:lang w:val="en-US" w:eastAsia="zh-CN" w:bidi="ar-SA"/>
    </w:rPr>
  </w:style>
  <w:style w:type="character" w:customStyle="1" w:styleId="115">
    <w:name w:val="apple-style-span"/>
    <w:qFormat/>
    <w:uiPriority w:val="0"/>
  </w:style>
  <w:style w:type="character" w:customStyle="1" w:styleId="116">
    <w:name w:val="章 Char"/>
    <w:qFormat/>
    <w:locked/>
    <w:uiPriority w:val="0"/>
    <w:rPr>
      <w:rFonts w:eastAsia="宋体"/>
      <w:sz w:val="24"/>
      <w:lang w:val="en-US" w:eastAsia="zh-CN" w:bidi="ar-SA"/>
    </w:rPr>
  </w:style>
  <w:style w:type="character" w:customStyle="1" w:styleId="117">
    <w:name w:val="页眉 Char1"/>
    <w:semiHidden/>
    <w:qFormat/>
    <w:uiPriority w:val="0"/>
    <w:rPr>
      <w:rFonts w:ascii="Times New Roman" w:hAnsi="Times New Roman" w:eastAsia="宋体" w:cs="Times New Roman"/>
      <w:sz w:val="18"/>
      <w:szCs w:val="18"/>
    </w:rPr>
  </w:style>
  <w:style w:type="character" w:customStyle="1" w:styleId="118">
    <w:name w:val="+正文 Char Char"/>
    <w:link w:val="119"/>
    <w:qFormat/>
    <w:uiPriority w:val="0"/>
    <w:rPr>
      <w:rFonts w:ascii="楷体_GB2312"/>
      <w:sz w:val="24"/>
    </w:rPr>
  </w:style>
  <w:style w:type="paragraph" w:customStyle="1" w:styleId="119">
    <w:name w:val="+正文 Char Char Char"/>
    <w:basedOn w:val="1"/>
    <w:link w:val="118"/>
    <w:qFormat/>
    <w:uiPriority w:val="0"/>
    <w:pPr>
      <w:spacing w:line="360" w:lineRule="auto"/>
      <w:ind w:firstLine="200" w:firstLineChars="200"/>
    </w:pPr>
    <w:rPr>
      <w:rFonts w:ascii="楷体_GB2312" w:hAnsi="等线" w:eastAsia="等线"/>
      <w:kern w:val="0"/>
      <w:sz w:val="24"/>
      <w:szCs w:val="20"/>
    </w:rPr>
  </w:style>
  <w:style w:type="character" w:customStyle="1" w:styleId="120">
    <w:name w:val="（1） Char"/>
    <w:qFormat/>
    <w:locked/>
    <w:uiPriority w:val="0"/>
    <w:rPr>
      <w:rFonts w:eastAsia="宋体"/>
      <w:b/>
      <w:sz w:val="24"/>
      <w:szCs w:val="24"/>
      <w:lang w:val="en-US" w:eastAsia="zh-CN" w:bidi="ar-SA"/>
    </w:rPr>
  </w:style>
  <w:style w:type="character" w:customStyle="1" w:styleId="121">
    <w:name w:val="批注框文本 Char"/>
    <w:qFormat/>
    <w:locked/>
    <w:uiPriority w:val="0"/>
    <w:rPr>
      <w:sz w:val="18"/>
      <w:szCs w:val="18"/>
    </w:rPr>
  </w:style>
  <w:style w:type="character" w:customStyle="1" w:styleId="122">
    <w:name w:val="+正文 Char5 Char Char Char Char Char"/>
    <w:link w:val="123"/>
    <w:qFormat/>
    <w:uiPriority w:val="0"/>
    <w:rPr>
      <w:rFonts w:ascii="宋体" w:hAnsi="宋体"/>
      <w:sz w:val="24"/>
    </w:rPr>
  </w:style>
  <w:style w:type="paragraph" w:customStyle="1" w:styleId="123">
    <w:name w:val="+正文 Char5 Char Char Char"/>
    <w:basedOn w:val="1"/>
    <w:link w:val="122"/>
    <w:qFormat/>
    <w:uiPriority w:val="0"/>
    <w:pPr>
      <w:spacing w:line="360" w:lineRule="auto"/>
      <w:ind w:firstLine="200" w:firstLineChars="200"/>
    </w:pPr>
    <w:rPr>
      <w:rFonts w:ascii="宋体" w:hAnsi="宋体" w:eastAsia="等线"/>
      <w:kern w:val="0"/>
      <w:sz w:val="24"/>
      <w:szCs w:val="20"/>
    </w:rPr>
  </w:style>
  <w:style w:type="character" w:customStyle="1" w:styleId="124">
    <w:name w:val="一 Char"/>
    <w:qFormat/>
    <w:locked/>
    <w:uiPriority w:val="0"/>
    <w:rPr>
      <w:rFonts w:eastAsia="宋体"/>
      <w:sz w:val="24"/>
      <w:szCs w:val="24"/>
      <w:lang w:val="en-US" w:eastAsia="zh-CN" w:bidi="ar-SA"/>
    </w:rPr>
  </w:style>
  <w:style w:type="character" w:customStyle="1" w:styleId="125">
    <w:name w:val="普通文字 Char Char2"/>
    <w:qFormat/>
    <w:locked/>
    <w:uiPriority w:val="0"/>
    <w:rPr>
      <w:rFonts w:ascii="宋体" w:hAnsi="Courier New" w:eastAsia="宋体"/>
    </w:rPr>
  </w:style>
  <w:style w:type="character" w:customStyle="1" w:styleId="126">
    <w:name w:val="书籍标题3"/>
    <w:qFormat/>
    <w:uiPriority w:val="33"/>
    <w:rPr>
      <w:b/>
      <w:bCs/>
      <w:smallCaps/>
      <w:spacing w:val="5"/>
    </w:rPr>
  </w:style>
  <w:style w:type="character" w:customStyle="1" w:styleId="127">
    <w:name w:val="文档结构图 Char"/>
    <w:qFormat/>
    <w:locked/>
    <w:uiPriority w:val="0"/>
    <w:rPr>
      <w:szCs w:val="24"/>
      <w:shd w:val="clear" w:color="auto" w:fill="000080"/>
    </w:rPr>
  </w:style>
  <w:style w:type="character" w:customStyle="1" w:styleId="128">
    <w:name w:val="正文文本缩进 2 Char1"/>
    <w:qFormat/>
    <w:locked/>
    <w:uiPriority w:val="0"/>
    <w:rPr>
      <w:rFonts w:ascii="Times New Roman" w:hAnsi="Times New Roman" w:eastAsia="宋体" w:cs="Times New Roman"/>
      <w:szCs w:val="24"/>
    </w:rPr>
  </w:style>
  <w:style w:type="character" w:customStyle="1" w:styleId="129">
    <w:name w:val="+正文 Char2 Char"/>
    <w:qFormat/>
    <w:locked/>
    <w:uiPriority w:val="0"/>
    <w:rPr>
      <w:rFonts w:ascii="宋体" w:hAnsi="宋体"/>
      <w:sz w:val="24"/>
      <w:szCs w:val="28"/>
    </w:rPr>
  </w:style>
  <w:style w:type="character" w:customStyle="1" w:styleId="130">
    <w:name w:val="正文文本缩进 Char1"/>
    <w:semiHidden/>
    <w:qFormat/>
    <w:uiPriority w:val="0"/>
    <w:rPr>
      <w:rFonts w:ascii="Times New Roman" w:hAnsi="Times New Roman"/>
      <w:kern w:val="2"/>
      <w:sz w:val="21"/>
      <w:szCs w:val="24"/>
    </w:rPr>
  </w:style>
  <w:style w:type="character" w:customStyle="1" w:styleId="131">
    <w:name w:val="不明显参考3"/>
    <w:qFormat/>
    <w:uiPriority w:val="31"/>
    <w:rPr>
      <w:smallCaps/>
      <w:color w:val="C0504D"/>
      <w:u w:val="single"/>
    </w:rPr>
  </w:style>
  <w:style w:type="character" w:customStyle="1" w:styleId="132">
    <w:name w:val="PIM 9 Char Char"/>
    <w:qFormat/>
    <w:locked/>
    <w:uiPriority w:val="0"/>
    <w:rPr>
      <w:rFonts w:eastAsia="宋体"/>
      <w:b/>
      <w:sz w:val="24"/>
      <w:szCs w:val="24"/>
      <w:lang w:val="en-US" w:eastAsia="zh-CN" w:bidi="ar-SA"/>
    </w:rPr>
  </w:style>
  <w:style w:type="character" w:customStyle="1" w:styleId="133">
    <w:name w:val="明显引用 Char"/>
    <w:qFormat/>
    <w:uiPriority w:val="0"/>
    <w:rPr>
      <w:rFonts w:ascii="Calibri" w:hAnsi="Calibri"/>
      <w:b/>
      <w:bCs/>
      <w:i/>
      <w:iCs/>
      <w:color w:val="4F81BD"/>
      <w:sz w:val="22"/>
      <w:lang w:eastAsia="en-US" w:bidi="en-US"/>
    </w:rPr>
  </w:style>
  <w:style w:type="paragraph" w:styleId="134">
    <w:name w:val="Intense Quote"/>
    <w:basedOn w:val="1"/>
    <w:next w:val="1"/>
    <w:link w:val="135"/>
    <w:qFormat/>
    <w:uiPriority w:val="30"/>
    <w:pPr>
      <w:widowControl/>
      <w:pBdr>
        <w:bottom w:val="single" w:color="4F81BD" w:sz="4" w:space="4"/>
      </w:pBdr>
      <w:spacing w:before="200" w:after="280" w:line="276" w:lineRule="auto"/>
      <w:ind w:left="936" w:right="936"/>
      <w:jc w:val="left"/>
    </w:pPr>
    <w:rPr>
      <w:rFonts w:eastAsia="等线"/>
      <w:b/>
      <w:bCs/>
      <w:i/>
      <w:iCs/>
      <w:color w:val="4F81BD"/>
      <w:sz w:val="22"/>
      <w:szCs w:val="22"/>
      <w:lang w:eastAsia="en-US" w:bidi="en-US"/>
    </w:rPr>
  </w:style>
  <w:style w:type="character" w:customStyle="1" w:styleId="135">
    <w:name w:val="明显引用 字符"/>
    <w:link w:val="134"/>
    <w:qFormat/>
    <w:uiPriority w:val="30"/>
    <w:rPr>
      <w:rFonts w:ascii="Calibri" w:hAnsi="Calibri"/>
      <w:b/>
      <w:bCs/>
      <w:i/>
      <w:iCs/>
      <w:color w:val="4F81BD"/>
      <w:kern w:val="2"/>
      <w:sz w:val="22"/>
      <w:szCs w:val="22"/>
      <w:lang w:eastAsia="en-US" w:bidi="en-US"/>
    </w:rPr>
  </w:style>
  <w:style w:type="character" w:customStyle="1" w:styleId="136">
    <w:name w:val="+正文 Char2 Char Char"/>
    <w:link w:val="137"/>
    <w:qFormat/>
    <w:uiPriority w:val="0"/>
    <w:rPr>
      <w:rFonts w:ascii="宋体" w:hAnsi="宋体"/>
      <w:sz w:val="24"/>
    </w:rPr>
  </w:style>
  <w:style w:type="paragraph" w:customStyle="1" w:styleId="137">
    <w:name w:val="+正文 Char2"/>
    <w:basedOn w:val="1"/>
    <w:link w:val="136"/>
    <w:qFormat/>
    <w:uiPriority w:val="0"/>
    <w:pPr>
      <w:spacing w:line="360" w:lineRule="auto"/>
      <w:ind w:firstLine="200" w:firstLineChars="200"/>
    </w:pPr>
    <w:rPr>
      <w:rFonts w:ascii="宋体" w:hAnsi="宋体" w:eastAsia="等线"/>
      <w:kern w:val="0"/>
      <w:sz w:val="24"/>
      <w:szCs w:val="20"/>
    </w:rPr>
  </w:style>
  <w:style w:type="character" w:customStyle="1" w:styleId="138">
    <w:name w:val="ind:txt Char"/>
    <w:qFormat/>
    <w:uiPriority w:val="0"/>
    <w:rPr>
      <w:rFonts w:eastAsia="宋体"/>
      <w:kern w:val="2"/>
      <w:sz w:val="28"/>
      <w:szCs w:val="24"/>
      <w:lang w:val="en-US" w:eastAsia="zh-CN" w:bidi="ar-SA"/>
    </w:rPr>
  </w:style>
  <w:style w:type="character" w:customStyle="1" w:styleId="139">
    <w:name w:val="明显参考1"/>
    <w:qFormat/>
    <w:uiPriority w:val="32"/>
    <w:rPr>
      <w:b/>
      <w:bCs/>
      <w:smallCaps/>
      <w:color w:val="C0504D"/>
      <w:spacing w:val="5"/>
      <w:u w:val="single"/>
    </w:rPr>
  </w:style>
  <w:style w:type="character" w:customStyle="1" w:styleId="140">
    <w:name w:val="+1. Char Char Char"/>
    <w:link w:val="141"/>
    <w:qFormat/>
    <w:uiPriority w:val="0"/>
    <w:rPr>
      <w:rFonts w:ascii="楷体_GB2312"/>
      <w:sz w:val="24"/>
    </w:rPr>
  </w:style>
  <w:style w:type="paragraph" w:customStyle="1" w:styleId="141">
    <w:name w:val="+1. Char"/>
    <w:basedOn w:val="119"/>
    <w:link w:val="140"/>
    <w:qFormat/>
    <w:uiPriority w:val="0"/>
    <w:pPr>
      <w:ind w:firstLine="0" w:firstLineChars="0"/>
    </w:pPr>
  </w:style>
  <w:style w:type="character" w:customStyle="1" w:styleId="142">
    <w:name w:val="书籍标题1"/>
    <w:qFormat/>
    <w:uiPriority w:val="33"/>
    <w:rPr>
      <w:b/>
      <w:bCs/>
      <w:smallCaps/>
      <w:spacing w:val="5"/>
    </w:rPr>
  </w:style>
  <w:style w:type="character" w:customStyle="1" w:styleId="143">
    <w:name w:val="正文文本 Char1"/>
    <w:qFormat/>
    <w:uiPriority w:val="0"/>
    <w:rPr>
      <w:rFonts w:ascii="Times New Roman" w:hAnsi="Times New Roman"/>
      <w:kern w:val="2"/>
      <w:sz w:val="21"/>
      <w:szCs w:val="24"/>
    </w:rPr>
  </w:style>
  <w:style w:type="character" w:customStyle="1" w:styleId="144">
    <w:name w:val="正文文本缩进 Char"/>
    <w:qFormat/>
    <w:locked/>
    <w:uiPriority w:val="0"/>
    <w:rPr>
      <w:rFonts w:ascii="宋体"/>
      <w:sz w:val="28"/>
    </w:rPr>
  </w:style>
  <w:style w:type="character" w:customStyle="1" w:styleId="145">
    <w:name w:val="+正文 Char5 Char Char Char Char"/>
    <w:qFormat/>
    <w:locked/>
    <w:uiPriority w:val="0"/>
    <w:rPr>
      <w:rFonts w:ascii="宋体" w:hAnsi="宋体"/>
      <w:sz w:val="24"/>
      <w:szCs w:val="24"/>
    </w:rPr>
  </w:style>
  <w:style w:type="character" w:customStyle="1" w:styleId="146">
    <w:name w:val="样式 (西文) 宋体 小四 黑色"/>
    <w:qFormat/>
    <w:uiPriority w:val="0"/>
    <w:rPr>
      <w:rFonts w:hint="eastAsia" w:ascii="宋体" w:hAnsi="宋体" w:eastAsia="宋体"/>
      <w:color w:val="000000"/>
      <w:sz w:val="21"/>
    </w:rPr>
  </w:style>
  <w:style w:type="character" w:customStyle="1" w:styleId="147">
    <w:name w:val="明显强调2"/>
    <w:qFormat/>
    <w:uiPriority w:val="21"/>
    <w:rPr>
      <w:b/>
      <w:bCs/>
      <w:i/>
      <w:iCs/>
      <w:color w:val="4F81BD"/>
    </w:rPr>
  </w:style>
  <w:style w:type="character" w:customStyle="1" w:styleId="148">
    <w:name w:val="HTML 预设格式 Char1"/>
    <w:qFormat/>
    <w:locked/>
    <w:uiPriority w:val="99"/>
    <w:rPr>
      <w:rFonts w:ascii="Arial" w:hAnsi="Arial" w:cs="Arial"/>
      <w:szCs w:val="21"/>
    </w:rPr>
  </w:style>
  <w:style w:type="character" w:customStyle="1" w:styleId="149">
    <w:name w:val="正文文本缩进 2 Char2"/>
    <w:semiHidden/>
    <w:qFormat/>
    <w:uiPriority w:val="99"/>
    <w:rPr>
      <w:rFonts w:ascii="Times New Roman" w:hAnsi="Times New Roman" w:eastAsia="宋体" w:cs="Times New Roman"/>
      <w:szCs w:val="24"/>
    </w:rPr>
  </w:style>
  <w:style w:type="character" w:customStyle="1" w:styleId="150">
    <w:name w:val="+正文 Char Char3 Char Char Char Char"/>
    <w:link w:val="151"/>
    <w:qFormat/>
    <w:uiPriority w:val="0"/>
    <w:rPr>
      <w:rFonts w:ascii="宋体" w:hAnsi="宋体"/>
      <w:sz w:val="24"/>
    </w:rPr>
  </w:style>
  <w:style w:type="paragraph" w:customStyle="1" w:styleId="151">
    <w:name w:val="+正文 Char Char3 Char Char"/>
    <w:basedOn w:val="1"/>
    <w:link w:val="150"/>
    <w:qFormat/>
    <w:uiPriority w:val="0"/>
    <w:pPr>
      <w:spacing w:line="360" w:lineRule="auto"/>
      <w:ind w:firstLine="200" w:firstLineChars="200"/>
    </w:pPr>
    <w:rPr>
      <w:rFonts w:ascii="宋体" w:hAnsi="宋体" w:eastAsia="等线"/>
      <w:kern w:val="0"/>
      <w:sz w:val="24"/>
      <w:szCs w:val="20"/>
    </w:rPr>
  </w:style>
  <w:style w:type="character" w:customStyle="1" w:styleId="152">
    <w:name w:val="正文缩进 Char Char"/>
    <w:qFormat/>
    <w:uiPriority w:val="0"/>
    <w:rPr>
      <w:rFonts w:ascii="宋体" w:hAnsi="宋体" w:eastAsia="宋体"/>
      <w:kern w:val="2"/>
      <w:sz w:val="28"/>
      <w:szCs w:val="24"/>
      <w:lang w:val="en-US" w:eastAsia="zh-CN" w:bidi="ar-SA"/>
    </w:rPr>
  </w:style>
  <w:style w:type="character" w:customStyle="1" w:styleId="153">
    <w:name w:val="style18"/>
    <w:basedOn w:val="39"/>
    <w:qFormat/>
    <w:uiPriority w:val="0"/>
  </w:style>
  <w:style w:type="character" w:customStyle="1" w:styleId="154">
    <w:name w:val="+列表1 Char Char Char Char Char"/>
    <w:link w:val="155"/>
    <w:qFormat/>
    <w:uiPriority w:val="0"/>
    <w:rPr>
      <w:rFonts w:ascii="宋体" w:hAnsi="宋体"/>
    </w:rPr>
  </w:style>
  <w:style w:type="paragraph" w:customStyle="1" w:styleId="155">
    <w:name w:val="+列表1 Char Char Char"/>
    <w:basedOn w:val="1"/>
    <w:link w:val="154"/>
    <w:qFormat/>
    <w:uiPriority w:val="0"/>
    <w:pPr>
      <w:jc w:val="center"/>
    </w:pPr>
    <w:rPr>
      <w:rFonts w:ascii="宋体" w:hAnsi="宋体" w:eastAsia="等线"/>
      <w:kern w:val="0"/>
      <w:sz w:val="20"/>
      <w:szCs w:val="20"/>
    </w:rPr>
  </w:style>
  <w:style w:type="character" w:customStyle="1" w:styleId="156">
    <w:name w:val="不明显强调1"/>
    <w:qFormat/>
    <w:uiPriority w:val="19"/>
    <w:rPr>
      <w:i/>
      <w:iCs/>
      <w:color w:val="808080"/>
    </w:rPr>
  </w:style>
  <w:style w:type="character" w:customStyle="1" w:styleId="157">
    <w:name w:val="正文文本 3 Char"/>
    <w:qFormat/>
    <w:locked/>
    <w:uiPriority w:val="0"/>
    <w:rPr>
      <w:sz w:val="16"/>
      <w:szCs w:val="16"/>
    </w:rPr>
  </w:style>
  <w:style w:type="character" w:customStyle="1" w:styleId="158">
    <w:name w:val="批注文字 Char2"/>
    <w:qFormat/>
    <w:uiPriority w:val="0"/>
    <w:rPr>
      <w:rFonts w:ascii="Times New Roman" w:hAnsi="Times New Roman" w:eastAsia="宋体" w:cs="Times New Roman"/>
      <w:szCs w:val="24"/>
    </w:rPr>
  </w:style>
  <w:style w:type="character" w:customStyle="1" w:styleId="159">
    <w:name w:val="不明显参考2"/>
    <w:qFormat/>
    <w:uiPriority w:val="31"/>
    <w:rPr>
      <w:smallCaps/>
      <w:color w:val="C0504D"/>
      <w:u w:val="single"/>
    </w:rPr>
  </w:style>
  <w:style w:type="character" w:customStyle="1" w:styleId="160">
    <w:name w:val="标题 1.1 Char"/>
    <w:qFormat/>
    <w:locked/>
    <w:uiPriority w:val="0"/>
    <w:rPr>
      <w:rFonts w:eastAsia="黑体"/>
      <w:kern w:val="2"/>
      <w:sz w:val="28"/>
      <w:szCs w:val="32"/>
      <w:lang w:val="en-US" w:eastAsia="zh-CN" w:bidi="ar-SA"/>
    </w:rPr>
  </w:style>
  <w:style w:type="character" w:customStyle="1" w:styleId="161">
    <w:name w:val="h6 Char"/>
    <w:qFormat/>
    <w:locked/>
    <w:uiPriority w:val="0"/>
    <w:rPr>
      <w:rFonts w:eastAsia="宋体"/>
      <w:sz w:val="24"/>
      <w:szCs w:val="24"/>
      <w:lang w:val="en-US" w:eastAsia="zh-CN" w:bidi="ar-SA"/>
    </w:rPr>
  </w:style>
  <w:style w:type="character" w:customStyle="1" w:styleId="162">
    <w:name w:val="正文文本缩进 3 Char1"/>
    <w:qFormat/>
    <w:uiPriority w:val="0"/>
    <w:rPr>
      <w:kern w:val="2"/>
      <w:sz w:val="16"/>
      <w:szCs w:val="16"/>
    </w:rPr>
  </w:style>
  <w:style w:type="character" w:customStyle="1" w:styleId="163">
    <w:name w:val="副标题 Char"/>
    <w:qFormat/>
    <w:locked/>
    <w:uiPriority w:val="11"/>
    <w:rPr>
      <w:rFonts w:ascii="黑体" w:hAnsi="黑体" w:eastAsia="黑体"/>
      <w:bCs/>
      <w:kern w:val="28"/>
      <w:sz w:val="24"/>
      <w:szCs w:val="32"/>
    </w:rPr>
  </w:style>
  <w:style w:type="character" w:customStyle="1" w:styleId="164">
    <w:name w:val="明显引用 Char1"/>
    <w:qFormat/>
    <w:uiPriority w:val="30"/>
    <w:rPr>
      <w:b/>
      <w:bCs/>
      <w:i/>
      <w:iCs/>
      <w:color w:val="4F81BD"/>
      <w:kern w:val="2"/>
      <w:sz w:val="21"/>
      <w:szCs w:val="24"/>
    </w:rPr>
  </w:style>
  <w:style w:type="character" w:customStyle="1" w:styleId="165">
    <w:name w:val="+正文 Char4"/>
    <w:link w:val="166"/>
    <w:qFormat/>
    <w:uiPriority w:val="0"/>
    <w:rPr>
      <w:rFonts w:ascii="宋体" w:hAnsi="宋体"/>
      <w:sz w:val="24"/>
    </w:rPr>
  </w:style>
  <w:style w:type="paragraph" w:customStyle="1" w:styleId="166">
    <w:name w:val="+正文"/>
    <w:basedOn w:val="1"/>
    <w:link w:val="165"/>
    <w:qFormat/>
    <w:uiPriority w:val="0"/>
    <w:pPr>
      <w:spacing w:line="360" w:lineRule="auto"/>
      <w:ind w:firstLine="200" w:firstLineChars="200"/>
    </w:pPr>
    <w:rPr>
      <w:rFonts w:ascii="宋体" w:hAnsi="宋体" w:eastAsia="等线"/>
      <w:kern w:val="0"/>
      <w:sz w:val="24"/>
      <w:szCs w:val="20"/>
    </w:rPr>
  </w:style>
  <w:style w:type="character" w:customStyle="1" w:styleId="167">
    <w:name w:val="正文文本缩进 2 Char"/>
    <w:qFormat/>
    <w:locked/>
    <w:uiPriority w:val="0"/>
    <w:rPr>
      <w:szCs w:val="24"/>
    </w:rPr>
  </w:style>
  <w:style w:type="character" w:customStyle="1" w:styleId="168">
    <w:name w:val="日期 Char1"/>
    <w:semiHidden/>
    <w:qFormat/>
    <w:locked/>
    <w:uiPriority w:val="99"/>
    <w:rPr>
      <w:rFonts w:ascii="Times New Roman" w:hAnsi="Times New Roman" w:eastAsia="宋体" w:cs="Times New Roman"/>
      <w:szCs w:val="20"/>
    </w:rPr>
  </w:style>
  <w:style w:type="character" w:customStyle="1" w:styleId="169">
    <w:name w:val="明显强调3"/>
    <w:qFormat/>
    <w:uiPriority w:val="21"/>
    <w:rPr>
      <w:b/>
      <w:bCs/>
      <w:i/>
      <w:iCs/>
      <w:color w:val="4F81BD"/>
    </w:rPr>
  </w:style>
  <w:style w:type="character" w:customStyle="1" w:styleId="170">
    <w:name w:val="表文字 Char Char"/>
    <w:link w:val="171"/>
    <w:qFormat/>
    <w:uiPriority w:val="0"/>
    <w:rPr>
      <w:rFonts w:ascii="楷体_GB2312" w:hAnsi="宋体" w:eastAsia="楷体_GB2312"/>
      <w:spacing w:val="-8"/>
      <w:sz w:val="24"/>
      <w:lang w:val="zh-CN"/>
    </w:rPr>
  </w:style>
  <w:style w:type="paragraph" w:customStyle="1" w:styleId="171">
    <w:name w:val="表文字"/>
    <w:basedOn w:val="1"/>
    <w:link w:val="170"/>
    <w:qFormat/>
    <w:uiPriority w:val="0"/>
    <w:pPr>
      <w:adjustRightInd w:val="0"/>
      <w:snapToGrid w:val="0"/>
      <w:spacing w:line="320" w:lineRule="exact"/>
      <w:ind w:right="-31" w:rightChars="-31" w:firstLine="448" w:firstLineChars="200"/>
      <w:jc w:val="center"/>
    </w:pPr>
    <w:rPr>
      <w:rFonts w:ascii="楷体_GB2312" w:hAnsi="宋体" w:eastAsia="楷体_GB2312"/>
      <w:spacing w:val="-8"/>
      <w:kern w:val="0"/>
      <w:sz w:val="24"/>
      <w:szCs w:val="20"/>
      <w:lang w:val="zh-CN"/>
    </w:rPr>
  </w:style>
  <w:style w:type="character" w:customStyle="1" w:styleId="172">
    <w:name w:val="（A） Char Char"/>
    <w:qFormat/>
    <w:locked/>
    <w:uiPriority w:val="0"/>
    <w:rPr>
      <w:rFonts w:eastAsia="宋体"/>
      <w:b/>
      <w:sz w:val="24"/>
      <w:szCs w:val="24"/>
      <w:lang w:val="en-US" w:eastAsia="zh-CN" w:bidi="ar-SA"/>
    </w:rPr>
  </w:style>
  <w:style w:type="character" w:customStyle="1" w:styleId="173">
    <w:name w:val="列表编号3 Char"/>
    <w:qFormat/>
    <w:locked/>
    <w:uiPriority w:val="0"/>
    <w:rPr>
      <w:rFonts w:eastAsia="宋体"/>
      <w:kern w:val="2"/>
      <w:sz w:val="32"/>
      <w:szCs w:val="32"/>
      <w:lang w:val="en-US" w:eastAsia="zh-CN" w:bidi="ar-SA"/>
    </w:rPr>
  </w:style>
  <w:style w:type="character" w:customStyle="1" w:styleId="174">
    <w:name w:val="Char Char8"/>
    <w:qFormat/>
    <w:locked/>
    <w:uiPriority w:val="0"/>
    <w:rPr>
      <w:rFonts w:ascii="宋体" w:hAnsi="宋体" w:eastAsia="宋体"/>
      <w:b/>
      <w:kern w:val="2"/>
      <w:sz w:val="18"/>
      <w:szCs w:val="24"/>
      <w:lang w:val="en-US" w:eastAsia="zh-CN" w:bidi="ar-SA"/>
    </w:rPr>
  </w:style>
  <w:style w:type="character" w:customStyle="1" w:styleId="175">
    <w:name w:val="普通(网站) Char1"/>
    <w:semiHidden/>
    <w:qFormat/>
    <w:locked/>
    <w:uiPriority w:val="99"/>
    <w:rPr>
      <w:rFonts w:ascii="Times New Roman" w:hAnsi="Times New Roman"/>
      <w:kern w:val="2"/>
      <w:sz w:val="18"/>
      <w:szCs w:val="18"/>
    </w:rPr>
  </w:style>
  <w:style w:type="character" w:customStyle="1" w:styleId="176">
    <w:name w:val="标题 3 Char1"/>
    <w:semiHidden/>
    <w:qFormat/>
    <w:uiPriority w:val="0"/>
    <w:rPr>
      <w:b/>
      <w:bCs/>
      <w:kern w:val="2"/>
      <w:sz w:val="32"/>
      <w:szCs w:val="32"/>
    </w:rPr>
  </w:style>
  <w:style w:type="character" w:customStyle="1" w:styleId="177">
    <w:name w:val="日期 Char"/>
    <w:qFormat/>
    <w:locked/>
    <w:uiPriority w:val="0"/>
  </w:style>
  <w:style w:type="character" w:customStyle="1" w:styleId="178">
    <w:name w:val="+列表1 Char Char Char Char"/>
    <w:qFormat/>
    <w:locked/>
    <w:uiPriority w:val="0"/>
    <w:rPr>
      <w:rFonts w:ascii="宋体" w:hAnsi="宋体"/>
      <w:szCs w:val="24"/>
    </w:rPr>
  </w:style>
  <w:style w:type="character" w:customStyle="1" w:styleId="179">
    <w:name w:val="批注框文本 Char1"/>
    <w:qFormat/>
    <w:uiPriority w:val="0"/>
    <w:rPr>
      <w:rFonts w:ascii="Times New Roman" w:hAnsi="Times New Roman"/>
      <w:kern w:val="2"/>
      <w:sz w:val="18"/>
      <w:szCs w:val="18"/>
    </w:rPr>
  </w:style>
  <w:style w:type="character" w:customStyle="1" w:styleId="180">
    <w:name w:val="正文文本缩进 3 Char2"/>
    <w:semiHidden/>
    <w:qFormat/>
    <w:uiPriority w:val="99"/>
    <w:rPr>
      <w:rFonts w:ascii="Times New Roman" w:hAnsi="Times New Roman" w:eastAsia="宋体" w:cs="Times New Roman"/>
      <w:sz w:val="16"/>
      <w:szCs w:val="16"/>
    </w:rPr>
  </w:style>
  <w:style w:type="character" w:customStyle="1" w:styleId="181">
    <w:name w:val="样式 标题 2标题 1.1编号标题21.1head:2#2 headlinehheadlineS&amp;R2ERMH...1 Char"/>
    <w:qFormat/>
    <w:uiPriority w:val="0"/>
    <w:rPr>
      <w:rFonts w:eastAsia="黑体"/>
      <w:b/>
      <w:bCs/>
      <w:kern w:val="2"/>
      <w:sz w:val="28"/>
      <w:szCs w:val="32"/>
      <w:lang w:val="en-US" w:eastAsia="zh-CN" w:bidi="ar-SA"/>
    </w:rPr>
  </w:style>
  <w:style w:type="character" w:customStyle="1" w:styleId="182">
    <w:name w:val="文档结构图 Char1"/>
    <w:semiHidden/>
    <w:qFormat/>
    <w:uiPriority w:val="99"/>
    <w:rPr>
      <w:rFonts w:ascii="宋体" w:hAnsi="Times New Roman"/>
      <w:kern w:val="2"/>
      <w:sz w:val="18"/>
      <w:szCs w:val="18"/>
    </w:rPr>
  </w:style>
  <w:style w:type="character" w:customStyle="1" w:styleId="183">
    <w:name w:val="明显强调1"/>
    <w:qFormat/>
    <w:uiPriority w:val="21"/>
    <w:rPr>
      <w:b/>
      <w:bCs/>
      <w:i/>
      <w:iCs/>
      <w:color w:val="4F81BD"/>
    </w:rPr>
  </w:style>
  <w:style w:type="character" w:customStyle="1" w:styleId="184">
    <w:name w:val="批注主题 Char2"/>
    <w:semiHidden/>
    <w:qFormat/>
    <w:uiPriority w:val="99"/>
    <w:rPr>
      <w:rFonts w:ascii="Times New Roman" w:hAnsi="Times New Roman" w:eastAsia="宋体" w:cs="Times New Roman"/>
      <w:b/>
      <w:bCs/>
      <w:szCs w:val="24"/>
    </w:rPr>
  </w:style>
  <w:style w:type="character" w:customStyle="1" w:styleId="185">
    <w:name w:val="批注主题 Char1"/>
    <w:qFormat/>
    <w:uiPriority w:val="0"/>
    <w:rPr>
      <w:b/>
      <w:bCs/>
      <w:kern w:val="2"/>
      <w:sz w:val="21"/>
      <w:szCs w:val="24"/>
    </w:rPr>
  </w:style>
  <w:style w:type="character" w:customStyle="1" w:styleId="186">
    <w:name w:val="+正文 Char Char5 Char Char"/>
    <w:qFormat/>
    <w:locked/>
    <w:uiPriority w:val="0"/>
    <w:rPr>
      <w:rFonts w:ascii="宋体" w:hAnsi="宋体"/>
      <w:sz w:val="24"/>
      <w:szCs w:val="24"/>
    </w:rPr>
  </w:style>
  <w:style w:type="character" w:customStyle="1" w:styleId="187">
    <w:name w:val="纯文本 Char1"/>
    <w:qFormat/>
    <w:locked/>
    <w:uiPriority w:val="0"/>
    <w:rPr>
      <w:rFonts w:ascii="宋体" w:hAnsi="Courier New" w:eastAsia="宋体"/>
      <w:kern w:val="2"/>
      <w:sz w:val="21"/>
      <w:lang w:val="en-US" w:eastAsia="zh-CN" w:bidi="ar-SA"/>
    </w:rPr>
  </w:style>
  <w:style w:type="character" w:customStyle="1" w:styleId="188">
    <w:name w:val="正文文本 3 Char1"/>
    <w:semiHidden/>
    <w:qFormat/>
    <w:uiPriority w:val="0"/>
    <w:rPr>
      <w:kern w:val="2"/>
      <w:sz w:val="16"/>
      <w:szCs w:val="16"/>
    </w:rPr>
  </w:style>
  <w:style w:type="character" w:customStyle="1" w:styleId="189">
    <w:name w:val="明显引用 Char2"/>
    <w:qFormat/>
    <w:locked/>
    <w:uiPriority w:val="30"/>
    <w:rPr>
      <w:rFonts w:ascii="Calibri" w:hAnsi="Calibri"/>
      <w:b/>
      <w:bCs/>
      <w:i/>
      <w:iCs/>
      <w:color w:val="4F81BD"/>
      <w:sz w:val="22"/>
      <w:lang w:eastAsia="en-US" w:bidi="en-US"/>
    </w:rPr>
  </w:style>
  <w:style w:type="character" w:customStyle="1" w:styleId="190">
    <w:name w:val="引用 Char2"/>
    <w:qFormat/>
    <w:uiPriority w:val="29"/>
    <w:rPr>
      <w:rFonts w:ascii="Times New Roman" w:hAnsi="Times New Roman" w:eastAsia="宋体" w:cs="Times New Roman"/>
      <w:i/>
      <w:iCs/>
      <w:color w:val="000000"/>
      <w:szCs w:val="24"/>
    </w:rPr>
  </w:style>
  <w:style w:type="character" w:customStyle="1" w:styleId="191">
    <w:name w:val="明显引用 Char3"/>
    <w:link w:val="192"/>
    <w:qFormat/>
    <w:uiPriority w:val="30"/>
    <w:rPr>
      <w:b/>
      <w:bCs/>
      <w:i/>
      <w:iCs/>
      <w:color w:val="4F81BD"/>
      <w:szCs w:val="24"/>
    </w:rPr>
  </w:style>
  <w:style w:type="paragraph" w:customStyle="1" w:styleId="192">
    <w:name w:val="明显引用1"/>
    <w:basedOn w:val="1"/>
    <w:next w:val="1"/>
    <w:link w:val="191"/>
    <w:qFormat/>
    <w:uiPriority w:val="30"/>
    <w:pPr>
      <w:pBdr>
        <w:bottom w:val="single" w:color="4F81BD" w:sz="4" w:space="4"/>
      </w:pBdr>
      <w:spacing w:before="200" w:after="280"/>
      <w:ind w:left="936" w:right="936"/>
    </w:pPr>
    <w:rPr>
      <w:rFonts w:ascii="等线" w:hAnsi="等线" w:eastAsia="等线"/>
      <w:b/>
      <w:bCs/>
      <w:i/>
      <w:iCs/>
      <w:color w:val="4F81BD"/>
      <w:kern w:val="0"/>
      <w:sz w:val="20"/>
    </w:rPr>
  </w:style>
  <w:style w:type="character" w:customStyle="1" w:styleId="193">
    <w:name w:val="书籍标题2"/>
    <w:qFormat/>
    <w:uiPriority w:val="33"/>
    <w:rPr>
      <w:b/>
      <w:bCs/>
      <w:smallCaps/>
      <w:spacing w:val="5"/>
    </w:rPr>
  </w:style>
  <w:style w:type="character" w:customStyle="1" w:styleId="194">
    <w:name w:val="+正文 Char Char2 Char Char"/>
    <w:qFormat/>
    <w:locked/>
    <w:uiPriority w:val="0"/>
    <w:rPr>
      <w:rFonts w:ascii="宋体" w:hAnsi="宋体"/>
      <w:sz w:val="24"/>
      <w:szCs w:val="28"/>
    </w:rPr>
  </w:style>
  <w:style w:type="character" w:customStyle="1" w:styleId="195">
    <w:name w:val="批注框文本 Char2"/>
    <w:semiHidden/>
    <w:qFormat/>
    <w:uiPriority w:val="99"/>
    <w:rPr>
      <w:rFonts w:ascii="Times New Roman" w:hAnsi="Times New Roman" w:eastAsia="宋体" w:cs="Times New Roman"/>
      <w:sz w:val="18"/>
      <w:szCs w:val="18"/>
    </w:rPr>
  </w:style>
  <w:style w:type="character" w:customStyle="1" w:styleId="196">
    <w:name w:val="不明显参考1"/>
    <w:qFormat/>
    <w:uiPriority w:val="31"/>
    <w:rPr>
      <w:smallCaps/>
      <w:color w:val="C0504D"/>
      <w:u w:val="single"/>
    </w:rPr>
  </w:style>
  <w:style w:type="character" w:customStyle="1" w:styleId="197">
    <w:name w:val="不明显强调2"/>
    <w:qFormat/>
    <w:uiPriority w:val="19"/>
    <w:rPr>
      <w:i/>
      <w:iCs/>
      <w:color w:val="808080"/>
    </w:rPr>
  </w:style>
  <w:style w:type="character" w:customStyle="1" w:styleId="198">
    <w:name w:val="+1. Char Char"/>
    <w:qFormat/>
    <w:locked/>
    <w:uiPriority w:val="0"/>
    <w:rPr>
      <w:rFonts w:ascii="楷体_GB2312"/>
      <w:sz w:val="24"/>
      <w:szCs w:val="28"/>
    </w:rPr>
  </w:style>
  <w:style w:type="character" w:customStyle="1" w:styleId="199">
    <w:name w:val="标题 Char1"/>
    <w:qFormat/>
    <w:uiPriority w:val="10"/>
    <w:rPr>
      <w:rFonts w:ascii="Cambria" w:hAnsi="Cambria" w:cs="Times New Roman"/>
      <w:b/>
      <w:bCs/>
      <w:kern w:val="2"/>
      <w:sz w:val="32"/>
      <w:szCs w:val="32"/>
    </w:rPr>
  </w:style>
  <w:style w:type="character" w:customStyle="1" w:styleId="200">
    <w:name w:val="正文文本 2 Char"/>
    <w:qFormat/>
    <w:uiPriority w:val="0"/>
    <w:rPr>
      <w:szCs w:val="24"/>
    </w:rPr>
  </w:style>
  <w:style w:type="character" w:customStyle="1" w:styleId="201">
    <w:name w:val="标题 1 Char1"/>
    <w:qFormat/>
    <w:uiPriority w:val="0"/>
    <w:rPr>
      <w:b/>
      <w:bCs/>
      <w:kern w:val="44"/>
      <w:sz w:val="44"/>
      <w:szCs w:val="44"/>
    </w:rPr>
  </w:style>
  <w:style w:type="character" w:customStyle="1" w:styleId="202">
    <w:name w:val="标题 Char"/>
    <w:qFormat/>
    <w:locked/>
    <w:uiPriority w:val="10"/>
    <w:rPr>
      <w:rFonts w:ascii="Cambria" w:hAnsi="Cambria"/>
      <w:b/>
      <w:bCs/>
      <w:sz w:val="32"/>
      <w:szCs w:val="32"/>
    </w:rPr>
  </w:style>
  <w:style w:type="character" w:customStyle="1" w:styleId="203">
    <w:name w:val="正文文本 Char"/>
    <w:qFormat/>
    <w:locked/>
    <w:uiPriority w:val="0"/>
    <w:rPr>
      <w:rFonts w:eastAsia="隶书"/>
      <w:b/>
      <w:sz w:val="44"/>
    </w:rPr>
  </w:style>
  <w:style w:type="character" w:customStyle="1" w:styleId="204">
    <w:name w:val="明显参考3"/>
    <w:qFormat/>
    <w:uiPriority w:val="32"/>
    <w:rPr>
      <w:b/>
      <w:bCs/>
      <w:smallCaps/>
      <w:color w:val="C0504D"/>
      <w:spacing w:val="5"/>
      <w:u w:val="single"/>
    </w:rPr>
  </w:style>
  <w:style w:type="character" w:customStyle="1" w:styleId="205">
    <w:name w:val="表文字 Char"/>
    <w:qFormat/>
    <w:locked/>
    <w:uiPriority w:val="0"/>
    <w:rPr>
      <w:rFonts w:ascii="楷体_GB2312" w:hAnsi="宋体" w:eastAsia="楷体_GB2312"/>
      <w:spacing w:val="-8"/>
      <w:sz w:val="24"/>
      <w:szCs w:val="24"/>
      <w:lang w:val="zh-CN"/>
    </w:rPr>
  </w:style>
  <w:style w:type="character" w:customStyle="1" w:styleId="206">
    <w:name w:val="+正文 Char Char5 Char Char Char"/>
    <w:link w:val="207"/>
    <w:qFormat/>
    <w:uiPriority w:val="0"/>
    <w:rPr>
      <w:rFonts w:ascii="宋体" w:hAnsi="宋体"/>
      <w:sz w:val="24"/>
    </w:rPr>
  </w:style>
  <w:style w:type="paragraph" w:customStyle="1" w:styleId="207">
    <w:name w:val="+正文 Char Char5 Char"/>
    <w:basedOn w:val="1"/>
    <w:link w:val="206"/>
    <w:qFormat/>
    <w:uiPriority w:val="0"/>
    <w:pPr>
      <w:spacing w:line="360" w:lineRule="auto"/>
      <w:ind w:firstLine="200" w:firstLineChars="200"/>
    </w:pPr>
    <w:rPr>
      <w:rFonts w:ascii="宋体" w:hAnsi="宋体" w:eastAsia="等线"/>
      <w:kern w:val="0"/>
      <w:sz w:val="24"/>
      <w:szCs w:val="20"/>
    </w:rPr>
  </w:style>
  <w:style w:type="character" w:customStyle="1" w:styleId="208">
    <w:name w:val="纯文本 Char"/>
    <w:qFormat/>
    <w:locked/>
    <w:uiPriority w:val="0"/>
    <w:rPr>
      <w:rFonts w:ascii="宋体" w:hAnsi="Courier New"/>
    </w:rPr>
  </w:style>
  <w:style w:type="character" w:customStyle="1" w:styleId="209">
    <w:name w:val="标题 8 Char1"/>
    <w:semiHidden/>
    <w:qFormat/>
    <w:uiPriority w:val="0"/>
    <w:rPr>
      <w:rFonts w:ascii="Cambria" w:hAnsi="Cambria" w:eastAsia="宋体" w:cs="Times New Roman"/>
      <w:kern w:val="2"/>
      <w:sz w:val="24"/>
      <w:szCs w:val="24"/>
    </w:rPr>
  </w:style>
  <w:style w:type="character" w:customStyle="1" w:styleId="210">
    <w:name w:val="不明显强调3"/>
    <w:qFormat/>
    <w:uiPriority w:val="19"/>
    <w:rPr>
      <w:i/>
      <w:iCs/>
      <w:color w:val="808080"/>
    </w:rPr>
  </w:style>
  <w:style w:type="character" w:customStyle="1" w:styleId="211">
    <w:name w:val="规范正文 Char Char Char Char"/>
    <w:qFormat/>
    <w:uiPriority w:val="0"/>
    <w:rPr>
      <w:rFonts w:eastAsia="宋体"/>
      <w:kern w:val="2"/>
      <w:sz w:val="24"/>
      <w:szCs w:val="24"/>
      <w:lang w:val="en-US" w:eastAsia="zh-CN" w:bidi="ar-SA"/>
    </w:rPr>
  </w:style>
  <w:style w:type="character" w:customStyle="1" w:styleId="212">
    <w:name w:val="+正文 Char Char2 Char Char Char"/>
    <w:link w:val="213"/>
    <w:qFormat/>
    <w:uiPriority w:val="0"/>
    <w:rPr>
      <w:rFonts w:ascii="宋体" w:hAnsi="宋体"/>
      <w:sz w:val="24"/>
    </w:rPr>
  </w:style>
  <w:style w:type="paragraph" w:customStyle="1" w:styleId="213">
    <w:name w:val="+正文 Char Char2 Char"/>
    <w:basedOn w:val="1"/>
    <w:link w:val="212"/>
    <w:qFormat/>
    <w:uiPriority w:val="0"/>
    <w:pPr>
      <w:spacing w:line="360" w:lineRule="auto"/>
      <w:ind w:firstLine="200" w:firstLineChars="200"/>
    </w:pPr>
    <w:rPr>
      <w:rFonts w:ascii="宋体" w:hAnsi="宋体" w:eastAsia="等线"/>
      <w:kern w:val="0"/>
      <w:sz w:val="24"/>
      <w:szCs w:val="20"/>
    </w:rPr>
  </w:style>
  <w:style w:type="character" w:customStyle="1" w:styleId="214">
    <w:name w:val="标题 Char2"/>
    <w:qFormat/>
    <w:uiPriority w:val="10"/>
    <w:rPr>
      <w:rFonts w:ascii="Cambria" w:hAnsi="Cambria" w:eastAsia="宋体" w:cs="Times New Roman"/>
      <w:b/>
      <w:bCs/>
      <w:sz w:val="32"/>
      <w:szCs w:val="32"/>
    </w:rPr>
  </w:style>
  <w:style w:type="character" w:customStyle="1" w:styleId="215">
    <w:name w:val="+正文 Char Char3 Char Char Char"/>
    <w:qFormat/>
    <w:locked/>
    <w:uiPriority w:val="0"/>
    <w:rPr>
      <w:rFonts w:ascii="宋体" w:hAnsi="宋体"/>
      <w:sz w:val="24"/>
      <w:szCs w:val="24"/>
    </w:rPr>
  </w:style>
  <w:style w:type="character" w:customStyle="1" w:styleId="216">
    <w:name w:val="批注文字 Char"/>
    <w:qFormat/>
    <w:locked/>
    <w:uiPriority w:val="0"/>
    <w:rPr>
      <w:kern w:val="2"/>
      <w:sz w:val="21"/>
      <w:szCs w:val="24"/>
    </w:rPr>
  </w:style>
  <w:style w:type="character" w:customStyle="1" w:styleId="217">
    <w:name w:val="正文文本缩进 Char2"/>
    <w:semiHidden/>
    <w:qFormat/>
    <w:uiPriority w:val="99"/>
    <w:rPr>
      <w:rFonts w:ascii="Times New Roman" w:hAnsi="Times New Roman" w:eastAsia="宋体" w:cs="Times New Roman"/>
      <w:szCs w:val="24"/>
    </w:rPr>
  </w:style>
  <w:style w:type="character" w:customStyle="1" w:styleId="218">
    <w:name w:val="引用 Char"/>
    <w:qFormat/>
    <w:uiPriority w:val="0"/>
    <w:rPr>
      <w:rFonts w:ascii="Calibri" w:hAnsi="Calibri"/>
      <w:i/>
      <w:iCs/>
      <w:color w:val="000000"/>
      <w:sz w:val="22"/>
      <w:lang w:eastAsia="en-US" w:bidi="en-US"/>
    </w:rPr>
  </w:style>
  <w:style w:type="paragraph" w:styleId="219">
    <w:name w:val="Quote"/>
    <w:basedOn w:val="1"/>
    <w:next w:val="1"/>
    <w:link w:val="220"/>
    <w:qFormat/>
    <w:uiPriority w:val="29"/>
    <w:pPr>
      <w:widowControl/>
      <w:spacing w:after="200" w:line="276" w:lineRule="auto"/>
      <w:jc w:val="left"/>
    </w:pPr>
    <w:rPr>
      <w:rFonts w:eastAsia="等线"/>
      <w:i/>
      <w:iCs/>
      <w:color w:val="000000"/>
      <w:sz w:val="22"/>
      <w:szCs w:val="22"/>
      <w:lang w:eastAsia="en-US" w:bidi="en-US"/>
    </w:rPr>
  </w:style>
  <w:style w:type="character" w:customStyle="1" w:styleId="220">
    <w:name w:val="引用 字符"/>
    <w:link w:val="219"/>
    <w:qFormat/>
    <w:uiPriority w:val="29"/>
    <w:rPr>
      <w:rFonts w:ascii="Calibri" w:hAnsi="Calibri"/>
      <w:i/>
      <w:iCs/>
      <w:color w:val="000000"/>
      <w:kern w:val="2"/>
      <w:sz w:val="22"/>
      <w:szCs w:val="22"/>
      <w:lang w:eastAsia="en-US" w:bidi="en-US"/>
    </w:rPr>
  </w:style>
  <w:style w:type="character" w:customStyle="1" w:styleId="221">
    <w:name w:val="明显参考2"/>
    <w:qFormat/>
    <w:uiPriority w:val="32"/>
    <w:rPr>
      <w:b/>
      <w:bCs/>
      <w:smallCaps/>
      <w:color w:val="C0504D"/>
      <w:spacing w:val="5"/>
      <w:u w:val="single"/>
    </w:rPr>
  </w:style>
  <w:style w:type="character" w:customStyle="1" w:styleId="222">
    <w:name w:val="+标题3 Char Char"/>
    <w:link w:val="223"/>
    <w:qFormat/>
    <w:uiPriority w:val="0"/>
    <w:rPr>
      <w:rFonts w:ascii="宋体" w:hAnsi="宋体"/>
      <w:b/>
      <w:sz w:val="32"/>
    </w:rPr>
  </w:style>
  <w:style w:type="paragraph" w:customStyle="1" w:styleId="223">
    <w:name w:val="+标题3 Char"/>
    <w:basedOn w:val="4"/>
    <w:link w:val="222"/>
    <w:qFormat/>
    <w:uiPriority w:val="0"/>
    <w:pPr>
      <w:spacing w:line="360" w:lineRule="auto"/>
    </w:pPr>
    <w:rPr>
      <w:rFonts w:ascii="宋体" w:hAnsi="宋体" w:eastAsia="等线"/>
      <w:bCs w:val="0"/>
      <w:kern w:val="0"/>
      <w:szCs w:val="20"/>
    </w:rPr>
  </w:style>
  <w:style w:type="character" w:customStyle="1" w:styleId="224">
    <w:name w:val="页脚 Char1"/>
    <w:semiHidden/>
    <w:qFormat/>
    <w:uiPriority w:val="0"/>
    <w:rPr>
      <w:rFonts w:ascii="Times New Roman" w:hAnsi="Times New Roman" w:eastAsia="宋体" w:cs="Times New Roman"/>
      <w:sz w:val="18"/>
      <w:szCs w:val="18"/>
    </w:rPr>
  </w:style>
  <w:style w:type="character" w:customStyle="1" w:styleId="225">
    <w:name w:val="批注主题 Char"/>
    <w:qFormat/>
    <w:locked/>
    <w:uiPriority w:val="0"/>
    <w:rPr>
      <w:b/>
      <w:bCs/>
      <w:szCs w:val="24"/>
    </w:rPr>
  </w:style>
  <w:style w:type="character" w:customStyle="1" w:styleId="226">
    <w:name w:val="Char Char7"/>
    <w:qFormat/>
    <w:locked/>
    <w:uiPriority w:val="0"/>
    <w:rPr>
      <w:rFonts w:ascii="宋体" w:hAnsi="Courier New" w:eastAsia="宋体"/>
      <w:b/>
      <w:kern w:val="2"/>
      <w:sz w:val="24"/>
      <w:szCs w:val="24"/>
      <w:lang w:val="en-US" w:eastAsia="zh-CN" w:bidi="ar-SA"/>
    </w:rPr>
  </w:style>
  <w:style w:type="character" w:customStyle="1" w:styleId="227">
    <w:name w:val="引用 Char1"/>
    <w:qFormat/>
    <w:uiPriority w:val="29"/>
    <w:rPr>
      <w:rFonts w:ascii="Times New Roman" w:hAnsi="Times New Roman" w:eastAsia="宋体" w:cs="Times New Roman"/>
      <w:i/>
      <w:iCs/>
      <w:color w:val="000000"/>
      <w:szCs w:val="24"/>
    </w:rPr>
  </w:style>
  <w:style w:type="character" w:customStyle="1" w:styleId="228">
    <w:name w:val="批注文字 Char1"/>
    <w:qFormat/>
    <w:uiPriority w:val="0"/>
    <w:rPr>
      <w:kern w:val="2"/>
      <w:sz w:val="21"/>
      <w:szCs w:val="24"/>
    </w:rPr>
  </w:style>
  <w:style w:type="character" w:customStyle="1" w:styleId="229">
    <w:name w:val="无间隔 字符"/>
    <w:link w:val="65"/>
    <w:qFormat/>
    <w:uiPriority w:val="0"/>
    <w:rPr>
      <w:rFonts w:ascii="Calibri" w:hAnsi="Calibri" w:eastAsia="宋体" w:cs="Times New Roman"/>
      <w:kern w:val="2"/>
      <w:sz w:val="22"/>
      <w:szCs w:val="22"/>
      <w:lang w:eastAsia="en-US" w:bidi="en-US"/>
    </w:rPr>
  </w:style>
  <w:style w:type="character" w:customStyle="1" w:styleId="230">
    <w:name w:val="正文文本缩进 3 Char"/>
    <w:qFormat/>
    <w:locked/>
    <w:uiPriority w:val="0"/>
    <w:rPr>
      <w:rFonts w:ascii="宋体" w:hAnsi="宋体"/>
      <w:sz w:val="24"/>
    </w:rPr>
  </w:style>
  <w:style w:type="character" w:customStyle="1" w:styleId="231">
    <w:name w:val="正文文本 2 Char1"/>
    <w:semiHidden/>
    <w:qFormat/>
    <w:uiPriority w:val="99"/>
    <w:rPr>
      <w:rFonts w:ascii="Times New Roman" w:hAnsi="Times New Roman"/>
      <w:kern w:val="2"/>
      <w:sz w:val="21"/>
      <w:szCs w:val="24"/>
    </w:rPr>
  </w:style>
  <w:style w:type="character" w:customStyle="1" w:styleId="232">
    <w:name w:val="副标题 Char1"/>
    <w:qFormat/>
    <w:uiPriority w:val="11"/>
    <w:rPr>
      <w:rFonts w:ascii="Cambria" w:hAnsi="Cambria" w:cs="Times New Roman"/>
      <w:b/>
      <w:bCs/>
      <w:kern w:val="28"/>
      <w:sz w:val="32"/>
      <w:szCs w:val="32"/>
    </w:rPr>
  </w:style>
  <w:style w:type="character" w:customStyle="1" w:styleId="233">
    <w:name w:val="HTML 预设格式 Char"/>
    <w:qFormat/>
    <w:uiPriority w:val="0"/>
    <w:rPr>
      <w:rFonts w:ascii="Courier New" w:hAnsi="Courier New" w:cs="Courier New"/>
      <w:sz w:val="20"/>
      <w:szCs w:val="20"/>
    </w:rPr>
  </w:style>
  <w:style w:type="character" w:customStyle="1" w:styleId="234">
    <w:name w:val="副标题 Char2"/>
    <w:qFormat/>
    <w:uiPriority w:val="11"/>
    <w:rPr>
      <w:rFonts w:ascii="Cambria" w:hAnsi="Cambria" w:eastAsia="宋体" w:cs="Times New Roman"/>
      <w:b/>
      <w:bCs/>
      <w:kern w:val="28"/>
      <w:sz w:val="32"/>
      <w:szCs w:val="32"/>
    </w:rPr>
  </w:style>
  <w:style w:type="character" w:customStyle="1" w:styleId="235">
    <w:name w:val="Char Char10"/>
    <w:qFormat/>
    <w:locked/>
    <w:uiPriority w:val="0"/>
    <w:rPr>
      <w:rFonts w:ascii="仿宋_GB2312" w:eastAsia="仿宋_GB2312"/>
      <w:b/>
      <w:kern w:val="2"/>
      <w:sz w:val="24"/>
      <w:szCs w:val="24"/>
      <w:lang w:val="en-US" w:eastAsia="zh-CN" w:bidi="ar-SA"/>
    </w:rPr>
  </w:style>
  <w:style w:type="character" w:customStyle="1" w:styleId="236">
    <w:name w:val="even Char Char"/>
    <w:qFormat/>
    <w:locked/>
    <w:uiPriority w:val="0"/>
    <w:rPr>
      <w:rFonts w:ascii="宋体" w:hAnsi="宋体" w:eastAsia="宋体"/>
      <w:b/>
      <w:kern w:val="2"/>
      <w:sz w:val="18"/>
      <w:szCs w:val="24"/>
      <w:lang w:val="en-US" w:eastAsia="zh-CN" w:bidi="ar-SA"/>
    </w:rPr>
  </w:style>
  <w:style w:type="character" w:customStyle="1" w:styleId="237">
    <w:name w:val="页脚 Char2"/>
    <w:semiHidden/>
    <w:qFormat/>
    <w:uiPriority w:val="99"/>
    <w:rPr>
      <w:kern w:val="2"/>
      <w:sz w:val="18"/>
      <w:szCs w:val="18"/>
    </w:rPr>
  </w:style>
  <w:style w:type="character" w:customStyle="1" w:styleId="238">
    <w:name w:val="页眉 Char2"/>
    <w:semiHidden/>
    <w:qFormat/>
    <w:uiPriority w:val="99"/>
    <w:rPr>
      <w:kern w:val="2"/>
      <w:sz w:val="18"/>
      <w:szCs w:val="18"/>
    </w:rPr>
  </w:style>
  <w:style w:type="paragraph" w:customStyle="1" w:styleId="239">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24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2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242">
    <w:name w:val="font8"/>
    <w:basedOn w:val="1"/>
    <w:qFormat/>
    <w:uiPriority w:val="0"/>
    <w:pPr>
      <w:widowControl/>
      <w:spacing w:before="100" w:beforeAutospacing="1" w:after="100" w:afterAutospacing="1"/>
      <w:jc w:val="left"/>
    </w:pPr>
    <w:rPr>
      <w:rFonts w:hint="eastAsia" w:ascii="宋体" w:hAnsi="宋体"/>
      <w:b/>
      <w:bCs/>
      <w:kern w:val="0"/>
      <w:sz w:val="20"/>
      <w:szCs w:val="20"/>
    </w:rPr>
  </w:style>
  <w:style w:type="paragraph" w:customStyle="1" w:styleId="243">
    <w:name w:val="Char Char Char Char"/>
    <w:basedOn w:val="1"/>
    <w:next w:val="1"/>
    <w:qFormat/>
    <w:uiPriority w:val="0"/>
    <w:pPr>
      <w:widowControl/>
      <w:spacing w:after="160" w:line="240" w:lineRule="exact"/>
      <w:jc w:val="left"/>
    </w:pPr>
    <w:rPr>
      <w:rFonts w:ascii="Verdana" w:hAnsi="Verdana"/>
      <w:kern w:val="0"/>
      <w:sz w:val="20"/>
      <w:szCs w:val="20"/>
      <w:lang w:eastAsia="en-US"/>
    </w:rPr>
  </w:style>
  <w:style w:type="paragraph" w:customStyle="1" w:styleId="244">
    <w:name w:val="引用3"/>
    <w:basedOn w:val="1"/>
    <w:next w:val="1"/>
    <w:qFormat/>
    <w:uiPriority w:val="0"/>
    <w:rPr>
      <w:i/>
      <w:iCs/>
      <w:color w:val="000000"/>
      <w:kern w:val="0"/>
      <w:sz w:val="22"/>
      <w:szCs w:val="22"/>
      <w:lang w:eastAsia="en-US" w:bidi="en-US"/>
    </w:rPr>
  </w:style>
  <w:style w:type="paragraph" w:customStyle="1" w:styleId="245">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46">
    <w:name w:val="xl51"/>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47">
    <w:name w:val="+列表1"/>
    <w:basedOn w:val="1"/>
    <w:qFormat/>
    <w:uiPriority w:val="0"/>
    <w:pPr>
      <w:jc w:val="center"/>
    </w:pPr>
    <w:rPr>
      <w:rFonts w:ascii="Times New Roman" w:hAnsi="Times New Roman"/>
    </w:rPr>
  </w:style>
  <w:style w:type="paragraph" w:customStyle="1" w:styleId="248">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Narrow" w:hAnsi="Arial Narrow"/>
      <w:kern w:val="0"/>
      <w:sz w:val="20"/>
      <w:szCs w:val="20"/>
    </w:rPr>
  </w:style>
  <w:style w:type="paragraph" w:customStyle="1" w:styleId="249">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50">
    <w:name w:val="font11"/>
    <w:basedOn w:val="1"/>
    <w:qFormat/>
    <w:uiPriority w:val="0"/>
    <w:pPr>
      <w:widowControl/>
      <w:spacing w:before="100" w:beforeAutospacing="1" w:after="100" w:afterAutospacing="1"/>
      <w:jc w:val="left"/>
    </w:pPr>
    <w:rPr>
      <w:rFonts w:hint="eastAsia" w:ascii="宋体" w:hAnsi="宋体"/>
      <w:kern w:val="0"/>
      <w:sz w:val="20"/>
      <w:szCs w:val="20"/>
    </w:rPr>
  </w:style>
  <w:style w:type="paragraph" w:customStyle="1" w:styleId="251">
    <w:name w:val="正文文本 23"/>
    <w:basedOn w:val="1"/>
    <w:qFormat/>
    <w:uiPriority w:val="0"/>
    <w:pPr>
      <w:adjustRightInd w:val="0"/>
      <w:jc w:val="left"/>
    </w:pPr>
    <w:rPr>
      <w:rFonts w:ascii="宋体" w:hAnsi="Times New Roman"/>
      <w:i/>
      <w:sz w:val="28"/>
      <w:szCs w:val="20"/>
    </w:rPr>
  </w:style>
  <w:style w:type="paragraph" w:customStyle="1" w:styleId="252">
    <w:name w:val="规范正文 Char Char"/>
    <w:basedOn w:val="1"/>
    <w:qFormat/>
    <w:uiPriority w:val="0"/>
    <w:pPr>
      <w:adjustRightInd w:val="0"/>
      <w:spacing w:line="360" w:lineRule="auto"/>
      <w:ind w:left="227" w:firstLine="454"/>
      <w:textAlignment w:val="baseline"/>
    </w:pPr>
    <w:rPr>
      <w:rFonts w:ascii="Times New Roman" w:hAnsi="Times New Roman"/>
      <w:kern w:val="0"/>
      <w:sz w:val="24"/>
      <w:szCs w:val="20"/>
    </w:rPr>
  </w:style>
  <w:style w:type="paragraph" w:customStyle="1" w:styleId="253">
    <w:name w:val="xl49"/>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kern w:val="0"/>
      <w:sz w:val="20"/>
      <w:szCs w:val="20"/>
    </w:rPr>
  </w:style>
  <w:style w:type="paragraph" w:customStyle="1" w:styleId="254">
    <w:name w:val="IBM 正文"/>
    <w:basedOn w:val="1"/>
    <w:qFormat/>
    <w:uiPriority w:val="0"/>
    <w:pPr>
      <w:spacing w:line="400" w:lineRule="exact"/>
    </w:pPr>
    <w:rPr>
      <w:rFonts w:ascii="Times New Roman" w:hAnsi="Times New Roman"/>
      <w:spacing w:val="20"/>
      <w:sz w:val="24"/>
    </w:rPr>
  </w:style>
  <w:style w:type="paragraph" w:customStyle="1" w:styleId="255">
    <w:name w:val="msoplaintextcxspmiddle"/>
    <w:basedOn w:val="1"/>
    <w:qFormat/>
    <w:uiPriority w:val="0"/>
    <w:pPr>
      <w:widowControl/>
      <w:spacing w:before="100" w:after="100"/>
      <w:jc w:val="left"/>
    </w:pPr>
    <w:rPr>
      <w:rFonts w:ascii="宋体" w:hAnsi="宋体"/>
      <w:b/>
      <w:color w:val="000000"/>
      <w:kern w:val="0"/>
      <w:sz w:val="18"/>
    </w:rPr>
  </w:style>
  <w:style w:type="paragraph" w:customStyle="1" w:styleId="256">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257">
    <w:name w:val="无间隔2"/>
    <w:basedOn w:val="1"/>
    <w:qFormat/>
    <w:uiPriority w:val="0"/>
    <w:pPr>
      <w:widowControl/>
      <w:jc w:val="left"/>
    </w:pPr>
    <w:rPr>
      <w:rFonts w:ascii="宋体" w:hAnsi="宋体"/>
      <w:kern w:val="0"/>
      <w:sz w:val="24"/>
      <w:szCs w:val="32"/>
      <w:lang w:eastAsia="en-US" w:bidi="en-US"/>
    </w:rPr>
  </w:style>
  <w:style w:type="paragraph" w:customStyle="1" w:styleId="258">
    <w:name w:val="Default Text"/>
    <w:basedOn w:val="1"/>
    <w:qFormat/>
    <w:uiPriority w:val="0"/>
    <w:pPr>
      <w:widowControl/>
      <w:overflowPunct w:val="0"/>
      <w:autoSpaceDE w:val="0"/>
      <w:autoSpaceDN w:val="0"/>
      <w:adjustRightInd w:val="0"/>
      <w:jc w:val="left"/>
      <w:textAlignment w:val="baseline"/>
    </w:pPr>
    <w:rPr>
      <w:rFonts w:ascii="Times New Roman" w:hAnsi="Times New Roman" w:eastAsia="仿宋_GB2312"/>
      <w:kern w:val="0"/>
      <w:sz w:val="24"/>
      <w:szCs w:val="20"/>
      <w:lang w:val="en-GB"/>
    </w:rPr>
  </w:style>
  <w:style w:type="paragraph" w:customStyle="1" w:styleId="259">
    <w:name w:val="Char Char11"/>
    <w:basedOn w:val="1"/>
    <w:qFormat/>
    <w:uiPriority w:val="0"/>
    <w:pPr>
      <w:widowControl/>
      <w:spacing w:before="312" w:after="160" w:line="240" w:lineRule="exact"/>
      <w:jc w:val="left"/>
    </w:pPr>
    <w:rPr>
      <w:rFonts w:ascii="Verdana" w:hAnsi="Verdana" w:cs="Verdana"/>
      <w:b/>
      <w:kern w:val="0"/>
      <w:sz w:val="20"/>
      <w:lang w:eastAsia="en-US"/>
    </w:rPr>
  </w:style>
  <w:style w:type="paragraph" w:customStyle="1" w:styleId="260">
    <w:name w:val="msoplaintextcxsplast"/>
    <w:basedOn w:val="1"/>
    <w:qFormat/>
    <w:uiPriority w:val="0"/>
    <w:pPr>
      <w:widowControl/>
      <w:spacing w:before="100" w:after="100"/>
      <w:jc w:val="left"/>
    </w:pPr>
    <w:rPr>
      <w:rFonts w:ascii="宋体" w:hAnsi="宋体"/>
      <w:b/>
      <w:color w:val="000000"/>
      <w:kern w:val="0"/>
      <w:sz w:val="18"/>
    </w:rPr>
  </w:style>
  <w:style w:type="paragraph" w:customStyle="1" w:styleId="261">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262">
    <w:name w:val="一级条标题"/>
    <w:basedOn w:val="1"/>
    <w:next w:val="1"/>
    <w:qFormat/>
    <w:uiPriority w:val="0"/>
    <w:pPr>
      <w:widowControl/>
      <w:numPr>
        <w:ilvl w:val="2"/>
        <w:numId w:val="2"/>
      </w:numPr>
      <w:outlineLvl w:val="2"/>
    </w:pPr>
    <w:rPr>
      <w:rFonts w:ascii="黑体" w:hAnsi="Times New Roman" w:eastAsia="黑体"/>
      <w:kern w:val="0"/>
      <w:sz w:val="24"/>
      <w:szCs w:val="20"/>
    </w:rPr>
  </w:style>
  <w:style w:type="paragraph" w:customStyle="1" w:styleId="263">
    <w:name w:val="xl5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Times New Roman" w:hAnsi="Times New Roman"/>
      <w:kern w:val="0"/>
      <w:sz w:val="20"/>
      <w:szCs w:val="20"/>
    </w:rPr>
  </w:style>
  <w:style w:type="paragraph" w:customStyle="1" w:styleId="264">
    <w:name w:val="样式 标题 2标题 1.1编号标题21.1head:2#2 headlinehheadlineS&amp;R2ERMH...1"/>
    <w:basedOn w:val="3"/>
    <w:qFormat/>
    <w:uiPriority w:val="0"/>
    <w:pPr>
      <w:tabs>
        <w:tab w:val="left" w:pos="576"/>
      </w:tabs>
      <w:adjustRightInd w:val="0"/>
      <w:spacing w:before="0" w:after="0" w:line="360" w:lineRule="atLeast"/>
      <w:ind w:left="576" w:hanging="576"/>
    </w:pPr>
    <w:rPr>
      <w:rFonts w:ascii="Times New Roman" w:hAnsi="Times New Roman" w:eastAsia="黑体"/>
      <w:sz w:val="28"/>
    </w:rPr>
  </w:style>
  <w:style w:type="paragraph" w:customStyle="1" w:styleId="265">
    <w:name w:val="Char Char"/>
    <w:basedOn w:val="1"/>
    <w:qFormat/>
    <w:uiPriority w:val="0"/>
    <w:pPr>
      <w:widowControl/>
      <w:spacing w:after="160" w:line="240" w:lineRule="exact"/>
      <w:jc w:val="left"/>
    </w:pPr>
    <w:rPr>
      <w:rFonts w:ascii="Verdana" w:hAnsi="Verdana" w:cs="Verdana"/>
      <w:kern w:val="0"/>
      <w:sz w:val="20"/>
      <w:szCs w:val="20"/>
      <w:lang w:eastAsia="en-US"/>
    </w:rPr>
  </w:style>
  <w:style w:type="paragraph" w:customStyle="1" w:styleId="266">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267">
    <w:name w:val="列出段落1"/>
    <w:basedOn w:val="1"/>
    <w:qFormat/>
    <w:uiPriority w:val="0"/>
    <w:pPr>
      <w:ind w:firstLine="420" w:firstLineChars="200"/>
    </w:pPr>
    <w:rPr>
      <w:rFonts w:ascii="Times New Roman" w:hAnsi="Times New Roman"/>
      <w:szCs w:val="20"/>
    </w:rPr>
  </w:style>
  <w:style w:type="paragraph" w:customStyle="1" w:styleId="268">
    <w:name w:val="样式4"/>
    <w:basedOn w:val="1"/>
    <w:qFormat/>
    <w:uiPriority w:val="0"/>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269">
    <w:name w:val="引用2"/>
    <w:basedOn w:val="1"/>
    <w:next w:val="1"/>
    <w:qFormat/>
    <w:uiPriority w:val="0"/>
    <w:rPr>
      <w:i/>
      <w:iCs/>
      <w:color w:val="000000"/>
      <w:kern w:val="0"/>
      <w:sz w:val="22"/>
      <w:szCs w:val="22"/>
      <w:lang w:eastAsia="en-US" w:bidi="en-US"/>
    </w:rPr>
  </w:style>
  <w:style w:type="paragraph" w:customStyle="1" w:styleId="270">
    <w:name w:val="xl42"/>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71">
    <w:name w:val="样式 标题 2标题 1.1编号标题21.1head:2#2 headlinehheadlineS&amp;R2ERMH..."/>
    <w:basedOn w:val="3"/>
    <w:qFormat/>
    <w:uiPriority w:val="0"/>
    <w:pPr>
      <w:tabs>
        <w:tab w:val="left" w:pos="576"/>
      </w:tabs>
      <w:adjustRightInd w:val="0"/>
      <w:spacing w:before="0" w:after="0" w:line="360" w:lineRule="atLeast"/>
      <w:ind w:left="576" w:hanging="576"/>
      <w:outlineLvl w:val="2"/>
    </w:pPr>
    <w:rPr>
      <w:rFonts w:ascii="Times New Roman" w:hAnsi="Times New Roman" w:eastAsia="宋体"/>
      <w:b w:val="0"/>
      <w:bCs w:val="0"/>
      <w:kern w:val="0"/>
      <w:sz w:val="28"/>
      <w:szCs w:val="24"/>
    </w:rPr>
  </w:style>
  <w:style w:type="paragraph" w:customStyle="1" w:styleId="272">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宋体" w:hAnsi="宋体" w:cs="宋体"/>
      <w:b/>
      <w:bCs/>
      <w:kern w:val="0"/>
      <w:szCs w:val="21"/>
    </w:rPr>
  </w:style>
  <w:style w:type="paragraph" w:customStyle="1" w:styleId="273">
    <w:name w:val="样式 标题 4 + 左侧:  0 厘米 悬挂缩进: 8.64 字符 行距: 最小值 18.8 磅"/>
    <w:basedOn w:val="5"/>
    <w:qFormat/>
    <w:uiPriority w:val="0"/>
    <w:pPr>
      <w:keepLines/>
      <w:widowControl w:val="0"/>
      <w:numPr>
        <w:ilvl w:val="0"/>
        <w:numId w:val="0"/>
      </w:numPr>
      <w:spacing w:before="120" w:after="120"/>
      <w:ind w:left="862" w:hanging="862"/>
    </w:pPr>
    <w:rPr>
      <w:rFonts w:ascii="Arial"/>
      <w:bCs/>
      <w:kern w:val="2"/>
      <w:szCs w:val="24"/>
    </w:rPr>
  </w:style>
  <w:style w:type="paragraph" w:customStyle="1" w:styleId="274">
    <w:name w:val="Char Char3"/>
    <w:basedOn w:val="1"/>
    <w:next w:val="17"/>
    <w:qFormat/>
    <w:uiPriority w:val="0"/>
    <w:pPr>
      <w:spacing w:line="360" w:lineRule="auto"/>
      <w:ind w:left="-360" w:firstLine="570"/>
    </w:pPr>
    <w:rPr>
      <w:rFonts w:ascii="仿宋_GB2312" w:hAnsi="Times New Roman" w:eastAsia="仿宋_GB2312"/>
      <w:b/>
      <w:sz w:val="24"/>
      <w:szCs w:val="20"/>
    </w:rPr>
  </w:style>
  <w:style w:type="paragraph" w:customStyle="1" w:styleId="275">
    <w:name w:val="Char"/>
    <w:basedOn w:val="1"/>
    <w:next w:val="1"/>
    <w:qFormat/>
    <w:uiPriority w:val="0"/>
    <w:pPr>
      <w:widowControl/>
      <w:spacing w:after="160" w:line="240" w:lineRule="exact"/>
      <w:jc w:val="left"/>
    </w:pPr>
    <w:rPr>
      <w:rFonts w:ascii="Verdana" w:hAnsi="Verdana"/>
      <w:kern w:val="0"/>
      <w:sz w:val="20"/>
      <w:szCs w:val="20"/>
      <w:lang w:eastAsia="en-US"/>
    </w:rPr>
  </w:style>
  <w:style w:type="paragraph" w:customStyle="1" w:styleId="276">
    <w:name w:val="默认段落字体 Para Char Char Char Char"/>
    <w:basedOn w:val="1"/>
    <w:qFormat/>
    <w:uiPriority w:val="0"/>
    <w:rPr>
      <w:rFonts w:ascii="Times New Roman" w:hAnsi="Times New Roman"/>
    </w:rPr>
  </w:style>
  <w:style w:type="paragraph" w:customStyle="1" w:styleId="277">
    <w:name w:val="xl5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78">
    <w:name w:val="正文文本 22"/>
    <w:basedOn w:val="1"/>
    <w:qFormat/>
    <w:uiPriority w:val="0"/>
    <w:pPr>
      <w:adjustRightInd w:val="0"/>
      <w:jc w:val="left"/>
    </w:pPr>
    <w:rPr>
      <w:rFonts w:ascii="宋体" w:hAnsi="Times New Roman"/>
      <w:i/>
      <w:sz w:val="28"/>
      <w:szCs w:val="20"/>
    </w:rPr>
  </w:style>
  <w:style w:type="paragraph" w:customStyle="1" w:styleId="279">
    <w:name w:val="xl4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280">
    <w:name w:val="列出段落3"/>
    <w:basedOn w:val="1"/>
    <w:qFormat/>
    <w:uiPriority w:val="0"/>
    <w:pPr>
      <w:ind w:firstLine="420" w:firstLineChars="200"/>
    </w:pPr>
    <w:rPr>
      <w:rFonts w:ascii="Times New Roman" w:hAnsi="Times New Roman"/>
      <w:szCs w:val="20"/>
    </w:rPr>
  </w:style>
  <w:style w:type="paragraph" w:customStyle="1" w:styleId="281">
    <w:name w:val="xl4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82">
    <w:name w:val="acxsplast"/>
    <w:basedOn w:val="1"/>
    <w:qFormat/>
    <w:uiPriority w:val="0"/>
    <w:pPr>
      <w:widowControl/>
      <w:spacing w:before="100" w:beforeAutospacing="1" w:after="100" w:afterAutospacing="1"/>
      <w:jc w:val="left"/>
    </w:pPr>
    <w:rPr>
      <w:rFonts w:ascii="宋体" w:hAnsi="宋体" w:cs="宋体"/>
      <w:kern w:val="0"/>
      <w:sz w:val="24"/>
    </w:rPr>
  </w:style>
  <w:style w:type="paragraph" w:customStyle="1" w:styleId="283">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284">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85">
    <w:name w:val="xl103"/>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286">
    <w:name w:val="Char Char5"/>
    <w:basedOn w:val="1"/>
    <w:qFormat/>
    <w:uiPriority w:val="0"/>
    <w:pPr>
      <w:widowControl/>
      <w:spacing w:after="160" w:line="240" w:lineRule="exact"/>
      <w:jc w:val="left"/>
    </w:pPr>
    <w:rPr>
      <w:rFonts w:ascii="Verdana" w:hAnsi="Verdana" w:cs="Verdana"/>
      <w:kern w:val="0"/>
      <w:sz w:val="20"/>
      <w:szCs w:val="20"/>
      <w:lang w:eastAsia="en-US"/>
    </w:rPr>
  </w:style>
  <w:style w:type="paragraph" w:customStyle="1" w:styleId="287">
    <w:name w:val="表格"/>
    <w:basedOn w:val="1"/>
    <w:qFormat/>
    <w:uiPriority w:val="0"/>
    <w:pPr>
      <w:tabs>
        <w:tab w:val="left" w:pos="1080"/>
      </w:tabs>
      <w:snapToGrid w:val="0"/>
      <w:jc w:val="center"/>
    </w:pPr>
    <w:rPr>
      <w:rFonts w:ascii="Times New Roman" w:hAnsi="Times New Roman"/>
      <w:szCs w:val="21"/>
    </w:rPr>
  </w:style>
  <w:style w:type="paragraph" w:customStyle="1" w:styleId="288">
    <w:name w:val="TOC 标题2"/>
    <w:basedOn w:val="2"/>
    <w:next w:val="1"/>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289">
    <w:name w:val="四号楷体缩进2"/>
    <w:basedOn w:val="1"/>
    <w:qFormat/>
    <w:uiPriority w:val="0"/>
    <w:pPr>
      <w:spacing w:line="520" w:lineRule="exact"/>
      <w:ind w:firstLine="200" w:firstLineChars="200"/>
    </w:pPr>
    <w:rPr>
      <w:rFonts w:ascii="Times New Roman" w:hAnsi="Times New Roman" w:eastAsia="楷体_GB2312"/>
      <w:sz w:val="28"/>
      <w:szCs w:val="28"/>
    </w:rPr>
  </w:style>
  <w:style w:type="paragraph" w:customStyle="1" w:styleId="29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91">
    <w:name w:val="bb"/>
    <w:basedOn w:val="1"/>
    <w:qFormat/>
    <w:uiPriority w:val="34"/>
    <w:pPr>
      <w:widowControl/>
      <w:spacing w:before="100" w:beforeAutospacing="1" w:after="100" w:afterAutospacing="1"/>
      <w:jc w:val="left"/>
    </w:pPr>
    <w:rPr>
      <w:rFonts w:ascii="宋体" w:hAnsi="宋体" w:cs="宋体"/>
      <w:b/>
      <w:bCs/>
      <w:color w:val="990000"/>
      <w:kern w:val="0"/>
      <w:szCs w:val="21"/>
    </w:rPr>
  </w:style>
  <w:style w:type="paragraph" w:customStyle="1" w:styleId="292">
    <w:name w:val="明显引用2"/>
    <w:basedOn w:val="1"/>
    <w:next w:val="1"/>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293">
    <w:name w:val="xl5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94">
    <w:name w:val="+列表2"/>
    <w:basedOn w:val="1"/>
    <w:qFormat/>
    <w:uiPriority w:val="0"/>
    <w:pPr>
      <w:jc w:val="center"/>
    </w:pPr>
    <w:rPr>
      <w:rFonts w:ascii="Times New Roman" w:hAnsi="Times New Roman"/>
      <w:sz w:val="18"/>
      <w:szCs w:val="21"/>
    </w:rPr>
  </w:style>
  <w:style w:type="paragraph" w:customStyle="1" w:styleId="295">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96">
    <w:name w:val="xl6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297">
    <w:name w:val="xl52"/>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kern w:val="0"/>
      <w:sz w:val="20"/>
      <w:szCs w:val="20"/>
    </w:rPr>
  </w:style>
  <w:style w:type="paragraph" w:customStyle="1" w:styleId="298">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299">
    <w:name w:val="TOC 标题1"/>
    <w:basedOn w:val="2"/>
    <w:next w:val="1"/>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00">
    <w:name w:val="无间隔1"/>
    <w:basedOn w:val="1"/>
    <w:qFormat/>
    <w:uiPriority w:val="0"/>
    <w:pPr>
      <w:widowControl/>
      <w:jc w:val="left"/>
    </w:pPr>
    <w:rPr>
      <w:rFonts w:ascii="宋体" w:hAnsi="宋体"/>
      <w:sz w:val="24"/>
      <w:szCs w:val="32"/>
      <w:lang w:eastAsia="en-US" w:bidi="en-US"/>
    </w:rPr>
  </w:style>
  <w:style w:type="paragraph" w:customStyle="1" w:styleId="301">
    <w:name w:val="样式1"/>
    <w:basedOn w:val="1"/>
    <w:qFormat/>
    <w:uiPriority w:val="0"/>
    <w:pPr>
      <w:tabs>
        <w:tab w:val="left" w:pos="547"/>
        <w:tab w:val="left" w:pos="1080"/>
      </w:tabs>
      <w:spacing w:line="480" w:lineRule="atLeast"/>
      <w:jc w:val="center"/>
    </w:pPr>
    <w:rPr>
      <w:rFonts w:ascii="Times New Roman" w:hAnsi="Times New Roman" w:eastAsia="黑体"/>
      <w:b/>
      <w:sz w:val="44"/>
    </w:rPr>
  </w:style>
  <w:style w:type="paragraph" w:customStyle="1" w:styleId="302">
    <w:name w:val="四号楷体"/>
    <w:qFormat/>
    <w:uiPriority w:val="0"/>
    <w:pPr>
      <w:spacing w:line="560" w:lineRule="exact"/>
      <w:jc w:val="both"/>
    </w:pPr>
    <w:rPr>
      <w:rFonts w:ascii="Times New Roman" w:hAnsi="Times New Roman" w:eastAsia="楷体_GB2312" w:cs="Times New Roman"/>
      <w:kern w:val="2"/>
      <w:sz w:val="28"/>
      <w:szCs w:val="28"/>
      <w:lang w:val="en-US" w:eastAsia="zh-CN" w:bidi="ar-SA"/>
    </w:rPr>
  </w:style>
  <w:style w:type="paragraph" w:customStyle="1" w:styleId="303">
    <w:name w:val="font7"/>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04">
    <w:name w:val="a3cxspmiddle"/>
    <w:basedOn w:val="1"/>
    <w:qFormat/>
    <w:uiPriority w:val="0"/>
    <w:pPr>
      <w:widowControl/>
      <w:spacing w:before="100" w:after="100"/>
      <w:jc w:val="left"/>
    </w:pPr>
    <w:rPr>
      <w:rFonts w:ascii="宋体" w:hAnsi="宋体"/>
      <w:b/>
      <w:color w:val="000000"/>
      <w:kern w:val="0"/>
      <w:sz w:val="18"/>
    </w:rPr>
  </w:style>
  <w:style w:type="paragraph" w:customStyle="1" w:styleId="305">
    <w:name w:val="样式 标题 4标题4样式标题 4，标题4样式 + 段前: 0 磅"/>
    <w:basedOn w:val="5"/>
    <w:qFormat/>
    <w:uiPriority w:val="0"/>
    <w:pPr>
      <w:numPr>
        <w:ilvl w:val="0"/>
        <w:numId w:val="0"/>
      </w:numPr>
      <w:tabs>
        <w:tab w:val="left" w:pos="864"/>
      </w:tabs>
      <w:adjustRightInd w:val="0"/>
      <w:snapToGrid w:val="0"/>
      <w:spacing w:before="0" w:after="0"/>
      <w:ind w:left="851" w:hanging="851"/>
    </w:pPr>
    <w:rPr>
      <w:rFonts w:hAnsi="Times New Roman" w:cs="宋体"/>
      <w:bCs/>
      <w:kern w:val="2"/>
      <w:szCs w:val="24"/>
    </w:rPr>
  </w:style>
  <w:style w:type="paragraph" w:customStyle="1" w:styleId="306">
    <w:name w:val="明显引用3"/>
    <w:basedOn w:val="1"/>
    <w:next w:val="1"/>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30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08">
    <w:name w:val="无间隔3"/>
    <w:basedOn w:val="1"/>
    <w:qFormat/>
    <w:uiPriority w:val="0"/>
    <w:pPr>
      <w:widowControl/>
      <w:jc w:val="left"/>
    </w:pPr>
    <w:rPr>
      <w:rFonts w:ascii="宋体" w:hAnsi="宋体"/>
      <w:kern w:val="0"/>
      <w:sz w:val="24"/>
      <w:szCs w:val="32"/>
      <w:lang w:eastAsia="en-US" w:bidi="en-US"/>
    </w:rPr>
  </w:style>
  <w:style w:type="paragraph" w:customStyle="1" w:styleId="309">
    <w:name w:val="xl53"/>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10">
    <w:name w:val="font12"/>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11">
    <w:name w:val="Char Char1 Char Char Char Char Char1 Char Char Char Char"/>
    <w:basedOn w:val="13"/>
    <w:qFormat/>
    <w:uiPriority w:val="0"/>
    <w:rPr>
      <w:rFonts w:ascii="Tahoma" w:hAnsi="Tahoma" w:eastAsia="仿宋_GB2312"/>
      <w:sz w:val="30"/>
      <w:szCs w:val="30"/>
    </w:rPr>
  </w:style>
  <w:style w:type="paragraph" w:customStyle="1" w:styleId="31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13">
    <w:name w:val="xl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314">
    <w:name w:val="样式2"/>
    <w:basedOn w:val="1"/>
    <w:qFormat/>
    <w:uiPriority w:val="0"/>
    <w:pPr>
      <w:tabs>
        <w:tab w:val="left" w:pos="425"/>
        <w:tab w:val="left" w:pos="547"/>
        <w:tab w:val="left" w:pos="1050"/>
        <w:tab w:val="left" w:pos="1080"/>
        <w:tab w:val="left" w:pos="1275"/>
      </w:tabs>
      <w:spacing w:line="360" w:lineRule="auto"/>
      <w:ind w:left="1275" w:hanging="705"/>
    </w:pPr>
    <w:rPr>
      <w:rFonts w:ascii="Times New Roman" w:hAnsi="Times New Roman" w:eastAsia="仿宋_GB2312"/>
      <w:sz w:val="24"/>
    </w:rPr>
  </w:style>
  <w:style w:type="paragraph" w:customStyle="1" w:styleId="315">
    <w:name w:val="xl50"/>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16">
    <w:name w:val="xl54"/>
    <w:basedOn w:val="1"/>
    <w:qFormat/>
    <w:uiPriority w:val="0"/>
    <w:pPr>
      <w:widowControl/>
      <w:spacing w:before="100" w:beforeAutospacing="1" w:after="100" w:afterAutospacing="1"/>
      <w:jc w:val="left"/>
      <w:textAlignment w:val="center"/>
    </w:pPr>
    <w:rPr>
      <w:rFonts w:ascii="宋体" w:hAnsi="宋体"/>
      <w:kern w:val="0"/>
      <w:sz w:val="20"/>
      <w:szCs w:val="20"/>
    </w:rPr>
  </w:style>
  <w:style w:type="paragraph" w:customStyle="1" w:styleId="317">
    <w:name w:val="xl105"/>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18">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19">
    <w:name w:val="编号项"/>
    <w:basedOn w:val="1"/>
    <w:qFormat/>
    <w:uiPriority w:val="0"/>
    <w:pPr>
      <w:tabs>
        <w:tab w:val="left" w:pos="1020"/>
      </w:tabs>
      <w:ind w:left="1020" w:hanging="525"/>
    </w:pPr>
    <w:rPr>
      <w:rFonts w:ascii="Times New Roman" w:hAnsi="Times New Roman"/>
    </w:rPr>
  </w:style>
  <w:style w:type="paragraph" w:customStyle="1" w:styleId="320">
    <w:name w:val="xl107"/>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21">
    <w:name w:val="TOC 标题3"/>
    <w:basedOn w:val="2"/>
    <w:next w:val="1"/>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22">
    <w:name w:val="默认段落字体 Para Char Char Char Char Char Char Char Char Char1 Char Char Char Char"/>
    <w:basedOn w:val="1"/>
    <w:qFormat/>
    <w:uiPriority w:val="0"/>
    <w:rPr>
      <w:rFonts w:ascii="Tahoma" w:hAnsi="Tahoma"/>
      <w:sz w:val="24"/>
      <w:szCs w:val="20"/>
    </w:rPr>
  </w:style>
  <w:style w:type="paragraph" w:customStyle="1" w:styleId="323">
    <w:name w:val="xl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24">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325">
    <w:name w:val="Char Char31"/>
    <w:basedOn w:val="1"/>
    <w:next w:val="17"/>
    <w:qFormat/>
    <w:uiPriority w:val="0"/>
    <w:pPr>
      <w:spacing w:line="360" w:lineRule="auto"/>
      <w:ind w:left="-360" w:firstLine="570"/>
    </w:pPr>
    <w:rPr>
      <w:rFonts w:ascii="仿宋_GB2312" w:hAnsi="Times New Roman" w:eastAsia="仿宋_GB2312"/>
      <w:b/>
      <w:sz w:val="24"/>
      <w:szCs w:val="20"/>
    </w:rPr>
  </w:style>
  <w:style w:type="paragraph" w:customStyle="1" w:styleId="326">
    <w:name w:val="Char2"/>
    <w:basedOn w:val="1"/>
    <w:qFormat/>
    <w:uiPriority w:val="0"/>
    <w:pPr>
      <w:spacing w:line="400" w:lineRule="exact"/>
    </w:pPr>
    <w:rPr>
      <w:rFonts w:ascii="Tahoma" w:hAnsi="Tahoma"/>
      <w:sz w:val="24"/>
      <w:szCs w:val="20"/>
    </w:rPr>
  </w:style>
  <w:style w:type="paragraph" w:customStyle="1" w:styleId="327">
    <w:name w:val="样式 首行缩进:  2 字符"/>
    <w:basedOn w:val="1"/>
    <w:qFormat/>
    <w:uiPriority w:val="0"/>
    <w:pPr>
      <w:spacing w:line="360" w:lineRule="auto"/>
      <w:ind w:firstLine="200" w:firstLineChars="200"/>
    </w:pPr>
    <w:rPr>
      <w:rFonts w:ascii="Times New Roman" w:hAnsi="Times New Roman"/>
      <w:sz w:val="24"/>
    </w:rPr>
  </w:style>
  <w:style w:type="paragraph" w:customStyle="1" w:styleId="328">
    <w:name w:val="xl104"/>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29">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30">
    <w:name w:val="+标题2"/>
    <w:basedOn w:val="3"/>
    <w:qFormat/>
    <w:uiPriority w:val="0"/>
    <w:pPr>
      <w:tabs>
        <w:tab w:val="left" w:pos="1440"/>
      </w:tabs>
      <w:spacing w:before="120" w:after="120" w:line="360" w:lineRule="auto"/>
      <w:ind w:left="1440" w:hanging="360"/>
    </w:pPr>
    <w:rPr>
      <w:rFonts w:ascii="Times New Roman" w:hAnsi="Times New Roman" w:eastAsia="宋体"/>
      <w:sz w:val="24"/>
      <w:szCs w:val="28"/>
    </w:rPr>
  </w:style>
  <w:style w:type="paragraph" w:customStyle="1" w:styleId="331">
    <w:name w:val="font10"/>
    <w:basedOn w:val="1"/>
    <w:qFormat/>
    <w:uiPriority w:val="0"/>
    <w:pPr>
      <w:widowControl/>
      <w:spacing w:before="100" w:beforeAutospacing="1" w:after="100" w:afterAutospacing="1"/>
      <w:jc w:val="left"/>
    </w:pPr>
    <w:rPr>
      <w:rFonts w:ascii="Arial Narrow" w:hAnsi="Arial Narrow"/>
      <w:kern w:val="0"/>
      <w:sz w:val="20"/>
      <w:szCs w:val="20"/>
    </w:rPr>
  </w:style>
  <w:style w:type="paragraph" w:customStyle="1" w:styleId="332">
    <w:name w:val="正文样式"/>
    <w:qFormat/>
    <w:uiPriority w:val="0"/>
    <w:pPr>
      <w:adjustRightInd w:val="0"/>
      <w:snapToGrid w:val="0"/>
      <w:spacing w:line="360" w:lineRule="auto"/>
      <w:ind w:firstLine="482"/>
      <w:jc w:val="both"/>
    </w:pPr>
    <w:rPr>
      <w:rFonts w:ascii="宋体" w:hAnsi="Times New Roman" w:eastAsia="宋体" w:cs="宋体"/>
      <w:kern w:val="2"/>
      <w:sz w:val="24"/>
      <w:lang w:val="en-US" w:eastAsia="zh-CN" w:bidi="ar-SA"/>
    </w:rPr>
  </w:style>
  <w:style w:type="paragraph" w:customStyle="1" w:styleId="333">
    <w:name w:val="font9"/>
    <w:basedOn w:val="1"/>
    <w:qFormat/>
    <w:uiPriority w:val="0"/>
    <w:pPr>
      <w:widowControl/>
      <w:spacing w:before="100" w:beforeAutospacing="1" w:after="100" w:afterAutospacing="1"/>
      <w:jc w:val="left"/>
    </w:pPr>
    <w:rPr>
      <w:rFonts w:ascii="Times New Roman" w:hAnsi="Times New Roman"/>
      <w:b/>
      <w:bCs/>
      <w:kern w:val="0"/>
      <w:sz w:val="20"/>
      <w:szCs w:val="20"/>
    </w:rPr>
  </w:style>
  <w:style w:type="paragraph" w:customStyle="1" w:styleId="334">
    <w:name w:val="样式 标题 2 + 小二 段前: 0.5 行 段后: 0.5 行"/>
    <w:basedOn w:val="3"/>
    <w:qFormat/>
    <w:uiPriority w:val="0"/>
    <w:pPr>
      <w:keepLines w:val="0"/>
      <w:spacing w:beforeLines="50" w:afterLines="50" w:line="360" w:lineRule="auto"/>
    </w:pPr>
    <w:rPr>
      <w:rFonts w:ascii="宋体" w:hAnsi="Times New Roman" w:eastAsia="宋体"/>
      <w:sz w:val="30"/>
      <w:szCs w:val="30"/>
    </w:rPr>
  </w:style>
  <w:style w:type="paragraph" w:customStyle="1" w:styleId="335">
    <w:name w:val="正文文本 21"/>
    <w:basedOn w:val="1"/>
    <w:qFormat/>
    <w:uiPriority w:val="0"/>
    <w:pPr>
      <w:adjustRightInd w:val="0"/>
      <w:jc w:val="left"/>
    </w:pPr>
    <w:rPr>
      <w:rFonts w:ascii="宋体" w:hAnsi="Times New Roman"/>
      <w:i/>
      <w:sz w:val="28"/>
      <w:szCs w:val="20"/>
    </w:rPr>
  </w:style>
  <w:style w:type="paragraph" w:customStyle="1" w:styleId="336">
    <w:name w:val="_Style 186"/>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7">
    <w:name w:val="样式7"/>
    <w:basedOn w:val="1"/>
    <w:qFormat/>
    <w:uiPriority w:val="34"/>
    <w:pPr>
      <w:spacing w:line="500" w:lineRule="exact"/>
      <w:jc w:val="center"/>
    </w:pPr>
    <w:rPr>
      <w:rFonts w:ascii="宋体" w:hAnsi="Times New Roman"/>
      <w:b/>
      <w:sz w:val="32"/>
      <w:szCs w:val="20"/>
    </w:rPr>
  </w:style>
  <w:style w:type="paragraph" w:customStyle="1" w:styleId="338">
    <w:name w:val="规范正文 Char Char Char"/>
    <w:basedOn w:val="1"/>
    <w:qFormat/>
    <w:uiPriority w:val="0"/>
    <w:pPr>
      <w:adjustRightInd w:val="0"/>
      <w:spacing w:line="360" w:lineRule="auto"/>
      <w:ind w:left="227" w:firstLine="454"/>
      <w:textAlignment w:val="baseline"/>
    </w:pPr>
    <w:rPr>
      <w:rFonts w:ascii="Times New Roman" w:hAnsi="Times New Roman"/>
      <w:sz w:val="24"/>
    </w:rPr>
  </w:style>
  <w:style w:type="paragraph" w:customStyle="1" w:styleId="33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40">
    <w:name w:val="样式 宋体 小四 首行缩进:  1.11 厘米 行距: 1.5 倍行距"/>
    <w:basedOn w:val="1"/>
    <w:qFormat/>
    <w:uiPriority w:val="0"/>
    <w:pPr>
      <w:spacing w:line="360" w:lineRule="auto"/>
      <w:ind w:left="708" w:leftChars="337" w:firstLine="1"/>
    </w:pPr>
    <w:rPr>
      <w:rFonts w:ascii="宋体" w:hAnsi="Times New Roman"/>
      <w:sz w:val="24"/>
      <w:szCs w:val="20"/>
    </w:rPr>
  </w:style>
  <w:style w:type="paragraph" w:customStyle="1" w:styleId="341">
    <w:name w:val="xl61"/>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42">
    <w:name w:val="xl4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343">
    <w:name w:val="+标题3"/>
    <w:basedOn w:val="4"/>
    <w:qFormat/>
    <w:uiPriority w:val="0"/>
    <w:pPr>
      <w:tabs>
        <w:tab w:val="left" w:pos="2160"/>
      </w:tabs>
      <w:spacing w:before="120" w:after="120" w:line="360" w:lineRule="auto"/>
      <w:ind w:left="2160" w:hanging="360"/>
    </w:pPr>
    <w:rPr>
      <w:sz w:val="24"/>
      <w:szCs w:val="28"/>
    </w:rPr>
  </w:style>
  <w:style w:type="paragraph" w:customStyle="1" w:styleId="344">
    <w:name w:val="xl10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45">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0"/>
      <w:szCs w:val="20"/>
    </w:rPr>
  </w:style>
  <w:style w:type="paragraph" w:customStyle="1" w:styleId="346">
    <w:name w:val="xl4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47">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8">
    <w:name w:val="正文2字符缩进"/>
    <w:basedOn w:val="11"/>
    <w:qFormat/>
    <w:uiPriority w:val="0"/>
    <w:pPr>
      <w:widowControl/>
      <w:tabs>
        <w:tab w:val="left" w:pos="360"/>
        <w:tab w:val="left" w:pos="720"/>
        <w:tab w:val="left" w:pos="1260"/>
      </w:tabs>
      <w:adjustRightInd w:val="0"/>
      <w:snapToGrid w:val="0"/>
      <w:spacing w:line="360" w:lineRule="auto"/>
      <w:ind w:left="720" w:firstLine="200" w:firstLineChars="200"/>
    </w:pPr>
    <w:rPr>
      <w:rFonts w:cs="宋体"/>
      <w:sz w:val="28"/>
    </w:rPr>
  </w:style>
  <w:style w:type="paragraph" w:customStyle="1" w:styleId="34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350">
    <w:name w:val="二级条标题"/>
    <w:basedOn w:val="262"/>
    <w:next w:val="1"/>
    <w:qFormat/>
    <w:uiPriority w:val="0"/>
    <w:pPr>
      <w:numPr>
        <w:ilvl w:val="3"/>
      </w:numPr>
      <w:tabs>
        <w:tab w:val="left" w:pos="1290"/>
      </w:tabs>
      <w:ind w:left="1290" w:hanging="720"/>
      <w:outlineLvl w:val="3"/>
    </w:pPr>
  </w:style>
  <w:style w:type="paragraph" w:customStyle="1" w:styleId="351">
    <w:name w:val="缺省文本"/>
    <w:basedOn w:val="1"/>
    <w:qFormat/>
    <w:uiPriority w:val="0"/>
    <w:pPr>
      <w:widowControl/>
      <w:overflowPunct w:val="0"/>
      <w:autoSpaceDE w:val="0"/>
      <w:autoSpaceDN w:val="0"/>
      <w:adjustRightInd w:val="0"/>
      <w:spacing w:line="360" w:lineRule="auto"/>
      <w:ind w:firstLine="720"/>
      <w:textAlignment w:val="baseline"/>
    </w:pPr>
    <w:rPr>
      <w:rFonts w:ascii="宋体" w:hAnsi="Times New Roman" w:eastAsia="仿宋_GB2312"/>
      <w:kern w:val="0"/>
      <w:sz w:val="28"/>
      <w:szCs w:val="20"/>
    </w:rPr>
  </w:style>
  <w:style w:type="paragraph" w:customStyle="1" w:styleId="352">
    <w:name w:val="编号1."/>
    <w:basedOn w:val="1"/>
    <w:qFormat/>
    <w:uiPriority w:val="0"/>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353">
    <w:name w:val="样式 标题 3列表编号31.1.1h33rd level3H3l3CTHeading 3 - oldsect..."/>
    <w:basedOn w:val="4"/>
    <w:qFormat/>
    <w:uiPriority w:val="0"/>
    <w:pPr>
      <w:tabs>
        <w:tab w:val="left" w:pos="720"/>
      </w:tabs>
      <w:adjustRightInd w:val="0"/>
      <w:spacing w:before="0" w:after="0" w:line="360" w:lineRule="atLeast"/>
      <w:ind w:left="720" w:hanging="720"/>
    </w:pPr>
    <w:rPr>
      <w:rFonts w:cs="宋体"/>
      <w:kern w:val="0"/>
      <w:sz w:val="28"/>
      <w:szCs w:val="24"/>
    </w:rPr>
  </w:style>
  <w:style w:type="paragraph" w:customStyle="1" w:styleId="35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355">
    <w:name w:val="列出段落2"/>
    <w:basedOn w:val="1"/>
    <w:qFormat/>
    <w:uiPriority w:val="0"/>
    <w:pPr>
      <w:ind w:firstLine="420" w:firstLineChars="200"/>
    </w:pPr>
    <w:rPr>
      <w:rFonts w:ascii="Times New Roman" w:hAnsi="Times New Roman"/>
      <w:szCs w:val="20"/>
    </w:rPr>
  </w:style>
  <w:style w:type="paragraph" w:customStyle="1" w:styleId="356">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35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58">
    <w:name w:val="样式 标题 1 + (中文) 黑体"/>
    <w:basedOn w:val="2"/>
    <w:qFormat/>
    <w:uiPriority w:val="0"/>
    <w:pPr>
      <w:adjustRightInd w:val="0"/>
      <w:spacing w:before="120" w:after="120" w:line="240" w:lineRule="auto"/>
      <w:jc w:val="center"/>
    </w:pPr>
    <w:rPr>
      <w:rFonts w:ascii="Times New Roman" w:hAnsi="Times New Roman" w:eastAsia="楷体"/>
      <w:bCs/>
      <w:sz w:val="36"/>
      <w:szCs w:val="44"/>
      <w:lang w:val="en-US"/>
    </w:rPr>
  </w:style>
  <w:style w:type="paragraph" w:customStyle="1" w:styleId="35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60">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paragraph" w:customStyle="1" w:styleId="361">
    <w:name w:val="a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362">
    <w:name w:val="xl47"/>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63">
    <w:name w:val="xl10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64">
    <w:name w:val="a3cxsplast"/>
    <w:basedOn w:val="1"/>
    <w:qFormat/>
    <w:uiPriority w:val="0"/>
    <w:pPr>
      <w:widowControl/>
      <w:spacing w:before="100" w:after="100"/>
      <w:jc w:val="left"/>
    </w:pPr>
    <w:rPr>
      <w:rFonts w:ascii="宋体" w:hAnsi="宋体"/>
      <w:b/>
      <w:color w:val="000000"/>
      <w:kern w:val="0"/>
      <w:sz w:val="18"/>
    </w:rPr>
  </w:style>
  <w:style w:type="paragraph" w:customStyle="1" w:styleId="365">
    <w:name w:val="样式 标题 2 + 左侧:  0 厘米 首行缩进:  0 厘米 右侧:  2 字符"/>
    <w:basedOn w:val="3"/>
    <w:qFormat/>
    <w:uiPriority w:val="0"/>
    <w:pPr>
      <w:spacing w:before="120" w:after="120" w:line="360" w:lineRule="auto"/>
      <w:ind w:right="420" w:rightChars="200"/>
    </w:pPr>
    <w:rPr>
      <w:rFonts w:ascii="Arial" w:hAnsi="Arial" w:eastAsia="黑体"/>
      <w:sz w:val="24"/>
      <w:szCs w:val="20"/>
    </w:rPr>
  </w:style>
  <w:style w:type="paragraph" w:customStyle="1" w:styleId="366">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367">
    <w:name w:val="msonormalcxsplast"/>
    <w:basedOn w:val="1"/>
    <w:qFormat/>
    <w:uiPriority w:val="0"/>
    <w:pPr>
      <w:widowControl/>
      <w:spacing w:before="100" w:beforeAutospacing="1" w:after="100" w:afterAutospacing="1"/>
      <w:jc w:val="left"/>
    </w:pPr>
    <w:rPr>
      <w:rFonts w:ascii="宋体" w:hAnsi="宋体" w:cs="宋体"/>
      <w:kern w:val="0"/>
      <w:sz w:val="24"/>
    </w:rPr>
  </w:style>
  <w:style w:type="paragraph" w:customStyle="1" w:styleId="368">
    <w:name w:val="xl58"/>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9">
    <w:name w:val="样式 样式 样式 样式 样式 样式 首行缩进:  2 字符 + 首行缩进:  2 字符 + 首行缩进:  2 字符 + 首行缩进..."/>
    <w:basedOn w:val="1"/>
    <w:qFormat/>
    <w:uiPriority w:val="0"/>
    <w:pPr>
      <w:spacing w:line="360" w:lineRule="auto"/>
      <w:ind w:firstLine="480" w:firstLineChars="200"/>
    </w:pPr>
    <w:rPr>
      <w:rFonts w:ascii="Times New Roman" w:hAnsi="Times New Roman" w:cs="宋体"/>
      <w:sz w:val="24"/>
      <w:szCs w:val="20"/>
    </w:rPr>
  </w:style>
  <w:style w:type="paragraph" w:customStyle="1" w:styleId="370">
    <w:name w:val="Char3"/>
    <w:basedOn w:val="1"/>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rPr>
  </w:style>
  <w:style w:type="paragraph" w:customStyle="1" w:styleId="371">
    <w:name w:val="xl10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72">
    <w:name w:val="xl102"/>
    <w:basedOn w:val="1"/>
    <w:qFormat/>
    <w:uiPriority w:val="0"/>
    <w:pPr>
      <w:widowControl/>
      <w:spacing w:before="100" w:beforeAutospacing="1" w:after="100" w:afterAutospacing="1"/>
      <w:jc w:val="center"/>
    </w:pPr>
    <w:rPr>
      <w:rFonts w:ascii="Arial Unicode MS" w:hAnsi="Arial Unicode MS"/>
      <w:color w:val="FF0000"/>
      <w:kern w:val="0"/>
      <w:sz w:val="28"/>
      <w:szCs w:val="28"/>
    </w:rPr>
  </w:style>
  <w:style w:type="paragraph" w:customStyle="1" w:styleId="373">
    <w:name w:val="Char1 Char Char Char Char Char Char"/>
    <w:basedOn w:val="1"/>
    <w:qFormat/>
    <w:uiPriority w:val="0"/>
    <w:pPr>
      <w:ind w:firstLine="360" w:firstLineChars="150"/>
    </w:pPr>
    <w:rPr>
      <w:rFonts w:ascii="Tahoma" w:hAnsi="Tahoma"/>
      <w:sz w:val="24"/>
      <w:szCs w:val="20"/>
    </w:rPr>
  </w:style>
  <w:style w:type="paragraph" w:customStyle="1" w:styleId="374">
    <w:name w:val="xl106"/>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75">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376">
    <w:name w:val="正文文本 211"/>
    <w:basedOn w:val="1"/>
    <w:qFormat/>
    <w:uiPriority w:val="0"/>
    <w:pPr>
      <w:adjustRightInd w:val="0"/>
      <w:jc w:val="left"/>
    </w:pPr>
    <w:rPr>
      <w:rFonts w:ascii="宋体" w:hAnsi="Times New Roman"/>
      <w:i/>
      <w:sz w:val="28"/>
      <w:szCs w:val="20"/>
    </w:rPr>
  </w:style>
  <w:style w:type="paragraph" w:customStyle="1" w:styleId="377">
    <w:name w:val="xl60"/>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7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379">
    <w:name w:val="xl110"/>
    <w:basedOn w:val="1"/>
    <w:qFormat/>
    <w:uiPriority w:val="0"/>
    <w:pPr>
      <w:widowControl/>
      <w:pBdr>
        <w:bottom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380">
    <w:name w:val="表格文字"/>
    <w:basedOn w:val="1"/>
    <w:qFormat/>
    <w:uiPriority w:val="34"/>
    <w:pPr>
      <w:adjustRightInd w:val="0"/>
      <w:spacing w:line="420" w:lineRule="atLeast"/>
      <w:jc w:val="left"/>
    </w:pPr>
    <w:rPr>
      <w:rFonts w:ascii="Times New Roman" w:hAnsi="Times New Roman"/>
      <w:kern w:val="0"/>
      <w:szCs w:val="20"/>
    </w:rPr>
  </w:style>
  <w:style w:type="paragraph" w:customStyle="1" w:styleId="381">
    <w:name w:val="引用1"/>
    <w:basedOn w:val="1"/>
    <w:next w:val="1"/>
    <w:qFormat/>
    <w:uiPriority w:val="0"/>
    <w:rPr>
      <w:i/>
      <w:iCs/>
      <w:color w:val="000000"/>
      <w:kern w:val="0"/>
      <w:sz w:val="22"/>
      <w:szCs w:val="22"/>
      <w:lang w:eastAsia="en-US" w:bidi="en-US"/>
    </w:rPr>
  </w:style>
  <w:style w:type="paragraph" w:customStyle="1" w:styleId="382">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83">
    <w:name w:val="Revision"/>
    <w:hidden/>
    <w:qFormat/>
    <w:uiPriority w:val="99"/>
    <w:rPr>
      <w:rFonts w:ascii="Calibri" w:hAnsi="Calibri" w:eastAsia="宋体" w:cs="Times New Roman"/>
      <w:kern w:val="2"/>
      <w:sz w:val="21"/>
      <w:szCs w:val="24"/>
      <w:lang w:val="en-US" w:eastAsia="zh-CN" w:bidi="ar-SA"/>
    </w:rPr>
  </w:style>
  <w:style w:type="character" w:customStyle="1" w:styleId="384">
    <w:name w:val="尾注文本 字符"/>
    <w:link w:val="23"/>
    <w:semiHidden/>
    <w:qFormat/>
    <w:uiPriority w:val="99"/>
    <w:rPr>
      <w:rFonts w:ascii="Times New Roman" w:hAnsi="Times New Roman" w:eastAsia="宋体" w:cs="Times New Roman"/>
      <w:kern w:val="2"/>
      <w:sz w:val="21"/>
      <w:szCs w:val="21"/>
    </w:rPr>
  </w:style>
  <w:style w:type="character" w:styleId="385">
    <w:name w:val="Placeholder Text"/>
    <w:semiHidden/>
    <w:qFormat/>
    <w:uiPriority w:val="99"/>
    <w:rPr>
      <w:color w:val="808080"/>
    </w:rPr>
  </w:style>
  <w:style w:type="character" w:customStyle="1" w:styleId="386">
    <w:name w:val="con-all2"/>
    <w:basedOn w:val="39"/>
    <w:qFormat/>
    <w:uiPriority w:val="0"/>
  </w:style>
  <w:style w:type="table" w:customStyle="1" w:styleId="387">
    <w:name w:val="网格型1"/>
    <w:basedOn w:val="37"/>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88">
    <w:name w:val="网格型13"/>
    <w:basedOn w:val="37"/>
    <w:autoRedefine/>
    <w:qFormat/>
    <w:uiPriority w:val="39"/>
    <w:rPr>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9">
    <w:name w:val="明显强调4"/>
    <w:basedOn w:val="39"/>
    <w:qFormat/>
    <w:uiPriority w:val="21"/>
    <w:rPr>
      <w:i/>
      <w:iCs/>
      <w:color w:val="0F4761"/>
    </w:rPr>
  </w:style>
  <w:style w:type="character" w:customStyle="1" w:styleId="390">
    <w:name w:val="明显参考4"/>
    <w:basedOn w:val="39"/>
    <w:qFormat/>
    <w:uiPriority w:val="32"/>
    <w:rPr>
      <w:b/>
      <w:bCs/>
      <w:smallCaps/>
      <w:color w:val="0F4761"/>
      <w:spacing w:val="5"/>
    </w:rPr>
  </w:style>
  <w:style w:type="paragraph" w:customStyle="1" w:styleId="391">
    <w:name w:val="题注1"/>
    <w:basedOn w:val="1"/>
    <w:next w:val="1"/>
    <w:autoRedefine/>
    <w:unhideWhenUsed/>
    <w:qFormat/>
    <w:uiPriority w:val="35"/>
    <w:pPr>
      <w:spacing w:before="180" w:beforeLines="50" w:line="600" w:lineRule="exact"/>
      <w:jc w:val="center"/>
    </w:pPr>
    <w:rPr>
      <w:rFonts w:ascii="Times New Roman" w:hAnsi="Times New Roman" w:eastAsia="黑体"/>
      <w:sz w:val="22"/>
      <w:szCs w:val="22"/>
    </w:rPr>
  </w:style>
  <w:style w:type="table" w:customStyle="1" w:styleId="392">
    <w:name w:val="网格型2"/>
    <w:basedOn w:val="37"/>
    <w:autoRedefine/>
    <w:qFormat/>
    <w:uiPriority w:val="39"/>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3">
    <w:name w:val="网格型11"/>
    <w:basedOn w:val="37"/>
    <w:qFormat/>
    <w:uiPriority w:val="39"/>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4">
    <w:name w:val="Intense Emphasis"/>
    <w:basedOn w:val="39"/>
    <w:qFormat/>
    <w:uiPriority w:val="21"/>
    <w:rPr>
      <w:i/>
      <w:iCs/>
      <w:color w:val="4472C4" w:themeColor="accent1"/>
      <w14:textFill>
        <w14:solidFill>
          <w14:schemeClr w14:val="accent1"/>
        </w14:solidFill>
      </w14:textFill>
    </w:rPr>
  </w:style>
  <w:style w:type="character" w:customStyle="1" w:styleId="395">
    <w:name w:val="Intense Reference"/>
    <w:basedOn w:val="39"/>
    <w:qFormat/>
    <w:uiPriority w:val="32"/>
    <w:rPr>
      <w:b/>
      <w:bCs/>
      <w:smallCaps/>
      <w:color w:val="4472C4" w:themeColor="accent1"/>
      <w:spacing w:val="5"/>
      <w14:textFill>
        <w14:solidFill>
          <w14:schemeClr w14:val="accent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53235E7B-D6F3-44FB-AD46-F4CF58564328}">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31</Pages>
  <Words>2908</Words>
  <Characters>16576</Characters>
  <Lines>138</Lines>
  <Paragraphs>38</Paragraphs>
  <TotalTime>143</TotalTime>
  <ScaleCrop>false</ScaleCrop>
  <LinksUpToDate>false</LinksUpToDate>
  <CharactersWithSpaces>19446</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2025-12-12T01:18:00Z</dcterms:created>
  <dc:creator>道运中心</dc:creator>
  <cp:lastModifiedBy>高际航</cp:lastModifiedBy>
  <cp:lastPrinted>2022-12-02T22:08:00Z</cp:lastPrinted>
  <dcterms:modified xsi:type="dcterms:W3CDTF">2025-12-19T09:43:30Z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3F6D518A2985E002F36443690EDE8B4A_43</vt:lpwstr>
  </property>
</Properties>
</file>