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51EB" w14:textId="77777777" w:rsidR="000E69EF" w:rsidRDefault="00000000">
      <w:pPr>
        <w:pStyle w:val="1"/>
        <w:numPr>
          <w:ilvl w:val="0"/>
          <w:numId w:val="0"/>
        </w:numPr>
        <w:ind w:left="425"/>
        <w:jc w:val="center"/>
        <w:rPr>
          <w:rFonts w:eastAsia="宋体" w:cs="宋体" w:hint="eastAsia"/>
          <w:sz w:val="24"/>
          <w:szCs w:val="24"/>
        </w:rPr>
      </w:pPr>
      <w:bookmarkStart w:id="0" w:name="_Toc63785461"/>
      <w:r>
        <w:rPr>
          <w:rFonts w:eastAsia="宋体" w:cs="宋体" w:hint="eastAsia"/>
          <w:sz w:val="24"/>
          <w:szCs w:val="24"/>
        </w:rPr>
        <w:t>上海市市场监督管理局</w:t>
      </w:r>
    </w:p>
    <w:p w14:paraId="13017692" w14:textId="77777777" w:rsidR="000E69EF" w:rsidRDefault="00000000">
      <w:pPr>
        <w:pStyle w:val="1"/>
        <w:numPr>
          <w:ilvl w:val="0"/>
          <w:numId w:val="0"/>
        </w:numPr>
        <w:ind w:left="425"/>
        <w:jc w:val="center"/>
        <w:rPr>
          <w:rFonts w:eastAsia="宋体" w:cs="宋体" w:hint="eastAsia"/>
          <w:sz w:val="24"/>
          <w:szCs w:val="24"/>
        </w:rPr>
      </w:pPr>
      <w:r>
        <w:rPr>
          <w:rFonts w:eastAsia="宋体" w:cs="宋体" w:hint="eastAsia"/>
          <w:sz w:val="24"/>
          <w:szCs w:val="24"/>
        </w:rPr>
        <w:t>2026年网络交易市场综合监测服务项目采购需求</w:t>
      </w:r>
    </w:p>
    <w:p w14:paraId="3A2E7C7B" w14:textId="77777777" w:rsidR="000E69EF" w:rsidRDefault="00000000">
      <w:pPr>
        <w:pStyle w:val="3"/>
        <w:numPr>
          <w:ilvl w:val="0"/>
          <w:numId w:val="3"/>
        </w:numPr>
        <w:tabs>
          <w:tab w:val="left" w:pos="567"/>
        </w:tabs>
        <w:adjustRightInd w:val="0"/>
        <w:snapToGrid w:val="0"/>
        <w:spacing w:before="0" w:after="0" w:line="360" w:lineRule="auto"/>
        <w:ind w:firstLineChars="0" w:firstLine="0"/>
        <w:jc w:val="left"/>
        <w:textAlignment w:val="baseline"/>
        <w:rPr>
          <w:rFonts w:ascii="宋体" w:hAnsi="宋体" w:cs="宋体" w:hint="eastAsia"/>
          <w:sz w:val="24"/>
          <w:szCs w:val="24"/>
        </w:rPr>
      </w:pPr>
      <w:r>
        <w:rPr>
          <w:rFonts w:ascii="宋体" w:hAnsi="宋体" w:cs="宋体" w:hint="eastAsia"/>
          <w:sz w:val="24"/>
          <w:szCs w:val="24"/>
        </w:rPr>
        <w:t>项目简介</w:t>
      </w:r>
    </w:p>
    <w:p w14:paraId="246A526D" w14:textId="77777777" w:rsidR="000E69EF" w:rsidRDefault="00000000">
      <w:pPr>
        <w:numPr>
          <w:ilvl w:val="0"/>
          <w:numId w:val="4"/>
        </w:numPr>
        <w:adjustRightInd w:val="0"/>
        <w:snapToGrid w:val="0"/>
        <w:ind w:left="0" w:firstLineChars="210" w:firstLine="504"/>
        <w:rPr>
          <w:rFonts w:cs="宋体" w:hint="eastAsia"/>
          <w:kern w:val="0"/>
        </w:rPr>
      </w:pPr>
      <w:r>
        <w:rPr>
          <w:rFonts w:cs="宋体" w:hint="eastAsia"/>
          <w:kern w:val="0"/>
        </w:rPr>
        <w:t>项目名称：</w:t>
      </w:r>
      <w:r>
        <w:rPr>
          <w:rFonts w:cs="宋体" w:hint="eastAsia"/>
        </w:rPr>
        <w:t>2026年网络交易市场综合监测服务项目</w:t>
      </w:r>
    </w:p>
    <w:p w14:paraId="1DE8EDFA" w14:textId="017D5580" w:rsidR="000E69EF" w:rsidRDefault="00000000">
      <w:pPr>
        <w:numPr>
          <w:ilvl w:val="0"/>
          <w:numId w:val="4"/>
        </w:numPr>
        <w:adjustRightInd w:val="0"/>
        <w:snapToGrid w:val="0"/>
        <w:ind w:left="0" w:firstLineChars="210" w:firstLine="504"/>
        <w:rPr>
          <w:rFonts w:cs="宋体" w:hint="eastAsia"/>
          <w:kern w:val="0"/>
        </w:rPr>
      </w:pPr>
      <w:r>
        <w:rPr>
          <w:rFonts w:cs="宋体" w:hint="eastAsia"/>
          <w:kern w:val="0"/>
        </w:rPr>
        <w:t>预算金额：1,6</w:t>
      </w:r>
      <w:r w:rsidR="00744B6C">
        <w:rPr>
          <w:rFonts w:cs="宋体" w:hint="eastAsia"/>
          <w:kern w:val="0"/>
        </w:rPr>
        <w:t>6</w:t>
      </w:r>
      <w:r>
        <w:rPr>
          <w:rFonts w:cs="宋体" w:hint="eastAsia"/>
          <w:kern w:val="0"/>
        </w:rPr>
        <w:t>0,000.00元（报价超过预算金额的</w:t>
      </w:r>
      <w:r w:rsidR="00992A3D">
        <w:rPr>
          <w:rFonts w:cs="宋体" w:hint="eastAsia"/>
          <w:kern w:val="0"/>
        </w:rPr>
        <w:t>响应</w:t>
      </w:r>
      <w:r>
        <w:rPr>
          <w:rFonts w:cs="宋体" w:hint="eastAsia"/>
          <w:kern w:val="0"/>
        </w:rPr>
        <w:t>不予接</w:t>
      </w:r>
      <w:r>
        <w:rPr>
          <w:rFonts w:cs="宋体" w:hint="eastAsia"/>
        </w:rPr>
        <w:t>受）</w:t>
      </w:r>
    </w:p>
    <w:p w14:paraId="4D4DABC4" w14:textId="77777777" w:rsidR="000E69EF" w:rsidRDefault="00000000">
      <w:pPr>
        <w:pStyle w:val="3"/>
        <w:numPr>
          <w:ilvl w:val="0"/>
          <w:numId w:val="3"/>
        </w:numPr>
        <w:tabs>
          <w:tab w:val="left" w:pos="567"/>
        </w:tabs>
        <w:adjustRightInd w:val="0"/>
        <w:snapToGrid w:val="0"/>
        <w:spacing w:before="0" w:after="0" w:line="360" w:lineRule="auto"/>
        <w:ind w:firstLineChars="0" w:firstLine="0"/>
        <w:jc w:val="left"/>
        <w:textAlignment w:val="baseline"/>
        <w:rPr>
          <w:rFonts w:ascii="宋体" w:hAnsi="宋体" w:cs="宋体" w:hint="eastAsia"/>
          <w:sz w:val="24"/>
          <w:szCs w:val="24"/>
        </w:rPr>
      </w:pPr>
      <w:r>
        <w:rPr>
          <w:rFonts w:ascii="宋体" w:hAnsi="宋体" w:cs="宋体" w:hint="eastAsia"/>
          <w:sz w:val="24"/>
          <w:szCs w:val="24"/>
        </w:rPr>
        <w:t>项目概况</w:t>
      </w:r>
      <w:bookmarkEnd w:id="0"/>
    </w:p>
    <w:p w14:paraId="37C34BAE" w14:textId="77777777" w:rsidR="000E69EF" w:rsidRDefault="00000000">
      <w:pPr>
        <w:rPr>
          <w:rFonts w:cs="宋体" w:hint="eastAsia"/>
          <w:bCs/>
        </w:rPr>
      </w:pPr>
      <w:r>
        <w:rPr>
          <w:rFonts w:cs="宋体" w:hint="eastAsia"/>
          <w:bCs/>
        </w:rPr>
        <w:t>按照国家市场监管总局《关于开展平台经济领域突出问题排查整治的通知》(国市监网监发[2025]3号)以及《网络交易平台合规经营评价通则》要求，同时进一步落实《电子商务法》《网络交易监督管理办法》《食品安全法》，</w:t>
      </w:r>
      <w:r>
        <w:rPr>
          <w:rFonts w:cs="宋体" w:hint="eastAsia"/>
        </w:rPr>
        <w:t>规范网络经营行为，保障消费者合法权益，</w:t>
      </w:r>
      <w:r>
        <w:rPr>
          <w:rFonts w:cs="宋体" w:hint="eastAsia"/>
          <w:shd w:val="clear" w:color="auto" w:fill="FFFFFF"/>
        </w:rPr>
        <w:t>强化上海市网络交易市场全链条监管，规范网络交易秩序，上海市市场监督管理局拟通过引入专业监测服务机构，依托大数据、人工智能等技术手段，实现网络交易违法线索精准识别、证据高效固定、风险提前预警，为我局开展网络交易监管执法提供强有力的技术支撑和数据保障。</w:t>
      </w:r>
    </w:p>
    <w:p w14:paraId="5A3B2501" w14:textId="77777777" w:rsidR="000E69EF" w:rsidRDefault="00000000">
      <w:pPr>
        <w:pStyle w:val="3"/>
        <w:numPr>
          <w:ilvl w:val="0"/>
          <w:numId w:val="3"/>
        </w:numPr>
        <w:tabs>
          <w:tab w:val="left" w:pos="567"/>
        </w:tabs>
        <w:adjustRightInd w:val="0"/>
        <w:snapToGrid w:val="0"/>
        <w:spacing w:before="0" w:after="0" w:line="360" w:lineRule="auto"/>
        <w:ind w:firstLineChars="0" w:firstLine="0"/>
        <w:jc w:val="left"/>
        <w:textAlignment w:val="baseline"/>
        <w:rPr>
          <w:rFonts w:ascii="宋体" w:hAnsi="宋体" w:cs="宋体" w:hint="eastAsia"/>
          <w:sz w:val="24"/>
          <w:szCs w:val="24"/>
        </w:rPr>
      </w:pPr>
      <w:bookmarkStart w:id="1" w:name="_Toc47532255"/>
      <w:bookmarkStart w:id="2" w:name="_Toc47532891"/>
      <w:bookmarkStart w:id="3" w:name="_Toc47536272"/>
      <w:bookmarkStart w:id="4" w:name="_Toc47533256"/>
      <w:bookmarkStart w:id="5" w:name="_Toc47536644"/>
      <w:bookmarkStart w:id="6" w:name="_Toc47537134"/>
      <w:bookmarkStart w:id="7" w:name="_Toc47539070"/>
      <w:bookmarkStart w:id="8" w:name="_Toc47531634"/>
      <w:bookmarkStart w:id="9" w:name="_Toc63785463"/>
      <w:bookmarkStart w:id="10" w:name="_Toc48223882"/>
      <w:bookmarkEnd w:id="1"/>
      <w:bookmarkEnd w:id="2"/>
      <w:bookmarkEnd w:id="3"/>
      <w:bookmarkEnd w:id="4"/>
      <w:bookmarkEnd w:id="5"/>
      <w:bookmarkEnd w:id="6"/>
      <w:bookmarkEnd w:id="7"/>
      <w:bookmarkEnd w:id="8"/>
      <w:r>
        <w:rPr>
          <w:rFonts w:ascii="宋体" w:hAnsi="宋体" w:cs="宋体" w:hint="eastAsia"/>
          <w:sz w:val="24"/>
          <w:szCs w:val="24"/>
        </w:rPr>
        <w:t>建设目标</w:t>
      </w:r>
      <w:bookmarkEnd w:id="9"/>
      <w:bookmarkEnd w:id="10"/>
    </w:p>
    <w:p w14:paraId="2A078C8E" w14:textId="77777777" w:rsidR="000E69EF" w:rsidRDefault="00000000">
      <w:pPr>
        <w:rPr>
          <w:rFonts w:cs="宋体" w:hint="eastAsia"/>
          <w:bCs/>
        </w:rPr>
      </w:pPr>
      <w:r>
        <w:rPr>
          <w:rFonts w:cs="宋体" w:hint="eastAsia"/>
          <w:shd w:val="clear" w:color="auto" w:fill="FFFFFF"/>
        </w:rPr>
        <w:t>贯彻国家市场监督管理总局的指示和要求，对上海市重点电商平台、跨区域平台内本市企业网店开展全维度监测，通过平台体检式监管、网店数据归集、违法线索识别与证据固定，推动平台完善合规管理体系，精准识别虚假宣传、侵权假冒等各类网络交易违法行为，同时建立全流程数据安全合规机制，保障服务响应及时高效，为上海市网络交易市场监管执法提供有力支撑，维护公平有序的市场环境。</w:t>
      </w:r>
    </w:p>
    <w:p w14:paraId="7EA7DA5B" w14:textId="77777777" w:rsidR="000E69EF" w:rsidRDefault="00000000">
      <w:pPr>
        <w:pStyle w:val="3"/>
        <w:numPr>
          <w:ilvl w:val="0"/>
          <w:numId w:val="3"/>
        </w:numPr>
        <w:tabs>
          <w:tab w:val="left" w:pos="567"/>
        </w:tabs>
        <w:adjustRightInd w:val="0"/>
        <w:snapToGrid w:val="0"/>
        <w:spacing w:before="0" w:after="0" w:line="360" w:lineRule="auto"/>
        <w:ind w:firstLineChars="0" w:firstLine="0"/>
        <w:jc w:val="left"/>
        <w:textAlignment w:val="baseline"/>
        <w:rPr>
          <w:rFonts w:ascii="宋体" w:hAnsi="宋体" w:cs="宋体" w:hint="eastAsia"/>
          <w:sz w:val="24"/>
          <w:szCs w:val="24"/>
        </w:rPr>
      </w:pPr>
      <w:bookmarkStart w:id="11" w:name="_Toc47533288"/>
      <w:bookmarkStart w:id="12" w:name="_Toc47532923"/>
      <w:bookmarkStart w:id="13" w:name="_Toc47536304"/>
      <w:bookmarkStart w:id="14" w:name="_Toc47539102"/>
      <w:bookmarkStart w:id="15" w:name="_Toc47537166"/>
      <w:bookmarkStart w:id="16" w:name="_Toc47536676"/>
      <w:bookmarkEnd w:id="11"/>
      <w:bookmarkEnd w:id="12"/>
      <w:bookmarkEnd w:id="13"/>
      <w:bookmarkEnd w:id="14"/>
      <w:bookmarkEnd w:id="15"/>
      <w:bookmarkEnd w:id="16"/>
      <w:r>
        <w:rPr>
          <w:rFonts w:ascii="宋体" w:hAnsi="宋体" w:cs="宋体" w:hint="eastAsia"/>
          <w:sz w:val="24"/>
          <w:szCs w:val="24"/>
        </w:rPr>
        <w:t>项目建设内容</w:t>
      </w:r>
    </w:p>
    <w:p w14:paraId="0870CCCC" w14:textId="77777777" w:rsidR="000E69EF" w:rsidRDefault="00000000">
      <w:pPr>
        <w:ind w:firstLine="482"/>
        <w:rPr>
          <w:rFonts w:cs="宋体" w:hint="eastAsia"/>
          <w:b/>
          <w:bCs/>
        </w:rPr>
      </w:pPr>
      <w:r>
        <w:rPr>
          <w:rFonts w:cs="宋体" w:hint="eastAsia"/>
          <w:b/>
          <w:bCs/>
        </w:rPr>
        <w:t>4.1监测范围</w:t>
      </w:r>
    </w:p>
    <w:p w14:paraId="6A6D6BC6" w14:textId="77777777" w:rsidR="000E69EF" w:rsidRDefault="00000000">
      <w:pPr>
        <w:tabs>
          <w:tab w:val="left" w:pos="966"/>
          <w:tab w:val="left" w:pos="1127"/>
          <w:tab w:val="left" w:pos="1610"/>
          <w:tab w:val="left" w:pos="1771"/>
        </w:tabs>
        <w:adjustRightInd w:val="0"/>
        <w:outlineLvl w:val="1"/>
        <w:rPr>
          <w:rFonts w:cs="宋体" w:hint="eastAsia"/>
          <w:shd w:val="clear" w:color="auto" w:fill="FFFFFF"/>
        </w:rPr>
      </w:pPr>
      <w:r>
        <w:rPr>
          <w:rFonts w:cs="宋体" w:hint="eastAsia"/>
          <w:bCs/>
        </w:rPr>
        <w:t>1.重点平台监测范围</w:t>
      </w:r>
      <w:r>
        <w:rPr>
          <w:rFonts w:cs="宋体" w:hint="eastAsia"/>
          <w:shd w:val="clear" w:color="auto" w:fill="FFFFFF"/>
        </w:rPr>
        <w:t>：覆盖哔哩哔哩、大众点评、得物、抖音、饿了么、小红书、盒马、拼多多、携程等上海市重点电商平台</w:t>
      </w:r>
    </w:p>
    <w:p w14:paraId="02CC7794" w14:textId="77777777"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2.国内主流电商平台（淘宝、天猫、1688、京东、美团、淘宝闪购等）在辖区内登记注册的平台内经营者数据信息；</w:t>
      </w:r>
    </w:p>
    <w:p w14:paraId="79142AC6" w14:textId="77777777"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3.在辖区内登记注册企业的微信公众号、小程序、APP等相关数据信息；</w:t>
      </w:r>
    </w:p>
    <w:p w14:paraId="15B9EF1C" w14:textId="77777777"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4.在辖区内进行ICP备案的网站以及其他类型网络交易经营者相关数据信</w:t>
      </w:r>
      <w:r>
        <w:rPr>
          <w:rFonts w:cs="宋体" w:hint="eastAsia"/>
          <w:bCs/>
        </w:rPr>
        <w:lastRenderedPageBreak/>
        <w:t>息。</w:t>
      </w:r>
    </w:p>
    <w:p w14:paraId="1916D56C" w14:textId="77777777" w:rsidR="000E69EF" w:rsidRDefault="00000000">
      <w:pPr>
        <w:ind w:firstLine="482"/>
        <w:rPr>
          <w:rFonts w:cs="宋体" w:hint="eastAsia"/>
          <w:b/>
          <w:bCs/>
        </w:rPr>
      </w:pPr>
      <w:r>
        <w:rPr>
          <w:rFonts w:cs="宋体" w:hint="eastAsia"/>
          <w:b/>
          <w:bCs/>
        </w:rPr>
        <w:t>4.2监测内容</w:t>
      </w:r>
    </w:p>
    <w:p w14:paraId="1C065851" w14:textId="77777777" w:rsidR="000E69EF" w:rsidRDefault="00000000">
      <w:pPr>
        <w:rPr>
          <w:rFonts w:cs="宋体" w:hint="eastAsia"/>
          <w:shd w:val="clear" w:color="auto" w:fill="FFFFFF"/>
        </w:rPr>
      </w:pPr>
      <w:r>
        <w:rPr>
          <w:rFonts w:cs="宋体" w:hint="eastAsia"/>
          <w:shd w:val="clear" w:color="auto" w:fill="FFFFFF"/>
        </w:rPr>
        <w:t>1.重点平台体检式监测服务</w:t>
      </w:r>
    </w:p>
    <w:p w14:paraId="3A76EB3A" w14:textId="450AEA05" w:rsidR="000E69EF" w:rsidRDefault="00000000">
      <w:pPr>
        <w:rPr>
          <w:rFonts w:cs="宋体" w:hint="eastAsia"/>
          <w:shd w:val="clear" w:color="auto" w:fill="FFFFFF"/>
        </w:rPr>
      </w:pPr>
      <w:r>
        <w:rPr>
          <w:rFonts w:cs="宋体" w:hint="eastAsia"/>
          <w:shd w:val="clear" w:color="auto" w:fill="FFFFFF"/>
        </w:rPr>
        <w:t>国家市场监管总局《关于开展平台经济领域突出问题排查整治的通知》(国市监网监发[2025]3号)以及《网络交易平台合规经营评价通则》要求，对上海市重点平台（包括且不限于哔哩哔哩、大众点评、得物、抖音、饿了么、小红书、盒马、拼多多、携程）开展全覆盖体检式监测，全面排查平台在主体证照、协议规则、收费行为、直播电商、投诉举报、</w:t>
      </w:r>
      <w:r w:rsidR="00BF0A39" w:rsidRPr="00BF0A39">
        <w:rPr>
          <w:rFonts w:cs="宋体" w:hint="eastAsia"/>
          <w:shd w:val="clear" w:color="auto" w:fill="FFFFFF"/>
        </w:rPr>
        <w:t>YúQíng</w:t>
      </w:r>
      <w:r>
        <w:rPr>
          <w:rFonts w:cs="宋体" w:hint="eastAsia"/>
          <w:shd w:val="clear" w:color="auto" w:fill="FFFFFF"/>
        </w:rPr>
        <w:t>、产品质量、企业健康度等方面的突出问题。</w:t>
      </w:r>
    </w:p>
    <w:p w14:paraId="7F2AD4B3" w14:textId="77777777" w:rsidR="000E69EF" w:rsidRDefault="00000000">
      <w:pPr>
        <w:rPr>
          <w:rFonts w:cs="宋体" w:hint="eastAsia"/>
          <w:shd w:val="clear" w:color="auto" w:fill="FFFFFF"/>
        </w:rPr>
      </w:pPr>
      <w:r>
        <w:rPr>
          <w:rFonts w:cs="宋体" w:hint="eastAsia"/>
          <w:shd w:val="clear" w:color="auto" w:fill="FFFFFF"/>
        </w:rPr>
        <w:t>为每家平台定期出具专项体检报告，报告需包含问题清单、原因分析、整改建议；服务期内完成全部平台报告交付，单平台报告交付周期不超过监测工作结束后5个工作日。</w:t>
      </w:r>
    </w:p>
    <w:p w14:paraId="292EE5EB" w14:textId="77777777" w:rsidR="000E69EF" w:rsidRDefault="00000000">
      <w:pPr>
        <w:rPr>
          <w:rFonts w:cs="宋体" w:hint="eastAsia"/>
          <w:shd w:val="clear" w:color="auto" w:fill="FFFFFF"/>
        </w:rPr>
      </w:pPr>
      <w:r>
        <w:rPr>
          <w:rFonts w:cs="宋体" w:hint="eastAsia"/>
          <w:shd w:val="clear" w:color="auto" w:fill="FFFFFF"/>
        </w:rPr>
        <w:t>2.平台网店监测服务</w:t>
      </w:r>
    </w:p>
    <w:p w14:paraId="07372AD6" w14:textId="77777777" w:rsidR="000E69EF" w:rsidRDefault="00000000">
      <w:pPr>
        <w:rPr>
          <w:rFonts w:cs="宋体" w:hint="eastAsia"/>
          <w:shd w:val="clear" w:color="auto" w:fill="FFFFFF"/>
        </w:rPr>
      </w:pPr>
      <w:r>
        <w:rPr>
          <w:rFonts w:cs="宋体" w:hint="eastAsia"/>
          <w:shd w:val="clear" w:color="auto" w:fill="FFFFFF"/>
        </w:rPr>
        <w:t>（1）数据归集分类服务</w:t>
      </w:r>
    </w:p>
    <w:p w14:paraId="6A730BA3" w14:textId="77777777" w:rsidR="000E69EF" w:rsidRDefault="00000000">
      <w:pPr>
        <w:rPr>
          <w:rFonts w:cs="宋体" w:hint="eastAsia"/>
          <w:shd w:val="clear" w:color="auto" w:fill="FFFFFF"/>
        </w:rPr>
      </w:pPr>
      <w:r>
        <w:rPr>
          <w:rFonts w:cs="宋体" w:hint="eastAsia"/>
          <w:shd w:val="clear" w:color="auto" w:fill="FFFFFF"/>
        </w:rPr>
        <w:t>借助大数据搜索技术手段，对上海市的网络市场主体及客体数据定期更新，摸清辖区内涉网经营主体动态分布情况。更新内容包括辖区内第三方交易平台、辖区内交易类网站、辖区内非交易类网站、辖区外平台网店，定期更新。</w:t>
      </w:r>
    </w:p>
    <w:p w14:paraId="5A925962" w14:textId="77777777" w:rsidR="000E69EF" w:rsidRDefault="00000000">
      <w:pPr>
        <w:rPr>
          <w:rFonts w:cs="宋体" w:hint="eastAsia"/>
          <w:shd w:val="clear" w:color="auto" w:fill="FFFFFF"/>
        </w:rPr>
      </w:pPr>
      <w:r>
        <w:rPr>
          <w:rFonts w:cs="宋体" w:hint="eastAsia"/>
          <w:shd w:val="clear" w:color="auto" w:fill="FFFFFF"/>
        </w:rPr>
        <w:t>全年完成不少于2次全量数据更新，更新成果在完成后10个工作日内交付。</w:t>
      </w:r>
    </w:p>
    <w:p w14:paraId="3B7BF764" w14:textId="77777777" w:rsidR="000E69EF" w:rsidRDefault="00000000">
      <w:pPr>
        <w:rPr>
          <w:rFonts w:cs="宋体" w:hint="eastAsia"/>
          <w:shd w:val="clear" w:color="auto" w:fill="FFFFFF"/>
        </w:rPr>
      </w:pPr>
      <w:r>
        <w:rPr>
          <w:rFonts w:cs="宋体" w:hint="eastAsia"/>
          <w:shd w:val="clear" w:color="auto" w:fill="FFFFFF"/>
        </w:rPr>
        <w:t>（2）涉嫌违法线索推送服务</w:t>
      </w:r>
    </w:p>
    <w:p w14:paraId="1DCE9BA9" w14:textId="77777777" w:rsidR="000E69EF" w:rsidRDefault="00000000">
      <w:pPr>
        <w:rPr>
          <w:rFonts w:cs="宋体" w:hint="eastAsia"/>
          <w:shd w:val="clear" w:color="auto" w:fill="FFFFFF"/>
        </w:rPr>
      </w:pPr>
      <w:r>
        <w:rPr>
          <w:rFonts w:cs="宋体" w:hint="eastAsia"/>
          <w:shd w:val="clear" w:color="auto" w:fill="FFFFFF"/>
        </w:rPr>
        <w:t>网络交易市场监管专项整治综合性监测。根据市场监管总局部署要求，结合专项整治中监管重点，有针对性地开展涉及市场监管领域的违法线索综合监测，包括但不限于未按规定亮照亮证亮标、违禁品销售、价格欺诈、虚假宣传、刷单炒信、违法广告、不公平格式条款、进博会、机动监测任务以及突发事件开展网络监测。行动期间每月监测1次，每次监测提供线索及监测报告，合计不少于12次。</w:t>
      </w:r>
    </w:p>
    <w:p w14:paraId="1A365E31" w14:textId="77777777" w:rsidR="000E69EF" w:rsidRDefault="00000000">
      <w:pPr>
        <w:rPr>
          <w:rFonts w:cs="宋体" w:hint="eastAsia"/>
          <w:shd w:val="clear" w:color="auto" w:fill="FFFFFF"/>
        </w:rPr>
      </w:pPr>
      <w:r>
        <w:rPr>
          <w:rFonts w:cs="宋体" w:hint="eastAsia"/>
          <w:shd w:val="clear" w:color="auto" w:fill="FFFFFF"/>
        </w:rPr>
        <w:t>3.数据安全与合规服务</w:t>
      </w:r>
    </w:p>
    <w:p w14:paraId="32C82F54" w14:textId="77777777" w:rsidR="000E69EF" w:rsidRDefault="00000000">
      <w:pPr>
        <w:rPr>
          <w:rFonts w:cs="宋体" w:hint="eastAsia"/>
          <w:shd w:val="clear" w:color="auto" w:fill="FFFFFF"/>
        </w:rPr>
      </w:pPr>
      <w:r>
        <w:rPr>
          <w:rFonts w:cs="宋体" w:hint="eastAsia"/>
          <w:shd w:val="clear" w:color="auto" w:fill="FFFFFF"/>
        </w:rPr>
        <w:t>建立数据采集、存储、使用、传输、销毁全流程安全管理机制，杜绝超范围采集、违规泄露等行为，严禁提供针对性、指向性、歧视性监测服务。数据存储系统符合国家信息安全等级保护三级及以上标准；开展数据安全自查并提</w:t>
      </w:r>
      <w:r>
        <w:rPr>
          <w:rFonts w:cs="宋体" w:hint="eastAsia"/>
          <w:shd w:val="clear" w:color="auto" w:fill="FFFFFF"/>
        </w:rPr>
        <w:lastRenderedPageBreak/>
        <w:t>交自查报告，配合采购人合规检查，实现数据安全零事故。</w:t>
      </w:r>
    </w:p>
    <w:p w14:paraId="44CC85D4" w14:textId="77777777" w:rsidR="000E69EF" w:rsidRDefault="00000000">
      <w:pPr>
        <w:rPr>
          <w:rFonts w:cs="宋体" w:hint="eastAsia"/>
          <w:shd w:val="clear" w:color="auto" w:fill="FFFFFF"/>
        </w:rPr>
      </w:pPr>
      <w:r>
        <w:rPr>
          <w:rFonts w:cs="宋体" w:hint="eastAsia"/>
          <w:shd w:val="clear" w:color="auto" w:fill="FFFFFF"/>
        </w:rPr>
        <w:t>4.电子存取证服务</w:t>
      </w:r>
    </w:p>
    <w:p w14:paraId="7536E776" w14:textId="77777777" w:rsidR="000E69EF" w:rsidRDefault="00000000">
      <w:pPr>
        <w:rPr>
          <w:rFonts w:cs="宋体" w:hint="eastAsia"/>
          <w:shd w:val="clear" w:color="auto" w:fill="FFFFFF"/>
        </w:rPr>
      </w:pPr>
      <w:r>
        <w:rPr>
          <w:rFonts w:cs="宋体" w:hint="eastAsia"/>
          <w:shd w:val="clear" w:color="auto" w:fill="FFFFFF"/>
        </w:rPr>
        <w:t>依托专业电子数据取证技术，对监测过程中发现的违法违规电子数据进行固定、保全、校验，确保数据的真实性、合法性、关联性，满足执法办案证据要求。电子存取证作业符合电子数据司法鉴定程序规范；针对需取证的违法线索，存取证完成时效不超过线索确认后1个工作日。</w:t>
      </w:r>
    </w:p>
    <w:p w14:paraId="565A84B7" w14:textId="77777777" w:rsidR="000E69EF" w:rsidRDefault="00000000">
      <w:pPr>
        <w:rPr>
          <w:rFonts w:cs="宋体" w:hint="eastAsia"/>
          <w:shd w:val="clear" w:color="auto" w:fill="FFFFFF"/>
        </w:rPr>
      </w:pPr>
      <w:r>
        <w:rPr>
          <w:rFonts w:cs="宋体" w:hint="eastAsia"/>
          <w:shd w:val="clear" w:color="auto" w:fill="FFFFFF"/>
        </w:rPr>
        <w:t>5.售后支撑服务</w:t>
      </w:r>
    </w:p>
    <w:p w14:paraId="69A23B37" w14:textId="77777777" w:rsidR="000E69EF" w:rsidRDefault="00000000">
      <w:pPr>
        <w:rPr>
          <w:rFonts w:cs="宋体" w:hint="eastAsia"/>
          <w:shd w:val="clear" w:color="auto" w:fill="FFFFFF"/>
        </w:rPr>
      </w:pPr>
      <w:r>
        <w:rPr>
          <w:rFonts w:cs="宋体" w:hint="eastAsia"/>
          <w:shd w:val="clear" w:color="auto" w:fill="FFFFFF"/>
        </w:rPr>
        <w:t>提供7×24小时技术支持与售后服务，提供网络交易监管相关的资料整理、线索汇总、报告修订、技术咨询服务，及时响应采购人各类需求。</w:t>
      </w:r>
    </w:p>
    <w:p w14:paraId="0FC6ABEA" w14:textId="77777777" w:rsidR="000E69EF" w:rsidRDefault="00000000">
      <w:pPr>
        <w:rPr>
          <w:rFonts w:cs="宋体" w:hint="eastAsia"/>
        </w:rPr>
      </w:pPr>
      <w:r>
        <w:rPr>
          <w:rFonts w:cs="宋体" w:hint="eastAsia"/>
          <w:shd w:val="clear" w:color="auto" w:fill="FFFFFF"/>
        </w:rPr>
        <w:t>常规咨询类需求响应时间≤1小时，建立月度沟通机制，定期提交服务工作简报，主动汇报监测进展及问题处置情况。</w:t>
      </w:r>
    </w:p>
    <w:p w14:paraId="53BDD7F2" w14:textId="77777777" w:rsidR="000E69EF" w:rsidRDefault="00000000">
      <w:pPr>
        <w:pStyle w:val="3"/>
        <w:numPr>
          <w:ilvl w:val="0"/>
          <w:numId w:val="3"/>
        </w:numPr>
        <w:tabs>
          <w:tab w:val="left" w:pos="567"/>
        </w:tabs>
        <w:adjustRightInd w:val="0"/>
        <w:snapToGrid w:val="0"/>
        <w:spacing w:before="0" w:after="0" w:line="360" w:lineRule="auto"/>
        <w:ind w:firstLineChars="0" w:firstLine="0"/>
        <w:jc w:val="left"/>
        <w:textAlignment w:val="baseline"/>
        <w:rPr>
          <w:rFonts w:ascii="宋体" w:hAnsi="宋体" w:cs="宋体" w:hint="eastAsia"/>
          <w:sz w:val="24"/>
          <w:szCs w:val="24"/>
        </w:rPr>
      </w:pPr>
      <w:bookmarkStart w:id="17" w:name="_Toc63785503"/>
      <w:r>
        <w:rPr>
          <w:rFonts w:ascii="宋体" w:hAnsi="宋体" w:cs="宋体" w:hint="eastAsia"/>
          <w:sz w:val="24"/>
          <w:szCs w:val="24"/>
        </w:rPr>
        <w:t>验收要求</w:t>
      </w:r>
      <w:bookmarkEnd w:id="17"/>
    </w:p>
    <w:p w14:paraId="351231A3" w14:textId="77777777" w:rsidR="000E69EF" w:rsidRDefault="00000000">
      <w:pPr>
        <w:jc w:val="left"/>
        <w:rPr>
          <w:rFonts w:cs="宋体" w:hint="eastAsia"/>
          <w:spacing w:val="6"/>
          <w:kern w:val="0"/>
        </w:rPr>
      </w:pPr>
      <w:r>
        <w:rPr>
          <w:rFonts w:cs="宋体" w:hint="eastAsia"/>
          <w:kern w:val="0"/>
          <w:lang w:bidi="ar"/>
        </w:rPr>
        <w:t>按照采购合同规定的技术、服务、安全标准组织对供应商履约情况按照考核标准进行验收，验收书包括每一项技术、服务、安全标准的履约情况</w:t>
      </w:r>
      <w:r>
        <w:rPr>
          <w:rFonts w:cs="宋体" w:hint="eastAsia"/>
        </w:rPr>
        <w:t>。要求</w:t>
      </w:r>
      <w:r>
        <w:rPr>
          <w:rFonts w:cs="宋体" w:hint="eastAsia"/>
          <w:spacing w:val="6"/>
          <w:kern w:val="0"/>
        </w:rPr>
        <w:t>每次网络监测均应当包含主体监测、相关的客体监测以及重点行为监测三个方面，每次监测完成后，均需要输出相关的涉嫌违法线索列表，以及相关监测存证材料，按要求提供相应的监测结果报告。</w:t>
      </w:r>
    </w:p>
    <w:p w14:paraId="329FD6E9" w14:textId="77777777" w:rsidR="00805C99" w:rsidRDefault="00000000" w:rsidP="00805C99">
      <w:pPr>
        <w:jc w:val="left"/>
        <w:rPr>
          <w:rFonts w:cs="宋体" w:hint="eastAsia"/>
        </w:rPr>
      </w:pPr>
      <w:r>
        <w:rPr>
          <w:rFonts w:cs="宋体" w:hint="eastAsia"/>
        </w:rPr>
        <w:t>搜索到的涉嫌违法线索等相关数据按照采购人要求格式提供。</w:t>
      </w:r>
    </w:p>
    <w:p w14:paraId="35F9A969" w14:textId="7B009862" w:rsidR="00805C99" w:rsidRPr="00805C99" w:rsidRDefault="00805C99" w:rsidP="00805C99">
      <w:pPr>
        <w:ind w:firstLine="504"/>
        <w:jc w:val="left"/>
        <w:rPr>
          <w:rFonts w:cs="宋体" w:hint="eastAsia"/>
        </w:rPr>
      </w:pPr>
      <w:r w:rsidRPr="00805C99">
        <w:rPr>
          <w:rFonts w:cs="宋体" w:hint="eastAsia"/>
          <w:spacing w:val="6"/>
        </w:rPr>
        <w:t>本市企业自建网站监测，全年不少于19次专项监测。穿透式监管（体检式监测），对本市主要平台开展全年共18次全面监测</w:t>
      </w:r>
      <w:r>
        <w:rPr>
          <w:rFonts w:cs="宋体" w:hint="eastAsia"/>
          <w:spacing w:val="6"/>
        </w:rPr>
        <w:t>。</w:t>
      </w:r>
    </w:p>
    <w:p w14:paraId="25E74DCC" w14:textId="77777777" w:rsidR="000E69EF" w:rsidRDefault="00000000">
      <w:pPr>
        <w:pStyle w:val="3"/>
        <w:numPr>
          <w:ilvl w:val="0"/>
          <w:numId w:val="3"/>
        </w:numPr>
        <w:tabs>
          <w:tab w:val="left" w:pos="567"/>
        </w:tabs>
        <w:adjustRightInd w:val="0"/>
        <w:snapToGrid w:val="0"/>
        <w:spacing w:before="0" w:after="0" w:line="360" w:lineRule="auto"/>
        <w:ind w:firstLineChars="0" w:firstLine="0"/>
        <w:jc w:val="left"/>
        <w:textAlignment w:val="baseline"/>
        <w:rPr>
          <w:rFonts w:ascii="宋体" w:hAnsi="宋体" w:cs="宋体" w:hint="eastAsia"/>
          <w:sz w:val="24"/>
          <w:szCs w:val="24"/>
        </w:rPr>
      </w:pPr>
      <w:r>
        <w:rPr>
          <w:rFonts w:ascii="宋体" w:hAnsi="宋体" w:cs="宋体" w:hint="eastAsia"/>
          <w:sz w:val="24"/>
          <w:szCs w:val="24"/>
        </w:rPr>
        <w:t>其他要求</w:t>
      </w:r>
    </w:p>
    <w:p w14:paraId="35A05C1C" w14:textId="77777777" w:rsidR="000E69EF" w:rsidRDefault="00000000">
      <w:pPr>
        <w:adjustRightInd w:val="0"/>
        <w:snapToGrid w:val="0"/>
        <w:rPr>
          <w:rFonts w:cs="宋体" w:hint="eastAsia"/>
          <w:bCs/>
        </w:rPr>
      </w:pPr>
      <w:r>
        <w:rPr>
          <w:rFonts w:cs="宋体" w:hint="eastAsia"/>
          <w:bCs/>
        </w:rPr>
        <w:t>1.服务地点：采购人指定地点。</w:t>
      </w:r>
    </w:p>
    <w:p w14:paraId="63FA5F35" w14:textId="7C64E47D" w:rsidR="000E69EF" w:rsidRDefault="00000000">
      <w:pPr>
        <w:pStyle w:val="11"/>
        <w:adjustRightInd w:val="0"/>
        <w:snapToGrid w:val="0"/>
        <w:ind w:firstLine="480"/>
        <w:rPr>
          <w:rFonts w:cs="宋体" w:hint="eastAsia"/>
        </w:rPr>
      </w:pPr>
      <w:r>
        <w:rPr>
          <w:rFonts w:cs="宋体" w:hint="eastAsia"/>
        </w:rPr>
        <w:t>2.服务期：</w:t>
      </w:r>
      <w:r w:rsidR="00992A3D" w:rsidRPr="00992A3D">
        <w:rPr>
          <w:rFonts w:cs="宋体" w:hint="eastAsia"/>
        </w:rPr>
        <w:t>自合同签订之日起至2026年12月31日</w:t>
      </w:r>
      <w:r>
        <w:rPr>
          <w:rFonts w:cs="宋体" w:hint="eastAsia"/>
        </w:rPr>
        <w:t>。</w:t>
      </w:r>
    </w:p>
    <w:p w14:paraId="17236792" w14:textId="77777777"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3.供应商应具备完成本项目服务的所需的网络交易监测专业工具，采购人不另外提供。</w:t>
      </w:r>
    </w:p>
    <w:p w14:paraId="4449146B" w14:textId="77777777"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4.本项目涉及网络经营主体的网络经营行为数据，需获得国家相关部门许可，并获得相关企业经营数据处理资质，以保证数据处理过程的合法合规。</w:t>
      </w:r>
    </w:p>
    <w:p w14:paraId="42A1388B" w14:textId="77777777"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5.供应商按照采购人要求的内容、时间和需求提供监测结果并提供违法线索固证材料。</w:t>
      </w:r>
    </w:p>
    <w:p w14:paraId="3E030703" w14:textId="77777777" w:rsidR="000E69EF" w:rsidRDefault="00000000" w:rsidP="0066020F">
      <w:pPr>
        <w:tabs>
          <w:tab w:val="left" w:pos="966"/>
          <w:tab w:val="left" w:pos="1127"/>
          <w:tab w:val="left" w:pos="1610"/>
          <w:tab w:val="left" w:pos="1771"/>
        </w:tabs>
        <w:adjustRightInd w:val="0"/>
        <w:outlineLvl w:val="1"/>
        <w:rPr>
          <w:rFonts w:cs="宋体" w:hint="eastAsia"/>
          <w:bCs/>
        </w:rPr>
      </w:pPr>
      <w:r>
        <w:rPr>
          <w:rFonts w:cs="宋体" w:hint="eastAsia"/>
          <w:bCs/>
        </w:rPr>
        <w:t>6.供应商必须针对本项目组建专门的服务团队，其中应具备数据分析、数据</w:t>
      </w:r>
      <w:r>
        <w:rPr>
          <w:rFonts w:cs="宋体" w:hint="eastAsia"/>
          <w:bCs/>
        </w:rPr>
        <w:lastRenderedPageBreak/>
        <w:t>资产管理、软件开发、法务等专业人员。响应文件必须指定项目负责人并说明项目团队人员名单及相关资质证明材料。项目小组人员一经确定，在项目实施过程如需更换，应征得采购人的同意。</w:t>
      </w:r>
    </w:p>
    <w:p w14:paraId="2FE5536E" w14:textId="490EB7A1" w:rsidR="0066020F" w:rsidRPr="0066020F" w:rsidRDefault="0066020F" w:rsidP="0066020F">
      <w:pPr>
        <w:pStyle w:val="a0"/>
        <w:spacing w:line="360" w:lineRule="auto"/>
        <w:ind w:firstLine="240"/>
        <w:rPr>
          <w:rFonts w:ascii="宋体" w:hAnsi="宋体" w:cs="宋体" w:hint="eastAsia"/>
          <w:bCs/>
          <w:kern w:val="2"/>
          <w:sz w:val="24"/>
          <w:szCs w:val="24"/>
        </w:rPr>
      </w:pPr>
      <w:r w:rsidRPr="0066020F">
        <w:rPr>
          <w:rFonts w:ascii="宋体" w:hAnsi="宋体" w:cs="宋体" w:hint="eastAsia"/>
          <w:bCs/>
          <w:kern w:val="2"/>
          <w:sz w:val="24"/>
          <w:szCs w:val="24"/>
        </w:rPr>
        <w:t>团队人员能力要求如下：供应商拟投入本项目的技术人员中，</w:t>
      </w:r>
      <w:r>
        <w:rPr>
          <w:rFonts w:ascii="宋体" w:hAnsi="宋体" w:cs="宋体" w:hint="eastAsia"/>
          <w:bCs/>
          <w:kern w:val="2"/>
          <w:sz w:val="24"/>
          <w:szCs w:val="24"/>
        </w:rPr>
        <w:t>不少于2人具有</w:t>
      </w:r>
      <w:r w:rsidRPr="0066020F">
        <w:rPr>
          <w:rFonts w:ascii="宋体" w:hAnsi="宋体" w:cs="宋体" w:hint="eastAsia"/>
          <w:bCs/>
          <w:kern w:val="2"/>
          <w:sz w:val="24"/>
          <w:szCs w:val="24"/>
        </w:rPr>
        <w:t>计算机技术与软件专业技术资格（水平）考试中级或以上职称和资质证书</w:t>
      </w:r>
      <w:r>
        <w:rPr>
          <w:rFonts w:ascii="宋体" w:hAnsi="宋体" w:cs="宋体" w:hint="eastAsia"/>
          <w:bCs/>
          <w:kern w:val="2"/>
          <w:sz w:val="24"/>
          <w:szCs w:val="24"/>
        </w:rPr>
        <w:t>；为确保</w:t>
      </w:r>
      <w:r>
        <w:rPr>
          <w:rFonts w:ascii="宋体" w:hAnsi="宋体" w:cs="宋体" w:hint="eastAsia"/>
          <w:sz w:val="24"/>
          <w:szCs w:val="24"/>
          <w:shd w:val="clear" w:color="auto" w:fill="FFFFFF"/>
        </w:rPr>
        <w:t>满足执法办案证据要求、电子存取证作业符合电子数据司法鉴定程序规范，</w:t>
      </w:r>
      <w:r w:rsidRPr="0066020F">
        <w:rPr>
          <w:rFonts w:ascii="宋体" w:hAnsi="宋体" w:cs="宋体" w:hint="eastAsia"/>
          <w:bCs/>
          <w:kern w:val="2"/>
          <w:sz w:val="24"/>
          <w:szCs w:val="24"/>
        </w:rPr>
        <w:t>供应商拟投入本项目的</w:t>
      </w:r>
      <w:r>
        <w:rPr>
          <w:rFonts w:ascii="宋体" w:hAnsi="宋体" w:cs="宋体" w:hint="eastAsia"/>
          <w:bCs/>
          <w:kern w:val="2"/>
          <w:sz w:val="24"/>
          <w:szCs w:val="24"/>
        </w:rPr>
        <w:t>团队</w:t>
      </w:r>
      <w:r w:rsidRPr="0066020F">
        <w:rPr>
          <w:rFonts w:ascii="宋体" w:hAnsi="宋体" w:cs="宋体" w:hint="eastAsia"/>
          <w:bCs/>
          <w:kern w:val="2"/>
          <w:sz w:val="24"/>
          <w:szCs w:val="24"/>
        </w:rPr>
        <w:t>中，</w:t>
      </w:r>
      <w:r>
        <w:rPr>
          <w:rFonts w:ascii="宋体" w:hAnsi="宋体" w:cs="宋体" w:hint="eastAsia"/>
          <w:bCs/>
          <w:kern w:val="2"/>
          <w:sz w:val="24"/>
          <w:szCs w:val="24"/>
        </w:rPr>
        <w:t>应有不少于1人</w:t>
      </w:r>
      <w:r w:rsidRPr="0066020F">
        <w:rPr>
          <w:rFonts w:ascii="宋体" w:hAnsi="宋体" w:cs="宋体" w:hint="eastAsia"/>
          <w:bCs/>
          <w:kern w:val="2"/>
          <w:sz w:val="24"/>
          <w:szCs w:val="24"/>
        </w:rPr>
        <w:t>具有法律职业资格证书</w:t>
      </w:r>
      <w:r>
        <w:rPr>
          <w:rFonts w:ascii="宋体" w:hAnsi="宋体" w:cs="宋体" w:hint="eastAsia"/>
          <w:bCs/>
          <w:kern w:val="2"/>
          <w:sz w:val="24"/>
          <w:szCs w:val="24"/>
        </w:rPr>
        <w:t>。</w:t>
      </w:r>
    </w:p>
    <w:p w14:paraId="04E720FB" w14:textId="77777777" w:rsidR="0066020F" w:rsidRDefault="0066020F" w:rsidP="0066020F">
      <w:pPr>
        <w:tabs>
          <w:tab w:val="left" w:pos="966"/>
          <w:tab w:val="left" w:pos="1127"/>
          <w:tab w:val="left" w:pos="1610"/>
          <w:tab w:val="left" w:pos="1771"/>
        </w:tabs>
        <w:adjustRightInd w:val="0"/>
        <w:outlineLvl w:val="1"/>
        <w:rPr>
          <w:rFonts w:cs="宋体" w:hint="eastAsia"/>
          <w:bCs/>
        </w:rPr>
      </w:pPr>
      <w:r>
        <w:rPr>
          <w:rFonts w:cs="宋体" w:hint="eastAsia"/>
          <w:bCs/>
        </w:rPr>
        <w:t>7.</w:t>
      </w:r>
      <w:r w:rsidRPr="0066020F">
        <w:rPr>
          <w:rFonts w:hint="eastAsia"/>
        </w:rPr>
        <w:t xml:space="preserve"> </w:t>
      </w:r>
      <w:r w:rsidRPr="0066020F">
        <w:rPr>
          <w:rFonts w:cs="宋体" w:hint="eastAsia"/>
          <w:bCs/>
        </w:rPr>
        <w:t>供应商具有与本项目相关的软件著作权登记证书、或专利专有技术证明（包含网络交易监管类、企业信用监管类、互联网数据采集类、动态风险指数管理类、动态图谱实现类等）的</w:t>
      </w:r>
      <w:r>
        <w:rPr>
          <w:rFonts w:cs="宋体" w:hint="eastAsia"/>
          <w:bCs/>
        </w:rPr>
        <w:t>为优</w:t>
      </w:r>
      <w:r w:rsidRPr="0066020F">
        <w:rPr>
          <w:rFonts w:cs="宋体" w:hint="eastAsia"/>
          <w:bCs/>
        </w:rPr>
        <w:t>；</w:t>
      </w:r>
    </w:p>
    <w:p w14:paraId="142A17C3" w14:textId="20DC7FE0" w:rsidR="0066020F" w:rsidRDefault="0066020F" w:rsidP="0066020F">
      <w:pPr>
        <w:tabs>
          <w:tab w:val="left" w:pos="966"/>
          <w:tab w:val="left" w:pos="1127"/>
          <w:tab w:val="left" w:pos="1610"/>
          <w:tab w:val="left" w:pos="1771"/>
        </w:tabs>
        <w:adjustRightInd w:val="0"/>
        <w:outlineLvl w:val="1"/>
        <w:rPr>
          <w:rFonts w:cs="宋体" w:hint="eastAsia"/>
          <w:bCs/>
        </w:rPr>
      </w:pPr>
      <w:r w:rsidRPr="0066020F">
        <w:rPr>
          <w:rFonts w:cs="宋体" w:hint="eastAsia"/>
          <w:bCs/>
        </w:rPr>
        <w:t>供应商具有ISO9001质量管理体系认证证书、具备DCMM数据管理能力成熟度证书的</w:t>
      </w:r>
      <w:r>
        <w:rPr>
          <w:rFonts w:cs="宋体" w:hint="eastAsia"/>
          <w:bCs/>
        </w:rPr>
        <w:t>为优。</w:t>
      </w:r>
    </w:p>
    <w:p w14:paraId="1530C1C1" w14:textId="356C1487" w:rsidR="000E69EF" w:rsidRDefault="0066020F" w:rsidP="0066020F">
      <w:pPr>
        <w:tabs>
          <w:tab w:val="left" w:pos="966"/>
          <w:tab w:val="left" w:pos="1127"/>
          <w:tab w:val="left" w:pos="1610"/>
          <w:tab w:val="left" w:pos="1771"/>
        </w:tabs>
        <w:adjustRightInd w:val="0"/>
        <w:outlineLvl w:val="1"/>
        <w:rPr>
          <w:rFonts w:cs="宋体" w:hint="eastAsia"/>
          <w:bCs/>
        </w:rPr>
      </w:pPr>
      <w:r>
        <w:rPr>
          <w:rFonts w:cs="宋体" w:hint="eastAsia"/>
          <w:bCs/>
        </w:rPr>
        <w:t>8.供应商及时根据采购人要求和网络市场实情，不断完善监测模型，以提升监测质效。</w:t>
      </w:r>
    </w:p>
    <w:p w14:paraId="0A85BD6B" w14:textId="0401F35C" w:rsidR="000E69EF" w:rsidRDefault="0066020F">
      <w:pPr>
        <w:tabs>
          <w:tab w:val="left" w:pos="966"/>
          <w:tab w:val="left" w:pos="1127"/>
          <w:tab w:val="left" w:pos="1610"/>
          <w:tab w:val="left" w:pos="1771"/>
        </w:tabs>
        <w:adjustRightInd w:val="0"/>
        <w:outlineLvl w:val="1"/>
        <w:rPr>
          <w:rFonts w:cs="宋体" w:hint="eastAsia"/>
          <w:bCs/>
        </w:rPr>
      </w:pPr>
      <w:r>
        <w:rPr>
          <w:rFonts w:cs="宋体" w:hint="eastAsia"/>
          <w:bCs/>
        </w:rPr>
        <w:t>9.每项网络监测任务需按照采购人的具体要求和规定的时间开展监测服务，抓取监测主体，并按照采购人规定的格式提供涉嫌违法线索。</w:t>
      </w:r>
    </w:p>
    <w:p w14:paraId="47C05D1B" w14:textId="050049DC" w:rsidR="000E69EF" w:rsidRDefault="0066020F">
      <w:pPr>
        <w:tabs>
          <w:tab w:val="left" w:pos="966"/>
          <w:tab w:val="left" w:pos="1127"/>
          <w:tab w:val="left" w:pos="1610"/>
          <w:tab w:val="left" w:pos="1771"/>
        </w:tabs>
        <w:adjustRightInd w:val="0"/>
        <w:outlineLvl w:val="1"/>
        <w:rPr>
          <w:rFonts w:cs="宋体" w:hint="eastAsia"/>
          <w:bCs/>
        </w:rPr>
      </w:pPr>
      <w:r>
        <w:rPr>
          <w:rFonts w:cs="宋体" w:hint="eastAsia"/>
          <w:bCs/>
        </w:rPr>
        <w:t>10.每项监测任务需全程记录监测数据，完成后需提供网络专项监测报告，报告应准确、完整地表达监测情况、监测数据分析、总体情况。</w:t>
      </w:r>
    </w:p>
    <w:p w14:paraId="39C0A73B" w14:textId="5A286243"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1</w:t>
      </w:r>
      <w:r w:rsidR="0066020F">
        <w:rPr>
          <w:rFonts w:cs="宋体" w:hint="eastAsia"/>
          <w:bCs/>
        </w:rPr>
        <w:t>1</w:t>
      </w:r>
      <w:r>
        <w:rPr>
          <w:rFonts w:cs="宋体" w:hint="eastAsia"/>
          <w:bCs/>
        </w:rPr>
        <w:t>.项目成果有下列情况之一者无效：</w:t>
      </w:r>
    </w:p>
    <w:p w14:paraId="2EDC54C8" w14:textId="77777777"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（1）提交的监测报告及监测数据不符合采购人要求。</w:t>
      </w:r>
    </w:p>
    <w:p w14:paraId="55AD4808" w14:textId="77777777" w:rsidR="000E69EF" w:rsidRDefault="00000000">
      <w:pPr>
        <w:tabs>
          <w:tab w:val="left" w:pos="966"/>
          <w:tab w:val="left" w:pos="1127"/>
          <w:tab w:val="left" w:pos="1610"/>
          <w:tab w:val="left" w:pos="1771"/>
        </w:tabs>
        <w:adjustRightInd w:val="0"/>
        <w:outlineLvl w:val="1"/>
        <w:rPr>
          <w:rFonts w:cs="宋体" w:hint="eastAsia"/>
          <w:bCs/>
        </w:rPr>
      </w:pPr>
      <w:r>
        <w:rPr>
          <w:rFonts w:cs="宋体" w:hint="eastAsia"/>
          <w:bCs/>
        </w:rPr>
        <w:t>（2）有关监测数据严重不实。</w:t>
      </w:r>
    </w:p>
    <w:p w14:paraId="73B150C4" w14:textId="77777777" w:rsidR="000E69EF" w:rsidRDefault="00000000">
      <w:pPr>
        <w:pStyle w:val="11"/>
        <w:adjustRightInd w:val="0"/>
        <w:snapToGrid w:val="0"/>
        <w:ind w:firstLine="482"/>
        <w:rPr>
          <w:rFonts w:cs="宋体" w:hint="eastAsia"/>
          <w:b/>
        </w:rPr>
      </w:pPr>
      <w:r>
        <w:rPr>
          <w:rFonts w:cs="宋体" w:hint="eastAsia"/>
          <w:b/>
        </w:rPr>
        <w:t>安全标准：符合国家、地方、行业、团体或企业标准，并按照最高标准执行。</w:t>
      </w:r>
    </w:p>
    <w:p w14:paraId="086DDDD5" w14:textId="00042ED2" w:rsidR="004F1AFD" w:rsidRDefault="004F1AFD">
      <w:pPr>
        <w:pStyle w:val="11"/>
        <w:adjustRightInd w:val="0"/>
        <w:snapToGrid w:val="0"/>
        <w:ind w:firstLine="482"/>
        <w:rPr>
          <w:rFonts w:cs="宋体" w:hint="eastAsia"/>
          <w:b/>
        </w:rPr>
      </w:pPr>
      <w:r>
        <w:rPr>
          <w:rFonts w:cs="宋体" w:hint="eastAsia"/>
          <w:b/>
        </w:rPr>
        <w:t>12.供应商提供的服务方案要求：</w:t>
      </w:r>
    </w:p>
    <w:p w14:paraId="34D46C67" w14:textId="7D6DCECD" w:rsidR="004F1AFD" w:rsidRPr="004F1AFD" w:rsidRDefault="004F1AFD" w:rsidP="004F1AFD">
      <w:pPr>
        <w:pStyle w:val="11"/>
        <w:adjustRightInd w:val="0"/>
        <w:snapToGrid w:val="0"/>
        <w:ind w:firstLine="480"/>
        <w:rPr>
          <w:rFonts w:cs="宋体" w:hint="eastAsia"/>
        </w:rPr>
      </w:pPr>
      <w:r>
        <w:rPr>
          <w:rFonts w:cs="宋体" w:hint="eastAsia"/>
        </w:rPr>
        <w:t>（1）</w:t>
      </w:r>
      <w:r w:rsidRPr="004F1AFD">
        <w:rPr>
          <w:rFonts w:cs="宋体" w:hint="eastAsia"/>
        </w:rPr>
        <w:t>网络交易监管服务详细方案：</w:t>
      </w:r>
    </w:p>
    <w:p w14:paraId="239A380C" w14:textId="78C8733F" w:rsidR="004F1AFD" w:rsidRPr="004F1AFD" w:rsidRDefault="004F1AFD" w:rsidP="004F1AFD">
      <w:pPr>
        <w:pStyle w:val="11"/>
        <w:adjustRightInd w:val="0"/>
        <w:snapToGrid w:val="0"/>
        <w:ind w:firstLine="480"/>
        <w:rPr>
          <w:rFonts w:cs="宋体" w:hint="eastAsia"/>
        </w:rPr>
      </w:pPr>
      <w:r w:rsidRPr="004F1AFD">
        <w:rPr>
          <w:rFonts w:cs="宋体" w:hint="eastAsia"/>
        </w:rPr>
        <w:t>针对采购需求中监管要求，提供详细的监管工作方案，各类型监管交付流程须描述详细，明确法律依据，展示典型违法线索；对网络交易监管模型构建及技术手段等设计分析清晰透彻，针对数据获取、清洗，特征提取、标注，模型的选择、训练、测试、部署、优化描述合理，可行性高</w:t>
      </w:r>
      <w:r>
        <w:rPr>
          <w:rFonts w:cs="宋体" w:hint="eastAsia"/>
        </w:rPr>
        <w:t>；</w:t>
      </w:r>
      <w:r w:rsidRPr="004F1AFD">
        <w:rPr>
          <w:rFonts w:cs="宋体" w:hint="eastAsia"/>
        </w:rPr>
        <w:t>针对网络交易监管中大数据人工智能风险模型的整体说明、详细设计、实践案例、迭代更新描述清晰，内容</w:t>
      </w:r>
      <w:r w:rsidRPr="004F1AFD">
        <w:rPr>
          <w:rFonts w:cs="宋体" w:hint="eastAsia"/>
        </w:rPr>
        <w:lastRenderedPageBreak/>
        <w:t>合理，符合网络交易监管领域实际需求。</w:t>
      </w:r>
    </w:p>
    <w:p w14:paraId="7C377DDD" w14:textId="42E9749A" w:rsidR="004F1AFD" w:rsidRPr="004F1AFD" w:rsidRDefault="004F1AFD" w:rsidP="004F1AFD">
      <w:pPr>
        <w:pStyle w:val="11"/>
        <w:adjustRightInd w:val="0"/>
        <w:snapToGrid w:val="0"/>
        <w:ind w:firstLine="480"/>
        <w:rPr>
          <w:rFonts w:cs="宋体" w:hint="eastAsia"/>
        </w:rPr>
      </w:pPr>
      <w:r>
        <w:rPr>
          <w:rFonts w:cs="宋体" w:hint="eastAsia"/>
        </w:rPr>
        <w:t>（2）</w:t>
      </w:r>
      <w:r w:rsidRPr="004F1AFD">
        <w:rPr>
          <w:rFonts w:cs="宋体" w:hint="eastAsia"/>
        </w:rPr>
        <w:t>体检式监管服务方案：</w:t>
      </w:r>
    </w:p>
    <w:p w14:paraId="7551BC88" w14:textId="6DA23C2C" w:rsidR="004F1AFD" w:rsidRDefault="004F1AFD" w:rsidP="004F1AFD">
      <w:pPr>
        <w:pStyle w:val="11"/>
        <w:adjustRightInd w:val="0"/>
        <w:snapToGrid w:val="0"/>
        <w:ind w:firstLine="480"/>
        <w:rPr>
          <w:rFonts w:cs="宋体" w:hint="eastAsia"/>
        </w:rPr>
      </w:pPr>
      <w:r w:rsidRPr="004F1AFD">
        <w:rPr>
          <w:rFonts w:cs="宋体" w:hint="eastAsia"/>
        </w:rPr>
        <w:t>针对采购需求中体检式监管，对辖区内电商平台开展体检式监测，提供详细的监管工作方案；提供针对辖区内电商平台的体检式监测报告示例。</w:t>
      </w:r>
    </w:p>
    <w:p w14:paraId="01DD577A" w14:textId="5AAFD70E" w:rsidR="004F1AFD" w:rsidRPr="004F1AFD" w:rsidRDefault="004F1AFD" w:rsidP="004F1AFD">
      <w:pPr>
        <w:pStyle w:val="11"/>
        <w:adjustRightInd w:val="0"/>
        <w:snapToGrid w:val="0"/>
        <w:ind w:firstLine="480"/>
        <w:rPr>
          <w:rFonts w:cs="宋体" w:hint="eastAsia"/>
        </w:rPr>
      </w:pPr>
      <w:r>
        <w:rPr>
          <w:rFonts w:cs="宋体" w:hint="eastAsia"/>
        </w:rPr>
        <w:t>（3）风险控制方案</w:t>
      </w:r>
      <w:r w:rsidRPr="004F1AFD">
        <w:rPr>
          <w:rFonts w:cs="宋体" w:hint="eastAsia"/>
        </w:rPr>
        <w:t>：</w:t>
      </w:r>
    </w:p>
    <w:p w14:paraId="66663AC1" w14:textId="42D1DB11" w:rsidR="004F1AFD" w:rsidRDefault="004F1AFD" w:rsidP="004F1AFD">
      <w:pPr>
        <w:pStyle w:val="11"/>
        <w:adjustRightInd w:val="0"/>
        <w:snapToGrid w:val="0"/>
        <w:ind w:firstLine="480"/>
        <w:rPr>
          <w:rFonts w:cs="宋体" w:hint="eastAsia"/>
        </w:rPr>
      </w:pPr>
      <w:r w:rsidRPr="004F1AFD">
        <w:rPr>
          <w:rFonts w:cs="宋体" w:hint="eastAsia"/>
        </w:rPr>
        <w:t>数据采集（调用）阶段</w:t>
      </w:r>
      <w:r>
        <w:rPr>
          <w:rFonts w:cs="宋体" w:hint="eastAsia"/>
        </w:rPr>
        <w:t>、</w:t>
      </w:r>
      <w:r w:rsidRPr="004F1AFD">
        <w:rPr>
          <w:rFonts w:cs="宋体" w:hint="eastAsia"/>
        </w:rPr>
        <w:t>取证固证阶段</w:t>
      </w:r>
      <w:r>
        <w:rPr>
          <w:rFonts w:cs="宋体" w:hint="eastAsia"/>
        </w:rPr>
        <w:t>、</w:t>
      </w:r>
      <w:r w:rsidRPr="004F1AFD">
        <w:rPr>
          <w:rFonts w:cs="宋体" w:hint="eastAsia"/>
        </w:rPr>
        <w:t>数据汇总分析阶段</w:t>
      </w:r>
      <w:r>
        <w:rPr>
          <w:rFonts w:cs="宋体" w:hint="eastAsia"/>
        </w:rPr>
        <w:t>、</w:t>
      </w:r>
      <w:r w:rsidRPr="004F1AFD">
        <w:rPr>
          <w:rFonts w:cs="宋体" w:hint="eastAsia"/>
        </w:rPr>
        <w:t>监测结果审核阶段的风险点及解决思路；</w:t>
      </w:r>
    </w:p>
    <w:p w14:paraId="053A353D" w14:textId="481AE9FC" w:rsidR="004F1AFD" w:rsidRDefault="004F1AFD" w:rsidP="004F1AFD">
      <w:pPr>
        <w:pStyle w:val="11"/>
        <w:adjustRightInd w:val="0"/>
        <w:snapToGrid w:val="0"/>
        <w:ind w:firstLine="480"/>
        <w:rPr>
          <w:rFonts w:cs="宋体" w:hint="eastAsia"/>
        </w:rPr>
      </w:pPr>
      <w:r>
        <w:rPr>
          <w:rFonts w:cs="宋体" w:hint="eastAsia"/>
        </w:rPr>
        <w:t>（4）</w:t>
      </w:r>
      <w:r w:rsidRPr="004F1AFD">
        <w:rPr>
          <w:rFonts w:cs="宋体" w:hint="eastAsia"/>
        </w:rPr>
        <w:t>直播带货大模型监管能力说明</w:t>
      </w:r>
      <w:r>
        <w:rPr>
          <w:rFonts w:cs="宋体" w:hint="eastAsia"/>
        </w:rPr>
        <w:t>/方案需包含的涉嫌违法行为类型：</w:t>
      </w:r>
    </w:p>
    <w:p w14:paraId="6F828D67" w14:textId="77777777" w:rsidR="004F1AFD" w:rsidRDefault="004F1AFD" w:rsidP="004F1AFD">
      <w:pPr>
        <w:pStyle w:val="11"/>
        <w:numPr>
          <w:ilvl w:val="0"/>
          <w:numId w:val="5"/>
        </w:numPr>
        <w:adjustRightInd w:val="0"/>
        <w:snapToGrid w:val="0"/>
        <w:ind w:firstLineChars="0"/>
        <w:rPr>
          <w:rFonts w:cs="宋体" w:hint="eastAsia"/>
        </w:rPr>
      </w:pPr>
      <w:r w:rsidRPr="004F1AFD">
        <w:rPr>
          <w:rFonts w:cs="宋体" w:hint="eastAsia"/>
        </w:rPr>
        <w:t>直播间带货主播是否依法取得市场主体资质，公示经营者名称、统一社会信用代码、经营地址、行政许可等真实有效的信息；</w:t>
      </w:r>
    </w:p>
    <w:p w14:paraId="33AC78DE" w14:textId="77777777" w:rsidR="004F1AFD" w:rsidRDefault="004F1AFD" w:rsidP="004F1AFD">
      <w:pPr>
        <w:pStyle w:val="11"/>
        <w:numPr>
          <w:ilvl w:val="0"/>
          <w:numId w:val="5"/>
        </w:numPr>
        <w:adjustRightInd w:val="0"/>
        <w:snapToGrid w:val="0"/>
        <w:ind w:firstLineChars="0"/>
        <w:rPr>
          <w:rFonts w:cs="宋体" w:hint="eastAsia"/>
        </w:rPr>
      </w:pPr>
      <w:r w:rsidRPr="004F1AFD">
        <w:rPr>
          <w:rFonts w:cs="宋体" w:hint="eastAsia"/>
        </w:rPr>
        <w:t>虚假宣传行为以及是否发布违法广告；</w:t>
      </w:r>
    </w:p>
    <w:p w14:paraId="70BF2D42" w14:textId="77777777" w:rsidR="004F1AFD" w:rsidRDefault="004F1AFD" w:rsidP="004F1AFD">
      <w:pPr>
        <w:pStyle w:val="11"/>
        <w:numPr>
          <w:ilvl w:val="0"/>
          <w:numId w:val="5"/>
        </w:numPr>
        <w:adjustRightInd w:val="0"/>
        <w:snapToGrid w:val="0"/>
        <w:ind w:firstLineChars="0"/>
        <w:rPr>
          <w:rFonts w:cs="宋体" w:hint="eastAsia"/>
        </w:rPr>
      </w:pPr>
      <w:r w:rsidRPr="004F1AFD">
        <w:rPr>
          <w:rFonts w:cs="宋体" w:hint="eastAsia"/>
        </w:rPr>
        <w:t>在其经营的品类中是否存在禁限售商品；</w:t>
      </w:r>
    </w:p>
    <w:p w14:paraId="2A1C89FB" w14:textId="40935F63" w:rsidR="004F1AFD" w:rsidRPr="004F1AFD" w:rsidRDefault="004F1AFD" w:rsidP="004F1AFD">
      <w:pPr>
        <w:pStyle w:val="11"/>
        <w:numPr>
          <w:ilvl w:val="0"/>
          <w:numId w:val="5"/>
        </w:numPr>
        <w:adjustRightInd w:val="0"/>
        <w:snapToGrid w:val="0"/>
        <w:ind w:firstLineChars="0"/>
        <w:rPr>
          <w:rFonts w:cs="宋体" w:hint="eastAsia"/>
        </w:rPr>
      </w:pPr>
      <w:r w:rsidRPr="004F1AFD">
        <w:rPr>
          <w:rFonts w:cs="宋体" w:hint="eastAsia"/>
        </w:rPr>
        <w:t>是否存在流量等数据造假，虚假购买和事后退货，刷单炒信等违法行为模进行详细阐述。</w:t>
      </w:r>
    </w:p>
    <w:p w14:paraId="12FA45D0" w14:textId="7E6858AD" w:rsidR="004F1AFD" w:rsidRDefault="004F1AFD" w:rsidP="004F1AFD">
      <w:pPr>
        <w:pStyle w:val="11"/>
        <w:adjustRightInd w:val="0"/>
        <w:snapToGrid w:val="0"/>
        <w:ind w:firstLine="480"/>
        <w:rPr>
          <w:rFonts w:cs="宋体" w:hint="eastAsia"/>
        </w:rPr>
      </w:pPr>
      <w:r w:rsidRPr="004F1AFD">
        <w:rPr>
          <w:rFonts w:cs="宋体" w:hint="eastAsia"/>
        </w:rPr>
        <w:t>上述涉嫌违法行为类型须提供不少于2个智能违法监管模型，每个模型描述应包含：1）违法模型定义；2）违法行为分析；3）违法行为识别；4）违法行为决策；5）违法行为处置。</w:t>
      </w:r>
    </w:p>
    <w:sectPr w:rsidR="004F1AFD">
      <w:footerReference w:type="first" r:id="rId7"/>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2C85" w14:textId="77777777" w:rsidR="00D60479" w:rsidRDefault="00D60479">
      <w:pPr>
        <w:spacing w:line="240" w:lineRule="auto"/>
        <w:rPr>
          <w:rFonts w:hint="eastAsia"/>
        </w:rPr>
      </w:pPr>
      <w:r>
        <w:separator/>
      </w:r>
    </w:p>
  </w:endnote>
  <w:endnote w:type="continuationSeparator" w:id="0">
    <w:p w14:paraId="1C445F7A" w14:textId="77777777" w:rsidR="00D60479" w:rsidRDefault="00D6047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报隶-简"/>
    <w:panose1 w:val="02010509060101010101"/>
    <w:charset w:val="86"/>
    <w:family w:val="modern"/>
    <w:pitch w:val="fixed"/>
    <w:sig w:usb0="00000001" w:usb1="080E0000" w:usb2="0000001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C6EA" w14:textId="77777777" w:rsidR="000E69EF" w:rsidRDefault="00000000">
    <w:pPr>
      <w:ind w:firstLineChars="0" w:firstLine="0"/>
      <w:jc w:val="center"/>
      <w:rPr>
        <w:rFonts w:hint="eastAsia"/>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p w14:paraId="1EFEE510" w14:textId="77777777" w:rsidR="000E69EF" w:rsidRDefault="000E69EF">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E39B" w14:textId="77777777" w:rsidR="00D60479" w:rsidRDefault="00D60479">
      <w:pPr>
        <w:rPr>
          <w:rFonts w:hint="eastAsia"/>
        </w:rPr>
      </w:pPr>
      <w:r>
        <w:separator/>
      </w:r>
    </w:p>
  </w:footnote>
  <w:footnote w:type="continuationSeparator" w:id="0">
    <w:p w14:paraId="52EE26BE" w14:textId="77777777" w:rsidR="00D60479" w:rsidRDefault="00D604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0D9833"/>
    <w:multiLevelType w:val="singleLevel"/>
    <w:tmpl w:val="8D0D9833"/>
    <w:lvl w:ilvl="0">
      <w:start w:val="1"/>
      <w:numFmt w:val="chineseCounting"/>
      <w:suff w:val="nothing"/>
      <w:lvlText w:val="%1、"/>
      <w:lvlJc w:val="left"/>
      <w:pPr>
        <w:ind w:left="0" w:firstLine="420"/>
      </w:pPr>
      <w:rPr>
        <w:rFonts w:ascii="宋体" w:eastAsia="宋体" w:hAnsi="宋体" w:cs="宋体" w:hint="eastAsia"/>
        <w:b/>
        <w:bCs/>
        <w:color w:val="auto"/>
        <w:sz w:val="21"/>
        <w:szCs w:val="21"/>
      </w:rPr>
    </w:lvl>
  </w:abstractNum>
  <w:abstractNum w:abstractNumId="1" w15:restartNumberingAfterBreak="0">
    <w:nsid w:val="A2C4F743"/>
    <w:multiLevelType w:val="singleLevel"/>
    <w:tmpl w:val="A2C4F743"/>
    <w:lvl w:ilvl="0">
      <w:start w:val="1"/>
      <w:numFmt w:val="decimal"/>
      <w:lvlText w:val="%1."/>
      <w:lvlJc w:val="left"/>
      <w:pPr>
        <w:ind w:left="425" w:hanging="425"/>
      </w:pPr>
      <w:rPr>
        <w:rFonts w:hint="default"/>
      </w:rPr>
    </w:lvl>
  </w:abstractNum>
  <w:abstractNum w:abstractNumId="2" w15:restartNumberingAfterBreak="0">
    <w:nsid w:val="40437A69"/>
    <w:multiLevelType w:val="hybridMultilevel"/>
    <w:tmpl w:val="C73AA772"/>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5A4438AC"/>
    <w:multiLevelType w:val="multilevel"/>
    <w:tmpl w:val="5A4438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isLgl/>
      <w:suff w:val="nothing"/>
      <w:lvlText w:val="%1.%2.%3、"/>
      <w:lvlJc w:val="left"/>
      <w:pPr>
        <w:ind w:left="1069" w:hanging="1069"/>
      </w:pPr>
      <w:rPr>
        <w:rFonts w:ascii="宋体" w:eastAsia="宋体" w:hAnsi="宋体" w:cs="Arial" w:hint="default"/>
      </w:rPr>
    </w:lvl>
    <w:lvl w:ilvl="3">
      <w:start w:val="1"/>
      <w:numFmt w:val="decimal"/>
      <w:isLgl/>
      <w:suff w:val="nothing"/>
      <w:lvlText w:val="%1.%2.%3.%4、"/>
      <w:lvlJc w:val="left"/>
      <w:pPr>
        <w:ind w:left="3403" w:hanging="851"/>
      </w:pPr>
    </w:lvl>
    <w:lvl w:ilvl="4">
      <w:start w:val="1"/>
      <w:numFmt w:val="decimal"/>
      <w:isLgl/>
      <w:suff w:val="nothing"/>
      <w:lvlText w:val="%1.%2.%3.%4.%5、"/>
      <w:lvlJc w:val="left"/>
      <w:pPr>
        <w:ind w:left="3544" w:hanging="992"/>
      </w:pPr>
      <w:rPr>
        <w:rFonts w:hint="eastAsia"/>
      </w:rPr>
    </w:lvl>
    <w:lvl w:ilvl="5">
      <w:start w:val="1"/>
      <w:numFmt w:val="decimal"/>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16cid:durableId="1703821455">
    <w:abstractNumId w:val="4"/>
  </w:num>
  <w:num w:numId="2" w16cid:durableId="1666517477">
    <w:abstractNumId w:val="3"/>
  </w:num>
  <w:num w:numId="3" w16cid:durableId="1560090698">
    <w:abstractNumId w:val="0"/>
  </w:num>
  <w:num w:numId="4" w16cid:durableId="638191640">
    <w:abstractNumId w:val="1"/>
  </w:num>
  <w:num w:numId="5" w16cid:durableId="635525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1OTMyYmVkNDBiZGZjOTJjNzg0ZTljMGM2NGM1NWEifQ=="/>
  </w:docVars>
  <w:rsids>
    <w:rsidRoot w:val="000E69EF"/>
    <w:rsid w:val="000E69EF"/>
    <w:rsid w:val="00160544"/>
    <w:rsid w:val="001D6EF0"/>
    <w:rsid w:val="002146D8"/>
    <w:rsid w:val="00270B1C"/>
    <w:rsid w:val="00365516"/>
    <w:rsid w:val="004F1AFD"/>
    <w:rsid w:val="006167FF"/>
    <w:rsid w:val="0066020F"/>
    <w:rsid w:val="00744B6C"/>
    <w:rsid w:val="00805C99"/>
    <w:rsid w:val="00992A3D"/>
    <w:rsid w:val="00BF0A39"/>
    <w:rsid w:val="00CE2C0E"/>
    <w:rsid w:val="00D2641F"/>
    <w:rsid w:val="00D50640"/>
    <w:rsid w:val="00D60479"/>
    <w:rsid w:val="0CE7514C"/>
    <w:rsid w:val="104B5C25"/>
    <w:rsid w:val="370C1C5B"/>
    <w:rsid w:val="645D785C"/>
    <w:rsid w:val="7F7BADB8"/>
    <w:rsid w:val="7FB65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4686A"/>
  <w15:docId w15:val="{5C5167B6-DF9B-42E3-B3B9-69C13E8F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qFormat="1"/>
    <w:lsdException w:name="caption"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spacing w:line="360" w:lineRule="auto"/>
      <w:ind w:firstLineChars="200" w:firstLine="480"/>
      <w:jc w:val="both"/>
    </w:pPr>
    <w:rPr>
      <w:rFonts w:ascii="宋体" w:hAnsi="宋体"/>
      <w:kern w:val="2"/>
      <w:sz w:val="24"/>
      <w:szCs w:val="24"/>
    </w:rPr>
  </w:style>
  <w:style w:type="paragraph" w:styleId="1">
    <w:name w:val="heading 1"/>
    <w:basedOn w:val="a"/>
    <w:next w:val="a"/>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
    <w:next w:val="a"/>
    <w:uiPriority w:val="9"/>
    <w:qFormat/>
    <w:pPr>
      <w:keepNext/>
      <w:keepLines/>
      <w:numPr>
        <w:ilvl w:val="1"/>
        <w:numId w:val="1"/>
      </w:numPr>
      <w:spacing w:before="120" w:after="120"/>
      <w:ind w:firstLineChars="0" w:firstLine="0"/>
      <w:outlineLvl w:val="1"/>
    </w:pPr>
    <w:rPr>
      <w:b/>
      <w:bCs/>
      <w:sz w:val="30"/>
      <w:szCs w:val="32"/>
    </w:rPr>
  </w:style>
  <w:style w:type="paragraph" w:styleId="3">
    <w:name w:val="heading 3"/>
    <w:basedOn w:val="a"/>
    <w:next w:val="a"/>
    <w:qFormat/>
    <w:pPr>
      <w:keepNext/>
      <w:keepLines/>
      <w:numPr>
        <w:ilvl w:val="2"/>
        <w:numId w:val="2"/>
      </w:numPr>
      <w:spacing w:before="260" w:after="260" w:line="416" w:lineRule="auto"/>
      <w:outlineLvl w:val="2"/>
    </w:pPr>
    <w:rPr>
      <w:rFonts w:ascii="Times New Roman"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xl28"/>
    <w:qFormat/>
    <w:pPr>
      <w:widowControl w:val="0"/>
      <w:spacing w:after="120" w:line="240" w:lineRule="auto"/>
      <w:ind w:firstLineChars="100" w:firstLine="420"/>
    </w:pPr>
    <w:rPr>
      <w:rFonts w:eastAsia="宋体"/>
      <w:b w:val="0"/>
    </w:rPr>
  </w:style>
  <w:style w:type="paragraph" w:styleId="a4">
    <w:name w:val="Body Text"/>
    <w:basedOn w:val="a"/>
    <w:next w:val="a"/>
    <w:qFormat/>
    <w:pPr>
      <w:widowControl/>
      <w:spacing w:line="320" w:lineRule="atLeast"/>
    </w:pPr>
    <w:rPr>
      <w:rFonts w:ascii="Times New Roman" w:eastAsia="隶书" w:hAnsi="Times New Roman"/>
      <w:b/>
      <w:kern w:val="0"/>
      <w:sz w:val="44"/>
      <w:szCs w:val="20"/>
    </w:rPr>
  </w:style>
  <w:style w:type="paragraph" w:customStyle="1" w:styleId="xl28">
    <w:name w:val="xl28"/>
    <w:basedOn w:val="a"/>
    <w:next w:val="a5"/>
    <w:qFormat/>
    <w:pPr>
      <w:pBdr>
        <w:left w:val="single" w:sz="4" w:space="0" w:color="auto"/>
        <w:bottom w:val="single" w:sz="4" w:space="0" w:color="auto"/>
        <w:right w:val="single" w:sz="4" w:space="0" w:color="auto"/>
      </w:pBdr>
      <w:spacing w:before="100" w:beforeAutospacing="1" w:after="100" w:afterAutospacing="1"/>
      <w:jc w:val="center"/>
    </w:pPr>
  </w:style>
  <w:style w:type="paragraph" w:styleId="a5">
    <w:name w:val="caption"/>
    <w:basedOn w:val="a"/>
    <w:next w:val="a"/>
    <w:qFormat/>
    <w:rPr>
      <w:rFonts w:ascii="Cambria" w:eastAsia="黑体" w:hAnsi="Cambria"/>
      <w:sz w:val="20"/>
      <w:szCs w:val="20"/>
    </w:rPr>
  </w:style>
  <w:style w:type="paragraph" w:styleId="a6">
    <w:name w:val="header"/>
    <w:basedOn w:val="a"/>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a7">
    <w:name w:val="footnote text"/>
    <w:basedOn w:val="a"/>
    <w:qFormat/>
    <w:pPr>
      <w:snapToGrid w:val="0"/>
      <w:spacing w:line="540" w:lineRule="exact"/>
      <w:jc w:val="left"/>
    </w:pPr>
    <w:rPr>
      <w:rFonts w:ascii="Times New Roman" w:hAnsi="Times New Roman"/>
      <w:sz w:val="18"/>
      <w:szCs w:val="18"/>
    </w:rPr>
  </w:style>
  <w:style w:type="character" w:styleId="a8">
    <w:name w:val="Strong"/>
    <w:basedOn w:val="a1"/>
    <w:qFormat/>
    <w:rPr>
      <w:b/>
    </w:rPr>
  </w:style>
  <w:style w:type="paragraph" w:customStyle="1" w:styleId="10">
    <w:name w:val="正文缩进1"/>
    <w:basedOn w:val="a"/>
    <w:autoRedefine/>
    <w:qFormat/>
    <w:pPr>
      <w:spacing w:line="240" w:lineRule="auto"/>
      <w:ind w:firstLine="420"/>
    </w:pPr>
    <w:rPr>
      <w:rFonts w:ascii="Times New Roman" w:hAnsi="Times New Roman"/>
      <w:sz w:val="21"/>
      <w:szCs w:val="20"/>
    </w:rPr>
  </w:style>
  <w:style w:type="paragraph" w:customStyle="1" w:styleId="20">
    <w:name w:val="正文正文2"/>
    <w:basedOn w:val="a"/>
    <w:autoRedefine/>
    <w:qFormat/>
    <w:pPr>
      <w:ind w:firstLine="460"/>
    </w:pPr>
    <w:rPr>
      <w:sz w:val="21"/>
      <w:szCs w:val="21"/>
    </w:rPr>
  </w:style>
  <w:style w:type="paragraph" w:customStyle="1" w:styleId="11">
    <w:name w:val="列出段落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晋一民</cp:lastModifiedBy>
  <cp:revision>6</cp:revision>
  <dcterms:created xsi:type="dcterms:W3CDTF">2024-05-13T23:04:00Z</dcterms:created>
  <dcterms:modified xsi:type="dcterms:W3CDTF">2026-02-14T01:59:00Z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504E74D3282C4AE58B37A1EEB79816D3_13</vt:lpwstr>
  </property>
  <property fmtid="{D5CDD505-2E9C-101B-9397-08002B2CF9AE}" pid="4" name="KSOTemplateDocerSaveRecord">
    <vt:lpwstr>eyJoZGlkIjoiZDcwMGIxN2EyYjY4OTZjZTMyNTNlMDhhMzkzNzdmYmEiLCJ1c2VySWQiOiIxMjAwMjUzOTIyIn0=</vt:lpwstr>
  </property>
</Properties>
</file>