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F7ED4C">
      <w:pPr>
        <w:ind w:firstLine="0" w:firstLineChars="0"/>
        <w:jc w:val="center"/>
        <w:rPr>
          <w:rFonts w:ascii="黑体" w:hAnsi="黑体" w:eastAsia="黑体"/>
          <w:sz w:val="48"/>
          <w:szCs w:val="48"/>
        </w:rPr>
      </w:pPr>
    </w:p>
    <w:p w14:paraId="7D6D847F">
      <w:pPr>
        <w:ind w:firstLine="0" w:firstLineChars="0"/>
        <w:jc w:val="center"/>
        <w:rPr>
          <w:rFonts w:ascii="黑体" w:hAnsi="黑体" w:eastAsia="黑体"/>
          <w:sz w:val="48"/>
          <w:szCs w:val="48"/>
        </w:rPr>
      </w:pPr>
    </w:p>
    <w:p w14:paraId="45A5064B">
      <w:pPr>
        <w:ind w:firstLine="0" w:firstLineChars="0"/>
        <w:jc w:val="center"/>
        <w:rPr>
          <w:rFonts w:ascii="黑体" w:hAnsi="黑体" w:eastAsia="黑体"/>
          <w:sz w:val="52"/>
          <w:szCs w:val="52"/>
        </w:rPr>
      </w:pPr>
      <w:r>
        <w:rPr>
          <w:rFonts w:hint="eastAsia" w:ascii="黑体" w:hAnsi="黑体" w:eastAsia="黑体"/>
          <w:sz w:val="52"/>
          <w:szCs w:val="52"/>
        </w:rPr>
        <w:t>上海市政府网站集约化平台建设项目(2026年升级改造)</w:t>
      </w:r>
    </w:p>
    <w:p w14:paraId="7AADFD6A">
      <w:pPr>
        <w:ind w:firstLine="0" w:firstLineChars="0"/>
        <w:jc w:val="center"/>
        <w:rPr>
          <w:rFonts w:ascii="黑体" w:hAnsi="黑体" w:eastAsia="黑体"/>
          <w:sz w:val="52"/>
          <w:szCs w:val="52"/>
        </w:rPr>
      </w:pPr>
      <w:r>
        <w:rPr>
          <w:rFonts w:hint="eastAsia" w:ascii="黑体" w:hAnsi="黑体" w:eastAsia="黑体"/>
          <w:sz w:val="52"/>
          <w:szCs w:val="52"/>
        </w:rPr>
        <w:t>采购需求</w:t>
      </w:r>
    </w:p>
    <w:p w14:paraId="5C30276C">
      <w:pPr>
        <w:ind w:firstLine="0" w:firstLineChars="0"/>
        <w:jc w:val="center"/>
        <w:rPr>
          <w:rFonts w:ascii="黑体" w:hAnsi="黑体" w:eastAsia="黑体"/>
          <w:sz w:val="72"/>
          <w:szCs w:val="72"/>
        </w:rPr>
      </w:pPr>
    </w:p>
    <w:p w14:paraId="12084AB1">
      <w:pPr>
        <w:ind w:firstLine="0" w:firstLineChars="0"/>
        <w:jc w:val="center"/>
        <w:rPr>
          <w:rFonts w:ascii="黑体" w:hAnsi="黑体" w:eastAsia="黑体"/>
          <w:sz w:val="48"/>
          <w:szCs w:val="48"/>
        </w:rPr>
      </w:pPr>
    </w:p>
    <w:p w14:paraId="15BFE72B">
      <w:pPr>
        <w:ind w:firstLine="0" w:firstLineChars="0"/>
        <w:jc w:val="center"/>
        <w:rPr>
          <w:rFonts w:ascii="黑体" w:hAnsi="黑体" w:eastAsia="黑体"/>
          <w:sz w:val="52"/>
          <w:szCs w:val="52"/>
        </w:rPr>
      </w:pPr>
    </w:p>
    <w:p w14:paraId="28910CD1">
      <w:pPr>
        <w:ind w:firstLine="1040"/>
        <w:rPr>
          <w:rFonts w:ascii="黑体" w:hAnsi="黑体" w:eastAsia="黑体"/>
          <w:sz w:val="52"/>
          <w:szCs w:val="52"/>
        </w:rPr>
      </w:pPr>
    </w:p>
    <w:p w14:paraId="3A1910CC"/>
    <w:p w14:paraId="44698088"/>
    <w:p w14:paraId="2EFA4DA1"/>
    <w:p w14:paraId="3EBFA7F9"/>
    <w:p w14:paraId="4090B413"/>
    <w:p w14:paraId="1000E21E">
      <w:pPr>
        <w:ind w:firstLine="1040"/>
        <w:rPr>
          <w:rFonts w:ascii="黑体" w:hAnsi="黑体" w:eastAsia="黑体"/>
          <w:sz w:val="52"/>
          <w:szCs w:val="52"/>
        </w:rPr>
      </w:pPr>
    </w:p>
    <w:p w14:paraId="4C2628C9">
      <w:pPr>
        <w:jc w:val="center"/>
        <w:sectPr>
          <w:headerReference r:id="rId7" w:type="first"/>
          <w:footerReference r:id="rId10" w:type="first"/>
          <w:headerReference r:id="rId5" w:type="default"/>
          <w:footerReference r:id="rId8" w:type="default"/>
          <w:headerReference r:id="rId6" w:type="even"/>
          <w:footerReference r:id="rId9" w:type="even"/>
          <w:pgSz w:w="11906" w:h="16838"/>
          <w:pgMar w:top="1134" w:right="1797" w:bottom="1135" w:left="1797" w:header="340" w:footer="7" w:gutter="0"/>
          <w:pgBorders>
            <w:top w:val="none" w:sz="0" w:space="0"/>
            <w:left w:val="none" w:sz="0" w:space="0"/>
            <w:bottom w:val="none" w:sz="0" w:space="0"/>
            <w:right w:val="none" w:sz="0" w:space="0"/>
          </w:pgBorders>
          <w:pgNumType w:start="1"/>
          <w:cols w:space="720" w:num="1"/>
          <w:titlePg/>
          <w:docGrid w:type="linesAndChars" w:linePitch="326" w:charSpace="0"/>
        </w:sectPr>
      </w:pPr>
    </w:p>
    <w:p w14:paraId="6CF8CBED">
      <w:pPr>
        <w:pStyle w:val="2"/>
      </w:pPr>
      <w:bookmarkStart w:id="0" w:name="_Toc63785461"/>
      <w:r>
        <w:rPr>
          <w:rFonts w:hint="eastAsia"/>
        </w:rPr>
        <w:t>项目概况</w:t>
      </w:r>
      <w:bookmarkEnd w:id="0"/>
    </w:p>
    <w:p w14:paraId="48B5ADEA">
      <w:pPr>
        <w:spacing w:line="560" w:lineRule="exact"/>
      </w:pPr>
      <w:r>
        <w:rPr>
          <w:rFonts w:hint="eastAsia"/>
        </w:rPr>
        <w:t>项目背景&amp;现状：上海市政府网站集约化平台作为市级单位门户网站信息发布及运营的核心支撑，在推动政务服务发展中发挥了重要作用，通过统一技术标准与管理流程整合政务资源、打破信息壁垒，实现政务服务从分散化向一体化转型，提升信息发布效率与运维水平，规范服务流程、优化在线办事与政民互动功能，为提升政府公信力、优化营商环境奠定基础。随着数字政府建设深化及公众需求升级，平台在数据管理、功能应用、系统安全以及服务智能化等方面的不足逐渐显露。2025年上海优化营商环境大会上，陈吉宁书记明确要把优化政策服务作为重要工作切实抓好，进一步提高整体性、清晰性、便利性。政策措施的出台要体现连续性、完整性，建立全市统一的发布平台和查询门户，分行业分领域开展政策梳理、整合和归并，依托人工智能大模型技术，便利企业高效查询政策、了解政策，精准匹配政策、使用政策。因此亟需对集约化平台进行全面升级优化，通过业务功能拓展、技术架构改造与安全体系强化，补足现有短板，提升平台智能化、安全化与服务水平，从而更好地支撑数字政府建设，满足新时代政务服务高质量发展需求。</w:t>
      </w:r>
    </w:p>
    <w:p w14:paraId="29FF7DCC">
      <w:pPr>
        <w:spacing w:line="560" w:lineRule="exact"/>
        <w:rPr>
          <w:highlight w:val="none"/>
        </w:rPr>
      </w:pPr>
      <w:r>
        <w:rPr>
          <w:rFonts w:hint="eastAsia"/>
          <w:highlight w:val="none"/>
        </w:rPr>
        <w:t>建设期限：</w:t>
      </w:r>
      <w:r>
        <w:rPr>
          <w:rFonts w:hint="eastAsia"/>
          <w:highlight w:val="none"/>
          <w:lang w:eastAsia="zh-CN"/>
        </w:rPr>
        <w:t>自合同签订之日起</w:t>
      </w:r>
      <w:r>
        <w:rPr>
          <w:rFonts w:hint="eastAsia"/>
          <w:highlight w:val="none"/>
          <w:lang w:val="en-US" w:eastAsia="zh-CN"/>
        </w:rPr>
        <w:t>6个月内完成项目建设并通过验收</w:t>
      </w:r>
      <w:r>
        <w:rPr>
          <w:rFonts w:hint="eastAsia"/>
          <w:szCs w:val="21"/>
          <w:lang w:eastAsia="zh-CN"/>
        </w:rPr>
        <w:t>（含</w:t>
      </w:r>
      <w:r>
        <w:rPr>
          <w:rFonts w:hint="eastAsia"/>
          <w:szCs w:val="21"/>
          <w:lang w:val="en-US" w:eastAsia="zh-CN"/>
        </w:rPr>
        <w:t>60天的系统试运行期</w:t>
      </w:r>
      <w:r>
        <w:rPr>
          <w:rFonts w:hint="eastAsia"/>
          <w:szCs w:val="21"/>
          <w:lang w:eastAsia="zh-CN"/>
        </w:rPr>
        <w:t>）</w:t>
      </w:r>
    </w:p>
    <w:p w14:paraId="3C0277EC">
      <w:pPr>
        <w:spacing w:line="560" w:lineRule="exact"/>
      </w:pPr>
      <w:r>
        <w:rPr>
          <w:rFonts w:hint="eastAsia"/>
        </w:rPr>
        <w:t>建设地点：上海市大数据中心</w:t>
      </w:r>
    </w:p>
    <w:p w14:paraId="773EFD47">
      <w:pPr>
        <w:spacing w:line="560" w:lineRule="exact"/>
        <w:rPr>
          <w:rFonts w:hint="eastAsia"/>
        </w:rPr>
      </w:pPr>
      <w:r>
        <w:rPr>
          <w:rFonts w:hint="eastAsia"/>
        </w:rPr>
        <w:t>预算金额：1,767,500元</w:t>
      </w:r>
    </w:p>
    <w:p w14:paraId="3997FAD9">
      <w:pPr>
        <w:spacing w:line="560" w:lineRule="exact"/>
        <w:rPr>
          <w:rFonts w:hint="default" w:eastAsia="宋体"/>
          <w:highlight w:val="yellow"/>
          <w:lang w:val="en-US" w:eastAsia="zh-CN"/>
        </w:rPr>
      </w:pPr>
      <w:r>
        <w:rPr>
          <w:rFonts w:hint="eastAsia"/>
          <w:highlight w:val="none"/>
          <w:lang w:val="en-US" w:eastAsia="zh-CN"/>
        </w:rPr>
        <w:t>当年度预算金额：</w:t>
      </w:r>
      <w:r>
        <w:rPr>
          <w:rFonts w:hint="eastAsia"/>
          <w:highlight w:val="none"/>
        </w:rPr>
        <w:t>1,767,500元</w:t>
      </w:r>
    </w:p>
    <w:p w14:paraId="3C8C7DFD">
      <w:pPr>
        <w:spacing w:line="560" w:lineRule="exact"/>
      </w:pPr>
      <w:r>
        <w:rPr>
          <w:rFonts w:hint="eastAsia"/>
        </w:rPr>
        <w:t>采购金额（最高限价）：1,767,500元</w:t>
      </w:r>
    </w:p>
    <w:p w14:paraId="2A13EBD2">
      <w:r>
        <w:rPr>
          <w:rFonts w:hint="eastAsia"/>
        </w:rPr>
        <w:t>组织形式：集中采购</w:t>
      </w:r>
    </w:p>
    <w:p w14:paraId="52F1C203">
      <w:r>
        <w:rPr>
          <w:rFonts w:hint="eastAsia"/>
          <w:lang w:eastAsia="zh-CN"/>
        </w:rPr>
        <w:t>采购人</w:t>
      </w:r>
      <w:r>
        <w:rPr>
          <w:rFonts w:hint="eastAsia"/>
        </w:rPr>
        <w:t>式：竞争性磋商</w:t>
      </w:r>
    </w:p>
    <w:p w14:paraId="3E84D823">
      <w:r>
        <w:rPr>
          <w:rFonts w:hint="eastAsia"/>
        </w:rPr>
        <w:t>是否接受联合体</w:t>
      </w:r>
      <w:r>
        <w:rPr>
          <w:rFonts w:hint="eastAsia"/>
          <w:lang w:eastAsia="zh-CN"/>
        </w:rPr>
        <w:t>响应</w:t>
      </w:r>
      <w:r>
        <w:rPr>
          <w:rFonts w:hint="eastAsia"/>
        </w:rPr>
        <w:t>：否</w:t>
      </w:r>
    </w:p>
    <w:p w14:paraId="410567A9">
      <w:pPr>
        <w:rPr>
          <w:rFonts w:hint="eastAsia"/>
        </w:rPr>
      </w:pPr>
      <w:r>
        <w:t>是否按</w:t>
      </w:r>
      <w:r>
        <w:rPr>
          <w:rFonts w:hint="eastAsia"/>
          <w:lang w:eastAsia="zh-CN"/>
        </w:rPr>
        <w:t>XC</w:t>
      </w:r>
      <w:r>
        <w:t>要求建设：是</w:t>
      </w:r>
    </w:p>
    <w:p w14:paraId="6C4D2962">
      <w:pPr>
        <w:tabs>
          <w:tab w:val="left" w:pos="3120"/>
        </w:tabs>
        <w:rPr>
          <w:rFonts w:hint="eastAsia" w:eastAsia="宋体"/>
          <w:highlight w:val="none"/>
          <w:lang w:eastAsia="zh-CN"/>
        </w:rPr>
      </w:pPr>
      <w:r>
        <w:rPr>
          <w:rFonts w:hint="eastAsia"/>
          <w:highlight w:val="none"/>
          <w:lang w:eastAsia="zh-CN"/>
        </w:rPr>
        <w:t>是否采用低代码建设：</w:t>
      </w:r>
      <w:r>
        <w:rPr>
          <w:rFonts w:hint="eastAsia"/>
          <w:highlight w:val="none"/>
          <w:lang w:val="en-US" w:eastAsia="zh-CN"/>
        </w:rPr>
        <w:t>是</w:t>
      </w:r>
    </w:p>
    <w:p w14:paraId="0C6B3DE2">
      <w:pPr>
        <w:rPr>
          <w:rFonts w:hint="eastAsia"/>
        </w:rPr>
      </w:pPr>
      <w:r>
        <w:rPr>
          <w:rFonts w:hint="eastAsia"/>
        </w:rPr>
        <w:t>运维后所属大系统：门户网站</w:t>
      </w:r>
    </w:p>
    <w:p w14:paraId="4AF12CE9">
      <w:pPr>
        <w:pStyle w:val="2"/>
      </w:pPr>
      <w:bookmarkStart w:id="1" w:name="_Toc47536272"/>
      <w:bookmarkEnd w:id="1"/>
      <w:bookmarkStart w:id="2" w:name="_Toc47531634"/>
      <w:bookmarkEnd w:id="2"/>
      <w:bookmarkStart w:id="3" w:name="_Toc47532255"/>
      <w:bookmarkEnd w:id="3"/>
      <w:bookmarkStart w:id="4" w:name="_Toc47532891"/>
      <w:bookmarkEnd w:id="4"/>
      <w:bookmarkStart w:id="5" w:name="_Toc47539070"/>
      <w:bookmarkEnd w:id="5"/>
      <w:bookmarkStart w:id="6" w:name="_Toc47537134"/>
      <w:bookmarkEnd w:id="6"/>
      <w:bookmarkStart w:id="7" w:name="_Toc47533256"/>
      <w:bookmarkEnd w:id="7"/>
      <w:bookmarkStart w:id="8" w:name="_Toc47536644"/>
      <w:bookmarkEnd w:id="8"/>
      <w:bookmarkStart w:id="9" w:name="_Toc48223882"/>
      <w:bookmarkStart w:id="10" w:name="_Toc63785463"/>
      <w:r>
        <w:rPr>
          <w:rFonts w:hint="eastAsia"/>
        </w:rPr>
        <w:t>建设目标</w:t>
      </w:r>
      <w:bookmarkEnd w:id="9"/>
      <w:bookmarkEnd w:id="10"/>
    </w:p>
    <w:p w14:paraId="6E8E54AF">
      <w:pPr>
        <w:rPr>
          <w:rFonts w:hint="eastAsia"/>
        </w:rPr>
      </w:pPr>
      <w:r>
        <w:rPr>
          <w:rFonts w:hint="eastAsia"/>
        </w:rPr>
        <w:t>通过市政府网站集约化平台的全面升级与改造，响应市领导指示、贯彻落实市委、市政府关于做好新时代政务公开工作的决策部署。基于市集约化平台构建全市统一的政策服务管理和查询服务门户，整合归集各类政策资源，为企业和公众提供一站式政策政策查询及政策检索服务，使政策受益对象能根据自身需求快速找到适用的政策，提升政策服务的精准性和普惠性。构筑智数中心实现政策数据的高效检索与灵活调用，满足不同单位在大模型智能化应用中对数据、接口及流程的定制化需求。依托网站内容质量中心有效保障网站内容质量合规。通过业务调度中心构建全流程、智能化的业务调度管理与服务体系，提升跨部门协同效率。以跨场景适配为目标，模块化整合迁移能力，覆盖多类数据与环境，多模块协同保障迁移高效、安全、可控。通过内容库、工作台及其他功能应用升级，优化政务工作流程与用户体验。推进</w:t>
      </w:r>
      <w:r>
        <w:rPr>
          <w:rFonts w:hint="eastAsia"/>
          <w:lang w:eastAsia="zh-CN"/>
        </w:rPr>
        <w:t>XC</w:t>
      </w:r>
      <w:r>
        <w:rPr>
          <w:rFonts w:hint="eastAsia"/>
        </w:rPr>
        <w:t>技术改造、前端适配及数据迁移体系建设，实现平台技术架构全面升级。</w:t>
      </w:r>
    </w:p>
    <w:p w14:paraId="3B5DC957">
      <w:pPr>
        <w:pStyle w:val="2"/>
      </w:pPr>
      <w:bookmarkStart w:id="11" w:name="_Toc47532923"/>
      <w:bookmarkEnd w:id="11"/>
      <w:bookmarkStart w:id="12" w:name="_Toc47537166"/>
      <w:bookmarkEnd w:id="12"/>
      <w:bookmarkStart w:id="13" w:name="_Toc47539102"/>
      <w:bookmarkEnd w:id="13"/>
      <w:bookmarkStart w:id="14" w:name="_Toc47536676"/>
      <w:bookmarkEnd w:id="14"/>
      <w:bookmarkStart w:id="15" w:name="_Toc47533288"/>
      <w:bookmarkEnd w:id="15"/>
      <w:bookmarkStart w:id="16" w:name="_Toc47536304"/>
      <w:bookmarkEnd w:id="16"/>
      <w:r>
        <w:rPr>
          <w:rFonts w:hint="eastAsia"/>
        </w:rPr>
        <w:t>项目建设内容</w:t>
      </w:r>
    </w:p>
    <w:p w14:paraId="0B8076D2">
      <w:pPr>
        <w:pStyle w:val="3"/>
        <w:spacing w:beforeLines="0" w:afterLines="0"/>
        <w:ind w:firstLine="0"/>
        <w:rPr>
          <w:rFonts w:hint="eastAsia"/>
          <w:sz w:val="30"/>
          <w:szCs w:val="32"/>
        </w:rPr>
      </w:pPr>
      <w:r>
        <w:rPr>
          <w:rFonts w:hint="eastAsia"/>
          <w:sz w:val="30"/>
          <w:szCs w:val="32"/>
        </w:rPr>
        <w:t>集约化平台业务功能拓展</w:t>
      </w:r>
    </w:p>
    <w:p w14:paraId="3559CBA2">
      <w:pPr>
        <w:spacing w:beforeLines="0" w:afterLines="0"/>
        <w:rPr>
          <w:rFonts w:hint="eastAsia"/>
          <w:b/>
          <w:sz w:val="24"/>
          <w:szCs w:val="24"/>
        </w:rPr>
      </w:pPr>
      <w:r>
        <w:rPr>
          <w:rFonts w:hint="eastAsia"/>
          <w:b/>
          <w:sz w:val="24"/>
          <w:szCs w:val="24"/>
        </w:rPr>
        <w:t>1、统一政策服务管理</w:t>
      </w:r>
    </w:p>
    <w:p w14:paraId="23DF983F">
      <w:pPr>
        <w:spacing w:beforeLines="0" w:afterLines="0"/>
        <w:rPr>
          <w:rFonts w:hint="eastAsia"/>
          <w:sz w:val="24"/>
          <w:szCs w:val="24"/>
        </w:rPr>
      </w:pPr>
      <w:r>
        <w:rPr>
          <w:rFonts w:hint="eastAsia"/>
          <w:sz w:val="24"/>
          <w:szCs w:val="24"/>
        </w:rPr>
        <w:t>通过多源异构数据接口将各单位的政策文件汇聚至统一政策库，利用自然语言处理等技术，完成政策元数据提取、知识单元拆解与分类标引，实现政策内容的结构化管理。同时，动态配置政策主题、关联办理事项与用户标签，构建政策知识图谱，支持层级、部门、行业专属及多条件组合等多维度政策查询，满足用户精准检索需求。此外，通过意见反馈处理和政策评估分析，持续优化政策服务，提升政策管理的科学性与服务效能。</w:t>
      </w:r>
    </w:p>
    <w:p w14:paraId="7A677666">
      <w:pPr>
        <w:spacing w:beforeLines="0" w:afterLines="0"/>
        <w:rPr>
          <w:rFonts w:hint="eastAsia"/>
          <w:b/>
          <w:sz w:val="24"/>
          <w:szCs w:val="24"/>
        </w:rPr>
      </w:pPr>
      <w:r>
        <w:rPr>
          <w:rFonts w:hint="eastAsia"/>
          <w:b/>
          <w:sz w:val="24"/>
          <w:szCs w:val="24"/>
        </w:rPr>
        <w:t>2、智数中心建设</w:t>
      </w:r>
    </w:p>
    <w:p w14:paraId="3CF4405D">
      <w:pPr>
        <w:spacing w:beforeLines="0" w:afterLines="0"/>
        <w:rPr>
          <w:rFonts w:hint="eastAsia"/>
          <w:sz w:val="24"/>
          <w:szCs w:val="24"/>
        </w:rPr>
      </w:pPr>
      <w:r>
        <w:rPr>
          <w:rFonts w:hint="eastAsia"/>
          <w:sz w:val="24"/>
          <w:szCs w:val="24"/>
        </w:rPr>
        <w:t>智数中心负责集约化平台政务数据（含政策数据）的转化、存储与管理任务。依托向量检索与数据块管理技术，实现政策数据的高效检索与灵活调用，为统一政策查询门户提供精准的数据支撑。同时，智数中心可根据不同市级单位在大模型智能化应用中的数据、接口及流程需求，定制化输出适配数据，保障相关应用稳定运行。</w:t>
      </w:r>
    </w:p>
    <w:p w14:paraId="0CA1BEBD">
      <w:pPr>
        <w:spacing w:beforeLines="0" w:afterLines="0"/>
        <w:rPr>
          <w:rFonts w:hint="eastAsia"/>
          <w:b/>
          <w:sz w:val="24"/>
          <w:szCs w:val="24"/>
        </w:rPr>
      </w:pPr>
      <w:r>
        <w:rPr>
          <w:rFonts w:hint="eastAsia"/>
          <w:b/>
          <w:sz w:val="24"/>
          <w:szCs w:val="24"/>
        </w:rPr>
        <w:t>3、网站内容质量中心</w:t>
      </w:r>
    </w:p>
    <w:p w14:paraId="064BA92F">
      <w:pPr>
        <w:spacing w:beforeLines="0" w:afterLines="0"/>
        <w:rPr>
          <w:rFonts w:hint="eastAsia"/>
          <w:sz w:val="24"/>
          <w:szCs w:val="24"/>
        </w:rPr>
      </w:pPr>
      <w:r>
        <w:rPr>
          <w:rFonts w:hint="eastAsia"/>
          <w:sz w:val="24"/>
          <w:szCs w:val="24"/>
        </w:rPr>
        <w:t>聚焦网站安全与内容规范，构建全面监测防护体系。综合运用自然语言处理、多线程扫描等技术，对网站内容进行不当内容、错链、不安全外链检测，及时发现违规内容与链接异常。检测到问题后，系统通过即时预警，向相关人员推送问题信息及处理建议，有效保障网站内容合规性与运行安全性。</w:t>
      </w:r>
    </w:p>
    <w:p w14:paraId="1E97B974">
      <w:pPr>
        <w:spacing w:beforeLines="0" w:afterLines="0"/>
        <w:rPr>
          <w:rFonts w:hint="eastAsia"/>
          <w:b/>
          <w:sz w:val="24"/>
          <w:szCs w:val="24"/>
        </w:rPr>
      </w:pPr>
      <w:r>
        <w:rPr>
          <w:rFonts w:hint="eastAsia"/>
          <w:b/>
          <w:sz w:val="24"/>
          <w:szCs w:val="24"/>
        </w:rPr>
        <w:t>4、业务调度中心</w:t>
      </w:r>
    </w:p>
    <w:p w14:paraId="1F58F8A0">
      <w:pPr>
        <w:spacing w:beforeLines="0" w:afterLines="0"/>
        <w:rPr>
          <w:rFonts w:hint="eastAsia"/>
          <w:sz w:val="24"/>
          <w:szCs w:val="24"/>
        </w:rPr>
      </w:pPr>
      <w:r>
        <w:rPr>
          <w:rFonts w:hint="eastAsia"/>
          <w:sz w:val="24"/>
          <w:szCs w:val="24"/>
        </w:rPr>
        <w:t>构建全流程、智能化的业务调度管理与服务体系。通过业务申请、工单处理、工单全流程管理、工作量与绩效管理、消息与通知管理、数据与报表管理、工单生成与推送管理等模块实现政务服务从被动响应到主动治理的转变，提升跨部门协同效率、优化政务服务质量。</w:t>
      </w:r>
    </w:p>
    <w:p w14:paraId="005A8D7C">
      <w:pPr>
        <w:spacing w:beforeLines="0" w:afterLines="0"/>
        <w:rPr>
          <w:rFonts w:hint="eastAsia"/>
          <w:b/>
          <w:sz w:val="24"/>
          <w:szCs w:val="24"/>
        </w:rPr>
      </w:pPr>
      <w:r>
        <w:rPr>
          <w:rFonts w:hint="eastAsia"/>
          <w:b/>
          <w:sz w:val="24"/>
          <w:szCs w:val="24"/>
        </w:rPr>
        <w:t>5、通用迁移引擎</w:t>
      </w:r>
    </w:p>
    <w:p w14:paraId="1DBF6ED9">
      <w:pPr>
        <w:spacing w:beforeLines="0" w:afterLines="0"/>
        <w:rPr>
          <w:rFonts w:hint="eastAsia"/>
          <w:sz w:val="24"/>
          <w:szCs w:val="24"/>
        </w:rPr>
      </w:pPr>
      <w:r>
        <w:rPr>
          <w:rFonts w:hint="eastAsia"/>
          <w:sz w:val="24"/>
          <w:szCs w:val="24"/>
        </w:rPr>
        <w:t>通过模块化架构整合标准化迁移能力，全面覆盖结构化与非结构化数据类型，兼容多类数据源与目标端环境。通过通用支撑模块提供可视化操作、灵活配置、实时监控及合规审计能力；结构化数据处理模块实现数据源适配、表结构转换、数据同步及校验修复；非结构化数据处理模块聚焦文件识别、批量传输、增量迁移及备份回滚。确保不同规模、不同类型的数据迁移过程高效推进、安全可靠且全程可控。</w:t>
      </w:r>
    </w:p>
    <w:p w14:paraId="3BBA4A75">
      <w:pPr>
        <w:spacing w:beforeLines="0" w:afterLines="0"/>
        <w:rPr>
          <w:rFonts w:hint="eastAsia"/>
          <w:sz w:val="24"/>
          <w:szCs w:val="24"/>
        </w:rPr>
      </w:pPr>
      <w:r>
        <w:rPr>
          <w:rFonts w:hint="eastAsia"/>
          <w:sz w:val="24"/>
          <w:szCs w:val="24"/>
        </w:rPr>
        <w:t>功能模块清单如下：</w:t>
      </w:r>
    </w:p>
    <w:tbl>
      <w:tblPr>
        <w:tblStyle w:val="35"/>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23"/>
        <w:gridCol w:w="2770"/>
        <w:gridCol w:w="5032"/>
      </w:tblGrid>
      <w:tr w14:paraId="429164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trPr>
        <w:tc>
          <w:tcPr>
            <w:tcW w:w="424" w:type="pct"/>
            <w:tcBorders>
              <w:tl2br w:val="nil"/>
              <w:tr2bl w:val="nil"/>
            </w:tcBorders>
            <w:noWrap w:val="0"/>
            <w:vAlign w:val="center"/>
          </w:tcPr>
          <w:p w14:paraId="17EF963E">
            <w:pPr>
              <w:spacing w:beforeLines="0" w:afterLines="0"/>
              <w:ind w:left="0" w:leftChars="0" w:firstLine="0" w:firstLineChars="0"/>
              <w:jc w:val="center"/>
              <w:rPr>
                <w:rFonts w:hint="eastAsia" w:ascii="宋体" w:hAnsi="宋体" w:eastAsia="宋体" w:cs="宋体"/>
                <w:b/>
                <w:bCs/>
                <w:color w:val="000000"/>
                <w:sz w:val="22"/>
                <w:szCs w:val="22"/>
              </w:rPr>
            </w:pPr>
            <w:r>
              <w:rPr>
                <w:rFonts w:hint="eastAsia" w:ascii="宋体" w:hAnsi="宋体" w:eastAsia="宋体" w:cs="宋体"/>
                <w:b/>
                <w:bCs/>
                <w:color w:val="000000"/>
                <w:sz w:val="22"/>
                <w:szCs w:val="22"/>
              </w:rPr>
              <w:t>序号</w:t>
            </w:r>
          </w:p>
        </w:tc>
        <w:tc>
          <w:tcPr>
            <w:tcW w:w="1624" w:type="pct"/>
            <w:tcBorders>
              <w:tl2br w:val="nil"/>
              <w:tr2bl w:val="nil"/>
            </w:tcBorders>
            <w:noWrap w:val="0"/>
            <w:vAlign w:val="center"/>
          </w:tcPr>
          <w:p w14:paraId="50E870A0">
            <w:pPr>
              <w:spacing w:beforeLines="0" w:afterLines="0"/>
              <w:ind w:left="0" w:leftChars="0" w:firstLine="0" w:firstLineChars="0"/>
              <w:jc w:val="center"/>
              <w:rPr>
                <w:rFonts w:hint="eastAsia" w:ascii="宋体" w:hAnsi="宋体" w:eastAsia="宋体" w:cs="宋体"/>
                <w:b/>
                <w:bCs/>
                <w:color w:val="000000"/>
                <w:sz w:val="22"/>
                <w:szCs w:val="22"/>
              </w:rPr>
            </w:pPr>
            <w:r>
              <w:rPr>
                <w:rFonts w:hint="eastAsia" w:ascii="宋体" w:hAnsi="宋体" w:eastAsia="宋体" w:cs="宋体"/>
                <w:b/>
                <w:bCs/>
                <w:color w:val="000000"/>
                <w:sz w:val="22"/>
                <w:szCs w:val="22"/>
              </w:rPr>
              <w:t>功能名称</w:t>
            </w:r>
          </w:p>
        </w:tc>
        <w:tc>
          <w:tcPr>
            <w:tcW w:w="2950" w:type="pct"/>
            <w:tcBorders>
              <w:tl2br w:val="nil"/>
              <w:tr2bl w:val="nil"/>
            </w:tcBorders>
            <w:noWrap w:val="0"/>
            <w:vAlign w:val="center"/>
          </w:tcPr>
          <w:p w14:paraId="35BF7074">
            <w:pPr>
              <w:spacing w:beforeLines="0" w:afterLines="0"/>
              <w:ind w:left="0" w:leftChars="0" w:firstLine="0" w:firstLineChars="0"/>
              <w:jc w:val="center"/>
              <w:rPr>
                <w:rFonts w:hint="eastAsia" w:ascii="宋体" w:hAnsi="宋体" w:eastAsia="宋体" w:cs="宋体"/>
                <w:b/>
                <w:bCs/>
                <w:color w:val="000000"/>
                <w:sz w:val="22"/>
                <w:szCs w:val="22"/>
              </w:rPr>
            </w:pPr>
            <w:r>
              <w:rPr>
                <w:rFonts w:hint="eastAsia" w:ascii="宋体" w:hAnsi="宋体" w:eastAsia="宋体" w:cs="宋体"/>
                <w:b/>
                <w:bCs/>
                <w:color w:val="000000"/>
                <w:sz w:val="22"/>
                <w:szCs w:val="22"/>
              </w:rPr>
              <w:t>功能描述</w:t>
            </w:r>
          </w:p>
        </w:tc>
      </w:tr>
      <w:tr w14:paraId="31B4C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3" w:hRule="atLeast"/>
        </w:trPr>
        <w:tc>
          <w:tcPr>
            <w:tcW w:w="424" w:type="pct"/>
            <w:tcBorders>
              <w:tl2br w:val="nil"/>
              <w:tr2bl w:val="nil"/>
            </w:tcBorders>
            <w:noWrap w:val="0"/>
            <w:vAlign w:val="center"/>
          </w:tcPr>
          <w:p w14:paraId="69B2319B">
            <w:pPr>
              <w:spacing w:beforeLines="0" w:afterLines="0"/>
              <w:ind w:left="0" w:leftChars="0" w:firstLine="0" w:firstLineChar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1</w:t>
            </w:r>
          </w:p>
        </w:tc>
        <w:tc>
          <w:tcPr>
            <w:tcW w:w="1624" w:type="pct"/>
            <w:tcBorders>
              <w:tl2br w:val="nil"/>
              <w:tr2bl w:val="nil"/>
            </w:tcBorders>
            <w:noWrap w:val="0"/>
            <w:vAlign w:val="center"/>
          </w:tcPr>
          <w:p w14:paraId="3AD5A824">
            <w:pPr>
              <w:spacing w:beforeLines="0" w:afterLines="0"/>
              <w:ind w:left="0" w:leftChars="0" w:firstLine="0" w:firstLineChars="0"/>
              <w:jc w:val="both"/>
              <w:rPr>
                <w:rFonts w:hint="eastAsia" w:ascii="宋体" w:hAnsi="宋体" w:eastAsia="宋体" w:cs="宋体"/>
                <w:color w:val="000000"/>
                <w:sz w:val="22"/>
                <w:szCs w:val="22"/>
              </w:rPr>
            </w:pPr>
            <w:r>
              <w:rPr>
                <w:rFonts w:hint="eastAsia" w:ascii="宋体" w:hAnsi="宋体" w:eastAsia="宋体" w:cs="宋体"/>
                <w:color w:val="000000"/>
                <w:sz w:val="22"/>
                <w:szCs w:val="22"/>
              </w:rPr>
              <w:t>统一政策服务管理-政策数据采集汇聚/政策元数据智能提取</w:t>
            </w:r>
          </w:p>
        </w:tc>
        <w:tc>
          <w:tcPr>
            <w:tcW w:w="2950" w:type="pct"/>
            <w:tcBorders>
              <w:tl2br w:val="nil"/>
              <w:tr2bl w:val="nil"/>
            </w:tcBorders>
            <w:noWrap w:val="0"/>
            <w:vAlign w:val="center"/>
          </w:tcPr>
          <w:p w14:paraId="6778729F">
            <w:pPr>
              <w:spacing w:beforeLines="0" w:afterLines="0"/>
              <w:ind w:left="0" w:leftChars="0" w:firstLine="0" w:firstLineChars="0"/>
              <w:jc w:val="both"/>
              <w:rPr>
                <w:rFonts w:hint="eastAsia" w:ascii="宋体" w:hAnsi="宋体" w:eastAsia="宋体" w:cs="宋体"/>
                <w:color w:val="000000"/>
                <w:sz w:val="22"/>
                <w:szCs w:val="22"/>
              </w:rPr>
            </w:pPr>
            <w:r>
              <w:rPr>
                <w:rFonts w:hint="eastAsia" w:ascii="宋体" w:hAnsi="宋体" w:eastAsia="宋体" w:cs="宋体"/>
                <w:color w:val="000000"/>
                <w:sz w:val="22"/>
                <w:szCs w:val="22"/>
              </w:rPr>
              <w:t>构建多源异构数据接入体系，支持多方式采集政策文件，自动提取元数据并结构化，形成清晰政策层级结构。</w:t>
            </w:r>
          </w:p>
        </w:tc>
      </w:tr>
      <w:tr w14:paraId="121B87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424" w:type="pct"/>
            <w:tcBorders>
              <w:tl2br w:val="nil"/>
              <w:tr2bl w:val="nil"/>
            </w:tcBorders>
            <w:noWrap w:val="0"/>
            <w:vAlign w:val="center"/>
          </w:tcPr>
          <w:p w14:paraId="25EF7FB4">
            <w:pPr>
              <w:spacing w:beforeLines="0" w:afterLines="0"/>
              <w:ind w:left="0" w:leftChars="0" w:firstLine="0" w:firstLineChar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2</w:t>
            </w:r>
          </w:p>
        </w:tc>
        <w:tc>
          <w:tcPr>
            <w:tcW w:w="1624" w:type="pct"/>
            <w:tcBorders>
              <w:tl2br w:val="nil"/>
              <w:tr2bl w:val="nil"/>
            </w:tcBorders>
            <w:noWrap w:val="0"/>
            <w:vAlign w:val="center"/>
          </w:tcPr>
          <w:p w14:paraId="4CC80728">
            <w:pPr>
              <w:spacing w:beforeLines="0" w:afterLines="0"/>
              <w:ind w:left="0" w:leftChars="0" w:firstLine="0" w:firstLineChars="0"/>
              <w:jc w:val="both"/>
              <w:rPr>
                <w:rFonts w:hint="eastAsia" w:ascii="宋体" w:hAnsi="宋体" w:eastAsia="宋体" w:cs="宋体"/>
                <w:color w:val="000000"/>
                <w:sz w:val="22"/>
                <w:szCs w:val="22"/>
              </w:rPr>
            </w:pPr>
            <w:r>
              <w:rPr>
                <w:rFonts w:hint="eastAsia" w:ascii="宋体" w:hAnsi="宋体" w:eastAsia="宋体" w:cs="宋体"/>
                <w:color w:val="000000"/>
                <w:sz w:val="22"/>
                <w:szCs w:val="22"/>
              </w:rPr>
              <w:t>统一政策服务管理-政策知识单元拆解</w:t>
            </w:r>
          </w:p>
        </w:tc>
        <w:tc>
          <w:tcPr>
            <w:tcW w:w="2950" w:type="pct"/>
            <w:tcBorders>
              <w:tl2br w:val="nil"/>
              <w:tr2bl w:val="nil"/>
            </w:tcBorders>
            <w:noWrap w:val="0"/>
            <w:vAlign w:val="center"/>
          </w:tcPr>
          <w:p w14:paraId="4773FC74">
            <w:pPr>
              <w:spacing w:beforeLines="0" w:afterLines="0"/>
              <w:ind w:left="0" w:leftChars="0" w:firstLine="0" w:firstLineChars="0"/>
              <w:jc w:val="both"/>
              <w:rPr>
                <w:rFonts w:hint="eastAsia" w:ascii="宋体" w:hAnsi="宋体" w:eastAsia="宋体" w:cs="宋体"/>
                <w:color w:val="000000"/>
                <w:sz w:val="22"/>
                <w:szCs w:val="22"/>
              </w:rPr>
            </w:pPr>
            <w:r>
              <w:rPr>
                <w:rFonts w:hint="eastAsia" w:ascii="宋体" w:hAnsi="宋体" w:eastAsia="宋体" w:cs="宋体"/>
                <w:color w:val="000000"/>
                <w:sz w:val="22"/>
                <w:szCs w:val="22"/>
              </w:rPr>
              <w:t>基于元数据拆解政策为知识单元，支持独立管理检索，可用于大模型重组输出，实现政策精细化管理。</w:t>
            </w:r>
          </w:p>
        </w:tc>
      </w:tr>
      <w:tr w14:paraId="19660C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424" w:type="pct"/>
            <w:tcBorders>
              <w:tl2br w:val="nil"/>
              <w:tr2bl w:val="nil"/>
            </w:tcBorders>
            <w:noWrap w:val="0"/>
            <w:vAlign w:val="center"/>
          </w:tcPr>
          <w:p w14:paraId="5B658533">
            <w:pPr>
              <w:spacing w:beforeLines="0" w:afterLines="0"/>
              <w:ind w:left="0" w:leftChars="0" w:firstLine="0" w:firstLineChar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3</w:t>
            </w:r>
          </w:p>
        </w:tc>
        <w:tc>
          <w:tcPr>
            <w:tcW w:w="1624" w:type="pct"/>
            <w:tcBorders>
              <w:tl2br w:val="nil"/>
              <w:tr2bl w:val="nil"/>
            </w:tcBorders>
            <w:noWrap w:val="0"/>
            <w:vAlign w:val="center"/>
          </w:tcPr>
          <w:p w14:paraId="7A3F6D8E">
            <w:pPr>
              <w:spacing w:beforeLines="0" w:afterLines="0"/>
              <w:ind w:left="0" w:leftChars="0" w:firstLine="0" w:firstLineChars="0"/>
              <w:jc w:val="both"/>
              <w:rPr>
                <w:rFonts w:hint="eastAsia" w:ascii="宋体" w:hAnsi="宋体" w:eastAsia="宋体" w:cs="宋体"/>
                <w:color w:val="000000"/>
                <w:sz w:val="22"/>
                <w:szCs w:val="22"/>
              </w:rPr>
            </w:pPr>
            <w:r>
              <w:rPr>
                <w:rFonts w:hint="eastAsia" w:ascii="宋体" w:hAnsi="宋体" w:eastAsia="宋体" w:cs="宋体"/>
                <w:color w:val="000000"/>
                <w:sz w:val="22"/>
                <w:szCs w:val="22"/>
              </w:rPr>
              <w:t>统一政策服务管理-政策数据分类标引</w:t>
            </w:r>
          </w:p>
        </w:tc>
        <w:tc>
          <w:tcPr>
            <w:tcW w:w="2950" w:type="pct"/>
            <w:tcBorders>
              <w:tl2br w:val="nil"/>
              <w:tr2bl w:val="nil"/>
            </w:tcBorders>
            <w:noWrap w:val="0"/>
            <w:vAlign w:val="center"/>
          </w:tcPr>
          <w:p w14:paraId="79382B66">
            <w:pPr>
              <w:spacing w:beforeLines="0" w:afterLines="0"/>
              <w:ind w:left="0" w:leftChars="0" w:firstLine="0" w:firstLineChars="0"/>
              <w:jc w:val="both"/>
              <w:rPr>
                <w:rFonts w:hint="eastAsia" w:ascii="宋体" w:hAnsi="宋体" w:eastAsia="宋体" w:cs="宋体"/>
                <w:color w:val="000000"/>
                <w:sz w:val="22"/>
                <w:szCs w:val="22"/>
              </w:rPr>
            </w:pPr>
            <w:r>
              <w:rPr>
                <w:rFonts w:hint="eastAsia" w:ascii="宋体" w:hAnsi="宋体" w:eastAsia="宋体" w:cs="宋体"/>
                <w:color w:val="000000"/>
                <w:sz w:val="22"/>
                <w:szCs w:val="22"/>
              </w:rPr>
              <w:t>统一政策数据标准，支持多维度自定义标签分类，可同步 / 异步更新分类标引，保障检索精准灵活。</w:t>
            </w:r>
          </w:p>
        </w:tc>
      </w:tr>
      <w:tr w14:paraId="50D75F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424" w:type="pct"/>
            <w:tcBorders>
              <w:tl2br w:val="nil"/>
              <w:tr2bl w:val="nil"/>
            </w:tcBorders>
            <w:noWrap w:val="0"/>
            <w:vAlign w:val="center"/>
          </w:tcPr>
          <w:p w14:paraId="45439204">
            <w:pPr>
              <w:spacing w:beforeLines="0" w:afterLines="0"/>
              <w:ind w:left="0" w:leftChars="0" w:firstLine="0" w:firstLineChar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4</w:t>
            </w:r>
          </w:p>
        </w:tc>
        <w:tc>
          <w:tcPr>
            <w:tcW w:w="1624" w:type="pct"/>
            <w:tcBorders>
              <w:tl2br w:val="nil"/>
              <w:tr2bl w:val="nil"/>
            </w:tcBorders>
            <w:noWrap w:val="0"/>
            <w:vAlign w:val="center"/>
          </w:tcPr>
          <w:p w14:paraId="0D6EE9F3">
            <w:pPr>
              <w:spacing w:beforeLines="0" w:afterLines="0"/>
              <w:ind w:left="0" w:leftChars="0" w:firstLine="0" w:firstLineChars="0"/>
              <w:jc w:val="both"/>
              <w:rPr>
                <w:rFonts w:hint="eastAsia" w:ascii="宋体" w:hAnsi="宋体" w:eastAsia="宋体" w:cs="宋体"/>
                <w:color w:val="000000"/>
                <w:sz w:val="22"/>
                <w:szCs w:val="22"/>
              </w:rPr>
            </w:pPr>
            <w:r>
              <w:rPr>
                <w:rFonts w:hint="eastAsia" w:ascii="宋体" w:hAnsi="宋体" w:eastAsia="宋体" w:cs="宋体"/>
                <w:color w:val="000000"/>
                <w:sz w:val="22"/>
                <w:szCs w:val="22"/>
              </w:rPr>
              <w:t>统一政策服务管理-政策主题配置</w:t>
            </w:r>
          </w:p>
        </w:tc>
        <w:tc>
          <w:tcPr>
            <w:tcW w:w="2950" w:type="pct"/>
            <w:tcBorders>
              <w:tl2br w:val="nil"/>
              <w:tr2bl w:val="nil"/>
            </w:tcBorders>
            <w:noWrap w:val="0"/>
            <w:vAlign w:val="center"/>
          </w:tcPr>
          <w:p w14:paraId="516C1766">
            <w:pPr>
              <w:spacing w:beforeLines="0" w:afterLines="0"/>
              <w:ind w:left="0" w:leftChars="0" w:firstLine="0" w:firstLineChars="0"/>
              <w:jc w:val="both"/>
              <w:rPr>
                <w:rFonts w:hint="eastAsia" w:ascii="宋体" w:hAnsi="宋体" w:eastAsia="宋体" w:cs="宋体"/>
                <w:color w:val="000000"/>
                <w:sz w:val="22"/>
                <w:szCs w:val="22"/>
              </w:rPr>
            </w:pPr>
            <w:r>
              <w:rPr>
                <w:rFonts w:hint="eastAsia" w:ascii="宋体" w:hAnsi="宋体" w:eastAsia="宋体" w:cs="宋体"/>
                <w:color w:val="000000"/>
                <w:sz w:val="22"/>
                <w:szCs w:val="22"/>
              </w:rPr>
              <w:t>为管理员提供可视化界面，可拖拽配置政策主题与层级，按内容关联性搭建高效检索体系。</w:t>
            </w:r>
          </w:p>
        </w:tc>
      </w:tr>
      <w:tr w14:paraId="7E69E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424" w:type="pct"/>
            <w:tcBorders>
              <w:tl2br w:val="nil"/>
              <w:tr2bl w:val="nil"/>
            </w:tcBorders>
            <w:noWrap w:val="0"/>
            <w:vAlign w:val="center"/>
          </w:tcPr>
          <w:p w14:paraId="7393C4A7">
            <w:pPr>
              <w:spacing w:beforeLines="0" w:afterLines="0"/>
              <w:ind w:left="0" w:leftChars="0" w:firstLine="0" w:firstLineChar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5</w:t>
            </w:r>
          </w:p>
        </w:tc>
        <w:tc>
          <w:tcPr>
            <w:tcW w:w="1624" w:type="pct"/>
            <w:tcBorders>
              <w:tl2br w:val="nil"/>
              <w:tr2bl w:val="nil"/>
            </w:tcBorders>
            <w:noWrap w:val="0"/>
            <w:vAlign w:val="center"/>
          </w:tcPr>
          <w:p w14:paraId="5AD7E236">
            <w:pPr>
              <w:spacing w:beforeLines="0" w:afterLines="0"/>
              <w:ind w:left="0" w:leftChars="0" w:firstLine="0" w:firstLineChars="0"/>
              <w:jc w:val="both"/>
              <w:rPr>
                <w:rFonts w:hint="eastAsia" w:ascii="宋体" w:hAnsi="宋体" w:eastAsia="宋体" w:cs="宋体"/>
                <w:color w:val="000000"/>
                <w:sz w:val="22"/>
                <w:szCs w:val="22"/>
              </w:rPr>
            </w:pPr>
            <w:r>
              <w:rPr>
                <w:rFonts w:hint="eastAsia" w:ascii="宋体" w:hAnsi="宋体" w:eastAsia="宋体" w:cs="宋体"/>
                <w:color w:val="000000"/>
                <w:sz w:val="22"/>
                <w:szCs w:val="22"/>
              </w:rPr>
              <w:t>统一政策服务管理-政策内容配置</w:t>
            </w:r>
          </w:p>
        </w:tc>
        <w:tc>
          <w:tcPr>
            <w:tcW w:w="2950" w:type="pct"/>
            <w:tcBorders>
              <w:tl2br w:val="nil"/>
              <w:tr2bl w:val="nil"/>
            </w:tcBorders>
            <w:noWrap w:val="0"/>
            <w:vAlign w:val="center"/>
          </w:tcPr>
          <w:p w14:paraId="165F53B6">
            <w:pPr>
              <w:spacing w:beforeLines="0" w:afterLines="0"/>
              <w:ind w:left="0" w:leftChars="0" w:firstLine="0" w:firstLineChars="0"/>
              <w:jc w:val="both"/>
              <w:rPr>
                <w:rFonts w:hint="eastAsia" w:ascii="宋体" w:hAnsi="宋体" w:eastAsia="宋体" w:cs="宋体"/>
                <w:color w:val="000000"/>
                <w:sz w:val="22"/>
                <w:szCs w:val="22"/>
              </w:rPr>
            </w:pPr>
            <w:r>
              <w:rPr>
                <w:rFonts w:hint="eastAsia" w:ascii="宋体" w:hAnsi="宋体" w:eastAsia="宋体" w:cs="宋体"/>
                <w:color w:val="000000"/>
                <w:sz w:val="22"/>
                <w:szCs w:val="22"/>
              </w:rPr>
              <w:t>支持政策内容关联主题、配置展示章节，内置解读模板，管理员可快速生成政策解读材料。</w:t>
            </w:r>
          </w:p>
        </w:tc>
      </w:tr>
      <w:tr w14:paraId="64C342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5" w:hRule="atLeast"/>
        </w:trPr>
        <w:tc>
          <w:tcPr>
            <w:tcW w:w="424" w:type="pct"/>
            <w:tcBorders>
              <w:tl2br w:val="nil"/>
              <w:tr2bl w:val="nil"/>
            </w:tcBorders>
            <w:noWrap w:val="0"/>
            <w:vAlign w:val="center"/>
          </w:tcPr>
          <w:p w14:paraId="6900EA0B">
            <w:pPr>
              <w:spacing w:beforeLines="0" w:afterLines="0"/>
              <w:ind w:left="0" w:leftChars="0" w:firstLine="0" w:firstLineChar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6</w:t>
            </w:r>
          </w:p>
        </w:tc>
        <w:tc>
          <w:tcPr>
            <w:tcW w:w="1624" w:type="pct"/>
            <w:tcBorders>
              <w:tl2br w:val="nil"/>
              <w:tr2bl w:val="nil"/>
            </w:tcBorders>
            <w:noWrap w:val="0"/>
            <w:vAlign w:val="center"/>
          </w:tcPr>
          <w:p w14:paraId="5A881E84">
            <w:pPr>
              <w:spacing w:beforeLines="0" w:afterLines="0"/>
              <w:ind w:left="0" w:leftChars="0" w:firstLine="0" w:firstLineChars="0"/>
              <w:jc w:val="both"/>
              <w:rPr>
                <w:rFonts w:hint="eastAsia" w:ascii="宋体" w:hAnsi="宋体" w:eastAsia="宋体" w:cs="宋体"/>
                <w:color w:val="000000"/>
                <w:sz w:val="22"/>
                <w:szCs w:val="22"/>
              </w:rPr>
            </w:pPr>
            <w:r>
              <w:rPr>
                <w:rFonts w:hint="eastAsia" w:ascii="宋体" w:hAnsi="宋体" w:eastAsia="宋体" w:cs="宋体"/>
                <w:color w:val="000000"/>
                <w:sz w:val="22"/>
                <w:szCs w:val="22"/>
              </w:rPr>
              <w:t>统一政策服务管理-政策摘要与标签配置</w:t>
            </w:r>
          </w:p>
        </w:tc>
        <w:tc>
          <w:tcPr>
            <w:tcW w:w="2950" w:type="pct"/>
            <w:tcBorders>
              <w:tl2br w:val="nil"/>
              <w:tr2bl w:val="nil"/>
            </w:tcBorders>
            <w:noWrap w:val="0"/>
            <w:vAlign w:val="center"/>
          </w:tcPr>
          <w:p w14:paraId="7663A94C">
            <w:pPr>
              <w:spacing w:beforeLines="0" w:afterLines="0"/>
              <w:ind w:left="0" w:leftChars="0" w:firstLine="0" w:firstLineChars="0"/>
              <w:jc w:val="both"/>
              <w:rPr>
                <w:rFonts w:hint="eastAsia" w:ascii="宋体" w:hAnsi="宋体" w:eastAsia="宋体" w:cs="宋体"/>
                <w:color w:val="000000"/>
                <w:sz w:val="22"/>
                <w:szCs w:val="22"/>
              </w:rPr>
            </w:pPr>
            <w:r>
              <w:rPr>
                <w:rFonts w:hint="eastAsia" w:ascii="宋体" w:hAnsi="宋体" w:eastAsia="宋体" w:cs="宋体"/>
                <w:color w:val="000000"/>
                <w:sz w:val="22"/>
                <w:szCs w:val="22"/>
              </w:rPr>
              <w:t>支持手动编辑政策摘要与标签，按主题、搜索习惯、热度动态调整标签优先级，提升检索效率。</w:t>
            </w:r>
          </w:p>
        </w:tc>
      </w:tr>
      <w:tr w14:paraId="7B5C35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424" w:type="pct"/>
            <w:tcBorders>
              <w:tl2br w:val="nil"/>
              <w:tr2bl w:val="nil"/>
            </w:tcBorders>
            <w:noWrap w:val="0"/>
            <w:vAlign w:val="center"/>
          </w:tcPr>
          <w:p w14:paraId="2E73BE66">
            <w:pPr>
              <w:spacing w:beforeLines="0" w:afterLines="0"/>
              <w:ind w:left="0" w:leftChars="0" w:firstLine="0" w:firstLineChar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7</w:t>
            </w:r>
          </w:p>
        </w:tc>
        <w:tc>
          <w:tcPr>
            <w:tcW w:w="1624" w:type="pct"/>
            <w:tcBorders>
              <w:tl2br w:val="nil"/>
              <w:tr2bl w:val="nil"/>
            </w:tcBorders>
            <w:noWrap w:val="0"/>
            <w:vAlign w:val="center"/>
          </w:tcPr>
          <w:p w14:paraId="1B8DC5A4">
            <w:pPr>
              <w:spacing w:beforeLines="0" w:afterLines="0"/>
              <w:ind w:left="0" w:leftChars="0" w:firstLine="0" w:firstLineChars="0"/>
              <w:jc w:val="both"/>
              <w:rPr>
                <w:rFonts w:hint="eastAsia" w:ascii="宋体" w:hAnsi="宋体" w:eastAsia="宋体" w:cs="宋体"/>
                <w:color w:val="000000"/>
                <w:sz w:val="22"/>
                <w:szCs w:val="22"/>
              </w:rPr>
            </w:pPr>
            <w:r>
              <w:rPr>
                <w:rFonts w:hint="eastAsia" w:ascii="宋体" w:hAnsi="宋体" w:eastAsia="宋体" w:cs="宋体"/>
                <w:color w:val="000000"/>
                <w:sz w:val="22"/>
                <w:szCs w:val="22"/>
              </w:rPr>
              <w:t>统一政策服务管理-层级查询管理/部门查询管理</w:t>
            </w:r>
          </w:p>
        </w:tc>
        <w:tc>
          <w:tcPr>
            <w:tcW w:w="2950" w:type="pct"/>
            <w:tcBorders>
              <w:tl2br w:val="nil"/>
              <w:tr2bl w:val="nil"/>
            </w:tcBorders>
            <w:noWrap w:val="0"/>
            <w:vAlign w:val="center"/>
          </w:tcPr>
          <w:p w14:paraId="0449CD73">
            <w:pPr>
              <w:spacing w:beforeLines="0" w:afterLines="0"/>
              <w:ind w:left="0" w:leftChars="0" w:firstLine="0" w:firstLineChars="0"/>
              <w:jc w:val="both"/>
              <w:rPr>
                <w:rFonts w:hint="eastAsia" w:ascii="宋体" w:hAnsi="宋体" w:eastAsia="宋体" w:cs="宋体"/>
                <w:color w:val="000000"/>
                <w:sz w:val="22"/>
                <w:szCs w:val="22"/>
              </w:rPr>
            </w:pPr>
            <w:r>
              <w:rPr>
                <w:rFonts w:hint="eastAsia" w:ascii="宋体" w:hAnsi="宋体" w:eastAsia="宋体" w:cs="宋体"/>
                <w:color w:val="000000"/>
                <w:sz w:val="22"/>
                <w:szCs w:val="22"/>
              </w:rPr>
              <w:t>建立全层级政策索引与部门政策体系，支持层级与部门精准查询，按用户画像个性化排序结果。</w:t>
            </w:r>
          </w:p>
        </w:tc>
      </w:tr>
      <w:tr w14:paraId="36568E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3" w:hRule="atLeast"/>
        </w:trPr>
        <w:tc>
          <w:tcPr>
            <w:tcW w:w="424" w:type="pct"/>
            <w:tcBorders>
              <w:tl2br w:val="nil"/>
              <w:tr2bl w:val="nil"/>
            </w:tcBorders>
            <w:noWrap w:val="0"/>
            <w:vAlign w:val="center"/>
          </w:tcPr>
          <w:p w14:paraId="4B392FFB">
            <w:pPr>
              <w:spacing w:beforeLines="0" w:afterLines="0"/>
              <w:ind w:left="0" w:leftChars="0" w:firstLine="0" w:firstLineChar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8</w:t>
            </w:r>
          </w:p>
        </w:tc>
        <w:tc>
          <w:tcPr>
            <w:tcW w:w="1624" w:type="pct"/>
            <w:tcBorders>
              <w:tl2br w:val="nil"/>
              <w:tr2bl w:val="nil"/>
            </w:tcBorders>
            <w:noWrap w:val="0"/>
            <w:vAlign w:val="center"/>
          </w:tcPr>
          <w:p w14:paraId="5BFD06BA">
            <w:pPr>
              <w:spacing w:beforeLines="0" w:afterLines="0"/>
              <w:ind w:left="0" w:leftChars="0" w:firstLine="0" w:firstLineChars="0"/>
              <w:jc w:val="both"/>
              <w:rPr>
                <w:rFonts w:hint="eastAsia" w:ascii="宋体" w:hAnsi="宋体" w:eastAsia="宋体" w:cs="宋体"/>
                <w:color w:val="000000"/>
                <w:sz w:val="22"/>
                <w:szCs w:val="22"/>
              </w:rPr>
            </w:pPr>
            <w:r>
              <w:rPr>
                <w:rFonts w:hint="eastAsia" w:ascii="宋体" w:hAnsi="宋体" w:eastAsia="宋体" w:cs="宋体"/>
                <w:color w:val="000000"/>
                <w:sz w:val="22"/>
                <w:szCs w:val="22"/>
              </w:rPr>
              <w:t>统一政策服务管理-行业专属查询管理/多条件组合查询管理</w:t>
            </w:r>
          </w:p>
        </w:tc>
        <w:tc>
          <w:tcPr>
            <w:tcW w:w="2950" w:type="pct"/>
            <w:tcBorders>
              <w:tl2br w:val="nil"/>
              <w:tr2bl w:val="nil"/>
            </w:tcBorders>
            <w:noWrap w:val="0"/>
            <w:vAlign w:val="center"/>
          </w:tcPr>
          <w:p w14:paraId="1CD3F332">
            <w:pPr>
              <w:spacing w:beforeLines="0" w:afterLines="0"/>
              <w:ind w:left="0" w:leftChars="0" w:firstLine="0" w:firstLineChars="0"/>
              <w:jc w:val="both"/>
              <w:rPr>
                <w:rFonts w:hint="eastAsia" w:ascii="宋体" w:hAnsi="宋体" w:eastAsia="宋体" w:cs="宋体"/>
                <w:color w:val="000000"/>
                <w:sz w:val="22"/>
                <w:szCs w:val="22"/>
              </w:rPr>
            </w:pPr>
            <w:r>
              <w:rPr>
                <w:rFonts w:hint="eastAsia" w:ascii="宋体" w:hAnsi="宋体" w:eastAsia="宋体" w:cs="宋体"/>
                <w:color w:val="000000"/>
                <w:sz w:val="22"/>
                <w:szCs w:val="22"/>
              </w:rPr>
              <w:t>维护行业专属政策标签，支持多条件组合与布尔逻辑检索，提供条件记忆与个性化查询模板。</w:t>
            </w:r>
          </w:p>
        </w:tc>
      </w:tr>
      <w:tr w14:paraId="6FC361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424" w:type="pct"/>
            <w:tcBorders>
              <w:tl2br w:val="nil"/>
              <w:tr2bl w:val="nil"/>
            </w:tcBorders>
            <w:noWrap w:val="0"/>
            <w:vAlign w:val="center"/>
          </w:tcPr>
          <w:p w14:paraId="1AC1110D">
            <w:pPr>
              <w:spacing w:beforeLines="0" w:afterLines="0"/>
              <w:ind w:left="0" w:leftChars="0" w:firstLine="0" w:firstLineChar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9</w:t>
            </w:r>
          </w:p>
        </w:tc>
        <w:tc>
          <w:tcPr>
            <w:tcW w:w="1624" w:type="pct"/>
            <w:tcBorders>
              <w:tl2br w:val="nil"/>
              <w:tr2bl w:val="nil"/>
            </w:tcBorders>
            <w:noWrap w:val="0"/>
            <w:vAlign w:val="center"/>
          </w:tcPr>
          <w:p w14:paraId="585E005F">
            <w:pPr>
              <w:spacing w:beforeLines="0" w:afterLines="0"/>
              <w:ind w:left="0" w:leftChars="0" w:firstLine="0" w:firstLineChars="0"/>
              <w:jc w:val="both"/>
              <w:rPr>
                <w:rFonts w:hint="eastAsia" w:ascii="宋体" w:hAnsi="宋体" w:eastAsia="宋体" w:cs="宋体"/>
                <w:color w:val="000000"/>
                <w:sz w:val="22"/>
                <w:szCs w:val="22"/>
              </w:rPr>
            </w:pPr>
            <w:r>
              <w:rPr>
                <w:rFonts w:hint="eastAsia" w:ascii="宋体" w:hAnsi="宋体" w:eastAsia="宋体" w:cs="宋体"/>
                <w:color w:val="000000"/>
                <w:sz w:val="22"/>
                <w:szCs w:val="22"/>
              </w:rPr>
              <w:t>统一政策服务管理-政策关联管理</w:t>
            </w:r>
          </w:p>
        </w:tc>
        <w:tc>
          <w:tcPr>
            <w:tcW w:w="2950" w:type="pct"/>
            <w:tcBorders>
              <w:tl2br w:val="nil"/>
              <w:tr2bl w:val="nil"/>
            </w:tcBorders>
            <w:noWrap w:val="0"/>
            <w:vAlign w:val="center"/>
          </w:tcPr>
          <w:p w14:paraId="53FDD326">
            <w:pPr>
              <w:spacing w:beforeLines="0" w:afterLines="0"/>
              <w:ind w:left="0" w:leftChars="0" w:firstLine="0" w:firstLineChars="0"/>
              <w:jc w:val="both"/>
              <w:rPr>
                <w:rFonts w:hint="eastAsia" w:ascii="宋体" w:hAnsi="宋体" w:eastAsia="宋体" w:cs="宋体"/>
                <w:color w:val="000000"/>
                <w:sz w:val="22"/>
                <w:szCs w:val="22"/>
              </w:rPr>
            </w:pPr>
            <w:r>
              <w:rPr>
                <w:rFonts w:hint="eastAsia" w:ascii="宋体" w:hAnsi="宋体" w:eastAsia="宋体" w:cs="宋体"/>
                <w:color w:val="000000"/>
                <w:sz w:val="22"/>
                <w:szCs w:val="22"/>
              </w:rPr>
              <w:t>绑定政策与办事事项，基于用户行为构建标签实现精准推送，可视化管理关联关系并审核验证。</w:t>
            </w:r>
          </w:p>
        </w:tc>
      </w:tr>
      <w:tr w14:paraId="56963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424" w:type="pct"/>
            <w:tcBorders>
              <w:tl2br w:val="nil"/>
              <w:tr2bl w:val="nil"/>
            </w:tcBorders>
            <w:noWrap w:val="0"/>
            <w:vAlign w:val="center"/>
          </w:tcPr>
          <w:p w14:paraId="3D0168D0">
            <w:pPr>
              <w:spacing w:beforeLines="0" w:afterLines="0"/>
              <w:ind w:left="0" w:leftChars="0" w:firstLine="0" w:firstLineChar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10</w:t>
            </w:r>
          </w:p>
        </w:tc>
        <w:tc>
          <w:tcPr>
            <w:tcW w:w="1624" w:type="pct"/>
            <w:tcBorders>
              <w:tl2br w:val="nil"/>
              <w:tr2bl w:val="nil"/>
            </w:tcBorders>
            <w:noWrap w:val="0"/>
            <w:vAlign w:val="center"/>
          </w:tcPr>
          <w:p w14:paraId="278D6A6D">
            <w:pPr>
              <w:spacing w:beforeLines="0" w:afterLines="0"/>
              <w:ind w:left="0" w:leftChars="0" w:firstLine="0" w:firstLineChars="0"/>
              <w:jc w:val="both"/>
              <w:rPr>
                <w:rFonts w:hint="eastAsia" w:ascii="宋体" w:hAnsi="宋体" w:eastAsia="宋体" w:cs="宋体"/>
                <w:color w:val="000000"/>
                <w:sz w:val="22"/>
                <w:szCs w:val="22"/>
              </w:rPr>
            </w:pPr>
            <w:r>
              <w:rPr>
                <w:rFonts w:hint="eastAsia" w:ascii="宋体" w:hAnsi="宋体" w:eastAsia="宋体" w:cs="宋体"/>
                <w:color w:val="000000"/>
                <w:sz w:val="22"/>
                <w:szCs w:val="22"/>
              </w:rPr>
              <w:t>统一政策服务管理-政策知识图谱管理</w:t>
            </w:r>
          </w:p>
        </w:tc>
        <w:tc>
          <w:tcPr>
            <w:tcW w:w="2950" w:type="pct"/>
            <w:tcBorders>
              <w:tl2br w:val="nil"/>
              <w:tr2bl w:val="nil"/>
            </w:tcBorders>
            <w:noWrap w:val="0"/>
            <w:vAlign w:val="center"/>
          </w:tcPr>
          <w:p w14:paraId="7F69DEB2">
            <w:pPr>
              <w:spacing w:beforeLines="0" w:afterLines="0"/>
              <w:ind w:left="0" w:leftChars="0" w:firstLine="0" w:firstLineChars="0"/>
              <w:jc w:val="both"/>
              <w:rPr>
                <w:rFonts w:hint="eastAsia" w:ascii="宋体" w:hAnsi="宋体" w:eastAsia="宋体" w:cs="宋体"/>
                <w:color w:val="000000"/>
                <w:sz w:val="22"/>
                <w:szCs w:val="22"/>
              </w:rPr>
            </w:pPr>
            <w:r>
              <w:rPr>
                <w:rFonts w:hint="eastAsia" w:ascii="宋体" w:hAnsi="宋体" w:eastAsia="宋体" w:cs="宋体"/>
                <w:color w:val="000000"/>
                <w:sz w:val="22"/>
                <w:szCs w:val="22"/>
              </w:rPr>
              <w:t>可视化搭建政策知识图谱，抽取实体并建立关联，支持版本回溯、筛选搜索与节点下钻查看。</w:t>
            </w:r>
          </w:p>
        </w:tc>
      </w:tr>
      <w:tr w14:paraId="4AD79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424" w:type="pct"/>
            <w:tcBorders>
              <w:tl2br w:val="nil"/>
              <w:tr2bl w:val="nil"/>
            </w:tcBorders>
            <w:noWrap w:val="0"/>
            <w:vAlign w:val="center"/>
          </w:tcPr>
          <w:p w14:paraId="5A2ED0A5">
            <w:pPr>
              <w:spacing w:beforeLines="0" w:afterLines="0"/>
              <w:ind w:left="0" w:leftChars="0" w:firstLine="0" w:firstLineChar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11</w:t>
            </w:r>
          </w:p>
        </w:tc>
        <w:tc>
          <w:tcPr>
            <w:tcW w:w="1624" w:type="pct"/>
            <w:tcBorders>
              <w:tl2br w:val="nil"/>
              <w:tr2bl w:val="nil"/>
            </w:tcBorders>
            <w:noWrap w:val="0"/>
            <w:vAlign w:val="center"/>
          </w:tcPr>
          <w:p w14:paraId="0E522B52">
            <w:pPr>
              <w:spacing w:beforeLines="0" w:afterLines="0"/>
              <w:ind w:left="0" w:leftChars="0" w:firstLine="0" w:firstLineChars="0"/>
              <w:jc w:val="both"/>
              <w:rPr>
                <w:rFonts w:hint="eastAsia" w:ascii="宋体" w:hAnsi="宋体" w:eastAsia="宋体" w:cs="宋体"/>
                <w:color w:val="000000"/>
                <w:sz w:val="22"/>
                <w:szCs w:val="22"/>
              </w:rPr>
            </w:pPr>
            <w:r>
              <w:rPr>
                <w:rFonts w:hint="eastAsia" w:ascii="宋体" w:hAnsi="宋体" w:eastAsia="宋体" w:cs="宋体"/>
                <w:color w:val="000000"/>
                <w:sz w:val="22"/>
                <w:szCs w:val="22"/>
              </w:rPr>
              <w:t>统一政策服务管理-意见反馈管理</w:t>
            </w:r>
          </w:p>
        </w:tc>
        <w:tc>
          <w:tcPr>
            <w:tcW w:w="2950" w:type="pct"/>
            <w:tcBorders>
              <w:tl2br w:val="nil"/>
              <w:tr2bl w:val="nil"/>
            </w:tcBorders>
            <w:noWrap w:val="0"/>
            <w:vAlign w:val="center"/>
          </w:tcPr>
          <w:p w14:paraId="23FD1CE6">
            <w:pPr>
              <w:spacing w:beforeLines="0" w:afterLines="0"/>
              <w:ind w:left="0" w:leftChars="0" w:firstLine="0" w:firstLineChars="0"/>
              <w:jc w:val="both"/>
              <w:rPr>
                <w:rFonts w:hint="eastAsia" w:ascii="宋体" w:hAnsi="宋体" w:eastAsia="宋体" w:cs="宋体"/>
                <w:color w:val="000000"/>
                <w:sz w:val="22"/>
                <w:szCs w:val="22"/>
              </w:rPr>
            </w:pPr>
            <w:r>
              <w:rPr>
                <w:rFonts w:hint="eastAsia" w:ascii="宋体" w:hAnsi="宋体" w:eastAsia="宋体" w:cs="宋体"/>
                <w:color w:val="000000"/>
                <w:sz w:val="22"/>
                <w:szCs w:val="22"/>
              </w:rPr>
              <w:t>接收处理用户意见反馈，全程跟踪督办，提供回复模板，统计分析数据并生成可视化报表。</w:t>
            </w:r>
          </w:p>
        </w:tc>
      </w:tr>
      <w:tr w14:paraId="6E2BF6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424" w:type="pct"/>
            <w:tcBorders>
              <w:tl2br w:val="nil"/>
              <w:tr2bl w:val="nil"/>
            </w:tcBorders>
            <w:noWrap w:val="0"/>
            <w:vAlign w:val="center"/>
          </w:tcPr>
          <w:p w14:paraId="104F4D7F">
            <w:pPr>
              <w:spacing w:beforeLines="0" w:afterLines="0"/>
              <w:ind w:left="0" w:leftChars="0" w:firstLine="0" w:firstLineChar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12</w:t>
            </w:r>
          </w:p>
        </w:tc>
        <w:tc>
          <w:tcPr>
            <w:tcW w:w="1624" w:type="pct"/>
            <w:tcBorders>
              <w:tl2br w:val="nil"/>
              <w:tr2bl w:val="nil"/>
            </w:tcBorders>
            <w:noWrap w:val="0"/>
            <w:vAlign w:val="center"/>
          </w:tcPr>
          <w:p w14:paraId="7B5BB8D1">
            <w:pPr>
              <w:spacing w:beforeLines="0" w:afterLines="0"/>
              <w:ind w:left="0" w:leftChars="0" w:firstLine="0" w:firstLineChars="0"/>
              <w:jc w:val="both"/>
              <w:rPr>
                <w:rFonts w:hint="eastAsia" w:ascii="宋体" w:hAnsi="宋体" w:eastAsia="宋体" w:cs="宋体"/>
                <w:color w:val="000000"/>
                <w:sz w:val="22"/>
                <w:szCs w:val="22"/>
              </w:rPr>
            </w:pPr>
            <w:r>
              <w:rPr>
                <w:rFonts w:hint="eastAsia" w:ascii="宋体" w:hAnsi="宋体" w:eastAsia="宋体" w:cs="宋体"/>
                <w:color w:val="000000"/>
                <w:sz w:val="22"/>
                <w:szCs w:val="22"/>
              </w:rPr>
              <w:t>统一政策服务管理-政策评估分析</w:t>
            </w:r>
          </w:p>
        </w:tc>
        <w:tc>
          <w:tcPr>
            <w:tcW w:w="2950" w:type="pct"/>
            <w:tcBorders>
              <w:tl2br w:val="nil"/>
              <w:tr2bl w:val="nil"/>
            </w:tcBorders>
            <w:noWrap w:val="0"/>
            <w:vAlign w:val="center"/>
          </w:tcPr>
          <w:p w14:paraId="40C0F46A">
            <w:pPr>
              <w:spacing w:beforeLines="0" w:afterLines="0"/>
              <w:ind w:left="0" w:leftChars="0" w:firstLine="0" w:firstLineChars="0"/>
              <w:jc w:val="both"/>
              <w:rPr>
                <w:rFonts w:hint="eastAsia" w:ascii="宋体" w:hAnsi="宋体" w:eastAsia="宋体" w:cs="宋体"/>
                <w:color w:val="000000"/>
                <w:sz w:val="22"/>
                <w:szCs w:val="22"/>
              </w:rPr>
            </w:pPr>
            <w:r>
              <w:rPr>
                <w:rFonts w:hint="eastAsia" w:ascii="宋体" w:hAnsi="宋体" w:eastAsia="宋体" w:cs="宋体"/>
                <w:color w:val="000000"/>
                <w:sz w:val="22"/>
                <w:szCs w:val="22"/>
              </w:rPr>
              <w:t>多维度收集政策数据与访问行为，生成报表评估传播效果，对比分析政策冲突与调整成效。</w:t>
            </w:r>
          </w:p>
        </w:tc>
      </w:tr>
      <w:tr w14:paraId="1E17A4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424" w:type="pct"/>
            <w:tcBorders>
              <w:tl2br w:val="nil"/>
              <w:tr2bl w:val="nil"/>
            </w:tcBorders>
            <w:noWrap w:val="0"/>
            <w:vAlign w:val="center"/>
          </w:tcPr>
          <w:p w14:paraId="162D530D">
            <w:pPr>
              <w:spacing w:beforeLines="0" w:afterLines="0"/>
              <w:ind w:left="0" w:leftChars="0" w:firstLine="0" w:firstLineChar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13</w:t>
            </w:r>
          </w:p>
        </w:tc>
        <w:tc>
          <w:tcPr>
            <w:tcW w:w="1624" w:type="pct"/>
            <w:tcBorders>
              <w:tl2br w:val="nil"/>
              <w:tr2bl w:val="nil"/>
            </w:tcBorders>
            <w:noWrap w:val="0"/>
            <w:vAlign w:val="center"/>
          </w:tcPr>
          <w:p w14:paraId="236F90ED">
            <w:pPr>
              <w:spacing w:beforeLines="0" w:afterLines="0"/>
              <w:ind w:left="0" w:leftChars="0" w:firstLine="0" w:firstLineChars="0"/>
              <w:jc w:val="both"/>
              <w:rPr>
                <w:rFonts w:hint="eastAsia" w:ascii="宋体" w:hAnsi="宋体" w:eastAsia="宋体" w:cs="宋体"/>
                <w:color w:val="000000"/>
                <w:sz w:val="22"/>
                <w:szCs w:val="22"/>
              </w:rPr>
            </w:pPr>
            <w:r>
              <w:rPr>
                <w:rFonts w:hint="eastAsia" w:ascii="宋体" w:hAnsi="宋体" w:eastAsia="宋体" w:cs="宋体"/>
                <w:color w:val="000000"/>
                <w:sz w:val="22"/>
                <w:szCs w:val="22"/>
              </w:rPr>
              <w:t>统一政策服务管理-语义智能检索</w:t>
            </w:r>
          </w:p>
        </w:tc>
        <w:tc>
          <w:tcPr>
            <w:tcW w:w="2950" w:type="pct"/>
            <w:tcBorders>
              <w:tl2br w:val="nil"/>
              <w:tr2bl w:val="nil"/>
            </w:tcBorders>
            <w:noWrap w:val="0"/>
            <w:vAlign w:val="center"/>
          </w:tcPr>
          <w:p w14:paraId="58EA561F">
            <w:pPr>
              <w:spacing w:beforeLines="0" w:afterLines="0"/>
              <w:ind w:left="0" w:leftChars="0" w:firstLine="0" w:firstLineChars="0"/>
              <w:jc w:val="both"/>
              <w:rPr>
                <w:rFonts w:hint="eastAsia" w:ascii="宋体" w:hAnsi="宋体" w:eastAsia="宋体" w:cs="宋体"/>
                <w:color w:val="000000"/>
                <w:sz w:val="22"/>
                <w:szCs w:val="22"/>
              </w:rPr>
            </w:pPr>
            <w:r>
              <w:rPr>
                <w:rFonts w:hint="eastAsia" w:ascii="宋体" w:hAnsi="宋体" w:eastAsia="宋体" w:cs="宋体"/>
                <w:color w:val="000000"/>
                <w:sz w:val="22"/>
                <w:szCs w:val="22"/>
              </w:rPr>
              <w:t>依托市级 MAP 大模型，支持自然语言检索，深度解析语义并补全同义词，转化为精准检索指令。</w:t>
            </w:r>
          </w:p>
        </w:tc>
      </w:tr>
      <w:tr w14:paraId="2836A1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424" w:type="pct"/>
            <w:tcBorders>
              <w:tl2br w:val="nil"/>
              <w:tr2bl w:val="nil"/>
            </w:tcBorders>
            <w:noWrap w:val="0"/>
            <w:vAlign w:val="center"/>
          </w:tcPr>
          <w:p w14:paraId="5A3E81D3">
            <w:pPr>
              <w:spacing w:beforeLines="0" w:afterLines="0"/>
              <w:ind w:left="0" w:leftChars="0" w:firstLine="0" w:firstLineChar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14</w:t>
            </w:r>
          </w:p>
        </w:tc>
        <w:tc>
          <w:tcPr>
            <w:tcW w:w="1624" w:type="pct"/>
            <w:tcBorders>
              <w:tl2br w:val="nil"/>
              <w:tr2bl w:val="nil"/>
            </w:tcBorders>
            <w:noWrap w:val="0"/>
            <w:vAlign w:val="center"/>
          </w:tcPr>
          <w:p w14:paraId="2FAC0A09">
            <w:pPr>
              <w:spacing w:beforeLines="0" w:afterLines="0"/>
              <w:ind w:left="0" w:leftChars="0" w:firstLine="0" w:firstLineChars="0"/>
              <w:jc w:val="both"/>
              <w:rPr>
                <w:rFonts w:hint="eastAsia" w:ascii="宋体" w:hAnsi="宋体" w:eastAsia="宋体" w:cs="宋体"/>
                <w:color w:val="000000"/>
                <w:sz w:val="22"/>
                <w:szCs w:val="22"/>
              </w:rPr>
            </w:pPr>
            <w:r>
              <w:rPr>
                <w:rFonts w:hint="eastAsia" w:ascii="宋体" w:hAnsi="宋体" w:eastAsia="宋体" w:cs="宋体"/>
                <w:color w:val="000000"/>
                <w:sz w:val="22"/>
                <w:szCs w:val="22"/>
              </w:rPr>
              <w:t>统一政策服务管理-多维度结果展示/检索历史管理</w:t>
            </w:r>
          </w:p>
        </w:tc>
        <w:tc>
          <w:tcPr>
            <w:tcW w:w="2950" w:type="pct"/>
            <w:tcBorders>
              <w:tl2br w:val="nil"/>
              <w:tr2bl w:val="nil"/>
            </w:tcBorders>
            <w:noWrap w:val="0"/>
            <w:vAlign w:val="center"/>
          </w:tcPr>
          <w:p w14:paraId="49281EF9">
            <w:pPr>
              <w:spacing w:beforeLines="0" w:afterLines="0"/>
              <w:ind w:left="0" w:leftChars="0" w:firstLine="0" w:firstLineChars="0"/>
              <w:jc w:val="both"/>
              <w:rPr>
                <w:rFonts w:hint="eastAsia" w:ascii="宋体" w:hAnsi="宋体" w:eastAsia="宋体" w:cs="宋体"/>
                <w:color w:val="000000"/>
                <w:sz w:val="22"/>
                <w:szCs w:val="22"/>
              </w:rPr>
            </w:pPr>
            <w:r>
              <w:rPr>
                <w:rFonts w:hint="eastAsia" w:ascii="宋体" w:hAnsi="宋体" w:eastAsia="宋体" w:cs="宋体"/>
                <w:color w:val="000000"/>
                <w:sz w:val="22"/>
                <w:szCs w:val="22"/>
              </w:rPr>
              <w:t>结构化展示检索结果并高亮关键词，记录近 1 个月检索历史，支持一键清除保护隐私。</w:t>
            </w:r>
          </w:p>
        </w:tc>
      </w:tr>
      <w:tr w14:paraId="444353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424" w:type="pct"/>
            <w:tcBorders>
              <w:tl2br w:val="nil"/>
              <w:tr2bl w:val="nil"/>
            </w:tcBorders>
            <w:noWrap w:val="0"/>
            <w:vAlign w:val="center"/>
          </w:tcPr>
          <w:p w14:paraId="7414510A">
            <w:pPr>
              <w:spacing w:beforeLines="0" w:afterLines="0"/>
              <w:ind w:left="0" w:leftChars="0" w:firstLine="0" w:firstLineChar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15</w:t>
            </w:r>
          </w:p>
        </w:tc>
        <w:tc>
          <w:tcPr>
            <w:tcW w:w="1624" w:type="pct"/>
            <w:tcBorders>
              <w:tl2br w:val="nil"/>
              <w:tr2bl w:val="nil"/>
            </w:tcBorders>
            <w:noWrap w:val="0"/>
            <w:vAlign w:val="center"/>
          </w:tcPr>
          <w:p w14:paraId="14F22ACE">
            <w:pPr>
              <w:spacing w:beforeLines="0" w:afterLines="0"/>
              <w:ind w:left="0" w:leftChars="0" w:firstLine="0" w:firstLineChars="0"/>
              <w:jc w:val="both"/>
              <w:rPr>
                <w:rFonts w:hint="eastAsia" w:ascii="宋体" w:hAnsi="宋体" w:eastAsia="宋体" w:cs="宋体"/>
                <w:color w:val="000000"/>
                <w:sz w:val="22"/>
                <w:szCs w:val="22"/>
              </w:rPr>
            </w:pPr>
            <w:r>
              <w:rPr>
                <w:rFonts w:hint="eastAsia" w:ascii="宋体" w:hAnsi="宋体" w:eastAsia="宋体" w:cs="宋体"/>
                <w:color w:val="000000"/>
                <w:sz w:val="22"/>
                <w:szCs w:val="22"/>
              </w:rPr>
              <w:t>智数中心建设-向量数据块管理</w:t>
            </w:r>
          </w:p>
        </w:tc>
        <w:tc>
          <w:tcPr>
            <w:tcW w:w="2950" w:type="pct"/>
            <w:tcBorders>
              <w:tl2br w:val="nil"/>
              <w:tr2bl w:val="nil"/>
            </w:tcBorders>
            <w:noWrap w:val="0"/>
            <w:vAlign w:val="center"/>
          </w:tcPr>
          <w:p w14:paraId="6AE720A8">
            <w:pPr>
              <w:spacing w:beforeLines="0" w:afterLines="0"/>
              <w:ind w:left="0" w:leftChars="0" w:firstLine="0" w:firstLineChars="0"/>
              <w:jc w:val="both"/>
              <w:rPr>
                <w:rFonts w:hint="eastAsia" w:ascii="宋体" w:hAnsi="宋体" w:eastAsia="宋体" w:cs="宋体"/>
                <w:color w:val="000000"/>
                <w:sz w:val="22"/>
                <w:szCs w:val="22"/>
              </w:rPr>
            </w:pPr>
            <w:r>
              <w:rPr>
                <w:rFonts w:hint="eastAsia" w:ascii="宋体" w:hAnsi="宋体" w:eastAsia="宋体" w:cs="宋体"/>
                <w:color w:val="000000"/>
                <w:sz w:val="22"/>
                <w:szCs w:val="22"/>
              </w:rPr>
              <w:t>支持向量数据块可视化查看编辑、多维度筛选，可执行数据发布与撤销，保障数据准确时效。</w:t>
            </w:r>
          </w:p>
        </w:tc>
      </w:tr>
      <w:tr w14:paraId="3AA09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424" w:type="pct"/>
            <w:tcBorders>
              <w:tl2br w:val="nil"/>
              <w:tr2bl w:val="nil"/>
            </w:tcBorders>
            <w:noWrap w:val="0"/>
            <w:vAlign w:val="center"/>
          </w:tcPr>
          <w:p w14:paraId="322FDE97">
            <w:pPr>
              <w:spacing w:beforeLines="0" w:afterLines="0"/>
              <w:ind w:left="0" w:leftChars="0" w:firstLine="0" w:firstLineChar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16</w:t>
            </w:r>
          </w:p>
        </w:tc>
        <w:tc>
          <w:tcPr>
            <w:tcW w:w="1624" w:type="pct"/>
            <w:tcBorders>
              <w:tl2br w:val="nil"/>
              <w:tr2bl w:val="nil"/>
            </w:tcBorders>
            <w:noWrap w:val="0"/>
            <w:vAlign w:val="center"/>
          </w:tcPr>
          <w:p w14:paraId="2BB7AA39">
            <w:pPr>
              <w:spacing w:beforeLines="0" w:afterLines="0"/>
              <w:ind w:left="0" w:leftChars="0" w:firstLine="0" w:firstLineChars="0"/>
              <w:jc w:val="both"/>
              <w:rPr>
                <w:rFonts w:hint="eastAsia" w:ascii="宋体" w:hAnsi="宋体" w:eastAsia="宋体" w:cs="宋体"/>
                <w:color w:val="000000"/>
                <w:sz w:val="22"/>
                <w:szCs w:val="22"/>
              </w:rPr>
            </w:pPr>
            <w:r>
              <w:rPr>
                <w:rFonts w:hint="eastAsia" w:ascii="宋体" w:hAnsi="宋体" w:eastAsia="宋体" w:cs="宋体"/>
                <w:color w:val="000000"/>
                <w:sz w:val="22"/>
                <w:szCs w:val="22"/>
              </w:rPr>
              <w:t>智数中心建设-数据自定义分类组织</w:t>
            </w:r>
          </w:p>
        </w:tc>
        <w:tc>
          <w:tcPr>
            <w:tcW w:w="2950" w:type="pct"/>
            <w:tcBorders>
              <w:tl2br w:val="nil"/>
              <w:tr2bl w:val="nil"/>
            </w:tcBorders>
            <w:noWrap w:val="0"/>
            <w:vAlign w:val="center"/>
          </w:tcPr>
          <w:p w14:paraId="49EB3FA9">
            <w:pPr>
              <w:spacing w:beforeLines="0" w:afterLines="0"/>
              <w:ind w:left="0" w:leftChars="0" w:firstLine="0" w:firstLineChars="0"/>
              <w:jc w:val="both"/>
              <w:rPr>
                <w:rFonts w:hint="eastAsia" w:ascii="宋体" w:hAnsi="宋体" w:eastAsia="宋体" w:cs="宋体"/>
                <w:color w:val="000000"/>
                <w:sz w:val="22"/>
                <w:szCs w:val="22"/>
              </w:rPr>
            </w:pPr>
            <w:r>
              <w:rPr>
                <w:rFonts w:hint="eastAsia" w:ascii="宋体" w:hAnsi="宋体" w:eastAsia="宋体" w:cs="宋体"/>
                <w:color w:val="000000"/>
                <w:sz w:val="22"/>
                <w:szCs w:val="22"/>
              </w:rPr>
              <w:t>允许用户自定义数据分类并组合管理，快速查找筛选数据，提升数据管理效率与精准度。</w:t>
            </w:r>
          </w:p>
        </w:tc>
      </w:tr>
      <w:tr w14:paraId="466583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424" w:type="pct"/>
            <w:tcBorders>
              <w:tl2br w:val="nil"/>
              <w:tr2bl w:val="nil"/>
            </w:tcBorders>
            <w:noWrap w:val="0"/>
            <w:vAlign w:val="center"/>
          </w:tcPr>
          <w:p w14:paraId="03BC34A8">
            <w:pPr>
              <w:spacing w:beforeLines="0" w:afterLines="0"/>
              <w:ind w:left="0" w:leftChars="0" w:firstLine="0" w:firstLineChar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17</w:t>
            </w:r>
          </w:p>
        </w:tc>
        <w:tc>
          <w:tcPr>
            <w:tcW w:w="1624" w:type="pct"/>
            <w:tcBorders>
              <w:tl2br w:val="nil"/>
              <w:tr2bl w:val="nil"/>
            </w:tcBorders>
            <w:noWrap w:val="0"/>
            <w:vAlign w:val="center"/>
          </w:tcPr>
          <w:p w14:paraId="795783E5">
            <w:pPr>
              <w:spacing w:beforeLines="0" w:afterLines="0"/>
              <w:ind w:left="0" w:leftChars="0" w:firstLine="0" w:firstLineChars="0"/>
              <w:jc w:val="both"/>
              <w:rPr>
                <w:rFonts w:hint="eastAsia" w:ascii="宋体" w:hAnsi="宋体" w:eastAsia="宋体" w:cs="宋体"/>
                <w:color w:val="000000"/>
                <w:sz w:val="22"/>
                <w:szCs w:val="22"/>
              </w:rPr>
            </w:pPr>
            <w:r>
              <w:rPr>
                <w:rFonts w:hint="eastAsia" w:ascii="宋体" w:hAnsi="宋体" w:eastAsia="宋体" w:cs="宋体"/>
                <w:color w:val="000000"/>
                <w:sz w:val="22"/>
                <w:szCs w:val="22"/>
              </w:rPr>
              <w:t>智数中心建设-数据授权管理</w:t>
            </w:r>
          </w:p>
        </w:tc>
        <w:tc>
          <w:tcPr>
            <w:tcW w:w="2950" w:type="pct"/>
            <w:tcBorders>
              <w:tl2br w:val="nil"/>
              <w:tr2bl w:val="nil"/>
            </w:tcBorders>
            <w:noWrap w:val="0"/>
            <w:vAlign w:val="center"/>
          </w:tcPr>
          <w:p w14:paraId="15247D32">
            <w:pPr>
              <w:spacing w:beforeLines="0" w:afterLines="0"/>
              <w:ind w:left="0" w:leftChars="0" w:firstLine="0" w:firstLineChars="0"/>
              <w:jc w:val="both"/>
              <w:rPr>
                <w:rFonts w:hint="eastAsia" w:ascii="宋体" w:hAnsi="宋体" w:eastAsia="宋体" w:cs="宋体"/>
                <w:color w:val="000000"/>
                <w:sz w:val="22"/>
                <w:szCs w:val="22"/>
              </w:rPr>
            </w:pPr>
            <w:r>
              <w:rPr>
                <w:rFonts w:hint="eastAsia" w:ascii="宋体" w:hAnsi="宋体" w:eastAsia="宋体" w:cs="宋体"/>
                <w:color w:val="000000"/>
                <w:sz w:val="22"/>
                <w:szCs w:val="22"/>
              </w:rPr>
              <w:t>支持自定义接口参数，按分类组合授权数据，部门账号可一对多配置接口，实现权限精细化管控。</w:t>
            </w:r>
          </w:p>
        </w:tc>
      </w:tr>
      <w:tr w14:paraId="10541B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424" w:type="pct"/>
            <w:tcBorders>
              <w:tl2br w:val="nil"/>
              <w:tr2bl w:val="nil"/>
            </w:tcBorders>
            <w:noWrap w:val="0"/>
            <w:vAlign w:val="center"/>
          </w:tcPr>
          <w:p w14:paraId="3D7EAD4B">
            <w:pPr>
              <w:spacing w:beforeLines="0" w:afterLines="0"/>
              <w:ind w:left="0" w:leftChars="0" w:firstLine="0" w:firstLineChar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18</w:t>
            </w:r>
          </w:p>
        </w:tc>
        <w:tc>
          <w:tcPr>
            <w:tcW w:w="1624" w:type="pct"/>
            <w:tcBorders>
              <w:tl2br w:val="nil"/>
              <w:tr2bl w:val="nil"/>
            </w:tcBorders>
            <w:noWrap w:val="0"/>
            <w:vAlign w:val="center"/>
          </w:tcPr>
          <w:p w14:paraId="3E79A992">
            <w:pPr>
              <w:spacing w:beforeLines="0" w:afterLines="0"/>
              <w:ind w:left="0" w:leftChars="0" w:firstLine="0" w:firstLineChars="0"/>
              <w:jc w:val="both"/>
              <w:rPr>
                <w:rFonts w:hint="eastAsia" w:ascii="宋体" w:hAnsi="宋体" w:eastAsia="宋体" w:cs="宋体"/>
                <w:color w:val="000000"/>
                <w:sz w:val="22"/>
                <w:szCs w:val="22"/>
              </w:rPr>
            </w:pPr>
            <w:r>
              <w:rPr>
                <w:rFonts w:hint="eastAsia" w:ascii="宋体" w:hAnsi="宋体" w:eastAsia="宋体" w:cs="宋体"/>
                <w:color w:val="000000"/>
                <w:sz w:val="22"/>
                <w:szCs w:val="22"/>
              </w:rPr>
              <w:t>智数中心建设-源数据转换规则定义</w:t>
            </w:r>
          </w:p>
        </w:tc>
        <w:tc>
          <w:tcPr>
            <w:tcW w:w="2950" w:type="pct"/>
            <w:tcBorders>
              <w:tl2br w:val="nil"/>
              <w:tr2bl w:val="nil"/>
            </w:tcBorders>
            <w:noWrap w:val="0"/>
            <w:vAlign w:val="center"/>
          </w:tcPr>
          <w:p w14:paraId="6C896EEB">
            <w:pPr>
              <w:spacing w:beforeLines="0" w:afterLines="0"/>
              <w:ind w:left="0" w:leftChars="0" w:firstLine="0" w:firstLineChars="0"/>
              <w:jc w:val="both"/>
              <w:rPr>
                <w:rFonts w:hint="eastAsia" w:ascii="宋体" w:hAnsi="宋体" w:eastAsia="宋体" w:cs="宋体"/>
                <w:color w:val="000000"/>
                <w:sz w:val="22"/>
                <w:szCs w:val="22"/>
              </w:rPr>
            </w:pPr>
            <w:r>
              <w:rPr>
                <w:rFonts w:hint="eastAsia" w:ascii="宋体" w:hAnsi="宋体" w:eastAsia="宋体" w:cs="宋体"/>
                <w:color w:val="000000"/>
                <w:sz w:val="22"/>
                <w:szCs w:val="22"/>
              </w:rPr>
              <w:t>定义源数据转向量清洗规则，覆盖文本、表格、附件等，支持多规则融合，保障向量数据质量。</w:t>
            </w:r>
          </w:p>
        </w:tc>
      </w:tr>
      <w:tr w14:paraId="27850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424" w:type="pct"/>
            <w:tcBorders>
              <w:tl2br w:val="nil"/>
              <w:tr2bl w:val="nil"/>
            </w:tcBorders>
            <w:noWrap w:val="0"/>
            <w:vAlign w:val="center"/>
          </w:tcPr>
          <w:p w14:paraId="4BB86137">
            <w:pPr>
              <w:spacing w:beforeLines="0" w:afterLines="0"/>
              <w:ind w:left="0" w:leftChars="0" w:firstLine="0" w:firstLineChar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19</w:t>
            </w:r>
          </w:p>
        </w:tc>
        <w:tc>
          <w:tcPr>
            <w:tcW w:w="1624" w:type="pct"/>
            <w:tcBorders>
              <w:tl2br w:val="nil"/>
              <w:tr2bl w:val="nil"/>
            </w:tcBorders>
            <w:noWrap w:val="0"/>
            <w:vAlign w:val="center"/>
          </w:tcPr>
          <w:p w14:paraId="756C10A4">
            <w:pPr>
              <w:spacing w:beforeLines="0" w:afterLines="0"/>
              <w:ind w:left="0" w:leftChars="0" w:firstLine="0" w:firstLineChars="0"/>
              <w:jc w:val="both"/>
              <w:rPr>
                <w:rFonts w:hint="eastAsia" w:ascii="宋体" w:hAnsi="宋体" w:eastAsia="宋体" w:cs="宋体"/>
                <w:color w:val="000000"/>
                <w:sz w:val="22"/>
                <w:szCs w:val="22"/>
              </w:rPr>
            </w:pPr>
            <w:r>
              <w:rPr>
                <w:rFonts w:hint="eastAsia" w:ascii="宋体" w:hAnsi="宋体" w:eastAsia="宋体" w:cs="宋体"/>
                <w:color w:val="000000"/>
                <w:sz w:val="22"/>
                <w:szCs w:val="22"/>
              </w:rPr>
              <w:t>智数中心建设-多站点数据规则应用</w:t>
            </w:r>
          </w:p>
        </w:tc>
        <w:tc>
          <w:tcPr>
            <w:tcW w:w="2950" w:type="pct"/>
            <w:tcBorders>
              <w:tl2br w:val="nil"/>
              <w:tr2bl w:val="nil"/>
            </w:tcBorders>
            <w:noWrap w:val="0"/>
            <w:vAlign w:val="center"/>
          </w:tcPr>
          <w:p w14:paraId="4BAAFA59">
            <w:pPr>
              <w:spacing w:beforeLines="0" w:afterLines="0"/>
              <w:ind w:left="0" w:leftChars="0" w:firstLine="0" w:firstLineChars="0"/>
              <w:jc w:val="both"/>
              <w:rPr>
                <w:rFonts w:hint="eastAsia" w:ascii="宋体" w:hAnsi="宋体" w:eastAsia="宋体" w:cs="宋体"/>
                <w:color w:val="000000"/>
                <w:sz w:val="22"/>
                <w:szCs w:val="22"/>
              </w:rPr>
            </w:pPr>
            <w:r>
              <w:rPr>
                <w:rFonts w:hint="eastAsia" w:ascii="宋体" w:hAnsi="宋体" w:eastAsia="宋体" w:cs="宋体"/>
                <w:color w:val="000000"/>
                <w:sz w:val="22"/>
                <w:szCs w:val="22"/>
              </w:rPr>
              <w:t>按站点配置数据来源与执行规则，过滤脏数据与测试数据，提升智数中心多站点数据处理能力。</w:t>
            </w:r>
          </w:p>
        </w:tc>
      </w:tr>
      <w:tr w14:paraId="7896E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424" w:type="pct"/>
            <w:tcBorders>
              <w:tl2br w:val="nil"/>
              <w:tr2bl w:val="nil"/>
            </w:tcBorders>
            <w:noWrap w:val="0"/>
            <w:vAlign w:val="center"/>
          </w:tcPr>
          <w:p w14:paraId="3A3BC347">
            <w:pPr>
              <w:spacing w:beforeLines="0" w:afterLines="0"/>
              <w:ind w:left="0" w:leftChars="0" w:firstLine="0" w:firstLineChar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20</w:t>
            </w:r>
          </w:p>
        </w:tc>
        <w:tc>
          <w:tcPr>
            <w:tcW w:w="1624" w:type="pct"/>
            <w:tcBorders>
              <w:tl2br w:val="nil"/>
              <w:tr2bl w:val="nil"/>
            </w:tcBorders>
            <w:noWrap w:val="0"/>
            <w:vAlign w:val="center"/>
          </w:tcPr>
          <w:p w14:paraId="53607873">
            <w:pPr>
              <w:spacing w:beforeLines="0" w:afterLines="0"/>
              <w:ind w:left="0" w:leftChars="0" w:firstLine="0" w:firstLineChars="0"/>
              <w:jc w:val="both"/>
              <w:rPr>
                <w:rFonts w:hint="eastAsia" w:ascii="宋体" w:hAnsi="宋体" w:eastAsia="宋体" w:cs="宋体"/>
                <w:color w:val="000000"/>
                <w:sz w:val="22"/>
                <w:szCs w:val="22"/>
              </w:rPr>
            </w:pPr>
            <w:r>
              <w:rPr>
                <w:rFonts w:hint="eastAsia" w:ascii="宋体" w:hAnsi="宋体" w:eastAsia="宋体" w:cs="宋体"/>
                <w:color w:val="000000"/>
                <w:sz w:val="22"/>
                <w:szCs w:val="22"/>
              </w:rPr>
              <w:t>网站内容质量中心-检测规则配置/不当内容检测</w:t>
            </w:r>
          </w:p>
        </w:tc>
        <w:tc>
          <w:tcPr>
            <w:tcW w:w="2950" w:type="pct"/>
            <w:tcBorders>
              <w:tl2br w:val="nil"/>
              <w:tr2bl w:val="nil"/>
            </w:tcBorders>
            <w:noWrap w:val="0"/>
            <w:vAlign w:val="center"/>
          </w:tcPr>
          <w:p w14:paraId="709A31C4">
            <w:pPr>
              <w:spacing w:beforeLines="0" w:afterLines="0"/>
              <w:ind w:left="0" w:leftChars="0" w:firstLine="0" w:firstLineChars="0"/>
              <w:jc w:val="both"/>
              <w:rPr>
                <w:rFonts w:hint="eastAsia" w:ascii="宋体" w:hAnsi="宋体" w:eastAsia="宋体" w:cs="宋体"/>
                <w:color w:val="000000"/>
                <w:sz w:val="22"/>
                <w:szCs w:val="22"/>
              </w:rPr>
            </w:pPr>
            <w:r>
              <w:rPr>
                <w:rFonts w:hint="eastAsia" w:ascii="宋体" w:hAnsi="宋体" w:eastAsia="宋体" w:cs="宋体"/>
                <w:color w:val="000000"/>
                <w:sz w:val="22"/>
                <w:szCs w:val="22"/>
              </w:rPr>
              <w:t>支持自定义不当内容检测规则与语义阈值，提供模板库，定时扫描并标记问题位置与上下文。</w:t>
            </w:r>
          </w:p>
        </w:tc>
      </w:tr>
      <w:tr w14:paraId="37890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424" w:type="pct"/>
            <w:tcBorders>
              <w:tl2br w:val="nil"/>
              <w:tr2bl w:val="nil"/>
            </w:tcBorders>
            <w:noWrap w:val="0"/>
            <w:vAlign w:val="center"/>
          </w:tcPr>
          <w:p w14:paraId="2F6EABAB">
            <w:pPr>
              <w:spacing w:beforeLines="0" w:afterLines="0"/>
              <w:ind w:left="0" w:leftChars="0" w:firstLine="0" w:firstLineChar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21</w:t>
            </w:r>
          </w:p>
        </w:tc>
        <w:tc>
          <w:tcPr>
            <w:tcW w:w="1624" w:type="pct"/>
            <w:tcBorders>
              <w:tl2br w:val="nil"/>
              <w:tr2bl w:val="nil"/>
            </w:tcBorders>
            <w:noWrap w:val="0"/>
            <w:vAlign w:val="center"/>
          </w:tcPr>
          <w:p w14:paraId="77211D4D">
            <w:pPr>
              <w:spacing w:beforeLines="0" w:afterLines="0"/>
              <w:ind w:left="0" w:leftChars="0" w:firstLine="0" w:firstLineChars="0"/>
              <w:jc w:val="both"/>
              <w:rPr>
                <w:rFonts w:hint="eastAsia" w:ascii="宋体" w:hAnsi="宋体" w:eastAsia="宋体" w:cs="宋体"/>
                <w:color w:val="000000"/>
                <w:sz w:val="22"/>
                <w:szCs w:val="22"/>
              </w:rPr>
            </w:pPr>
            <w:r>
              <w:rPr>
                <w:rFonts w:hint="eastAsia" w:ascii="宋体" w:hAnsi="宋体" w:eastAsia="宋体" w:cs="宋体"/>
                <w:color w:val="000000"/>
                <w:sz w:val="22"/>
                <w:szCs w:val="22"/>
              </w:rPr>
              <w:t>网站内容质量中心-不当内容预警/检测数据统计</w:t>
            </w:r>
          </w:p>
        </w:tc>
        <w:tc>
          <w:tcPr>
            <w:tcW w:w="2950" w:type="pct"/>
            <w:tcBorders>
              <w:tl2br w:val="nil"/>
              <w:tr2bl w:val="nil"/>
            </w:tcBorders>
            <w:noWrap w:val="0"/>
            <w:vAlign w:val="center"/>
          </w:tcPr>
          <w:p w14:paraId="2693D0EE">
            <w:pPr>
              <w:spacing w:beforeLines="0" w:afterLines="0"/>
              <w:ind w:left="0" w:leftChars="0" w:firstLine="0" w:firstLineChars="0"/>
              <w:jc w:val="both"/>
              <w:rPr>
                <w:rFonts w:hint="eastAsia" w:ascii="宋体" w:hAnsi="宋体" w:eastAsia="宋体" w:cs="宋体"/>
                <w:color w:val="000000"/>
                <w:sz w:val="22"/>
                <w:szCs w:val="22"/>
              </w:rPr>
            </w:pPr>
            <w:r>
              <w:rPr>
                <w:rFonts w:hint="eastAsia" w:ascii="宋体" w:hAnsi="宋体" w:eastAsia="宋体" w:cs="宋体"/>
                <w:color w:val="000000"/>
                <w:sz w:val="22"/>
                <w:szCs w:val="22"/>
              </w:rPr>
              <w:t>检测到不当内容自动生成预警并多渠道推送，统计分析数据生成报表，优化检测与审核规则。</w:t>
            </w:r>
          </w:p>
        </w:tc>
      </w:tr>
      <w:tr w14:paraId="27844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424" w:type="pct"/>
            <w:tcBorders>
              <w:tl2br w:val="nil"/>
              <w:tr2bl w:val="nil"/>
            </w:tcBorders>
            <w:noWrap w:val="0"/>
            <w:vAlign w:val="center"/>
          </w:tcPr>
          <w:p w14:paraId="69119C88">
            <w:pPr>
              <w:spacing w:beforeLines="0" w:afterLines="0"/>
              <w:ind w:left="0" w:leftChars="0" w:firstLine="0" w:firstLineChar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22</w:t>
            </w:r>
          </w:p>
        </w:tc>
        <w:tc>
          <w:tcPr>
            <w:tcW w:w="1624" w:type="pct"/>
            <w:tcBorders>
              <w:tl2br w:val="nil"/>
              <w:tr2bl w:val="nil"/>
            </w:tcBorders>
            <w:noWrap w:val="0"/>
            <w:vAlign w:val="center"/>
          </w:tcPr>
          <w:p w14:paraId="461618AB">
            <w:pPr>
              <w:spacing w:beforeLines="0" w:afterLines="0"/>
              <w:ind w:left="0" w:leftChars="0" w:firstLine="0" w:firstLineChars="0"/>
              <w:jc w:val="both"/>
              <w:rPr>
                <w:rFonts w:hint="eastAsia" w:ascii="宋体" w:hAnsi="宋体" w:eastAsia="宋体" w:cs="宋体"/>
                <w:color w:val="000000"/>
                <w:sz w:val="22"/>
                <w:szCs w:val="22"/>
              </w:rPr>
            </w:pPr>
            <w:r>
              <w:rPr>
                <w:rFonts w:hint="eastAsia" w:ascii="宋体" w:hAnsi="宋体" w:eastAsia="宋体" w:cs="宋体"/>
                <w:color w:val="000000"/>
                <w:sz w:val="22"/>
                <w:szCs w:val="22"/>
              </w:rPr>
              <w:t>网站内容质量中心-检测任务管理/错链检测</w:t>
            </w:r>
          </w:p>
        </w:tc>
        <w:tc>
          <w:tcPr>
            <w:tcW w:w="2950" w:type="pct"/>
            <w:tcBorders>
              <w:tl2br w:val="nil"/>
              <w:tr2bl w:val="nil"/>
            </w:tcBorders>
            <w:noWrap w:val="0"/>
            <w:vAlign w:val="center"/>
          </w:tcPr>
          <w:p w14:paraId="7362C812">
            <w:pPr>
              <w:spacing w:beforeLines="0" w:afterLines="0"/>
              <w:ind w:left="0" w:leftChars="0" w:firstLine="0" w:firstLineChars="0"/>
              <w:jc w:val="both"/>
              <w:rPr>
                <w:rFonts w:hint="eastAsia" w:ascii="宋体" w:hAnsi="宋体" w:eastAsia="宋体" w:cs="宋体"/>
                <w:color w:val="000000"/>
                <w:sz w:val="22"/>
                <w:szCs w:val="22"/>
              </w:rPr>
            </w:pPr>
            <w:r>
              <w:rPr>
                <w:rFonts w:hint="eastAsia" w:ascii="宋体" w:hAnsi="宋体" w:eastAsia="宋体" w:cs="宋体"/>
                <w:color w:val="000000"/>
                <w:sz w:val="22"/>
                <w:szCs w:val="22"/>
              </w:rPr>
              <w:t>支持创建错链检测任务，自定义周期与范围，多线程扫描链接，标记错链类型并统计数据。</w:t>
            </w:r>
          </w:p>
        </w:tc>
      </w:tr>
      <w:tr w14:paraId="147D0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424" w:type="pct"/>
            <w:tcBorders>
              <w:tl2br w:val="nil"/>
              <w:tr2bl w:val="nil"/>
            </w:tcBorders>
            <w:noWrap w:val="0"/>
            <w:vAlign w:val="center"/>
          </w:tcPr>
          <w:p w14:paraId="4F4751B4">
            <w:pPr>
              <w:spacing w:beforeLines="0" w:afterLines="0"/>
              <w:ind w:left="0" w:leftChars="0" w:firstLine="0" w:firstLineChar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23</w:t>
            </w:r>
          </w:p>
        </w:tc>
        <w:tc>
          <w:tcPr>
            <w:tcW w:w="1624" w:type="pct"/>
            <w:tcBorders>
              <w:tl2br w:val="nil"/>
              <w:tr2bl w:val="nil"/>
            </w:tcBorders>
            <w:noWrap w:val="0"/>
            <w:vAlign w:val="center"/>
          </w:tcPr>
          <w:p w14:paraId="338871D1">
            <w:pPr>
              <w:spacing w:beforeLines="0" w:afterLines="0"/>
              <w:ind w:left="0" w:leftChars="0" w:firstLine="0" w:firstLineChars="0"/>
              <w:jc w:val="both"/>
              <w:rPr>
                <w:rFonts w:hint="eastAsia" w:ascii="宋体" w:hAnsi="宋体" w:eastAsia="宋体" w:cs="宋体"/>
                <w:color w:val="000000"/>
                <w:sz w:val="22"/>
                <w:szCs w:val="22"/>
              </w:rPr>
            </w:pPr>
            <w:r>
              <w:rPr>
                <w:rFonts w:hint="eastAsia" w:ascii="宋体" w:hAnsi="宋体" w:eastAsia="宋体" w:cs="宋体"/>
                <w:color w:val="000000"/>
                <w:sz w:val="22"/>
                <w:szCs w:val="22"/>
              </w:rPr>
              <w:t>网站内容质量中心-链接修复建议/错链预警</w:t>
            </w:r>
          </w:p>
        </w:tc>
        <w:tc>
          <w:tcPr>
            <w:tcW w:w="2950" w:type="pct"/>
            <w:tcBorders>
              <w:tl2br w:val="nil"/>
              <w:tr2bl w:val="nil"/>
            </w:tcBorders>
            <w:noWrap w:val="0"/>
            <w:vAlign w:val="center"/>
          </w:tcPr>
          <w:p w14:paraId="2C26FB85">
            <w:pPr>
              <w:spacing w:beforeLines="0" w:afterLines="0"/>
              <w:ind w:left="0" w:leftChars="0" w:firstLine="0" w:firstLineChars="0"/>
              <w:jc w:val="both"/>
              <w:rPr>
                <w:rFonts w:hint="eastAsia" w:ascii="宋体" w:hAnsi="宋体" w:eastAsia="宋体" w:cs="宋体"/>
                <w:color w:val="000000"/>
                <w:sz w:val="22"/>
                <w:szCs w:val="22"/>
              </w:rPr>
            </w:pPr>
            <w:r>
              <w:rPr>
                <w:rFonts w:hint="eastAsia" w:ascii="宋体" w:hAnsi="宋体" w:eastAsia="宋体" w:cs="宋体"/>
                <w:color w:val="000000"/>
                <w:sz w:val="22"/>
                <w:szCs w:val="22"/>
              </w:rPr>
              <w:t>为错链提供修复建议，检测到问题立即触发预警，多渠道推送详情，辅助工作人员快速处理。</w:t>
            </w:r>
          </w:p>
        </w:tc>
      </w:tr>
      <w:tr w14:paraId="195BD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424" w:type="pct"/>
            <w:tcBorders>
              <w:tl2br w:val="nil"/>
              <w:tr2bl w:val="nil"/>
            </w:tcBorders>
            <w:noWrap w:val="0"/>
            <w:vAlign w:val="center"/>
          </w:tcPr>
          <w:p w14:paraId="2675AF07">
            <w:pPr>
              <w:spacing w:beforeLines="0" w:afterLines="0"/>
              <w:ind w:left="0" w:leftChars="0" w:firstLine="0" w:firstLineChar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24</w:t>
            </w:r>
          </w:p>
        </w:tc>
        <w:tc>
          <w:tcPr>
            <w:tcW w:w="1624" w:type="pct"/>
            <w:tcBorders>
              <w:tl2br w:val="nil"/>
              <w:tr2bl w:val="nil"/>
            </w:tcBorders>
            <w:noWrap w:val="0"/>
            <w:vAlign w:val="center"/>
          </w:tcPr>
          <w:p w14:paraId="6595C590">
            <w:pPr>
              <w:spacing w:beforeLines="0" w:afterLines="0"/>
              <w:ind w:left="0" w:leftChars="0" w:firstLine="0" w:firstLineChars="0"/>
              <w:jc w:val="both"/>
              <w:rPr>
                <w:rFonts w:hint="eastAsia" w:ascii="宋体" w:hAnsi="宋体" w:eastAsia="宋体" w:cs="宋体"/>
                <w:color w:val="000000"/>
                <w:sz w:val="22"/>
                <w:szCs w:val="22"/>
              </w:rPr>
            </w:pPr>
            <w:r>
              <w:rPr>
                <w:rFonts w:hint="eastAsia" w:ascii="宋体" w:hAnsi="宋体" w:eastAsia="宋体" w:cs="宋体"/>
                <w:color w:val="000000"/>
                <w:sz w:val="22"/>
                <w:szCs w:val="22"/>
              </w:rPr>
              <w:t>网站内容质量中心-修复效果验证/错链数据看板</w:t>
            </w:r>
          </w:p>
        </w:tc>
        <w:tc>
          <w:tcPr>
            <w:tcW w:w="2950" w:type="pct"/>
            <w:tcBorders>
              <w:tl2br w:val="nil"/>
              <w:tr2bl w:val="nil"/>
            </w:tcBorders>
            <w:noWrap w:val="0"/>
            <w:vAlign w:val="center"/>
          </w:tcPr>
          <w:p w14:paraId="4F2593A0">
            <w:pPr>
              <w:spacing w:beforeLines="0" w:afterLines="0"/>
              <w:ind w:left="0" w:leftChars="0" w:firstLine="0" w:firstLineChars="0"/>
              <w:jc w:val="both"/>
              <w:rPr>
                <w:rFonts w:hint="eastAsia" w:ascii="宋体" w:hAnsi="宋体" w:eastAsia="宋体" w:cs="宋体"/>
                <w:color w:val="000000"/>
                <w:sz w:val="22"/>
                <w:szCs w:val="22"/>
              </w:rPr>
            </w:pPr>
            <w:r>
              <w:rPr>
                <w:rFonts w:hint="eastAsia" w:ascii="宋体" w:hAnsi="宋体" w:eastAsia="宋体" w:cs="宋体"/>
                <w:color w:val="000000"/>
                <w:sz w:val="22"/>
                <w:szCs w:val="22"/>
              </w:rPr>
              <w:t>支持错链修复后验证，提供数据看板展示整体情况，分析趋势评估网站链接质量水平。</w:t>
            </w:r>
          </w:p>
        </w:tc>
      </w:tr>
      <w:tr w14:paraId="7C50FC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424" w:type="pct"/>
            <w:tcBorders>
              <w:tl2br w:val="nil"/>
              <w:tr2bl w:val="nil"/>
            </w:tcBorders>
            <w:noWrap w:val="0"/>
            <w:vAlign w:val="center"/>
          </w:tcPr>
          <w:p w14:paraId="6E7E9E85">
            <w:pPr>
              <w:spacing w:beforeLines="0" w:afterLines="0"/>
              <w:ind w:left="0" w:leftChars="0" w:firstLine="0" w:firstLineChar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25</w:t>
            </w:r>
          </w:p>
        </w:tc>
        <w:tc>
          <w:tcPr>
            <w:tcW w:w="1624" w:type="pct"/>
            <w:tcBorders>
              <w:tl2br w:val="nil"/>
              <w:tr2bl w:val="nil"/>
            </w:tcBorders>
            <w:noWrap w:val="0"/>
            <w:vAlign w:val="center"/>
          </w:tcPr>
          <w:p w14:paraId="131BB2EB">
            <w:pPr>
              <w:spacing w:beforeLines="0" w:afterLines="0"/>
              <w:ind w:left="0" w:leftChars="0" w:firstLine="0" w:firstLineChars="0"/>
              <w:jc w:val="both"/>
              <w:rPr>
                <w:rFonts w:hint="eastAsia" w:ascii="宋体" w:hAnsi="宋体" w:eastAsia="宋体" w:cs="宋体"/>
                <w:color w:val="000000"/>
                <w:sz w:val="22"/>
                <w:szCs w:val="22"/>
              </w:rPr>
            </w:pPr>
            <w:r>
              <w:rPr>
                <w:rFonts w:hint="eastAsia" w:ascii="宋体" w:hAnsi="宋体" w:eastAsia="宋体" w:cs="宋体"/>
                <w:color w:val="000000"/>
                <w:sz w:val="22"/>
                <w:szCs w:val="22"/>
              </w:rPr>
              <w:t>网站内容质量中心-外链白名单管理/不安全外链检测</w:t>
            </w:r>
          </w:p>
        </w:tc>
        <w:tc>
          <w:tcPr>
            <w:tcW w:w="2950" w:type="pct"/>
            <w:tcBorders>
              <w:tl2br w:val="nil"/>
              <w:tr2bl w:val="nil"/>
            </w:tcBorders>
            <w:noWrap w:val="0"/>
            <w:vAlign w:val="center"/>
          </w:tcPr>
          <w:p w14:paraId="53938432">
            <w:pPr>
              <w:spacing w:beforeLines="0" w:afterLines="0"/>
              <w:ind w:left="0" w:leftChars="0" w:firstLine="0" w:firstLineChars="0"/>
              <w:jc w:val="both"/>
              <w:rPr>
                <w:rFonts w:hint="eastAsia" w:ascii="宋体" w:hAnsi="宋体" w:eastAsia="宋体" w:cs="宋体"/>
                <w:color w:val="000000"/>
                <w:sz w:val="22"/>
                <w:szCs w:val="22"/>
              </w:rPr>
            </w:pPr>
            <w:r>
              <w:rPr>
                <w:rFonts w:hint="eastAsia" w:ascii="宋体" w:hAnsi="宋体" w:eastAsia="宋体" w:cs="宋体"/>
                <w:color w:val="000000"/>
                <w:sz w:val="22"/>
                <w:szCs w:val="22"/>
              </w:rPr>
              <w:t>支持外链白名单管理，批量导入导出编辑，自动检测不安全外链，识别安全隐患。</w:t>
            </w:r>
          </w:p>
        </w:tc>
      </w:tr>
      <w:tr w14:paraId="56872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424" w:type="pct"/>
            <w:tcBorders>
              <w:tl2br w:val="nil"/>
              <w:tr2bl w:val="nil"/>
            </w:tcBorders>
            <w:noWrap w:val="0"/>
            <w:vAlign w:val="center"/>
          </w:tcPr>
          <w:p w14:paraId="187A8A0E">
            <w:pPr>
              <w:spacing w:beforeLines="0" w:afterLines="0"/>
              <w:ind w:left="0" w:leftChars="0" w:firstLine="0" w:firstLineChar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26</w:t>
            </w:r>
          </w:p>
        </w:tc>
        <w:tc>
          <w:tcPr>
            <w:tcW w:w="1624" w:type="pct"/>
            <w:tcBorders>
              <w:tl2br w:val="nil"/>
              <w:tr2bl w:val="nil"/>
            </w:tcBorders>
            <w:noWrap w:val="0"/>
            <w:vAlign w:val="center"/>
          </w:tcPr>
          <w:p w14:paraId="537E6DF5">
            <w:pPr>
              <w:spacing w:beforeLines="0" w:afterLines="0"/>
              <w:ind w:left="0" w:leftChars="0" w:firstLine="0" w:firstLineChars="0"/>
              <w:jc w:val="both"/>
              <w:rPr>
                <w:rFonts w:hint="eastAsia" w:ascii="宋体" w:hAnsi="宋体" w:eastAsia="宋体" w:cs="宋体"/>
                <w:color w:val="000000"/>
                <w:sz w:val="22"/>
                <w:szCs w:val="22"/>
              </w:rPr>
            </w:pPr>
            <w:r>
              <w:rPr>
                <w:rFonts w:hint="eastAsia" w:ascii="宋体" w:hAnsi="宋体" w:eastAsia="宋体" w:cs="宋体"/>
                <w:color w:val="000000"/>
                <w:sz w:val="22"/>
                <w:szCs w:val="22"/>
              </w:rPr>
              <w:t>网站内容质量中心-外链风险评级/不安全外链预警</w:t>
            </w:r>
          </w:p>
        </w:tc>
        <w:tc>
          <w:tcPr>
            <w:tcW w:w="2950" w:type="pct"/>
            <w:tcBorders>
              <w:tl2br w:val="nil"/>
              <w:tr2bl w:val="nil"/>
            </w:tcBorders>
            <w:noWrap w:val="0"/>
            <w:vAlign w:val="center"/>
          </w:tcPr>
          <w:p w14:paraId="6C6D72C9">
            <w:pPr>
              <w:spacing w:beforeLines="0" w:afterLines="0"/>
              <w:ind w:left="0" w:leftChars="0" w:firstLine="0" w:firstLineChars="0"/>
              <w:jc w:val="both"/>
              <w:rPr>
                <w:rFonts w:hint="eastAsia" w:ascii="宋体" w:hAnsi="宋体" w:eastAsia="宋体" w:cs="宋体"/>
                <w:color w:val="000000"/>
                <w:sz w:val="22"/>
                <w:szCs w:val="22"/>
              </w:rPr>
            </w:pPr>
            <w:r>
              <w:rPr>
                <w:rFonts w:hint="eastAsia" w:ascii="宋体" w:hAnsi="宋体" w:eastAsia="宋体" w:cs="宋体"/>
                <w:color w:val="000000"/>
                <w:sz w:val="22"/>
                <w:szCs w:val="22"/>
              </w:rPr>
              <w:t>对外链风险分级，高风险紧急预警，中低风险按规则预警，多渠道推送预警详情便于处置。</w:t>
            </w:r>
          </w:p>
        </w:tc>
      </w:tr>
      <w:tr w14:paraId="567BB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3" w:hRule="atLeast"/>
        </w:trPr>
        <w:tc>
          <w:tcPr>
            <w:tcW w:w="424" w:type="pct"/>
            <w:tcBorders>
              <w:tl2br w:val="nil"/>
              <w:tr2bl w:val="nil"/>
            </w:tcBorders>
            <w:noWrap w:val="0"/>
            <w:vAlign w:val="center"/>
          </w:tcPr>
          <w:p w14:paraId="6B18AF0F">
            <w:pPr>
              <w:spacing w:beforeLines="0" w:afterLines="0"/>
              <w:ind w:left="0" w:leftChars="0" w:firstLine="0" w:firstLineChar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27</w:t>
            </w:r>
          </w:p>
        </w:tc>
        <w:tc>
          <w:tcPr>
            <w:tcW w:w="1624" w:type="pct"/>
            <w:tcBorders>
              <w:tl2br w:val="nil"/>
              <w:tr2bl w:val="nil"/>
            </w:tcBorders>
            <w:noWrap w:val="0"/>
            <w:vAlign w:val="center"/>
          </w:tcPr>
          <w:p w14:paraId="580D23D8">
            <w:pPr>
              <w:spacing w:beforeLines="0" w:afterLines="0"/>
              <w:ind w:left="0" w:leftChars="0" w:firstLine="0" w:firstLineChars="0"/>
              <w:jc w:val="both"/>
              <w:rPr>
                <w:rFonts w:hint="eastAsia" w:ascii="宋体" w:hAnsi="宋体" w:eastAsia="宋体" w:cs="宋体"/>
                <w:color w:val="000000"/>
                <w:sz w:val="22"/>
                <w:szCs w:val="22"/>
              </w:rPr>
            </w:pPr>
            <w:r>
              <w:rPr>
                <w:rFonts w:hint="eastAsia" w:ascii="宋体" w:hAnsi="宋体" w:eastAsia="宋体" w:cs="宋体"/>
                <w:color w:val="000000"/>
                <w:sz w:val="22"/>
                <w:szCs w:val="22"/>
              </w:rPr>
              <w:t>网站内容质量中心-外链隔离与处置/外链检测报告</w:t>
            </w:r>
          </w:p>
        </w:tc>
        <w:tc>
          <w:tcPr>
            <w:tcW w:w="2950" w:type="pct"/>
            <w:tcBorders>
              <w:tl2br w:val="nil"/>
              <w:tr2bl w:val="nil"/>
            </w:tcBorders>
            <w:noWrap w:val="0"/>
            <w:vAlign w:val="center"/>
          </w:tcPr>
          <w:p w14:paraId="00FEA2C1">
            <w:pPr>
              <w:spacing w:beforeLines="0" w:afterLines="0"/>
              <w:ind w:left="0" w:leftChars="0" w:firstLine="0" w:firstLineChars="0"/>
              <w:jc w:val="both"/>
              <w:rPr>
                <w:rFonts w:hint="eastAsia" w:ascii="宋体" w:hAnsi="宋体" w:eastAsia="宋体" w:cs="宋体"/>
                <w:color w:val="000000"/>
                <w:sz w:val="22"/>
                <w:szCs w:val="22"/>
              </w:rPr>
            </w:pPr>
            <w:r>
              <w:rPr>
                <w:rFonts w:hint="eastAsia" w:ascii="宋体" w:hAnsi="宋体" w:eastAsia="宋体" w:cs="宋体"/>
                <w:color w:val="000000"/>
                <w:sz w:val="22"/>
                <w:szCs w:val="22"/>
              </w:rPr>
              <w:t>支持高风险外链一键隔离，记录操作日志，定期生成检测报告并导出，便于汇报存档。</w:t>
            </w:r>
          </w:p>
        </w:tc>
      </w:tr>
      <w:tr w14:paraId="5E8B3F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424" w:type="pct"/>
            <w:tcBorders>
              <w:tl2br w:val="nil"/>
              <w:tr2bl w:val="nil"/>
            </w:tcBorders>
            <w:noWrap w:val="0"/>
            <w:vAlign w:val="center"/>
          </w:tcPr>
          <w:p w14:paraId="1CC6DDC7">
            <w:pPr>
              <w:spacing w:beforeLines="0" w:afterLines="0"/>
              <w:ind w:left="0" w:leftChars="0" w:firstLine="0" w:firstLineChar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28</w:t>
            </w:r>
          </w:p>
        </w:tc>
        <w:tc>
          <w:tcPr>
            <w:tcW w:w="1624" w:type="pct"/>
            <w:tcBorders>
              <w:tl2br w:val="nil"/>
              <w:tr2bl w:val="nil"/>
            </w:tcBorders>
            <w:noWrap w:val="0"/>
            <w:vAlign w:val="center"/>
          </w:tcPr>
          <w:p w14:paraId="3894237A">
            <w:pPr>
              <w:spacing w:beforeLines="0" w:afterLines="0"/>
              <w:ind w:left="0" w:leftChars="0" w:firstLine="0" w:firstLineChars="0"/>
              <w:jc w:val="both"/>
              <w:rPr>
                <w:rFonts w:hint="eastAsia" w:ascii="宋体" w:hAnsi="宋体" w:eastAsia="宋体" w:cs="宋体"/>
                <w:color w:val="000000"/>
                <w:sz w:val="22"/>
                <w:szCs w:val="22"/>
              </w:rPr>
            </w:pPr>
            <w:r>
              <w:rPr>
                <w:rFonts w:hint="eastAsia" w:ascii="宋体" w:hAnsi="宋体" w:eastAsia="宋体" w:cs="宋体"/>
                <w:color w:val="000000"/>
                <w:sz w:val="22"/>
                <w:szCs w:val="22"/>
              </w:rPr>
              <w:t>网站内容质量中心-更新规则设置/栏目更新检测</w:t>
            </w:r>
          </w:p>
        </w:tc>
        <w:tc>
          <w:tcPr>
            <w:tcW w:w="2950" w:type="pct"/>
            <w:tcBorders>
              <w:tl2br w:val="nil"/>
              <w:tr2bl w:val="nil"/>
            </w:tcBorders>
            <w:noWrap w:val="0"/>
            <w:vAlign w:val="center"/>
          </w:tcPr>
          <w:p w14:paraId="71D9BDD7">
            <w:pPr>
              <w:spacing w:beforeLines="0" w:afterLines="0"/>
              <w:ind w:left="0" w:leftChars="0" w:firstLine="0" w:firstLineChars="0"/>
              <w:jc w:val="both"/>
              <w:rPr>
                <w:rFonts w:hint="eastAsia" w:ascii="宋体" w:hAnsi="宋体" w:eastAsia="宋体" w:cs="宋体"/>
                <w:color w:val="000000"/>
                <w:sz w:val="22"/>
                <w:szCs w:val="22"/>
              </w:rPr>
            </w:pPr>
            <w:r>
              <w:rPr>
                <w:rFonts w:hint="eastAsia" w:ascii="宋体" w:hAnsi="宋体" w:eastAsia="宋体" w:cs="宋体"/>
                <w:color w:val="000000"/>
                <w:sz w:val="22"/>
                <w:szCs w:val="22"/>
              </w:rPr>
              <w:t>支持栏目更新规则配置，提供默认模板，定时检测更新状态与空白栏目，保障内容及时更新。</w:t>
            </w:r>
          </w:p>
        </w:tc>
      </w:tr>
      <w:tr w14:paraId="19D9E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424" w:type="pct"/>
            <w:tcBorders>
              <w:tl2br w:val="nil"/>
              <w:tr2bl w:val="nil"/>
            </w:tcBorders>
            <w:noWrap w:val="0"/>
            <w:vAlign w:val="center"/>
          </w:tcPr>
          <w:p w14:paraId="1C1DEA5D">
            <w:pPr>
              <w:spacing w:beforeLines="0" w:afterLines="0"/>
              <w:ind w:left="0" w:leftChars="0" w:firstLine="0" w:firstLineChar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29</w:t>
            </w:r>
          </w:p>
        </w:tc>
        <w:tc>
          <w:tcPr>
            <w:tcW w:w="1624" w:type="pct"/>
            <w:tcBorders>
              <w:tl2br w:val="nil"/>
              <w:tr2bl w:val="nil"/>
            </w:tcBorders>
            <w:noWrap w:val="0"/>
            <w:vAlign w:val="center"/>
          </w:tcPr>
          <w:p w14:paraId="491EE0C8">
            <w:pPr>
              <w:spacing w:beforeLines="0" w:afterLines="0"/>
              <w:ind w:left="0" w:leftChars="0" w:firstLine="0" w:firstLineChars="0"/>
              <w:jc w:val="both"/>
              <w:rPr>
                <w:rFonts w:hint="eastAsia" w:ascii="宋体" w:hAnsi="宋体" w:eastAsia="宋体" w:cs="宋体"/>
                <w:color w:val="000000"/>
                <w:sz w:val="22"/>
                <w:szCs w:val="22"/>
              </w:rPr>
            </w:pPr>
            <w:r>
              <w:rPr>
                <w:rFonts w:hint="eastAsia" w:ascii="宋体" w:hAnsi="宋体" w:eastAsia="宋体" w:cs="宋体"/>
                <w:color w:val="000000"/>
                <w:sz w:val="22"/>
                <w:szCs w:val="22"/>
              </w:rPr>
              <w:t>网站内容质量中心-栏目更新预警/栏目更新统计</w:t>
            </w:r>
          </w:p>
        </w:tc>
        <w:tc>
          <w:tcPr>
            <w:tcW w:w="2950" w:type="pct"/>
            <w:tcBorders>
              <w:tl2br w:val="nil"/>
              <w:tr2bl w:val="nil"/>
            </w:tcBorders>
            <w:noWrap w:val="0"/>
            <w:vAlign w:val="center"/>
          </w:tcPr>
          <w:p w14:paraId="286AE19E">
            <w:pPr>
              <w:spacing w:beforeLines="0" w:afterLines="0"/>
              <w:ind w:left="0" w:leftChars="0" w:firstLine="0" w:firstLineChars="0"/>
              <w:jc w:val="both"/>
              <w:rPr>
                <w:rFonts w:hint="eastAsia" w:ascii="宋体" w:hAnsi="宋体" w:eastAsia="宋体" w:cs="宋体"/>
                <w:color w:val="000000"/>
                <w:sz w:val="22"/>
                <w:szCs w:val="22"/>
              </w:rPr>
            </w:pPr>
            <w:r>
              <w:rPr>
                <w:rFonts w:hint="eastAsia" w:ascii="宋体" w:hAnsi="宋体" w:eastAsia="宋体" w:cs="宋体"/>
                <w:color w:val="000000"/>
                <w:sz w:val="22"/>
                <w:szCs w:val="22"/>
              </w:rPr>
              <w:t>栏目更新异常自动预警，多渠道推送信息，统计更新率排行，督促提升栏目更新质量。</w:t>
            </w:r>
          </w:p>
        </w:tc>
      </w:tr>
      <w:tr w14:paraId="34433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424" w:type="pct"/>
            <w:tcBorders>
              <w:tl2br w:val="nil"/>
              <w:tr2bl w:val="nil"/>
            </w:tcBorders>
            <w:noWrap w:val="0"/>
            <w:vAlign w:val="center"/>
          </w:tcPr>
          <w:p w14:paraId="675FE0B8">
            <w:pPr>
              <w:spacing w:beforeLines="0" w:afterLines="0"/>
              <w:ind w:left="0" w:leftChars="0" w:firstLine="0" w:firstLineChar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30</w:t>
            </w:r>
          </w:p>
        </w:tc>
        <w:tc>
          <w:tcPr>
            <w:tcW w:w="1624" w:type="pct"/>
            <w:tcBorders>
              <w:tl2br w:val="nil"/>
              <w:tr2bl w:val="nil"/>
            </w:tcBorders>
            <w:noWrap w:val="0"/>
            <w:vAlign w:val="center"/>
          </w:tcPr>
          <w:p w14:paraId="0FE6DCBF">
            <w:pPr>
              <w:spacing w:beforeLines="0" w:afterLines="0"/>
              <w:ind w:left="0" w:leftChars="0" w:firstLine="0" w:firstLineChars="0"/>
              <w:jc w:val="both"/>
              <w:rPr>
                <w:rFonts w:hint="eastAsia" w:ascii="宋体" w:hAnsi="宋体" w:eastAsia="宋体" w:cs="宋体"/>
                <w:color w:val="000000"/>
                <w:sz w:val="22"/>
                <w:szCs w:val="22"/>
              </w:rPr>
            </w:pPr>
            <w:r>
              <w:rPr>
                <w:rFonts w:hint="eastAsia" w:ascii="宋体" w:hAnsi="宋体" w:eastAsia="宋体" w:cs="宋体"/>
                <w:color w:val="000000"/>
                <w:sz w:val="22"/>
                <w:szCs w:val="22"/>
              </w:rPr>
              <w:t>业务调度中心-业务申请</w:t>
            </w:r>
          </w:p>
        </w:tc>
        <w:tc>
          <w:tcPr>
            <w:tcW w:w="2950" w:type="pct"/>
            <w:tcBorders>
              <w:tl2br w:val="nil"/>
              <w:tr2bl w:val="nil"/>
            </w:tcBorders>
            <w:noWrap w:val="0"/>
            <w:vAlign w:val="center"/>
          </w:tcPr>
          <w:p w14:paraId="19B1EFB9">
            <w:pPr>
              <w:spacing w:beforeLines="0" w:afterLines="0"/>
              <w:ind w:left="0" w:leftChars="0" w:firstLine="0" w:firstLineChars="0"/>
              <w:jc w:val="both"/>
              <w:rPr>
                <w:rFonts w:hint="eastAsia" w:ascii="宋体" w:hAnsi="宋体" w:eastAsia="宋体" w:cs="宋体"/>
                <w:color w:val="000000"/>
                <w:sz w:val="22"/>
                <w:szCs w:val="22"/>
              </w:rPr>
            </w:pPr>
            <w:r>
              <w:rPr>
                <w:rFonts w:hint="eastAsia" w:ascii="宋体" w:hAnsi="宋体" w:eastAsia="宋体" w:cs="宋体"/>
                <w:color w:val="000000"/>
                <w:sz w:val="22"/>
                <w:szCs w:val="22"/>
              </w:rPr>
              <w:t>支持多场景业务申请，提供定制表单，可视化跟踪流程，查询工单历史并统计分析数据。</w:t>
            </w:r>
          </w:p>
        </w:tc>
      </w:tr>
      <w:tr w14:paraId="7590F3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424" w:type="pct"/>
            <w:tcBorders>
              <w:tl2br w:val="nil"/>
              <w:tr2bl w:val="nil"/>
            </w:tcBorders>
            <w:noWrap w:val="0"/>
            <w:vAlign w:val="center"/>
          </w:tcPr>
          <w:p w14:paraId="0F1EC717">
            <w:pPr>
              <w:spacing w:beforeLines="0" w:afterLines="0"/>
              <w:ind w:left="0" w:leftChars="0" w:firstLine="0" w:firstLineChar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31</w:t>
            </w:r>
          </w:p>
        </w:tc>
        <w:tc>
          <w:tcPr>
            <w:tcW w:w="1624" w:type="pct"/>
            <w:tcBorders>
              <w:tl2br w:val="nil"/>
              <w:tr2bl w:val="nil"/>
            </w:tcBorders>
            <w:noWrap w:val="0"/>
            <w:vAlign w:val="center"/>
          </w:tcPr>
          <w:p w14:paraId="4AEF1EFB">
            <w:pPr>
              <w:spacing w:beforeLines="0" w:afterLines="0"/>
              <w:ind w:left="0" w:leftChars="0" w:firstLine="0" w:firstLineChars="0"/>
              <w:jc w:val="both"/>
              <w:rPr>
                <w:rFonts w:hint="eastAsia" w:ascii="宋体" w:hAnsi="宋体" w:eastAsia="宋体" w:cs="宋体"/>
                <w:color w:val="000000"/>
                <w:sz w:val="22"/>
                <w:szCs w:val="22"/>
              </w:rPr>
            </w:pPr>
            <w:r>
              <w:rPr>
                <w:rFonts w:hint="eastAsia" w:ascii="宋体" w:hAnsi="宋体" w:eastAsia="宋体" w:cs="宋体"/>
                <w:color w:val="000000"/>
                <w:sz w:val="22"/>
                <w:szCs w:val="22"/>
              </w:rPr>
              <w:t>业务调度中心-工单处理</w:t>
            </w:r>
          </w:p>
        </w:tc>
        <w:tc>
          <w:tcPr>
            <w:tcW w:w="2950" w:type="pct"/>
            <w:tcBorders>
              <w:tl2br w:val="nil"/>
              <w:tr2bl w:val="nil"/>
            </w:tcBorders>
            <w:noWrap w:val="0"/>
            <w:vAlign w:val="center"/>
          </w:tcPr>
          <w:p w14:paraId="56021561">
            <w:pPr>
              <w:spacing w:beforeLines="0" w:afterLines="0"/>
              <w:ind w:left="0" w:leftChars="0" w:firstLine="0" w:firstLineChars="0"/>
              <w:jc w:val="both"/>
              <w:rPr>
                <w:rFonts w:hint="eastAsia" w:ascii="宋体" w:hAnsi="宋体" w:eastAsia="宋体" w:cs="宋体"/>
                <w:color w:val="000000"/>
                <w:sz w:val="22"/>
                <w:szCs w:val="22"/>
              </w:rPr>
            </w:pPr>
            <w:r>
              <w:rPr>
                <w:rFonts w:hint="eastAsia" w:ascii="宋体" w:hAnsi="宋体" w:eastAsia="宋体" w:cs="宋体"/>
                <w:color w:val="000000"/>
                <w:sz w:val="22"/>
                <w:szCs w:val="22"/>
              </w:rPr>
              <w:t>工单处理人员实时反馈结果、添加记录，可配置多渠道提醒，同步调用知识库提升效率。</w:t>
            </w:r>
          </w:p>
        </w:tc>
      </w:tr>
      <w:tr w14:paraId="5A80E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424" w:type="pct"/>
            <w:tcBorders>
              <w:tl2br w:val="nil"/>
              <w:tr2bl w:val="nil"/>
            </w:tcBorders>
            <w:noWrap w:val="0"/>
            <w:vAlign w:val="center"/>
          </w:tcPr>
          <w:p w14:paraId="162E6AB3">
            <w:pPr>
              <w:spacing w:beforeLines="0" w:afterLines="0"/>
              <w:ind w:left="0" w:leftChars="0" w:firstLine="0" w:firstLineChar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32</w:t>
            </w:r>
          </w:p>
        </w:tc>
        <w:tc>
          <w:tcPr>
            <w:tcW w:w="1624" w:type="pct"/>
            <w:tcBorders>
              <w:tl2br w:val="nil"/>
              <w:tr2bl w:val="nil"/>
            </w:tcBorders>
            <w:noWrap w:val="0"/>
            <w:vAlign w:val="center"/>
          </w:tcPr>
          <w:p w14:paraId="37591632">
            <w:pPr>
              <w:spacing w:beforeLines="0" w:afterLines="0"/>
              <w:ind w:left="0" w:leftChars="0" w:firstLine="0" w:firstLineChars="0"/>
              <w:jc w:val="both"/>
              <w:rPr>
                <w:rFonts w:hint="eastAsia" w:ascii="宋体" w:hAnsi="宋体" w:eastAsia="宋体" w:cs="宋体"/>
                <w:color w:val="000000"/>
                <w:sz w:val="22"/>
                <w:szCs w:val="22"/>
              </w:rPr>
            </w:pPr>
            <w:r>
              <w:rPr>
                <w:rFonts w:hint="eastAsia" w:ascii="宋体" w:hAnsi="宋体" w:eastAsia="宋体" w:cs="宋体"/>
                <w:color w:val="000000"/>
                <w:sz w:val="22"/>
                <w:szCs w:val="22"/>
              </w:rPr>
              <w:t>业务调度中心-工单全流程管理</w:t>
            </w:r>
          </w:p>
        </w:tc>
        <w:tc>
          <w:tcPr>
            <w:tcW w:w="2950" w:type="pct"/>
            <w:tcBorders>
              <w:tl2br w:val="nil"/>
              <w:tr2bl w:val="nil"/>
            </w:tcBorders>
            <w:noWrap w:val="0"/>
            <w:vAlign w:val="center"/>
          </w:tcPr>
          <w:p w14:paraId="42EA5584">
            <w:pPr>
              <w:spacing w:beforeLines="0" w:afterLines="0"/>
              <w:ind w:left="0" w:leftChars="0" w:firstLine="0" w:firstLineChars="0"/>
              <w:jc w:val="both"/>
              <w:rPr>
                <w:rFonts w:hint="eastAsia" w:ascii="宋体" w:hAnsi="宋体" w:eastAsia="宋体" w:cs="宋体"/>
                <w:color w:val="000000"/>
                <w:sz w:val="22"/>
                <w:szCs w:val="22"/>
              </w:rPr>
            </w:pPr>
            <w:r>
              <w:rPr>
                <w:rFonts w:hint="eastAsia" w:ascii="宋体" w:hAnsi="宋体" w:eastAsia="宋体" w:cs="宋体"/>
                <w:color w:val="000000"/>
                <w:sz w:val="22"/>
                <w:szCs w:val="22"/>
              </w:rPr>
              <w:t>自动登记分类工单，智能审核分派，实时跟踪进度，可视化监控预警，保障工单高效流转。</w:t>
            </w:r>
          </w:p>
        </w:tc>
      </w:tr>
      <w:tr w14:paraId="205DA8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424" w:type="pct"/>
            <w:tcBorders>
              <w:tl2br w:val="nil"/>
              <w:tr2bl w:val="nil"/>
            </w:tcBorders>
            <w:noWrap w:val="0"/>
            <w:vAlign w:val="center"/>
          </w:tcPr>
          <w:p w14:paraId="44EF60F0">
            <w:pPr>
              <w:spacing w:beforeLines="0" w:afterLines="0"/>
              <w:ind w:left="0" w:leftChars="0" w:firstLine="0" w:firstLineChar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33</w:t>
            </w:r>
          </w:p>
        </w:tc>
        <w:tc>
          <w:tcPr>
            <w:tcW w:w="1624" w:type="pct"/>
            <w:tcBorders>
              <w:tl2br w:val="nil"/>
              <w:tr2bl w:val="nil"/>
            </w:tcBorders>
            <w:noWrap w:val="0"/>
            <w:vAlign w:val="center"/>
          </w:tcPr>
          <w:p w14:paraId="475EB9A4">
            <w:pPr>
              <w:spacing w:beforeLines="0" w:afterLines="0"/>
              <w:ind w:left="0" w:leftChars="0" w:firstLine="0" w:firstLineChars="0"/>
              <w:jc w:val="both"/>
              <w:rPr>
                <w:rFonts w:hint="eastAsia" w:ascii="宋体" w:hAnsi="宋体" w:eastAsia="宋体" w:cs="宋体"/>
                <w:color w:val="000000"/>
                <w:sz w:val="22"/>
                <w:szCs w:val="22"/>
              </w:rPr>
            </w:pPr>
            <w:r>
              <w:rPr>
                <w:rFonts w:hint="eastAsia" w:ascii="宋体" w:hAnsi="宋体" w:eastAsia="宋体" w:cs="宋体"/>
                <w:color w:val="000000"/>
                <w:sz w:val="22"/>
                <w:szCs w:val="22"/>
              </w:rPr>
              <w:t>业务调度中心-工作量与绩效管理</w:t>
            </w:r>
          </w:p>
        </w:tc>
        <w:tc>
          <w:tcPr>
            <w:tcW w:w="2950" w:type="pct"/>
            <w:tcBorders>
              <w:tl2br w:val="nil"/>
              <w:tr2bl w:val="nil"/>
            </w:tcBorders>
            <w:noWrap w:val="0"/>
            <w:vAlign w:val="center"/>
          </w:tcPr>
          <w:p w14:paraId="1675346E">
            <w:pPr>
              <w:spacing w:beforeLines="0" w:afterLines="0"/>
              <w:ind w:left="0" w:leftChars="0" w:firstLine="0" w:firstLineChars="0"/>
              <w:jc w:val="both"/>
              <w:rPr>
                <w:rFonts w:hint="eastAsia" w:ascii="宋体" w:hAnsi="宋体" w:eastAsia="宋体" w:cs="宋体"/>
                <w:color w:val="000000"/>
                <w:sz w:val="22"/>
                <w:szCs w:val="22"/>
              </w:rPr>
            </w:pPr>
            <w:r>
              <w:rPr>
                <w:rFonts w:hint="eastAsia" w:ascii="宋体" w:hAnsi="宋体" w:eastAsia="宋体" w:cs="宋体"/>
                <w:color w:val="000000"/>
                <w:sz w:val="22"/>
                <w:szCs w:val="22"/>
              </w:rPr>
              <w:t>记录工单处理全流程，多维度统计工作量，结合处理质量与满意度评估绩效，激发工作积极性。</w:t>
            </w:r>
          </w:p>
        </w:tc>
      </w:tr>
      <w:tr w14:paraId="0FD851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424" w:type="pct"/>
            <w:tcBorders>
              <w:tl2br w:val="nil"/>
              <w:tr2bl w:val="nil"/>
            </w:tcBorders>
            <w:noWrap w:val="0"/>
            <w:vAlign w:val="center"/>
          </w:tcPr>
          <w:p w14:paraId="4A12BB25">
            <w:pPr>
              <w:spacing w:beforeLines="0" w:afterLines="0"/>
              <w:ind w:left="0" w:leftChars="0" w:firstLine="0" w:firstLineChar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34</w:t>
            </w:r>
          </w:p>
        </w:tc>
        <w:tc>
          <w:tcPr>
            <w:tcW w:w="1624" w:type="pct"/>
            <w:tcBorders>
              <w:tl2br w:val="nil"/>
              <w:tr2bl w:val="nil"/>
            </w:tcBorders>
            <w:noWrap w:val="0"/>
            <w:vAlign w:val="center"/>
          </w:tcPr>
          <w:p w14:paraId="2B217478">
            <w:pPr>
              <w:spacing w:beforeLines="0" w:afterLines="0"/>
              <w:ind w:left="0" w:leftChars="0" w:firstLine="0" w:firstLineChars="0"/>
              <w:jc w:val="both"/>
              <w:rPr>
                <w:rFonts w:hint="eastAsia" w:ascii="宋体" w:hAnsi="宋体" w:eastAsia="宋体" w:cs="宋体"/>
                <w:color w:val="000000"/>
                <w:sz w:val="22"/>
                <w:szCs w:val="22"/>
              </w:rPr>
            </w:pPr>
            <w:r>
              <w:rPr>
                <w:rFonts w:hint="eastAsia" w:ascii="宋体" w:hAnsi="宋体" w:eastAsia="宋体" w:cs="宋体"/>
                <w:color w:val="000000"/>
                <w:sz w:val="22"/>
                <w:szCs w:val="22"/>
              </w:rPr>
              <w:t>业务调度中心-消息与通知管理</w:t>
            </w:r>
          </w:p>
        </w:tc>
        <w:tc>
          <w:tcPr>
            <w:tcW w:w="2950" w:type="pct"/>
            <w:tcBorders>
              <w:tl2br w:val="nil"/>
              <w:tr2bl w:val="nil"/>
            </w:tcBorders>
            <w:noWrap w:val="0"/>
            <w:vAlign w:val="center"/>
          </w:tcPr>
          <w:p w14:paraId="64BA2E3B">
            <w:pPr>
              <w:spacing w:beforeLines="0" w:afterLines="0"/>
              <w:ind w:left="0" w:leftChars="0" w:firstLine="0" w:firstLineChars="0"/>
              <w:jc w:val="both"/>
              <w:rPr>
                <w:rFonts w:hint="eastAsia" w:ascii="宋体" w:hAnsi="宋体" w:eastAsia="宋体" w:cs="宋体"/>
                <w:color w:val="000000"/>
                <w:sz w:val="22"/>
                <w:szCs w:val="22"/>
              </w:rPr>
            </w:pPr>
            <w:r>
              <w:rPr>
                <w:rFonts w:hint="eastAsia" w:ascii="宋体" w:hAnsi="宋体" w:eastAsia="宋体" w:cs="宋体"/>
                <w:color w:val="000000"/>
                <w:sz w:val="22"/>
                <w:szCs w:val="22"/>
              </w:rPr>
              <w:t>支持自定义多条件提醒规则，多渠道发送通知，提供模板库与变量替换，保障信息精准送达。</w:t>
            </w:r>
          </w:p>
        </w:tc>
      </w:tr>
      <w:tr w14:paraId="737815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424" w:type="pct"/>
            <w:tcBorders>
              <w:tl2br w:val="nil"/>
              <w:tr2bl w:val="nil"/>
            </w:tcBorders>
            <w:noWrap w:val="0"/>
            <w:vAlign w:val="center"/>
          </w:tcPr>
          <w:p w14:paraId="59DA38DF">
            <w:pPr>
              <w:spacing w:beforeLines="0" w:afterLines="0"/>
              <w:ind w:left="0" w:leftChars="0" w:firstLine="0" w:firstLineChar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35</w:t>
            </w:r>
          </w:p>
        </w:tc>
        <w:tc>
          <w:tcPr>
            <w:tcW w:w="1624" w:type="pct"/>
            <w:tcBorders>
              <w:tl2br w:val="nil"/>
              <w:tr2bl w:val="nil"/>
            </w:tcBorders>
            <w:noWrap w:val="0"/>
            <w:vAlign w:val="center"/>
          </w:tcPr>
          <w:p w14:paraId="32C349D3">
            <w:pPr>
              <w:spacing w:beforeLines="0" w:afterLines="0"/>
              <w:ind w:left="0" w:leftChars="0" w:firstLine="0" w:firstLineChars="0"/>
              <w:jc w:val="both"/>
              <w:rPr>
                <w:rFonts w:hint="eastAsia" w:ascii="宋体" w:hAnsi="宋体" w:eastAsia="宋体" w:cs="宋体"/>
                <w:color w:val="000000"/>
                <w:sz w:val="22"/>
                <w:szCs w:val="22"/>
              </w:rPr>
            </w:pPr>
            <w:r>
              <w:rPr>
                <w:rFonts w:hint="eastAsia" w:ascii="宋体" w:hAnsi="宋体" w:eastAsia="宋体" w:cs="宋体"/>
                <w:color w:val="000000"/>
                <w:sz w:val="22"/>
                <w:szCs w:val="22"/>
              </w:rPr>
              <w:t>业务调度中心-数据与报表管理</w:t>
            </w:r>
          </w:p>
        </w:tc>
        <w:tc>
          <w:tcPr>
            <w:tcW w:w="2950" w:type="pct"/>
            <w:tcBorders>
              <w:tl2br w:val="nil"/>
              <w:tr2bl w:val="nil"/>
            </w:tcBorders>
            <w:noWrap w:val="0"/>
            <w:vAlign w:val="center"/>
          </w:tcPr>
          <w:p w14:paraId="40704F37">
            <w:pPr>
              <w:spacing w:beforeLines="0" w:afterLines="0"/>
              <w:ind w:left="0" w:leftChars="0" w:firstLine="0" w:firstLineChars="0"/>
              <w:jc w:val="both"/>
              <w:rPr>
                <w:rFonts w:hint="eastAsia" w:ascii="宋体" w:hAnsi="宋体" w:eastAsia="宋体" w:cs="宋体"/>
                <w:color w:val="000000"/>
                <w:sz w:val="22"/>
                <w:szCs w:val="22"/>
              </w:rPr>
            </w:pPr>
            <w:r>
              <w:rPr>
                <w:rFonts w:hint="eastAsia" w:ascii="宋体" w:hAnsi="宋体" w:eastAsia="宋体" w:cs="宋体"/>
                <w:color w:val="000000"/>
                <w:sz w:val="22"/>
                <w:szCs w:val="22"/>
              </w:rPr>
              <w:t>提供预设与自定义报表模板，可视化展示数据，支持多方式共享与协作，保障数据安全。</w:t>
            </w:r>
          </w:p>
        </w:tc>
      </w:tr>
      <w:tr w14:paraId="239FA4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424" w:type="pct"/>
            <w:tcBorders>
              <w:tl2br w:val="nil"/>
              <w:tr2bl w:val="nil"/>
            </w:tcBorders>
            <w:noWrap w:val="0"/>
            <w:vAlign w:val="center"/>
          </w:tcPr>
          <w:p w14:paraId="6F8BAB5B">
            <w:pPr>
              <w:spacing w:beforeLines="0" w:afterLines="0"/>
              <w:ind w:left="0" w:leftChars="0" w:firstLine="0" w:firstLineChar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36</w:t>
            </w:r>
          </w:p>
        </w:tc>
        <w:tc>
          <w:tcPr>
            <w:tcW w:w="1624" w:type="pct"/>
            <w:tcBorders>
              <w:tl2br w:val="nil"/>
              <w:tr2bl w:val="nil"/>
            </w:tcBorders>
            <w:noWrap w:val="0"/>
            <w:vAlign w:val="center"/>
          </w:tcPr>
          <w:p w14:paraId="49F0656A">
            <w:pPr>
              <w:spacing w:beforeLines="0" w:afterLines="0"/>
              <w:ind w:left="0" w:leftChars="0" w:firstLine="0" w:firstLineChars="0"/>
              <w:jc w:val="both"/>
              <w:rPr>
                <w:rFonts w:hint="eastAsia" w:ascii="宋体" w:hAnsi="宋体" w:eastAsia="宋体" w:cs="宋体"/>
                <w:color w:val="000000"/>
                <w:sz w:val="22"/>
                <w:szCs w:val="22"/>
              </w:rPr>
            </w:pPr>
            <w:r>
              <w:rPr>
                <w:rFonts w:hint="eastAsia" w:ascii="宋体" w:hAnsi="宋体" w:eastAsia="宋体" w:cs="宋体"/>
                <w:color w:val="000000"/>
                <w:sz w:val="22"/>
                <w:szCs w:val="22"/>
              </w:rPr>
              <w:t>业务调度中心-工单生成与推送管理</w:t>
            </w:r>
          </w:p>
        </w:tc>
        <w:tc>
          <w:tcPr>
            <w:tcW w:w="2950" w:type="pct"/>
            <w:tcBorders>
              <w:tl2br w:val="nil"/>
              <w:tr2bl w:val="nil"/>
            </w:tcBorders>
            <w:noWrap w:val="0"/>
            <w:vAlign w:val="center"/>
          </w:tcPr>
          <w:p w14:paraId="191C9551">
            <w:pPr>
              <w:spacing w:beforeLines="0" w:afterLines="0"/>
              <w:ind w:left="0" w:leftChars="0" w:firstLine="0" w:firstLineChars="0"/>
              <w:jc w:val="both"/>
              <w:rPr>
                <w:rFonts w:hint="eastAsia" w:ascii="宋体" w:hAnsi="宋体" w:eastAsia="宋体" w:cs="宋体"/>
                <w:color w:val="000000"/>
                <w:sz w:val="22"/>
                <w:szCs w:val="22"/>
              </w:rPr>
            </w:pPr>
            <w:r>
              <w:rPr>
                <w:rFonts w:hint="eastAsia" w:ascii="宋体" w:hAnsi="宋体" w:eastAsia="宋体" w:cs="宋体"/>
                <w:color w:val="000000"/>
                <w:sz w:val="22"/>
                <w:szCs w:val="22"/>
              </w:rPr>
              <w:t>按规则自动生成工单，模板化推送内容，跟踪接收与处理状态，优化推送策略与工单内容。</w:t>
            </w:r>
          </w:p>
        </w:tc>
      </w:tr>
      <w:tr w14:paraId="630C0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424" w:type="pct"/>
            <w:tcBorders>
              <w:tl2br w:val="nil"/>
              <w:tr2bl w:val="nil"/>
            </w:tcBorders>
            <w:noWrap w:val="0"/>
            <w:vAlign w:val="center"/>
          </w:tcPr>
          <w:p w14:paraId="12DD3A67">
            <w:pPr>
              <w:spacing w:beforeLines="0" w:afterLines="0"/>
              <w:ind w:left="0" w:leftChars="0" w:firstLine="0" w:firstLineChar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37</w:t>
            </w:r>
          </w:p>
        </w:tc>
        <w:tc>
          <w:tcPr>
            <w:tcW w:w="1624" w:type="pct"/>
            <w:tcBorders>
              <w:tl2br w:val="nil"/>
              <w:tr2bl w:val="nil"/>
            </w:tcBorders>
            <w:noWrap w:val="0"/>
            <w:vAlign w:val="center"/>
          </w:tcPr>
          <w:p w14:paraId="21FE26B4">
            <w:pPr>
              <w:spacing w:beforeLines="0" w:afterLines="0"/>
              <w:ind w:left="0" w:leftChars="0" w:firstLine="0" w:firstLineChars="0"/>
              <w:jc w:val="both"/>
              <w:rPr>
                <w:rFonts w:hint="eastAsia" w:ascii="宋体" w:hAnsi="宋体" w:eastAsia="宋体" w:cs="宋体"/>
                <w:color w:val="000000"/>
                <w:sz w:val="22"/>
                <w:szCs w:val="22"/>
              </w:rPr>
            </w:pPr>
            <w:r>
              <w:rPr>
                <w:rFonts w:hint="eastAsia" w:ascii="宋体" w:hAnsi="宋体" w:eastAsia="宋体" w:cs="宋体"/>
                <w:color w:val="000000"/>
                <w:sz w:val="22"/>
                <w:szCs w:val="22"/>
              </w:rPr>
              <w:t>通用迁移引擎-可视化控制台</w:t>
            </w:r>
          </w:p>
        </w:tc>
        <w:tc>
          <w:tcPr>
            <w:tcW w:w="2950" w:type="pct"/>
            <w:tcBorders>
              <w:tl2br w:val="nil"/>
              <w:tr2bl w:val="nil"/>
            </w:tcBorders>
            <w:noWrap w:val="0"/>
            <w:vAlign w:val="center"/>
          </w:tcPr>
          <w:p w14:paraId="07F543AF">
            <w:pPr>
              <w:spacing w:beforeLines="0" w:afterLines="0"/>
              <w:ind w:left="0" w:leftChars="0" w:firstLine="0" w:firstLineChars="0"/>
              <w:jc w:val="both"/>
              <w:rPr>
                <w:rFonts w:hint="eastAsia" w:ascii="宋体" w:hAnsi="宋体" w:eastAsia="宋体" w:cs="宋体"/>
                <w:color w:val="000000"/>
                <w:sz w:val="22"/>
                <w:szCs w:val="22"/>
              </w:rPr>
            </w:pPr>
            <w:r>
              <w:rPr>
                <w:rFonts w:hint="eastAsia" w:ascii="宋体" w:hAnsi="宋体" w:eastAsia="宋体" w:cs="宋体"/>
                <w:color w:val="000000"/>
                <w:sz w:val="22"/>
                <w:szCs w:val="22"/>
              </w:rPr>
              <w:t>提供可视化控制台，展示迁移任务进度与资源占用，管控操作并留存完整日志轨迹。</w:t>
            </w:r>
          </w:p>
        </w:tc>
      </w:tr>
      <w:tr w14:paraId="52FF7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424" w:type="pct"/>
            <w:tcBorders>
              <w:tl2br w:val="nil"/>
              <w:tr2bl w:val="nil"/>
            </w:tcBorders>
            <w:noWrap w:val="0"/>
            <w:vAlign w:val="center"/>
          </w:tcPr>
          <w:p w14:paraId="6BD3929B">
            <w:pPr>
              <w:spacing w:beforeLines="0" w:afterLines="0"/>
              <w:ind w:left="0" w:leftChars="0" w:firstLine="0" w:firstLineChar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38</w:t>
            </w:r>
          </w:p>
        </w:tc>
        <w:tc>
          <w:tcPr>
            <w:tcW w:w="1624" w:type="pct"/>
            <w:tcBorders>
              <w:tl2br w:val="nil"/>
              <w:tr2bl w:val="nil"/>
            </w:tcBorders>
            <w:noWrap w:val="0"/>
            <w:vAlign w:val="center"/>
          </w:tcPr>
          <w:p w14:paraId="07F6164E">
            <w:pPr>
              <w:spacing w:beforeLines="0" w:afterLines="0"/>
              <w:ind w:left="0" w:leftChars="0" w:firstLine="0" w:firstLineChars="0"/>
              <w:jc w:val="both"/>
              <w:rPr>
                <w:rFonts w:hint="eastAsia" w:ascii="宋体" w:hAnsi="宋体" w:eastAsia="宋体" w:cs="宋体"/>
                <w:color w:val="000000"/>
                <w:sz w:val="22"/>
                <w:szCs w:val="22"/>
              </w:rPr>
            </w:pPr>
            <w:r>
              <w:rPr>
                <w:rFonts w:hint="eastAsia" w:ascii="宋体" w:hAnsi="宋体" w:eastAsia="宋体" w:cs="宋体"/>
                <w:color w:val="000000"/>
                <w:sz w:val="22"/>
                <w:szCs w:val="22"/>
              </w:rPr>
              <w:t>通用迁移引擎-迁移配置</w:t>
            </w:r>
          </w:p>
        </w:tc>
        <w:tc>
          <w:tcPr>
            <w:tcW w:w="2950" w:type="pct"/>
            <w:tcBorders>
              <w:tl2br w:val="nil"/>
              <w:tr2bl w:val="nil"/>
            </w:tcBorders>
            <w:noWrap w:val="0"/>
            <w:vAlign w:val="center"/>
          </w:tcPr>
          <w:p w14:paraId="24932146">
            <w:pPr>
              <w:spacing w:beforeLines="0" w:afterLines="0"/>
              <w:ind w:left="0" w:leftChars="0" w:firstLine="0" w:firstLineChars="0"/>
              <w:jc w:val="both"/>
              <w:rPr>
                <w:rFonts w:hint="eastAsia" w:ascii="宋体" w:hAnsi="宋体" w:eastAsia="宋体" w:cs="宋体"/>
                <w:color w:val="000000"/>
                <w:sz w:val="22"/>
                <w:szCs w:val="22"/>
              </w:rPr>
            </w:pPr>
            <w:r>
              <w:rPr>
                <w:rFonts w:hint="eastAsia" w:ascii="宋体" w:hAnsi="宋体" w:eastAsia="宋体" w:cs="宋体"/>
                <w:color w:val="000000"/>
                <w:sz w:val="22"/>
                <w:szCs w:val="22"/>
              </w:rPr>
              <w:t>隔离多环境配置参数，提供标准化迁移模板与快照功能，支持可视化调整参数快速复用。</w:t>
            </w:r>
          </w:p>
        </w:tc>
      </w:tr>
      <w:tr w14:paraId="7B8FD0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424" w:type="pct"/>
            <w:tcBorders>
              <w:tl2br w:val="nil"/>
              <w:tr2bl w:val="nil"/>
            </w:tcBorders>
            <w:noWrap w:val="0"/>
            <w:vAlign w:val="center"/>
          </w:tcPr>
          <w:p w14:paraId="6C5ADBBF">
            <w:pPr>
              <w:spacing w:beforeLines="0" w:afterLines="0"/>
              <w:ind w:left="0" w:leftChars="0" w:firstLine="0" w:firstLineChar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39</w:t>
            </w:r>
          </w:p>
        </w:tc>
        <w:tc>
          <w:tcPr>
            <w:tcW w:w="1624" w:type="pct"/>
            <w:tcBorders>
              <w:tl2br w:val="nil"/>
              <w:tr2bl w:val="nil"/>
            </w:tcBorders>
            <w:noWrap w:val="0"/>
            <w:vAlign w:val="center"/>
          </w:tcPr>
          <w:p w14:paraId="5881AF1E">
            <w:pPr>
              <w:spacing w:beforeLines="0" w:afterLines="0"/>
              <w:ind w:left="0" w:leftChars="0" w:firstLine="0" w:firstLineChars="0"/>
              <w:jc w:val="both"/>
              <w:rPr>
                <w:rFonts w:hint="eastAsia" w:ascii="宋体" w:hAnsi="宋体" w:eastAsia="宋体" w:cs="宋体"/>
                <w:color w:val="000000"/>
                <w:sz w:val="22"/>
                <w:szCs w:val="22"/>
              </w:rPr>
            </w:pPr>
            <w:r>
              <w:rPr>
                <w:rFonts w:hint="eastAsia" w:ascii="宋体" w:hAnsi="宋体" w:eastAsia="宋体" w:cs="宋体"/>
                <w:color w:val="000000"/>
                <w:sz w:val="22"/>
                <w:szCs w:val="22"/>
              </w:rPr>
              <w:t>通用迁移引擎-监控告警</w:t>
            </w:r>
          </w:p>
        </w:tc>
        <w:tc>
          <w:tcPr>
            <w:tcW w:w="2950" w:type="pct"/>
            <w:tcBorders>
              <w:tl2br w:val="nil"/>
              <w:tr2bl w:val="nil"/>
            </w:tcBorders>
            <w:noWrap w:val="0"/>
            <w:vAlign w:val="center"/>
          </w:tcPr>
          <w:p w14:paraId="3BBB00D4">
            <w:pPr>
              <w:spacing w:beforeLines="0" w:afterLines="0"/>
              <w:ind w:left="0" w:leftChars="0" w:firstLine="0" w:firstLineChars="0"/>
              <w:jc w:val="both"/>
              <w:rPr>
                <w:rFonts w:hint="eastAsia" w:ascii="宋体" w:hAnsi="宋体" w:eastAsia="宋体" w:cs="宋体"/>
                <w:color w:val="000000"/>
                <w:sz w:val="22"/>
                <w:szCs w:val="22"/>
              </w:rPr>
            </w:pPr>
            <w:r>
              <w:rPr>
                <w:rFonts w:hint="eastAsia" w:ascii="宋体" w:hAnsi="宋体" w:eastAsia="宋体" w:cs="宋体"/>
                <w:color w:val="000000"/>
                <w:sz w:val="22"/>
                <w:szCs w:val="22"/>
              </w:rPr>
              <w:t>支持自定义迁移监控指标与阈值，指标异常自动触发告警，多渠道推送提醒保障任务稳定。</w:t>
            </w:r>
          </w:p>
        </w:tc>
      </w:tr>
      <w:tr w14:paraId="70BA5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424" w:type="pct"/>
            <w:tcBorders>
              <w:tl2br w:val="nil"/>
              <w:tr2bl w:val="nil"/>
            </w:tcBorders>
            <w:noWrap w:val="0"/>
            <w:vAlign w:val="center"/>
          </w:tcPr>
          <w:p w14:paraId="65F70243">
            <w:pPr>
              <w:spacing w:beforeLines="0" w:afterLines="0"/>
              <w:ind w:left="0" w:leftChars="0" w:firstLine="0" w:firstLineChar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40</w:t>
            </w:r>
          </w:p>
        </w:tc>
        <w:tc>
          <w:tcPr>
            <w:tcW w:w="1624" w:type="pct"/>
            <w:tcBorders>
              <w:tl2br w:val="nil"/>
              <w:tr2bl w:val="nil"/>
            </w:tcBorders>
            <w:noWrap w:val="0"/>
            <w:vAlign w:val="center"/>
          </w:tcPr>
          <w:p w14:paraId="0DDF22F4">
            <w:pPr>
              <w:spacing w:beforeLines="0" w:afterLines="0"/>
              <w:ind w:left="0" w:leftChars="0" w:firstLine="0" w:firstLineChars="0"/>
              <w:jc w:val="both"/>
              <w:rPr>
                <w:rFonts w:hint="eastAsia" w:ascii="宋体" w:hAnsi="宋体" w:eastAsia="宋体" w:cs="宋体"/>
                <w:color w:val="000000"/>
                <w:sz w:val="22"/>
                <w:szCs w:val="22"/>
              </w:rPr>
            </w:pPr>
            <w:r>
              <w:rPr>
                <w:rFonts w:hint="eastAsia" w:ascii="宋体" w:hAnsi="宋体" w:eastAsia="宋体" w:cs="宋体"/>
                <w:color w:val="000000"/>
                <w:sz w:val="22"/>
                <w:szCs w:val="22"/>
              </w:rPr>
              <w:t>通用迁移引擎-合规审计</w:t>
            </w:r>
          </w:p>
        </w:tc>
        <w:tc>
          <w:tcPr>
            <w:tcW w:w="2950" w:type="pct"/>
            <w:tcBorders>
              <w:tl2br w:val="nil"/>
              <w:tr2bl w:val="nil"/>
            </w:tcBorders>
            <w:noWrap w:val="0"/>
            <w:vAlign w:val="center"/>
          </w:tcPr>
          <w:p w14:paraId="2D14C509">
            <w:pPr>
              <w:spacing w:beforeLines="0" w:afterLines="0"/>
              <w:ind w:left="0" w:leftChars="0" w:firstLine="0" w:firstLineChars="0"/>
              <w:jc w:val="both"/>
              <w:rPr>
                <w:rFonts w:hint="eastAsia" w:ascii="宋体" w:hAnsi="宋体" w:eastAsia="宋体" w:cs="宋体"/>
                <w:color w:val="000000"/>
                <w:sz w:val="22"/>
                <w:szCs w:val="22"/>
              </w:rPr>
            </w:pPr>
            <w:r>
              <w:rPr>
                <w:rFonts w:hint="eastAsia" w:ascii="宋体" w:hAnsi="宋体" w:eastAsia="宋体" w:cs="宋体"/>
                <w:color w:val="000000"/>
                <w:sz w:val="22"/>
                <w:szCs w:val="22"/>
              </w:rPr>
              <w:t>自动记录操作生成审计日志，智能识别脱敏敏感数据，按要求生成合规报告保障安全。</w:t>
            </w:r>
          </w:p>
        </w:tc>
      </w:tr>
      <w:tr w14:paraId="6D66D9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424" w:type="pct"/>
            <w:tcBorders>
              <w:tl2br w:val="nil"/>
              <w:tr2bl w:val="nil"/>
            </w:tcBorders>
            <w:noWrap w:val="0"/>
            <w:vAlign w:val="center"/>
          </w:tcPr>
          <w:p w14:paraId="169A4DB2">
            <w:pPr>
              <w:spacing w:beforeLines="0" w:afterLines="0"/>
              <w:ind w:left="0" w:leftChars="0" w:firstLine="0" w:firstLineChar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41</w:t>
            </w:r>
          </w:p>
        </w:tc>
        <w:tc>
          <w:tcPr>
            <w:tcW w:w="1624" w:type="pct"/>
            <w:tcBorders>
              <w:tl2br w:val="nil"/>
              <w:tr2bl w:val="nil"/>
            </w:tcBorders>
            <w:noWrap w:val="0"/>
            <w:vAlign w:val="center"/>
          </w:tcPr>
          <w:p w14:paraId="18F944C5">
            <w:pPr>
              <w:spacing w:beforeLines="0" w:afterLines="0"/>
              <w:ind w:left="0" w:leftChars="0" w:firstLine="0" w:firstLineChars="0"/>
              <w:jc w:val="both"/>
              <w:rPr>
                <w:rFonts w:hint="eastAsia" w:ascii="宋体" w:hAnsi="宋体" w:eastAsia="宋体" w:cs="宋体"/>
                <w:color w:val="000000"/>
                <w:sz w:val="22"/>
                <w:szCs w:val="22"/>
              </w:rPr>
            </w:pPr>
            <w:r>
              <w:rPr>
                <w:rFonts w:hint="eastAsia" w:ascii="宋体" w:hAnsi="宋体" w:eastAsia="宋体" w:cs="宋体"/>
                <w:color w:val="000000"/>
                <w:sz w:val="22"/>
                <w:szCs w:val="22"/>
              </w:rPr>
              <w:t>通用迁移引擎-数据源适配/表结构转换</w:t>
            </w:r>
          </w:p>
        </w:tc>
        <w:tc>
          <w:tcPr>
            <w:tcW w:w="2950" w:type="pct"/>
            <w:tcBorders>
              <w:tl2br w:val="nil"/>
              <w:tr2bl w:val="nil"/>
            </w:tcBorders>
            <w:noWrap w:val="0"/>
            <w:vAlign w:val="center"/>
          </w:tcPr>
          <w:p w14:paraId="76A5B512">
            <w:pPr>
              <w:spacing w:beforeLines="0" w:afterLines="0"/>
              <w:ind w:left="0" w:leftChars="0" w:firstLine="0" w:firstLineChars="0"/>
              <w:jc w:val="both"/>
              <w:rPr>
                <w:rFonts w:hint="eastAsia" w:ascii="宋体" w:hAnsi="宋体" w:eastAsia="宋体" w:cs="宋体"/>
                <w:color w:val="000000"/>
                <w:sz w:val="22"/>
                <w:szCs w:val="22"/>
              </w:rPr>
            </w:pPr>
            <w:r>
              <w:rPr>
                <w:rFonts w:hint="eastAsia" w:ascii="宋体" w:hAnsi="宋体" w:eastAsia="宋体" w:cs="宋体"/>
                <w:color w:val="000000"/>
                <w:sz w:val="22"/>
                <w:szCs w:val="22"/>
              </w:rPr>
              <w:t>兼容多种数据库，自动适配连接，可视化对比表结构差异，生成映射规则支持调试重构。</w:t>
            </w:r>
          </w:p>
        </w:tc>
      </w:tr>
      <w:tr w14:paraId="472EE1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424" w:type="pct"/>
            <w:tcBorders>
              <w:tl2br w:val="nil"/>
              <w:tr2bl w:val="nil"/>
            </w:tcBorders>
            <w:noWrap w:val="0"/>
            <w:vAlign w:val="center"/>
          </w:tcPr>
          <w:p w14:paraId="764FBE51">
            <w:pPr>
              <w:spacing w:beforeLines="0" w:afterLines="0"/>
              <w:ind w:left="0" w:leftChars="0" w:firstLine="0" w:firstLineChar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42</w:t>
            </w:r>
          </w:p>
        </w:tc>
        <w:tc>
          <w:tcPr>
            <w:tcW w:w="1624" w:type="pct"/>
            <w:tcBorders>
              <w:tl2br w:val="nil"/>
              <w:tr2bl w:val="nil"/>
            </w:tcBorders>
            <w:noWrap w:val="0"/>
            <w:vAlign w:val="center"/>
          </w:tcPr>
          <w:p w14:paraId="137541FA">
            <w:pPr>
              <w:spacing w:beforeLines="0" w:afterLines="0"/>
              <w:ind w:left="0" w:leftChars="0" w:firstLine="0" w:firstLineChars="0"/>
              <w:jc w:val="both"/>
              <w:rPr>
                <w:rFonts w:hint="eastAsia" w:ascii="宋体" w:hAnsi="宋体" w:eastAsia="宋体" w:cs="宋体"/>
                <w:color w:val="000000"/>
                <w:sz w:val="22"/>
                <w:szCs w:val="22"/>
              </w:rPr>
            </w:pPr>
            <w:r>
              <w:rPr>
                <w:rFonts w:hint="eastAsia" w:ascii="宋体" w:hAnsi="宋体" w:eastAsia="宋体" w:cs="宋体"/>
                <w:color w:val="000000"/>
                <w:sz w:val="22"/>
                <w:szCs w:val="22"/>
              </w:rPr>
              <w:t>通用迁移引擎-数据同步/校验修复</w:t>
            </w:r>
          </w:p>
        </w:tc>
        <w:tc>
          <w:tcPr>
            <w:tcW w:w="2950" w:type="pct"/>
            <w:tcBorders>
              <w:tl2br w:val="nil"/>
              <w:tr2bl w:val="nil"/>
            </w:tcBorders>
            <w:noWrap w:val="0"/>
            <w:vAlign w:val="center"/>
          </w:tcPr>
          <w:p w14:paraId="599DC9BC">
            <w:pPr>
              <w:spacing w:beforeLines="0" w:afterLines="0"/>
              <w:ind w:left="0" w:leftChars="0" w:firstLine="0" w:firstLineChars="0"/>
              <w:jc w:val="both"/>
              <w:rPr>
                <w:rFonts w:hint="eastAsia" w:ascii="宋体" w:hAnsi="宋体" w:eastAsia="宋体" w:cs="宋体"/>
                <w:color w:val="000000"/>
                <w:sz w:val="22"/>
                <w:szCs w:val="22"/>
              </w:rPr>
            </w:pPr>
            <w:r>
              <w:rPr>
                <w:rFonts w:hint="eastAsia" w:ascii="宋体" w:hAnsi="宋体" w:eastAsia="宋体" w:cs="宋体"/>
                <w:color w:val="000000"/>
                <w:sz w:val="22"/>
                <w:szCs w:val="22"/>
              </w:rPr>
              <w:t>支持全量与增量数据同步，自动校验数据差异并提供修复建议，生成凭证保障数据一致。</w:t>
            </w:r>
          </w:p>
        </w:tc>
      </w:tr>
      <w:tr w14:paraId="426534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trPr>
        <w:tc>
          <w:tcPr>
            <w:tcW w:w="424" w:type="pct"/>
            <w:tcBorders>
              <w:tl2br w:val="nil"/>
              <w:tr2bl w:val="nil"/>
            </w:tcBorders>
            <w:noWrap w:val="0"/>
            <w:vAlign w:val="center"/>
          </w:tcPr>
          <w:p w14:paraId="0C67D71A">
            <w:pPr>
              <w:spacing w:beforeLines="0" w:afterLines="0"/>
              <w:ind w:left="0" w:leftChars="0" w:firstLine="0" w:firstLineChar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43</w:t>
            </w:r>
          </w:p>
        </w:tc>
        <w:tc>
          <w:tcPr>
            <w:tcW w:w="1624" w:type="pct"/>
            <w:tcBorders>
              <w:tl2br w:val="nil"/>
              <w:tr2bl w:val="nil"/>
            </w:tcBorders>
            <w:noWrap w:val="0"/>
            <w:vAlign w:val="center"/>
          </w:tcPr>
          <w:p w14:paraId="458D8061">
            <w:pPr>
              <w:spacing w:beforeLines="0" w:afterLines="0"/>
              <w:ind w:left="0" w:leftChars="0" w:firstLine="0" w:firstLineChars="0"/>
              <w:jc w:val="both"/>
              <w:rPr>
                <w:rFonts w:hint="eastAsia" w:ascii="宋体" w:hAnsi="宋体" w:eastAsia="宋体" w:cs="宋体"/>
                <w:color w:val="000000"/>
                <w:sz w:val="22"/>
                <w:szCs w:val="22"/>
              </w:rPr>
            </w:pPr>
            <w:r>
              <w:rPr>
                <w:rFonts w:hint="eastAsia" w:ascii="宋体" w:hAnsi="宋体" w:eastAsia="宋体" w:cs="宋体"/>
                <w:color w:val="000000"/>
                <w:sz w:val="22"/>
                <w:szCs w:val="22"/>
              </w:rPr>
              <w:t>通用迁移引擎-文件识别</w:t>
            </w:r>
          </w:p>
        </w:tc>
        <w:tc>
          <w:tcPr>
            <w:tcW w:w="2950" w:type="pct"/>
            <w:tcBorders>
              <w:tl2br w:val="nil"/>
              <w:tr2bl w:val="nil"/>
            </w:tcBorders>
            <w:noWrap w:val="0"/>
            <w:vAlign w:val="center"/>
          </w:tcPr>
          <w:p w14:paraId="697F8234">
            <w:pPr>
              <w:spacing w:beforeLines="0" w:afterLines="0"/>
              <w:ind w:left="0" w:leftChars="0" w:firstLine="0" w:firstLineChars="0"/>
              <w:jc w:val="both"/>
              <w:rPr>
                <w:rFonts w:hint="eastAsia" w:ascii="宋体" w:hAnsi="宋体" w:eastAsia="宋体" w:cs="宋体"/>
                <w:color w:val="000000"/>
                <w:sz w:val="22"/>
                <w:szCs w:val="22"/>
              </w:rPr>
            </w:pPr>
            <w:r>
              <w:rPr>
                <w:rFonts w:hint="eastAsia" w:ascii="宋体" w:hAnsi="宋体" w:eastAsia="宋体" w:cs="宋体"/>
                <w:color w:val="000000"/>
                <w:sz w:val="22"/>
                <w:szCs w:val="22"/>
              </w:rPr>
              <w:t>识别多类型非结构化文件，提取元数据建立索引，支持自定义分类规则分层存储。</w:t>
            </w:r>
          </w:p>
        </w:tc>
      </w:tr>
      <w:tr w14:paraId="2F781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 w:hRule="atLeast"/>
        </w:trPr>
        <w:tc>
          <w:tcPr>
            <w:tcW w:w="424" w:type="pct"/>
            <w:tcBorders>
              <w:tl2br w:val="nil"/>
              <w:tr2bl w:val="nil"/>
            </w:tcBorders>
            <w:noWrap w:val="0"/>
            <w:vAlign w:val="center"/>
          </w:tcPr>
          <w:p w14:paraId="6BC9BEC0">
            <w:pPr>
              <w:spacing w:beforeLines="0" w:afterLines="0"/>
              <w:ind w:left="0" w:leftChars="0" w:firstLine="0" w:firstLineChar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44</w:t>
            </w:r>
          </w:p>
        </w:tc>
        <w:tc>
          <w:tcPr>
            <w:tcW w:w="1624" w:type="pct"/>
            <w:tcBorders>
              <w:tl2br w:val="nil"/>
              <w:tr2bl w:val="nil"/>
            </w:tcBorders>
            <w:noWrap w:val="0"/>
            <w:vAlign w:val="center"/>
          </w:tcPr>
          <w:p w14:paraId="105161E7">
            <w:pPr>
              <w:spacing w:beforeLines="0" w:afterLines="0"/>
              <w:ind w:left="0" w:leftChars="0" w:firstLine="0" w:firstLineChars="0"/>
              <w:jc w:val="both"/>
              <w:rPr>
                <w:rFonts w:hint="eastAsia" w:ascii="宋体" w:hAnsi="宋体" w:eastAsia="宋体" w:cs="宋体"/>
                <w:color w:val="000000"/>
                <w:sz w:val="22"/>
                <w:szCs w:val="22"/>
              </w:rPr>
            </w:pPr>
            <w:r>
              <w:rPr>
                <w:rFonts w:hint="eastAsia" w:ascii="宋体" w:hAnsi="宋体" w:eastAsia="宋体" w:cs="宋体"/>
                <w:color w:val="000000"/>
                <w:sz w:val="22"/>
                <w:szCs w:val="22"/>
              </w:rPr>
              <w:t>通用迁移引擎-批量传输</w:t>
            </w:r>
          </w:p>
        </w:tc>
        <w:tc>
          <w:tcPr>
            <w:tcW w:w="2950" w:type="pct"/>
            <w:tcBorders>
              <w:tl2br w:val="nil"/>
              <w:tr2bl w:val="nil"/>
            </w:tcBorders>
            <w:noWrap w:val="0"/>
            <w:vAlign w:val="center"/>
          </w:tcPr>
          <w:p w14:paraId="15C2B25E">
            <w:pPr>
              <w:spacing w:beforeLines="0" w:afterLines="0"/>
              <w:ind w:left="0" w:leftChars="0" w:firstLine="0" w:firstLineChars="0"/>
              <w:jc w:val="both"/>
              <w:rPr>
                <w:rFonts w:hint="eastAsia" w:ascii="宋体" w:hAnsi="宋体" w:eastAsia="宋体" w:cs="宋体"/>
                <w:color w:val="000000"/>
                <w:sz w:val="22"/>
                <w:szCs w:val="22"/>
              </w:rPr>
            </w:pPr>
            <w:r>
              <w:rPr>
                <w:rFonts w:hint="eastAsia" w:ascii="宋体" w:hAnsi="宋体" w:eastAsia="宋体" w:cs="宋体"/>
                <w:color w:val="000000"/>
                <w:sz w:val="22"/>
                <w:szCs w:val="22"/>
              </w:rPr>
              <w:t>集成多传输协议，自动选最优方式，支持任务分片、并行处理与断点续传，提升传输效率。</w:t>
            </w:r>
          </w:p>
        </w:tc>
      </w:tr>
      <w:tr w14:paraId="1E4B50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424" w:type="pct"/>
            <w:tcBorders>
              <w:tl2br w:val="nil"/>
              <w:tr2bl w:val="nil"/>
            </w:tcBorders>
            <w:noWrap w:val="0"/>
            <w:vAlign w:val="center"/>
          </w:tcPr>
          <w:p w14:paraId="4B3EB19E">
            <w:pPr>
              <w:spacing w:beforeLines="0" w:afterLines="0"/>
              <w:ind w:left="0" w:leftChars="0" w:firstLine="0" w:firstLineChar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45</w:t>
            </w:r>
          </w:p>
        </w:tc>
        <w:tc>
          <w:tcPr>
            <w:tcW w:w="1624" w:type="pct"/>
            <w:tcBorders>
              <w:tl2br w:val="nil"/>
              <w:tr2bl w:val="nil"/>
            </w:tcBorders>
            <w:noWrap w:val="0"/>
            <w:vAlign w:val="center"/>
          </w:tcPr>
          <w:p w14:paraId="7A2E5711">
            <w:pPr>
              <w:spacing w:beforeLines="0" w:afterLines="0"/>
              <w:ind w:left="0" w:leftChars="0" w:firstLine="0" w:firstLineChars="0"/>
              <w:jc w:val="both"/>
              <w:rPr>
                <w:rFonts w:hint="eastAsia" w:ascii="宋体" w:hAnsi="宋体" w:eastAsia="宋体" w:cs="宋体"/>
                <w:color w:val="000000"/>
                <w:sz w:val="22"/>
                <w:szCs w:val="22"/>
              </w:rPr>
            </w:pPr>
            <w:r>
              <w:rPr>
                <w:rFonts w:hint="eastAsia" w:ascii="宋体" w:hAnsi="宋体" w:eastAsia="宋体" w:cs="宋体"/>
                <w:color w:val="000000"/>
                <w:sz w:val="22"/>
                <w:szCs w:val="22"/>
              </w:rPr>
              <w:t>通用迁移引擎-增量迁移</w:t>
            </w:r>
          </w:p>
        </w:tc>
        <w:tc>
          <w:tcPr>
            <w:tcW w:w="2950" w:type="pct"/>
            <w:tcBorders>
              <w:tl2br w:val="nil"/>
              <w:tr2bl w:val="nil"/>
            </w:tcBorders>
            <w:noWrap w:val="0"/>
            <w:vAlign w:val="center"/>
          </w:tcPr>
          <w:p w14:paraId="229578B1">
            <w:pPr>
              <w:spacing w:beforeLines="0" w:afterLines="0"/>
              <w:ind w:left="0" w:leftChars="0" w:firstLine="0" w:firstLineChars="0"/>
              <w:jc w:val="both"/>
              <w:rPr>
                <w:rFonts w:hint="eastAsia" w:ascii="宋体" w:hAnsi="宋体" w:eastAsia="宋体" w:cs="宋体"/>
                <w:color w:val="000000"/>
                <w:sz w:val="22"/>
                <w:szCs w:val="22"/>
              </w:rPr>
            </w:pPr>
            <w:r>
              <w:rPr>
                <w:rFonts w:hint="eastAsia" w:ascii="宋体" w:hAnsi="宋体" w:eastAsia="宋体" w:cs="宋体"/>
                <w:color w:val="000000"/>
                <w:sz w:val="22"/>
                <w:szCs w:val="22"/>
              </w:rPr>
              <w:t>实时监控文件变动，支持定时与触发式增量同步，计算哈希值确保迁移文件完全一致。</w:t>
            </w:r>
          </w:p>
        </w:tc>
      </w:tr>
      <w:tr w14:paraId="749FC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424" w:type="pct"/>
            <w:tcBorders>
              <w:tl2br w:val="nil"/>
              <w:tr2bl w:val="nil"/>
            </w:tcBorders>
            <w:noWrap w:val="0"/>
            <w:vAlign w:val="center"/>
          </w:tcPr>
          <w:p w14:paraId="2E46D1A3">
            <w:pPr>
              <w:spacing w:beforeLines="0" w:afterLines="0"/>
              <w:ind w:left="0" w:leftChars="0" w:firstLine="0" w:firstLineChar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46</w:t>
            </w:r>
          </w:p>
        </w:tc>
        <w:tc>
          <w:tcPr>
            <w:tcW w:w="1624" w:type="pct"/>
            <w:tcBorders>
              <w:tl2br w:val="nil"/>
              <w:tr2bl w:val="nil"/>
            </w:tcBorders>
            <w:noWrap w:val="0"/>
            <w:vAlign w:val="center"/>
          </w:tcPr>
          <w:p w14:paraId="7397E230">
            <w:pPr>
              <w:spacing w:beforeLines="0" w:afterLines="0"/>
              <w:ind w:left="0" w:leftChars="0" w:firstLine="0" w:firstLineChars="0"/>
              <w:jc w:val="both"/>
              <w:rPr>
                <w:rFonts w:hint="eastAsia" w:ascii="宋体" w:hAnsi="宋体" w:eastAsia="宋体" w:cs="宋体"/>
                <w:color w:val="000000"/>
                <w:sz w:val="22"/>
                <w:szCs w:val="22"/>
              </w:rPr>
            </w:pPr>
            <w:r>
              <w:rPr>
                <w:rFonts w:hint="eastAsia" w:ascii="宋体" w:hAnsi="宋体" w:eastAsia="宋体" w:cs="宋体"/>
                <w:color w:val="000000"/>
                <w:sz w:val="22"/>
                <w:szCs w:val="22"/>
              </w:rPr>
              <w:t>通用迁移引擎-备份回滚</w:t>
            </w:r>
          </w:p>
        </w:tc>
        <w:tc>
          <w:tcPr>
            <w:tcW w:w="2950" w:type="pct"/>
            <w:tcBorders>
              <w:tl2br w:val="nil"/>
              <w:tr2bl w:val="nil"/>
            </w:tcBorders>
            <w:noWrap w:val="0"/>
            <w:vAlign w:val="center"/>
          </w:tcPr>
          <w:p w14:paraId="0EF6DCDB">
            <w:pPr>
              <w:spacing w:beforeLines="0" w:afterLines="0"/>
              <w:ind w:left="0" w:leftChars="0" w:firstLine="0" w:firstLineChars="0"/>
              <w:jc w:val="both"/>
              <w:rPr>
                <w:rFonts w:hint="eastAsia" w:ascii="宋体" w:hAnsi="宋体" w:eastAsia="宋体" w:cs="宋体"/>
                <w:color w:val="000000"/>
                <w:sz w:val="22"/>
                <w:szCs w:val="22"/>
              </w:rPr>
            </w:pPr>
            <w:r>
              <w:rPr>
                <w:rFonts w:hint="eastAsia" w:ascii="宋体" w:hAnsi="宋体" w:eastAsia="宋体" w:cs="宋体"/>
                <w:color w:val="000000"/>
                <w:sz w:val="22"/>
                <w:szCs w:val="22"/>
              </w:rPr>
              <w:t>自动备份源数据生成快照，支持一键回滚恢复，清理异常文件，保障迁移数据安全可追溯。</w:t>
            </w:r>
          </w:p>
        </w:tc>
      </w:tr>
    </w:tbl>
    <w:p w14:paraId="63DB8017">
      <w:pPr>
        <w:spacing w:beforeLines="0" w:afterLines="0"/>
        <w:ind w:firstLine="0" w:firstLineChars="0"/>
        <w:rPr>
          <w:rFonts w:hint="eastAsia"/>
          <w:sz w:val="24"/>
          <w:szCs w:val="24"/>
        </w:rPr>
      </w:pPr>
    </w:p>
    <w:p w14:paraId="0353A63B">
      <w:pPr>
        <w:pStyle w:val="3"/>
        <w:spacing w:beforeLines="0" w:afterLines="0"/>
        <w:ind w:firstLine="0"/>
        <w:rPr>
          <w:rFonts w:hint="eastAsia"/>
          <w:sz w:val="30"/>
          <w:szCs w:val="32"/>
        </w:rPr>
      </w:pPr>
      <w:r>
        <w:rPr>
          <w:rFonts w:hint="eastAsia"/>
          <w:sz w:val="30"/>
          <w:szCs w:val="32"/>
        </w:rPr>
        <w:t>集约化平台业务功能优化</w:t>
      </w:r>
    </w:p>
    <w:p w14:paraId="1BCB346C">
      <w:pPr>
        <w:spacing w:beforeLines="0" w:afterLines="0"/>
        <w:rPr>
          <w:rFonts w:hint="eastAsia"/>
          <w:b/>
          <w:sz w:val="24"/>
          <w:szCs w:val="24"/>
        </w:rPr>
      </w:pPr>
      <w:r>
        <w:rPr>
          <w:rFonts w:hint="eastAsia"/>
          <w:b/>
          <w:sz w:val="24"/>
          <w:szCs w:val="24"/>
        </w:rPr>
        <w:t>1、内容库升级优化</w:t>
      </w:r>
    </w:p>
    <w:p w14:paraId="1AA962FE">
      <w:pPr>
        <w:spacing w:beforeLines="0" w:afterLines="0"/>
        <w:rPr>
          <w:rFonts w:hint="eastAsia"/>
          <w:sz w:val="24"/>
          <w:szCs w:val="24"/>
        </w:rPr>
      </w:pPr>
      <w:r>
        <w:rPr>
          <w:rFonts w:hint="eastAsia"/>
          <w:sz w:val="24"/>
          <w:szCs w:val="24"/>
        </w:rPr>
        <w:t>“同源”能力升级，实现内容库、报送库等多模块间的数据关联规则自定义，支持数据源灵活定义与分发路径规划，确保数据同源、精准流转。同时，搭建智能体接入管理体系，提供统一接入通道，强化授权审核与数据对接，实现智能问答、内容创作等智能体快速集成，提升平台智能化服务能力，满足政务数据管理与业务创新需求。通过编辑器升级优化和审核流程优化提高工作效率。</w:t>
      </w:r>
    </w:p>
    <w:p w14:paraId="019717DE">
      <w:pPr>
        <w:spacing w:beforeLines="0" w:afterLines="0"/>
        <w:rPr>
          <w:rFonts w:hint="eastAsia"/>
          <w:b/>
          <w:sz w:val="24"/>
          <w:szCs w:val="24"/>
        </w:rPr>
      </w:pPr>
      <w:r>
        <w:rPr>
          <w:rFonts w:hint="eastAsia"/>
          <w:b/>
          <w:sz w:val="24"/>
          <w:szCs w:val="24"/>
        </w:rPr>
        <w:t>2、区级子网站报送管理</w:t>
      </w:r>
    </w:p>
    <w:p w14:paraId="52A39425">
      <w:pPr>
        <w:spacing w:beforeLines="0" w:afterLines="0"/>
        <w:rPr>
          <w:rFonts w:hint="eastAsia"/>
          <w:sz w:val="24"/>
          <w:szCs w:val="24"/>
        </w:rPr>
      </w:pPr>
      <w:r>
        <w:rPr>
          <w:rFonts w:hint="eastAsia"/>
          <w:sz w:val="24"/>
          <w:szCs w:val="24"/>
        </w:rPr>
        <w:t>通过构建子单位报送库、子单位采用库以及子单位关系配置库，解决原有系统不支持区级子网站向市级单位报送问题，以满足多样化报送需求，提升数据流转覆盖面及政务协同能力。</w:t>
      </w:r>
    </w:p>
    <w:p w14:paraId="72579E5A">
      <w:pPr>
        <w:spacing w:beforeLines="0" w:afterLines="0"/>
        <w:rPr>
          <w:rFonts w:hint="eastAsia"/>
          <w:b/>
          <w:sz w:val="24"/>
          <w:szCs w:val="24"/>
        </w:rPr>
      </w:pPr>
      <w:r>
        <w:rPr>
          <w:rFonts w:hint="eastAsia"/>
          <w:b/>
          <w:sz w:val="24"/>
          <w:szCs w:val="24"/>
        </w:rPr>
        <w:t>3、工作台升级</w:t>
      </w:r>
    </w:p>
    <w:p w14:paraId="7FA59D37">
      <w:pPr>
        <w:spacing w:beforeLines="0" w:afterLines="0"/>
        <w:rPr>
          <w:rFonts w:hint="eastAsia"/>
          <w:sz w:val="24"/>
          <w:szCs w:val="24"/>
        </w:rPr>
      </w:pPr>
      <w:r>
        <w:rPr>
          <w:rFonts w:hint="eastAsia"/>
          <w:sz w:val="24"/>
          <w:szCs w:val="24"/>
        </w:rPr>
        <w:t>围绕政务工作效率与安全优化，通过工作事项提醒功能，支持多类型事项自定义配置与灵活处理，避免工作疏漏；依托内容安全管理，实现安全等级分级警示与多维问题统计，提升内容风险响应速度；整合网站运行数据管理，新增集成式发布、政策拆解等关键数据对接展示，支持多维度查询统计，帮助用户实时掌握网站运营态势，为决策提供数据支撑。</w:t>
      </w:r>
    </w:p>
    <w:p w14:paraId="08962DF5">
      <w:pPr>
        <w:spacing w:beforeLines="0" w:afterLines="0"/>
        <w:rPr>
          <w:rFonts w:hint="eastAsia"/>
          <w:b/>
          <w:sz w:val="24"/>
          <w:szCs w:val="24"/>
        </w:rPr>
      </w:pPr>
      <w:r>
        <w:rPr>
          <w:rFonts w:hint="eastAsia"/>
          <w:b/>
          <w:sz w:val="24"/>
          <w:szCs w:val="24"/>
        </w:rPr>
        <w:t>4、应用功能重构</w:t>
      </w:r>
    </w:p>
    <w:p w14:paraId="7BECE7C0">
      <w:pPr>
        <w:spacing w:beforeLines="0" w:afterLines="0"/>
        <w:rPr>
          <w:rFonts w:hint="eastAsia"/>
          <w:sz w:val="24"/>
          <w:szCs w:val="24"/>
        </w:rPr>
      </w:pPr>
      <w:r>
        <w:rPr>
          <w:rFonts w:hint="eastAsia"/>
          <w:sz w:val="24"/>
          <w:szCs w:val="24"/>
        </w:rPr>
        <w:t>视频新闻功能等应用功能于早期需求实现中使用.net研发、同时需要进行功能优化完善，进一步提升功能的实用性与用户体验，确保功能在</w:t>
      </w:r>
      <w:r>
        <w:rPr>
          <w:rFonts w:hint="eastAsia"/>
          <w:sz w:val="24"/>
          <w:szCs w:val="24"/>
          <w:lang w:eastAsia="zh-CN"/>
        </w:rPr>
        <w:t>XC</w:t>
      </w:r>
      <w:r>
        <w:rPr>
          <w:rFonts w:hint="eastAsia"/>
          <w:sz w:val="24"/>
          <w:szCs w:val="24"/>
        </w:rPr>
        <w:t>生态环境下能够持续稳定运行，在本项目中予以重构。</w:t>
      </w:r>
    </w:p>
    <w:p w14:paraId="2FF05FD2">
      <w:pPr>
        <w:spacing w:beforeLines="0" w:afterLines="0"/>
        <w:rPr>
          <w:rFonts w:hint="eastAsia"/>
          <w:sz w:val="24"/>
          <w:szCs w:val="24"/>
        </w:rPr>
      </w:pPr>
      <w:r>
        <w:rPr>
          <w:rFonts w:hint="eastAsia"/>
          <w:sz w:val="24"/>
          <w:szCs w:val="24"/>
        </w:rPr>
        <w:t>功能模块清单如下：</w:t>
      </w:r>
    </w:p>
    <w:tbl>
      <w:tblPr>
        <w:tblStyle w:val="35"/>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8"/>
        <w:gridCol w:w="3469"/>
        <w:gridCol w:w="4378"/>
      </w:tblGrid>
      <w:tr w14:paraId="5A133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trPr>
        <w:tc>
          <w:tcPr>
            <w:tcW w:w="398" w:type="pct"/>
            <w:tcBorders>
              <w:tl2br w:val="nil"/>
              <w:tr2bl w:val="nil"/>
            </w:tcBorders>
            <w:noWrap w:val="0"/>
            <w:vAlign w:val="center"/>
          </w:tcPr>
          <w:p w14:paraId="2BBABFD0">
            <w:pPr>
              <w:spacing w:beforeLines="0" w:afterLines="0"/>
              <w:ind w:left="0" w:leftChars="0" w:firstLine="0" w:firstLineChars="0"/>
              <w:jc w:val="center"/>
              <w:rPr>
                <w:rFonts w:hint="eastAsia" w:ascii="宋体" w:hAnsi="宋体" w:eastAsia="宋体" w:cs="宋体"/>
                <w:b/>
                <w:bCs/>
                <w:color w:val="000000"/>
                <w:sz w:val="22"/>
                <w:szCs w:val="24"/>
              </w:rPr>
            </w:pPr>
            <w:r>
              <w:rPr>
                <w:rFonts w:hint="eastAsia" w:ascii="宋体" w:hAnsi="宋体" w:eastAsia="宋体" w:cs="宋体"/>
                <w:b/>
                <w:bCs/>
                <w:color w:val="000000"/>
                <w:sz w:val="22"/>
                <w:szCs w:val="24"/>
              </w:rPr>
              <w:t>序号</w:t>
            </w:r>
          </w:p>
        </w:tc>
        <w:tc>
          <w:tcPr>
            <w:tcW w:w="2034" w:type="pct"/>
            <w:tcBorders>
              <w:tl2br w:val="nil"/>
              <w:tr2bl w:val="nil"/>
            </w:tcBorders>
            <w:noWrap w:val="0"/>
            <w:vAlign w:val="center"/>
          </w:tcPr>
          <w:p w14:paraId="1E87D853">
            <w:pPr>
              <w:spacing w:beforeLines="0" w:afterLines="0"/>
              <w:ind w:left="0" w:leftChars="0" w:firstLine="0" w:firstLineChars="0"/>
              <w:jc w:val="center"/>
              <w:rPr>
                <w:rFonts w:hint="eastAsia" w:ascii="宋体" w:hAnsi="宋体" w:eastAsia="宋体" w:cs="宋体"/>
                <w:b/>
                <w:bCs/>
                <w:color w:val="000000"/>
                <w:sz w:val="22"/>
                <w:szCs w:val="24"/>
              </w:rPr>
            </w:pPr>
            <w:r>
              <w:rPr>
                <w:rFonts w:hint="eastAsia" w:ascii="宋体" w:hAnsi="宋体" w:eastAsia="宋体" w:cs="宋体"/>
                <w:b/>
                <w:bCs/>
                <w:color w:val="000000"/>
                <w:sz w:val="22"/>
                <w:szCs w:val="24"/>
              </w:rPr>
              <w:t>功能名称</w:t>
            </w:r>
          </w:p>
        </w:tc>
        <w:tc>
          <w:tcPr>
            <w:tcW w:w="2567" w:type="pct"/>
            <w:tcBorders>
              <w:tl2br w:val="nil"/>
              <w:tr2bl w:val="nil"/>
            </w:tcBorders>
            <w:noWrap w:val="0"/>
            <w:vAlign w:val="center"/>
          </w:tcPr>
          <w:p w14:paraId="40365958">
            <w:pPr>
              <w:spacing w:beforeLines="0" w:afterLines="0"/>
              <w:ind w:left="0" w:leftChars="0" w:firstLine="0" w:firstLineChars="0"/>
              <w:jc w:val="center"/>
              <w:rPr>
                <w:rFonts w:hint="eastAsia" w:ascii="宋体" w:hAnsi="宋体" w:eastAsia="宋体" w:cs="宋体"/>
                <w:b/>
                <w:bCs/>
                <w:color w:val="000000"/>
                <w:sz w:val="22"/>
                <w:szCs w:val="24"/>
              </w:rPr>
            </w:pPr>
            <w:r>
              <w:rPr>
                <w:rFonts w:hint="eastAsia" w:ascii="宋体" w:hAnsi="宋体" w:eastAsia="宋体" w:cs="宋体"/>
                <w:b/>
                <w:bCs/>
                <w:color w:val="000000"/>
                <w:sz w:val="22"/>
                <w:szCs w:val="24"/>
              </w:rPr>
              <w:t>功能描述</w:t>
            </w:r>
          </w:p>
        </w:tc>
      </w:tr>
      <w:tr w14:paraId="30AF8F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398" w:type="pct"/>
            <w:tcBorders>
              <w:tl2br w:val="nil"/>
              <w:tr2bl w:val="nil"/>
            </w:tcBorders>
            <w:noWrap w:val="0"/>
            <w:vAlign w:val="center"/>
          </w:tcPr>
          <w:p w14:paraId="0E3A060F">
            <w:pPr>
              <w:spacing w:beforeLines="0" w:afterLines="0"/>
              <w:ind w:left="0" w:leftChars="0" w:firstLine="0" w:firstLineChars="0"/>
              <w:jc w:val="center"/>
              <w:rPr>
                <w:rFonts w:hint="eastAsia" w:ascii="宋体" w:hAnsi="宋体" w:eastAsia="宋体" w:cs="宋体"/>
                <w:color w:val="000000"/>
                <w:sz w:val="22"/>
                <w:szCs w:val="24"/>
              </w:rPr>
            </w:pPr>
            <w:r>
              <w:rPr>
                <w:rFonts w:hint="eastAsia" w:ascii="宋体" w:hAnsi="宋体" w:eastAsia="宋体" w:cs="宋体"/>
                <w:color w:val="000000"/>
                <w:sz w:val="22"/>
                <w:szCs w:val="24"/>
              </w:rPr>
              <w:t>1</w:t>
            </w:r>
          </w:p>
        </w:tc>
        <w:tc>
          <w:tcPr>
            <w:tcW w:w="2034" w:type="pct"/>
            <w:tcBorders>
              <w:tl2br w:val="nil"/>
              <w:tr2bl w:val="nil"/>
            </w:tcBorders>
            <w:noWrap w:val="0"/>
            <w:vAlign w:val="center"/>
          </w:tcPr>
          <w:p w14:paraId="05643162">
            <w:pPr>
              <w:spacing w:beforeLines="0" w:afterLines="0"/>
              <w:ind w:left="0" w:leftChars="0" w:firstLine="0" w:firstLineChars="0"/>
              <w:jc w:val="both"/>
              <w:rPr>
                <w:rFonts w:hint="eastAsia" w:ascii="宋体" w:hAnsi="宋体" w:eastAsia="宋体" w:cs="宋体"/>
                <w:color w:val="000000"/>
                <w:sz w:val="22"/>
                <w:szCs w:val="24"/>
              </w:rPr>
            </w:pPr>
            <w:r>
              <w:rPr>
                <w:rFonts w:hint="eastAsia" w:ascii="宋体" w:hAnsi="宋体" w:eastAsia="宋体" w:cs="宋体"/>
                <w:color w:val="000000"/>
                <w:sz w:val="22"/>
                <w:szCs w:val="24"/>
              </w:rPr>
              <w:t>内容库升级优化-同源管理配置</w:t>
            </w:r>
          </w:p>
        </w:tc>
        <w:tc>
          <w:tcPr>
            <w:tcW w:w="2567" w:type="pct"/>
            <w:tcBorders>
              <w:tl2br w:val="nil"/>
              <w:tr2bl w:val="nil"/>
            </w:tcBorders>
            <w:noWrap w:val="0"/>
            <w:vAlign w:val="center"/>
          </w:tcPr>
          <w:p w14:paraId="0A79FBC2">
            <w:pPr>
              <w:spacing w:beforeLines="0" w:afterLines="0"/>
              <w:ind w:left="0" w:leftChars="0" w:firstLine="0" w:firstLineChars="0"/>
              <w:jc w:val="both"/>
              <w:rPr>
                <w:rFonts w:hint="eastAsia" w:ascii="宋体" w:hAnsi="宋体" w:eastAsia="宋体" w:cs="宋体"/>
                <w:color w:val="000000"/>
                <w:sz w:val="22"/>
                <w:szCs w:val="24"/>
              </w:rPr>
            </w:pPr>
            <w:r>
              <w:rPr>
                <w:rFonts w:hint="eastAsia" w:ascii="宋体" w:hAnsi="宋体" w:eastAsia="宋体" w:cs="宋体"/>
                <w:color w:val="000000"/>
                <w:sz w:val="22"/>
                <w:szCs w:val="24"/>
              </w:rPr>
              <w:t>支持自定义内容库模块关联规则，管理数据源与分发路径，形成清晰自动化数据链路。</w:t>
            </w:r>
          </w:p>
        </w:tc>
      </w:tr>
      <w:tr w14:paraId="3A2FFA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398" w:type="pct"/>
            <w:tcBorders>
              <w:tl2br w:val="nil"/>
              <w:tr2bl w:val="nil"/>
            </w:tcBorders>
            <w:noWrap w:val="0"/>
            <w:vAlign w:val="center"/>
          </w:tcPr>
          <w:p w14:paraId="68123CFA">
            <w:pPr>
              <w:spacing w:beforeLines="0" w:afterLines="0"/>
              <w:ind w:left="0" w:leftChars="0" w:firstLine="0" w:firstLineChars="0"/>
              <w:jc w:val="center"/>
              <w:rPr>
                <w:rFonts w:hint="eastAsia" w:ascii="宋体" w:hAnsi="宋体" w:eastAsia="宋体" w:cs="宋体"/>
                <w:color w:val="000000"/>
                <w:sz w:val="22"/>
                <w:szCs w:val="24"/>
              </w:rPr>
            </w:pPr>
            <w:r>
              <w:rPr>
                <w:rFonts w:hint="eastAsia" w:ascii="宋体" w:hAnsi="宋体" w:eastAsia="宋体" w:cs="宋体"/>
                <w:color w:val="000000"/>
                <w:sz w:val="22"/>
                <w:szCs w:val="24"/>
              </w:rPr>
              <w:t>2</w:t>
            </w:r>
          </w:p>
        </w:tc>
        <w:tc>
          <w:tcPr>
            <w:tcW w:w="2034" w:type="pct"/>
            <w:tcBorders>
              <w:tl2br w:val="nil"/>
              <w:tr2bl w:val="nil"/>
            </w:tcBorders>
            <w:noWrap w:val="0"/>
            <w:vAlign w:val="center"/>
          </w:tcPr>
          <w:p w14:paraId="106522F4">
            <w:pPr>
              <w:spacing w:beforeLines="0" w:afterLines="0"/>
              <w:ind w:left="0" w:leftChars="0" w:firstLine="0" w:firstLineChars="0"/>
              <w:jc w:val="both"/>
              <w:rPr>
                <w:rFonts w:hint="eastAsia" w:ascii="宋体" w:hAnsi="宋体" w:eastAsia="宋体" w:cs="宋体"/>
                <w:color w:val="000000"/>
                <w:sz w:val="22"/>
                <w:szCs w:val="24"/>
              </w:rPr>
            </w:pPr>
            <w:r>
              <w:rPr>
                <w:rFonts w:hint="eastAsia" w:ascii="宋体" w:hAnsi="宋体" w:eastAsia="宋体" w:cs="宋体"/>
                <w:color w:val="000000"/>
                <w:sz w:val="22"/>
                <w:szCs w:val="24"/>
              </w:rPr>
              <w:t>内容库升级优化-智能体接入管理</w:t>
            </w:r>
          </w:p>
        </w:tc>
        <w:tc>
          <w:tcPr>
            <w:tcW w:w="2567" w:type="pct"/>
            <w:tcBorders>
              <w:tl2br w:val="nil"/>
              <w:tr2bl w:val="nil"/>
            </w:tcBorders>
            <w:noWrap w:val="0"/>
            <w:vAlign w:val="center"/>
          </w:tcPr>
          <w:p w14:paraId="2DA26575">
            <w:pPr>
              <w:spacing w:beforeLines="0" w:afterLines="0"/>
              <w:ind w:left="0" w:leftChars="0" w:firstLine="0" w:firstLineChars="0"/>
              <w:jc w:val="both"/>
              <w:rPr>
                <w:rFonts w:hint="eastAsia" w:ascii="宋体" w:hAnsi="宋体" w:eastAsia="宋体" w:cs="宋体"/>
                <w:color w:val="000000"/>
                <w:sz w:val="22"/>
                <w:szCs w:val="24"/>
              </w:rPr>
            </w:pPr>
            <w:r>
              <w:rPr>
                <w:rFonts w:hint="eastAsia" w:ascii="宋体" w:hAnsi="宋体" w:eastAsia="宋体" w:cs="宋体"/>
                <w:color w:val="000000"/>
                <w:sz w:val="22"/>
                <w:szCs w:val="24"/>
              </w:rPr>
              <w:t>为多类型智能体提供统一接入通道，精细化授权管理，标准化交互保障平台数据安全。</w:t>
            </w:r>
          </w:p>
        </w:tc>
      </w:tr>
      <w:tr w14:paraId="3A813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398" w:type="pct"/>
            <w:tcBorders>
              <w:tl2br w:val="nil"/>
              <w:tr2bl w:val="nil"/>
            </w:tcBorders>
            <w:noWrap w:val="0"/>
            <w:vAlign w:val="center"/>
          </w:tcPr>
          <w:p w14:paraId="27E5C8F1">
            <w:pPr>
              <w:spacing w:beforeLines="0" w:afterLines="0"/>
              <w:ind w:left="0" w:leftChars="0" w:firstLine="0" w:firstLineChars="0"/>
              <w:jc w:val="center"/>
              <w:rPr>
                <w:rFonts w:hint="eastAsia" w:ascii="宋体" w:hAnsi="宋体" w:eastAsia="宋体" w:cs="宋体"/>
                <w:color w:val="000000"/>
                <w:sz w:val="22"/>
                <w:szCs w:val="24"/>
              </w:rPr>
            </w:pPr>
            <w:r>
              <w:rPr>
                <w:rFonts w:hint="eastAsia" w:ascii="宋体" w:hAnsi="宋体" w:eastAsia="宋体" w:cs="宋体"/>
                <w:color w:val="000000"/>
                <w:sz w:val="22"/>
                <w:szCs w:val="24"/>
              </w:rPr>
              <w:t>3</w:t>
            </w:r>
          </w:p>
        </w:tc>
        <w:tc>
          <w:tcPr>
            <w:tcW w:w="2034" w:type="pct"/>
            <w:tcBorders>
              <w:tl2br w:val="nil"/>
              <w:tr2bl w:val="nil"/>
            </w:tcBorders>
            <w:noWrap w:val="0"/>
            <w:vAlign w:val="center"/>
          </w:tcPr>
          <w:p w14:paraId="62D50DD1">
            <w:pPr>
              <w:spacing w:beforeLines="0" w:afterLines="0"/>
              <w:ind w:left="0" w:leftChars="0" w:firstLine="0" w:firstLineChars="0"/>
              <w:jc w:val="both"/>
              <w:rPr>
                <w:rFonts w:hint="eastAsia" w:ascii="宋体" w:hAnsi="宋体" w:eastAsia="宋体" w:cs="宋体"/>
                <w:color w:val="000000"/>
                <w:sz w:val="22"/>
                <w:szCs w:val="24"/>
              </w:rPr>
            </w:pPr>
            <w:r>
              <w:rPr>
                <w:rFonts w:hint="eastAsia" w:ascii="宋体" w:hAnsi="宋体" w:eastAsia="宋体" w:cs="宋体"/>
                <w:color w:val="000000"/>
                <w:sz w:val="22"/>
                <w:szCs w:val="24"/>
              </w:rPr>
              <w:t>内容库升级优化-编辑器升级优化/审核流程优化</w:t>
            </w:r>
          </w:p>
        </w:tc>
        <w:tc>
          <w:tcPr>
            <w:tcW w:w="2567" w:type="pct"/>
            <w:tcBorders>
              <w:tl2br w:val="nil"/>
              <w:tr2bl w:val="nil"/>
            </w:tcBorders>
            <w:noWrap w:val="0"/>
            <w:vAlign w:val="center"/>
          </w:tcPr>
          <w:p w14:paraId="6F4B1600">
            <w:pPr>
              <w:spacing w:beforeLines="0" w:afterLines="0"/>
              <w:ind w:left="0" w:leftChars="0" w:firstLine="0" w:firstLineChars="0"/>
              <w:jc w:val="both"/>
              <w:rPr>
                <w:rFonts w:hint="eastAsia" w:ascii="宋体" w:hAnsi="宋体" w:eastAsia="宋体" w:cs="宋体"/>
                <w:color w:val="000000"/>
                <w:sz w:val="22"/>
                <w:szCs w:val="24"/>
              </w:rPr>
            </w:pPr>
            <w:r>
              <w:rPr>
                <w:rFonts w:hint="eastAsia" w:ascii="宋体" w:hAnsi="宋体" w:eastAsia="宋体" w:cs="宋体"/>
                <w:color w:val="000000"/>
                <w:sz w:val="22"/>
                <w:szCs w:val="24"/>
              </w:rPr>
              <w:t>升级编辑器支持批量处理媒体资源，优化审核流程，提供自定义模板提升工作效率。</w:t>
            </w:r>
          </w:p>
        </w:tc>
      </w:tr>
      <w:tr w14:paraId="71C985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398" w:type="pct"/>
            <w:tcBorders>
              <w:tl2br w:val="nil"/>
              <w:tr2bl w:val="nil"/>
            </w:tcBorders>
            <w:noWrap w:val="0"/>
            <w:vAlign w:val="center"/>
          </w:tcPr>
          <w:p w14:paraId="205944BF">
            <w:pPr>
              <w:spacing w:beforeLines="0" w:afterLines="0"/>
              <w:ind w:left="0" w:leftChars="0" w:firstLine="0" w:firstLineChars="0"/>
              <w:jc w:val="center"/>
              <w:rPr>
                <w:rFonts w:hint="eastAsia" w:ascii="宋体" w:hAnsi="宋体" w:eastAsia="宋体" w:cs="宋体"/>
                <w:color w:val="000000"/>
                <w:sz w:val="22"/>
                <w:szCs w:val="24"/>
              </w:rPr>
            </w:pPr>
            <w:r>
              <w:rPr>
                <w:rFonts w:hint="eastAsia" w:ascii="宋体" w:hAnsi="宋体" w:eastAsia="宋体" w:cs="宋体"/>
                <w:color w:val="000000"/>
                <w:sz w:val="22"/>
                <w:szCs w:val="24"/>
              </w:rPr>
              <w:t>4</w:t>
            </w:r>
          </w:p>
        </w:tc>
        <w:tc>
          <w:tcPr>
            <w:tcW w:w="2034" w:type="pct"/>
            <w:tcBorders>
              <w:tl2br w:val="nil"/>
              <w:tr2bl w:val="nil"/>
            </w:tcBorders>
            <w:noWrap w:val="0"/>
            <w:vAlign w:val="center"/>
          </w:tcPr>
          <w:p w14:paraId="307A5479">
            <w:pPr>
              <w:spacing w:beforeLines="0" w:afterLines="0"/>
              <w:ind w:left="0" w:leftChars="0" w:firstLine="0" w:firstLineChars="0"/>
              <w:jc w:val="both"/>
              <w:rPr>
                <w:rFonts w:hint="eastAsia" w:ascii="宋体" w:hAnsi="宋体" w:eastAsia="宋体" w:cs="宋体"/>
                <w:color w:val="000000"/>
                <w:sz w:val="22"/>
                <w:szCs w:val="24"/>
              </w:rPr>
            </w:pPr>
            <w:r>
              <w:rPr>
                <w:rFonts w:hint="eastAsia" w:ascii="宋体" w:hAnsi="宋体" w:eastAsia="宋体" w:cs="宋体"/>
                <w:color w:val="000000"/>
                <w:sz w:val="22"/>
                <w:szCs w:val="24"/>
              </w:rPr>
              <w:t>区级子网站报送管理-数据报送管理/报送数据查询</w:t>
            </w:r>
          </w:p>
        </w:tc>
        <w:tc>
          <w:tcPr>
            <w:tcW w:w="2567" w:type="pct"/>
            <w:tcBorders>
              <w:tl2br w:val="nil"/>
              <w:tr2bl w:val="nil"/>
            </w:tcBorders>
            <w:noWrap w:val="0"/>
            <w:vAlign w:val="center"/>
          </w:tcPr>
          <w:p w14:paraId="68BADEAA">
            <w:pPr>
              <w:spacing w:beforeLines="0" w:afterLines="0"/>
              <w:ind w:left="0" w:leftChars="0" w:firstLine="0" w:firstLineChars="0"/>
              <w:jc w:val="both"/>
              <w:rPr>
                <w:rFonts w:hint="eastAsia" w:ascii="宋体" w:hAnsi="宋体" w:eastAsia="宋体" w:cs="宋体"/>
                <w:color w:val="000000"/>
                <w:sz w:val="22"/>
                <w:szCs w:val="24"/>
              </w:rPr>
            </w:pPr>
            <w:r>
              <w:rPr>
                <w:rFonts w:hint="eastAsia" w:ascii="宋体" w:hAnsi="宋体" w:eastAsia="宋体" w:cs="宋体"/>
                <w:color w:val="000000"/>
                <w:sz w:val="22"/>
                <w:szCs w:val="24"/>
              </w:rPr>
              <w:t>为区级子网站提供独立报送入口，校验多格式数据，支持多条件查询报送详情与进度。</w:t>
            </w:r>
          </w:p>
        </w:tc>
      </w:tr>
      <w:tr w14:paraId="54115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398" w:type="pct"/>
            <w:tcBorders>
              <w:tl2br w:val="nil"/>
              <w:tr2bl w:val="nil"/>
            </w:tcBorders>
            <w:noWrap w:val="0"/>
            <w:vAlign w:val="center"/>
          </w:tcPr>
          <w:p w14:paraId="0D4E3346">
            <w:pPr>
              <w:spacing w:beforeLines="0" w:afterLines="0"/>
              <w:ind w:left="0" w:leftChars="0" w:firstLine="0" w:firstLineChars="0"/>
              <w:jc w:val="center"/>
              <w:rPr>
                <w:rFonts w:hint="eastAsia" w:ascii="宋体" w:hAnsi="宋体" w:eastAsia="宋体" w:cs="宋体"/>
                <w:color w:val="000000"/>
                <w:sz w:val="22"/>
                <w:szCs w:val="24"/>
              </w:rPr>
            </w:pPr>
            <w:r>
              <w:rPr>
                <w:rFonts w:hint="eastAsia" w:ascii="宋体" w:hAnsi="宋体" w:eastAsia="宋体" w:cs="宋体"/>
                <w:color w:val="000000"/>
                <w:sz w:val="22"/>
                <w:szCs w:val="24"/>
              </w:rPr>
              <w:t>5</w:t>
            </w:r>
          </w:p>
        </w:tc>
        <w:tc>
          <w:tcPr>
            <w:tcW w:w="2034" w:type="pct"/>
            <w:tcBorders>
              <w:tl2br w:val="nil"/>
              <w:tr2bl w:val="nil"/>
            </w:tcBorders>
            <w:noWrap w:val="0"/>
            <w:vAlign w:val="center"/>
          </w:tcPr>
          <w:p w14:paraId="4708E584">
            <w:pPr>
              <w:spacing w:beforeLines="0" w:afterLines="0"/>
              <w:ind w:left="0" w:leftChars="0" w:firstLine="0" w:firstLineChars="0"/>
              <w:jc w:val="both"/>
              <w:rPr>
                <w:rFonts w:hint="eastAsia" w:ascii="宋体" w:hAnsi="宋体" w:eastAsia="宋体" w:cs="宋体"/>
                <w:color w:val="000000"/>
                <w:sz w:val="22"/>
                <w:szCs w:val="24"/>
              </w:rPr>
            </w:pPr>
            <w:r>
              <w:rPr>
                <w:rFonts w:hint="eastAsia" w:ascii="宋体" w:hAnsi="宋体" w:eastAsia="宋体" w:cs="宋体"/>
                <w:color w:val="000000"/>
                <w:sz w:val="22"/>
                <w:szCs w:val="24"/>
              </w:rPr>
              <w:t>区级子网站报送管理-报送数据统计/标签个性化配置</w:t>
            </w:r>
          </w:p>
        </w:tc>
        <w:tc>
          <w:tcPr>
            <w:tcW w:w="2567" w:type="pct"/>
            <w:tcBorders>
              <w:tl2br w:val="nil"/>
              <w:tr2bl w:val="nil"/>
            </w:tcBorders>
            <w:noWrap w:val="0"/>
            <w:vAlign w:val="center"/>
          </w:tcPr>
          <w:p w14:paraId="022CFDC5">
            <w:pPr>
              <w:spacing w:beforeLines="0" w:afterLines="0"/>
              <w:ind w:left="0" w:leftChars="0" w:firstLine="0" w:firstLineChars="0"/>
              <w:jc w:val="both"/>
              <w:rPr>
                <w:rFonts w:hint="eastAsia" w:ascii="宋体" w:hAnsi="宋体" w:eastAsia="宋体" w:cs="宋体"/>
                <w:color w:val="000000"/>
                <w:sz w:val="22"/>
                <w:szCs w:val="24"/>
              </w:rPr>
            </w:pPr>
            <w:r>
              <w:rPr>
                <w:rFonts w:hint="eastAsia" w:ascii="宋体" w:hAnsi="宋体" w:eastAsia="宋体" w:cs="宋体"/>
                <w:color w:val="000000"/>
                <w:sz w:val="22"/>
                <w:szCs w:val="24"/>
              </w:rPr>
              <w:t>自动统计报送数据生成可视化报表，支持子网站自定义标签体系，实现数据精细化分类。</w:t>
            </w:r>
          </w:p>
        </w:tc>
      </w:tr>
      <w:tr w14:paraId="26293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398" w:type="pct"/>
            <w:tcBorders>
              <w:tl2br w:val="nil"/>
              <w:tr2bl w:val="nil"/>
            </w:tcBorders>
            <w:noWrap w:val="0"/>
            <w:vAlign w:val="center"/>
          </w:tcPr>
          <w:p w14:paraId="738B8A15">
            <w:pPr>
              <w:spacing w:beforeLines="0" w:afterLines="0"/>
              <w:ind w:left="0" w:leftChars="0" w:firstLine="0" w:firstLineChars="0"/>
              <w:jc w:val="center"/>
              <w:rPr>
                <w:rFonts w:hint="eastAsia" w:ascii="宋体" w:hAnsi="宋体" w:eastAsia="宋体" w:cs="宋体"/>
                <w:color w:val="000000"/>
                <w:sz w:val="22"/>
                <w:szCs w:val="24"/>
              </w:rPr>
            </w:pPr>
            <w:r>
              <w:rPr>
                <w:rFonts w:hint="eastAsia" w:ascii="宋体" w:hAnsi="宋体" w:eastAsia="宋体" w:cs="宋体"/>
                <w:color w:val="000000"/>
                <w:sz w:val="22"/>
                <w:szCs w:val="24"/>
              </w:rPr>
              <w:t>6</w:t>
            </w:r>
          </w:p>
        </w:tc>
        <w:tc>
          <w:tcPr>
            <w:tcW w:w="2034" w:type="pct"/>
            <w:tcBorders>
              <w:tl2br w:val="nil"/>
              <w:tr2bl w:val="nil"/>
            </w:tcBorders>
            <w:noWrap w:val="0"/>
            <w:vAlign w:val="center"/>
          </w:tcPr>
          <w:p w14:paraId="2195FF07">
            <w:pPr>
              <w:spacing w:beforeLines="0" w:afterLines="0"/>
              <w:ind w:left="0" w:leftChars="0" w:firstLine="0" w:firstLineChars="0"/>
              <w:jc w:val="both"/>
              <w:rPr>
                <w:rFonts w:hint="eastAsia" w:ascii="宋体" w:hAnsi="宋体" w:eastAsia="宋体" w:cs="宋体"/>
                <w:color w:val="000000"/>
                <w:sz w:val="22"/>
                <w:szCs w:val="24"/>
              </w:rPr>
            </w:pPr>
            <w:r>
              <w:rPr>
                <w:rFonts w:hint="eastAsia" w:ascii="宋体" w:hAnsi="宋体" w:eastAsia="宋体" w:cs="宋体"/>
                <w:color w:val="000000"/>
                <w:sz w:val="22"/>
                <w:szCs w:val="24"/>
              </w:rPr>
              <w:t>区级子网站报送管理-子单位采用库</w:t>
            </w:r>
          </w:p>
        </w:tc>
        <w:tc>
          <w:tcPr>
            <w:tcW w:w="2567" w:type="pct"/>
            <w:tcBorders>
              <w:tl2br w:val="nil"/>
              <w:tr2bl w:val="nil"/>
            </w:tcBorders>
            <w:noWrap w:val="0"/>
            <w:vAlign w:val="center"/>
          </w:tcPr>
          <w:p w14:paraId="462E5B92">
            <w:pPr>
              <w:spacing w:beforeLines="0" w:afterLines="0"/>
              <w:ind w:left="0" w:leftChars="0" w:firstLine="0" w:firstLineChars="0"/>
              <w:jc w:val="both"/>
              <w:rPr>
                <w:rFonts w:hint="eastAsia" w:ascii="宋体" w:hAnsi="宋体" w:eastAsia="宋体" w:cs="宋体"/>
                <w:color w:val="000000"/>
                <w:sz w:val="22"/>
                <w:szCs w:val="24"/>
              </w:rPr>
            </w:pPr>
            <w:r>
              <w:rPr>
                <w:rFonts w:hint="eastAsia" w:ascii="宋体" w:hAnsi="宋体" w:eastAsia="宋体" w:cs="宋体"/>
                <w:color w:val="000000"/>
                <w:sz w:val="22"/>
                <w:szCs w:val="24"/>
              </w:rPr>
              <w:t>支持市级审核区级报送数据，记录采用退回信息，统计采用率等指标评估报送质量。</w:t>
            </w:r>
          </w:p>
        </w:tc>
      </w:tr>
      <w:tr w14:paraId="3C9DF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398" w:type="pct"/>
            <w:tcBorders>
              <w:tl2br w:val="nil"/>
              <w:tr2bl w:val="nil"/>
            </w:tcBorders>
            <w:noWrap w:val="0"/>
            <w:vAlign w:val="center"/>
          </w:tcPr>
          <w:p w14:paraId="590C366B">
            <w:pPr>
              <w:spacing w:beforeLines="0" w:afterLines="0"/>
              <w:ind w:left="0" w:leftChars="0" w:firstLine="0" w:firstLineChars="0"/>
              <w:jc w:val="center"/>
              <w:rPr>
                <w:rFonts w:hint="eastAsia" w:ascii="宋体" w:hAnsi="宋体" w:eastAsia="宋体" w:cs="宋体"/>
                <w:color w:val="000000"/>
                <w:sz w:val="22"/>
                <w:szCs w:val="24"/>
              </w:rPr>
            </w:pPr>
            <w:r>
              <w:rPr>
                <w:rFonts w:hint="eastAsia" w:ascii="宋体" w:hAnsi="宋体" w:eastAsia="宋体" w:cs="宋体"/>
                <w:color w:val="000000"/>
                <w:sz w:val="22"/>
                <w:szCs w:val="24"/>
              </w:rPr>
              <w:t>7</w:t>
            </w:r>
          </w:p>
        </w:tc>
        <w:tc>
          <w:tcPr>
            <w:tcW w:w="2034" w:type="pct"/>
            <w:tcBorders>
              <w:tl2br w:val="nil"/>
              <w:tr2bl w:val="nil"/>
            </w:tcBorders>
            <w:noWrap w:val="0"/>
            <w:vAlign w:val="center"/>
          </w:tcPr>
          <w:p w14:paraId="2F5C798D">
            <w:pPr>
              <w:spacing w:beforeLines="0" w:afterLines="0"/>
              <w:ind w:left="0" w:leftChars="0" w:firstLine="0" w:firstLineChars="0"/>
              <w:jc w:val="both"/>
              <w:rPr>
                <w:rFonts w:hint="eastAsia" w:ascii="宋体" w:hAnsi="宋体" w:eastAsia="宋体" w:cs="宋体"/>
                <w:color w:val="000000"/>
                <w:sz w:val="22"/>
                <w:szCs w:val="24"/>
              </w:rPr>
            </w:pPr>
            <w:r>
              <w:rPr>
                <w:rFonts w:hint="eastAsia" w:ascii="宋体" w:hAnsi="宋体" w:eastAsia="宋体" w:cs="宋体"/>
                <w:color w:val="000000"/>
                <w:sz w:val="22"/>
                <w:szCs w:val="24"/>
              </w:rPr>
              <w:t>区级子网站报送管理-子单位关系配置库</w:t>
            </w:r>
          </w:p>
        </w:tc>
        <w:tc>
          <w:tcPr>
            <w:tcW w:w="2567" w:type="pct"/>
            <w:tcBorders>
              <w:tl2br w:val="nil"/>
              <w:tr2bl w:val="nil"/>
            </w:tcBorders>
            <w:noWrap w:val="0"/>
            <w:vAlign w:val="center"/>
          </w:tcPr>
          <w:p w14:paraId="0D39A83D">
            <w:pPr>
              <w:spacing w:beforeLines="0" w:afterLines="0"/>
              <w:ind w:left="0" w:leftChars="0" w:firstLine="0" w:firstLineChars="0"/>
              <w:jc w:val="both"/>
              <w:rPr>
                <w:rFonts w:hint="eastAsia" w:ascii="宋体" w:hAnsi="宋体" w:eastAsia="宋体" w:cs="宋体"/>
                <w:color w:val="000000"/>
                <w:sz w:val="22"/>
                <w:szCs w:val="24"/>
              </w:rPr>
            </w:pPr>
            <w:r>
              <w:rPr>
                <w:rFonts w:hint="eastAsia" w:ascii="宋体" w:hAnsi="宋体" w:eastAsia="宋体" w:cs="宋体"/>
                <w:color w:val="000000"/>
                <w:sz w:val="22"/>
                <w:szCs w:val="24"/>
              </w:rPr>
              <w:t>可视化配置市区报送关系，精细化管控菜单与数据权限，规范数据流向保障安全。</w:t>
            </w:r>
          </w:p>
        </w:tc>
      </w:tr>
      <w:tr w14:paraId="4E5AC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398" w:type="pct"/>
            <w:tcBorders>
              <w:tl2br w:val="nil"/>
              <w:tr2bl w:val="nil"/>
            </w:tcBorders>
            <w:noWrap w:val="0"/>
            <w:vAlign w:val="center"/>
          </w:tcPr>
          <w:p w14:paraId="7965D8E8">
            <w:pPr>
              <w:spacing w:beforeLines="0" w:afterLines="0"/>
              <w:ind w:left="0" w:leftChars="0" w:firstLine="0" w:firstLineChars="0"/>
              <w:jc w:val="center"/>
              <w:rPr>
                <w:rFonts w:hint="eastAsia" w:ascii="宋体" w:hAnsi="宋体" w:eastAsia="宋体" w:cs="宋体"/>
                <w:color w:val="000000"/>
                <w:sz w:val="22"/>
                <w:szCs w:val="24"/>
              </w:rPr>
            </w:pPr>
            <w:r>
              <w:rPr>
                <w:rFonts w:hint="eastAsia" w:ascii="宋体" w:hAnsi="宋体" w:eastAsia="宋体" w:cs="宋体"/>
                <w:color w:val="000000"/>
                <w:sz w:val="22"/>
                <w:szCs w:val="24"/>
              </w:rPr>
              <w:t>8</w:t>
            </w:r>
          </w:p>
        </w:tc>
        <w:tc>
          <w:tcPr>
            <w:tcW w:w="2034" w:type="pct"/>
            <w:tcBorders>
              <w:tl2br w:val="nil"/>
              <w:tr2bl w:val="nil"/>
            </w:tcBorders>
            <w:noWrap w:val="0"/>
            <w:vAlign w:val="center"/>
          </w:tcPr>
          <w:p w14:paraId="383763D0">
            <w:pPr>
              <w:spacing w:beforeLines="0" w:afterLines="0"/>
              <w:ind w:left="0" w:leftChars="0" w:firstLine="0" w:firstLineChars="0"/>
              <w:jc w:val="both"/>
              <w:rPr>
                <w:rFonts w:hint="eastAsia" w:ascii="宋体" w:hAnsi="宋体" w:eastAsia="宋体" w:cs="宋体"/>
                <w:color w:val="000000"/>
                <w:sz w:val="22"/>
                <w:szCs w:val="24"/>
              </w:rPr>
            </w:pPr>
            <w:r>
              <w:rPr>
                <w:rFonts w:hint="eastAsia" w:ascii="宋体" w:hAnsi="宋体" w:eastAsia="宋体" w:cs="宋体"/>
                <w:color w:val="000000"/>
                <w:sz w:val="22"/>
                <w:szCs w:val="24"/>
              </w:rPr>
              <w:t>工作台升级优化-工作事项提醒/内容安全管理</w:t>
            </w:r>
          </w:p>
        </w:tc>
        <w:tc>
          <w:tcPr>
            <w:tcW w:w="2567" w:type="pct"/>
            <w:tcBorders>
              <w:tl2br w:val="nil"/>
              <w:tr2bl w:val="nil"/>
            </w:tcBorders>
            <w:noWrap w:val="0"/>
            <w:vAlign w:val="center"/>
          </w:tcPr>
          <w:p w14:paraId="6B941952">
            <w:pPr>
              <w:spacing w:beforeLines="0" w:afterLines="0"/>
              <w:ind w:left="0" w:leftChars="0" w:firstLine="0" w:firstLineChars="0"/>
              <w:jc w:val="both"/>
              <w:rPr>
                <w:rFonts w:hint="eastAsia" w:ascii="宋体" w:hAnsi="宋体" w:eastAsia="宋体" w:cs="宋体"/>
                <w:color w:val="000000"/>
                <w:sz w:val="22"/>
                <w:szCs w:val="24"/>
              </w:rPr>
            </w:pPr>
            <w:r>
              <w:rPr>
                <w:rFonts w:hint="eastAsia" w:ascii="宋体" w:hAnsi="宋体" w:eastAsia="宋体" w:cs="宋体"/>
                <w:color w:val="000000"/>
                <w:sz w:val="22"/>
                <w:szCs w:val="24"/>
              </w:rPr>
              <w:t>支持工作事项自定义提醒与分级安全警示，多维度统计安全数据，发现风险趋势。</w:t>
            </w:r>
          </w:p>
        </w:tc>
      </w:tr>
      <w:tr w14:paraId="1B85E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398" w:type="pct"/>
            <w:tcBorders>
              <w:tl2br w:val="nil"/>
              <w:tr2bl w:val="nil"/>
            </w:tcBorders>
            <w:noWrap w:val="0"/>
            <w:vAlign w:val="center"/>
          </w:tcPr>
          <w:p w14:paraId="4171B98E">
            <w:pPr>
              <w:spacing w:beforeLines="0" w:afterLines="0"/>
              <w:ind w:left="0" w:leftChars="0" w:firstLine="0" w:firstLineChars="0"/>
              <w:jc w:val="center"/>
              <w:rPr>
                <w:rFonts w:hint="eastAsia" w:ascii="宋体" w:hAnsi="宋体" w:eastAsia="宋体" w:cs="宋体"/>
                <w:color w:val="000000"/>
                <w:sz w:val="22"/>
                <w:szCs w:val="24"/>
              </w:rPr>
            </w:pPr>
            <w:r>
              <w:rPr>
                <w:rFonts w:hint="eastAsia" w:ascii="宋体" w:hAnsi="宋体" w:eastAsia="宋体" w:cs="宋体"/>
                <w:color w:val="000000"/>
                <w:sz w:val="22"/>
                <w:szCs w:val="24"/>
              </w:rPr>
              <w:t>9</w:t>
            </w:r>
          </w:p>
        </w:tc>
        <w:tc>
          <w:tcPr>
            <w:tcW w:w="2034" w:type="pct"/>
            <w:tcBorders>
              <w:tl2br w:val="nil"/>
              <w:tr2bl w:val="nil"/>
            </w:tcBorders>
            <w:noWrap w:val="0"/>
            <w:vAlign w:val="center"/>
          </w:tcPr>
          <w:p w14:paraId="7D689862">
            <w:pPr>
              <w:spacing w:beforeLines="0" w:afterLines="0"/>
              <w:ind w:left="0" w:leftChars="0" w:firstLine="0" w:firstLineChars="0"/>
              <w:jc w:val="both"/>
              <w:rPr>
                <w:rFonts w:hint="eastAsia" w:ascii="宋体" w:hAnsi="宋体" w:eastAsia="宋体" w:cs="宋体"/>
                <w:color w:val="000000"/>
                <w:sz w:val="22"/>
                <w:szCs w:val="24"/>
              </w:rPr>
            </w:pPr>
            <w:r>
              <w:rPr>
                <w:rFonts w:hint="eastAsia" w:ascii="宋体" w:hAnsi="宋体" w:eastAsia="宋体" w:cs="宋体"/>
                <w:color w:val="000000"/>
                <w:sz w:val="22"/>
                <w:szCs w:val="24"/>
              </w:rPr>
              <w:t>工作台升级优化-网站运行数据管理</w:t>
            </w:r>
          </w:p>
        </w:tc>
        <w:tc>
          <w:tcPr>
            <w:tcW w:w="2567" w:type="pct"/>
            <w:tcBorders>
              <w:tl2br w:val="nil"/>
              <w:tr2bl w:val="nil"/>
            </w:tcBorders>
            <w:noWrap w:val="0"/>
            <w:vAlign w:val="center"/>
          </w:tcPr>
          <w:p w14:paraId="2BB0A05C">
            <w:pPr>
              <w:spacing w:beforeLines="0" w:afterLines="0"/>
              <w:ind w:left="0" w:leftChars="0" w:firstLine="0" w:firstLineChars="0"/>
              <w:jc w:val="both"/>
              <w:rPr>
                <w:rFonts w:hint="eastAsia" w:ascii="宋体" w:hAnsi="宋体" w:eastAsia="宋体" w:cs="宋体"/>
                <w:color w:val="000000"/>
                <w:sz w:val="22"/>
                <w:szCs w:val="24"/>
              </w:rPr>
            </w:pPr>
            <w:r>
              <w:rPr>
                <w:rFonts w:hint="eastAsia" w:ascii="宋体" w:hAnsi="宋体" w:eastAsia="宋体" w:cs="宋体"/>
                <w:color w:val="000000"/>
                <w:sz w:val="22"/>
                <w:szCs w:val="24"/>
              </w:rPr>
              <w:t>归集网站运行核心数据并可视化展示，支持多维度筛选统计，全面掌握运营态势。</w:t>
            </w:r>
          </w:p>
        </w:tc>
      </w:tr>
      <w:tr w14:paraId="7E1FEC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398" w:type="pct"/>
            <w:tcBorders>
              <w:tl2br w:val="nil"/>
              <w:tr2bl w:val="nil"/>
            </w:tcBorders>
            <w:noWrap w:val="0"/>
            <w:vAlign w:val="center"/>
          </w:tcPr>
          <w:p w14:paraId="0F2666BB">
            <w:pPr>
              <w:spacing w:beforeLines="0" w:afterLines="0"/>
              <w:ind w:left="0" w:leftChars="0" w:firstLine="0" w:firstLineChars="0"/>
              <w:jc w:val="center"/>
              <w:rPr>
                <w:rFonts w:hint="eastAsia" w:ascii="宋体" w:hAnsi="宋体" w:eastAsia="宋体" w:cs="宋体"/>
                <w:color w:val="000000"/>
                <w:sz w:val="22"/>
                <w:szCs w:val="24"/>
              </w:rPr>
            </w:pPr>
            <w:r>
              <w:rPr>
                <w:rFonts w:hint="eastAsia" w:ascii="宋体" w:hAnsi="宋体" w:eastAsia="宋体" w:cs="宋体"/>
                <w:color w:val="000000"/>
                <w:sz w:val="22"/>
                <w:szCs w:val="24"/>
              </w:rPr>
              <w:t>10</w:t>
            </w:r>
          </w:p>
        </w:tc>
        <w:tc>
          <w:tcPr>
            <w:tcW w:w="2034" w:type="pct"/>
            <w:tcBorders>
              <w:tl2br w:val="nil"/>
              <w:tr2bl w:val="nil"/>
            </w:tcBorders>
            <w:noWrap w:val="0"/>
            <w:vAlign w:val="center"/>
          </w:tcPr>
          <w:p w14:paraId="46DF2EB2">
            <w:pPr>
              <w:spacing w:beforeLines="0" w:afterLines="0"/>
              <w:ind w:left="0" w:leftChars="0" w:firstLine="0" w:firstLineChars="0"/>
              <w:jc w:val="both"/>
              <w:rPr>
                <w:rFonts w:hint="eastAsia" w:ascii="宋体" w:hAnsi="宋体" w:eastAsia="宋体" w:cs="宋体"/>
                <w:color w:val="000000"/>
                <w:sz w:val="22"/>
                <w:szCs w:val="24"/>
              </w:rPr>
            </w:pPr>
            <w:r>
              <w:rPr>
                <w:rFonts w:hint="eastAsia" w:ascii="宋体" w:hAnsi="宋体" w:eastAsia="宋体" w:cs="宋体"/>
                <w:color w:val="000000"/>
                <w:sz w:val="22"/>
                <w:szCs w:val="24"/>
              </w:rPr>
              <w:t>应用功能重构-视频新闻自动采集/视频新闻协同审核</w:t>
            </w:r>
          </w:p>
        </w:tc>
        <w:tc>
          <w:tcPr>
            <w:tcW w:w="2567" w:type="pct"/>
            <w:tcBorders>
              <w:tl2br w:val="nil"/>
              <w:tr2bl w:val="nil"/>
            </w:tcBorders>
            <w:noWrap w:val="0"/>
            <w:vAlign w:val="center"/>
          </w:tcPr>
          <w:p w14:paraId="44C0BC98">
            <w:pPr>
              <w:spacing w:beforeLines="0" w:afterLines="0"/>
              <w:ind w:left="0" w:leftChars="0" w:firstLine="0" w:firstLineChars="0"/>
              <w:jc w:val="both"/>
              <w:rPr>
                <w:rFonts w:hint="eastAsia" w:ascii="宋体" w:hAnsi="宋体" w:eastAsia="宋体" w:cs="宋体"/>
                <w:color w:val="000000"/>
                <w:sz w:val="22"/>
                <w:szCs w:val="24"/>
              </w:rPr>
            </w:pPr>
            <w:r>
              <w:rPr>
                <w:rFonts w:hint="eastAsia" w:ascii="宋体" w:hAnsi="宋体" w:eastAsia="宋体" w:cs="宋体"/>
                <w:color w:val="000000"/>
                <w:sz w:val="22"/>
                <w:szCs w:val="24"/>
              </w:rPr>
              <w:t>对接东方卫视采编系统，自动采集视频新闻与文本，分类存储并触发更新提醒。</w:t>
            </w:r>
          </w:p>
        </w:tc>
      </w:tr>
      <w:tr w14:paraId="33310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398" w:type="pct"/>
            <w:tcBorders>
              <w:tl2br w:val="nil"/>
              <w:tr2bl w:val="nil"/>
            </w:tcBorders>
            <w:noWrap w:val="0"/>
            <w:vAlign w:val="center"/>
          </w:tcPr>
          <w:p w14:paraId="5E4450F9">
            <w:pPr>
              <w:spacing w:beforeLines="0" w:afterLines="0"/>
              <w:ind w:left="0" w:leftChars="0" w:firstLine="0" w:firstLineChars="0"/>
              <w:jc w:val="center"/>
              <w:rPr>
                <w:rFonts w:hint="eastAsia" w:ascii="宋体" w:hAnsi="宋体" w:eastAsia="宋体" w:cs="宋体"/>
                <w:color w:val="000000"/>
                <w:sz w:val="22"/>
                <w:szCs w:val="24"/>
              </w:rPr>
            </w:pPr>
            <w:r>
              <w:rPr>
                <w:rFonts w:hint="eastAsia" w:ascii="宋体" w:hAnsi="宋体" w:eastAsia="宋体" w:cs="宋体"/>
                <w:color w:val="000000"/>
                <w:sz w:val="22"/>
                <w:szCs w:val="24"/>
              </w:rPr>
              <w:t>11</w:t>
            </w:r>
          </w:p>
        </w:tc>
        <w:tc>
          <w:tcPr>
            <w:tcW w:w="2034" w:type="pct"/>
            <w:tcBorders>
              <w:tl2br w:val="nil"/>
              <w:tr2bl w:val="nil"/>
            </w:tcBorders>
            <w:noWrap w:val="0"/>
            <w:vAlign w:val="center"/>
          </w:tcPr>
          <w:p w14:paraId="72630946">
            <w:pPr>
              <w:spacing w:beforeLines="0" w:afterLines="0"/>
              <w:ind w:left="0" w:leftChars="0" w:firstLine="0" w:firstLineChars="0"/>
              <w:jc w:val="both"/>
              <w:rPr>
                <w:rFonts w:hint="eastAsia" w:ascii="宋体" w:hAnsi="宋体" w:eastAsia="宋体" w:cs="宋体"/>
                <w:color w:val="000000"/>
                <w:sz w:val="22"/>
                <w:szCs w:val="24"/>
              </w:rPr>
            </w:pPr>
            <w:r>
              <w:rPr>
                <w:rFonts w:hint="eastAsia" w:ascii="宋体" w:hAnsi="宋体" w:eastAsia="宋体" w:cs="宋体"/>
                <w:color w:val="000000"/>
                <w:sz w:val="22"/>
                <w:szCs w:val="24"/>
              </w:rPr>
              <w:t>应用功能重构-发布策略配置/终端适配展示/已发布内容动态管理</w:t>
            </w:r>
          </w:p>
        </w:tc>
        <w:tc>
          <w:tcPr>
            <w:tcW w:w="2567" w:type="pct"/>
            <w:tcBorders>
              <w:tl2br w:val="nil"/>
              <w:tr2bl w:val="nil"/>
            </w:tcBorders>
            <w:noWrap w:val="0"/>
            <w:vAlign w:val="center"/>
          </w:tcPr>
          <w:p w14:paraId="711BE2EB">
            <w:pPr>
              <w:spacing w:beforeLines="0" w:afterLines="0"/>
              <w:ind w:left="0" w:leftChars="0" w:firstLine="0" w:firstLineChars="0"/>
              <w:jc w:val="both"/>
              <w:rPr>
                <w:rFonts w:hint="eastAsia" w:ascii="宋体" w:hAnsi="宋体" w:eastAsia="宋体" w:cs="宋体"/>
                <w:color w:val="000000"/>
                <w:sz w:val="22"/>
                <w:szCs w:val="24"/>
              </w:rPr>
            </w:pPr>
            <w:r>
              <w:rPr>
                <w:rFonts w:hint="eastAsia" w:ascii="宋体" w:hAnsi="宋体" w:eastAsia="宋体" w:cs="宋体"/>
                <w:color w:val="000000"/>
                <w:sz w:val="22"/>
                <w:szCs w:val="24"/>
              </w:rPr>
              <w:t>提供视频新闻多级协同审核，支持逐帧播放与文本编辑，多人操作实时同步。</w:t>
            </w:r>
          </w:p>
        </w:tc>
      </w:tr>
    </w:tbl>
    <w:p w14:paraId="4B3C0258">
      <w:pPr>
        <w:spacing w:beforeLines="0" w:afterLines="0"/>
        <w:ind w:firstLine="0" w:firstLineChars="0"/>
        <w:rPr>
          <w:rFonts w:hint="eastAsia"/>
          <w:sz w:val="24"/>
          <w:szCs w:val="24"/>
        </w:rPr>
      </w:pPr>
    </w:p>
    <w:p w14:paraId="713C2FD0">
      <w:pPr>
        <w:pStyle w:val="3"/>
        <w:spacing w:beforeLines="0" w:afterLines="0"/>
        <w:ind w:firstLine="0"/>
        <w:rPr>
          <w:rFonts w:hint="eastAsia"/>
          <w:sz w:val="30"/>
          <w:szCs w:val="32"/>
        </w:rPr>
      </w:pPr>
      <w:r>
        <w:rPr>
          <w:rFonts w:hint="eastAsia"/>
          <w:sz w:val="30"/>
          <w:szCs w:val="32"/>
        </w:rPr>
        <w:t>集约化平台技术升级</w:t>
      </w:r>
    </w:p>
    <w:p w14:paraId="3333E578">
      <w:pPr>
        <w:spacing w:beforeLines="0" w:afterLines="0"/>
        <w:rPr>
          <w:rFonts w:hint="eastAsia"/>
          <w:sz w:val="24"/>
          <w:szCs w:val="24"/>
        </w:rPr>
      </w:pPr>
      <w:r>
        <w:rPr>
          <w:rFonts w:hint="eastAsia"/>
          <w:sz w:val="24"/>
          <w:szCs w:val="24"/>
        </w:rPr>
        <w:t>改造集约化平台以适配</w:t>
      </w:r>
      <w:r>
        <w:rPr>
          <w:rFonts w:hint="eastAsia"/>
          <w:sz w:val="24"/>
          <w:szCs w:val="24"/>
          <w:lang w:eastAsia="zh-CN"/>
        </w:rPr>
        <w:t>XC</w:t>
      </w:r>
      <w:r>
        <w:rPr>
          <w:rFonts w:hint="eastAsia"/>
          <w:sz w:val="24"/>
          <w:szCs w:val="24"/>
        </w:rPr>
        <w:t>生态。通过兼容</w:t>
      </w:r>
      <w:r>
        <w:rPr>
          <w:rFonts w:hint="eastAsia"/>
          <w:sz w:val="24"/>
          <w:szCs w:val="24"/>
          <w:lang w:eastAsia="zh-CN"/>
        </w:rPr>
        <w:t>XC</w:t>
      </w:r>
      <w:r>
        <w:rPr>
          <w:rFonts w:hint="eastAsia"/>
          <w:sz w:val="24"/>
          <w:szCs w:val="24"/>
        </w:rPr>
        <w:t>生态环境（操作系统、数据库及中间件等），构建自主可控的运行体系，实现信息资源整合、内容管理、业务服务、运维监管及数据治理的国产化支撑，保障平台在</w:t>
      </w:r>
      <w:r>
        <w:rPr>
          <w:rFonts w:hint="eastAsia"/>
          <w:sz w:val="24"/>
          <w:szCs w:val="24"/>
          <w:lang w:eastAsia="zh-CN"/>
        </w:rPr>
        <w:t>XC</w:t>
      </w:r>
      <w:r>
        <w:rPr>
          <w:rFonts w:hint="eastAsia"/>
          <w:sz w:val="24"/>
          <w:szCs w:val="24"/>
        </w:rPr>
        <w:t>环境下的稳定性、安全性和合规性。</w:t>
      </w:r>
    </w:p>
    <w:p w14:paraId="1B954565">
      <w:pPr>
        <w:spacing w:beforeLines="0" w:afterLines="0"/>
        <w:rPr>
          <w:rFonts w:hint="eastAsia"/>
          <w:sz w:val="24"/>
          <w:szCs w:val="24"/>
        </w:rPr>
      </w:pPr>
      <w:r>
        <w:rPr>
          <w:rFonts w:hint="eastAsia"/>
          <w:sz w:val="24"/>
          <w:szCs w:val="24"/>
        </w:rPr>
        <w:t>功能模块清单如下：</w:t>
      </w:r>
    </w:p>
    <w:tbl>
      <w:tblPr>
        <w:tblStyle w:val="35"/>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9"/>
        <w:gridCol w:w="3900"/>
        <w:gridCol w:w="3946"/>
      </w:tblGrid>
      <w:tr w14:paraId="051367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trPr>
        <w:tc>
          <w:tcPr>
            <w:tcW w:w="398" w:type="pct"/>
            <w:tcBorders>
              <w:tl2br w:val="nil"/>
              <w:tr2bl w:val="nil"/>
            </w:tcBorders>
            <w:noWrap w:val="0"/>
            <w:vAlign w:val="center"/>
          </w:tcPr>
          <w:p w14:paraId="2363A4DF">
            <w:pPr>
              <w:spacing w:beforeLines="0" w:afterLines="0"/>
              <w:ind w:left="0" w:leftChars="0" w:firstLine="0" w:firstLineChars="0"/>
              <w:jc w:val="center"/>
              <w:rPr>
                <w:rFonts w:hint="eastAsia" w:ascii="宋体" w:hAnsi="宋体" w:eastAsia="宋体" w:cs="宋体"/>
                <w:b/>
                <w:bCs/>
                <w:color w:val="000000"/>
                <w:sz w:val="22"/>
                <w:szCs w:val="24"/>
              </w:rPr>
            </w:pPr>
            <w:r>
              <w:rPr>
                <w:rFonts w:hint="eastAsia" w:ascii="宋体" w:hAnsi="宋体" w:eastAsia="宋体" w:cs="宋体"/>
                <w:b/>
                <w:bCs/>
                <w:color w:val="000000"/>
                <w:sz w:val="22"/>
                <w:szCs w:val="24"/>
              </w:rPr>
              <w:t>序号</w:t>
            </w:r>
          </w:p>
        </w:tc>
        <w:tc>
          <w:tcPr>
            <w:tcW w:w="2287" w:type="pct"/>
            <w:tcBorders>
              <w:tl2br w:val="nil"/>
              <w:tr2bl w:val="nil"/>
            </w:tcBorders>
            <w:noWrap w:val="0"/>
            <w:vAlign w:val="center"/>
          </w:tcPr>
          <w:p w14:paraId="264A8D2C">
            <w:pPr>
              <w:spacing w:beforeLines="0" w:afterLines="0"/>
              <w:ind w:left="0" w:leftChars="0" w:firstLine="0" w:firstLineChars="0"/>
              <w:jc w:val="center"/>
              <w:rPr>
                <w:rFonts w:hint="eastAsia" w:ascii="宋体" w:hAnsi="宋体" w:eastAsia="宋体" w:cs="宋体"/>
                <w:b/>
                <w:bCs/>
                <w:color w:val="000000"/>
                <w:sz w:val="22"/>
                <w:szCs w:val="24"/>
              </w:rPr>
            </w:pPr>
            <w:r>
              <w:rPr>
                <w:rFonts w:hint="eastAsia" w:ascii="宋体" w:hAnsi="宋体" w:eastAsia="宋体" w:cs="宋体"/>
                <w:b/>
                <w:bCs/>
                <w:color w:val="000000"/>
                <w:sz w:val="22"/>
                <w:szCs w:val="24"/>
              </w:rPr>
              <w:t>功能名称</w:t>
            </w:r>
          </w:p>
        </w:tc>
        <w:tc>
          <w:tcPr>
            <w:tcW w:w="2314" w:type="pct"/>
            <w:tcBorders>
              <w:tl2br w:val="nil"/>
              <w:tr2bl w:val="nil"/>
            </w:tcBorders>
            <w:noWrap w:val="0"/>
            <w:vAlign w:val="center"/>
          </w:tcPr>
          <w:p w14:paraId="3D7459B8">
            <w:pPr>
              <w:spacing w:beforeLines="0" w:afterLines="0"/>
              <w:ind w:left="0" w:leftChars="0" w:firstLine="0" w:firstLineChars="0"/>
              <w:jc w:val="center"/>
              <w:rPr>
                <w:rFonts w:hint="eastAsia" w:ascii="宋体" w:hAnsi="宋体" w:eastAsia="宋体" w:cs="宋体"/>
                <w:b/>
                <w:bCs/>
                <w:color w:val="000000"/>
                <w:sz w:val="22"/>
                <w:szCs w:val="24"/>
              </w:rPr>
            </w:pPr>
            <w:r>
              <w:rPr>
                <w:rFonts w:hint="eastAsia" w:ascii="宋体" w:hAnsi="宋体" w:eastAsia="宋体" w:cs="宋体"/>
                <w:b/>
                <w:bCs/>
                <w:color w:val="000000"/>
                <w:sz w:val="22"/>
                <w:szCs w:val="24"/>
              </w:rPr>
              <w:t>功能描述</w:t>
            </w:r>
          </w:p>
        </w:tc>
      </w:tr>
      <w:tr w14:paraId="788C21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398" w:type="pct"/>
            <w:tcBorders>
              <w:tl2br w:val="nil"/>
              <w:tr2bl w:val="nil"/>
            </w:tcBorders>
            <w:noWrap w:val="0"/>
            <w:vAlign w:val="center"/>
          </w:tcPr>
          <w:p w14:paraId="2B654041">
            <w:pPr>
              <w:spacing w:beforeLines="0" w:afterLines="0"/>
              <w:ind w:left="0" w:leftChars="0" w:firstLine="0" w:firstLineChars="0"/>
              <w:jc w:val="center"/>
              <w:rPr>
                <w:rFonts w:hint="eastAsia" w:ascii="宋体" w:hAnsi="宋体" w:eastAsia="宋体" w:cs="宋体"/>
                <w:color w:val="000000"/>
                <w:sz w:val="22"/>
                <w:szCs w:val="24"/>
              </w:rPr>
            </w:pPr>
            <w:r>
              <w:rPr>
                <w:rFonts w:hint="eastAsia" w:ascii="宋体" w:hAnsi="宋体" w:eastAsia="宋体" w:cs="宋体"/>
                <w:color w:val="000000"/>
                <w:sz w:val="22"/>
                <w:szCs w:val="24"/>
              </w:rPr>
              <w:t>1</w:t>
            </w:r>
          </w:p>
        </w:tc>
        <w:tc>
          <w:tcPr>
            <w:tcW w:w="2287" w:type="pct"/>
            <w:tcBorders>
              <w:tl2br w:val="nil"/>
              <w:tr2bl w:val="nil"/>
            </w:tcBorders>
            <w:noWrap w:val="0"/>
            <w:vAlign w:val="center"/>
          </w:tcPr>
          <w:p w14:paraId="1A9A7C60">
            <w:pPr>
              <w:spacing w:beforeLines="0" w:afterLines="0"/>
              <w:ind w:left="0" w:leftChars="0" w:firstLine="0" w:firstLineChars="0"/>
              <w:jc w:val="both"/>
              <w:rPr>
                <w:rFonts w:hint="eastAsia" w:ascii="宋体" w:hAnsi="宋体" w:eastAsia="宋体" w:cs="宋体"/>
                <w:color w:val="000000"/>
                <w:sz w:val="22"/>
                <w:szCs w:val="24"/>
              </w:rPr>
            </w:pPr>
            <w:r>
              <w:rPr>
                <w:rFonts w:hint="eastAsia" w:ascii="宋体" w:hAnsi="宋体" w:eastAsia="宋体" w:cs="宋体"/>
                <w:color w:val="000000"/>
                <w:sz w:val="22"/>
                <w:szCs w:val="24"/>
              </w:rPr>
              <w:t>集约化平台</w:t>
            </w:r>
            <w:r>
              <w:rPr>
                <w:rFonts w:hint="eastAsia" w:cs="宋体"/>
                <w:color w:val="000000"/>
                <w:sz w:val="22"/>
                <w:szCs w:val="24"/>
                <w:lang w:eastAsia="zh-CN"/>
              </w:rPr>
              <w:t>XC</w:t>
            </w:r>
            <w:r>
              <w:rPr>
                <w:rFonts w:hint="eastAsia" w:ascii="宋体" w:hAnsi="宋体" w:eastAsia="宋体" w:cs="宋体"/>
                <w:color w:val="000000"/>
                <w:sz w:val="22"/>
                <w:szCs w:val="24"/>
              </w:rPr>
              <w:t>技术改造-集约化资源中心适配改造</w:t>
            </w:r>
          </w:p>
        </w:tc>
        <w:tc>
          <w:tcPr>
            <w:tcW w:w="3946" w:type="dxa"/>
            <w:tcBorders>
              <w:tl2br w:val="nil"/>
              <w:tr2bl w:val="nil"/>
            </w:tcBorders>
            <w:noWrap w:val="0"/>
            <w:vAlign w:val="center"/>
          </w:tcPr>
          <w:p w14:paraId="7C083B5F">
            <w:pPr>
              <w:spacing w:beforeLines="0" w:afterLines="0"/>
              <w:ind w:left="0" w:leftChars="0" w:firstLine="0" w:firstLineChars="0"/>
              <w:jc w:val="both"/>
              <w:rPr>
                <w:rFonts w:hint="eastAsia" w:ascii="宋体" w:hAnsi="宋体" w:eastAsia="宋体" w:cs="宋体"/>
                <w:color w:val="000000"/>
                <w:sz w:val="22"/>
                <w:szCs w:val="24"/>
              </w:rPr>
            </w:pPr>
            <w:r>
              <w:rPr>
                <w:rFonts w:hint="eastAsia" w:ascii="宋体" w:hAnsi="宋体" w:eastAsia="宋体" w:cs="宋体"/>
                <w:color w:val="000000"/>
                <w:sz w:val="22"/>
                <w:szCs w:val="24"/>
              </w:rPr>
              <w:t>为确保集约化资源中心能够在市政务云</w:t>
            </w:r>
            <w:r>
              <w:rPr>
                <w:rFonts w:hint="eastAsia" w:cs="宋体"/>
                <w:color w:val="000000"/>
                <w:sz w:val="22"/>
                <w:szCs w:val="24"/>
                <w:lang w:eastAsia="zh-CN"/>
              </w:rPr>
              <w:t>XC</w:t>
            </w:r>
            <w:r>
              <w:rPr>
                <w:rFonts w:hint="eastAsia" w:ascii="宋体" w:hAnsi="宋体" w:eastAsia="宋体" w:cs="宋体"/>
                <w:color w:val="000000"/>
                <w:sz w:val="22"/>
                <w:szCs w:val="24"/>
              </w:rPr>
              <w:t>环境中稳定运行，需开展适配改造工作，使其全面兼容国产</w:t>
            </w:r>
            <w:bookmarkStart w:id="29" w:name="_GoBack"/>
            <w:bookmarkEnd w:id="29"/>
            <w:r>
              <w:rPr>
                <w:rFonts w:hint="eastAsia" w:ascii="宋体" w:hAnsi="宋体" w:eastAsia="宋体" w:cs="宋体"/>
                <w:color w:val="000000"/>
                <w:sz w:val="22"/>
                <w:szCs w:val="24"/>
              </w:rPr>
              <w:t>操作系统、数据库及中间件，从而满足</w:t>
            </w:r>
            <w:r>
              <w:rPr>
                <w:rFonts w:hint="eastAsia" w:cs="宋体"/>
                <w:color w:val="000000"/>
                <w:sz w:val="22"/>
                <w:szCs w:val="24"/>
                <w:lang w:eastAsia="zh-CN"/>
              </w:rPr>
              <w:t>XC</w:t>
            </w:r>
            <w:r>
              <w:rPr>
                <w:rFonts w:hint="eastAsia" w:ascii="宋体" w:hAnsi="宋体" w:eastAsia="宋体" w:cs="宋体"/>
                <w:color w:val="000000"/>
                <w:sz w:val="22"/>
                <w:szCs w:val="24"/>
              </w:rPr>
              <w:t>环境下的运行要求，保障系统安全性与自主可控性。</w:t>
            </w:r>
          </w:p>
        </w:tc>
      </w:tr>
      <w:tr w14:paraId="0710A4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398" w:type="pct"/>
            <w:tcBorders>
              <w:tl2br w:val="nil"/>
              <w:tr2bl w:val="nil"/>
            </w:tcBorders>
            <w:noWrap w:val="0"/>
            <w:vAlign w:val="center"/>
          </w:tcPr>
          <w:p w14:paraId="5E27ABA9">
            <w:pPr>
              <w:spacing w:beforeLines="0" w:afterLines="0"/>
              <w:ind w:left="0" w:leftChars="0" w:firstLine="0" w:firstLineChars="0"/>
              <w:jc w:val="center"/>
              <w:rPr>
                <w:rFonts w:hint="eastAsia" w:ascii="宋体" w:hAnsi="宋体" w:eastAsia="宋体" w:cs="宋体"/>
                <w:color w:val="000000"/>
                <w:sz w:val="22"/>
                <w:szCs w:val="24"/>
              </w:rPr>
            </w:pPr>
            <w:r>
              <w:rPr>
                <w:rFonts w:hint="eastAsia" w:ascii="宋体" w:hAnsi="宋体" w:eastAsia="宋体" w:cs="宋体"/>
                <w:color w:val="000000"/>
                <w:sz w:val="22"/>
                <w:szCs w:val="24"/>
              </w:rPr>
              <w:t>2</w:t>
            </w:r>
          </w:p>
        </w:tc>
        <w:tc>
          <w:tcPr>
            <w:tcW w:w="2287" w:type="pct"/>
            <w:tcBorders>
              <w:tl2br w:val="nil"/>
              <w:tr2bl w:val="nil"/>
            </w:tcBorders>
            <w:noWrap w:val="0"/>
            <w:vAlign w:val="center"/>
          </w:tcPr>
          <w:p w14:paraId="6707FD82">
            <w:pPr>
              <w:spacing w:beforeLines="0" w:afterLines="0"/>
              <w:ind w:left="0" w:leftChars="0" w:firstLine="0" w:firstLineChars="0"/>
              <w:jc w:val="both"/>
              <w:rPr>
                <w:rFonts w:hint="eastAsia" w:ascii="宋体" w:hAnsi="宋体" w:eastAsia="宋体" w:cs="宋体"/>
                <w:color w:val="000000"/>
                <w:sz w:val="22"/>
                <w:szCs w:val="24"/>
              </w:rPr>
            </w:pPr>
            <w:r>
              <w:rPr>
                <w:rFonts w:hint="eastAsia" w:ascii="宋体" w:hAnsi="宋体" w:eastAsia="宋体" w:cs="宋体"/>
                <w:color w:val="000000"/>
                <w:sz w:val="22"/>
                <w:szCs w:val="24"/>
              </w:rPr>
              <w:t>集约化平台</w:t>
            </w:r>
            <w:r>
              <w:rPr>
                <w:rFonts w:hint="eastAsia" w:cs="宋体"/>
                <w:color w:val="000000"/>
                <w:sz w:val="22"/>
                <w:szCs w:val="24"/>
                <w:lang w:eastAsia="zh-CN"/>
              </w:rPr>
              <w:t>XC</w:t>
            </w:r>
            <w:r>
              <w:rPr>
                <w:rFonts w:hint="eastAsia" w:ascii="宋体" w:hAnsi="宋体" w:eastAsia="宋体" w:cs="宋体"/>
                <w:color w:val="000000"/>
                <w:sz w:val="22"/>
                <w:szCs w:val="24"/>
              </w:rPr>
              <w:t>技术改造-集约化管理中心适配改造</w:t>
            </w:r>
          </w:p>
        </w:tc>
        <w:tc>
          <w:tcPr>
            <w:tcW w:w="3946" w:type="dxa"/>
            <w:tcBorders>
              <w:tl2br w:val="nil"/>
              <w:tr2bl w:val="nil"/>
            </w:tcBorders>
            <w:noWrap w:val="0"/>
            <w:vAlign w:val="center"/>
          </w:tcPr>
          <w:p w14:paraId="1EC40873">
            <w:pPr>
              <w:spacing w:beforeLines="0" w:afterLines="0"/>
              <w:ind w:left="0" w:leftChars="0" w:firstLine="0" w:firstLineChars="0"/>
              <w:jc w:val="both"/>
              <w:rPr>
                <w:rFonts w:hint="eastAsia" w:ascii="宋体" w:hAnsi="宋体" w:eastAsia="宋体" w:cs="宋体"/>
                <w:color w:val="000000"/>
                <w:sz w:val="22"/>
                <w:szCs w:val="24"/>
              </w:rPr>
            </w:pPr>
            <w:r>
              <w:rPr>
                <w:rFonts w:hint="eastAsia" w:ascii="宋体" w:hAnsi="宋体" w:eastAsia="宋体" w:cs="宋体"/>
                <w:color w:val="000000"/>
                <w:sz w:val="22"/>
                <w:szCs w:val="24"/>
              </w:rPr>
              <w:t>为确保集约化管理中心能够在市政务云</w:t>
            </w:r>
            <w:r>
              <w:rPr>
                <w:rFonts w:hint="eastAsia" w:cs="宋体"/>
                <w:color w:val="000000"/>
                <w:sz w:val="22"/>
                <w:szCs w:val="24"/>
                <w:lang w:eastAsia="zh-CN"/>
              </w:rPr>
              <w:t>XC</w:t>
            </w:r>
            <w:r>
              <w:rPr>
                <w:rFonts w:hint="eastAsia" w:ascii="宋体" w:hAnsi="宋体" w:eastAsia="宋体" w:cs="宋体"/>
                <w:color w:val="000000"/>
                <w:sz w:val="22"/>
                <w:szCs w:val="24"/>
              </w:rPr>
              <w:t>环境中稳定运行，需开展适配改造工作，使其全面兼容国产操作系统、数据库及中间件，从而满足</w:t>
            </w:r>
            <w:r>
              <w:rPr>
                <w:rFonts w:hint="eastAsia" w:cs="宋体"/>
                <w:color w:val="000000"/>
                <w:sz w:val="22"/>
                <w:szCs w:val="24"/>
                <w:lang w:eastAsia="zh-CN"/>
              </w:rPr>
              <w:t>XC</w:t>
            </w:r>
            <w:r>
              <w:rPr>
                <w:rFonts w:hint="eastAsia" w:ascii="宋体" w:hAnsi="宋体" w:eastAsia="宋体" w:cs="宋体"/>
                <w:color w:val="000000"/>
                <w:sz w:val="22"/>
                <w:szCs w:val="24"/>
              </w:rPr>
              <w:t>环境下的运行要求，保障系统安全性与自主可控性。</w:t>
            </w:r>
          </w:p>
        </w:tc>
      </w:tr>
      <w:tr w14:paraId="2D0AE7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398" w:type="pct"/>
            <w:tcBorders>
              <w:tl2br w:val="nil"/>
              <w:tr2bl w:val="nil"/>
            </w:tcBorders>
            <w:noWrap w:val="0"/>
            <w:vAlign w:val="center"/>
          </w:tcPr>
          <w:p w14:paraId="5CFFD8F2">
            <w:pPr>
              <w:spacing w:beforeLines="0" w:afterLines="0"/>
              <w:ind w:left="0" w:leftChars="0" w:firstLine="0" w:firstLineChars="0"/>
              <w:jc w:val="center"/>
              <w:rPr>
                <w:rFonts w:hint="eastAsia" w:ascii="宋体" w:hAnsi="宋体" w:eastAsia="宋体" w:cs="宋体"/>
                <w:color w:val="000000"/>
                <w:sz w:val="22"/>
                <w:szCs w:val="24"/>
              </w:rPr>
            </w:pPr>
            <w:r>
              <w:rPr>
                <w:rFonts w:hint="eastAsia" w:ascii="宋体" w:hAnsi="宋体" w:eastAsia="宋体" w:cs="宋体"/>
                <w:color w:val="000000"/>
                <w:sz w:val="22"/>
                <w:szCs w:val="24"/>
              </w:rPr>
              <w:t>3</w:t>
            </w:r>
          </w:p>
        </w:tc>
        <w:tc>
          <w:tcPr>
            <w:tcW w:w="2287" w:type="pct"/>
            <w:tcBorders>
              <w:tl2br w:val="nil"/>
              <w:tr2bl w:val="nil"/>
            </w:tcBorders>
            <w:noWrap w:val="0"/>
            <w:vAlign w:val="center"/>
          </w:tcPr>
          <w:p w14:paraId="7719308A">
            <w:pPr>
              <w:spacing w:beforeLines="0" w:afterLines="0"/>
              <w:ind w:left="0" w:leftChars="0" w:firstLine="0" w:firstLineChars="0"/>
              <w:jc w:val="both"/>
              <w:rPr>
                <w:rFonts w:hint="eastAsia" w:ascii="宋体" w:hAnsi="宋体" w:eastAsia="宋体" w:cs="宋体"/>
                <w:color w:val="000000"/>
                <w:sz w:val="22"/>
                <w:szCs w:val="24"/>
              </w:rPr>
            </w:pPr>
            <w:r>
              <w:rPr>
                <w:rFonts w:hint="eastAsia" w:ascii="宋体" w:hAnsi="宋体" w:eastAsia="宋体" w:cs="宋体"/>
                <w:color w:val="000000"/>
                <w:sz w:val="22"/>
                <w:szCs w:val="24"/>
              </w:rPr>
              <w:t>集约化平台</w:t>
            </w:r>
            <w:r>
              <w:rPr>
                <w:rFonts w:hint="eastAsia" w:cs="宋体"/>
                <w:color w:val="000000"/>
                <w:sz w:val="22"/>
                <w:szCs w:val="24"/>
                <w:lang w:eastAsia="zh-CN"/>
              </w:rPr>
              <w:t>XC</w:t>
            </w:r>
            <w:r>
              <w:rPr>
                <w:rFonts w:hint="eastAsia" w:ascii="宋体" w:hAnsi="宋体" w:eastAsia="宋体" w:cs="宋体"/>
                <w:color w:val="000000"/>
                <w:sz w:val="22"/>
                <w:szCs w:val="24"/>
              </w:rPr>
              <w:t>技术改造-集约化业务中心适配改造</w:t>
            </w:r>
          </w:p>
        </w:tc>
        <w:tc>
          <w:tcPr>
            <w:tcW w:w="3946" w:type="dxa"/>
            <w:tcBorders>
              <w:tl2br w:val="nil"/>
              <w:tr2bl w:val="nil"/>
            </w:tcBorders>
            <w:noWrap w:val="0"/>
            <w:vAlign w:val="center"/>
          </w:tcPr>
          <w:p w14:paraId="4ACE3661">
            <w:pPr>
              <w:spacing w:beforeLines="0" w:afterLines="0"/>
              <w:ind w:left="0" w:leftChars="0" w:firstLine="0" w:firstLineChars="0"/>
              <w:jc w:val="both"/>
              <w:rPr>
                <w:rFonts w:hint="eastAsia" w:ascii="宋体" w:hAnsi="宋体" w:eastAsia="宋体" w:cs="宋体"/>
                <w:color w:val="000000"/>
                <w:sz w:val="22"/>
                <w:szCs w:val="24"/>
              </w:rPr>
            </w:pPr>
            <w:r>
              <w:rPr>
                <w:rFonts w:hint="eastAsia" w:ascii="宋体" w:hAnsi="宋体" w:eastAsia="宋体" w:cs="宋体"/>
                <w:color w:val="000000"/>
                <w:sz w:val="22"/>
                <w:szCs w:val="24"/>
              </w:rPr>
              <w:t>为确保集约化业务中心能够在市政务云</w:t>
            </w:r>
            <w:r>
              <w:rPr>
                <w:rFonts w:hint="eastAsia" w:cs="宋体"/>
                <w:color w:val="000000"/>
                <w:sz w:val="22"/>
                <w:szCs w:val="24"/>
                <w:lang w:eastAsia="zh-CN"/>
              </w:rPr>
              <w:t>XC</w:t>
            </w:r>
            <w:r>
              <w:rPr>
                <w:rFonts w:hint="eastAsia" w:ascii="宋体" w:hAnsi="宋体" w:eastAsia="宋体" w:cs="宋体"/>
                <w:color w:val="000000"/>
                <w:sz w:val="22"/>
                <w:szCs w:val="24"/>
              </w:rPr>
              <w:t>环境中稳定运行，需开展适配改造工作，使其全面兼容国产操作系统、数据库及中间件，从而满足</w:t>
            </w:r>
            <w:r>
              <w:rPr>
                <w:rFonts w:hint="eastAsia" w:cs="宋体"/>
                <w:color w:val="000000"/>
                <w:sz w:val="22"/>
                <w:szCs w:val="24"/>
                <w:lang w:eastAsia="zh-CN"/>
              </w:rPr>
              <w:t>XC</w:t>
            </w:r>
            <w:r>
              <w:rPr>
                <w:rFonts w:hint="eastAsia" w:ascii="宋体" w:hAnsi="宋体" w:eastAsia="宋体" w:cs="宋体"/>
                <w:color w:val="000000"/>
                <w:sz w:val="22"/>
                <w:szCs w:val="24"/>
              </w:rPr>
              <w:t>环境下的运行要求，保障系统安全性与自主可控性。</w:t>
            </w:r>
          </w:p>
        </w:tc>
      </w:tr>
      <w:tr w14:paraId="7C2857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398" w:type="pct"/>
            <w:tcBorders>
              <w:tl2br w:val="nil"/>
              <w:tr2bl w:val="nil"/>
            </w:tcBorders>
            <w:noWrap w:val="0"/>
            <w:vAlign w:val="center"/>
          </w:tcPr>
          <w:p w14:paraId="07FA98F7">
            <w:pPr>
              <w:spacing w:beforeLines="0" w:afterLines="0"/>
              <w:ind w:left="0" w:leftChars="0" w:firstLine="0" w:firstLineChars="0"/>
              <w:jc w:val="center"/>
              <w:rPr>
                <w:rFonts w:hint="eastAsia" w:ascii="宋体" w:hAnsi="宋体" w:eastAsia="宋体" w:cs="宋体"/>
                <w:color w:val="000000"/>
                <w:sz w:val="22"/>
                <w:szCs w:val="24"/>
              </w:rPr>
            </w:pPr>
            <w:r>
              <w:rPr>
                <w:rFonts w:hint="eastAsia" w:ascii="宋体" w:hAnsi="宋体" w:eastAsia="宋体" w:cs="宋体"/>
                <w:color w:val="000000"/>
                <w:sz w:val="22"/>
                <w:szCs w:val="24"/>
              </w:rPr>
              <w:t>4</w:t>
            </w:r>
          </w:p>
        </w:tc>
        <w:tc>
          <w:tcPr>
            <w:tcW w:w="2287" w:type="pct"/>
            <w:tcBorders>
              <w:tl2br w:val="nil"/>
              <w:tr2bl w:val="nil"/>
            </w:tcBorders>
            <w:noWrap w:val="0"/>
            <w:vAlign w:val="center"/>
          </w:tcPr>
          <w:p w14:paraId="05438C9E">
            <w:pPr>
              <w:spacing w:beforeLines="0" w:afterLines="0"/>
              <w:ind w:left="0" w:leftChars="0" w:firstLine="0" w:firstLineChars="0"/>
              <w:jc w:val="both"/>
              <w:rPr>
                <w:rFonts w:hint="eastAsia" w:ascii="宋体" w:hAnsi="宋体" w:eastAsia="宋体" w:cs="宋体"/>
                <w:color w:val="000000"/>
                <w:sz w:val="22"/>
                <w:szCs w:val="24"/>
              </w:rPr>
            </w:pPr>
            <w:r>
              <w:rPr>
                <w:rFonts w:hint="eastAsia" w:ascii="宋体" w:hAnsi="宋体" w:eastAsia="宋体" w:cs="宋体"/>
                <w:color w:val="000000"/>
                <w:sz w:val="22"/>
                <w:szCs w:val="24"/>
              </w:rPr>
              <w:t>集约化平台</w:t>
            </w:r>
            <w:r>
              <w:rPr>
                <w:rFonts w:hint="eastAsia" w:cs="宋体"/>
                <w:color w:val="000000"/>
                <w:sz w:val="22"/>
                <w:szCs w:val="24"/>
                <w:lang w:eastAsia="zh-CN"/>
              </w:rPr>
              <w:t>XC</w:t>
            </w:r>
            <w:r>
              <w:rPr>
                <w:rFonts w:hint="eastAsia" w:ascii="宋体" w:hAnsi="宋体" w:eastAsia="宋体" w:cs="宋体"/>
                <w:color w:val="000000"/>
                <w:sz w:val="22"/>
                <w:szCs w:val="24"/>
              </w:rPr>
              <w:t>技术改造-集约化运维中心适配改造</w:t>
            </w:r>
          </w:p>
        </w:tc>
        <w:tc>
          <w:tcPr>
            <w:tcW w:w="3946" w:type="dxa"/>
            <w:tcBorders>
              <w:tl2br w:val="nil"/>
              <w:tr2bl w:val="nil"/>
            </w:tcBorders>
            <w:noWrap w:val="0"/>
            <w:vAlign w:val="center"/>
          </w:tcPr>
          <w:p w14:paraId="31D21114">
            <w:pPr>
              <w:spacing w:beforeLines="0" w:afterLines="0"/>
              <w:ind w:left="0" w:leftChars="0" w:firstLine="0" w:firstLineChars="0"/>
              <w:jc w:val="both"/>
              <w:rPr>
                <w:rFonts w:hint="eastAsia" w:ascii="宋体" w:hAnsi="宋体" w:eastAsia="宋体" w:cs="宋体"/>
                <w:color w:val="000000"/>
                <w:sz w:val="22"/>
                <w:szCs w:val="24"/>
              </w:rPr>
            </w:pPr>
            <w:r>
              <w:rPr>
                <w:rFonts w:hint="eastAsia" w:ascii="宋体" w:hAnsi="宋体" w:eastAsia="宋体" w:cs="宋体"/>
                <w:color w:val="000000"/>
                <w:sz w:val="22"/>
                <w:szCs w:val="24"/>
              </w:rPr>
              <w:t>为确保集约化运维中心能够在市政务云</w:t>
            </w:r>
            <w:r>
              <w:rPr>
                <w:rFonts w:hint="eastAsia" w:cs="宋体"/>
                <w:color w:val="000000"/>
                <w:sz w:val="22"/>
                <w:szCs w:val="24"/>
                <w:lang w:eastAsia="zh-CN"/>
              </w:rPr>
              <w:t>XC</w:t>
            </w:r>
            <w:r>
              <w:rPr>
                <w:rFonts w:hint="eastAsia" w:ascii="宋体" w:hAnsi="宋体" w:eastAsia="宋体" w:cs="宋体"/>
                <w:color w:val="000000"/>
                <w:sz w:val="22"/>
                <w:szCs w:val="24"/>
              </w:rPr>
              <w:t>环境中稳定运行，需开展适配改造工作，使其全面兼容国产操作系统、数据库及中间件，从而满足</w:t>
            </w:r>
            <w:r>
              <w:rPr>
                <w:rFonts w:hint="eastAsia" w:cs="宋体"/>
                <w:color w:val="000000"/>
                <w:sz w:val="22"/>
                <w:szCs w:val="24"/>
                <w:lang w:eastAsia="zh-CN"/>
              </w:rPr>
              <w:t>XC</w:t>
            </w:r>
            <w:r>
              <w:rPr>
                <w:rFonts w:hint="eastAsia" w:ascii="宋体" w:hAnsi="宋体" w:eastAsia="宋体" w:cs="宋体"/>
                <w:color w:val="000000"/>
                <w:sz w:val="22"/>
                <w:szCs w:val="24"/>
              </w:rPr>
              <w:t>环境下的运行要求，保障系统安全性与自主可控性。</w:t>
            </w:r>
          </w:p>
        </w:tc>
      </w:tr>
      <w:tr w14:paraId="23C107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398" w:type="pct"/>
            <w:tcBorders>
              <w:tl2br w:val="nil"/>
              <w:tr2bl w:val="nil"/>
            </w:tcBorders>
            <w:noWrap w:val="0"/>
            <w:vAlign w:val="center"/>
          </w:tcPr>
          <w:p w14:paraId="3788B1C0">
            <w:pPr>
              <w:spacing w:beforeLines="0" w:afterLines="0"/>
              <w:ind w:left="0" w:leftChars="0" w:firstLine="0" w:firstLineChars="0"/>
              <w:jc w:val="center"/>
              <w:rPr>
                <w:rFonts w:hint="eastAsia" w:ascii="宋体" w:hAnsi="宋体" w:eastAsia="宋体" w:cs="宋体"/>
                <w:color w:val="000000"/>
                <w:sz w:val="22"/>
                <w:szCs w:val="24"/>
              </w:rPr>
            </w:pPr>
            <w:r>
              <w:rPr>
                <w:rFonts w:hint="eastAsia" w:ascii="宋体" w:hAnsi="宋体" w:eastAsia="宋体" w:cs="宋体"/>
                <w:color w:val="000000"/>
                <w:sz w:val="22"/>
                <w:szCs w:val="24"/>
              </w:rPr>
              <w:t>5</w:t>
            </w:r>
          </w:p>
        </w:tc>
        <w:tc>
          <w:tcPr>
            <w:tcW w:w="2287" w:type="pct"/>
            <w:tcBorders>
              <w:tl2br w:val="nil"/>
              <w:tr2bl w:val="nil"/>
            </w:tcBorders>
            <w:noWrap w:val="0"/>
            <w:vAlign w:val="center"/>
          </w:tcPr>
          <w:p w14:paraId="1C2AE083">
            <w:pPr>
              <w:spacing w:beforeLines="0" w:afterLines="0"/>
              <w:ind w:left="0" w:leftChars="0" w:firstLine="0" w:firstLineChars="0"/>
              <w:jc w:val="both"/>
              <w:rPr>
                <w:rFonts w:hint="eastAsia" w:ascii="宋体" w:hAnsi="宋体" w:eastAsia="宋体" w:cs="宋体"/>
                <w:color w:val="000000"/>
                <w:sz w:val="22"/>
                <w:szCs w:val="24"/>
              </w:rPr>
            </w:pPr>
            <w:r>
              <w:rPr>
                <w:rFonts w:hint="eastAsia" w:ascii="宋体" w:hAnsi="宋体" w:eastAsia="宋体" w:cs="宋体"/>
                <w:color w:val="000000"/>
                <w:sz w:val="22"/>
                <w:szCs w:val="24"/>
              </w:rPr>
              <w:t>集约化平台</w:t>
            </w:r>
            <w:r>
              <w:rPr>
                <w:rFonts w:hint="eastAsia" w:cs="宋体"/>
                <w:color w:val="000000"/>
                <w:sz w:val="22"/>
                <w:szCs w:val="24"/>
                <w:lang w:eastAsia="zh-CN"/>
              </w:rPr>
              <w:t>XC</w:t>
            </w:r>
            <w:r>
              <w:rPr>
                <w:rFonts w:hint="eastAsia" w:ascii="宋体" w:hAnsi="宋体" w:eastAsia="宋体" w:cs="宋体"/>
                <w:color w:val="000000"/>
                <w:sz w:val="22"/>
                <w:szCs w:val="24"/>
              </w:rPr>
              <w:t>技术改造-集约化数据中心适配改造</w:t>
            </w:r>
          </w:p>
        </w:tc>
        <w:tc>
          <w:tcPr>
            <w:tcW w:w="3946" w:type="dxa"/>
            <w:tcBorders>
              <w:tl2br w:val="nil"/>
              <w:tr2bl w:val="nil"/>
            </w:tcBorders>
            <w:noWrap w:val="0"/>
            <w:vAlign w:val="center"/>
          </w:tcPr>
          <w:p w14:paraId="510DA5DE">
            <w:pPr>
              <w:spacing w:beforeLines="0" w:afterLines="0"/>
              <w:ind w:left="0" w:leftChars="0" w:firstLine="0" w:firstLineChars="0"/>
              <w:jc w:val="both"/>
              <w:rPr>
                <w:rFonts w:hint="eastAsia" w:ascii="宋体" w:hAnsi="宋体" w:eastAsia="宋体" w:cs="宋体"/>
                <w:color w:val="000000"/>
                <w:sz w:val="22"/>
                <w:szCs w:val="24"/>
              </w:rPr>
            </w:pPr>
            <w:r>
              <w:rPr>
                <w:rFonts w:hint="eastAsia" w:ascii="宋体" w:hAnsi="宋体" w:eastAsia="宋体" w:cs="宋体"/>
                <w:color w:val="000000"/>
                <w:sz w:val="22"/>
                <w:szCs w:val="24"/>
              </w:rPr>
              <w:t>为确保集约化数据中心能够在市政务云</w:t>
            </w:r>
            <w:r>
              <w:rPr>
                <w:rFonts w:hint="eastAsia" w:cs="宋体"/>
                <w:color w:val="000000"/>
                <w:sz w:val="22"/>
                <w:szCs w:val="24"/>
                <w:lang w:eastAsia="zh-CN"/>
              </w:rPr>
              <w:t>XC</w:t>
            </w:r>
            <w:r>
              <w:rPr>
                <w:rFonts w:hint="eastAsia" w:ascii="宋体" w:hAnsi="宋体" w:eastAsia="宋体" w:cs="宋体"/>
                <w:color w:val="000000"/>
                <w:sz w:val="22"/>
                <w:szCs w:val="24"/>
              </w:rPr>
              <w:t>环境中稳定运行，需开展适配改造工作，使其全面兼容国产操作系统、数据库及中间件，从而满足</w:t>
            </w:r>
            <w:r>
              <w:rPr>
                <w:rFonts w:hint="eastAsia" w:cs="宋体"/>
                <w:color w:val="000000"/>
                <w:sz w:val="22"/>
                <w:szCs w:val="24"/>
                <w:lang w:eastAsia="zh-CN"/>
              </w:rPr>
              <w:t>XC</w:t>
            </w:r>
            <w:r>
              <w:rPr>
                <w:rFonts w:hint="eastAsia" w:ascii="宋体" w:hAnsi="宋体" w:eastAsia="宋体" w:cs="宋体"/>
                <w:color w:val="000000"/>
                <w:sz w:val="22"/>
                <w:szCs w:val="24"/>
              </w:rPr>
              <w:t>环境下的运行要求，保障系统安全性与自主可控性。</w:t>
            </w:r>
          </w:p>
        </w:tc>
      </w:tr>
    </w:tbl>
    <w:p w14:paraId="052BEA39">
      <w:pPr>
        <w:spacing w:beforeLines="0" w:afterLines="0"/>
        <w:ind w:firstLine="0" w:firstLineChars="0"/>
        <w:rPr>
          <w:rFonts w:hint="eastAsia"/>
          <w:sz w:val="24"/>
          <w:szCs w:val="24"/>
        </w:rPr>
      </w:pPr>
    </w:p>
    <w:p w14:paraId="41131090">
      <w:pPr>
        <w:pStyle w:val="3"/>
        <w:spacing w:beforeLines="0" w:afterLines="0"/>
        <w:ind w:firstLine="0"/>
        <w:rPr>
          <w:rFonts w:hint="eastAsia"/>
          <w:sz w:val="30"/>
          <w:szCs w:val="32"/>
        </w:rPr>
      </w:pPr>
      <w:r>
        <w:rPr>
          <w:rFonts w:hint="eastAsia"/>
          <w:sz w:val="30"/>
          <w:szCs w:val="32"/>
        </w:rPr>
        <w:t>密码应用改造</w:t>
      </w:r>
    </w:p>
    <w:p w14:paraId="777D81E8">
      <w:pPr>
        <w:spacing w:beforeLines="0" w:afterLines="0"/>
        <w:rPr>
          <w:rFonts w:hint="eastAsia"/>
          <w:sz w:val="24"/>
          <w:szCs w:val="24"/>
        </w:rPr>
      </w:pPr>
      <w:r>
        <w:rPr>
          <w:rFonts w:hint="eastAsia"/>
          <w:sz w:val="24"/>
          <w:szCs w:val="24"/>
        </w:rPr>
        <w:t>基于《信息系统密码应用基本要求》（GM/T0054-2018）要求，依托上海市电子政务云提供的密码服务（安全认证网关、签名验签、数据库加密等）开发适配密码应用功能模块，以实现网络和通信、设备和计算、应用和数据等层面的密码体系保障，满足国家和我市的密码测评要求。</w:t>
      </w:r>
    </w:p>
    <w:p w14:paraId="434C4E1B">
      <w:pPr>
        <w:spacing w:beforeLines="0" w:afterLines="0"/>
        <w:rPr>
          <w:rFonts w:hint="eastAsia"/>
          <w:sz w:val="24"/>
          <w:szCs w:val="24"/>
        </w:rPr>
      </w:pPr>
      <w:r>
        <w:rPr>
          <w:rFonts w:hint="eastAsia"/>
          <w:sz w:val="24"/>
          <w:szCs w:val="24"/>
        </w:rPr>
        <w:t>功能模块清单如下：</w:t>
      </w:r>
    </w:p>
    <w:tbl>
      <w:tblPr>
        <w:tblStyle w:val="35"/>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7"/>
        <w:gridCol w:w="1598"/>
        <w:gridCol w:w="6250"/>
      </w:tblGrid>
      <w:tr w14:paraId="75BB1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trPr>
        <w:tc>
          <w:tcPr>
            <w:tcW w:w="397" w:type="pct"/>
            <w:tcBorders>
              <w:tl2br w:val="nil"/>
              <w:tr2bl w:val="nil"/>
            </w:tcBorders>
            <w:noWrap w:val="0"/>
            <w:vAlign w:val="center"/>
          </w:tcPr>
          <w:p w14:paraId="188ACD32">
            <w:pPr>
              <w:spacing w:beforeLines="0" w:afterLines="0"/>
              <w:ind w:left="0" w:leftChars="0" w:firstLine="0" w:firstLineChars="0"/>
              <w:jc w:val="center"/>
              <w:rPr>
                <w:rFonts w:hint="eastAsia" w:ascii="宋体" w:hAnsi="宋体"/>
                <w:b/>
                <w:bCs/>
                <w:color w:val="000000"/>
                <w:sz w:val="22"/>
                <w:szCs w:val="24"/>
              </w:rPr>
            </w:pPr>
            <w:r>
              <w:rPr>
                <w:rFonts w:hint="eastAsia" w:ascii="宋体" w:hAnsi="宋体"/>
                <w:b/>
                <w:bCs/>
                <w:color w:val="000000"/>
                <w:sz w:val="22"/>
                <w:szCs w:val="24"/>
              </w:rPr>
              <w:t>序号</w:t>
            </w:r>
          </w:p>
        </w:tc>
        <w:tc>
          <w:tcPr>
            <w:tcW w:w="937" w:type="pct"/>
            <w:tcBorders>
              <w:tl2br w:val="nil"/>
              <w:tr2bl w:val="nil"/>
            </w:tcBorders>
            <w:noWrap w:val="0"/>
            <w:vAlign w:val="center"/>
          </w:tcPr>
          <w:p w14:paraId="1EFA45F2">
            <w:pPr>
              <w:spacing w:beforeLines="0" w:afterLines="0"/>
              <w:ind w:left="0" w:leftChars="0" w:firstLine="0" w:firstLineChars="0"/>
              <w:jc w:val="center"/>
              <w:rPr>
                <w:rFonts w:hint="eastAsia" w:ascii="宋体" w:hAnsi="宋体"/>
                <w:b/>
                <w:bCs/>
                <w:color w:val="000000"/>
                <w:sz w:val="22"/>
                <w:szCs w:val="24"/>
              </w:rPr>
            </w:pPr>
            <w:r>
              <w:rPr>
                <w:rFonts w:hint="eastAsia" w:ascii="宋体" w:hAnsi="宋体"/>
                <w:b/>
                <w:bCs/>
                <w:color w:val="000000"/>
                <w:sz w:val="22"/>
                <w:szCs w:val="24"/>
              </w:rPr>
              <w:t>功能名称</w:t>
            </w:r>
          </w:p>
        </w:tc>
        <w:tc>
          <w:tcPr>
            <w:tcW w:w="3665" w:type="pct"/>
            <w:tcBorders>
              <w:tl2br w:val="nil"/>
              <w:tr2bl w:val="nil"/>
            </w:tcBorders>
            <w:noWrap w:val="0"/>
            <w:vAlign w:val="center"/>
          </w:tcPr>
          <w:p w14:paraId="73B19E3B">
            <w:pPr>
              <w:spacing w:beforeLines="0" w:afterLines="0"/>
              <w:ind w:left="0" w:leftChars="0" w:firstLine="0" w:firstLineChars="0"/>
              <w:jc w:val="center"/>
              <w:rPr>
                <w:rFonts w:hint="eastAsia" w:ascii="宋体" w:hAnsi="宋体"/>
                <w:b/>
                <w:bCs/>
                <w:color w:val="000000"/>
                <w:sz w:val="22"/>
                <w:szCs w:val="24"/>
              </w:rPr>
            </w:pPr>
            <w:r>
              <w:rPr>
                <w:rFonts w:hint="eastAsia" w:ascii="宋体" w:hAnsi="宋体"/>
                <w:b/>
                <w:bCs/>
                <w:color w:val="000000"/>
                <w:sz w:val="22"/>
                <w:szCs w:val="24"/>
              </w:rPr>
              <w:t>功能描述</w:t>
            </w:r>
          </w:p>
        </w:tc>
      </w:tr>
      <w:tr w14:paraId="61B14A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397" w:type="pct"/>
            <w:tcBorders>
              <w:tl2br w:val="nil"/>
              <w:tr2bl w:val="nil"/>
            </w:tcBorders>
            <w:noWrap w:val="0"/>
            <w:vAlign w:val="center"/>
          </w:tcPr>
          <w:p w14:paraId="1E6A9C42">
            <w:pPr>
              <w:spacing w:beforeLines="0" w:afterLines="0"/>
              <w:ind w:left="0" w:leftChars="0" w:firstLine="0" w:firstLineChars="0"/>
              <w:jc w:val="center"/>
              <w:rPr>
                <w:rFonts w:hint="eastAsia" w:ascii="宋体" w:hAnsi="宋体"/>
                <w:color w:val="000000"/>
                <w:sz w:val="22"/>
                <w:szCs w:val="24"/>
              </w:rPr>
            </w:pPr>
            <w:r>
              <w:rPr>
                <w:rFonts w:hint="eastAsia" w:ascii="宋体" w:hAnsi="宋体"/>
                <w:color w:val="000000"/>
                <w:sz w:val="22"/>
                <w:szCs w:val="24"/>
              </w:rPr>
              <w:t>1</w:t>
            </w:r>
          </w:p>
        </w:tc>
        <w:tc>
          <w:tcPr>
            <w:tcW w:w="937" w:type="pct"/>
            <w:tcBorders>
              <w:tl2br w:val="nil"/>
              <w:tr2bl w:val="nil"/>
            </w:tcBorders>
            <w:noWrap w:val="0"/>
            <w:vAlign w:val="center"/>
          </w:tcPr>
          <w:p w14:paraId="38A5FD7B">
            <w:pPr>
              <w:spacing w:beforeLines="0" w:afterLines="0"/>
              <w:ind w:left="0" w:leftChars="0" w:firstLine="0" w:firstLineChars="0"/>
              <w:jc w:val="both"/>
              <w:rPr>
                <w:rFonts w:hint="eastAsia" w:ascii="宋体" w:hAnsi="宋体"/>
                <w:color w:val="000000"/>
                <w:sz w:val="22"/>
                <w:szCs w:val="24"/>
              </w:rPr>
            </w:pPr>
            <w:r>
              <w:rPr>
                <w:rFonts w:hint="eastAsia" w:ascii="宋体" w:hAnsi="宋体"/>
                <w:color w:val="000000"/>
                <w:sz w:val="22"/>
                <w:szCs w:val="24"/>
              </w:rPr>
              <w:t>密码应用改造-传输安全改造</w:t>
            </w:r>
          </w:p>
        </w:tc>
        <w:tc>
          <w:tcPr>
            <w:tcW w:w="3665" w:type="pct"/>
            <w:tcBorders>
              <w:tl2br w:val="nil"/>
              <w:tr2bl w:val="nil"/>
            </w:tcBorders>
            <w:noWrap w:val="0"/>
            <w:vAlign w:val="center"/>
          </w:tcPr>
          <w:p w14:paraId="010A72A7">
            <w:pPr>
              <w:spacing w:beforeLines="0" w:afterLines="0"/>
              <w:ind w:left="0" w:leftChars="0" w:firstLine="0" w:firstLineChars="0"/>
              <w:jc w:val="both"/>
              <w:rPr>
                <w:rFonts w:hint="eastAsia" w:ascii="宋体" w:hAnsi="宋体"/>
                <w:color w:val="000000"/>
                <w:sz w:val="22"/>
                <w:szCs w:val="24"/>
              </w:rPr>
            </w:pPr>
            <w:r>
              <w:rPr>
                <w:rFonts w:hint="eastAsia" w:ascii="宋体" w:hAnsi="宋体"/>
                <w:color w:val="000000"/>
                <w:sz w:val="22"/>
                <w:szCs w:val="24"/>
              </w:rPr>
              <w:t>借助安全认证网关等设备，搭建起终端到服务端的安全加密传输通道。在数据传输过程中，采用SSL/TLS等加密协议，对传输的数据进行加密处理，将原始数据转换为密文在网络中传输。</w:t>
            </w:r>
          </w:p>
        </w:tc>
      </w:tr>
      <w:tr w14:paraId="6BF92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0" w:hRule="atLeast"/>
        </w:trPr>
        <w:tc>
          <w:tcPr>
            <w:tcW w:w="397" w:type="pct"/>
            <w:tcBorders>
              <w:tl2br w:val="nil"/>
              <w:tr2bl w:val="nil"/>
            </w:tcBorders>
            <w:noWrap w:val="0"/>
            <w:vAlign w:val="center"/>
          </w:tcPr>
          <w:p w14:paraId="08ECC253">
            <w:pPr>
              <w:spacing w:beforeLines="0" w:afterLines="0"/>
              <w:ind w:left="0" w:leftChars="0" w:firstLine="0" w:firstLineChars="0"/>
              <w:jc w:val="center"/>
              <w:rPr>
                <w:rFonts w:hint="eastAsia" w:ascii="宋体" w:hAnsi="宋体"/>
                <w:color w:val="000000"/>
                <w:sz w:val="22"/>
                <w:szCs w:val="24"/>
              </w:rPr>
            </w:pPr>
            <w:r>
              <w:rPr>
                <w:rFonts w:hint="eastAsia" w:ascii="宋体" w:hAnsi="宋体"/>
                <w:color w:val="000000"/>
                <w:sz w:val="22"/>
                <w:szCs w:val="24"/>
              </w:rPr>
              <w:t>2</w:t>
            </w:r>
          </w:p>
        </w:tc>
        <w:tc>
          <w:tcPr>
            <w:tcW w:w="937" w:type="pct"/>
            <w:tcBorders>
              <w:tl2br w:val="nil"/>
              <w:tr2bl w:val="nil"/>
            </w:tcBorders>
            <w:noWrap w:val="0"/>
            <w:vAlign w:val="center"/>
          </w:tcPr>
          <w:p w14:paraId="10D7646B">
            <w:pPr>
              <w:spacing w:beforeLines="0" w:afterLines="0"/>
              <w:ind w:left="0" w:leftChars="0" w:firstLine="0" w:firstLineChars="0"/>
              <w:jc w:val="both"/>
              <w:rPr>
                <w:rFonts w:hint="eastAsia" w:ascii="宋体" w:hAnsi="宋体"/>
                <w:color w:val="000000"/>
                <w:sz w:val="22"/>
                <w:szCs w:val="24"/>
              </w:rPr>
            </w:pPr>
            <w:r>
              <w:rPr>
                <w:rFonts w:hint="eastAsia" w:ascii="宋体" w:hAnsi="宋体"/>
                <w:color w:val="000000"/>
                <w:sz w:val="22"/>
                <w:szCs w:val="24"/>
              </w:rPr>
              <w:t>密码应用改造-签名验签改造/数据加密改造</w:t>
            </w:r>
          </w:p>
        </w:tc>
        <w:tc>
          <w:tcPr>
            <w:tcW w:w="3665" w:type="pct"/>
            <w:tcBorders>
              <w:tl2br w:val="nil"/>
              <w:tr2bl w:val="nil"/>
            </w:tcBorders>
            <w:noWrap w:val="0"/>
            <w:vAlign w:val="center"/>
          </w:tcPr>
          <w:p w14:paraId="26E428FA">
            <w:pPr>
              <w:spacing w:beforeLines="0" w:afterLines="0"/>
              <w:ind w:left="0" w:leftChars="0" w:firstLine="0" w:firstLineChars="0"/>
              <w:jc w:val="both"/>
              <w:rPr>
                <w:rFonts w:hint="eastAsia" w:ascii="宋体" w:hAnsi="宋体"/>
                <w:color w:val="000000"/>
                <w:sz w:val="22"/>
                <w:szCs w:val="24"/>
              </w:rPr>
            </w:pPr>
            <w:r>
              <w:rPr>
                <w:rFonts w:hint="eastAsia" w:ascii="宋体" w:hAnsi="宋体"/>
                <w:color w:val="000000"/>
                <w:sz w:val="22"/>
                <w:szCs w:val="24"/>
              </w:rPr>
              <w:t>调用市政务云签名验签服务接口，构建数据防护机制。针对登录用户身份鉴别数据、业务日志、重要业务数据等关键信息，在数据存储前进行数字签名处理，生成唯一的签名值并与数据绑定。依托市政务云数据库加密服务接口，对登录用户身份鉴别数据、重要业务数据等结构化数据实施机密性保护。通过采用加密算法，在数据存入数据库前对其进行加密处理，将明文转换为密文存储。</w:t>
            </w:r>
          </w:p>
        </w:tc>
      </w:tr>
    </w:tbl>
    <w:p w14:paraId="28DE1B39">
      <w:pPr>
        <w:spacing w:beforeLines="0" w:afterLines="0"/>
        <w:ind w:firstLine="0" w:firstLineChars="0"/>
        <w:rPr>
          <w:rFonts w:hint="eastAsia"/>
          <w:sz w:val="24"/>
          <w:szCs w:val="24"/>
        </w:rPr>
      </w:pPr>
    </w:p>
    <w:p w14:paraId="22D8DFA7">
      <w:pPr>
        <w:pStyle w:val="3"/>
        <w:ind w:firstLine="0"/>
        <w:rPr>
          <w:rFonts w:hint="eastAsia"/>
          <w:sz w:val="30"/>
          <w:szCs w:val="32"/>
        </w:rPr>
      </w:pPr>
      <w:r>
        <w:rPr>
          <w:rFonts w:hint="eastAsia"/>
          <w:sz w:val="30"/>
          <w:szCs w:val="32"/>
        </w:rPr>
        <w:t>采用市级政务大模型底座MAP平台开展大模型建设</w:t>
      </w:r>
    </w:p>
    <w:p w14:paraId="04171965">
      <w:pPr>
        <w:rPr>
          <w:rFonts w:hint="default" w:eastAsia="宋体"/>
          <w:sz w:val="24"/>
          <w:szCs w:val="24"/>
          <w:lang w:val="en-US" w:eastAsia="zh-CN"/>
        </w:rPr>
      </w:pPr>
      <w:r>
        <w:rPr>
          <w:rFonts w:hint="eastAsia"/>
          <w:sz w:val="24"/>
          <w:szCs w:val="24"/>
          <w:lang w:val="en-US" w:eastAsia="zh-CN"/>
        </w:rPr>
        <w:t>包括</w:t>
      </w:r>
      <w:r>
        <w:rPr>
          <w:rFonts w:hint="eastAsia"/>
          <w:sz w:val="24"/>
          <w:szCs w:val="24"/>
        </w:rPr>
        <w:t>知识库数据预处理服务</w:t>
      </w:r>
      <w:r>
        <w:rPr>
          <w:rFonts w:hint="eastAsia"/>
          <w:sz w:val="24"/>
          <w:szCs w:val="24"/>
          <w:lang w:val="en-US" w:eastAsia="zh-CN"/>
        </w:rPr>
        <w:t>和接口开发。</w:t>
      </w:r>
    </w:p>
    <w:p w14:paraId="334C17B2">
      <w:pPr>
        <w:rPr>
          <w:rFonts w:hint="eastAsia"/>
          <w:sz w:val="24"/>
          <w:szCs w:val="24"/>
        </w:rPr>
      </w:pPr>
      <w:r>
        <w:rPr>
          <w:rFonts w:hint="eastAsia"/>
          <w:sz w:val="24"/>
          <w:szCs w:val="24"/>
        </w:rPr>
        <w:t>功能模块清单如下：</w:t>
      </w:r>
    </w:p>
    <w:tbl>
      <w:tblPr>
        <w:tblStyle w:val="35"/>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7"/>
        <w:gridCol w:w="1598"/>
        <w:gridCol w:w="6250"/>
      </w:tblGrid>
      <w:tr w14:paraId="372AC4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trPr>
        <w:tc>
          <w:tcPr>
            <w:tcW w:w="397" w:type="pct"/>
            <w:tcBorders>
              <w:tl2br w:val="nil"/>
              <w:tr2bl w:val="nil"/>
            </w:tcBorders>
            <w:noWrap w:val="0"/>
            <w:vAlign w:val="center"/>
          </w:tcPr>
          <w:p w14:paraId="6B4AF694">
            <w:pPr>
              <w:spacing w:beforeLines="0" w:afterLines="0"/>
              <w:ind w:left="0" w:leftChars="0" w:firstLine="0" w:firstLineChars="0"/>
              <w:jc w:val="center"/>
              <w:rPr>
                <w:rFonts w:hint="eastAsia" w:ascii="宋体" w:hAnsi="宋体"/>
                <w:b/>
                <w:bCs/>
                <w:color w:val="000000"/>
                <w:sz w:val="22"/>
                <w:szCs w:val="24"/>
              </w:rPr>
            </w:pPr>
            <w:r>
              <w:rPr>
                <w:rFonts w:hint="eastAsia" w:ascii="宋体" w:hAnsi="宋体"/>
                <w:b/>
                <w:bCs/>
                <w:color w:val="000000"/>
                <w:sz w:val="22"/>
                <w:szCs w:val="24"/>
              </w:rPr>
              <w:t>序号</w:t>
            </w:r>
          </w:p>
        </w:tc>
        <w:tc>
          <w:tcPr>
            <w:tcW w:w="937" w:type="pct"/>
            <w:tcBorders>
              <w:tl2br w:val="nil"/>
              <w:tr2bl w:val="nil"/>
            </w:tcBorders>
            <w:noWrap w:val="0"/>
            <w:vAlign w:val="center"/>
          </w:tcPr>
          <w:p w14:paraId="0026DD9B">
            <w:pPr>
              <w:spacing w:beforeLines="0" w:afterLines="0"/>
              <w:ind w:left="0" w:leftChars="0" w:firstLine="0" w:firstLineChars="0"/>
              <w:jc w:val="center"/>
              <w:rPr>
                <w:rFonts w:hint="eastAsia" w:ascii="宋体" w:hAnsi="宋体"/>
                <w:b/>
                <w:bCs/>
                <w:color w:val="000000"/>
                <w:sz w:val="22"/>
                <w:szCs w:val="24"/>
              </w:rPr>
            </w:pPr>
            <w:r>
              <w:rPr>
                <w:rFonts w:hint="eastAsia" w:ascii="宋体" w:hAnsi="宋体"/>
                <w:b/>
                <w:bCs/>
                <w:color w:val="000000"/>
                <w:sz w:val="22"/>
                <w:szCs w:val="24"/>
              </w:rPr>
              <w:t>功能名称</w:t>
            </w:r>
          </w:p>
        </w:tc>
        <w:tc>
          <w:tcPr>
            <w:tcW w:w="3664" w:type="pct"/>
            <w:tcBorders>
              <w:tl2br w:val="nil"/>
              <w:tr2bl w:val="nil"/>
            </w:tcBorders>
            <w:noWrap w:val="0"/>
            <w:vAlign w:val="center"/>
          </w:tcPr>
          <w:p w14:paraId="245AA3DD">
            <w:pPr>
              <w:spacing w:beforeLines="0" w:afterLines="0"/>
              <w:ind w:left="0" w:leftChars="0" w:firstLine="0" w:firstLineChars="0"/>
              <w:jc w:val="center"/>
              <w:rPr>
                <w:rFonts w:hint="eastAsia" w:ascii="宋体" w:hAnsi="宋体"/>
                <w:b/>
                <w:bCs/>
                <w:color w:val="000000"/>
                <w:sz w:val="22"/>
                <w:szCs w:val="24"/>
              </w:rPr>
            </w:pPr>
            <w:r>
              <w:rPr>
                <w:rFonts w:hint="eastAsia" w:ascii="宋体" w:hAnsi="宋体"/>
                <w:b/>
                <w:bCs/>
                <w:color w:val="000000"/>
                <w:sz w:val="22"/>
                <w:szCs w:val="24"/>
              </w:rPr>
              <w:t>功能描述</w:t>
            </w:r>
          </w:p>
        </w:tc>
      </w:tr>
      <w:tr w14:paraId="13714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397" w:type="pct"/>
            <w:tcBorders>
              <w:tl2br w:val="nil"/>
              <w:tr2bl w:val="nil"/>
            </w:tcBorders>
            <w:noWrap w:val="0"/>
            <w:vAlign w:val="center"/>
          </w:tcPr>
          <w:p w14:paraId="7362E3F0">
            <w:pPr>
              <w:spacing w:beforeLines="0" w:afterLines="0"/>
              <w:ind w:left="0" w:leftChars="0" w:firstLine="0" w:firstLineChars="0"/>
              <w:jc w:val="center"/>
              <w:rPr>
                <w:rFonts w:hint="eastAsia" w:ascii="宋体" w:hAnsi="宋体"/>
                <w:color w:val="000000"/>
                <w:sz w:val="22"/>
                <w:szCs w:val="24"/>
              </w:rPr>
            </w:pPr>
            <w:r>
              <w:rPr>
                <w:rFonts w:hint="eastAsia" w:ascii="宋体" w:hAnsi="宋体"/>
                <w:color w:val="000000"/>
                <w:sz w:val="22"/>
                <w:szCs w:val="24"/>
              </w:rPr>
              <w:t>1</w:t>
            </w:r>
          </w:p>
        </w:tc>
        <w:tc>
          <w:tcPr>
            <w:tcW w:w="937" w:type="pct"/>
            <w:tcBorders>
              <w:tl2br w:val="nil"/>
              <w:tr2bl w:val="nil"/>
            </w:tcBorders>
            <w:noWrap w:val="0"/>
            <w:vAlign w:val="center"/>
          </w:tcPr>
          <w:p w14:paraId="47DDE092">
            <w:pPr>
              <w:spacing w:beforeLines="0" w:afterLines="0"/>
              <w:ind w:left="0" w:leftChars="0" w:firstLine="0" w:firstLineChars="0"/>
              <w:jc w:val="both"/>
              <w:rPr>
                <w:rFonts w:hint="eastAsia" w:ascii="宋体" w:hAnsi="宋体"/>
                <w:color w:val="000000"/>
                <w:sz w:val="22"/>
                <w:szCs w:val="24"/>
              </w:rPr>
            </w:pPr>
            <w:r>
              <w:rPr>
                <w:rFonts w:hint="eastAsia" w:ascii="宋体" w:hAnsi="宋体"/>
                <w:color w:val="000000"/>
                <w:sz w:val="22"/>
                <w:szCs w:val="24"/>
              </w:rPr>
              <w:t>知识库数据预处理服务</w:t>
            </w:r>
          </w:p>
        </w:tc>
        <w:tc>
          <w:tcPr>
            <w:tcW w:w="3664" w:type="pct"/>
            <w:tcBorders>
              <w:tl2br w:val="nil"/>
              <w:tr2bl w:val="nil"/>
            </w:tcBorders>
            <w:noWrap w:val="0"/>
            <w:vAlign w:val="center"/>
          </w:tcPr>
          <w:p w14:paraId="5DE1DB86">
            <w:pPr>
              <w:spacing w:beforeLines="0" w:afterLines="0"/>
              <w:ind w:left="0" w:leftChars="0" w:firstLine="0" w:firstLineChars="0"/>
              <w:jc w:val="both"/>
              <w:rPr>
                <w:rFonts w:hint="eastAsia" w:ascii="宋体" w:hAnsi="宋体" w:eastAsia="宋体"/>
                <w:color w:val="000000"/>
                <w:sz w:val="22"/>
                <w:szCs w:val="24"/>
                <w:lang w:val="en-US" w:eastAsia="zh-CN"/>
              </w:rPr>
            </w:pPr>
            <w:r>
              <w:rPr>
                <w:rFonts w:hint="eastAsia" w:ascii="宋体" w:hAnsi="宋体"/>
                <w:color w:val="000000"/>
                <w:sz w:val="22"/>
                <w:szCs w:val="24"/>
              </w:rPr>
              <w:t>对政策文件数据进行数据清洗、数据转换、数据向量化及训练集/验证集/测试集划分等大模型数据集预处理</w:t>
            </w:r>
            <w:r>
              <w:rPr>
                <w:rFonts w:hint="eastAsia"/>
                <w:color w:val="000000"/>
                <w:sz w:val="22"/>
                <w:szCs w:val="24"/>
                <w:lang w:eastAsia="zh-CN"/>
              </w:rPr>
              <w:t>。</w:t>
            </w:r>
          </w:p>
        </w:tc>
      </w:tr>
      <w:tr w14:paraId="2150D0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397" w:type="pct"/>
            <w:tcBorders>
              <w:tl2br w:val="nil"/>
              <w:tr2bl w:val="nil"/>
            </w:tcBorders>
            <w:noWrap w:val="0"/>
            <w:vAlign w:val="center"/>
          </w:tcPr>
          <w:p w14:paraId="1B42BCD7">
            <w:pPr>
              <w:spacing w:beforeLines="0" w:afterLines="0"/>
              <w:ind w:left="0" w:leftChars="0" w:firstLine="0" w:firstLineChars="0"/>
              <w:jc w:val="center"/>
              <w:rPr>
                <w:rFonts w:hint="eastAsia" w:ascii="宋体" w:hAnsi="宋体"/>
                <w:color w:val="000000"/>
                <w:sz w:val="22"/>
                <w:szCs w:val="24"/>
              </w:rPr>
            </w:pPr>
            <w:r>
              <w:rPr>
                <w:rFonts w:hint="eastAsia" w:ascii="宋体" w:hAnsi="宋体"/>
                <w:color w:val="000000"/>
                <w:sz w:val="22"/>
                <w:szCs w:val="24"/>
              </w:rPr>
              <w:t>2</w:t>
            </w:r>
          </w:p>
        </w:tc>
        <w:tc>
          <w:tcPr>
            <w:tcW w:w="937" w:type="pct"/>
            <w:tcBorders>
              <w:tl2br w:val="nil"/>
              <w:tr2bl w:val="nil"/>
            </w:tcBorders>
            <w:noWrap w:val="0"/>
            <w:vAlign w:val="center"/>
          </w:tcPr>
          <w:p w14:paraId="17A8018B">
            <w:pPr>
              <w:spacing w:beforeLines="0" w:afterLines="0"/>
              <w:ind w:left="0" w:leftChars="0" w:firstLine="0" w:firstLineChars="0"/>
              <w:jc w:val="both"/>
              <w:rPr>
                <w:rFonts w:hint="eastAsia" w:ascii="宋体" w:hAnsi="宋体"/>
                <w:color w:val="000000"/>
                <w:sz w:val="22"/>
                <w:szCs w:val="24"/>
              </w:rPr>
            </w:pPr>
            <w:r>
              <w:rPr>
                <w:rFonts w:hint="eastAsia" w:ascii="宋体" w:hAnsi="宋体"/>
                <w:color w:val="000000"/>
                <w:sz w:val="22"/>
                <w:szCs w:val="24"/>
              </w:rPr>
              <w:t>接口开发-政策数据采集接口</w:t>
            </w:r>
          </w:p>
        </w:tc>
        <w:tc>
          <w:tcPr>
            <w:tcW w:w="3664" w:type="pct"/>
            <w:tcBorders>
              <w:tl2br w:val="nil"/>
              <w:tr2bl w:val="nil"/>
            </w:tcBorders>
            <w:noWrap w:val="0"/>
            <w:vAlign w:val="center"/>
          </w:tcPr>
          <w:p w14:paraId="7E2D2283">
            <w:pPr>
              <w:spacing w:beforeLines="0" w:afterLines="0"/>
              <w:ind w:left="0" w:leftChars="0" w:firstLine="0" w:firstLineChars="0"/>
              <w:jc w:val="both"/>
              <w:rPr>
                <w:rFonts w:hint="eastAsia" w:ascii="宋体" w:hAnsi="宋体"/>
                <w:color w:val="000000"/>
                <w:sz w:val="22"/>
                <w:szCs w:val="24"/>
              </w:rPr>
            </w:pPr>
            <w:r>
              <w:rPr>
                <w:rFonts w:hint="eastAsia" w:ascii="宋体" w:hAnsi="宋体"/>
                <w:color w:val="000000"/>
                <w:sz w:val="22"/>
                <w:szCs w:val="24"/>
              </w:rPr>
              <w:t>为平台工作人员构建政策知识库提供支撑。通过调用接口，将统一政策管理平台政策库中的数据同步至市级MAP中台数据管理中枢，支持全量/增量同步与质量校验，经数据管理中枢处理后形成政策知识库，为资料检索应用提供数据支撑。</w:t>
            </w:r>
          </w:p>
        </w:tc>
      </w:tr>
      <w:tr w14:paraId="11DF8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397" w:type="pct"/>
            <w:tcBorders>
              <w:tl2br w:val="nil"/>
              <w:tr2bl w:val="nil"/>
            </w:tcBorders>
            <w:noWrap w:val="0"/>
            <w:vAlign w:val="center"/>
          </w:tcPr>
          <w:p w14:paraId="5F1C7784">
            <w:pPr>
              <w:spacing w:beforeLines="0" w:afterLines="0"/>
              <w:ind w:left="0" w:leftChars="0" w:firstLine="0" w:firstLineChars="0"/>
              <w:jc w:val="center"/>
              <w:rPr>
                <w:rFonts w:hint="eastAsia" w:ascii="宋体" w:hAnsi="宋体"/>
                <w:color w:val="000000"/>
                <w:sz w:val="22"/>
                <w:szCs w:val="24"/>
              </w:rPr>
            </w:pPr>
            <w:r>
              <w:rPr>
                <w:rFonts w:hint="eastAsia" w:ascii="宋体" w:hAnsi="宋体"/>
                <w:color w:val="000000"/>
                <w:sz w:val="22"/>
                <w:szCs w:val="24"/>
              </w:rPr>
              <w:t>3</w:t>
            </w:r>
          </w:p>
        </w:tc>
        <w:tc>
          <w:tcPr>
            <w:tcW w:w="937" w:type="pct"/>
            <w:tcBorders>
              <w:tl2br w:val="nil"/>
              <w:tr2bl w:val="nil"/>
            </w:tcBorders>
            <w:noWrap w:val="0"/>
            <w:vAlign w:val="center"/>
          </w:tcPr>
          <w:p w14:paraId="29DCC2C6">
            <w:pPr>
              <w:spacing w:beforeLines="0" w:afterLines="0"/>
              <w:ind w:left="0" w:leftChars="0" w:firstLine="0" w:firstLineChars="0"/>
              <w:jc w:val="both"/>
              <w:rPr>
                <w:rFonts w:hint="eastAsia" w:ascii="宋体" w:hAnsi="宋体"/>
                <w:color w:val="000000"/>
                <w:sz w:val="22"/>
                <w:szCs w:val="24"/>
              </w:rPr>
            </w:pPr>
            <w:r>
              <w:rPr>
                <w:rFonts w:hint="eastAsia" w:ascii="宋体" w:hAnsi="宋体"/>
                <w:color w:val="000000"/>
                <w:sz w:val="22"/>
                <w:szCs w:val="24"/>
              </w:rPr>
              <w:t>接口开发-政策检索服务接口</w:t>
            </w:r>
          </w:p>
        </w:tc>
        <w:tc>
          <w:tcPr>
            <w:tcW w:w="3664" w:type="pct"/>
            <w:tcBorders>
              <w:tl2br w:val="nil"/>
              <w:tr2bl w:val="nil"/>
            </w:tcBorders>
            <w:noWrap w:val="0"/>
            <w:vAlign w:val="center"/>
          </w:tcPr>
          <w:p w14:paraId="2176AC2B">
            <w:pPr>
              <w:spacing w:beforeLines="0" w:afterLines="0"/>
              <w:ind w:left="0" w:leftChars="0" w:firstLine="0" w:firstLineChars="0"/>
              <w:jc w:val="both"/>
              <w:rPr>
                <w:rFonts w:hint="eastAsia" w:ascii="宋体" w:hAnsi="宋体"/>
                <w:color w:val="000000"/>
                <w:sz w:val="22"/>
                <w:szCs w:val="24"/>
              </w:rPr>
            </w:pPr>
            <w:r>
              <w:rPr>
                <w:rFonts w:hint="eastAsia" w:ascii="宋体" w:hAnsi="宋体"/>
                <w:color w:val="000000"/>
                <w:sz w:val="22"/>
                <w:szCs w:val="24"/>
              </w:rPr>
              <w:t>为平台工作人员完成政策管理工作提供智能化辅助支撑。通过调用接口，智能体可获取工作人员政策检索条件，以及经过市级MAP大模型提供的检索结果，为工作人员开展政策管理工作提供有益参考，提高工作效率和质量。</w:t>
            </w:r>
          </w:p>
        </w:tc>
      </w:tr>
    </w:tbl>
    <w:p w14:paraId="315FE6FC">
      <w:pPr>
        <w:widowControl/>
        <w:snapToGrid w:val="0"/>
        <w:spacing w:line="440" w:lineRule="exact"/>
        <w:ind w:left="0" w:leftChars="0" w:firstLine="0" w:firstLineChars="0"/>
        <w:jc w:val="left"/>
        <w:rPr>
          <w:b/>
        </w:rPr>
      </w:pPr>
    </w:p>
    <w:p w14:paraId="579D08DC">
      <w:pPr>
        <w:pStyle w:val="2"/>
        <w:rPr>
          <w:highlight w:val="none"/>
        </w:rPr>
      </w:pPr>
      <w:r>
        <w:rPr>
          <w:rFonts w:hint="eastAsia"/>
          <w:highlight w:val="none"/>
          <w:lang w:eastAsia="zh-CN"/>
        </w:rPr>
        <w:t>低代码建设要求</w:t>
      </w:r>
    </w:p>
    <w:p w14:paraId="3CC1014B">
      <w:pPr>
        <w:ind w:left="0" w:leftChars="0" w:firstLine="480" w:firstLineChars="200"/>
        <w:rPr>
          <w:rFonts w:hint="eastAsia" w:ascii="宋体" w:hAnsi="宋体" w:eastAsia="宋体" w:cs="Times New Roman"/>
          <w:kern w:val="2"/>
          <w:sz w:val="24"/>
          <w:szCs w:val="24"/>
          <w:lang w:val="en-US" w:eastAsia="zh-CN" w:bidi="ar-SA"/>
        </w:rPr>
      </w:pPr>
      <w:r>
        <w:rPr>
          <w:rFonts w:hint="eastAsia" w:cs="Times New Roman"/>
          <w:kern w:val="2"/>
          <w:sz w:val="24"/>
          <w:szCs w:val="24"/>
          <w:lang w:val="en-US" w:eastAsia="zh-CN" w:bidi="ar-SA"/>
        </w:rPr>
        <w:t>供应商应针对建设内容中“业务调度中心”模块使用自有低代码平台或第三方低代码平台（以下统称“该平台”）进行构建，快速响应业务流程变化和定制化需求</w:t>
      </w:r>
      <w:r>
        <w:rPr>
          <w:rFonts w:hint="eastAsia" w:ascii="宋体" w:hAnsi="宋体" w:eastAsia="宋体" w:cs="Times New Roman"/>
          <w:kern w:val="2"/>
          <w:sz w:val="24"/>
          <w:szCs w:val="24"/>
          <w:lang w:val="en-US" w:eastAsia="zh-CN" w:bidi="ar-SA"/>
        </w:rPr>
        <w:t>。</w:t>
      </w:r>
    </w:p>
    <w:p w14:paraId="38FCC178">
      <w:pPr>
        <w:ind w:left="0" w:leftChars="0" w:firstLine="480" w:firstLineChars="200"/>
        <w:rPr>
          <w:rFonts w:hint="eastAsia" w:cs="Times New Roman"/>
          <w:kern w:val="2"/>
          <w:sz w:val="24"/>
          <w:szCs w:val="24"/>
          <w:lang w:val="en-US" w:eastAsia="zh-CN" w:bidi="ar-SA"/>
        </w:rPr>
      </w:pPr>
      <w:r>
        <w:rPr>
          <w:rFonts w:hint="default" w:ascii="宋体" w:hAnsi="宋体" w:eastAsia="宋体" w:cs="Times New Roman"/>
          <w:kern w:val="2"/>
          <w:sz w:val="24"/>
          <w:szCs w:val="24"/>
          <w:lang w:val="en-US" w:eastAsia="zh-CN" w:bidi="ar-SA"/>
        </w:rPr>
        <w:t>该平台能够支持以可视化的方式基于数据模型创建功能模块和业务流程</w:t>
      </w:r>
      <w:r>
        <w:rPr>
          <w:rFonts w:hint="eastAsia" w:cs="Times New Roman"/>
          <w:kern w:val="2"/>
          <w:sz w:val="24"/>
          <w:szCs w:val="24"/>
          <w:lang w:val="en-US" w:eastAsia="zh-CN" w:bidi="ar-SA"/>
        </w:rPr>
        <w:t>，支持通过“拖、拉、拽”或配置化等方式，快速构建和修改表单、流程及核心业务功能。</w:t>
      </w:r>
    </w:p>
    <w:p w14:paraId="102E2646">
      <w:pPr>
        <w:ind w:left="0" w:leftChars="0" w:firstLine="480" w:firstLineChars="200"/>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在业务需求发生变化时，大部分功能调整能通过平台配置方式完成，避免或减少底层代码的修改</w:t>
      </w:r>
      <w:r>
        <w:rPr>
          <w:rFonts w:hint="eastAsia" w:cs="Times New Roman"/>
          <w:kern w:val="2"/>
          <w:sz w:val="24"/>
          <w:szCs w:val="24"/>
          <w:lang w:val="en-US" w:eastAsia="zh-CN" w:bidi="ar-SA"/>
        </w:rPr>
        <w:t>。</w:t>
      </w:r>
    </w:p>
    <w:p w14:paraId="5C610F11">
      <w:pPr>
        <w:pStyle w:val="2"/>
      </w:pPr>
      <w:bookmarkStart w:id="17" w:name="_Toc63785503"/>
      <w:r>
        <w:rPr>
          <w:rFonts w:hint="eastAsia"/>
        </w:rPr>
        <w:t>其他工作要求</w:t>
      </w:r>
      <w:bookmarkEnd w:id="17"/>
    </w:p>
    <w:p w14:paraId="3332F083">
      <w:pPr>
        <w:pStyle w:val="3"/>
      </w:pPr>
      <w:bookmarkStart w:id="18" w:name="_Toc63785505"/>
      <w:r>
        <w:rPr>
          <w:rFonts w:hint="eastAsia"/>
        </w:rPr>
        <w:t>售后服务要求</w:t>
      </w:r>
      <w:bookmarkEnd w:id="18"/>
    </w:p>
    <w:p w14:paraId="1B785D63">
      <w:pPr>
        <w:pStyle w:val="106"/>
        <w:snapToGrid w:val="0"/>
        <w:spacing w:line="360" w:lineRule="auto"/>
        <w:ind w:firstLine="480"/>
        <w:rPr>
          <w:rFonts w:ascii="宋体" w:hAnsi="宋体"/>
          <w:sz w:val="24"/>
          <w:szCs w:val="24"/>
        </w:rPr>
      </w:pPr>
      <w:r>
        <w:rPr>
          <w:rFonts w:hint="eastAsia" w:ascii="宋体" w:hAnsi="宋体"/>
          <w:sz w:val="24"/>
          <w:szCs w:val="24"/>
        </w:rPr>
        <w:t>本项目从系统验收通过之日起1年内提供</w:t>
      </w:r>
      <w:r>
        <w:rPr>
          <w:rFonts w:ascii="宋体" w:hAnsi="宋体"/>
          <w:sz w:val="24"/>
          <w:szCs w:val="24"/>
        </w:rPr>
        <w:t>7*24小时免费技术支持</w:t>
      </w:r>
      <w:r>
        <w:rPr>
          <w:rFonts w:hint="eastAsia" w:ascii="宋体" w:hAnsi="宋体"/>
          <w:sz w:val="24"/>
          <w:szCs w:val="24"/>
        </w:rPr>
        <w:t>和售后服务，1年后进入有偿维护期。</w:t>
      </w:r>
    </w:p>
    <w:p w14:paraId="51B4FDD1">
      <w:pPr>
        <w:pStyle w:val="106"/>
        <w:snapToGrid w:val="0"/>
        <w:spacing w:line="360" w:lineRule="auto"/>
        <w:ind w:firstLine="480"/>
        <w:rPr>
          <w:rFonts w:ascii="宋体" w:hAnsi="宋体"/>
          <w:sz w:val="24"/>
          <w:szCs w:val="24"/>
        </w:rPr>
      </w:pPr>
      <w:r>
        <w:rPr>
          <w:rFonts w:hint="eastAsia" w:ascii="宋体" w:hAnsi="宋体"/>
          <w:sz w:val="24"/>
          <w:szCs w:val="24"/>
        </w:rPr>
        <w:t>在质量保证期内，供应商将按照售后服务的承诺提供保修和运行维护服务，如果厂商对信息系统中软、硬件设备等产品中的部分保修期超过上述期限的，则按照厂商的规定进行免费保修。</w:t>
      </w:r>
    </w:p>
    <w:p w14:paraId="69249D98">
      <w:pPr>
        <w:pStyle w:val="106"/>
        <w:snapToGrid w:val="0"/>
        <w:spacing w:line="360" w:lineRule="auto"/>
        <w:ind w:firstLine="480"/>
        <w:rPr>
          <w:rFonts w:ascii="宋体" w:hAnsi="宋体"/>
          <w:sz w:val="24"/>
          <w:szCs w:val="24"/>
        </w:rPr>
      </w:pPr>
      <w:r>
        <w:rPr>
          <w:rFonts w:hint="eastAsia" w:ascii="宋体" w:hAnsi="宋体"/>
          <w:sz w:val="24"/>
          <w:szCs w:val="24"/>
        </w:rPr>
        <w:t>在质量保证期内，供应商负责信息系统的运行维护工作，确保信息系统安全、稳定、可靠地运行。本项目涉及的运行维护工作范围为：</w:t>
      </w:r>
      <w:r>
        <w:rPr>
          <w:rFonts w:hint="eastAsia" w:ascii="宋体" w:hAnsi="宋体"/>
          <w:sz w:val="24"/>
          <w:szCs w:val="24"/>
          <w:u w:val="single"/>
          <w:lang w:val="en-US" w:eastAsia="zh-CN"/>
        </w:rPr>
        <w:t xml:space="preserve"> 市政府网站集约化平台 </w:t>
      </w:r>
      <w:r>
        <w:rPr>
          <w:rFonts w:hint="eastAsia" w:ascii="宋体" w:hAnsi="宋体"/>
          <w:sz w:val="24"/>
          <w:szCs w:val="24"/>
        </w:rPr>
        <w:t>。</w:t>
      </w:r>
    </w:p>
    <w:p w14:paraId="25FDEC00">
      <w:pPr>
        <w:pStyle w:val="3"/>
      </w:pPr>
      <w:bookmarkStart w:id="19" w:name="_Toc63785506"/>
      <w:r>
        <w:rPr>
          <w:rFonts w:hint="eastAsia"/>
        </w:rPr>
        <w:t>应急响应要求</w:t>
      </w:r>
      <w:bookmarkEnd w:id="19"/>
    </w:p>
    <w:p w14:paraId="57390E0F">
      <w:pPr>
        <w:spacing w:line="600" w:lineRule="exact"/>
        <w:ind w:firstLine="480" w:firstLineChars="200"/>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供应商对系统故障应能够实时响应，若系统发生故障，接到通知后30分钟之内响应，专业工程师2小时内到达现场。特殊故障与</w:t>
      </w:r>
      <w:r>
        <w:rPr>
          <w:rFonts w:hint="eastAsia" w:cs="Times New Roman"/>
          <w:kern w:val="2"/>
          <w:sz w:val="24"/>
          <w:szCs w:val="24"/>
          <w:highlight w:val="none"/>
          <w:lang w:val="en-US" w:eastAsia="zh-CN" w:bidi="ar-SA"/>
        </w:rPr>
        <w:t>采购人</w:t>
      </w:r>
      <w:r>
        <w:rPr>
          <w:rFonts w:hint="eastAsia" w:ascii="宋体" w:hAnsi="宋体" w:eastAsia="宋体" w:cs="Times New Roman"/>
          <w:kern w:val="2"/>
          <w:sz w:val="24"/>
          <w:szCs w:val="24"/>
          <w:highlight w:val="none"/>
          <w:lang w:val="en-US" w:eastAsia="zh-CN" w:bidi="ar-SA"/>
        </w:rPr>
        <w:t>沟通协商后，按照协商的方式制定解决方案并进行处理。</w:t>
      </w:r>
    </w:p>
    <w:p w14:paraId="2AADD685">
      <w:pPr>
        <w:spacing w:line="600" w:lineRule="exact"/>
        <w:ind w:firstLine="480" w:firstLineChars="200"/>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具体故障级别及对应的应急响应要求如下：</w:t>
      </w:r>
    </w:p>
    <w:p w14:paraId="70DD04FF">
      <w:pPr>
        <w:spacing w:line="600" w:lineRule="exact"/>
        <w:ind w:firstLine="480" w:firstLineChars="200"/>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一级故障：在1小时内确诊，总故障解决时间不超过4小时。</w:t>
      </w:r>
    </w:p>
    <w:p w14:paraId="7ABC898D">
      <w:pPr>
        <w:spacing w:line="600" w:lineRule="exact"/>
        <w:ind w:firstLine="480" w:firstLineChars="200"/>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二级故障：在2小时内确诊，并在4小时内由专家到达现场确诊并解决，总故障解决时间不超过8小时；</w:t>
      </w:r>
    </w:p>
    <w:p w14:paraId="2216120A">
      <w:pPr>
        <w:spacing w:line="600" w:lineRule="exact"/>
        <w:ind w:firstLine="480" w:firstLineChars="200"/>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三、四级故障：在4小时内确诊故障，总故障解决时间不超过16小时。</w:t>
      </w:r>
    </w:p>
    <w:p w14:paraId="22D48505">
      <w:pPr>
        <w:spacing w:line="600" w:lineRule="exact"/>
        <w:ind w:firstLine="480" w:firstLineChars="200"/>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依据故障时间及故障范围划分故障级别，故障级别分为四级，依次为Ⅰ级（紧急）、Ⅱ级（严重）、Ⅲ级（较大）和Ⅳ级（一般），分别定义如下：</w:t>
      </w:r>
    </w:p>
    <w:p w14:paraId="2FB3C79D">
      <w:pPr>
        <w:spacing w:line="600" w:lineRule="exact"/>
        <w:ind w:firstLine="480" w:firstLineChars="200"/>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Ⅰ级（紧急）故障为工作时间段（8:30——17:30）内大范围故障；</w:t>
      </w:r>
    </w:p>
    <w:p w14:paraId="605743EA">
      <w:pPr>
        <w:spacing w:line="600" w:lineRule="exact"/>
        <w:ind w:firstLine="480" w:firstLineChars="200"/>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Ⅱ级（严重）故障为非工作时间段（17:30——次日8:30）内大范围故障；</w:t>
      </w:r>
    </w:p>
    <w:p w14:paraId="6E0177C3">
      <w:pPr>
        <w:spacing w:line="600" w:lineRule="exact"/>
        <w:ind w:firstLine="480" w:firstLineChars="200"/>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Ⅲ级（较大）故障为工作时间段（8:30——17:30）内小范围故障；</w:t>
      </w:r>
    </w:p>
    <w:p w14:paraId="1A17B886">
      <w:pPr>
        <w:spacing w:line="600" w:lineRule="exact"/>
        <w:ind w:firstLine="480" w:firstLineChars="200"/>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Ⅳ级（一般）故障为非工作时间段（17:30——次日8:30）内小范围故障；</w:t>
      </w:r>
    </w:p>
    <w:p w14:paraId="039168FA">
      <w:pPr>
        <w:pStyle w:val="3"/>
        <w:rPr>
          <w:rFonts w:hint="eastAsia"/>
          <w:lang w:val="en-US" w:eastAsia="zh-CN"/>
        </w:rPr>
      </w:pPr>
      <w:r>
        <w:rPr>
          <w:rFonts w:hint="eastAsia"/>
          <w:lang w:val="en-US" w:eastAsia="zh-CN"/>
        </w:rPr>
        <w:t>网络与数据安全</w:t>
      </w:r>
    </w:p>
    <w:p w14:paraId="24020207">
      <w:pPr>
        <w:rPr>
          <w:rFonts w:hint="eastAsia"/>
          <w:highlight w:val="none"/>
          <w:lang w:val="en-US"/>
        </w:rPr>
      </w:pPr>
      <w:r>
        <w:rPr>
          <w:rFonts w:hint="eastAsia"/>
          <w:highlight w:val="none"/>
        </w:rPr>
        <w:t>(1)</w:t>
      </w:r>
      <w:r>
        <w:rPr>
          <w:rFonts w:hint="eastAsia"/>
          <w:highlight w:val="none"/>
          <w:lang w:eastAsia="zh-CN"/>
        </w:rPr>
        <w:t>供应商</w:t>
      </w:r>
      <w:r>
        <w:rPr>
          <w:rFonts w:hint="eastAsia"/>
          <w:highlight w:val="none"/>
        </w:rPr>
        <w:t>应在项目深化设计阶段，应开展安全需求调研和数据分类分级工作，制定网络和数据安全设计方案，制定总体安全技术架构，明确边界防护、访问控制、权限管理、系统安全配置、身份鉴别、入侵防范等系统安全防护措施，制定差异化的数据安全防护手段，确保数据全生命周期安全。</w:t>
      </w:r>
    </w:p>
    <w:p w14:paraId="5E89E1E9">
      <w:pPr>
        <w:rPr>
          <w:rFonts w:hint="eastAsia"/>
          <w:highlight w:val="none"/>
          <w:lang w:val="en-US"/>
        </w:rPr>
      </w:pPr>
      <w:r>
        <w:rPr>
          <w:rFonts w:hint="eastAsia"/>
          <w:highlight w:val="none"/>
        </w:rPr>
        <w:t>(</w:t>
      </w:r>
      <w:r>
        <w:rPr>
          <w:rFonts w:hint="eastAsia"/>
          <w:highlight w:val="none"/>
          <w:lang w:val="en-US" w:eastAsia="zh-CN"/>
        </w:rPr>
        <w:t>2</w:t>
      </w:r>
      <w:r>
        <w:rPr>
          <w:rFonts w:hint="eastAsia"/>
          <w:highlight w:val="none"/>
        </w:rPr>
        <w:t>)</w:t>
      </w:r>
      <w:r>
        <w:rPr>
          <w:rFonts w:hint="eastAsia"/>
          <w:highlight w:val="none"/>
          <w:lang w:eastAsia="zh-CN"/>
        </w:rPr>
        <w:t>供应商</w:t>
      </w:r>
      <w:r>
        <w:rPr>
          <w:rFonts w:hint="eastAsia"/>
          <w:highlight w:val="none"/>
        </w:rPr>
        <w:t>应配合</w:t>
      </w:r>
      <w:r>
        <w:rPr>
          <w:rFonts w:hint="eastAsia"/>
          <w:highlight w:val="none"/>
          <w:lang w:eastAsia="zh-CN"/>
        </w:rPr>
        <w:t>采购人</w:t>
      </w:r>
      <w:r>
        <w:rPr>
          <w:rFonts w:hint="eastAsia"/>
          <w:highlight w:val="none"/>
        </w:rPr>
        <w:t>开展相关安全制度和规范的制定，并根据项目实际，制定项目实施过程安全管理方案。</w:t>
      </w:r>
    </w:p>
    <w:p w14:paraId="26B778C7">
      <w:pPr>
        <w:rPr>
          <w:rFonts w:hint="eastAsia"/>
          <w:highlight w:val="none"/>
          <w:lang w:val="en-US"/>
        </w:rPr>
      </w:pPr>
      <w:r>
        <w:rPr>
          <w:rFonts w:hint="eastAsia"/>
          <w:highlight w:val="none"/>
        </w:rPr>
        <w:t>(</w:t>
      </w:r>
      <w:r>
        <w:rPr>
          <w:rFonts w:hint="eastAsia"/>
          <w:highlight w:val="none"/>
          <w:lang w:val="en-US" w:eastAsia="zh-CN"/>
        </w:rPr>
        <w:t>3</w:t>
      </w:r>
      <w:r>
        <w:rPr>
          <w:rFonts w:hint="eastAsia"/>
          <w:highlight w:val="none"/>
        </w:rPr>
        <w:t>)</w:t>
      </w:r>
      <w:r>
        <w:rPr>
          <w:rFonts w:hint="eastAsia"/>
          <w:highlight w:val="none"/>
          <w:lang w:eastAsia="zh-CN"/>
        </w:rPr>
        <w:t>供应商</w:t>
      </w:r>
      <w:r>
        <w:rPr>
          <w:rFonts w:hint="eastAsia"/>
          <w:highlight w:val="none"/>
        </w:rPr>
        <w:t>应确保所提供的软件产品和定制开发内容所涉及的供应链满足</w:t>
      </w:r>
      <w:r>
        <w:rPr>
          <w:rFonts w:hint="eastAsia"/>
          <w:highlight w:val="none"/>
          <w:lang w:eastAsia="zh-CN"/>
        </w:rPr>
        <w:t>采购人</w:t>
      </w:r>
      <w:r>
        <w:rPr>
          <w:rFonts w:hint="eastAsia"/>
          <w:highlight w:val="none"/>
        </w:rPr>
        <w:t>的管理要求，提供供应链物料清单，落实供应链安全控制措施，包括代码安全检测和质量评估、漏洞扫描、第三方组件评估等工作，并于系统上线前，完成信息化资产的梳理。</w:t>
      </w:r>
    </w:p>
    <w:p w14:paraId="07A13AE4">
      <w:pPr>
        <w:rPr>
          <w:rFonts w:hint="eastAsia"/>
          <w:highlight w:val="none"/>
          <w:lang w:val="en-US"/>
        </w:rPr>
      </w:pPr>
      <w:r>
        <w:rPr>
          <w:rFonts w:hint="eastAsia"/>
          <w:highlight w:val="none"/>
        </w:rPr>
        <w:t>(</w:t>
      </w:r>
      <w:r>
        <w:rPr>
          <w:rFonts w:hint="eastAsia"/>
          <w:highlight w:val="none"/>
          <w:lang w:val="en-US" w:eastAsia="zh-CN"/>
        </w:rPr>
        <w:t>4</w:t>
      </w:r>
      <w:r>
        <w:rPr>
          <w:rFonts w:hint="eastAsia"/>
          <w:highlight w:val="none"/>
        </w:rPr>
        <w:t>)</w:t>
      </w:r>
      <w:r>
        <w:rPr>
          <w:rFonts w:hint="eastAsia"/>
          <w:highlight w:val="none"/>
          <w:lang w:eastAsia="zh-CN"/>
        </w:rPr>
        <w:t>供应商</w:t>
      </w:r>
      <w:r>
        <w:rPr>
          <w:rFonts w:hint="eastAsia"/>
          <w:highlight w:val="none"/>
        </w:rPr>
        <w:t>应在项目实施过程中，推动安全开发控制工作的实施，按照安全设计方案和</w:t>
      </w:r>
      <w:r>
        <w:rPr>
          <w:rFonts w:hint="eastAsia"/>
          <w:highlight w:val="none"/>
          <w:lang w:eastAsia="zh-CN"/>
        </w:rPr>
        <w:t>采购人</w:t>
      </w:r>
      <w:r>
        <w:rPr>
          <w:rFonts w:hint="eastAsia"/>
          <w:highlight w:val="none"/>
        </w:rPr>
        <w:t>安全开发要求，落实安全开发规范，确保代码质量和安全性。</w:t>
      </w:r>
      <w:r>
        <w:rPr>
          <w:rFonts w:hint="eastAsia"/>
          <w:highlight w:val="none"/>
          <w:lang w:eastAsia="zh-CN"/>
        </w:rPr>
        <w:t>供应商</w:t>
      </w:r>
      <w:r>
        <w:rPr>
          <w:rFonts w:hint="eastAsia"/>
          <w:highlight w:val="none"/>
        </w:rPr>
        <w:t>应确保系统开发及生产环境安全，落实安全管理策略及安全配置。</w:t>
      </w:r>
    </w:p>
    <w:p w14:paraId="56D6B50B">
      <w:pPr>
        <w:rPr>
          <w:rFonts w:hint="eastAsia"/>
          <w:highlight w:val="none"/>
          <w:lang w:val="en-US"/>
        </w:rPr>
      </w:pPr>
      <w:r>
        <w:rPr>
          <w:rFonts w:hint="eastAsia"/>
          <w:highlight w:val="none"/>
        </w:rPr>
        <w:t>(</w:t>
      </w:r>
      <w:r>
        <w:rPr>
          <w:rFonts w:hint="eastAsia"/>
          <w:highlight w:val="none"/>
          <w:lang w:val="en-US" w:eastAsia="zh-CN"/>
        </w:rPr>
        <w:t>5</w:t>
      </w:r>
      <w:r>
        <w:rPr>
          <w:rFonts w:hint="eastAsia"/>
          <w:highlight w:val="none"/>
        </w:rPr>
        <w:t>)</w:t>
      </w:r>
      <w:r>
        <w:rPr>
          <w:rFonts w:hint="eastAsia"/>
          <w:highlight w:val="none"/>
          <w:lang w:eastAsia="zh-CN"/>
        </w:rPr>
        <w:t>供应商</w:t>
      </w:r>
      <w:r>
        <w:rPr>
          <w:rFonts w:hint="eastAsia"/>
          <w:highlight w:val="none"/>
        </w:rPr>
        <w:t>应在项目实施过程中，按照数据差异化安全防护策略，根据系统需要采取数据加密、数据访问控制、日志记录、流转监测等防护能力及相关管理流程，切实保障数据安全。</w:t>
      </w:r>
    </w:p>
    <w:p w14:paraId="3F45BED5">
      <w:pPr>
        <w:rPr>
          <w:rFonts w:hint="eastAsia"/>
          <w:highlight w:val="none"/>
        </w:rPr>
      </w:pPr>
      <w:r>
        <w:rPr>
          <w:rFonts w:hint="eastAsia"/>
          <w:highlight w:val="none"/>
        </w:rPr>
        <w:t>(</w:t>
      </w:r>
      <w:r>
        <w:rPr>
          <w:rFonts w:hint="eastAsia"/>
          <w:highlight w:val="none"/>
          <w:lang w:val="en-US" w:eastAsia="zh-CN"/>
        </w:rPr>
        <w:t>6</w:t>
      </w:r>
      <w:r>
        <w:rPr>
          <w:rFonts w:hint="eastAsia"/>
          <w:highlight w:val="none"/>
        </w:rPr>
        <w:t>)</w:t>
      </w:r>
      <w:r>
        <w:rPr>
          <w:rFonts w:hint="eastAsia"/>
          <w:highlight w:val="none"/>
          <w:lang w:eastAsia="zh-CN"/>
        </w:rPr>
        <w:t>供应商</w:t>
      </w:r>
      <w:r>
        <w:rPr>
          <w:rFonts w:hint="eastAsia"/>
          <w:highlight w:val="none"/>
        </w:rPr>
        <w:t>应按照</w:t>
      </w:r>
      <w:r>
        <w:rPr>
          <w:rFonts w:hint="eastAsia"/>
          <w:highlight w:val="none"/>
          <w:lang w:eastAsia="zh-CN"/>
        </w:rPr>
        <w:t>采购人</w:t>
      </w:r>
      <w:r>
        <w:rPr>
          <w:rFonts w:hint="eastAsia"/>
          <w:highlight w:val="none"/>
        </w:rPr>
        <w:t>场地及人员安全管理制度，加强人员管理，配合</w:t>
      </w:r>
      <w:r>
        <w:rPr>
          <w:rFonts w:hint="eastAsia"/>
          <w:highlight w:val="none"/>
          <w:lang w:eastAsia="zh-CN"/>
        </w:rPr>
        <w:t>采购人</w:t>
      </w:r>
      <w:r>
        <w:rPr>
          <w:rFonts w:hint="eastAsia"/>
          <w:highlight w:val="none"/>
        </w:rPr>
        <w:t>落实人员背调、入离场、终端管理、网络限制、数据权限最小化等管控措施。</w:t>
      </w:r>
    </w:p>
    <w:p w14:paraId="2A3CE3E1">
      <w:pPr>
        <w:rPr>
          <w:rFonts w:hint="eastAsia"/>
          <w:highlight w:val="none"/>
        </w:rPr>
      </w:pPr>
      <w:r>
        <w:rPr>
          <w:rFonts w:hint="eastAsia"/>
          <w:highlight w:val="none"/>
        </w:rPr>
        <w:t>(</w:t>
      </w:r>
      <w:r>
        <w:rPr>
          <w:rFonts w:hint="eastAsia"/>
          <w:highlight w:val="none"/>
          <w:lang w:val="en-US" w:eastAsia="zh-CN"/>
        </w:rPr>
        <w:t>7</w:t>
      </w:r>
      <w:r>
        <w:rPr>
          <w:rFonts w:hint="eastAsia"/>
          <w:highlight w:val="none"/>
        </w:rPr>
        <w:t>)</w:t>
      </w:r>
      <w:r>
        <w:rPr>
          <w:rFonts w:hint="eastAsia"/>
          <w:highlight w:val="none"/>
          <w:lang w:eastAsia="zh-CN"/>
        </w:rPr>
        <w:t>供应商</w:t>
      </w:r>
      <w:r>
        <w:rPr>
          <w:rFonts w:hint="eastAsia"/>
          <w:highlight w:val="none"/>
        </w:rPr>
        <w:t>应配合</w:t>
      </w:r>
      <w:r>
        <w:rPr>
          <w:rFonts w:hint="eastAsia"/>
          <w:highlight w:val="none"/>
          <w:lang w:eastAsia="zh-CN"/>
        </w:rPr>
        <w:t>采购人</w:t>
      </w:r>
      <w:r>
        <w:rPr>
          <w:rFonts w:hint="eastAsia"/>
          <w:highlight w:val="none"/>
        </w:rPr>
        <w:t>开展系统安全事件（含业务故障）级别划分，制定应急预案，并落实应急预案中规定的应急响应要求。</w:t>
      </w:r>
    </w:p>
    <w:p w14:paraId="422D501F">
      <w:pPr>
        <w:rPr>
          <w:rFonts w:hint="eastAsia"/>
          <w:highlight w:val="none"/>
          <w:lang w:val="en-US"/>
        </w:rPr>
      </w:pPr>
      <w:r>
        <w:rPr>
          <w:rFonts w:hint="eastAsia"/>
          <w:highlight w:val="none"/>
          <w:lang w:val="en-US" w:eastAsia="zh-CN"/>
        </w:rPr>
        <w:t>8</w:t>
      </w:r>
      <w:r>
        <w:rPr>
          <w:rFonts w:hint="eastAsia"/>
          <w:highlight w:val="none"/>
        </w:rPr>
        <w:t>)</w:t>
      </w:r>
      <w:r>
        <w:rPr>
          <w:rFonts w:hint="eastAsia"/>
          <w:highlight w:val="none"/>
          <w:lang w:eastAsia="zh-CN"/>
        </w:rPr>
        <w:t>供应商</w:t>
      </w:r>
      <w:r>
        <w:rPr>
          <w:rFonts w:hint="eastAsia"/>
          <w:highlight w:val="none"/>
        </w:rPr>
        <w:t>应于系统上线部署前对系统运行环境、应用软件等开展安全自查，并于项目初验及系统试运行阶段，配合</w:t>
      </w:r>
      <w:r>
        <w:rPr>
          <w:rFonts w:hint="eastAsia"/>
          <w:highlight w:val="none"/>
          <w:lang w:eastAsia="zh-CN"/>
        </w:rPr>
        <w:t>采购人</w:t>
      </w:r>
      <w:r>
        <w:rPr>
          <w:rFonts w:hint="eastAsia"/>
          <w:highlight w:val="none"/>
        </w:rPr>
        <w:t>开展安测、密测、等保、密评、数据安全风险评估等系列安全测试、评估工作，针对发现的问题及时完成整改，确保系统上线安全。</w:t>
      </w:r>
    </w:p>
    <w:p w14:paraId="3430A4ED">
      <w:pPr>
        <w:rPr>
          <w:rFonts w:hint="eastAsia"/>
          <w:highlight w:val="none"/>
          <w:lang w:val="en-US"/>
        </w:rPr>
      </w:pPr>
      <w:r>
        <w:rPr>
          <w:rFonts w:hint="eastAsia"/>
          <w:highlight w:val="none"/>
        </w:rPr>
        <w:t>(</w:t>
      </w:r>
      <w:r>
        <w:rPr>
          <w:rFonts w:hint="eastAsia"/>
          <w:highlight w:val="none"/>
          <w:lang w:val="en-US" w:eastAsia="zh-CN"/>
        </w:rPr>
        <w:t>9</w:t>
      </w:r>
      <w:r>
        <w:rPr>
          <w:rFonts w:hint="eastAsia"/>
          <w:highlight w:val="none"/>
        </w:rPr>
        <w:t>)</w:t>
      </w:r>
      <w:r>
        <w:rPr>
          <w:rFonts w:hint="eastAsia"/>
          <w:highlight w:val="none"/>
          <w:lang w:eastAsia="zh-CN"/>
        </w:rPr>
        <w:t>供应商</w:t>
      </w:r>
      <w:r>
        <w:rPr>
          <w:rFonts w:hint="eastAsia"/>
          <w:highlight w:val="none"/>
        </w:rPr>
        <w:t>应在系统免维期内承担系统安全运维管理责任，落实安全管理保障措施，包括但不限于制度修订、风险排查、应急响应、漏洞修复、重保等工作。</w:t>
      </w:r>
    </w:p>
    <w:p w14:paraId="59C121A4">
      <w:pPr>
        <w:pStyle w:val="3"/>
      </w:pPr>
      <w:bookmarkStart w:id="20" w:name="_Toc63785507"/>
      <w:r>
        <w:rPr>
          <w:rFonts w:hint="eastAsia"/>
        </w:rPr>
        <w:t>培训要求</w:t>
      </w:r>
      <w:bookmarkEnd w:id="20"/>
    </w:p>
    <w:p w14:paraId="5316D4C5">
      <w:r>
        <w:rPr>
          <w:rFonts w:hint="eastAsia"/>
        </w:rPr>
        <w:t>对系统使用单位提供业务操作培训，应提供详细培训方案。</w:t>
      </w:r>
    </w:p>
    <w:p w14:paraId="3F5F795C">
      <w:r>
        <w:rPr>
          <w:rFonts w:hint="eastAsia"/>
        </w:rPr>
        <w:t>(1)在12个月的质量保证期内，提供2次与项目相关的必要培训。</w:t>
      </w:r>
    </w:p>
    <w:p w14:paraId="2E5994BE">
      <w:r>
        <w:rPr>
          <w:rFonts w:hint="eastAsia"/>
        </w:rPr>
        <w:t>(2)供应商需要开展分层次的人员培训工作，每次培训后应对参加培训人员进行测试，评估培训成果。培训应具有培训教材、培训环境和高水平的培训讲师。</w:t>
      </w:r>
    </w:p>
    <w:p w14:paraId="58F8BAE3">
      <w:r>
        <w:rPr>
          <w:rFonts w:hint="eastAsia"/>
        </w:rPr>
        <w:t>(3)供应商应提供一般用户的基础操作培训和部门信息管理员的日常应用维护的培训，确保用户对象能够掌握对应的操作技能。</w:t>
      </w:r>
    </w:p>
    <w:p w14:paraId="17956CE8">
      <w:pPr>
        <w:pStyle w:val="3"/>
      </w:pPr>
      <w:bookmarkStart w:id="21" w:name="_Toc63785508"/>
      <w:r>
        <w:rPr>
          <w:rFonts w:hint="eastAsia"/>
        </w:rPr>
        <w:t>验收要求</w:t>
      </w:r>
      <w:bookmarkEnd w:id="21"/>
    </w:p>
    <w:p w14:paraId="3FE27FA3">
      <w:pPr>
        <w:rPr>
          <w:szCs w:val="21"/>
        </w:rPr>
      </w:pPr>
      <w:r>
        <w:rPr>
          <w:rFonts w:hint="eastAsia"/>
          <w:szCs w:val="21"/>
        </w:rPr>
        <w:t>本项目按下述方式开展验收。</w:t>
      </w:r>
    </w:p>
    <w:p w14:paraId="69857BC7">
      <w:pPr>
        <w:rPr>
          <w:szCs w:val="21"/>
        </w:rPr>
      </w:pPr>
      <w:r>
        <w:rPr>
          <w:rFonts w:hint="eastAsia"/>
          <w:szCs w:val="21"/>
        </w:rPr>
        <w:t>（</w:t>
      </w:r>
      <w:r>
        <w:rPr>
          <w:szCs w:val="21"/>
        </w:rPr>
        <w:t>1）验收分初验和终验。</w:t>
      </w:r>
    </w:p>
    <w:p w14:paraId="495ED765">
      <w:pPr>
        <w:rPr>
          <w:szCs w:val="21"/>
        </w:rPr>
      </w:pPr>
      <w:r>
        <w:rPr>
          <w:rFonts w:hint="eastAsia"/>
          <w:szCs w:val="21"/>
        </w:rPr>
        <w:t>（</w:t>
      </w:r>
      <w:r>
        <w:rPr>
          <w:szCs w:val="21"/>
        </w:rPr>
        <w:t>2）初验前，供应商须完成软件开发、软硬件安装和信息系统的调试等，并对本项目进行功能和运行检测，确保所有信息系统功能模块能够正常运行且已达到本项目约定的各类标准要求。供应商应以书面形式向</w:t>
      </w:r>
      <w:r>
        <w:rPr>
          <w:rFonts w:hint="eastAsia"/>
          <w:szCs w:val="21"/>
          <w:lang w:eastAsia="zh-CN"/>
        </w:rPr>
        <w:t>采购人</w:t>
      </w:r>
      <w:r>
        <w:rPr>
          <w:szCs w:val="21"/>
        </w:rPr>
        <w:t>递交初验通知书。</w:t>
      </w:r>
      <w:r>
        <w:rPr>
          <w:rFonts w:hint="eastAsia"/>
          <w:szCs w:val="21"/>
          <w:lang w:eastAsia="zh-CN"/>
        </w:rPr>
        <w:t>采购人</w:t>
      </w:r>
      <w:r>
        <w:rPr>
          <w:szCs w:val="21"/>
        </w:rPr>
        <w:t>应当在接到通知后的5个工作日内确定初验的具体日期，由双方按照本项目的约定完成本项目的初验。</w:t>
      </w:r>
      <w:r>
        <w:rPr>
          <w:rFonts w:hint="eastAsia"/>
          <w:szCs w:val="21"/>
          <w:lang w:eastAsia="zh-CN"/>
        </w:rPr>
        <w:t>采购人</w:t>
      </w:r>
      <w:r>
        <w:rPr>
          <w:szCs w:val="21"/>
        </w:rPr>
        <w:t>有权委托第三方检测机构进行验收，对此供应商应当配合。</w:t>
      </w:r>
    </w:p>
    <w:p w14:paraId="3B62791C">
      <w:pPr>
        <w:rPr>
          <w:rFonts w:hint="eastAsia" w:eastAsia="宋体"/>
          <w:szCs w:val="21"/>
          <w:lang w:eastAsia="zh-CN"/>
        </w:rPr>
      </w:pPr>
      <w:r>
        <w:rPr>
          <w:rFonts w:hint="eastAsia"/>
          <w:szCs w:val="21"/>
        </w:rPr>
        <w:t>（</w:t>
      </w:r>
      <w:r>
        <w:rPr>
          <w:szCs w:val="21"/>
        </w:rPr>
        <w:t>3）初验时，供应商须提供软件文档包括《用户需求说明书》、《系统概要设计说明书》、《系统详细设计说明书》、</w:t>
      </w:r>
      <w:r>
        <w:rPr>
          <w:rFonts w:hint="eastAsia"/>
          <w:szCs w:val="21"/>
        </w:rPr>
        <w:t>《三方功能需求确认单》、</w:t>
      </w:r>
      <w:r>
        <w:rPr>
          <w:szCs w:val="21"/>
        </w:rPr>
        <w:t>《测试报告》、《用户使用手册》、《系统部署文档》等）及可安装的程序运行文件。所交付的文档与文件应当是可供自然人阅读的书面和电子文档。软件文档及可安装的程序运行文件验收通过后，视为初验通过。如有缺陷，</w:t>
      </w:r>
      <w:r>
        <w:rPr>
          <w:rFonts w:hint="eastAsia"/>
          <w:szCs w:val="21"/>
          <w:lang w:eastAsia="zh-CN"/>
        </w:rPr>
        <w:t>采购人</w:t>
      </w:r>
      <w:r>
        <w:rPr>
          <w:szCs w:val="21"/>
        </w:rPr>
        <w:t>应向供应商出具书面报告，陈述需要改进的缺陷。供应商应立即严格依照</w:t>
      </w:r>
      <w:r>
        <w:rPr>
          <w:rFonts w:hint="eastAsia"/>
          <w:szCs w:val="21"/>
          <w:lang w:eastAsia="zh-CN"/>
        </w:rPr>
        <w:t>采购人</w:t>
      </w:r>
      <w:r>
        <w:rPr>
          <w:szCs w:val="21"/>
        </w:rPr>
        <w:t>的书面报告中的要求改进缺陷，并再次进行初验。</w:t>
      </w:r>
    </w:p>
    <w:p w14:paraId="35E2E0FB">
      <w:pPr>
        <w:rPr>
          <w:szCs w:val="21"/>
        </w:rPr>
      </w:pPr>
      <w:r>
        <w:rPr>
          <w:rFonts w:hint="eastAsia"/>
          <w:szCs w:val="21"/>
        </w:rPr>
        <w:t>（</w:t>
      </w:r>
      <w:r>
        <w:rPr>
          <w:szCs w:val="21"/>
        </w:rPr>
        <w:t>4）自初验通过之日起，</w:t>
      </w:r>
      <w:r>
        <w:rPr>
          <w:rFonts w:hint="eastAsia"/>
          <w:szCs w:val="21"/>
          <w:lang w:eastAsia="zh-CN"/>
        </w:rPr>
        <w:t>采购人</w:t>
      </w:r>
      <w:r>
        <w:rPr>
          <w:szCs w:val="21"/>
        </w:rPr>
        <w:t>享有供应商免费提供的</w:t>
      </w:r>
      <w:r>
        <w:rPr>
          <w:rFonts w:hint="eastAsia"/>
          <w:szCs w:val="21"/>
          <w:highlight w:val="none"/>
          <w:lang w:eastAsia="zh-CN"/>
        </w:rPr>
        <w:t>6</w:t>
      </w:r>
      <w:r>
        <w:rPr>
          <w:rFonts w:hint="eastAsia"/>
          <w:szCs w:val="21"/>
          <w:highlight w:val="none"/>
          <w:lang w:val="en-US" w:eastAsia="zh-CN"/>
        </w:rPr>
        <w:t>0</w:t>
      </w:r>
      <w:r>
        <w:rPr>
          <w:szCs w:val="21"/>
          <w:highlight w:val="none"/>
        </w:rPr>
        <w:t>天</w:t>
      </w:r>
      <w:r>
        <w:rPr>
          <w:szCs w:val="21"/>
        </w:rPr>
        <w:t>的信息系统试运行现场驻场服务期。该期间内，供应商应当按照</w:t>
      </w:r>
      <w:r>
        <w:rPr>
          <w:rFonts w:hint="eastAsia"/>
          <w:szCs w:val="21"/>
          <w:lang w:eastAsia="zh-CN"/>
        </w:rPr>
        <w:t>采购人</w:t>
      </w:r>
      <w:r>
        <w:rPr>
          <w:szCs w:val="21"/>
        </w:rPr>
        <w:t>的要求提供现场技术支持服务，解决信息系统试运行期间可能出现的各类问题，或进一步提高与完善信息系统运行水平。</w:t>
      </w:r>
    </w:p>
    <w:p w14:paraId="106B0920">
      <w:pPr>
        <w:rPr>
          <w:szCs w:val="21"/>
        </w:rPr>
      </w:pPr>
      <w:r>
        <w:rPr>
          <w:rFonts w:hint="eastAsia"/>
          <w:szCs w:val="21"/>
        </w:rPr>
        <w:t>（</w:t>
      </w:r>
      <w:r>
        <w:rPr>
          <w:szCs w:val="21"/>
        </w:rPr>
        <w:t>5）初验通过且信息系统试运行期已经达到本项目约定的时间，经供应商确认信息系统具备正常运行条件，且信息系统通过运行测试，供应商应以书面形式通知</w:t>
      </w:r>
      <w:r>
        <w:rPr>
          <w:rFonts w:hint="eastAsia"/>
          <w:szCs w:val="21"/>
          <w:lang w:eastAsia="zh-CN"/>
        </w:rPr>
        <w:t>采购人</w:t>
      </w:r>
      <w:r>
        <w:rPr>
          <w:szCs w:val="21"/>
        </w:rPr>
        <w:t>信息系统已准备就绪等待终验。</w:t>
      </w:r>
      <w:r>
        <w:rPr>
          <w:rFonts w:hint="eastAsia"/>
          <w:szCs w:val="21"/>
          <w:lang w:eastAsia="zh-CN"/>
        </w:rPr>
        <w:t>采购人</w:t>
      </w:r>
      <w:r>
        <w:rPr>
          <w:szCs w:val="21"/>
        </w:rPr>
        <w:t>在收到终验通知后的</w:t>
      </w:r>
      <w:r>
        <w:rPr>
          <w:rFonts w:hint="eastAsia"/>
          <w:szCs w:val="21"/>
          <w:lang w:val="en-US" w:eastAsia="zh-CN"/>
        </w:rPr>
        <w:t>15</w:t>
      </w:r>
      <w:r>
        <w:rPr>
          <w:szCs w:val="21"/>
        </w:rPr>
        <w:t>个工作日内发起组织专家验收会。</w:t>
      </w:r>
    </w:p>
    <w:p w14:paraId="3138163C">
      <w:pPr>
        <w:rPr>
          <w:szCs w:val="21"/>
        </w:rPr>
      </w:pPr>
      <w:r>
        <w:rPr>
          <w:rFonts w:hint="eastAsia"/>
          <w:szCs w:val="21"/>
        </w:rPr>
        <w:t>（6</w:t>
      </w:r>
      <w:r>
        <w:rPr>
          <w:szCs w:val="21"/>
        </w:rPr>
        <w:t>）如果属于供应商原因致使本项目未能通过终验，供应商应当排除缺陷，直至本项目完全符合验收标准，由上述情形而产生的相关费用应由供应商自行承担。</w:t>
      </w:r>
    </w:p>
    <w:p w14:paraId="74343053">
      <w:pPr>
        <w:rPr>
          <w:szCs w:val="21"/>
        </w:rPr>
      </w:pPr>
      <w:r>
        <w:rPr>
          <w:rFonts w:hint="eastAsia"/>
          <w:szCs w:val="21"/>
        </w:rPr>
        <w:t>（7</w:t>
      </w:r>
      <w:r>
        <w:rPr>
          <w:szCs w:val="21"/>
        </w:rPr>
        <w:t>）如果由于</w:t>
      </w:r>
      <w:r>
        <w:rPr>
          <w:rFonts w:hint="eastAsia"/>
          <w:szCs w:val="21"/>
          <w:lang w:eastAsia="zh-CN"/>
        </w:rPr>
        <w:t>采购人</w:t>
      </w:r>
      <w:r>
        <w:rPr>
          <w:szCs w:val="21"/>
        </w:rPr>
        <w:t>原因导致本项目在终验通过前出现故障或问题，供应商应及时配合排除该方面的故障或问题。</w:t>
      </w:r>
    </w:p>
    <w:p w14:paraId="2AF100B7">
      <w:pPr>
        <w:rPr>
          <w:szCs w:val="21"/>
        </w:rPr>
      </w:pPr>
      <w:r>
        <w:rPr>
          <w:rFonts w:hint="eastAsia"/>
          <w:szCs w:val="21"/>
        </w:rPr>
        <w:t>（8</w:t>
      </w:r>
      <w:r>
        <w:rPr>
          <w:szCs w:val="21"/>
        </w:rPr>
        <w:t>）如本项目连续3次验收未通过（含初验未通过或终验未通过），</w:t>
      </w:r>
      <w:r>
        <w:rPr>
          <w:rFonts w:hint="eastAsia"/>
          <w:szCs w:val="21"/>
          <w:lang w:eastAsia="zh-CN"/>
        </w:rPr>
        <w:t>采购人</w:t>
      </w:r>
      <w:r>
        <w:rPr>
          <w:szCs w:val="21"/>
        </w:rPr>
        <w:t>有权解除项目，并有权依照本项目约定的违约条款追究供应商的违约责任。</w:t>
      </w:r>
    </w:p>
    <w:p w14:paraId="5ED86224">
      <w:pPr>
        <w:pStyle w:val="3"/>
      </w:pPr>
      <w:bookmarkStart w:id="22" w:name="_Toc63785509"/>
      <w:r>
        <w:rPr>
          <w:rFonts w:hint="eastAsia"/>
        </w:rPr>
        <w:t>进度要求</w:t>
      </w:r>
      <w:bookmarkEnd w:id="22"/>
    </w:p>
    <w:p w14:paraId="072F3CF3">
      <w:r>
        <w:rPr>
          <w:rFonts w:hint="eastAsia"/>
          <w:lang w:eastAsia="zh-CN"/>
        </w:rPr>
        <w:t>响应供应商</w:t>
      </w:r>
      <w:r>
        <w:rPr>
          <w:rFonts w:hint="eastAsia"/>
        </w:rPr>
        <w:t>应根据建设内容，分阶段制定合理的时间进度，并且应根据</w:t>
      </w:r>
      <w:r>
        <w:rPr>
          <w:rFonts w:hint="eastAsia"/>
          <w:lang w:eastAsia="zh-CN"/>
        </w:rPr>
        <w:t>采购人</w:t>
      </w:r>
      <w:r>
        <w:rPr>
          <w:rFonts w:hint="eastAsia"/>
        </w:rPr>
        <w:t>要求进行调整和细化。</w:t>
      </w:r>
    </w:p>
    <w:p w14:paraId="7A12B686">
      <w:r>
        <w:rPr>
          <w:rFonts w:hint="eastAsia"/>
        </w:rPr>
        <w:t>总建设周期为</w:t>
      </w:r>
      <w:r>
        <w:rPr>
          <w:rFonts w:hint="eastAsia"/>
          <w:lang w:val="en-US" w:eastAsia="zh-CN"/>
        </w:rPr>
        <w:t>6</w:t>
      </w:r>
      <w:r>
        <w:rPr>
          <w:rFonts w:hint="eastAsia"/>
        </w:rPr>
        <w:t>个月</w:t>
      </w:r>
      <w:r>
        <w:rPr>
          <w:rFonts w:hint="eastAsia"/>
          <w:lang w:val="en-US" w:eastAsia="zh-CN"/>
        </w:rPr>
        <w:t>内完成</w:t>
      </w:r>
      <w:r>
        <w:rPr>
          <w:rFonts w:hint="eastAsia"/>
        </w:rPr>
        <w:t>，分为</w:t>
      </w:r>
      <w:r>
        <w:rPr>
          <w:rFonts w:hint="eastAsia"/>
          <w:lang w:val="en-US" w:eastAsia="zh-CN"/>
        </w:rPr>
        <w:t>3</w:t>
      </w:r>
      <w:r>
        <w:rPr>
          <w:rFonts w:hint="eastAsia"/>
        </w:rPr>
        <w:t>个阶段。</w:t>
      </w:r>
    </w:p>
    <w:p w14:paraId="2EFB0D27">
      <w:pPr>
        <w:rPr>
          <w:rFonts w:hint="eastAsia"/>
        </w:rPr>
      </w:pPr>
      <w:r>
        <w:rPr>
          <w:rFonts w:hint="eastAsia"/>
        </w:rPr>
        <w:t>第一阶段为1个月，完成项目规划设计。</w:t>
      </w:r>
    </w:p>
    <w:p w14:paraId="3E452033">
      <w:pPr>
        <w:rPr>
          <w:rFonts w:hint="eastAsia"/>
        </w:rPr>
      </w:pPr>
      <w:r>
        <w:rPr>
          <w:rFonts w:hint="eastAsia"/>
        </w:rPr>
        <w:t>第二阶段为</w:t>
      </w:r>
      <w:r>
        <w:rPr>
          <w:rFonts w:hint="eastAsia"/>
          <w:lang w:val="en-US" w:eastAsia="zh-CN"/>
        </w:rPr>
        <w:t>3</w:t>
      </w:r>
      <w:r>
        <w:rPr>
          <w:rFonts w:hint="eastAsia"/>
        </w:rPr>
        <w:t>个月，完成项目开发测试。</w:t>
      </w:r>
    </w:p>
    <w:p w14:paraId="2A560263">
      <w:r>
        <w:rPr>
          <w:rFonts w:hint="eastAsia"/>
        </w:rPr>
        <w:t>第三阶段为2个月，完成项目试运行和项目验收。</w:t>
      </w:r>
    </w:p>
    <w:p w14:paraId="053F3BF3">
      <w:pPr>
        <w:pStyle w:val="3"/>
      </w:pPr>
      <w:bookmarkStart w:id="23" w:name="_Toc63785510"/>
      <w:r>
        <w:rPr>
          <w:rFonts w:hint="eastAsia"/>
        </w:rPr>
        <w:t>项目团队及驻场人员要求</w:t>
      </w:r>
      <w:bookmarkEnd w:id="23"/>
    </w:p>
    <w:p w14:paraId="304A0E51">
      <w:r>
        <w:t>1）</w:t>
      </w:r>
      <w:r>
        <w:rPr>
          <w:rFonts w:hint="eastAsia"/>
          <w:lang w:eastAsia="zh-CN"/>
        </w:rPr>
        <w:t>响应供应商</w:t>
      </w:r>
      <w:r>
        <w:t>须具有稳定的在职技术保障力量，能够提供及时的技术支援或服务，应针对本项目提供不少于</w:t>
      </w:r>
      <w:r>
        <w:rPr>
          <w:rFonts w:hint="eastAsia"/>
          <w:lang w:val="en-US" w:eastAsia="zh-CN"/>
        </w:rPr>
        <w:t>15</w:t>
      </w:r>
      <w:r>
        <w:t>人的项目服务团队（包括项目经理、产品经理等），</w:t>
      </w:r>
      <w:r>
        <w:rPr>
          <w:rFonts w:hint="eastAsia"/>
          <w:lang w:eastAsia="zh-CN"/>
        </w:rPr>
        <w:t>响应供应商</w:t>
      </w:r>
      <w:r>
        <w:t>的相关服务人员需具备相应的服务能力。</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6"/>
        <w:gridCol w:w="2043"/>
        <w:gridCol w:w="1180"/>
        <w:gridCol w:w="2709"/>
        <w:gridCol w:w="1180"/>
      </w:tblGrid>
      <w:tr w14:paraId="67950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tcBorders>
              <w:top w:val="single" w:color="auto" w:sz="4" w:space="0"/>
              <w:left w:val="single" w:color="auto" w:sz="4" w:space="0"/>
              <w:bottom w:val="single" w:color="auto" w:sz="4" w:space="0"/>
              <w:right w:val="single" w:color="auto" w:sz="4" w:space="0"/>
              <w:tl2br w:val="nil"/>
              <w:tr2bl w:val="nil"/>
            </w:tcBorders>
            <w:noWrap/>
            <w:vAlign w:val="center"/>
          </w:tcPr>
          <w:p w14:paraId="038D274D">
            <w:pPr>
              <w:widowControl/>
              <w:spacing w:beforeLines="0" w:afterLines="0"/>
              <w:ind w:firstLine="0" w:firstLineChars="0"/>
              <w:jc w:val="center"/>
              <w:rPr>
                <w:rFonts w:hint="eastAsia" w:cs="宋体"/>
                <w:b/>
                <w:sz w:val="24"/>
                <w:szCs w:val="24"/>
              </w:rPr>
            </w:pPr>
            <w:r>
              <w:rPr>
                <w:rFonts w:hint="eastAsia" w:cs="宋体"/>
                <w:b/>
                <w:sz w:val="24"/>
                <w:szCs w:val="24"/>
              </w:rPr>
              <w:t>角色</w:t>
            </w:r>
          </w:p>
        </w:tc>
        <w:tc>
          <w:tcPr>
            <w:tcW w:w="0" w:type="auto"/>
            <w:tcBorders>
              <w:top w:val="single" w:color="auto" w:sz="4" w:space="0"/>
              <w:left w:val="single" w:color="auto" w:sz="4" w:space="0"/>
              <w:bottom w:val="single" w:color="auto" w:sz="4" w:space="0"/>
              <w:right w:val="single" w:color="auto" w:sz="4" w:space="0"/>
              <w:tl2br w:val="nil"/>
              <w:tr2bl w:val="nil"/>
            </w:tcBorders>
            <w:noWrap/>
            <w:vAlign w:val="center"/>
          </w:tcPr>
          <w:p w14:paraId="3AA7B65C">
            <w:pPr>
              <w:widowControl/>
              <w:spacing w:beforeLines="0" w:afterLines="0"/>
              <w:ind w:firstLine="0" w:firstLineChars="0"/>
              <w:jc w:val="center"/>
              <w:rPr>
                <w:rFonts w:hint="eastAsia" w:cs="宋体"/>
                <w:b/>
                <w:sz w:val="24"/>
                <w:szCs w:val="24"/>
              </w:rPr>
            </w:pPr>
            <w:r>
              <w:rPr>
                <w:rFonts w:hint="eastAsia" w:cs="宋体"/>
                <w:b/>
                <w:sz w:val="24"/>
                <w:szCs w:val="24"/>
              </w:rPr>
              <w:t>主要职责</w:t>
            </w:r>
          </w:p>
        </w:tc>
        <w:tc>
          <w:tcPr>
            <w:tcW w:w="0" w:type="auto"/>
            <w:tcBorders>
              <w:top w:val="single" w:color="auto" w:sz="4" w:space="0"/>
              <w:left w:val="single" w:color="auto" w:sz="4" w:space="0"/>
              <w:bottom w:val="single" w:color="auto" w:sz="4" w:space="0"/>
              <w:right w:val="single" w:color="auto" w:sz="4" w:space="0"/>
              <w:tl2br w:val="nil"/>
              <w:tr2bl w:val="nil"/>
            </w:tcBorders>
            <w:noWrap/>
            <w:vAlign w:val="center"/>
          </w:tcPr>
          <w:p w14:paraId="3525477B">
            <w:pPr>
              <w:widowControl/>
              <w:spacing w:beforeLines="0" w:afterLines="0"/>
              <w:ind w:firstLine="0" w:firstLineChars="0"/>
              <w:jc w:val="center"/>
              <w:rPr>
                <w:rFonts w:hint="eastAsia" w:cs="宋体"/>
                <w:b/>
                <w:sz w:val="24"/>
                <w:szCs w:val="24"/>
              </w:rPr>
            </w:pPr>
            <w:r>
              <w:rPr>
                <w:rFonts w:hint="eastAsia" w:cs="宋体"/>
                <w:b/>
                <w:sz w:val="24"/>
                <w:szCs w:val="24"/>
              </w:rPr>
              <w:t>人员数量</w:t>
            </w: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14:paraId="12AE1B49">
            <w:pPr>
              <w:widowControl/>
              <w:spacing w:beforeLines="0" w:afterLines="0"/>
              <w:ind w:firstLine="0" w:firstLineChars="0"/>
              <w:jc w:val="center"/>
              <w:rPr>
                <w:rFonts w:hint="eastAsia" w:cs="宋体"/>
                <w:b/>
                <w:sz w:val="24"/>
                <w:szCs w:val="24"/>
              </w:rPr>
            </w:pPr>
            <w:r>
              <w:rPr>
                <w:rFonts w:hint="eastAsia" w:cs="宋体"/>
                <w:b/>
                <w:sz w:val="24"/>
                <w:szCs w:val="24"/>
              </w:rPr>
              <w:t>人员要求</w:t>
            </w:r>
          </w:p>
        </w:tc>
        <w:tc>
          <w:tcPr>
            <w:tcW w:w="0" w:type="auto"/>
            <w:tcBorders>
              <w:top w:val="single" w:color="auto" w:sz="4" w:space="0"/>
              <w:left w:val="single" w:color="auto" w:sz="4" w:space="0"/>
              <w:bottom w:val="single" w:color="auto" w:sz="4" w:space="0"/>
              <w:right w:val="single" w:color="auto" w:sz="4" w:space="0"/>
              <w:tl2br w:val="nil"/>
              <w:tr2bl w:val="nil"/>
            </w:tcBorders>
            <w:noWrap/>
            <w:vAlign w:val="center"/>
          </w:tcPr>
          <w:p w14:paraId="6DB00BE2">
            <w:pPr>
              <w:widowControl/>
              <w:spacing w:beforeLines="0" w:afterLines="0"/>
              <w:ind w:firstLine="0" w:firstLineChars="0"/>
              <w:jc w:val="center"/>
              <w:rPr>
                <w:rFonts w:hint="eastAsia" w:cs="宋体"/>
                <w:b/>
                <w:sz w:val="24"/>
                <w:szCs w:val="24"/>
              </w:rPr>
            </w:pPr>
            <w:r>
              <w:rPr>
                <w:rFonts w:hint="eastAsia" w:cs="宋体"/>
                <w:b/>
                <w:sz w:val="24"/>
                <w:szCs w:val="24"/>
              </w:rPr>
              <w:t>驻场要求</w:t>
            </w:r>
          </w:p>
        </w:tc>
      </w:tr>
      <w:tr w14:paraId="6A604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tcBorders>
              <w:top w:val="single" w:color="auto" w:sz="4" w:space="0"/>
              <w:left w:val="single" w:color="auto" w:sz="4" w:space="0"/>
              <w:bottom w:val="single" w:color="auto" w:sz="4" w:space="0"/>
              <w:right w:val="single" w:color="auto" w:sz="4" w:space="0"/>
              <w:tl2br w:val="nil"/>
              <w:tr2bl w:val="nil"/>
            </w:tcBorders>
            <w:noWrap/>
            <w:vAlign w:val="center"/>
          </w:tcPr>
          <w:p w14:paraId="3A51F0C7">
            <w:pPr>
              <w:widowControl/>
              <w:spacing w:beforeLines="0" w:afterLines="0"/>
              <w:ind w:firstLine="0" w:firstLineChars="0"/>
              <w:jc w:val="center"/>
              <w:rPr>
                <w:rFonts w:hint="eastAsia" w:cs="宋体"/>
                <w:sz w:val="24"/>
                <w:szCs w:val="24"/>
              </w:rPr>
            </w:pPr>
            <w:r>
              <w:rPr>
                <w:rFonts w:hint="eastAsia" w:cs="宋体"/>
                <w:sz w:val="24"/>
                <w:szCs w:val="24"/>
              </w:rPr>
              <w:t>项目经理</w:t>
            </w: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14:paraId="2CB5DDFB">
            <w:pPr>
              <w:widowControl/>
              <w:spacing w:beforeLines="0" w:afterLines="0"/>
              <w:ind w:firstLine="0" w:firstLineChars="0"/>
              <w:jc w:val="center"/>
              <w:rPr>
                <w:rFonts w:hint="eastAsia" w:cs="宋体"/>
                <w:sz w:val="24"/>
                <w:szCs w:val="24"/>
              </w:rPr>
            </w:pPr>
            <w:r>
              <w:rPr>
                <w:rFonts w:hint="eastAsia" w:cs="宋体"/>
                <w:sz w:val="24"/>
                <w:szCs w:val="24"/>
              </w:rPr>
              <w:t>负责项目进度和质量控制</w:t>
            </w:r>
          </w:p>
        </w:tc>
        <w:tc>
          <w:tcPr>
            <w:tcW w:w="0" w:type="auto"/>
            <w:tcBorders>
              <w:top w:val="single" w:color="auto" w:sz="4" w:space="0"/>
              <w:left w:val="single" w:color="auto" w:sz="4" w:space="0"/>
              <w:bottom w:val="single" w:color="auto" w:sz="4" w:space="0"/>
              <w:right w:val="single" w:color="auto" w:sz="4" w:space="0"/>
              <w:tl2br w:val="nil"/>
              <w:tr2bl w:val="nil"/>
            </w:tcBorders>
            <w:noWrap/>
            <w:vAlign w:val="center"/>
          </w:tcPr>
          <w:p w14:paraId="714BAF33">
            <w:pPr>
              <w:widowControl/>
              <w:spacing w:beforeLines="0" w:afterLines="0"/>
              <w:ind w:firstLine="0" w:firstLineChars="0"/>
              <w:jc w:val="center"/>
              <w:rPr>
                <w:rFonts w:hint="eastAsia" w:cs="宋体"/>
                <w:sz w:val="24"/>
                <w:szCs w:val="24"/>
              </w:rPr>
            </w:pPr>
            <w:r>
              <w:rPr>
                <w:rFonts w:hint="eastAsia" w:cs="宋体"/>
                <w:sz w:val="24"/>
                <w:szCs w:val="24"/>
              </w:rPr>
              <w:t>1人</w:t>
            </w: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14:paraId="2996D2B0">
            <w:pPr>
              <w:widowControl/>
              <w:spacing w:beforeLines="0" w:afterLines="0"/>
              <w:ind w:firstLine="0" w:firstLineChars="0"/>
              <w:jc w:val="center"/>
              <w:rPr>
                <w:rFonts w:hint="eastAsia" w:eastAsia="宋体" w:cs="宋体"/>
                <w:sz w:val="24"/>
                <w:szCs w:val="24"/>
                <w:lang w:eastAsia="zh-CN"/>
              </w:rPr>
            </w:pPr>
            <w:r>
              <w:rPr>
                <w:rFonts w:hint="eastAsia" w:cs="Times New Roman"/>
                <w:spacing w:val="0"/>
                <w:sz w:val="24"/>
                <w:szCs w:val="24"/>
                <w:lang w:eastAsia="zh-CN"/>
              </w:rPr>
              <w:t>具有</w:t>
            </w:r>
            <w:r>
              <w:rPr>
                <w:rFonts w:hint="default" w:ascii="宋体" w:hAnsi="宋体" w:eastAsia="宋体" w:cs="Times New Roman"/>
                <w:spacing w:val="0"/>
                <w:sz w:val="24"/>
                <w:szCs w:val="24"/>
              </w:rPr>
              <w:t>本科及以上学历</w:t>
            </w:r>
            <w:r>
              <w:rPr>
                <w:rFonts w:hint="default" w:ascii="宋体" w:hAnsi="宋体" w:eastAsia="宋体" w:cs="Times New Roman"/>
                <w:spacing w:val="0"/>
                <w:sz w:val="24"/>
                <w:szCs w:val="24"/>
                <w:lang w:eastAsia="zh-CN"/>
              </w:rPr>
              <w:t>，</w:t>
            </w:r>
            <w:r>
              <w:rPr>
                <w:rFonts w:hint="eastAsia" w:cs="宋体"/>
                <w:sz w:val="24"/>
                <w:szCs w:val="24"/>
              </w:rPr>
              <w:t>高级项目管理师</w:t>
            </w:r>
            <w:r>
              <w:rPr>
                <w:rFonts w:hint="eastAsia" w:cs="宋体"/>
                <w:sz w:val="24"/>
                <w:szCs w:val="24"/>
                <w:lang w:eastAsia="zh-CN"/>
              </w:rPr>
              <w:t>（高级）</w:t>
            </w:r>
            <w:r>
              <w:rPr>
                <w:rFonts w:hint="eastAsia" w:cs="宋体"/>
                <w:sz w:val="24"/>
                <w:szCs w:val="24"/>
              </w:rPr>
              <w:t>证书</w:t>
            </w:r>
            <w:r>
              <w:rPr>
                <w:rFonts w:hint="eastAsia"/>
                <w:lang w:eastAsia="zh-CN"/>
              </w:rPr>
              <w:t>的优先考虑</w:t>
            </w:r>
          </w:p>
        </w:tc>
        <w:tc>
          <w:tcPr>
            <w:tcW w:w="0" w:type="auto"/>
            <w:tcBorders>
              <w:top w:val="single" w:color="auto" w:sz="4" w:space="0"/>
              <w:left w:val="single" w:color="auto" w:sz="4" w:space="0"/>
              <w:bottom w:val="single" w:color="auto" w:sz="4" w:space="0"/>
              <w:right w:val="single" w:color="auto" w:sz="4" w:space="0"/>
              <w:tl2br w:val="nil"/>
              <w:tr2bl w:val="nil"/>
            </w:tcBorders>
            <w:noWrap/>
            <w:vAlign w:val="center"/>
          </w:tcPr>
          <w:p w14:paraId="2FD0E61B">
            <w:pPr>
              <w:widowControl/>
              <w:spacing w:beforeLines="0" w:afterLines="0"/>
              <w:ind w:firstLine="0" w:firstLineChars="0"/>
              <w:jc w:val="center"/>
              <w:rPr>
                <w:rFonts w:hint="eastAsia" w:cs="宋体"/>
                <w:sz w:val="24"/>
                <w:szCs w:val="24"/>
              </w:rPr>
            </w:pPr>
            <w:r>
              <w:rPr>
                <w:rFonts w:hint="eastAsia" w:cs="宋体"/>
                <w:sz w:val="24"/>
                <w:szCs w:val="24"/>
              </w:rPr>
              <w:t>不驻场</w:t>
            </w:r>
          </w:p>
        </w:tc>
      </w:tr>
      <w:tr w14:paraId="70664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tcBorders>
              <w:top w:val="single" w:color="auto" w:sz="4" w:space="0"/>
              <w:left w:val="single" w:color="auto" w:sz="4" w:space="0"/>
              <w:bottom w:val="single" w:color="auto" w:sz="4" w:space="0"/>
              <w:right w:val="single" w:color="auto" w:sz="4" w:space="0"/>
              <w:tl2br w:val="nil"/>
              <w:tr2bl w:val="nil"/>
            </w:tcBorders>
            <w:noWrap/>
            <w:vAlign w:val="center"/>
          </w:tcPr>
          <w:p w14:paraId="6993255D">
            <w:pPr>
              <w:widowControl/>
              <w:spacing w:beforeLines="0" w:afterLines="0"/>
              <w:ind w:firstLine="0" w:firstLineChars="0"/>
              <w:jc w:val="center"/>
              <w:rPr>
                <w:rFonts w:hint="eastAsia" w:cs="宋体"/>
                <w:sz w:val="24"/>
                <w:szCs w:val="24"/>
              </w:rPr>
            </w:pPr>
            <w:r>
              <w:rPr>
                <w:rFonts w:hint="eastAsia" w:cs="宋体"/>
                <w:sz w:val="24"/>
                <w:szCs w:val="24"/>
              </w:rPr>
              <w:t>产品经理</w:t>
            </w: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14:paraId="6E9A5FB9">
            <w:pPr>
              <w:widowControl/>
              <w:spacing w:beforeLines="0" w:afterLines="0"/>
              <w:ind w:firstLine="0" w:firstLineChars="0"/>
              <w:jc w:val="center"/>
              <w:rPr>
                <w:rFonts w:hint="eastAsia" w:cs="宋体"/>
                <w:sz w:val="24"/>
                <w:szCs w:val="24"/>
              </w:rPr>
            </w:pPr>
            <w:r>
              <w:rPr>
                <w:rFonts w:hint="eastAsia" w:cs="宋体"/>
                <w:sz w:val="24"/>
                <w:szCs w:val="24"/>
              </w:rPr>
              <w:t>项目需求评估与设计</w:t>
            </w:r>
          </w:p>
        </w:tc>
        <w:tc>
          <w:tcPr>
            <w:tcW w:w="0" w:type="auto"/>
            <w:tcBorders>
              <w:top w:val="single" w:color="auto" w:sz="4" w:space="0"/>
              <w:left w:val="single" w:color="auto" w:sz="4" w:space="0"/>
              <w:bottom w:val="single" w:color="auto" w:sz="4" w:space="0"/>
              <w:right w:val="single" w:color="auto" w:sz="4" w:space="0"/>
              <w:tl2br w:val="nil"/>
              <w:tr2bl w:val="nil"/>
            </w:tcBorders>
            <w:noWrap/>
            <w:vAlign w:val="center"/>
          </w:tcPr>
          <w:p w14:paraId="4F30D281">
            <w:pPr>
              <w:widowControl/>
              <w:spacing w:beforeLines="0" w:afterLines="0"/>
              <w:ind w:firstLine="0" w:firstLineChars="0"/>
              <w:jc w:val="center"/>
              <w:rPr>
                <w:rFonts w:hint="eastAsia" w:cs="宋体"/>
                <w:sz w:val="24"/>
                <w:szCs w:val="24"/>
              </w:rPr>
            </w:pPr>
            <w:r>
              <w:rPr>
                <w:rFonts w:hint="eastAsia" w:cs="宋体"/>
                <w:sz w:val="24"/>
                <w:szCs w:val="24"/>
                <w:lang w:val="en-US" w:eastAsia="zh-CN"/>
              </w:rPr>
              <w:t>1</w:t>
            </w:r>
            <w:r>
              <w:rPr>
                <w:rFonts w:hint="eastAsia" w:cs="宋体"/>
                <w:sz w:val="24"/>
                <w:szCs w:val="24"/>
              </w:rPr>
              <w:t>人</w:t>
            </w: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14:paraId="3333CA50">
            <w:pPr>
              <w:widowControl/>
              <w:spacing w:beforeLines="0" w:afterLines="0"/>
              <w:ind w:firstLine="0" w:firstLineChars="0"/>
              <w:jc w:val="center"/>
              <w:rPr>
                <w:rFonts w:hint="eastAsia" w:cs="宋体"/>
                <w:sz w:val="24"/>
                <w:szCs w:val="24"/>
              </w:rPr>
            </w:pPr>
          </w:p>
        </w:tc>
        <w:tc>
          <w:tcPr>
            <w:tcW w:w="0" w:type="auto"/>
            <w:tcBorders>
              <w:top w:val="single" w:color="auto" w:sz="4" w:space="0"/>
              <w:left w:val="single" w:color="auto" w:sz="4" w:space="0"/>
              <w:bottom w:val="single" w:color="auto" w:sz="4" w:space="0"/>
              <w:right w:val="single" w:color="auto" w:sz="4" w:space="0"/>
              <w:tl2br w:val="nil"/>
              <w:tr2bl w:val="nil"/>
            </w:tcBorders>
            <w:noWrap/>
            <w:vAlign w:val="center"/>
          </w:tcPr>
          <w:p w14:paraId="25A74C29">
            <w:pPr>
              <w:widowControl/>
              <w:spacing w:beforeLines="0" w:afterLines="0"/>
              <w:ind w:firstLine="0" w:firstLineChars="0"/>
              <w:jc w:val="center"/>
              <w:rPr>
                <w:rFonts w:hint="eastAsia" w:cs="宋体"/>
                <w:sz w:val="24"/>
                <w:szCs w:val="24"/>
              </w:rPr>
            </w:pPr>
            <w:r>
              <w:rPr>
                <w:rFonts w:hint="eastAsia" w:cs="宋体"/>
                <w:sz w:val="24"/>
                <w:szCs w:val="24"/>
              </w:rPr>
              <w:t>不驻场</w:t>
            </w:r>
          </w:p>
        </w:tc>
      </w:tr>
      <w:tr w14:paraId="3724A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tcBorders>
              <w:top w:val="single" w:color="auto" w:sz="4" w:space="0"/>
              <w:left w:val="single" w:color="auto" w:sz="4" w:space="0"/>
              <w:bottom w:val="single" w:color="auto" w:sz="4" w:space="0"/>
              <w:right w:val="single" w:color="auto" w:sz="4" w:space="0"/>
              <w:tl2br w:val="nil"/>
              <w:tr2bl w:val="nil"/>
            </w:tcBorders>
            <w:noWrap/>
            <w:vAlign w:val="center"/>
          </w:tcPr>
          <w:p w14:paraId="136319E2">
            <w:pPr>
              <w:widowControl/>
              <w:spacing w:beforeLines="0" w:afterLines="0"/>
              <w:ind w:firstLine="0" w:firstLineChars="0"/>
              <w:jc w:val="center"/>
              <w:rPr>
                <w:rFonts w:hint="eastAsia" w:cs="宋体"/>
                <w:sz w:val="24"/>
                <w:szCs w:val="24"/>
              </w:rPr>
            </w:pPr>
            <w:r>
              <w:rPr>
                <w:rFonts w:hint="eastAsia" w:cs="宋体"/>
                <w:sz w:val="24"/>
                <w:szCs w:val="24"/>
              </w:rPr>
              <w:t>数据工程师</w:t>
            </w: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14:paraId="2DBBBB74">
            <w:pPr>
              <w:widowControl/>
              <w:spacing w:beforeLines="0" w:afterLines="0"/>
              <w:ind w:firstLine="0" w:firstLineChars="0"/>
              <w:jc w:val="center"/>
              <w:rPr>
                <w:rFonts w:hint="eastAsia" w:cs="宋体"/>
                <w:sz w:val="24"/>
                <w:szCs w:val="24"/>
              </w:rPr>
            </w:pPr>
            <w:r>
              <w:rPr>
                <w:rFonts w:hint="eastAsia" w:cs="宋体"/>
                <w:sz w:val="24"/>
                <w:szCs w:val="24"/>
              </w:rPr>
              <w:t>数据治理</w:t>
            </w:r>
          </w:p>
        </w:tc>
        <w:tc>
          <w:tcPr>
            <w:tcW w:w="0" w:type="auto"/>
            <w:tcBorders>
              <w:top w:val="single" w:color="auto" w:sz="4" w:space="0"/>
              <w:left w:val="single" w:color="auto" w:sz="4" w:space="0"/>
              <w:bottom w:val="single" w:color="auto" w:sz="4" w:space="0"/>
              <w:right w:val="single" w:color="auto" w:sz="4" w:space="0"/>
              <w:tl2br w:val="nil"/>
              <w:tr2bl w:val="nil"/>
            </w:tcBorders>
            <w:noWrap/>
            <w:vAlign w:val="center"/>
          </w:tcPr>
          <w:p w14:paraId="4B5A7C33">
            <w:pPr>
              <w:widowControl/>
              <w:spacing w:beforeLines="0" w:afterLines="0"/>
              <w:ind w:firstLine="0" w:firstLineChars="0"/>
              <w:jc w:val="center"/>
              <w:rPr>
                <w:rFonts w:hint="eastAsia" w:cs="宋体"/>
                <w:sz w:val="24"/>
                <w:szCs w:val="24"/>
              </w:rPr>
            </w:pPr>
            <w:r>
              <w:rPr>
                <w:rFonts w:hint="eastAsia" w:cs="宋体"/>
                <w:sz w:val="24"/>
                <w:szCs w:val="24"/>
                <w:lang w:val="en-US" w:eastAsia="zh-CN"/>
              </w:rPr>
              <w:t>2</w:t>
            </w:r>
            <w:r>
              <w:rPr>
                <w:rFonts w:hint="eastAsia" w:cs="宋体"/>
                <w:sz w:val="24"/>
                <w:szCs w:val="24"/>
              </w:rPr>
              <w:t>人</w:t>
            </w: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14:paraId="09D13B35">
            <w:pPr>
              <w:widowControl/>
              <w:spacing w:beforeLines="0" w:afterLines="0"/>
              <w:ind w:firstLine="0" w:firstLineChars="0"/>
              <w:jc w:val="center"/>
              <w:rPr>
                <w:rFonts w:hint="eastAsia" w:cs="宋体"/>
                <w:sz w:val="24"/>
                <w:szCs w:val="24"/>
              </w:rPr>
            </w:pPr>
          </w:p>
        </w:tc>
        <w:tc>
          <w:tcPr>
            <w:tcW w:w="0" w:type="auto"/>
            <w:tcBorders>
              <w:top w:val="single" w:color="auto" w:sz="4" w:space="0"/>
              <w:left w:val="single" w:color="auto" w:sz="4" w:space="0"/>
              <w:bottom w:val="single" w:color="auto" w:sz="4" w:space="0"/>
              <w:right w:val="single" w:color="auto" w:sz="4" w:space="0"/>
              <w:tl2br w:val="nil"/>
              <w:tr2bl w:val="nil"/>
            </w:tcBorders>
            <w:noWrap/>
            <w:vAlign w:val="center"/>
          </w:tcPr>
          <w:p w14:paraId="4326484B">
            <w:pPr>
              <w:widowControl/>
              <w:spacing w:beforeLines="0" w:afterLines="0"/>
              <w:ind w:firstLine="0" w:firstLineChars="0"/>
              <w:jc w:val="center"/>
              <w:rPr>
                <w:rFonts w:hint="eastAsia" w:cs="宋体"/>
                <w:sz w:val="24"/>
                <w:szCs w:val="24"/>
              </w:rPr>
            </w:pPr>
            <w:r>
              <w:rPr>
                <w:rFonts w:hint="eastAsia" w:cs="宋体"/>
                <w:sz w:val="24"/>
                <w:szCs w:val="24"/>
              </w:rPr>
              <w:t>不驻场</w:t>
            </w:r>
          </w:p>
        </w:tc>
      </w:tr>
      <w:tr w14:paraId="47B61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tcBorders>
              <w:top w:val="single" w:color="auto" w:sz="4" w:space="0"/>
              <w:left w:val="single" w:color="auto" w:sz="4" w:space="0"/>
              <w:bottom w:val="single" w:color="auto" w:sz="4" w:space="0"/>
              <w:right w:val="single" w:color="auto" w:sz="4" w:space="0"/>
              <w:tl2br w:val="nil"/>
              <w:tr2bl w:val="nil"/>
            </w:tcBorders>
            <w:noWrap/>
            <w:vAlign w:val="center"/>
          </w:tcPr>
          <w:p w14:paraId="1D9C776D">
            <w:pPr>
              <w:widowControl/>
              <w:spacing w:beforeLines="0" w:afterLines="0"/>
              <w:ind w:firstLine="0" w:firstLineChars="0"/>
              <w:jc w:val="center"/>
              <w:rPr>
                <w:rFonts w:hint="eastAsia" w:cs="宋体"/>
                <w:sz w:val="24"/>
                <w:szCs w:val="24"/>
              </w:rPr>
            </w:pPr>
            <w:r>
              <w:rPr>
                <w:rFonts w:hint="eastAsia" w:cs="宋体"/>
                <w:sz w:val="24"/>
                <w:szCs w:val="24"/>
              </w:rPr>
              <w:t>开发工程师</w:t>
            </w:r>
          </w:p>
        </w:tc>
        <w:tc>
          <w:tcPr>
            <w:tcW w:w="0" w:type="auto"/>
            <w:tcBorders>
              <w:top w:val="single" w:color="auto" w:sz="4" w:space="0"/>
              <w:left w:val="single" w:color="auto" w:sz="4" w:space="0"/>
              <w:bottom w:val="single" w:color="auto" w:sz="4" w:space="0"/>
              <w:right w:val="single" w:color="auto" w:sz="4" w:space="0"/>
              <w:tl2br w:val="nil"/>
              <w:tr2bl w:val="nil"/>
            </w:tcBorders>
            <w:noWrap/>
            <w:vAlign w:val="center"/>
          </w:tcPr>
          <w:p w14:paraId="4714D4F7">
            <w:pPr>
              <w:widowControl/>
              <w:spacing w:beforeLines="0" w:afterLines="0"/>
              <w:ind w:firstLine="0" w:firstLineChars="0"/>
              <w:jc w:val="center"/>
              <w:rPr>
                <w:rFonts w:hint="eastAsia" w:cs="宋体"/>
                <w:sz w:val="24"/>
                <w:szCs w:val="24"/>
              </w:rPr>
            </w:pPr>
            <w:r>
              <w:rPr>
                <w:rFonts w:hint="eastAsia" w:cs="宋体"/>
                <w:sz w:val="24"/>
                <w:szCs w:val="24"/>
              </w:rPr>
              <w:t>系统功能开发</w:t>
            </w:r>
          </w:p>
        </w:tc>
        <w:tc>
          <w:tcPr>
            <w:tcW w:w="0" w:type="auto"/>
            <w:tcBorders>
              <w:top w:val="single" w:color="auto" w:sz="4" w:space="0"/>
              <w:left w:val="single" w:color="auto" w:sz="4" w:space="0"/>
              <w:bottom w:val="single" w:color="auto" w:sz="4" w:space="0"/>
              <w:right w:val="single" w:color="auto" w:sz="4" w:space="0"/>
              <w:tl2br w:val="nil"/>
              <w:tr2bl w:val="nil"/>
            </w:tcBorders>
            <w:noWrap/>
            <w:vAlign w:val="center"/>
          </w:tcPr>
          <w:p w14:paraId="3393A5C0">
            <w:pPr>
              <w:widowControl/>
              <w:spacing w:beforeLines="0" w:afterLines="0"/>
              <w:ind w:firstLine="0" w:firstLineChars="0"/>
              <w:jc w:val="center"/>
              <w:rPr>
                <w:rFonts w:hint="eastAsia" w:cs="宋体"/>
                <w:sz w:val="24"/>
                <w:szCs w:val="24"/>
              </w:rPr>
            </w:pPr>
            <w:r>
              <w:rPr>
                <w:rFonts w:hint="eastAsia" w:cs="宋体"/>
                <w:sz w:val="24"/>
                <w:szCs w:val="24"/>
                <w:lang w:val="en-US" w:eastAsia="zh-CN"/>
              </w:rPr>
              <w:t>7</w:t>
            </w:r>
            <w:r>
              <w:rPr>
                <w:rFonts w:hint="eastAsia" w:cs="宋体"/>
                <w:sz w:val="24"/>
                <w:szCs w:val="24"/>
              </w:rPr>
              <w:t>人</w:t>
            </w: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14:paraId="6E66478C">
            <w:pPr>
              <w:widowControl/>
              <w:spacing w:beforeLines="0" w:afterLines="0"/>
              <w:ind w:firstLine="0" w:firstLineChars="0"/>
              <w:jc w:val="center"/>
              <w:rPr>
                <w:rFonts w:hint="eastAsia" w:cs="宋体"/>
                <w:sz w:val="24"/>
                <w:szCs w:val="24"/>
              </w:rPr>
            </w:pPr>
          </w:p>
        </w:tc>
        <w:tc>
          <w:tcPr>
            <w:tcW w:w="0" w:type="auto"/>
            <w:tcBorders>
              <w:top w:val="single" w:color="auto" w:sz="4" w:space="0"/>
              <w:left w:val="single" w:color="auto" w:sz="4" w:space="0"/>
              <w:bottom w:val="single" w:color="auto" w:sz="4" w:space="0"/>
              <w:right w:val="single" w:color="auto" w:sz="4" w:space="0"/>
              <w:tl2br w:val="nil"/>
              <w:tr2bl w:val="nil"/>
            </w:tcBorders>
            <w:noWrap/>
            <w:vAlign w:val="center"/>
          </w:tcPr>
          <w:p w14:paraId="6177D510">
            <w:pPr>
              <w:widowControl/>
              <w:spacing w:beforeLines="0" w:afterLines="0"/>
              <w:ind w:firstLine="0" w:firstLineChars="0"/>
              <w:jc w:val="center"/>
              <w:rPr>
                <w:rFonts w:hint="eastAsia" w:cs="宋体"/>
                <w:sz w:val="24"/>
                <w:szCs w:val="24"/>
              </w:rPr>
            </w:pPr>
            <w:r>
              <w:rPr>
                <w:rFonts w:hint="eastAsia" w:cs="宋体"/>
                <w:sz w:val="24"/>
                <w:szCs w:val="24"/>
              </w:rPr>
              <w:t>不驻场</w:t>
            </w:r>
          </w:p>
        </w:tc>
      </w:tr>
      <w:tr w14:paraId="77CBC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tcBorders>
              <w:top w:val="single" w:color="auto" w:sz="4" w:space="0"/>
              <w:left w:val="single" w:color="auto" w:sz="4" w:space="0"/>
              <w:bottom w:val="single" w:color="auto" w:sz="4" w:space="0"/>
              <w:right w:val="single" w:color="auto" w:sz="4" w:space="0"/>
              <w:tl2br w:val="nil"/>
              <w:tr2bl w:val="nil"/>
            </w:tcBorders>
            <w:noWrap/>
            <w:vAlign w:val="center"/>
          </w:tcPr>
          <w:p w14:paraId="6FD5B013">
            <w:pPr>
              <w:widowControl/>
              <w:spacing w:beforeLines="0" w:afterLines="0"/>
              <w:ind w:firstLine="0" w:firstLineChars="0"/>
              <w:jc w:val="center"/>
              <w:rPr>
                <w:rFonts w:hint="eastAsia" w:cs="宋体"/>
                <w:sz w:val="24"/>
                <w:szCs w:val="24"/>
              </w:rPr>
            </w:pPr>
            <w:r>
              <w:rPr>
                <w:rFonts w:hint="eastAsia" w:cs="宋体"/>
                <w:sz w:val="24"/>
                <w:szCs w:val="24"/>
              </w:rPr>
              <w:t>测试工程师</w:t>
            </w:r>
          </w:p>
        </w:tc>
        <w:tc>
          <w:tcPr>
            <w:tcW w:w="0" w:type="auto"/>
            <w:tcBorders>
              <w:top w:val="single" w:color="auto" w:sz="4" w:space="0"/>
              <w:left w:val="single" w:color="auto" w:sz="4" w:space="0"/>
              <w:bottom w:val="single" w:color="auto" w:sz="4" w:space="0"/>
              <w:right w:val="single" w:color="auto" w:sz="4" w:space="0"/>
              <w:tl2br w:val="nil"/>
              <w:tr2bl w:val="nil"/>
            </w:tcBorders>
            <w:noWrap/>
            <w:vAlign w:val="center"/>
          </w:tcPr>
          <w:p w14:paraId="1D1CB8B1">
            <w:pPr>
              <w:widowControl/>
              <w:spacing w:beforeLines="0" w:afterLines="0"/>
              <w:ind w:firstLine="0" w:firstLineChars="0"/>
              <w:jc w:val="center"/>
              <w:rPr>
                <w:rFonts w:hint="eastAsia" w:cs="宋体"/>
                <w:sz w:val="24"/>
                <w:szCs w:val="24"/>
              </w:rPr>
            </w:pPr>
            <w:r>
              <w:rPr>
                <w:rFonts w:hint="eastAsia" w:cs="宋体"/>
                <w:sz w:val="24"/>
                <w:szCs w:val="24"/>
              </w:rPr>
              <w:t>系统测试</w:t>
            </w:r>
          </w:p>
        </w:tc>
        <w:tc>
          <w:tcPr>
            <w:tcW w:w="0" w:type="auto"/>
            <w:tcBorders>
              <w:top w:val="single" w:color="auto" w:sz="4" w:space="0"/>
              <w:left w:val="single" w:color="auto" w:sz="4" w:space="0"/>
              <w:bottom w:val="single" w:color="auto" w:sz="4" w:space="0"/>
              <w:right w:val="single" w:color="auto" w:sz="4" w:space="0"/>
              <w:tl2br w:val="nil"/>
              <w:tr2bl w:val="nil"/>
            </w:tcBorders>
            <w:noWrap/>
            <w:vAlign w:val="center"/>
          </w:tcPr>
          <w:p w14:paraId="66CC8A31">
            <w:pPr>
              <w:widowControl/>
              <w:spacing w:beforeLines="0" w:afterLines="0"/>
              <w:ind w:firstLine="0" w:firstLineChars="0"/>
              <w:jc w:val="center"/>
              <w:rPr>
                <w:rFonts w:hint="eastAsia" w:cs="宋体"/>
                <w:sz w:val="24"/>
                <w:szCs w:val="24"/>
              </w:rPr>
            </w:pPr>
            <w:r>
              <w:rPr>
                <w:rFonts w:hint="eastAsia" w:cs="宋体"/>
                <w:sz w:val="24"/>
                <w:szCs w:val="24"/>
              </w:rPr>
              <w:t>2人</w:t>
            </w: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14:paraId="64844DBB">
            <w:pPr>
              <w:widowControl/>
              <w:spacing w:beforeLines="0" w:afterLines="0"/>
              <w:ind w:firstLine="0" w:firstLineChars="0"/>
              <w:jc w:val="center"/>
              <w:rPr>
                <w:rFonts w:hint="eastAsia" w:cs="宋体"/>
                <w:sz w:val="24"/>
                <w:szCs w:val="24"/>
              </w:rPr>
            </w:pPr>
          </w:p>
        </w:tc>
        <w:tc>
          <w:tcPr>
            <w:tcW w:w="0" w:type="auto"/>
            <w:tcBorders>
              <w:top w:val="single" w:color="auto" w:sz="4" w:space="0"/>
              <w:left w:val="single" w:color="auto" w:sz="4" w:space="0"/>
              <w:bottom w:val="single" w:color="auto" w:sz="4" w:space="0"/>
              <w:right w:val="single" w:color="auto" w:sz="4" w:space="0"/>
              <w:tl2br w:val="nil"/>
              <w:tr2bl w:val="nil"/>
            </w:tcBorders>
            <w:noWrap/>
            <w:vAlign w:val="center"/>
          </w:tcPr>
          <w:p w14:paraId="77A878A7">
            <w:pPr>
              <w:widowControl/>
              <w:spacing w:beforeLines="0" w:afterLines="0"/>
              <w:ind w:firstLine="0" w:firstLineChars="0"/>
              <w:jc w:val="center"/>
              <w:rPr>
                <w:rFonts w:hint="eastAsia" w:cs="宋体"/>
                <w:sz w:val="24"/>
                <w:szCs w:val="24"/>
              </w:rPr>
            </w:pPr>
            <w:r>
              <w:rPr>
                <w:rFonts w:hint="eastAsia" w:cs="宋体"/>
                <w:sz w:val="24"/>
                <w:szCs w:val="24"/>
              </w:rPr>
              <w:t>不驻场</w:t>
            </w:r>
          </w:p>
        </w:tc>
      </w:tr>
      <w:tr w14:paraId="4C463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tcBorders>
              <w:top w:val="single" w:color="auto" w:sz="4" w:space="0"/>
              <w:left w:val="single" w:color="auto" w:sz="4" w:space="0"/>
              <w:bottom w:val="single" w:color="auto" w:sz="4" w:space="0"/>
              <w:right w:val="single" w:color="auto" w:sz="4" w:space="0"/>
              <w:tl2br w:val="nil"/>
              <w:tr2bl w:val="nil"/>
            </w:tcBorders>
            <w:noWrap/>
            <w:vAlign w:val="center"/>
          </w:tcPr>
          <w:p w14:paraId="01A0481C">
            <w:pPr>
              <w:widowControl/>
              <w:spacing w:beforeLines="0" w:afterLines="0"/>
              <w:ind w:firstLine="0" w:firstLineChars="0"/>
              <w:jc w:val="center"/>
              <w:rPr>
                <w:rFonts w:hint="eastAsia" w:cs="宋体"/>
                <w:sz w:val="24"/>
                <w:szCs w:val="24"/>
              </w:rPr>
            </w:pPr>
            <w:r>
              <w:rPr>
                <w:rFonts w:hint="eastAsia" w:cs="宋体"/>
                <w:sz w:val="24"/>
                <w:szCs w:val="24"/>
              </w:rPr>
              <w:t>实施工程师</w:t>
            </w:r>
          </w:p>
        </w:tc>
        <w:tc>
          <w:tcPr>
            <w:tcW w:w="0" w:type="auto"/>
            <w:tcBorders>
              <w:top w:val="single" w:color="auto" w:sz="4" w:space="0"/>
              <w:left w:val="single" w:color="auto" w:sz="4" w:space="0"/>
              <w:bottom w:val="single" w:color="auto" w:sz="4" w:space="0"/>
              <w:right w:val="single" w:color="auto" w:sz="4" w:space="0"/>
              <w:tl2br w:val="nil"/>
              <w:tr2bl w:val="nil"/>
            </w:tcBorders>
            <w:noWrap/>
            <w:vAlign w:val="center"/>
          </w:tcPr>
          <w:p w14:paraId="1BF5CFEB">
            <w:pPr>
              <w:widowControl/>
              <w:spacing w:beforeLines="0" w:afterLines="0"/>
              <w:ind w:firstLine="0" w:firstLineChars="0"/>
              <w:jc w:val="center"/>
              <w:rPr>
                <w:rFonts w:hint="eastAsia" w:cs="宋体"/>
                <w:sz w:val="24"/>
                <w:szCs w:val="24"/>
              </w:rPr>
            </w:pPr>
            <w:r>
              <w:rPr>
                <w:rFonts w:hint="eastAsia" w:cs="宋体"/>
                <w:sz w:val="24"/>
                <w:szCs w:val="24"/>
              </w:rPr>
              <w:t>部署实施</w:t>
            </w:r>
          </w:p>
        </w:tc>
        <w:tc>
          <w:tcPr>
            <w:tcW w:w="0" w:type="auto"/>
            <w:tcBorders>
              <w:top w:val="single" w:color="auto" w:sz="4" w:space="0"/>
              <w:left w:val="single" w:color="auto" w:sz="4" w:space="0"/>
              <w:bottom w:val="single" w:color="auto" w:sz="4" w:space="0"/>
              <w:right w:val="single" w:color="auto" w:sz="4" w:space="0"/>
              <w:tl2br w:val="nil"/>
              <w:tr2bl w:val="nil"/>
            </w:tcBorders>
            <w:noWrap/>
            <w:vAlign w:val="center"/>
          </w:tcPr>
          <w:p w14:paraId="077802A1">
            <w:pPr>
              <w:widowControl/>
              <w:spacing w:beforeLines="0" w:afterLines="0"/>
              <w:ind w:firstLine="0" w:firstLineChars="0"/>
              <w:jc w:val="center"/>
              <w:rPr>
                <w:rFonts w:hint="eastAsia" w:cs="宋体"/>
                <w:sz w:val="24"/>
                <w:szCs w:val="24"/>
              </w:rPr>
            </w:pPr>
            <w:r>
              <w:rPr>
                <w:rFonts w:hint="eastAsia" w:cs="宋体"/>
                <w:sz w:val="24"/>
                <w:szCs w:val="24"/>
                <w:lang w:val="en-US" w:eastAsia="zh-CN"/>
              </w:rPr>
              <w:t>2</w:t>
            </w:r>
            <w:r>
              <w:rPr>
                <w:rFonts w:hint="eastAsia" w:cs="宋体"/>
                <w:sz w:val="24"/>
                <w:szCs w:val="24"/>
              </w:rPr>
              <w:t>人</w:t>
            </w: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14:paraId="329CAB99">
            <w:pPr>
              <w:widowControl/>
              <w:spacing w:beforeLines="0" w:afterLines="0"/>
              <w:ind w:firstLine="0" w:firstLineChars="0"/>
              <w:jc w:val="center"/>
              <w:rPr>
                <w:rFonts w:hint="eastAsia" w:cs="宋体"/>
                <w:sz w:val="24"/>
                <w:szCs w:val="24"/>
              </w:rPr>
            </w:pPr>
          </w:p>
        </w:tc>
        <w:tc>
          <w:tcPr>
            <w:tcW w:w="0" w:type="auto"/>
            <w:tcBorders>
              <w:top w:val="single" w:color="auto" w:sz="4" w:space="0"/>
              <w:left w:val="single" w:color="auto" w:sz="4" w:space="0"/>
              <w:bottom w:val="single" w:color="auto" w:sz="4" w:space="0"/>
              <w:right w:val="single" w:color="auto" w:sz="4" w:space="0"/>
              <w:tl2br w:val="nil"/>
              <w:tr2bl w:val="nil"/>
            </w:tcBorders>
            <w:noWrap/>
            <w:vAlign w:val="center"/>
          </w:tcPr>
          <w:p w14:paraId="353AB38E">
            <w:pPr>
              <w:widowControl/>
              <w:spacing w:beforeLines="0" w:afterLines="0"/>
              <w:ind w:firstLine="0" w:firstLineChars="0"/>
              <w:jc w:val="center"/>
              <w:rPr>
                <w:rFonts w:hint="eastAsia" w:cs="宋体"/>
                <w:sz w:val="24"/>
                <w:szCs w:val="24"/>
              </w:rPr>
            </w:pPr>
            <w:r>
              <w:rPr>
                <w:rFonts w:hint="eastAsia" w:cs="宋体"/>
                <w:sz w:val="24"/>
                <w:szCs w:val="24"/>
              </w:rPr>
              <w:t>不驻场</w:t>
            </w:r>
          </w:p>
        </w:tc>
      </w:tr>
    </w:tbl>
    <w:p w14:paraId="2E1709FF">
      <w:pPr>
        <w:ind w:left="0" w:leftChars="0" w:firstLine="0" w:firstLineChars="0"/>
      </w:pPr>
    </w:p>
    <w:p w14:paraId="0598A42F">
      <w:r>
        <w:t>2）</w:t>
      </w:r>
      <w:r>
        <w:rPr>
          <w:rFonts w:hint="eastAsia"/>
          <w:lang w:eastAsia="zh-CN"/>
        </w:rPr>
        <w:t>响应供应商</w:t>
      </w:r>
      <w:r>
        <w:t>应针对本项目提供不少于</w:t>
      </w:r>
      <w:r>
        <w:rPr>
          <w:rFonts w:hint="eastAsia"/>
          <w:lang w:val="en-US" w:eastAsia="zh-CN"/>
        </w:rPr>
        <w:t>3</w:t>
      </w:r>
      <w:r>
        <w:t>人的质保期间支撑团队（其中技术经理</w:t>
      </w:r>
      <w:r>
        <w:rPr>
          <w:rFonts w:hint="eastAsia"/>
          <w:lang w:val="en-US" w:eastAsia="zh-CN"/>
        </w:rPr>
        <w:t>1</w:t>
      </w:r>
      <w:r>
        <w:t>人，产品经理</w:t>
      </w:r>
      <w:r>
        <w:rPr>
          <w:rFonts w:hint="eastAsia"/>
          <w:lang w:val="en-US" w:eastAsia="zh-CN"/>
        </w:rPr>
        <w:t>1</w:t>
      </w:r>
      <w:r>
        <w:t>人，技术工程师不少于</w:t>
      </w:r>
      <w:r>
        <w:rPr>
          <w:rFonts w:hint="eastAsia"/>
          <w:lang w:val="en-US" w:eastAsia="zh-CN"/>
        </w:rPr>
        <w:t>1</w:t>
      </w:r>
      <w:r>
        <w:t>人）；</w:t>
      </w:r>
      <w:r>
        <w:rPr>
          <w:rFonts w:hint="eastAsia"/>
          <w:lang w:eastAsia="zh-CN"/>
        </w:rPr>
        <w:t>响应供应商</w:t>
      </w:r>
      <w:r>
        <w:t>的相关服务人员需具备相应的服务能力。</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5"/>
        <w:gridCol w:w="2535"/>
        <w:gridCol w:w="1185"/>
        <w:gridCol w:w="2213"/>
        <w:gridCol w:w="1180"/>
      </w:tblGrid>
      <w:tr w14:paraId="1719A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1415" w:type="dxa"/>
            <w:tcBorders>
              <w:top w:val="single" w:color="auto" w:sz="4" w:space="0"/>
              <w:left w:val="single" w:color="auto" w:sz="4" w:space="0"/>
              <w:bottom w:val="single" w:color="auto" w:sz="4" w:space="0"/>
              <w:right w:val="single" w:color="auto" w:sz="4" w:space="0"/>
              <w:tl2br w:val="nil"/>
              <w:tr2bl w:val="nil"/>
            </w:tcBorders>
            <w:noWrap/>
            <w:vAlign w:val="center"/>
          </w:tcPr>
          <w:p w14:paraId="749C4ECB">
            <w:pPr>
              <w:widowControl/>
              <w:spacing w:beforeLines="0" w:afterLines="0"/>
              <w:ind w:firstLine="0" w:firstLineChars="0"/>
              <w:jc w:val="center"/>
              <w:rPr>
                <w:rFonts w:hint="eastAsia" w:cs="宋体"/>
                <w:b/>
                <w:sz w:val="24"/>
                <w:szCs w:val="24"/>
              </w:rPr>
            </w:pPr>
            <w:r>
              <w:rPr>
                <w:rFonts w:hint="eastAsia" w:cs="宋体"/>
                <w:b/>
                <w:sz w:val="24"/>
                <w:szCs w:val="24"/>
              </w:rPr>
              <w:t>角色</w:t>
            </w:r>
          </w:p>
        </w:tc>
        <w:tc>
          <w:tcPr>
            <w:tcW w:w="2535" w:type="dxa"/>
            <w:tcBorders>
              <w:top w:val="single" w:color="auto" w:sz="4" w:space="0"/>
              <w:left w:val="single" w:color="auto" w:sz="4" w:space="0"/>
              <w:bottom w:val="single" w:color="auto" w:sz="4" w:space="0"/>
              <w:right w:val="single" w:color="auto" w:sz="4" w:space="0"/>
              <w:tl2br w:val="nil"/>
              <w:tr2bl w:val="nil"/>
            </w:tcBorders>
            <w:noWrap/>
            <w:vAlign w:val="center"/>
          </w:tcPr>
          <w:p w14:paraId="581AC460">
            <w:pPr>
              <w:widowControl/>
              <w:spacing w:beforeLines="0" w:afterLines="0"/>
              <w:ind w:firstLine="0" w:firstLineChars="0"/>
              <w:jc w:val="center"/>
              <w:rPr>
                <w:rFonts w:hint="eastAsia" w:cs="宋体"/>
                <w:b/>
                <w:sz w:val="24"/>
                <w:szCs w:val="24"/>
              </w:rPr>
            </w:pPr>
            <w:r>
              <w:rPr>
                <w:rFonts w:hint="eastAsia" w:cs="宋体"/>
                <w:b/>
                <w:sz w:val="24"/>
                <w:szCs w:val="24"/>
              </w:rPr>
              <w:t>主要职责</w:t>
            </w:r>
          </w:p>
        </w:tc>
        <w:tc>
          <w:tcPr>
            <w:tcW w:w="1185" w:type="dxa"/>
            <w:tcBorders>
              <w:top w:val="single" w:color="auto" w:sz="4" w:space="0"/>
              <w:left w:val="single" w:color="auto" w:sz="4" w:space="0"/>
              <w:bottom w:val="single" w:color="auto" w:sz="4" w:space="0"/>
              <w:right w:val="single" w:color="auto" w:sz="4" w:space="0"/>
              <w:tl2br w:val="nil"/>
              <w:tr2bl w:val="nil"/>
            </w:tcBorders>
            <w:noWrap/>
            <w:vAlign w:val="center"/>
          </w:tcPr>
          <w:p w14:paraId="329F6224">
            <w:pPr>
              <w:widowControl/>
              <w:spacing w:beforeLines="0" w:afterLines="0"/>
              <w:ind w:firstLine="0" w:firstLineChars="0"/>
              <w:jc w:val="center"/>
              <w:rPr>
                <w:rFonts w:hint="eastAsia" w:cs="宋体"/>
                <w:b/>
                <w:sz w:val="24"/>
                <w:szCs w:val="24"/>
              </w:rPr>
            </w:pPr>
            <w:r>
              <w:rPr>
                <w:rFonts w:hint="eastAsia" w:cs="宋体"/>
                <w:b/>
                <w:sz w:val="24"/>
                <w:szCs w:val="24"/>
              </w:rPr>
              <w:t>人员数量</w:t>
            </w:r>
          </w:p>
        </w:tc>
        <w:tc>
          <w:tcPr>
            <w:tcW w:w="22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B3CBCA">
            <w:pPr>
              <w:widowControl/>
              <w:spacing w:beforeLines="0" w:afterLines="0"/>
              <w:ind w:firstLine="0" w:firstLineChars="0"/>
              <w:jc w:val="center"/>
              <w:rPr>
                <w:rFonts w:hint="eastAsia" w:cs="宋体"/>
                <w:b/>
                <w:sz w:val="24"/>
                <w:szCs w:val="24"/>
              </w:rPr>
            </w:pPr>
            <w:r>
              <w:rPr>
                <w:rFonts w:hint="eastAsia" w:cs="宋体"/>
                <w:b/>
                <w:sz w:val="24"/>
                <w:szCs w:val="24"/>
              </w:rPr>
              <w:t>人员要求</w:t>
            </w:r>
          </w:p>
        </w:tc>
        <w:tc>
          <w:tcPr>
            <w:tcW w:w="1180" w:type="dxa"/>
            <w:tcBorders>
              <w:top w:val="single" w:color="auto" w:sz="4" w:space="0"/>
              <w:left w:val="single" w:color="auto" w:sz="4" w:space="0"/>
              <w:bottom w:val="single" w:color="auto" w:sz="4" w:space="0"/>
              <w:right w:val="single" w:color="auto" w:sz="4" w:space="0"/>
              <w:tl2br w:val="nil"/>
              <w:tr2bl w:val="nil"/>
            </w:tcBorders>
            <w:noWrap/>
            <w:vAlign w:val="center"/>
          </w:tcPr>
          <w:p w14:paraId="03CA05A3">
            <w:pPr>
              <w:widowControl/>
              <w:spacing w:beforeLines="0" w:afterLines="0"/>
              <w:ind w:firstLine="0" w:firstLineChars="0"/>
              <w:jc w:val="center"/>
              <w:rPr>
                <w:rFonts w:hint="eastAsia" w:cs="宋体"/>
                <w:b/>
                <w:sz w:val="24"/>
                <w:szCs w:val="24"/>
              </w:rPr>
            </w:pPr>
            <w:r>
              <w:rPr>
                <w:rFonts w:hint="eastAsia" w:cs="宋体"/>
                <w:b/>
                <w:sz w:val="24"/>
                <w:szCs w:val="24"/>
              </w:rPr>
              <w:t>驻场要求</w:t>
            </w:r>
          </w:p>
        </w:tc>
      </w:tr>
      <w:tr w14:paraId="5B231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5" w:type="dxa"/>
            <w:tcBorders>
              <w:top w:val="single" w:color="auto" w:sz="4" w:space="0"/>
              <w:left w:val="single" w:color="auto" w:sz="4" w:space="0"/>
              <w:bottom w:val="single" w:color="auto" w:sz="4" w:space="0"/>
              <w:right w:val="single" w:color="auto" w:sz="4" w:space="0"/>
              <w:tl2br w:val="nil"/>
              <w:tr2bl w:val="nil"/>
            </w:tcBorders>
            <w:noWrap/>
            <w:vAlign w:val="center"/>
          </w:tcPr>
          <w:p w14:paraId="6CE5B1A1">
            <w:pPr>
              <w:widowControl/>
              <w:spacing w:beforeLines="0" w:afterLines="0"/>
              <w:ind w:firstLine="0" w:firstLineChars="0"/>
              <w:jc w:val="center"/>
              <w:rPr>
                <w:rFonts w:hint="eastAsia" w:cs="宋体"/>
                <w:sz w:val="24"/>
                <w:szCs w:val="24"/>
              </w:rPr>
            </w:pPr>
            <w:r>
              <w:rPr>
                <w:rFonts w:hint="eastAsia" w:cs="宋体"/>
                <w:sz w:val="24"/>
                <w:szCs w:val="24"/>
              </w:rPr>
              <w:t>项目经理</w:t>
            </w:r>
          </w:p>
        </w:tc>
        <w:tc>
          <w:tcPr>
            <w:tcW w:w="25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A65E3A">
            <w:pPr>
              <w:widowControl/>
              <w:spacing w:beforeLines="0" w:afterLines="0" w:line="240" w:lineRule="auto"/>
              <w:ind w:firstLine="0" w:firstLineChars="0"/>
              <w:jc w:val="center"/>
              <w:rPr>
                <w:rFonts w:hint="eastAsia" w:cs="宋体"/>
                <w:sz w:val="24"/>
                <w:szCs w:val="24"/>
              </w:rPr>
            </w:pPr>
            <w:r>
              <w:rPr>
                <w:rFonts w:hint="eastAsia"/>
                <w:sz w:val="24"/>
                <w:szCs w:val="24"/>
              </w:rPr>
              <w:t>负责项目质量和进度控制</w:t>
            </w:r>
          </w:p>
        </w:tc>
        <w:tc>
          <w:tcPr>
            <w:tcW w:w="1185" w:type="dxa"/>
            <w:tcBorders>
              <w:top w:val="single" w:color="auto" w:sz="4" w:space="0"/>
              <w:left w:val="single" w:color="auto" w:sz="4" w:space="0"/>
              <w:bottom w:val="single" w:color="auto" w:sz="4" w:space="0"/>
              <w:right w:val="single" w:color="auto" w:sz="4" w:space="0"/>
              <w:tl2br w:val="nil"/>
              <w:tr2bl w:val="nil"/>
            </w:tcBorders>
            <w:noWrap/>
            <w:vAlign w:val="center"/>
          </w:tcPr>
          <w:p w14:paraId="01DD5FDE">
            <w:pPr>
              <w:widowControl/>
              <w:spacing w:beforeLines="0" w:afterLines="0"/>
              <w:ind w:firstLine="0" w:firstLineChars="0"/>
              <w:jc w:val="center"/>
              <w:rPr>
                <w:rFonts w:hint="eastAsia" w:cs="宋体"/>
                <w:sz w:val="24"/>
                <w:szCs w:val="24"/>
              </w:rPr>
            </w:pPr>
            <w:r>
              <w:rPr>
                <w:rFonts w:hint="eastAsia" w:cs="宋体"/>
                <w:sz w:val="24"/>
                <w:szCs w:val="24"/>
              </w:rPr>
              <w:t>1人</w:t>
            </w:r>
          </w:p>
        </w:tc>
        <w:tc>
          <w:tcPr>
            <w:tcW w:w="22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86CFC8">
            <w:pPr>
              <w:widowControl/>
              <w:spacing w:beforeLines="0" w:afterLines="0"/>
              <w:ind w:firstLine="0" w:firstLineChars="0"/>
              <w:jc w:val="center"/>
              <w:rPr>
                <w:rFonts w:hint="eastAsia" w:cs="宋体"/>
                <w:sz w:val="24"/>
                <w:szCs w:val="24"/>
              </w:rPr>
            </w:pPr>
            <w:r>
              <w:rPr>
                <w:rFonts w:hint="eastAsia" w:cs="Times New Roman"/>
                <w:spacing w:val="0"/>
                <w:sz w:val="24"/>
                <w:szCs w:val="24"/>
                <w:lang w:eastAsia="zh-CN"/>
              </w:rPr>
              <w:t>具有</w:t>
            </w:r>
            <w:r>
              <w:rPr>
                <w:rFonts w:hint="default" w:ascii="宋体" w:hAnsi="宋体" w:eastAsia="宋体" w:cs="Times New Roman"/>
                <w:spacing w:val="0"/>
                <w:sz w:val="24"/>
                <w:szCs w:val="24"/>
              </w:rPr>
              <w:t>本科及以上学历</w:t>
            </w:r>
            <w:r>
              <w:rPr>
                <w:rFonts w:hint="default" w:ascii="宋体" w:hAnsi="宋体" w:eastAsia="宋体" w:cs="Times New Roman"/>
                <w:spacing w:val="0"/>
                <w:sz w:val="24"/>
                <w:szCs w:val="24"/>
                <w:lang w:eastAsia="zh-CN"/>
              </w:rPr>
              <w:t>，</w:t>
            </w:r>
            <w:r>
              <w:rPr>
                <w:rFonts w:hint="eastAsia" w:cs="宋体"/>
                <w:sz w:val="24"/>
                <w:szCs w:val="24"/>
              </w:rPr>
              <w:t>高级项目管理师</w:t>
            </w:r>
            <w:r>
              <w:rPr>
                <w:rFonts w:hint="eastAsia" w:cs="宋体"/>
                <w:sz w:val="24"/>
                <w:szCs w:val="24"/>
                <w:lang w:eastAsia="zh-CN"/>
              </w:rPr>
              <w:t>（高级）</w:t>
            </w:r>
            <w:r>
              <w:rPr>
                <w:rFonts w:hint="eastAsia" w:cs="宋体"/>
                <w:sz w:val="24"/>
                <w:szCs w:val="24"/>
              </w:rPr>
              <w:t>证书</w:t>
            </w:r>
            <w:r>
              <w:rPr>
                <w:rFonts w:hint="eastAsia" w:cs="宋体"/>
                <w:sz w:val="24"/>
                <w:szCs w:val="24"/>
                <w:lang w:eastAsia="zh-CN"/>
              </w:rPr>
              <w:t>的优先考虑</w:t>
            </w:r>
          </w:p>
        </w:tc>
        <w:tc>
          <w:tcPr>
            <w:tcW w:w="1180" w:type="dxa"/>
            <w:tcBorders>
              <w:top w:val="single" w:color="auto" w:sz="4" w:space="0"/>
              <w:left w:val="single" w:color="auto" w:sz="4" w:space="0"/>
              <w:bottom w:val="single" w:color="auto" w:sz="4" w:space="0"/>
              <w:right w:val="single" w:color="auto" w:sz="4" w:space="0"/>
              <w:tl2br w:val="nil"/>
              <w:tr2bl w:val="nil"/>
            </w:tcBorders>
            <w:noWrap/>
            <w:vAlign w:val="center"/>
          </w:tcPr>
          <w:p w14:paraId="799E3FD4">
            <w:pPr>
              <w:widowControl/>
              <w:spacing w:beforeLines="0" w:afterLines="0"/>
              <w:ind w:firstLine="0" w:firstLineChars="0"/>
              <w:jc w:val="center"/>
              <w:rPr>
                <w:rFonts w:hint="eastAsia" w:cs="宋体"/>
                <w:sz w:val="24"/>
                <w:szCs w:val="24"/>
              </w:rPr>
            </w:pPr>
            <w:r>
              <w:rPr>
                <w:rFonts w:hint="eastAsia" w:cs="宋体"/>
                <w:sz w:val="24"/>
                <w:szCs w:val="24"/>
              </w:rPr>
              <w:t>不驻场</w:t>
            </w:r>
          </w:p>
        </w:tc>
      </w:tr>
      <w:tr w14:paraId="69D33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5" w:type="dxa"/>
            <w:tcBorders>
              <w:top w:val="single" w:color="auto" w:sz="4" w:space="0"/>
              <w:left w:val="single" w:color="auto" w:sz="4" w:space="0"/>
              <w:bottom w:val="single" w:color="auto" w:sz="4" w:space="0"/>
              <w:right w:val="single" w:color="auto" w:sz="4" w:space="0"/>
              <w:tl2br w:val="nil"/>
              <w:tr2bl w:val="nil"/>
            </w:tcBorders>
            <w:noWrap/>
            <w:vAlign w:val="center"/>
          </w:tcPr>
          <w:p w14:paraId="605C2D24">
            <w:pPr>
              <w:widowControl/>
              <w:spacing w:beforeLines="0" w:afterLines="0"/>
              <w:ind w:firstLine="0" w:firstLineChars="0"/>
              <w:jc w:val="center"/>
              <w:rPr>
                <w:rFonts w:hint="eastAsia" w:cs="宋体"/>
                <w:sz w:val="24"/>
                <w:szCs w:val="24"/>
              </w:rPr>
            </w:pPr>
            <w:r>
              <w:rPr>
                <w:rFonts w:hint="eastAsia" w:cs="宋体"/>
                <w:sz w:val="24"/>
                <w:szCs w:val="24"/>
              </w:rPr>
              <w:t>产品经理</w:t>
            </w:r>
          </w:p>
        </w:tc>
        <w:tc>
          <w:tcPr>
            <w:tcW w:w="25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78EB91">
            <w:pPr>
              <w:widowControl/>
              <w:spacing w:beforeLines="0" w:afterLines="0" w:line="240" w:lineRule="auto"/>
              <w:ind w:firstLine="0" w:firstLineChars="0"/>
              <w:jc w:val="center"/>
              <w:rPr>
                <w:rFonts w:hint="eastAsia" w:cs="宋体"/>
                <w:sz w:val="24"/>
                <w:szCs w:val="24"/>
              </w:rPr>
            </w:pPr>
            <w:r>
              <w:rPr>
                <w:rFonts w:hint="eastAsia"/>
                <w:sz w:val="24"/>
                <w:szCs w:val="24"/>
              </w:rPr>
              <w:t>负责项目需求评估与产品设计</w:t>
            </w:r>
          </w:p>
        </w:tc>
        <w:tc>
          <w:tcPr>
            <w:tcW w:w="1185" w:type="dxa"/>
            <w:tcBorders>
              <w:top w:val="single" w:color="auto" w:sz="4" w:space="0"/>
              <w:left w:val="single" w:color="auto" w:sz="4" w:space="0"/>
              <w:bottom w:val="single" w:color="auto" w:sz="4" w:space="0"/>
              <w:right w:val="single" w:color="auto" w:sz="4" w:space="0"/>
              <w:tl2br w:val="nil"/>
              <w:tr2bl w:val="nil"/>
            </w:tcBorders>
            <w:noWrap/>
            <w:vAlign w:val="center"/>
          </w:tcPr>
          <w:p w14:paraId="1248143D">
            <w:pPr>
              <w:widowControl/>
              <w:spacing w:beforeLines="0" w:afterLines="0"/>
              <w:ind w:firstLine="0" w:firstLineChars="0"/>
              <w:jc w:val="center"/>
              <w:rPr>
                <w:rFonts w:hint="eastAsia" w:cs="宋体"/>
                <w:sz w:val="24"/>
                <w:szCs w:val="24"/>
              </w:rPr>
            </w:pPr>
            <w:r>
              <w:rPr>
                <w:rFonts w:hint="eastAsia" w:cs="宋体"/>
                <w:sz w:val="24"/>
                <w:szCs w:val="24"/>
              </w:rPr>
              <w:t>1人</w:t>
            </w:r>
          </w:p>
        </w:tc>
        <w:tc>
          <w:tcPr>
            <w:tcW w:w="22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3C7739">
            <w:pPr>
              <w:widowControl/>
              <w:spacing w:beforeLines="0" w:afterLines="0"/>
              <w:ind w:firstLine="0" w:firstLineChars="0"/>
              <w:jc w:val="center"/>
              <w:rPr>
                <w:rFonts w:hint="eastAsia" w:cs="宋体"/>
                <w:sz w:val="24"/>
                <w:szCs w:val="24"/>
              </w:rPr>
            </w:pPr>
          </w:p>
        </w:tc>
        <w:tc>
          <w:tcPr>
            <w:tcW w:w="1180" w:type="dxa"/>
            <w:tcBorders>
              <w:top w:val="single" w:color="auto" w:sz="4" w:space="0"/>
              <w:left w:val="single" w:color="auto" w:sz="4" w:space="0"/>
              <w:bottom w:val="single" w:color="auto" w:sz="4" w:space="0"/>
              <w:right w:val="single" w:color="auto" w:sz="4" w:space="0"/>
              <w:tl2br w:val="nil"/>
              <w:tr2bl w:val="nil"/>
            </w:tcBorders>
            <w:noWrap/>
            <w:vAlign w:val="center"/>
          </w:tcPr>
          <w:p w14:paraId="10F8EC78">
            <w:pPr>
              <w:widowControl/>
              <w:spacing w:beforeLines="0" w:afterLines="0"/>
              <w:ind w:firstLine="0" w:firstLineChars="0"/>
              <w:jc w:val="center"/>
              <w:rPr>
                <w:rFonts w:hint="eastAsia" w:cs="宋体"/>
                <w:sz w:val="24"/>
                <w:szCs w:val="24"/>
              </w:rPr>
            </w:pPr>
            <w:r>
              <w:rPr>
                <w:rFonts w:hint="eastAsia" w:cs="宋体"/>
                <w:sz w:val="24"/>
                <w:szCs w:val="24"/>
              </w:rPr>
              <w:t>不驻场</w:t>
            </w:r>
          </w:p>
        </w:tc>
      </w:tr>
      <w:tr w14:paraId="687C5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5" w:type="dxa"/>
            <w:tcBorders>
              <w:top w:val="single" w:color="auto" w:sz="4" w:space="0"/>
              <w:left w:val="single" w:color="auto" w:sz="4" w:space="0"/>
              <w:bottom w:val="single" w:color="auto" w:sz="4" w:space="0"/>
              <w:right w:val="single" w:color="auto" w:sz="4" w:space="0"/>
              <w:tl2br w:val="nil"/>
              <w:tr2bl w:val="nil"/>
            </w:tcBorders>
            <w:noWrap/>
            <w:vAlign w:val="center"/>
          </w:tcPr>
          <w:p w14:paraId="2A29EE0F">
            <w:pPr>
              <w:widowControl/>
              <w:spacing w:beforeLines="0" w:afterLines="0"/>
              <w:ind w:firstLine="0" w:firstLineChars="0"/>
              <w:jc w:val="center"/>
              <w:rPr>
                <w:rFonts w:hint="eastAsia" w:cs="宋体"/>
                <w:sz w:val="24"/>
                <w:szCs w:val="24"/>
              </w:rPr>
            </w:pPr>
            <w:r>
              <w:rPr>
                <w:rFonts w:hint="eastAsia" w:cs="宋体"/>
                <w:sz w:val="24"/>
                <w:szCs w:val="24"/>
              </w:rPr>
              <w:t>技术工程师</w:t>
            </w:r>
          </w:p>
        </w:tc>
        <w:tc>
          <w:tcPr>
            <w:tcW w:w="2535" w:type="dxa"/>
            <w:tcBorders>
              <w:top w:val="single" w:color="auto" w:sz="4" w:space="0"/>
              <w:left w:val="single" w:color="auto" w:sz="4" w:space="0"/>
              <w:bottom w:val="single" w:color="auto" w:sz="4" w:space="0"/>
              <w:right w:val="single" w:color="auto" w:sz="4" w:space="0"/>
              <w:tl2br w:val="nil"/>
              <w:tr2bl w:val="nil"/>
            </w:tcBorders>
            <w:noWrap/>
            <w:vAlign w:val="center"/>
          </w:tcPr>
          <w:p w14:paraId="0970A675">
            <w:pPr>
              <w:widowControl/>
              <w:spacing w:beforeLines="0" w:afterLines="0" w:line="240" w:lineRule="auto"/>
              <w:ind w:firstLine="0" w:firstLineChars="0"/>
              <w:jc w:val="center"/>
              <w:rPr>
                <w:rFonts w:hint="eastAsia" w:cs="宋体"/>
                <w:sz w:val="24"/>
                <w:szCs w:val="24"/>
              </w:rPr>
            </w:pPr>
            <w:r>
              <w:rPr>
                <w:rFonts w:hint="eastAsia"/>
                <w:sz w:val="24"/>
                <w:szCs w:val="24"/>
              </w:rPr>
              <w:t>负责项目运行维护</w:t>
            </w:r>
          </w:p>
        </w:tc>
        <w:tc>
          <w:tcPr>
            <w:tcW w:w="1185" w:type="dxa"/>
            <w:tcBorders>
              <w:top w:val="single" w:color="auto" w:sz="4" w:space="0"/>
              <w:left w:val="single" w:color="auto" w:sz="4" w:space="0"/>
              <w:bottom w:val="single" w:color="auto" w:sz="4" w:space="0"/>
              <w:right w:val="single" w:color="auto" w:sz="4" w:space="0"/>
              <w:tl2br w:val="nil"/>
              <w:tr2bl w:val="nil"/>
            </w:tcBorders>
            <w:noWrap/>
            <w:vAlign w:val="center"/>
          </w:tcPr>
          <w:p w14:paraId="6C34A2DF">
            <w:pPr>
              <w:widowControl/>
              <w:spacing w:beforeLines="0" w:afterLines="0"/>
              <w:ind w:firstLine="0" w:firstLineChars="0"/>
              <w:jc w:val="center"/>
              <w:rPr>
                <w:rFonts w:hint="eastAsia" w:cs="宋体"/>
                <w:sz w:val="24"/>
                <w:szCs w:val="24"/>
              </w:rPr>
            </w:pPr>
            <w:r>
              <w:rPr>
                <w:rFonts w:hint="eastAsia" w:cs="宋体"/>
                <w:sz w:val="24"/>
                <w:szCs w:val="24"/>
              </w:rPr>
              <w:t>1人</w:t>
            </w:r>
          </w:p>
        </w:tc>
        <w:tc>
          <w:tcPr>
            <w:tcW w:w="22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89E706">
            <w:pPr>
              <w:widowControl/>
              <w:spacing w:beforeLines="0" w:afterLines="0"/>
              <w:ind w:firstLine="0" w:firstLineChars="0"/>
              <w:jc w:val="center"/>
              <w:rPr>
                <w:rFonts w:hint="eastAsia" w:cs="宋体"/>
                <w:sz w:val="24"/>
                <w:szCs w:val="24"/>
              </w:rPr>
            </w:pPr>
          </w:p>
        </w:tc>
        <w:tc>
          <w:tcPr>
            <w:tcW w:w="1180" w:type="dxa"/>
            <w:tcBorders>
              <w:top w:val="single" w:color="auto" w:sz="4" w:space="0"/>
              <w:left w:val="single" w:color="auto" w:sz="4" w:space="0"/>
              <w:bottom w:val="single" w:color="auto" w:sz="4" w:space="0"/>
              <w:right w:val="single" w:color="auto" w:sz="4" w:space="0"/>
              <w:tl2br w:val="nil"/>
              <w:tr2bl w:val="nil"/>
            </w:tcBorders>
            <w:noWrap/>
            <w:vAlign w:val="center"/>
          </w:tcPr>
          <w:p w14:paraId="4D312ACE">
            <w:pPr>
              <w:widowControl/>
              <w:spacing w:beforeLines="0" w:afterLines="0"/>
              <w:ind w:firstLine="0" w:firstLineChars="0"/>
              <w:jc w:val="center"/>
              <w:rPr>
                <w:rFonts w:hint="eastAsia" w:cs="宋体"/>
                <w:sz w:val="24"/>
                <w:szCs w:val="24"/>
              </w:rPr>
            </w:pPr>
            <w:r>
              <w:rPr>
                <w:rFonts w:hint="eastAsia" w:cs="宋体"/>
                <w:sz w:val="24"/>
                <w:szCs w:val="24"/>
              </w:rPr>
              <w:t>不驻场</w:t>
            </w:r>
          </w:p>
        </w:tc>
      </w:tr>
    </w:tbl>
    <w:p w14:paraId="33E4502B">
      <w:pPr>
        <w:ind w:left="0" w:leftChars="0" w:firstLine="0" w:firstLineChars="0"/>
      </w:pPr>
    </w:p>
    <w:p w14:paraId="284B51D4">
      <w:pPr>
        <w:pStyle w:val="3"/>
      </w:pPr>
      <w:bookmarkStart w:id="24" w:name="_Toc63785511"/>
      <w:r>
        <w:t>等级保护要求</w:t>
      </w:r>
      <w:bookmarkEnd w:id="24"/>
    </w:p>
    <w:p w14:paraId="1FF56583">
      <w:pPr>
        <w:rPr>
          <w:rFonts w:hint="eastAsia" w:cs="Times New Roman"/>
        </w:rPr>
      </w:pPr>
      <w:r>
        <w:rPr>
          <w:rFonts w:hint="eastAsia" w:cs="Times New Roman"/>
        </w:rPr>
        <w:t>满足等级保护三级技术要求。</w:t>
      </w:r>
    </w:p>
    <w:p w14:paraId="6FD0ABB2">
      <w:pPr>
        <w:pStyle w:val="3"/>
      </w:pPr>
      <w:r>
        <w:rPr>
          <w:rFonts w:hint="eastAsia"/>
        </w:rPr>
        <w:t>商</w:t>
      </w:r>
      <w:r>
        <w:rPr>
          <w:rFonts w:hint="eastAsia"/>
          <w:lang w:val="en-US" w:eastAsia="zh-CN"/>
        </w:rPr>
        <w:t>用</w:t>
      </w:r>
      <w:r>
        <w:rPr>
          <w:rFonts w:hint="eastAsia"/>
        </w:rPr>
        <w:t>密码应用需求</w:t>
      </w:r>
    </w:p>
    <w:p w14:paraId="1669743F">
      <w:pPr>
        <w:rPr>
          <w:rFonts w:hint="eastAsia" w:cs="Times New Roman"/>
        </w:rPr>
      </w:pPr>
      <w:r>
        <w:rPr>
          <w:rFonts w:hint="eastAsia" w:cs="Times New Roman"/>
        </w:rPr>
        <w:t>根据系统部署方式和需实现的业务功能，在充分复用现有的密码资源的基础上，调整密码服务接口对接的业务，以符合密码测试测评要求。</w:t>
      </w:r>
    </w:p>
    <w:p w14:paraId="20E3CA4F">
      <w:pPr>
        <w:pStyle w:val="3"/>
      </w:pPr>
      <w:bookmarkStart w:id="25" w:name="_Toc63785512"/>
      <w:r>
        <w:rPr>
          <w:rFonts w:hint="eastAsia"/>
        </w:rPr>
        <w:t>技术文件要求</w:t>
      </w:r>
    </w:p>
    <w:p w14:paraId="6D6949CE">
      <w:r>
        <w:rPr>
          <w:rFonts w:hint="eastAsia"/>
          <w:lang w:eastAsia="zh-CN"/>
        </w:rPr>
        <w:t>响应供应商</w:t>
      </w:r>
      <w:r>
        <w:rPr>
          <w:rFonts w:hint="eastAsia"/>
        </w:rPr>
        <w:t>提供的书面技术资料应能确保系统正常运行所需的管理、运营及维护有关的全套文件。技术文件应该全面、完整、详细。</w:t>
      </w:r>
      <w:r>
        <w:rPr>
          <w:rFonts w:hint="eastAsia"/>
          <w:lang w:eastAsia="zh-CN"/>
        </w:rPr>
        <w:t>响应供应商</w:t>
      </w:r>
      <w:r>
        <w:rPr>
          <w:rFonts w:hint="eastAsia"/>
        </w:rPr>
        <w:t>提供的技术文件至少应包括：</w:t>
      </w:r>
    </w:p>
    <w:p w14:paraId="482F98C5">
      <w:r>
        <w:rPr>
          <w:rFonts w:hint="eastAsia"/>
        </w:rPr>
        <w:t>－</w:t>
      </w:r>
      <w:r>
        <w:t xml:space="preserve"> 系统说明文件； </w:t>
      </w:r>
    </w:p>
    <w:p w14:paraId="7390C166">
      <w:r>
        <w:rPr>
          <w:rFonts w:hint="eastAsia"/>
        </w:rPr>
        <w:t>－</w:t>
      </w:r>
      <w:r>
        <w:t xml:space="preserve"> 技术手册(安装、测试、操作、维护、故障排除等)； </w:t>
      </w:r>
    </w:p>
    <w:p w14:paraId="25196281">
      <w:r>
        <w:rPr>
          <w:rFonts w:hint="eastAsia"/>
        </w:rPr>
        <w:t>－</w:t>
      </w:r>
      <w:r>
        <w:t xml:space="preserve"> 项目文档，应该包括：</w:t>
      </w:r>
    </w:p>
    <w:p w14:paraId="1E2EE63B">
      <w:pPr>
        <w:ind w:left="360"/>
      </w:pPr>
      <w:r>
        <w:t>(1)软件需求说明书</w:t>
      </w:r>
    </w:p>
    <w:p w14:paraId="2710C84B">
      <w:pPr>
        <w:ind w:left="360"/>
      </w:pPr>
      <w:r>
        <w:t>(2)</w:t>
      </w:r>
      <w:r>
        <w:tab/>
      </w:r>
      <w:r>
        <w:t>系统总体设计说明书</w:t>
      </w:r>
    </w:p>
    <w:p w14:paraId="6F4424EA">
      <w:pPr>
        <w:ind w:left="360"/>
      </w:pPr>
      <w:r>
        <w:t>(3)</w:t>
      </w:r>
      <w:r>
        <w:tab/>
      </w:r>
      <w:r>
        <w:t>应用软件功能清单</w:t>
      </w:r>
    </w:p>
    <w:p w14:paraId="5350E039">
      <w:r>
        <w:rPr>
          <w:rFonts w:hint="eastAsia"/>
        </w:rPr>
        <w:t>提供全套技术文件纸介质</w:t>
      </w:r>
      <w:r>
        <w:t>3套以及电子文件1套。</w:t>
      </w:r>
    </w:p>
    <w:p w14:paraId="47D8285E">
      <w:pPr>
        <w:pStyle w:val="2"/>
      </w:pPr>
      <w:r>
        <w:rPr>
          <w:rFonts w:hint="eastAsia"/>
        </w:rPr>
        <w:t>供应商资质要求</w:t>
      </w:r>
    </w:p>
    <w:p w14:paraId="7D9B6342">
      <w:r>
        <w:t>1、符合《中华人民共和国政府采购法》第二十二条规定的供应商。</w:t>
      </w:r>
    </w:p>
    <w:p w14:paraId="234EE079">
      <w:r>
        <w:t>2、根据《上海市政府采购供应商登记及诚信管理办法》已登记入库的供应商。</w:t>
      </w:r>
    </w:p>
    <w:p w14:paraId="1545476D">
      <w:r>
        <w:t>3、其他资格要求：</w:t>
      </w:r>
    </w:p>
    <w:p w14:paraId="752E02D7">
      <w:pPr>
        <w:rPr>
          <w:highlight w:val="none"/>
        </w:rPr>
      </w:pPr>
      <w:r>
        <w:rPr>
          <w:highlight w:val="none"/>
        </w:rPr>
        <w:t>3.</w:t>
      </w:r>
      <w:r>
        <w:rPr>
          <w:rFonts w:hint="eastAsia"/>
          <w:highlight w:val="none"/>
        </w:rPr>
        <w:t>1</w:t>
      </w:r>
      <w:r>
        <w:rPr>
          <w:highlight w:val="none"/>
        </w:rPr>
        <w:t>本项目面向中、小、微型等各类供应商采购。</w:t>
      </w:r>
    </w:p>
    <w:p w14:paraId="7A4320E8">
      <w:r>
        <w:t>3.</w:t>
      </w:r>
      <w:r>
        <w:rPr>
          <w:rFonts w:hint="eastAsia"/>
        </w:rPr>
        <w:t>2</w:t>
      </w:r>
      <w:r>
        <w:t>未被列入“信用中国”网站(www.creditchina.gov.cn)失信被执行人名单、重大税收违法案件当事人名单和中国政府采购网(www.ccgp.gov.cn)政府采购严重违法失信行为记录名单。</w:t>
      </w:r>
    </w:p>
    <w:p w14:paraId="2A746E14">
      <w:pPr>
        <w:pStyle w:val="2"/>
      </w:pPr>
      <w:r>
        <w:rPr>
          <w:rFonts w:hint="eastAsia"/>
        </w:rPr>
        <w:t>供应商管理要求</w:t>
      </w:r>
      <w:bookmarkEnd w:id="25"/>
    </w:p>
    <w:p w14:paraId="6AA65CC4">
      <w:pPr>
        <w:pStyle w:val="80"/>
        <w:ind w:firstLine="480"/>
        <w:rPr>
          <w:sz w:val="24"/>
          <w:szCs w:val="24"/>
        </w:rPr>
      </w:pPr>
      <w:r>
        <w:rPr>
          <w:rFonts w:hint="eastAsia"/>
          <w:sz w:val="24"/>
          <w:szCs w:val="24"/>
        </w:rPr>
        <w:t>1、在项目实施期间，</w:t>
      </w:r>
      <w:r>
        <w:rPr>
          <w:rFonts w:hint="eastAsia"/>
          <w:sz w:val="24"/>
          <w:szCs w:val="24"/>
          <w:lang w:eastAsia="zh-CN"/>
        </w:rPr>
        <w:t>成交供应商</w:t>
      </w:r>
      <w:r>
        <w:rPr>
          <w:rFonts w:hint="eastAsia"/>
          <w:sz w:val="24"/>
          <w:szCs w:val="24"/>
        </w:rPr>
        <w:t>应严格执行国家、地方、行业有关本项目业务管理和安全作业的法律、法规和制度并按规定承担相应的费用。</w:t>
      </w:r>
      <w:r>
        <w:rPr>
          <w:rFonts w:hint="eastAsia"/>
          <w:sz w:val="24"/>
          <w:szCs w:val="24"/>
          <w:lang w:eastAsia="zh-CN"/>
        </w:rPr>
        <w:t>成交供应商</w:t>
      </w:r>
      <w:r>
        <w:rPr>
          <w:rFonts w:hint="eastAsia"/>
          <w:sz w:val="24"/>
          <w:szCs w:val="24"/>
        </w:rPr>
        <w:t>因违反规定等原因造成的一切损失和责任由</w:t>
      </w:r>
      <w:r>
        <w:rPr>
          <w:rFonts w:hint="eastAsia"/>
          <w:sz w:val="24"/>
          <w:szCs w:val="24"/>
          <w:lang w:eastAsia="zh-CN"/>
        </w:rPr>
        <w:t>成交供应商</w:t>
      </w:r>
      <w:r>
        <w:rPr>
          <w:rFonts w:hint="eastAsia"/>
          <w:sz w:val="24"/>
          <w:szCs w:val="24"/>
        </w:rPr>
        <w:t>自行承担。</w:t>
      </w:r>
    </w:p>
    <w:p w14:paraId="5A14E218">
      <w:pPr>
        <w:pStyle w:val="80"/>
        <w:ind w:firstLine="480"/>
        <w:rPr>
          <w:sz w:val="24"/>
          <w:szCs w:val="24"/>
        </w:rPr>
      </w:pPr>
      <w:r>
        <w:rPr>
          <w:rFonts w:hint="eastAsia"/>
          <w:sz w:val="24"/>
          <w:szCs w:val="24"/>
        </w:rPr>
        <w:t>2、</w:t>
      </w:r>
      <w:r>
        <w:rPr>
          <w:rFonts w:hint="eastAsia"/>
          <w:sz w:val="24"/>
          <w:szCs w:val="24"/>
          <w:lang w:eastAsia="zh-CN"/>
        </w:rPr>
        <w:t>成交供应商</w:t>
      </w:r>
      <w:r>
        <w:rPr>
          <w:rFonts w:hint="eastAsia"/>
          <w:sz w:val="24"/>
          <w:szCs w:val="24"/>
        </w:rPr>
        <w:t>在</w:t>
      </w:r>
      <w:r>
        <w:rPr>
          <w:rFonts w:hint="eastAsia"/>
          <w:sz w:val="24"/>
          <w:szCs w:val="24"/>
          <w:lang w:eastAsia="zh-CN"/>
        </w:rPr>
        <w:t>响应文件</w:t>
      </w:r>
      <w:r>
        <w:rPr>
          <w:rFonts w:hint="eastAsia"/>
          <w:sz w:val="24"/>
          <w:szCs w:val="24"/>
        </w:rPr>
        <w:t>中承诺并经</w:t>
      </w:r>
      <w:r>
        <w:rPr>
          <w:rFonts w:hint="eastAsia"/>
          <w:sz w:val="24"/>
          <w:szCs w:val="24"/>
          <w:lang w:eastAsia="zh-CN"/>
        </w:rPr>
        <w:t>采购人</w:t>
      </w:r>
      <w:r>
        <w:rPr>
          <w:rFonts w:hint="eastAsia"/>
          <w:sz w:val="24"/>
          <w:szCs w:val="24"/>
        </w:rPr>
        <w:t>认定的</w:t>
      </w:r>
      <w:r>
        <w:rPr>
          <w:rFonts w:hint="eastAsia"/>
          <w:sz w:val="24"/>
          <w:szCs w:val="24"/>
          <w:lang w:eastAsia="zh-CN"/>
        </w:rPr>
        <w:t>项目经理</w:t>
      </w:r>
      <w:r>
        <w:rPr>
          <w:rFonts w:hint="eastAsia"/>
          <w:sz w:val="24"/>
          <w:szCs w:val="24"/>
        </w:rPr>
        <w:t>及专业技术人员必须是本单位职工（在本单位缴纳社会保障金）和该项目实施现场的实际操作者，应具有类似本项目的实施经验，并应在软件应用调研、安装、试运行等期间常驻项目现场。未经采购人同意，</w:t>
      </w:r>
      <w:r>
        <w:rPr>
          <w:rFonts w:hint="eastAsia"/>
          <w:sz w:val="24"/>
          <w:szCs w:val="24"/>
          <w:lang w:eastAsia="zh-CN"/>
        </w:rPr>
        <w:t>成交供应商</w:t>
      </w:r>
      <w:r>
        <w:rPr>
          <w:rFonts w:hint="eastAsia"/>
          <w:sz w:val="24"/>
          <w:szCs w:val="24"/>
        </w:rPr>
        <w:t>不得调换或撤离上述人员。如采购人认为有必要，可要求</w:t>
      </w:r>
      <w:r>
        <w:rPr>
          <w:rFonts w:hint="eastAsia"/>
          <w:sz w:val="24"/>
          <w:szCs w:val="24"/>
          <w:lang w:eastAsia="zh-CN"/>
        </w:rPr>
        <w:t>成交供应商</w:t>
      </w:r>
      <w:r>
        <w:rPr>
          <w:rFonts w:hint="eastAsia"/>
          <w:sz w:val="24"/>
          <w:szCs w:val="24"/>
        </w:rPr>
        <w:t>对上述人员中的部分人员作出更好的调整。</w:t>
      </w:r>
    </w:p>
    <w:p w14:paraId="0908000E">
      <w:pPr>
        <w:pStyle w:val="80"/>
        <w:ind w:firstLine="480"/>
        <w:rPr>
          <w:sz w:val="24"/>
          <w:szCs w:val="24"/>
        </w:rPr>
      </w:pPr>
      <w:r>
        <w:rPr>
          <w:rFonts w:hint="eastAsia"/>
          <w:sz w:val="24"/>
          <w:szCs w:val="24"/>
        </w:rPr>
        <w:t>3、</w:t>
      </w:r>
      <w:r>
        <w:rPr>
          <w:rFonts w:hint="eastAsia"/>
          <w:sz w:val="24"/>
          <w:szCs w:val="24"/>
          <w:lang w:eastAsia="zh-CN"/>
        </w:rPr>
        <w:t>成交供应商</w:t>
      </w:r>
      <w:r>
        <w:rPr>
          <w:rFonts w:hint="eastAsia"/>
          <w:sz w:val="24"/>
          <w:szCs w:val="24"/>
        </w:rPr>
        <w:t>在项目实施期间，应按项目实际进度与环节落实所对应项目整体及各环节管理工作，按照规范做好项目实施期间相关管理与实施记录。</w:t>
      </w:r>
    </w:p>
    <w:p w14:paraId="28FD0B84">
      <w:pPr>
        <w:pStyle w:val="80"/>
        <w:ind w:firstLine="480"/>
        <w:rPr>
          <w:sz w:val="24"/>
          <w:szCs w:val="24"/>
        </w:rPr>
      </w:pPr>
      <w:r>
        <w:rPr>
          <w:rFonts w:hint="eastAsia"/>
          <w:sz w:val="24"/>
          <w:szCs w:val="24"/>
        </w:rPr>
        <w:t>4、参与本项目的工作人员应严格遵循采购人的安全制度，保障采购人资料和设备的安全。</w:t>
      </w:r>
      <w:r>
        <w:rPr>
          <w:rFonts w:hint="eastAsia"/>
          <w:sz w:val="24"/>
          <w:szCs w:val="24"/>
          <w:lang w:eastAsia="zh-CN"/>
        </w:rPr>
        <w:t>成交供应商</w:t>
      </w:r>
      <w:r>
        <w:rPr>
          <w:rFonts w:hint="eastAsia"/>
          <w:sz w:val="24"/>
          <w:szCs w:val="24"/>
        </w:rPr>
        <w:t>如需进入采购人机房工作，只能在采购人规定的工作区域内对项目涉及的设备进行操作，严禁触动与项目无关的任何设备（包括任何操作行为），如需跨区操作必须得到采购人项目联系人确认。</w:t>
      </w:r>
    </w:p>
    <w:p w14:paraId="5332FC7D">
      <w:pPr>
        <w:pStyle w:val="80"/>
        <w:ind w:firstLine="480"/>
        <w:rPr>
          <w:sz w:val="24"/>
          <w:szCs w:val="24"/>
        </w:rPr>
      </w:pPr>
      <w:r>
        <w:rPr>
          <w:rFonts w:hint="eastAsia"/>
          <w:sz w:val="24"/>
          <w:szCs w:val="24"/>
        </w:rPr>
        <w:t>5、</w:t>
      </w:r>
      <w:r>
        <w:rPr>
          <w:rFonts w:hint="eastAsia"/>
          <w:sz w:val="24"/>
          <w:szCs w:val="24"/>
          <w:lang w:eastAsia="zh-CN"/>
        </w:rPr>
        <w:t>成交供应商</w:t>
      </w:r>
      <w:r>
        <w:rPr>
          <w:rFonts w:hint="eastAsia"/>
          <w:sz w:val="24"/>
          <w:szCs w:val="24"/>
        </w:rPr>
        <w:t>在项目实施期间必须遵守采购人的规章制度并提供实施人员名单。</w:t>
      </w:r>
    </w:p>
    <w:p w14:paraId="7B50816F">
      <w:pPr>
        <w:pStyle w:val="80"/>
        <w:ind w:firstLine="480"/>
        <w:rPr>
          <w:sz w:val="24"/>
          <w:szCs w:val="24"/>
        </w:rPr>
      </w:pPr>
      <w:r>
        <w:rPr>
          <w:rFonts w:hint="eastAsia"/>
          <w:sz w:val="24"/>
          <w:szCs w:val="24"/>
        </w:rPr>
        <w:t>6、各</w:t>
      </w:r>
      <w:r>
        <w:rPr>
          <w:rFonts w:hint="eastAsia"/>
          <w:sz w:val="24"/>
          <w:szCs w:val="24"/>
          <w:lang w:eastAsia="zh-CN"/>
        </w:rPr>
        <w:t>响应供应商</w:t>
      </w:r>
      <w:r>
        <w:rPr>
          <w:rFonts w:hint="eastAsia"/>
          <w:sz w:val="24"/>
          <w:szCs w:val="24"/>
        </w:rPr>
        <w:t>在</w:t>
      </w:r>
      <w:r>
        <w:rPr>
          <w:rFonts w:hint="eastAsia"/>
          <w:sz w:val="24"/>
          <w:szCs w:val="24"/>
          <w:lang w:eastAsia="zh-CN"/>
        </w:rPr>
        <w:t>响应文件</w:t>
      </w:r>
      <w:r>
        <w:rPr>
          <w:rFonts w:hint="eastAsia"/>
          <w:sz w:val="24"/>
          <w:szCs w:val="24"/>
        </w:rPr>
        <w:t>中要结合本项目的特点和采购人上述的具体要求制定相应的管理措施，并在报价中列支相应的费用清单，</w:t>
      </w:r>
      <w:r>
        <w:rPr>
          <w:rFonts w:hint="eastAsia"/>
          <w:sz w:val="24"/>
          <w:szCs w:val="24"/>
          <w:lang w:eastAsia="zh-CN"/>
        </w:rPr>
        <w:t>响应供应商</w:t>
      </w:r>
      <w:r>
        <w:rPr>
          <w:rFonts w:hint="eastAsia"/>
          <w:sz w:val="24"/>
          <w:szCs w:val="24"/>
        </w:rPr>
        <w:t>报价中未列支上述费用清单的，上述费用视为已包含在</w:t>
      </w:r>
      <w:r>
        <w:rPr>
          <w:rFonts w:hint="eastAsia"/>
          <w:sz w:val="24"/>
          <w:szCs w:val="24"/>
          <w:lang w:eastAsia="zh-CN"/>
        </w:rPr>
        <w:t>响应供应商</w:t>
      </w:r>
      <w:r>
        <w:rPr>
          <w:rFonts w:hint="eastAsia"/>
          <w:sz w:val="24"/>
          <w:szCs w:val="24"/>
        </w:rPr>
        <w:t>的</w:t>
      </w:r>
      <w:r>
        <w:rPr>
          <w:rFonts w:hint="eastAsia"/>
          <w:sz w:val="24"/>
          <w:szCs w:val="24"/>
          <w:lang w:eastAsia="zh-CN"/>
        </w:rPr>
        <w:t>响应</w:t>
      </w:r>
      <w:r>
        <w:rPr>
          <w:rFonts w:hint="eastAsia"/>
          <w:sz w:val="24"/>
          <w:szCs w:val="24"/>
        </w:rPr>
        <w:t>总报价中。</w:t>
      </w:r>
    </w:p>
    <w:p w14:paraId="79741331">
      <w:pPr>
        <w:pStyle w:val="80"/>
        <w:ind w:firstLine="480"/>
      </w:pPr>
      <w:r>
        <w:rPr>
          <w:rFonts w:hint="eastAsia"/>
          <w:sz w:val="24"/>
          <w:szCs w:val="24"/>
        </w:rPr>
        <w:t>7、本项目软件开发及调试将纳入采购人的管理范围，</w:t>
      </w:r>
      <w:r>
        <w:rPr>
          <w:rFonts w:hint="eastAsia"/>
          <w:sz w:val="24"/>
          <w:szCs w:val="24"/>
          <w:lang w:eastAsia="zh-CN"/>
        </w:rPr>
        <w:t>成交供应商</w:t>
      </w:r>
      <w:r>
        <w:rPr>
          <w:rFonts w:hint="eastAsia"/>
          <w:sz w:val="24"/>
          <w:szCs w:val="24"/>
        </w:rPr>
        <w:t>在此过程中须服从上述单位的管理协调。</w:t>
      </w:r>
    </w:p>
    <w:p w14:paraId="527D22F2">
      <w:pPr>
        <w:pStyle w:val="80"/>
        <w:ind w:firstLine="420"/>
      </w:pPr>
    </w:p>
    <w:p w14:paraId="51087C8E">
      <w:pPr>
        <w:pStyle w:val="2"/>
      </w:pPr>
      <w:bookmarkStart w:id="26" w:name="_Toc63785513"/>
      <w:r>
        <w:rPr>
          <w:rFonts w:hint="eastAsia"/>
        </w:rPr>
        <w:t>关于转让和分包的规定</w:t>
      </w:r>
    </w:p>
    <w:p w14:paraId="5C5873DA">
      <w:pPr>
        <w:rPr>
          <w:rFonts w:hint="eastAsia" w:cs="Times New Roman"/>
        </w:rPr>
      </w:pPr>
      <w:r>
        <w:rPr>
          <w:rFonts w:hint="eastAsia" w:cs="Times New Roman"/>
        </w:rPr>
        <w:t>本项目不得转让不得分包。</w:t>
      </w:r>
    </w:p>
    <w:p w14:paraId="5CC8D2A1"/>
    <w:p w14:paraId="2560B78A">
      <w:pPr>
        <w:pStyle w:val="2"/>
      </w:pPr>
      <w:r>
        <w:rPr>
          <w:rFonts w:hint="eastAsia"/>
        </w:rPr>
        <w:t>知识产权及保密要求</w:t>
      </w:r>
      <w:bookmarkEnd w:id="26"/>
    </w:p>
    <w:p w14:paraId="19348518">
      <w:pPr>
        <w:ind w:firstLine="482"/>
        <w:rPr>
          <w:b/>
        </w:rPr>
      </w:pPr>
      <w:r>
        <w:rPr>
          <w:b/>
        </w:rPr>
        <w:t>1、</w:t>
      </w:r>
      <w:r>
        <w:rPr>
          <w:rFonts w:hint="eastAsia"/>
          <w:b/>
          <w:lang w:eastAsia="zh-CN"/>
        </w:rPr>
        <w:t>成交供应商</w:t>
      </w:r>
      <w:r>
        <w:rPr>
          <w:b/>
        </w:rPr>
        <w:t>数据、文件、资料知识产权</w:t>
      </w:r>
    </w:p>
    <w:p w14:paraId="116A2896">
      <w:r>
        <w:rPr>
          <w:rFonts w:hint="eastAsia"/>
          <w:lang w:eastAsia="zh-CN"/>
        </w:rPr>
        <w:t>成交供应商</w:t>
      </w:r>
      <w:r>
        <w:rPr>
          <w:rFonts w:hint="eastAsia"/>
        </w:rPr>
        <w:t>保证其所提供的服务和交付的成果以及在履行本项目义务中使用到的所有数据、文件、信息不会引起任何第三方在专利权、著作权、商标权等知识产权方面向采购人或采购人的关联方及合作方（包括但不限于采购人的主管单位和采购人的合作单位等）发出侵权指控或提出索赔。若有，</w:t>
      </w:r>
      <w:r>
        <w:rPr>
          <w:rFonts w:hint="eastAsia"/>
          <w:lang w:eastAsia="zh-CN"/>
        </w:rPr>
        <w:t>成交供应商</w:t>
      </w:r>
      <w:r>
        <w:rPr>
          <w:rFonts w:hint="eastAsia"/>
        </w:rPr>
        <w:t>应负责与第三方解决纠纷，若因此导致采购人损失的，采购人有权要求</w:t>
      </w:r>
      <w:r>
        <w:rPr>
          <w:rFonts w:hint="eastAsia"/>
          <w:lang w:eastAsia="zh-CN"/>
        </w:rPr>
        <w:t>成交供应商</w:t>
      </w:r>
      <w:r>
        <w:rPr>
          <w:rFonts w:hint="eastAsia"/>
        </w:rPr>
        <w:t>赔偿采购人因此遭受的全部损失，包括但不限于直接损失、间接损失、诉讼费／仲裁费、律师费、公证费、鉴定费等。</w:t>
      </w:r>
    </w:p>
    <w:p w14:paraId="22B6F4C0">
      <w:r>
        <w:rPr>
          <w:rFonts w:hint="eastAsia"/>
          <w:lang w:eastAsia="zh-CN"/>
        </w:rPr>
        <w:t>成交供应商</w:t>
      </w:r>
      <w:r>
        <w:rPr>
          <w:rFonts w:hint="eastAsia"/>
        </w:rPr>
        <w:t>因履行本项目而产生的所有成果的知识产权等权利均归采购人所有，</w:t>
      </w:r>
      <w:r>
        <w:rPr>
          <w:rFonts w:hint="eastAsia"/>
          <w:lang w:eastAsia="zh-CN"/>
        </w:rPr>
        <w:t>成交供应商</w:t>
      </w:r>
      <w:r>
        <w:rPr>
          <w:rFonts w:hint="eastAsia"/>
        </w:rPr>
        <w:t>应配合采购人进行相关权利登记或申请。未经采购人书面同意，</w:t>
      </w:r>
      <w:r>
        <w:rPr>
          <w:rFonts w:hint="eastAsia"/>
          <w:lang w:eastAsia="zh-CN"/>
        </w:rPr>
        <w:t>成交供应商</w:t>
      </w:r>
      <w:r>
        <w:rPr>
          <w:rFonts w:hint="eastAsia"/>
        </w:rPr>
        <w:t>不得以任何形式使用或许可他人使用本项目成果的相关内容，不得擅自对外公开发表或向任何第三方透露。</w:t>
      </w:r>
    </w:p>
    <w:p w14:paraId="357E533A">
      <w:r>
        <w:rPr>
          <w:rFonts w:hint="eastAsia"/>
        </w:rPr>
        <w:t>在不影响上述条款规定的由采购人取得所有成果的知识产权的前提下，双方因履行本项目而被授权接触或使用对方之知识产权（包括但不限于商标、专利、著作权等），和/或任何其他相关资料、数据等涉及的任何权利，均不视为向另一方转让上述权利或在本项目范围外授权许可另一方使用上述权利，上述权利仍应属于提供方，并仅可使用于本项目，被授权接触或使用方未经提供方书面同意，不得擅自挪作他用。</w:t>
      </w:r>
    </w:p>
    <w:p w14:paraId="78C7680D">
      <w:pPr>
        <w:ind w:firstLine="482"/>
        <w:rPr>
          <w:b/>
        </w:rPr>
      </w:pPr>
      <w:r>
        <w:rPr>
          <w:b/>
        </w:rPr>
        <w:t>2、项目保密要求</w:t>
      </w:r>
    </w:p>
    <w:p w14:paraId="11E6F81C">
      <w:r>
        <w:rPr>
          <w:rFonts w:hint="eastAsia"/>
          <w:lang w:eastAsia="zh-CN"/>
        </w:rPr>
        <w:t>成交供应商</w:t>
      </w:r>
      <w:r>
        <w:rPr>
          <w:rFonts w:hint="eastAsia"/>
        </w:rPr>
        <w:t>因履行本项目而知悉的所有数据、信息和资料（包括但不限于账号信息、图表、文字、计算过程、任何形式的文件、访谈记录、现场实测数据、采购人相关工作程序等）以及因履行本项目而形成的数据、信息和任何形式的工作成果，均是采购人要求保密的信息。未经采购人书面同意，</w:t>
      </w:r>
      <w:r>
        <w:rPr>
          <w:rFonts w:hint="eastAsia"/>
          <w:lang w:eastAsia="zh-CN"/>
        </w:rPr>
        <w:t>成交供应商</w:t>
      </w:r>
      <w:r>
        <w:rPr>
          <w:rFonts w:hint="eastAsia"/>
        </w:rPr>
        <w:t>不得对外泄露采购人要求保密的信息，不得用于其他用途，否则</w:t>
      </w:r>
      <w:r>
        <w:rPr>
          <w:rFonts w:hint="eastAsia"/>
          <w:lang w:eastAsia="zh-CN"/>
        </w:rPr>
        <w:t>成交供应商</w:t>
      </w:r>
      <w:r>
        <w:rPr>
          <w:rFonts w:hint="eastAsia"/>
        </w:rPr>
        <w:t>需承担由此引起的法律责任和经济责任，包括但不限于直接损失、间接损失、律师费、诉讼费/仲裁费、调查费、公证费等。</w:t>
      </w:r>
    </w:p>
    <w:p w14:paraId="39D680C9">
      <w:r>
        <w:rPr>
          <w:rFonts w:hint="eastAsia"/>
          <w:lang w:eastAsia="zh-CN"/>
        </w:rPr>
        <w:t>成交供应商</w:t>
      </w:r>
      <w:r>
        <w:rPr>
          <w:rFonts w:hint="eastAsia"/>
        </w:rPr>
        <w:t>应采取必要的有效措施保证其参与本项目的人员（包括</w:t>
      </w:r>
      <w:r>
        <w:rPr>
          <w:rFonts w:hint="eastAsia"/>
          <w:lang w:eastAsia="zh-CN"/>
        </w:rPr>
        <w:t>成交供应商</w:t>
      </w:r>
      <w:r>
        <w:rPr>
          <w:rFonts w:hint="eastAsia"/>
        </w:rPr>
        <w:t>聘用的人员、借调的人员、实习的人员）无论是在职或离职后，以及</w:t>
      </w:r>
      <w:r>
        <w:rPr>
          <w:rFonts w:hint="eastAsia"/>
          <w:lang w:eastAsia="zh-CN"/>
        </w:rPr>
        <w:t>成交供应商</w:t>
      </w:r>
      <w:r>
        <w:rPr>
          <w:rFonts w:hint="eastAsia"/>
        </w:rPr>
        <w:t>的合作方无论是合作中或合作终止后，都能够履行本项目约定的保密义务。若</w:t>
      </w:r>
      <w:r>
        <w:rPr>
          <w:rFonts w:hint="eastAsia"/>
          <w:lang w:eastAsia="zh-CN"/>
        </w:rPr>
        <w:t>成交供应商</w:t>
      </w:r>
      <w:r>
        <w:rPr>
          <w:rFonts w:hint="eastAsia"/>
        </w:rPr>
        <w:t>人员或</w:t>
      </w:r>
      <w:r>
        <w:rPr>
          <w:rFonts w:hint="eastAsia"/>
          <w:lang w:eastAsia="zh-CN"/>
        </w:rPr>
        <w:t>成交供应商</w:t>
      </w:r>
      <w:r>
        <w:rPr>
          <w:rFonts w:hint="eastAsia"/>
        </w:rPr>
        <w:t>合作方违反保密规定，</w:t>
      </w:r>
      <w:r>
        <w:rPr>
          <w:rFonts w:hint="eastAsia"/>
          <w:lang w:eastAsia="zh-CN"/>
        </w:rPr>
        <w:t>成交供应商</w:t>
      </w:r>
      <w:r>
        <w:rPr>
          <w:rFonts w:hint="eastAsia"/>
        </w:rPr>
        <w:t>应承担连带责任。</w:t>
      </w:r>
    </w:p>
    <w:p w14:paraId="1D5F5217">
      <w:r>
        <w:rPr>
          <w:rFonts w:hint="eastAsia"/>
          <w:lang w:eastAsia="zh-CN"/>
        </w:rPr>
        <w:t>成交供应商</w:t>
      </w:r>
      <w:r>
        <w:rPr>
          <w:rFonts w:hint="eastAsia"/>
        </w:rPr>
        <w:t>（含</w:t>
      </w:r>
      <w:r>
        <w:rPr>
          <w:rFonts w:hint="eastAsia"/>
          <w:lang w:eastAsia="zh-CN"/>
        </w:rPr>
        <w:t>成交供应商</w:t>
      </w:r>
      <w:r>
        <w:rPr>
          <w:rFonts w:hint="eastAsia"/>
        </w:rPr>
        <w:t>参与本项目的人员以及其合作方）未经</w:t>
      </w:r>
      <w:r>
        <w:rPr>
          <w:rFonts w:hint="eastAsia"/>
          <w:lang w:eastAsia="zh-CN"/>
        </w:rPr>
        <w:t>采购人</w:t>
      </w:r>
      <w:r>
        <w:rPr>
          <w:rFonts w:hint="eastAsia"/>
        </w:rPr>
        <w:t>书面许可，不得以任何形式自行使用或以任何方式向第三方披露、转让、授权、出售与本项目有关的技术成果、计算机软件、源代码、策划文档、技术诀窍、秘密信息、技术资料和其他文件。</w:t>
      </w:r>
    </w:p>
    <w:p w14:paraId="45A474FC">
      <w:r>
        <w:rPr>
          <w:rFonts w:hint="eastAsia"/>
        </w:rPr>
        <w:t>以上内容的保密期限自</w:t>
      </w:r>
      <w:r>
        <w:rPr>
          <w:rFonts w:hint="eastAsia"/>
          <w:lang w:eastAsia="zh-CN"/>
        </w:rPr>
        <w:t>成交供应商</w:t>
      </w:r>
      <w:r>
        <w:rPr>
          <w:rFonts w:hint="eastAsia"/>
        </w:rPr>
        <w:t>知悉保密信息起始至保密信息被合法公开之日止。</w:t>
      </w:r>
    </w:p>
    <w:p w14:paraId="74AFF329">
      <w:pPr>
        <w:ind w:firstLine="482"/>
        <w:rPr>
          <w:b/>
        </w:rPr>
      </w:pPr>
      <w:r>
        <w:rPr>
          <w:b/>
        </w:rPr>
        <w:t>3、临时账号等使用要求</w:t>
      </w:r>
    </w:p>
    <w:p w14:paraId="40B1CB52">
      <w:r>
        <w:rPr>
          <w:rFonts w:hint="eastAsia"/>
          <w:lang w:eastAsia="zh-CN"/>
        </w:rPr>
        <w:t>成交供应商</w:t>
      </w:r>
      <w:r>
        <w:rPr>
          <w:rFonts w:hint="eastAsia"/>
        </w:rPr>
        <w:t>对采购人提拱的临时使用账号要保密，不得公开，对组件开发的账号密码需进行加密，避免信息安全的泄露。未经采购人的同意不得利用采购人的网络及平台进行短信、彩信、微信发送</w:t>
      </w:r>
      <w:r>
        <w:t>,造成的一切后果由</w:t>
      </w:r>
      <w:r>
        <w:rPr>
          <w:rFonts w:hint="eastAsia"/>
          <w:lang w:eastAsia="zh-CN"/>
        </w:rPr>
        <w:t>成交供应商</w:t>
      </w:r>
      <w:r>
        <w:t>负责。</w:t>
      </w:r>
    </w:p>
    <w:p w14:paraId="12138057">
      <w:pPr>
        <w:pStyle w:val="2"/>
      </w:pPr>
      <w:bookmarkStart w:id="27" w:name="_Toc65170093"/>
      <w:r>
        <w:t>项目的变更、解除和终止</w:t>
      </w:r>
    </w:p>
    <w:p w14:paraId="0A993CCD">
      <w:r>
        <w:rPr>
          <w:rFonts w:hint="eastAsia"/>
        </w:rPr>
        <w:t>如果</w:t>
      </w:r>
      <w:r>
        <w:rPr>
          <w:rFonts w:hint="eastAsia"/>
          <w:lang w:eastAsia="zh-CN"/>
        </w:rPr>
        <w:t>成交供应商</w:t>
      </w:r>
      <w:r>
        <w:rPr>
          <w:rFonts w:hint="eastAsia"/>
        </w:rPr>
        <w:t>丧失履约能力、发生资不抵债或进入破产程序，采购人可在任何时候以书面形式通知</w:t>
      </w:r>
      <w:r>
        <w:rPr>
          <w:rFonts w:hint="eastAsia"/>
          <w:lang w:eastAsia="zh-CN"/>
        </w:rPr>
        <w:t>成交供应商</w:t>
      </w:r>
      <w:r>
        <w:rPr>
          <w:rFonts w:hint="eastAsia"/>
        </w:rPr>
        <w:t>终止本项目的执行而不给予</w:t>
      </w:r>
      <w:r>
        <w:rPr>
          <w:rFonts w:hint="eastAsia"/>
          <w:lang w:eastAsia="zh-CN"/>
        </w:rPr>
        <w:t>成交供应商</w:t>
      </w:r>
      <w:r>
        <w:rPr>
          <w:rFonts w:hint="eastAsia"/>
        </w:rPr>
        <w:t>补偿。该终止本项目将不损害或影响采购人已经采取或将要采取任何行动或补救措施的权利。</w:t>
      </w:r>
    </w:p>
    <w:p w14:paraId="77EE06E1">
      <w:r>
        <w:rPr>
          <w:rFonts w:hint="eastAsia"/>
        </w:rPr>
        <w:t>如遇国家、行业管理部门等机构的有关标准和规定调整的，导致本项目内容须做相应调整时，双方应按照公平、合理的原则共同协商修改本项目对应的合同的相关条款。</w:t>
      </w:r>
    </w:p>
    <w:p w14:paraId="39D6BE72">
      <w:pPr>
        <w:pStyle w:val="2"/>
      </w:pPr>
      <w:r>
        <w:rPr>
          <w:rFonts w:hint="eastAsia"/>
        </w:rPr>
        <w:t>违约责任</w:t>
      </w:r>
      <w:bookmarkEnd w:id="27"/>
    </w:p>
    <w:p w14:paraId="3AC5F74C">
      <w:r>
        <w:t>1、如</w:t>
      </w:r>
      <w:r>
        <w:rPr>
          <w:rFonts w:hint="eastAsia"/>
          <w:lang w:eastAsia="zh-CN"/>
        </w:rPr>
        <w:t>成交供应商</w:t>
      </w:r>
      <w:r>
        <w:t>未按约定的时间或服务标准完成建设工作，采购人可要求</w:t>
      </w:r>
      <w:r>
        <w:rPr>
          <w:rFonts w:hint="eastAsia"/>
          <w:lang w:eastAsia="zh-CN"/>
        </w:rPr>
        <w:t>成交供应商</w:t>
      </w:r>
      <w:r>
        <w:t>在规定的时间内采取补救措施。</w:t>
      </w:r>
      <w:r>
        <w:rPr>
          <w:rFonts w:hint="eastAsia"/>
          <w:lang w:eastAsia="zh-CN"/>
        </w:rPr>
        <w:t>成交供应商</w:t>
      </w:r>
      <w:r>
        <w:t>还应向采购人支付本项目费用总额30%的违约金，违约金不足以弥补采购人损失的，采购人有权要求</w:t>
      </w:r>
      <w:r>
        <w:rPr>
          <w:rFonts w:hint="eastAsia"/>
          <w:lang w:eastAsia="zh-CN"/>
        </w:rPr>
        <w:t>成交供应商</w:t>
      </w:r>
      <w:r>
        <w:t>赔偿超过部分。</w:t>
      </w:r>
    </w:p>
    <w:p w14:paraId="6E927F1D">
      <w:r>
        <w:t>2、因</w:t>
      </w:r>
      <w:r>
        <w:rPr>
          <w:rFonts w:hint="eastAsia"/>
          <w:lang w:eastAsia="zh-CN"/>
        </w:rPr>
        <w:t>成交供应商</w:t>
      </w:r>
      <w:r>
        <w:t>违反保密义务或知识产权约定的，采购人有权要求</w:t>
      </w:r>
      <w:r>
        <w:rPr>
          <w:rFonts w:hint="eastAsia"/>
          <w:lang w:eastAsia="zh-CN"/>
        </w:rPr>
        <w:t>成交供应商</w:t>
      </w:r>
      <w:r>
        <w:t>支付本项目费用总额30%的违约金，违约金不足以弥补采购人损失的，采购人有权要求</w:t>
      </w:r>
      <w:r>
        <w:rPr>
          <w:rFonts w:hint="eastAsia"/>
          <w:lang w:eastAsia="zh-CN"/>
        </w:rPr>
        <w:t>成交供应商</w:t>
      </w:r>
      <w:r>
        <w:t>赔偿超过部分。若</w:t>
      </w:r>
      <w:r>
        <w:rPr>
          <w:rFonts w:hint="eastAsia"/>
          <w:lang w:eastAsia="zh-CN"/>
        </w:rPr>
        <w:t>成交供应商</w:t>
      </w:r>
      <w:r>
        <w:t>违反保密义务，采购人还有权立即单方解除合同而不承担任何违约责任。</w:t>
      </w:r>
    </w:p>
    <w:p w14:paraId="08AC8A80">
      <w:r>
        <w:t>3、</w:t>
      </w:r>
      <w:r>
        <w:rPr>
          <w:rFonts w:hint="eastAsia"/>
          <w:lang w:eastAsia="zh-CN"/>
        </w:rPr>
        <w:t>成交供应商</w:t>
      </w:r>
      <w:r>
        <w:t>有其他违反本项目合同约定的行为，</w:t>
      </w:r>
      <w:r>
        <w:rPr>
          <w:rFonts w:hint="eastAsia"/>
          <w:lang w:eastAsia="zh-CN"/>
        </w:rPr>
        <w:t>成交供应商</w:t>
      </w:r>
      <w:r>
        <w:t>应当支付本项目总价款金额的20%作为违约金，违约金不足以弥补采购人损失的，采购人有权要求</w:t>
      </w:r>
      <w:r>
        <w:rPr>
          <w:rFonts w:hint="eastAsia"/>
          <w:lang w:eastAsia="zh-CN"/>
        </w:rPr>
        <w:t>成交供应商</w:t>
      </w:r>
      <w:r>
        <w:t>赔偿超过部分。</w:t>
      </w:r>
    </w:p>
    <w:p w14:paraId="40B1ED2E">
      <w:r>
        <w:t>4、</w:t>
      </w:r>
      <w:r>
        <w:rPr>
          <w:rFonts w:hint="eastAsia"/>
          <w:lang w:eastAsia="zh-CN"/>
        </w:rPr>
        <w:t>成交供应商</w:t>
      </w:r>
      <w:r>
        <w:t>有下列情形之一，采购人有权解除合同：</w:t>
      </w:r>
    </w:p>
    <w:p w14:paraId="4FB5F3E3">
      <w:r>
        <w:rPr>
          <w:rFonts w:hint="eastAsia"/>
        </w:rPr>
        <w:t>（1</w:t>
      </w:r>
      <w:r>
        <w:t>）因</w:t>
      </w:r>
      <w:r>
        <w:rPr>
          <w:rFonts w:hint="eastAsia"/>
          <w:lang w:eastAsia="zh-CN"/>
        </w:rPr>
        <w:t>成交供应商</w:t>
      </w:r>
      <w:r>
        <w:t>服务质量问题导致采购人无法实现目的；</w:t>
      </w:r>
    </w:p>
    <w:p w14:paraId="6C392D69">
      <w:r>
        <w:rPr>
          <w:rFonts w:hint="eastAsia"/>
        </w:rPr>
        <w:t>（2</w:t>
      </w:r>
      <w:r>
        <w:t>）擅自转让或者分包其应履行的义务的；</w:t>
      </w:r>
    </w:p>
    <w:p w14:paraId="4D85DDCC">
      <w:r>
        <w:rPr>
          <w:rFonts w:hint="eastAsia"/>
        </w:rPr>
        <w:t>（3</w:t>
      </w:r>
      <w:r>
        <w:t>）违反或者未履行本项目合同约定的其他相关义务，且在采购人要求的合理时间内未能纠正的。</w:t>
      </w:r>
    </w:p>
    <w:p w14:paraId="2480DB99">
      <w:pPr>
        <w:pStyle w:val="2"/>
      </w:pPr>
      <w:bookmarkStart w:id="28" w:name="_Toc63785514"/>
      <w:r>
        <w:rPr>
          <w:rFonts w:hint="eastAsia"/>
        </w:rPr>
        <w:t>付款</w:t>
      </w:r>
      <w:bookmarkEnd w:id="28"/>
      <w:r>
        <w:rPr>
          <w:rFonts w:hint="eastAsia"/>
        </w:rPr>
        <w:t>方式</w:t>
      </w:r>
    </w:p>
    <w:p w14:paraId="1B91CBB4">
      <w:pPr>
        <w:ind w:firstLine="482"/>
        <w:rPr>
          <w:rFonts w:hint="eastAsia"/>
          <w:highlight w:val="none"/>
        </w:rPr>
      </w:pPr>
      <w:r>
        <w:rPr>
          <w:rFonts w:hint="eastAsia"/>
          <w:highlight w:val="none"/>
        </w:rPr>
        <w:t>①按成交金额签订合同，合同签订生效且采购人收到发票后10个工作日内支付合同金额的 70 %；</w:t>
      </w:r>
    </w:p>
    <w:p w14:paraId="3910D77C">
      <w:pPr>
        <w:ind w:firstLine="482"/>
        <w:rPr>
          <w:rFonts w:hint="eastAsia"/>
          <w:b w:val="0"/>
          <w:bCs/>
          <w:lang w:val="en-US" w:eastAsia="zh-CN"/>
        </w:rPr>
      </w:pPr>
      <w:r>
        <w:rPr>
          <w:rFonts w:hint="eastAsia"/>
          <w:highlight w:val="none"/>
        </w:rPr>
        <w:t>②本项目通过最终验收且采购人收到约定的项目工作成果及发票后10个工作日内，支付合同金额的 30 %。</w:t>
      </w:r>
    </w:p>
    <w:sectPr>
      <w:footerReference r:id="rId11" w:type="first"/>
      <w:pgSz w:w="11906" w:h="16838"/>
      <w:pgMar w:top="1134" w:right="1797" w:bottom="1135" w:left="1797" w:header="340" w:footer="7" w:gutter="0"/>
      <w:pgBorders>
        <w:top w:val="none" w:sz="0" w:space="0"/>
        <w:left w:val="none" w:sz="0" w:space="0"/>
        <w:bottom w:val="none" w:sz="0" w:space="0"/>
        <w:right w:val="none" w:sz="0" w:space="0"/>
      </w:pgBorders>
      <w:pgNumType w:start="1"/>
      <w:cols w:space="720" w:num="1"/>
      <w:titlePg/>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国标宋体"/>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国标宋体">
    <w:panose1 w:val="02000500000000000000"/>
    <w:charset w:val="86"/>
    <w:family w:val="auto"/>
    <w:pitch w:val="default"/>
    <w:sig w:usb0="00000001" w:usb1="28000000" w:usb2="00000000" w:usb3="00000000" w:csb0="00060007" w:csb1="00000000"/>
  </w:font>
  <w:font w:name="方正黑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等线">
    <w:altName w:val="Noto Sans CJK SC"/>
    <w:panose1 w:val="02010600030101010101"/>
    <w:charset w:val="86"/>
    <w:family w:val="auto"/>
    <w:pitch w:val="default"/>
    <w:sig w:usb0="00000000" w:usb1="00000000" w:usb2="00000016" w:usb3="00000000" w:csb0="0004000F" w:csb1="00000000"/>
  </w:font>
  <w:font w:name="Noto Sans CJK SC">
    <w:panose1 w:val="020B0500000000000000"/>
    <w:charset w:val="86"/>
    <w:family w:val="auto"/>
    <w:pitch w:val="default"/>
    <w:sig w:usb0="30000083" w:usb1="2BDF3C10" w:usb2="00000016" w:usb3="00000000" w:csb0="602E0107" w:csb1="00000000"/>
  </w:font>
  <w:font w:name="仿宋">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Arial Unicode MS">
    <w:altName w:val="DejaVu Sans"/>
    <w:panose1 w:val="020B0604020202020204"/>
    <w:charset w:val="86"/>
    <w:family w:val="swiss"/>
    <w:pitch w:val="default"/>
    <w:sig w:usb0="00000000" w:usb1="00000000" w:usb2="0000003F" w:usb3="00000000" w:csb0="603F01FF" w:csb1="FFFF0000"/>
  </w:font>
  <w:font w:name="等线 Light">
    <w:altName w:val="汉仪中圆B5"/>
    <w:panose1 w:val="02010600030101010101"/>
    <w:charset w:val="86"/>
    <w:family w:val="auto"/>
    <w:pitch w:val="default"/>
    <w:sig w:usb0="00000000" w:usb1="00000000" w:usb2="00000016" w:usb3="00000000" w:csb0="0004000F" w:csb1="00000000"/>
  </w:font>
  <w:font w:name="汉仪中圆B5">
    <w:panose1 w:val="02010600000101010101"/>
    <w:charset w:val="88"/>
    <w:family w:val="auto"/>
    <w:pitch w:val="default"/>
    <w:sig w:usb0="00000001" w:usb1="080E0800" w:usb2="00000002" w:usb3="00000000" w:csb0="00100000" w:csb1="00000000"/>
  </w:font>
  <w:font w:name="time">
    <w:altName w:val="思源宋体"/>
    <w:panose1 w:val="00000000000000000000"/>
    <w:charset w:val="00"/>
    <w:family w:val="roman"/>
    <w:pitch w:val="default"/>
    <w:sig w:usb0="00000000" w:usb1="00000000" w:usb2="00000000" w:usb3="00000000" w:csb0="00040001" w:csb1="00000000"/>
  </w:font>
  <w:font w:name="思源宋体">
    <w:panose1 w:val="02020400000000000000"/>
    <w:charset w:val="86"/>
    <w:family w:val="auto"/>
    <w:pitch w:val="default"/>
    <w:sig w:usb0="30000083" w:usb1="2BDF3C10" w:usb2="00000016" w:usb3="00000000" w:csb0="602E0107" w:csb1="00000000"/>
  </w:font>
  <w:font w:name="Microsoft YaHei UI">
    <w:altName w:val="文泉驿微米黑"/>
    <w:panose1 w:val="020B0503020204020204"/>
    <w:charset w:val="86"/>
    <w:family w:val="swiss"/>
    <w:pitch w:val="default"/>
    <w:sig w:usb0="00000000" w:usb1="00000000" w:usb2="00000016" w:usb3="00000000" w:csb0="0004001F" w:csb1="00000000"/>
  </w:font>
  <w:font w:name="文泉驿微米黑">
    <w:panose1 w:val="020B0606030804020204"/>
    <w:charset w:val="86"/>
    <w:family w:val="auto"/>
    <w:pitch w:val="default"/>
    <w:sig w:usb0="E10002EF" w:usb1="6BDFFCFB" w:usb2="00800036" w:usb3="00000000" w:csb0="603E019F" w:csb1="DFD70000"/>
  </w:font>
  <w:font w:name="Microsoft Sans Serif">
    <w:altName w:val="Liberation Sans"/>
    <w:panose1 w:val="020B0604020202020204"/>
    <w:charset w:val="00"/>
    <w:family w:val="swiss"/>
    <w:pitch w:val="default"/>
    <w:sig w:usb0="00000000" w:usb1="00000000" w:usb2="00000029" w:usb3="00000000" w:csb0="200101FF" w:csb1="20280000"/>
  </w:font>
  <w:font w:name="Liberation Sans">
    <w:panose1 w:val="020B0604020202020204"/>
    <w:charset w:val="00"/>
    <w:family w:val="auto"/>
    <w:pitch w:val="default"/>
    <w:sig w:usb0="A00002AF" w:usb1="500078FB" w:usb2="00000000" w:usb3="00000000" w:csb0="6000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4C584">
    <w:pPr>
      <w:ind w:firstLine="0" w:firstLineChars="0"/>
      <w:jc w:val="center"/>
    </w:pPr>
    <w:r>
      <w:fldChar w:fldCharType="begin"/>
    </w:r>
    <w:r>
      <w:instrText xml:space="preserve">PAGE   \* MERGEFORMAT</w:instrText>
    </w:r>
    <w:r>
      <w:fldChar w:fldCharType="separate"/>
    </w:r>
    <w:r>
      <w:rPr>
        <w:lang w:val="zh-CN"/>
      </w:rPr>
      <w:t>11</w:t>
    </w:r>
    <w:r>
      <w:rPr>
        <w:lang w:val="zh-CN"/>
      </w:rPr>
      <w:fldChar w:fldCharType="end"/>
    </w:r>
  </w:p>
  <w:p w14:paraId="751CBDB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4FD51"/>
  <w:p w14:paraId="087585E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2B271">
    <w:pPr>
      <w:ind w:firstLine="0" w:firstLineChars="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4863F">
    <w:pPr>
      <w:ind w:firstLine="0" w:firstLineChars="0"/>
      <w:jc w:val="center"/>
      <w:rPr>
        <w:lang w:val="zh-CN"/>
      </w:rPr>
    </w:pPr>
    <w:r>
      <w:rPr>
        <w:lang w:val="zh-CN"/>
      </w:rPr>
      <w:fldChar w:fldCharType="begin"/>
    </w:r>
    <w:r>
      <w:rPr>
        <w:lang w:val="zh-CN"/>
      </w:rPr>
      <w:instrText xml:space="preserve">PAGE   \* MERGEFORMAT</w:instrText>
    </w:r>
    <w:r>
      <w:rPr>
        <w:lang w:val="zh-CN"/>
      </w:rPr>
      <w:fldChar w:fldCharType="separate"/>
    </w:r>
    <w:r>
      <w:rPr>
        <w:lang w:val="zh-CN"/>
      </w:rPr>
      <w:t>1</w:t>
    </w:r>
    <w:r>
      <w:rPr>
        <w:lang w:val="zh-CN"/>
      </w:rPr>
      <w:fldChar w:fldCharType="end"/>
    </w:r>
  </w:p>
  <w:p w14:paraId="7FBD06E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5F25B">
    <w:pPr>
      <w:pStyle w:val="25"/>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75A76"/>
  <w:p w14:paraId="1EC9888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80CBD">
    <w:pPr>
      <w:pStyle w:val="25"/>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50366A"/>
    <w:multiLevelType w:val="multilevel"/>
    <w:tmpl w:val="6350366A"/>
    <w:lvl w:ilvl="0" w:tentative="0">
      <w:start w:val="1"/>
      <w:numFmt w:val="none"/>
      <w:pStyle w:val="112"/>
      <w:lvlText w:val="%1●　"/>
      <w:lvlJc w:val="left"/>
      <w:pPr>
        <w:tabs>
          <w:tab w:val="left" w:pos="760"/>
        </w:tabs>
        <w:ind w:left="717" w:hanging="317"/>
      </w:pPr>
      <w:rPr>
        <w:rFonts w:hint="eastAsia" w:ascii="宋体" w:hAnsi="Times New Roman" w:eastAsia="宋体"/>
        <w:b w:val="0"/>
        <w:i w:val="0"/>
        <w:position w:val="4"/>
        <w:sz w:val="13"/>
      </w:rPr>
    </w:lvl>
    <w:lvl w:ilvl="1" w:tentative="0">
      <w:start w:val="1"/>
      <w:numFmt w:val="lowerLetter"/>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A2F4AB3"/>
    <w:multiLevelType w:val="multilevel"/>
    <w:tmpl w:val="6A2F4AB3"/>
    <w:lvl w:ilvl="0" w:tentative="0">
      <w:start w:val="1"/>
      <w:numFmt w:val="chineseCountingThousand"/>
      <w:pStyle w:val="2"/>
      <w:suff w:val="nothing"/>
      <w:lvlText w:val="%1、"/>
      <w:lvlJc w:val="left"/>
      <w:pPr>
        <w:ind w:left="425" w:hanging="425"/>
      </w:pPr>
      <w:rPr>
        <w:rFonts w:hint="eastAsia"/>
        <w:sz w:val="32"/>
        <w:szCs w:val="32"/>
      </w:rPr>
    </w:lvl>
    <w:lvl w:ilvl="1" w:tentative="0">
      <w:start w:val="1"/>
      <w:numFmt w:val="decimal"/>
      <w:pStyle w:val="3"/>
      <w:isLgl/>
      <w:suff w:val="nothing"/>
      <w:lvlText w:val="%1.%2、"/>
      <w:lvlJc w:val="left"/>
      <w:pPr>
        <w:ind w:left="1135" w:hanging="567"/>
      </w:pPr>
    </w:lvl>
    <w:lvl w:ilvl="2" w:tentative="0">
      <w:start w:val="1"/>
      <w:numFmt w:val="decimal"/>
      <w:pStyle w:val="4"/>
      <w:isLgl/>
      <w:suff w:val="nothing"/>
      <w:lvlText w:val="%1.%2.%3、"/>
      <w:lvlJc w:val="left"/>
      <w:pPr>
        <w:ind w:left="1069" w:hanging="1069"/>
      </w:pPr>
      <w:rPr>
        <w:rFonts w:hint="default" w:ascii="宋体" w:hAnsi="宋体" w:eastAsia="宋体" w:cs="Arial"/>
      </w:rPr>
    </w:lvl>
    <w:lvl w:ilvl="3" w:tentative="0">
      <w:start w:val="1"/>
      <w:numFmt w:val="decimal"/>
      <w:pStyle w:val="5"/>
      <w:isLgl/>
      <w:suff w:val="nothing"/>
      <w:lvlText w:val="%1.%2.%3.%4、"/>
      <w:lvlJc w:val="left"/>
      <w:pPr>
        <w:ind w:left="3403" w:hanging="851"/>
      </w:pPr>
    </w:lvl>
    <w:lvl w:ilvl="4" w:tentative="0">
      <w:start w:val="1"/>
      <w:numFmt w:val="decimal"/>
      <w:pStyle w:val="6"/>
      <w:isLgl/>
      <w:suff w:val="nothing"/>
      <w:lvlText w:val="%1.%2.%3.%4.%5、"/>
      <w:lvlJc w:val="left"/>
      <w:pPr>
        <w:ind w:left="3544" w:hanging="992"/>
      </w:pPr>
      <w:rPr>
        <w:rFonts w:hint="eastAsia"/>
      </w:rPr>
    </w:lvl>
    <w:lvl w:ilvl="5" w:tentative="0">
      <w:start w:val="1"/>
      <w:numFmt w:val="decimal"/>
      <w:pStyle w:val="7"/>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05A"/>
    <w:rsid w:val="00000AED"/>
    <w:rsid w:val="00002DBA"/>
    <w:rsid w:val="00003516"/>
    <w:rsid w:val="0000380E"/>
    <w:rsid w:val="00005AFD"/>
    <w:rsid w:val="00006563"/>
    <w:rsid w:val="000074F1"/>
    <w:rsid w:val="00007A41"/>
    <w:rsid w:val="00007DA7"/>
    <w:rsid w:val="00012EF0"/>
    <w:rsid w:val="000156DE"/>
    <w:rsid w:val="000165AD"/>
    <w:rsid w:val="000179E9"/>
    <w:rsid w:val="00020C18"/>
    <w:rsid w:val="00021EE6"/>
    <w:rsid w:val="0002280E"/>
    <w:rsid w:val="00022C74"/>
    <w:rsid w:val="00025122"/>
    <w:rsid w:val="000252D5"/>
    <w:rsid w:val="00026997"/>
    <w:rsid w:val="00027A64"/>
    <w:rsid w:val="00032D27"/>
    <w:rsid w:val="00035325"/>
    <w:rsid w:val="00035D5B"/>
    <w:rsid w:val="000378D0"/>
    <w:rsid w:val="00037F2C"/>
    <w:rsid w:val="00042C2A"/>
    <w:rsid w:val="000430EC"/>
    <w:rsid w:val="000447CB"/>
    <w:rsid w:val="00047915"/>
    <w:rsid w:val="00047D06"/>
    <w:rsid w:val="00050FBD"/>
    <w:rsid w:val="0005107A"/>
    <w:rsid w:val="0005192C"/>
    <w:rsid w:val="00052929"/>
    <w:rsid w:val="0005299F"/>
    <w:rsid w:val="000541D7"/>
    <w:rsid w:val="000545C0"/>
    <w:rsid w:val="0005586D"/>
    <w:rsid w:val="00056C0E"/>
    <w:rsid w:val="000574A8"/>
    <w:rsid w:val="000574F8"/>
    <w:rsid w:val="00057A49"/>
    <w:rsid w:val="0006231F"/>
    <w:rsid w:val="00062A05"/>
    <w:rsid w:val="00062EE6"/>
    <w:rsid w:val="0006344E"/>
    <w:rsid w:val="000649E6"/>
    <w:rsid w:val="0006794B"/>
    <w:rsid w:val="00067DCA"/>
    <w:rsid w:val="00070063"/>
    <w:rsid w:val="0007087A"/>
    <w:rsid w:val="000710EC"/>
    <w:rsid w:val="00072237"/>
    <w:rsid w:val="00072ABE"/>
    <w:rsid w:val="00080B39"/>
    <w:rsid w:val="00083950"/>
    <w:rsid w:val="0008452F"/>
    <w:rsid w:val="00084E8E"/>
    <w:rsid w:val="00085A68"/>
    <w:rsid w:val="00090625"/>
    <w:rsid w:val="00090948"/>
    <w:rsid w:val="00091CD1"/>
    <w:rsid w:val="0009460E"/>
    <w:rsid w:val="000951D4"/>
    <w:rsid w:val="000A2146"/>
    <w:rsid w:val="000A2930"/>
    <w:rsid w:val="000A3276"/>
    <w:rsid w:val="000A3C35"/>
    <w:rsid w:val="000A3E30"/>
    <w:rsid w:val="000A5876"/>
    <w:rsid w:val="000A61D0"/>
    <w:rsid w:val="000A6C67"/>
    <w:rsid w:val="000A6DB8"/>
    <w:rsid w:val="000A7596"/>
    <w:rsid w:val="000B11A8"/>
    <w:rsid w:val="000B1959"/>
    <w:rsid w:val="000B2E1C"/>
    <w:rsid w:val="000B4459"/>
    <w:rsid w:val="000B4B46"/>
    <w:rsid w:val="000B5363"/>
    <w:rsid w:val="000B53BA"/>
    <w:rsid w:val="000B642F"/>
    <w:rsid w:val="000B6C99"/>
    <w:rsid w:val="000C3F3C"/>
    <w:rsid w:val="000C5A75"/>
    <w:rsid w:val="000C75E9"/>
    <w:rsid w:val="000C75F7"/>
    <w:rsid w:val="000D0AB2"/>
    <w:rsid w:val="000D225C"/>
    <w:rsid w:val="000D36F2"/>
    <w:rsid w:val="000D4B26"/>
    <w:rsid w:val="000D74DB"/>
    <w:rsid w:val="000E24D6"/>
    <w:rsid w:val="000E6072"/>
    <w:rsid w:val="000E6D61"/>
    <w:rsid w:val="000E7A23"/>
    <w:rsid w:val="000F1C29"/>
    <w:rsid w:val="000F1E9E"/>
    <w:rsid w:val="000F2B10"/>
    <w:rsid w:val="000F3F72"/>
    <w:rsid w:val="001055B2"/>
    <w:rsid w:val="001068F0"/>
    <w:rsid w:val="00106AB8"/>
    <w:rsid w:val="00106C9E"/>
    <w:rsid w:val="00106E16"/>
    <w:rsid w:val="0010768B"/>
    <w:rsid w:val="00111701"/>
    <w:rsid w:val="00112A29"/>
    <w:rsid w:val="001167F6"/>
    <w:rsid w:val="00116C86"/>
    <w:rsid w:val="00121ACF"/>
    <w:rsid w:val="00121D8F"/>
    <w:rsid w:val="00122037"/>
    <w:rsid w:val="0012210C"/>
    <w:rsid w:val="00122A7F"/>
    <w:rsid w:val="00123F98"/>
    <w:rsid w:val="001242A5"/>
    <w:rsid w:val="00124531"/>
    <w:rsid w:val="00126EDF"/>
    <w:rsid w:val="00127BBE"/>
    <w:rsid w:val="00131D52"/>
    <w:rsid w:val="001329C1"/>
    <w:rsid w:val="00132C16"/>
    <w:rsid w:val="00136320"/>
    <w:rsid w:val="00136FFA"/>
    <w:rsid w:val="00137AC6"/>
    <w:rsid w:val="00145512"/>
    <w:rsid w:val="001465BD"/>
    <w:rsid w:val="00147B45"/>
    <w:rsid w:val="00150803"/>
    <w:rsid w:val="00151D83"/>
    <w:rsid w:val="001546C9"/>
    <w:rsid w:val="00154FAE"/>
    <w:rsid w:val="00155E77"/>
    <w:rsid w:val="00156A70"/>
    <w:rsid w:val="00160A61"/>
    <w:rsid w:val="00160FC0"/>
    <w:rsid w:val="0016429B"/>
    <w:rsid w:val="00164525"/>
    <w:rsid w:val="00164C50"/>
    <w:rsid w:val="00165CB2"/>
    <w:rsid w:val="00166203"/>
    <w:rsid w:val="00166767"/>
    <w:rsid w:val="001707CB"/>
    <w:rsid w:val="00170C54"/>
    <w:rsid w:val="00171477"/>
    <w:rsid w:val="00172A1A"/>
    <w:rsid w:val="00173251"/>
    <w:rsid w:val="00176BED"/>
    <w:rsid w:val="0017759D"/>
    <w:rsid w:val="001804A5"/>
    <w:rsid w:val="00181C94"/>
    <w:rsid w:val="00182C84"/>
    <w:rsid w:val="00187031"/>
    <w:rsid w:val="00191EA4"/>
    <w:rsid w:val="00192B6C"/>
    <w:rsid w:val="00192C30"/>
    <w:rsid w:val="0019381E"/>
    <w:rsid w:val="00194CF5"/>
    <w:rsid w:val="0019503C"/>
    <w:rsid w:val="00195D94"/>
    <w:rsid w:val="00196F7B"/>
    <w:rsid w:val="001971CB"/>
    <w:rsid w:val="0019795C"/>
    <w:rsid w:val="001A053A"/>
    <w:rsid w:val="001A22A2"/>
    <w:rsid w:val="001A2971"/>
    <w:rsid w:val="001A3D52"/>
    <w:rsid w:val="001A460A"/>
    <w:rsid w:val="001A4A4C"/>
    <w:rsid w:val="001B0230"/>
    <w:rsid w:val="001B13AB"/>
    <w:rsid w:val="001B3907"/>
    <w:rsid w:val="001B3B49"/>
    <w:rsid w:val="001B4907"/>
    <w:rsid w:val="001B4DC5"/>
    <w:rsid w:val="001B5505"/>
    <w:rsid w:val="001C2180"/>
    <w:rsid w:val="001C29CC"/>
    <w:rsid w:val="001C3217"/>
    <w:rsid w:val="001C3B98"/>
    <w:rsid w:val="001C6028"/>
    <w:rsid w:val="001C6365"/>
    <w:rsid w:val="001C7F57"/>
    <w:rsid w:val="001D0E79"/>
    <w:rsid w:val="001D6049"/>
    <w:rsid w:val="001D7339"/>
    <w:rsid w:val="001E2750"/>
    <w:rsid w:val="001E4343"/>
    <w:rsid w:val="001E52BB"/>
    <w:rsid w:val="001E660A"/>
    <w:rsid w:val="001F05D6"/>
    <w:rsid w:val="001F5B0A"/>
    <w:rsid w:val="001F640F"/>
    <w:rsid w:val="001F6794"/>
    <w:rsid w:val="001F6F65"/>
    <w:rsid w:val="002002DF"/>
    <w:rsid w:val="00203A6F"/>
    <w:rsid w:val="00205646"/>
    <w:rsid w:val="002063F7"/>
    <w:rsid w:val="002129E5"/>
    <w:rsid w:val="00212AA4"/>
    <w:rsid w:val="00212E13"/>
    <w:rsid w:val="002163C8"/>
    <w:rsid w:val="002179FE"/>
    <w:rsid w:val="00220CC0"/>
    <w:rsid w:val="00221A36"/>
    <w:rsid w:val="00223296"/>
    <w:rsid w:val="0022329B"/>
    <w:rsid w:val="002240F7"/>
    <w:rsid w:val="0022486F"/>
    <w:rsid w:val="00225314"/>
    <w:rsid w:val="00225DF4"/>
    <w:rsid w:val="00226C70"/>
    <w:rsid w:val="00230C8A"/>
    <w:rsid w:val="00231F98"/>
    <w:rsid w:val="002324F8"/>
    <w:rsid w:val="002348B0"/>
    <w:rsid w:val="00235CDC"/>
    <w:rsid w:val="00237E76"/>
    <w:rsid w:val="00240BBE"/>
    <w:rsid w:val="00241525"/>
    <w:rsid w:val="00241D87"/>
    <w:rsid w:val="00243C55"/>
    <w:rsid w:val="00243D5E"/>
    <w:rsid w:val="002451EC"/>
    <w:rsid w:val="00245ED4"/>
    <w:rsid w:val="00246B41"/>
    <w:rsid w:val="0025002B"/>
    <w:rsid w:val="002500DE"/>
    <w:rsid w:val="00252457"/>
    <w:rsid w:val="00252581"/>
    <w:rsid w:val="002535B5"/>
    <w:rsid w:val="002538CB"/>
    <w:rsid w:val="002542BD"/>
    <w:rsid w:val="0025774E"/>
    <w:rsid w:val="00257D64"/>
    <w:rsid w:val="0026340A"/>
    <w:rsid w:val="002654EA"/>
    <w:rsid w:val="002704EA"/>
    <w:rsid w:val="0027061A"/>
    <w:rsid w:val="002719CC"/>
    <w:rsid w:val="002730C5"/>
    <w:rsid w:val="0027337C"/>
    <w:rsid w:val="0027602B"/>
    <w:rsid w:val="00277F5E"/>
    <w:rsid w:val="00280084"/>
    <w:rsid w:val="00280490"/>
    <w:rsid w:val="002860B8"/>
    <w:rsid w:val="0029206E"/>
    <w:rsid w:val="00293382"/>
    <w:rsid w:val="00294F51"/>
    <w:rsid w:val="002A2342"/>
    <w:rsid w:val="002A279E"/>
    <w:rsid w:val="002A4FA3"/>
    <w:rsid w:val="002B3606"/>
    <w:rsid w:val="002B3D80"/>
    <w:rsid w:val="002B4402"/>
    <w:rsid w:val="002B4946"/>
    <w:rsid w:val="002B4C41"/>
    <w:rsid w:val="002B588D"/>
    <w:rsid w:val="002C1839"/>
    <w:rsid w:val="002C214A"/>
    <w:rsid w:val="002C28E8"/>
    <w:rsid w:val="002C3027"/>
    <w:rsid w:val="002C674D"/>
    <w:rsid w:val="002C7648"/>
    <w:rsid w:val="002C7DC4"/>
    <w:rsid w:val="002D0821"/>
    <w:rsid w:val="002D1929"/>
    <w:rsid w:val="002D1B73"/>
    <w:rsid w:val="002D3CB0"/>
    <w:rsid w:val="002D4800"/>
    <w:rsid w:val="002D5B21"/>
    <w:rsid w:val="002D6F6D"/>
    <w:rsid w:val="002E1FE6"/>
    <w:rsid w:val="002E2EA7"/>
    <w:rsid w:val="002E36D2"/>
    <w:rsid w:val="002E748B"/>
    <w:rsid w:val="002F2002"/>
    <w:rsid w:val="002F335D"/>
    <w:rsid w:val="002F4E32"/>
    <w:rsid w:val="002F503F"/>
    <w:rsid w:val="002F51DD"/>
    <w:rsid w:val="002F5D08"/>
    <w:rsid w:val="002F6895"/>
    <w:rsid w:val="002F6D13"/>
    <w:rsid w:val="003038D3"/>
    <w:rsid w:val="003049C7"/>
    <w:rsid w:val="00305F0E"/>
    <w:rsid w:val="0030667A"/>
    <w:rsid w:val="003106DE"/>
    <w:rsid w:val="00311530"/>
    <w:rsid w:val="00312D31"/>
    <w:rsid w:val="00315216"/>
    <w:rsid w:val="0031691C"/>
    <w:rsid w:val="00317AEF"/>
    <w:rsid w:val="00317F49"/>
    <w:rsid w:val="0032089B"/>
    <w:rsid w:val="00323450"/>
    <w:rsid w:val="00323D93"/>
    <w:rsid w:val="0032489B"/>
    <w:rsid w:val="0032525B"/>
    <w:rsid w:val="00326A7A"/>
    <w:rsid w:val="00326FEE"/>
    <w:rsid w:val="003315D7"/>
    <w:rsid w:val="00334DE6"/>
    <w:rsid w:val="0033536D"/>
    <w:rsid w:val="003353FF"/>
    <w:rsid w:val="003366D2"/>
    <w:rsid w:val="00337C79"/>
    <w:rsid w:val="00337FEF"/>
    <w:rsid w:val="0034084C"/>
    <w:rsid w:val="00340D5E"/>
    <w:rsid w:val="003420B5"/>
    <w:rsid w:val="00343646"/>
    <w:rsid w:val="00344CCB"/>
    <w:rsid w:val="00345897"/>
    <w:rsid w:val="00351BFC"/>
    <w:rsid w:val="0035575E"/>
    <w:rsid w:val="003565B4"/>
    <w:rsid w:val="00362E75"/>
    <w:rsid w:val="003631AA"/>
    <w:rsid w:val="003632D5"/>
    <w:rsid w:val="00363575"/>
    <w:rsid w:val="00364EF9"/>
    <w:rsid w:val="00367579"/>
    <w:rsid w:val="0036795B"/>
    <w:rsid w:val="00370A29"/>
    <w:rsid w:val="003722F9"/>
    <w:rsid w:val="00372349"/>
    <w:rsid w:val="00372CBC"/>
    <w:rsid w:val="00373A61"/>
    <w:rsid w:val="00374BDE"/>
    <w:rsid w:val="00376B39"/>
    <w:rsid w:val="003772C0"/>
    <w:rsid w:val="00377BAC"/>
    <w:rsid w:val="00380142"/>
    <w:rsid w:val="00380558"/>
    <w:rsid w:val="00381D3C"/>
    <w:rsid w:val="0038223E"/>
    <w:rsid w:val="00382D92"/>
    <w:rsid w:val="00385AEF"/>
    <w:rsid w:val="003860EA"/>
    <w:rsid w:val="0038781A"/>
    <w:rsid w:val="0039080B"/>
    <w:rsid w:val="0039326E"/>
    <w:rsid w:val="00394E22"/>
    <w:rsid w:val="003967A4"/>
    <w:rsid w:val="00397FA3"/>
    <w:rsid w:val="003A1596"/>
    <w:rsid w:val="003A317E"/>
    <w:rsid w:val="003A345B"/>
    <w:rsid w:val="003A49EE"/>
    <w:rsid w:val="003A674D"/>
    <w:rsid w:val="003A7123"/>
    <w:rsid w:val="003B102E"/>
    <w:rsid w:val="003B2167"/>
    <w:rsid w:val="003B5F5D"/>
    <w:rsid w:val="003B62C8"/>
    <w:rsid w:val="003C0C62"/>
    <w:rsid w:val="003C12DC"/>
    <w:rsid w:val="003C2CDA"/>
    <w:rsid w:val="003D000A"/>
    <w:rsid w:val="003D31E9"/>
    <w:rsid w:val="003D544E"/>
    <w:rsid w:val="003D5980"/>
    <w:rsid w:val="003E0842"/>
    <w:rsid w:val="003E13B0"/>
    <w:rsid w:val="003E2580"/>
    <w:rsid w:val="003E3DEE"/>
    <w:rsid w:val="003E3EBB"/>
    <w:rsid w:val="003E4A4C"/>
    <w:rsid w:val="003E4CBA"/>
    <w:rsid w:val="003E4D2F"/>
    <w:rsid w:val="003E4EDC"/>
    <w:rsid w:val="003E599D"/>
    <w:rsid w:val="003E5C81"/>
    <w:rsid w:val="003E6965"/>
    <w:rsid w:val="003F00E8"/>
    <w:rsid w:val="003F1936"/>
    <w:rsid w:val="003F1BDD"/>
    <w:rsid w:val="003F3BA3"/>
    <w:rsid w:val="003F3BD5"/>
    <w:rsid w:val="003F400E"/>
    <w:rsid w:val="003F6F35"/>
    <w:rsid w:val="003F7768"/>
    <w:rsid w:val="00400E8C"/>
    <w:rsid w:val="004017DC"/>
    <w:rsid w:val="00401B53"/>
    <w:rsid w:val="00402668"/>
    <w:rsid w:val="00404FEC"/>
    <w:rsid w:val="0040534D"/>
    <w:rsid w:val="00405FAD"/>
    <w:rsid w:val="004117AB"/>
    <w:rsid w:val="00412B2F"/>
    <w:rsid w:val="00415281"/>
    <w:rsid w:val="00415716"/>
    <w:rsid w:val="0041604D"/>
    <w:rsid w:val="00417842"/>
    <w:rsid w:val="00417A6E"/>
    <w:rsid w:val="00420CDF"/>
    <w:rsid w:val="0042285D"/>
    <w:rsid w:val="00427D2B"/>
    <w:rsid w:val="00430B13"/>
    <w:rsid w:val="00430CE5"/>
    <w:rsid w:val="0043153C"/>
    <w:rsid w:val="00431D0F"/>
    <w:rsid w:val="0043481C"/>
    <w:rsid w:val="00444307"/>
    <w:rsid w:val="0044436F"/>
    <w:rsid w:val="004443EB"/>
    <w:rsid w:val="00444432"/>
    <w:rsid w:val="00444673"/>
    <w:rsid w:val="0044621E"/>
    <w:rsid w:val="00447BF1"/>
    <w:rsid w:val="00450BA4"/>
    <w:rsid w:val="004511FC"/>
    <w:rsid w:val="00456784"/>
    <w:rsid w:val="00456DCA"/>
    <w:rsid w:val="00461140"/>
    <w:rsid w:val="004611DB"/>
    <w:rsid w:val="004658B0"/>
    <w:rsid w:val="0046614B"/>
    <w:rsid w:val="00467FD7"/>
    <w:rsid w:val="00470073"/>
    <w:rsid w:val="004730F8"/>
    <w:rsid w:val="00474353"/>
    <w:rsid w:val="00474555"/>
    <w:rsid w:val="004750F4"/>
    <w:rsid w:val="00476CB1"/>
    <w:rsid w:val="00480A48"/>
    <w:rsid w:val="00482501"/>
    <w:rsid w:val="00482E7D"/>
    <w:rsid w:val="00484395"/>
    <w:rsid w:val="004865FB"/>
    <w:rsid w:val="00486C03"/>
    <w:rsid w:val="00491AB3"/>
    <w:rsid w:val="00497A33"/>
    <w:rsid w:val="004A1112"/>
    <w:rsid w:val="004A1DA0"/>
    <w:rsid w:val="004A1F20"/>
    <w:rsid w:val="004A2393"/>
    <w:rsid w:val="004A3569"/>
    <w:rsid w:val="004A452A"/>
    <w:rsid w:val="004A5F2C"/>
    <w:rsid w:val="004A6E4F"/>
    <w:rsid w:val="004A720D"/>
    <w:rsid w:val="004B00D0"/>
    <w:rsid w:val="004B6084"/>
    <w:rsid w:val="004B7AE0"/>
    <w:rsid w:val="004C0BC4"/>
    <w:rsid w:val="004C260D"/>
    <w:rsid w:val="004C2D47"/>
    <w:rsid w:val="004C4357"/>
    <w:rsid w:val="004C4477"/>
    <w:rsid w:val="004C5730"/>
    <w:rsid w:val="004C6397"/>
    <w:rsid w:val="004C668F"/>
    <w:rsid w:val="004C682B"/>
    <w:rsid w:val="004D142C"/>
    <w:rsid w:val="004D29F7"/>
    <w:rsid w:val="004D36D8"/>
    <w:rsid w:val="004D4C5C"/>
    <w:rsid w:val="004D5AB0"/>
    <w:rsid w:val="004D5EAE"/>
    <w:rsid w:val="004D7A0E"/>
    <w:rsid w:val="004E06E7"/>
    <w:rsid w:val="004E0AE3"/>
    <w:rsid w:val="004E20D3"/>
    <w:rsid w:val="004E2C82"/>
    <w:rsid w:val="004E4FAE"/>
    <w:rsid w:val="004E62C7"/>
    <w:rsid w:val="004E68FF"/>
    <w:rsid w:val="004E7A1B"/>
    <w:rsid w:val="004F0B7F"/>
    <w:rsid w:val="004F1193"/>
    <w:rsid w:val="004F11DC"/>
    <w:rsid w:val="004F2124"/>
    <w:rsid w:val="004F271B"/>
    <w:rsid w:val="004F3A52"/>
    <w:rsid w:val="004F449F"/>
    <w:rsid w:val="004F4E7E"/>
    <w:rsid w:val="004F63AB"/>
    <w:rsid w:val="004F6B76"/>
    <w:rsid w:val="004F6C7C"/>
    <w:rsid w:val="004F7F1A"/>
    <w:rsid w:val="004F7FBB"/>
    <w:rsid w:val="005042B3"/>
    <w:rsid w:val="005045AB"/>
    <w:rsid w:val="00507D43"/>
    <w:rsid w:val="005103F2"/>
    <w:rsid w:val="00510E2C"/>
    <w:rsid w:val="00511FDC"/>
    <w:rsid w:val="005124C6"/>
    <w:rsid w:val="00513EBC"/>
    <w:rsid w:val="00514CE1"/>
    <w:rsid w:val="00517155"/>
    <w:rsid w:val="00517DB3"/>
    <w:rsid w:val="005200DC"/>
    <w:rsid w:val="005200F2"/>
    <w:rsid w:val="0052369D"/>
    <w:rsid w:val="005271DB"/>
    <w:rsid w:val="00530D2F"/>
    <w:rsid w:val="0053487C"/>
    <w:rsid w:val="005356E1"/>
    <w:rsid w:val="00536A8B"/>
    <w:rsid w:val="00540418"/>
    <w:rsid w:val="00541A96"/>
    <w:rsid w:val="00541C6A"/>
    <w:rsid w:val="00542C54"/>
    <w:rsid w:val="00546A43"/>
    <w:rsid w:val="00546C70"/>
    <w:rsid w:val="00547258"/>
    <w:rsid w:val="00550CF0"/>
    <w:rsid w:val="005559FE"/>
    <w:rsid w:val="005560D6"/>
    <w:rsid w:val="00556D07"/>
    <w:rsid w:val="005611F2"/>
    <w:rsid w:val="00561734"/>
    <w:rsid w:val="00561952"/>
    <w:rsid w:val="00564B9A"/>
    <w:rsid w:val="00565694"/>
    <w:rsid w:val="00566DD6"/>
    <w:rsid w:val="005714EF"/>
    <w:rsid w:val="005717D9"/>
    <w:rsid w:val="00571CEC"/>
    <w:rsid w:val="00572FCE"/>
    <w:rsid w:val="005750DB"/>
    <w:rsid w:val="005759FC"/>
    <w:rsid w:val="00575B85"/>
    <w:rsid w:val="00576DB9"/>
    <w:rsid w:val="0057738F"/>
    <w:rsid w:val="005805E4"/>
    <w:rsid w:val="0058202F"/>
    <w:rsid w:val="00584221"/>
    <w:rsid w:val="00584EB6"/>
    <w:rsid w:val="00586B68"/>
    <w:rsid w:val="0058774E"/>
    <w:rsid w:val="005878CF"/>
    <w:rsid w:val="00590CA0"/>
    <w:rsid w:val="00595B01"/>
    <w:rsid w:val="00596D98"/>
    <w:rsid w:val="005979A5"/>
    <w:rsid w:val="005A0021"/>
    <w:rsid w:val="005A017B"/>
    <w:rsid w:val="005A2AEC"/>
    <w:rsid w:val="005A412D"/>
    <w:rsid w:val="005A5212"/>
    <w:rsid w:val="005B002D"/>
    <w:rsid w:val="005B0FFF"/>
    <w:rsid w:val="005B19AF"/>
    <w:rsid w:val="005B258C"/>
    <w:rsid w:val="005B61DD"/>
    <w:rsid w:val="005B6735"/>
    <w:rsid w:val="005B7831"/>
    <w:rsid w:val="005C0CD6"/>
    <w:rsid w:val="005C12D9"/>
    <w:rsid w:val="005C2146"/>
    <w:rsid w:val="005C309D"/>
    <w:rsid w:val="005C544B"/>
    <w:rsid w:val="005C5916"/>
    <w:rsid w:val="005C5AEE"/>
    <w:rsid w:val="005C774A"/>
    <w:rsid w:val="005D3734"/>
    <w:rsid w:val="005D4F16"/>
    <w:rsid w:val="005D5A53"/>
    <w:rsid w:val="005D5DA0"/>
    <w:rsid w:val="005D7FBD"/>
    <w:rsid w:val="005E19B4"/>
    <w:rsid w:val="005E1D6B"/>
    <w:rsid w:val="005E227A"/>
    <w:rsid w:val="005E2CF8"/>
    <w:rsid w:val="005E3126"/>
    <w:rsid w:val="005E7075"/>
    <w:rsid w:val="005E75A7"/>
    <w:rsid w:val="005F38E2"/>
    <w:rsid w:val="005F3EE6"/>
    <w:rsid w:val="005F6736"/>
    <w:rsid w:val="00602C10"/>
    <w:rsid w:val="00602EBD"/>
    <w:rsid w:val="00604CF2"/>
    <w:rsid w:val="00606DFF"/>
    <w:rsid w:val="00606FB7"/>
    <w:rsid w:val="00610533"/>
    <w:rsid w:val="006110F6"/>
    <w:rsid w:val="00611FA1"/>
    <w:rsid w:val="00612522"/>
    <w:rsid w:val="00612DA6"/>
    <w:rsid w:val="0061365B"/>
    <w:rsid w:val="006138B6"/>
    <w:rsid w:val="00614BC6"/>
    <w:rsid w:val="00614E33"/>
    <w:rsid w:val="006158B8"/>
    <w:rsid w:val="0061706D"/>
    <w:rsid w:val="006173DA"/>
    <w:rsid w:val="00617EF9"/>
    <w:rsid w:val="00620295"/>
    <w:rsid w:val="00622F8E"/>
    <w:rsid w:val="00626AC8"/>
    <w:rsid w:val="00627912"/>
    <w:rsid w:val="0063195F"/>
    <w:rsid w:val="00636C0A"/>
    <w:rsid w:val="00637EC6"/>
    <w:rsid w:val="0064240C"/>
    <w:rsid w:val="00642FF5"/>
    <w:rsid w:val="006430FB"/>
    <w:rsid w:val="00643992"/>
    <w:rsid w:val="00644DBC"/>
    <w:rsid w:val="00646FE6"/>
    <w:rsid w:val="006474CD"/>
    <w:rsid w:val="00647744"/>
    <w:rsid w:val="006479A0"/>
    <w:rsid w:val="006500D9"/>
    <w:rsid w:val="00653B54"/>
    <w:rsid w:val="006541A3"/>
    <w:rsid w:val="00654FAD"/>
    <w:rsid w:val="00655C9F"/>
    <w:rsid w:val="006567FF"/>
    <w:rsid w:val="00656867"/>
    <w:rsid w:val="0066109F"/>
    <w:rsid w:val="00664B26"/>
    <w:rsid w:val="0066596B"/>
    <w:rsid w:val="00670295"/>
    <w:rsid w:val="006704F5"/>
    <w:rsid w:val="00672894"/>
    <w:rsid w:val="00674B47"/>
    <w:rsid w:val="0067609E"/>
    <w:rsid w:val="00676BE1"/>
    <w:rsid w:val="00677749"/>
    <w:rsid w:val="00680E07"/>
    <w:rsid w:val="00682B9D"/>
    <w:rsid w:val="00683806"/>
    <w:rsid w:val="00686AF9"/>
    <w:rsid w:val="006910C0"/>
    <w:rsid w:val="00691954"/>
    <w:rsid w:val="0069320E"/>
    <w:rsid w:val="00693D13"/>
    <w:rsid w:val="00694F58"/>
    <w:rsid w:val="006955BC"/>
    <w:rsid w:val="006959E2"/>
    <w:rsid w:val="00696920"/>
    <w:rsid w:val="00697EB9"/>
    <w:rsid w:val="006A20D4"/>
    <w:rsid w:val="006A268D"/>
    <w:rsid w:val="006A350F"/>
    <w:rsid w:val="006A3957"/>
    <w:rsid w:val="006A39A4"/>
    <w:rsid w:val="006A41D6"/>
    <w:rsid w:val="006A669D"/>
    <w:rsid w:val="006A6E41"/>
    <w:rsid w:val="006B012F"/>
    <w:rsid w:val="006B27CF"/>
    <w:rsid w:val="006B41BD"/>
    <w:rsid w:val="006B5678"/>
    <w:rsid w:val="006B62B2"/>
    <w:rsid w:val="006C1C57"/>
    <w:rsid w:val="006C5760"/>
    <w:rsid w:val="006C6D6F"/>
    <w:rsid w:val="006D0D78"/>
    <w:rsid w:val="006D1128"/>
    <w:rsid w:val="006D2848"/>
    <w:rsid w:val="006D30E0"/>
    <w:rsid w:val="006D5521"/>
    <w:rsid w:val="006D5FE9"/>
    <w:rsid w:val="006D6CBB"/>
    <w:rsid w:val="006D76A9"/>
    <w:rsid w:val="006D77F4"/>
    <w:rsid w:val="006E0898"/>
    <w:rsid w:val="006E41CD"/>
    <w:rsid w:val="006F3BEC"/>
    <w:rsid w:val="00703C00"/>
    <w:rsid w:val="007057CC"/>
    <w:rsid w:val="007066F2"/>
    <w:rsid w:val="00706AE5"/>
    <w:rsid w:val="0070740A"/>
    <w:rsid w:val="00711F93"/>
    <w:rsid w:val="00712940"/>
    <w:rsid w:val="0071428C"/>
    <w:rsid w:val="00715A16"/>
    <w:rsid w:val="007164B0"/>
    <w:rsid w:val="007166FF"/>
    <w:rsid w:val="007260CC"/>
    <w:rsid w:val="00726543"/>
    <w:rsid w:val="0073353E"/>
    <w:rsid w:val="00736633"/>
    <w:rsid w:val="00741EE7"/>
    <w:rsid w:val="00743A79"/>
    <w:rsid w:val="007444D4"/>
    <w:rsid w:val="0074594D"/>
    <w:rsid w:val="007459F3"/>
    <w:rsid w:val="00746E35"/>
    <w:rsid w:val="007470E2"/>
    <w:rsid w:val="0075232F"/>
    <w:rsid w:val="00753132"/>
    <w:rsid w:val="007550B3"/>
    <w:rsid w:val="00760451"/>
    <w:rsid w:val="0077182A"/>
    <w:rsid w:val="00771913"/>
    <w:rsid w:val="00772718"/>
    <w:rsid w:val="00775BCF"/>
    <w:rsid w:val="007818AA"/>
    <w:rsid w:val="00783140"/>
    <w:rsid w:val="007838B6"/>
    <w:rsid w:val="00783E77"/>
    <w:rsid w:val="007906F1"/>
    <w:rsid w:val="0079243D"/>
    <w:rsid w:val="00794A9B"/>
    <w:rsid w:val="0079583B"/>
    <w:rsid w:val="00796602"/>
    <w:rsid w:val="00797185"/>
    <w:rsid w:val="007976B7"/>
    <w:rsid w:val="00797A7E"/>
    <w:rsid w:val="00797D6F"/>
    <w:rsid w:val="007B014B"/>
    <w:rsid w:val="007B0D88"/>
    <w:rsid w:val="007B306F"/>
    <w:rsid w:val="007B4714"/>
    <w:rsid w:val="007B4E82"/>
    <w:rsid w:val="007C1996"/>
    <w:rsid w:val="007C3773"/>
    <w:rsid w:val="007C3F1F"/>
    <w:rsid w:val="007D2D0D"/>
    <w:rsid w:val="007D3325"/>
    <w:rsid w:val="007D3818"/>
    <w:rsid w:val="007D6DC5"/>
    <w:rsid w:val="007D7425"/>
    <w:rsid w:val="007E320E"/>
    <w:rsid w:val="007E3280"/>
    <w:rsid w:val="007E4A02"/>
    <w:rsid w:val="007E595C"/>
    <w:rsid w:val="007E59A5"/>
    <w:rsid w:val="007F3B8C"/>
    <w:rsid w:val="007F41D0"/>
    <w:rsid w:val="007F4B8B"/>
    <w:rsid w:val="007F5957"/>
    <w:rsid w:val="007F70B6"/>
    <w:rsid w:val="007F74CA"/>
    <w:rsid w:val="00800F1E"/>
    <w:rsid w:val="0080195A"/>
    <w:rsid w:val="0080239C"/>
    <w:rsid w:val="00802841"/>
    <w:rsid w:val="008037D5"/>
    <w:rsid w:val="00805447"/>
    <w:rsid w:val="008054FA"/>
    <w:rsid w:val="0080717A"/>
    <w:rsid w:val="00807DFA"/>
    <w:rsid w:val="0081009F"/>
    <w:rsid w:val="00810152"/>
    <w:rsid w:val="008115AB"/>
    <w:rsid w:val="00812D2C"/>
    <w:rsid w:val="008159F4"/>
    <w:rsid w:val="008167C1"/>
    <w:rsid w:val="008167C6"/>
    <w:rsid w:val="00816B8F"/>
    <w:rsid w:val="00820331"/>
    <w:rsid w:val="00820BF5"/>
    <w:rsid w:val="008212B1"/>
    <w:rsid w:val="0082155A"/>
    <w:rsid w:val="0082209F"/>
    <w:rsid w:val="008223C2"/>
    <w:rsid w:val="008250A2"/>
    <w:rsid w:val="00825D64"/>
    <w:rsid w:val="0082650B"/>
    <w:rsid w:val="008301CE"/>
    <w:rsid w:val="008312E3"/>
    <w:rsid w:val="00831D5B"/>
    <w:rsid w:val="00832DD6"/>
    <w:rsid w:val="00832F0C"/>
    <w:rsid w:val="008336F2"/>
    <w:rsid w:val="008345D9"/>
    <w:rsid w:val="008347CB"/>
    <w:rsid w:val="00835647"/>
    <w:rsid w:val="00837A2E"/>
    <w:rsid w:val="00841558"/>
    <w:rsid w:val="00842A68"/>
    <w:rsid w:val="008435BA"/>
    <w:rsid w:val="0084558B"/>
    <w:rsid w:val="0084654A"/>
    <w:rsid w:val="00847654"/>
    <w:rsid w:val="00851064"/>
    <w:rsid w:val="00855543"/>
    <w:rsid w:val="008566B3"/>
    <w:rsid w:val="008576B7"/>
    <w:rsid w:val="00857F7B"/>
    <w:rsid w:val="00863DA1"/>
    <w:rsid w:val="008654A6"/>
    <w:rsid w:val="00865D86"/>
    <w:rsid w:val="00870495"/>
    <w:rsid w:val="00870EA1"/>
    <w:rsid w:val="008710C5"/>
    <w:rsid w:val="00874438"/>
    <w:rsid w:val="00874E75"/>
    <w:rsid w:val="008767F3"/>
    <w:rsid w:val="00876CEF"/>
    <w:rsid w:val="00877342"/>
    <w:rsid w:val="008803C3"/>
    <w:rsid w:val="00881450"/>
    <w:rsid w:val="008817C7"/>
    <w:rsid w:val="00881875"/>
    <w:rsid w:val="008848A3"/>
    <w:rsid w:val="00884AF1"/>
    <w:rsid w:val="00885F7A"/>
    <w:rsid w:val="00890712"/>
    <w:rsid w:val="00890D81"/>
    <w:rsid w:val="00892955"/>
    <w:rsid w:val="00893628"/>
    <w:rsid w:val="008941EB"/>
    <w:rsid w:val="0089545A"/>
    <w:rsid w:val="00895A02"/>
    <w:rsid w:val="008A01EE"/>
    <w:rsid w:val="008A0DAC"/>
    <w:rsid w:val="008A3B78"/>
    <w:rsid w:val="008A4166"/>
    <w:rsid w:val="008A7DBF"/>
    <w:rsid w:val="008B136C"/>
    <w:rsid w:val="008B55EF"/>
    <w:rsid w:val="008B6910"/>
    <w:rsid w:val="008C0B5C"/>
    <w:rsid w:val="008C1343"/>
    <w:rsid w:val="008C3912"/>
    <w:rsid w:val="008C5598"/>
    <w:rsid w:val="008C69EA"/>
    <w:rsid w:val="008C6F8B"/>
    <w:rsid w:val="008C7AB7"/>
    <w:rsid w:val="008C7FB4"/>
    <w:rsid w:val="008D2C8C"/>
    <w:rsid w:val="008D3040"/>
    <w:rsid w:val="008D3ECD"/>
    <w:rsid w:val="008D5C03"/>
    <w:rsid w:val="008D7580"/>
    <w:rsid w:val="008D7C35"/>
    <w:rsid w:val="008E5698"/>
    <w:rsid w:val="008E5733"/>
    <w:rsid w:val="008E77D2"/>
    <w:rsid w:val="008E78FD"/>
    <w:rsid w:val="008F199D"/>
    <w:rsid w:val="008F38A0"/>
    <w:rsid w:val="008F39C9"/>
    <w:rsid w:val="008F5EB5"/>
    <w:rsid w:val="008F678C"/>
    <w:rsid w:val="008F75A7"/>
    <w:rsid w:val="008F7E5A"/>
    <w:rsid w:val="00900A7F"/>
    <w:rsid w:val="009036EE"/>
    <w:rsid w:val="00905815"/>
    <w:rsid w:val="00905D1D"/>
    <w:rsid w:val="0091016D"/>
    <w:rsid w:val="009108A7"/>
    <w:rsid w:val="00910C98"/>
    <w:rsid w:val="00911910"/>
    <w:rsid w:val="00912A58"/>
    <w:rsid w:val="00913908"/>
    <w:rsid w:val="00913D26"/>
    <w:rsid w:val="0091438B"/>
    <w:rsid w:val="009147E3"/>
    <w:rsid w:val="00920FD2"/>
    <w:rsid w:val="00923A43"/>
    <w:rsid w:val="0092439C"/>
    <w:rsid w:val="0092498E"/>
    <w:rsid w:val="00925B91"/>
    <w:rsid w:val="00934461"/>
    <w:rsid w:val="00934F7E"/>
    <w:rsid w:val="00936A1C"/>
    <w:rsid w:val="00943E35"/>
    <w:rsid w:val="00945278"/>
    <w:rsid w:val="0094658D"/>
    <w:rsid w:val="00947678"/>
    <w:rsid w:val="00947878"/>
    <w:rsid w:val="009504C2"/>
    <w:rsid w:val="0095254A"/>
    <w:rsid w:val="0095273B"/>
    <w:rsid w:val="009559E1"/>
    <w:rsid w:val="009568D5"/>
    <w:rsid w:val="00957CD3"/>
    <w:rsid w:val="0096269B"/>
    <w:rsid w:val="00963FB0"/>
    <w:rsid w:val="00964C86"/>
    <w:rsid w:val="00965E82"/>
    <w:rsid w:val="009664BB"/>
    <w:rsid w:val="009669F8"/>
    <w:rsid w:val="00966F89"/>
    <w:rsid w:val="00973B5D"/>
    <w:rsid w:val="0097755E"/>
    <w:rsid w:val="00981467"/>
    <w:rsid w:val="00981C24"/>
    <w:rsid w:val="009852F6"/>
    <w:rsid w:val="00985DE5"/>
    <w:rsid w:val="00986254"/>
    <w:rsid w:val="0098729E"/>
    <w:rsid w:val="00990067"/>
    <w:rsid w:val="00992977"/>
    <w:rsid w:val="009937D4"/>
    <w:rsid w:val="00993C78"/>
    <w:rsid w:val="009948C7"/>
    <w:rsid w:val="00995850"/>
    <w:rsid w:val="0099796C"/>
    <w:rsid w:val="009A194E"/>
    <w:rsid w:val="009A1EA2"/>
    <w:rsid w:val="009A209E"/>
    <w:rsid w:val="009A3FD7"/>
    <w:rsid w:val="009A6652"/>
    <w:rsid w:val="009A74FD"/>
    <w:rsid w:val="009B25D8"/>
    <w:rsid w:val="009B42E3"/>
    <w:rsid w:val="009B5859"/>
    <w:rsid w:val="009C6D07"/>
    <w:rsid w:val="009C7CEC"/>
    <w:rsid w:val="009D154D"/>
    <w:rsid w:val="009D18EF"/>
    <w:rsid w:val="009D3BE8"/>
    <w:rsid w:val="009D44E0"/>
    <w:rsid w:val="009D573B"/>
    <w:rsid w:val="009D59A0"/>
    <w:rsid w:val="009D716A"/>
    <w:rsid w:val="009E1AC4"/>
    <w:rsid w:val="009E20B8"/>
    <w:rsid w:val="009E29A0"/>
    <w:rsid w:val="009E41B5"/>
    <w:rsid w:val="009E55D7"/>
    <w:rsid w:val="009E627C"/>
    <w:rsid w:val="009F110B"/>
    <w:rsid w:val="009F1498"/>
    <w:rsid w:val="009F1E9F"/>
    <w:rsid w:val="009F3793"/>
    <w:rsid w:val="009F54F2"/>
    <w:rsid w:val="00A0056B"/>
    <w:rsid w:val="00A01657"/>
    <w:rsid w:val="00A01C65"/>
    <w:rsid w:val="00A0213D"/>
    <w:rsid w:val="00A04C73"/>
    <w:rsid w:val="00A0679A"/>
    <w:rsid w:val="00A07A2B"/>
    <w:rsid w:val="00A12375"/>
    <w:rsid w:val="00A125B8"/>
    <w:rsid w:val="00A13124"/>
    <w:rsid w:val="00A15370"/>
    <w:rsid w:val="00A156AB"/>
    <w:rsid w:val="00A16B8D"/>
    <w:rsid w:val="00A21293"/>
    <w:rsid w:val="00A2134B"/>
    <w:rsid w:val="00A21623"/>
    <w:rsid w:val="00A220EB"/>
    <w:rsid w:val="00A22302"/>
    <w:rsid w:val="00A25F1B"/>
    <w:rsid w:val="00A325F3"/>
    <w:rsid w:val="00A33103"/>
    <w:rsid w:val="00A33294"/>
    <w:rsid w:val="00A35DCB"/>
    <w:rsid w:val="00A3690E"/>
    <w:rsid w:val="00A37751"/>
    <w:rsid w:val="00A406B1"/>
    <w:rsid w:val="00A4113E"/>
    <w:rsid w:val="00A42435"/>
    <w:rsid w:val="00A438BA"/>
    <w:rsid w:val="00A446FD"/>
    <w:rsid w:val="00A46F46"/>
    <w:rsid w:val="00A52CB6"/>
    <w:rsid w:val="00A52F99"/>
    <w:rsid w:val="00A538BB"/>
    <w:rsid w:val="00A54164"/>
    <w:rsid w:val="00A56737"/>
    <w:rsid w:val="00A60002"/>
    <w:rsid w:val="00A603D8"/>
    <w:rsid w:val="00A60AE2"/>
    <w:rsid w:val="00A61834"/>
    <w:rsid w:val="00A618B0"/>
    <w:rsid w:val="00A62790"/>
    <w:rsid w:val="00A6291F"/>
    <w:rsid w:val="00A63F53"/>
    <w:rsid w:val="00A7111E"/>
    <w:rsid w:val="00A755B6"/>
    <w:rsid w:val="00A75B1A"/>
    <w:rsid w:val="00A80ED4"/>
    <w:rsid w:val="00A816C4"/>
    <w:rsid w:val="00A82981"/>
    <w:rsid w:val="00A86F10"/>
    <w:rsid w:val="00A87AF2"/>
    <w:rsid w:val="00A90B23"/>
    <w:rsid w:val="00A93193"/>
    <w:rsid w:val="00A93C2B"/>
    <w:rsid w:val="00A94556"/>
    <w:rsid w:val="00A974CB"/>
    <w:rsid w:val="00AA1EAC"/>
    <w:rsid w:val="00AA45E2"/>
    <w:rsid w:val="00AA7AC1"/>
    <w:rsid w:val="00AB6327"/>
    <w:rsid w:val="00AB6B8F"/>
    <w:rsid w:val="00AC0C65"/>
    <w:rsid w:val="00AC0FB2"/>
    <w:rsid w:val="00AC3721"/>
    <w:rsid w:val="00AC41C6"/>
    <w:rsid w:val="00AC70C7"/>
    <w:rsid w:val="00AC76B7"/>
    <w:rsid w:val="00AD0223"/>
    <w:rsid w:val="00AD123A"/>
    <w:rsid w:val="00AD15FF"/>
    <w:rsid w:val="00AD1AA5"/>
    <w:rsid w:val="00AD2920"/>
    <w:rsid w:val="00AD2CD5"/>
    <w:rsid w:val="00AD2DFC"/>
    <w:rsid w:val="00AD38C4"/>
    <w:rsid w:val="00AD5A4A"/>
    <w:rsid w:val="00AD60EE"/>
    <w:rsid w:val="00AD6A2B"/>
    <w:rsid w:val="00AD73D4"/>
    <w:rsid w:val="00AE1EA2"/>
    <w:rsid w:val="00AE2874"/>
    <w:rsid w:val="00AE2BA2"/>
    <w:rsid w:val="00AE2F98"/>
    <w:rsid w:val="00AE3602"/>
    <w:rsid w:val="00AE5342"/>
    <w:rsid w:val="00AE5987"/>
    <w:rsid w:val="00AE6472"/>
    <w:rsid w:val="00AF1345"/>
    <w:rsid w:val="00AF38A8"/>
    <w:rsid w:val="00AF63EB"/>
    <w:rsid w:val="00B016D2"/>
    <w:rsid w:val="00B018EC"/>
    <w:rsid w:val="00B060C7"/>
    <w:rsid w:val="00B11AB7"/>
    <w:rsid w:val="00B12213"/>
    <w:rsid w:val="00B13710"/>
    <w:rsid w:val="00B22881"/>
    <w:rsid w:val="00B23EFC"/>
    <w:rsid w:val="00B24B72"/>
    <w:rsid w:val="00B25DB8"/>
    <w:rsid w:val="00B2656C"/>
    <w:rsid w:val="00B266E6"/>
    <w:rsid w:val="00B3094D"/>
    <w:rsid w:val="00B30B04"/>
    <w:rsid w:val="00B311BC"/>
    <w:rsid w:val="00B31810"/>
    <w:rsid w:val="00B31C10"/>
    <w:rsid w:val="00B3446D"/>
    <w:rsid w:val="00B34652"/>
    <w:rsid w:val="00B34F89"/>
    <w:rsid w:val="00B358C8"/>
    <w:rsid w:val="00B36185"/>
    <w:rsid w:val="00B3662F"/>
    <w:rsid w:val="00B373CD"/>
    <w:rsid w:val="00B377C8"/>
    <w:rsid w:val="00B400B8"/>
    <w:rsid w:val="00B404DE"/>
    <w:rsid w:val="00B40765"/>
    <w:rsid w:val="00B4232D"/>
    <w:rsid w:val="00B42682"/>
    <w:rsid w:val="00B43065"/>
    <w:rsid w:val="00B44784"/>
    <w:rsid w:val="00B449D0"/>
    <w:rsid w:val="00B456AB"/>
    <w:rsid w:val="00B46C2A"/>
    <w:rsid w:val="00B47E8B"/>
    <w:rsid w:val="00B51C67"/>
    <w:rsid w:val="00B53F86"/>
    <w:rsid w:val="00B53FDC"/>
    <w:rsid w:val="00B55431"/>
    <w:rsid w:val="00B55CAE"/>
    <w:rsid w:val="00B576C6"/>
    <w:rsid w:val="00B615F2"/>
    <w:rsid w:val="00B61A28"/>
    <w:rsid w:val="00B65C6D"/>
    <w:rsid w:val="00B66B06"/>
    <w:rsid w:val="00B67862"/>
    <w:rsid w:val="00B70634"/>
    <w:rsid w:val="00B70BE4"/>
    <w:rsid w:val="00B73880"/>
    <w:rsid w:val="00B73CF1"/>
    <w:rsid w:val="00B745B3"/>
    <w:rsid w:val="00B7599D"/>
    <w:rsid w:val="00B7648F"/>
    <w:rsid w:val="00B76E13"/>
    <w:rsid w:val="00B771EE"/>
    <w:rsid w:val="00B7765B"/>
    <w:rsid w:val="00B77B4B"/>
    <w:rsid w:val="00B80ABC"/>
    <w:rsid w:val="00B814C2"/>
    <w:rsid w:val="00B900FE"/>
    <w:rsid w:val="00B9064C"/>
    <w:rsid w:val="00BA0A14"/>
    <w:rsid w:val="00BA228D"/>
    <w:rsid w:val="00BA398D"/>
    <w:rsid w:val="00BA39D3"/>
    <w:rsid w:val="00BA5C56"/>
    <w:rsid w:val="00BA776F"/>
    <w:rsid w:val="00BB0C0D"/>
    <w:rsid w:val="00BB0D69"/>
    <w:rsid w:val="00BB366E"/>
    <w:rsid w:val="00BB3AF0"/>
    <w:rsid w:val="00BB4F70"/>
    <w:rsid w:val="00BB67FF"/>
    <w:rsid w:val="00BC11B9"/>
    <w:rsid w:val="00BC138C"/>
    <w:rsid w:val="00BC14CF"/>
    <w:rsid w:val="00BC1659"/>
    <w:rsid w:val="00BC2C91"/>
    <w:rsid w:val="00BC3A9C"/>
    <w:rsid w:val="00BC5288"/>
    <w:rsid w:val="00BC6A71"/>
    <w:rsid w:val="00BC6B2F"/>
    <w:rsid w:val="00BD0637"/>
    <w:rsid w:val="00BD08A8"/>
    <w:rsid w:val="00BD1BAC"/>
    <w:rsid w:val="00BD1FA8"/>
    <w:rsid w:val="00BD25A6"/>
    <w:rsid w:val="00BD4C95"/>
    <w:rsid w:val="00BD65FC"/>
    <w:rsid w:val="00BD7660"/>
    <w:rsid w:val="00BE0666"/>
    <w:rsid w:val="00BE24B9"/>
    <w:rsid w:val="00BE2AE8"/>
    <w:rsid w:val="00BE2D55"/>
    <w:rsid w:val="00BE38DD"/>
    <w:rsid w:val="00BE4AB1"/>
    <w:rsid w:val="00BF16C3"/>
    <w:rsid w:val="00BF38E0"/>
    <w:rsid w:val="00BF44FA"/>
    <w:rsid w:val="00BF57E1"/>
    <w:rsid w:val="00C003B4"/>
    <w:rsid w:val="00C00A5F"/>
    <w:rsid w:val="00C042E0"/>
    <w:rsid w:val="00C051D9"/>
    <w:rsid w:val="00C06333"/>
    <w:rsid w:val="00C06F68"/>
    <w:rsid w:val="00C075BA"/>
    <w:rsid w:val="00C10A3A"/>
    <w:rsid w:val="00C11E20"/>
    <w:rsid w:val="00C15D16"/>
    <w:rsid w:val="00C20015"/>
    <w:rsid w:val="00C247DD"/>
    <w:rsid w:val="00C25B43"/>
    <w:rsid w:val="00C26A54"/>
    <w:rsid w:val="00C3261C"/>
    <w:rsid w:val="00C3318B"/>
    <w:rsid w:val="00C33C20"/>
    <w:rsid w:val="00C35362"/>
    <w:rsid w:val="00C357EA"/>
    <w:rsid w:val="00C379F8"/>
    <w:rsid w:val="00C37A1C"/>
    <w:rsid w:val="00C42323"/>
    <w:rsid w:val="00C4316E"/>
    <w:rsid w:val="00C453A9"/>
    <w:rsid w:val="00C465D5"/>
    <w:rsid w:val="00C4756A"/>
    <w:rsid w:val="00C47C39"/>
    <w:rsid w:val="00C50649"/>
    <w:rsid w:val="00C50E1F"/>
    <w:rsid w:val="00C51C09"/>
    <w:rsid w:val="00C52BB6"/>
    <w:rsid w:val="00C53471"/>
    <w:rsid w:val="00C55143"/>
    <w:rsid w:val="00C5611B"/>
    <w:rsid w:val="00C5695E"/>
    <w:rsid w:val="00C61528"/>
    <w:rsid w:val="00C63457"/>
    <w:rsid w:val="00C64964"/>
    <w:rsid w:val="00C6631E"/>
    <w:rsid w:val="00C67473"/>
    <w:rsid w:val="00C67AA4"/>
    <w:rsid w:val="00C7148C"/>
    <w:rsid w:val="00C72192"/>
    <w:rsid w:val="00C732E5"/>
    <w:rsid w:val="00C73D0B"/>
    <w:rsid w:val="00C75017"/>
    <w:rsid w:val="00C765B4"/>
    <w:rsid w:val="00C813EA"/>
    <w:rsid w:val="00C81496"/>
    <w:rsid w:val="00C82CE6"/>
    <w:rsid w:val="00C82E22"/>
    <w:rsid w:val="00C85144"/>
    <w:rsid w:val="00C86738"/>
    <w:rsid w:val="00C86A27"/>
    <w:rsid w:val="00C91517"/>
    <w:rsid w:val="00C929BD"/>
    <w:rsid w:val="00C931A2"/>
    <w:rsid w:val="00CA02E1"/>
    <w:rsid w:val="00CA15DA"/>
    <w:rsid w:val="00CA224E"/>
    <w:rsid w:val="00CA41C5"/>
    <w:rsid w:val="00CA42B7"/>
    <w:rsid w:val="00CA4A53"/>
    <w:rsid w:val="00CA51F5"/>
    <w:rsid w:val="00CB218A"/>
    <w:rsid w:val="00CB225A"/>
    <w:rsid w:val="00CB69E6"/>
    <w:rsid w:val="00CB761B"/>
    <w:rsid w:val="00CB7E33"/>
    <w:rsid w:val="00CC13DF"/>
    <w:rsid w:val="00CC1EEE"/>
    <w:rsid w:val="00CC562B"/>
    <w:rsid w:val="00CC6C15"/>
    <w:rsid w:val="00CC7FCF"/>
    <w:rsid w:val="00CD2749"/>
    <w:rsid w:val="00CD2A60"/>
    <w:rsid w:val="00CD306F"/>
    <w:rsid w:val="00CD3971"/>
    <w:rsid w:val="00CD3DAB"/>
    <w:rsid w:val="00CE0DF1"/>
    <w:rsid w:val="00CE3786"/>
    <w:rsid w:val="00CE4027"/>
    <w:rsid w:val="00CE47CC"/>
    <w:rsid w:val="00CE68F6"/>
    <w:rsid w:val="00CE7E27"/>
    <w:rsid w:val="00CF22AC"/>
    <w:rsid w:val="00CF2F0A"/>
    <w:rsid w:val="00CF79E8"/>
    <w:rsid w:val="00D015AA"/>
    <w:rsid w:val="00D021B8"/>
    <w:rsid w:val="00D03D90"/>
    <w:rsid w:val="00D04024"/>
    <w:rsid w:val="00D043EB"/>
    <w:rsid w:val="00D06705"/>
    <w:rsid w:val="00D06A9B"/>
    <w:rsid w:val="00D0750D"/>
    <w:rsid w:val="00D07DD8"/>
    <w:rsid w:val="00D1038F"/>
    <w:rsid w:val="00D10BF7"/>
    <w:rsid w:val="00D10FEB"/>
    <w:rsid w:val="00D140A0"/>
    <w:rsid w:val="00D203D1"/>
    <w:rsid w:val="00D2057A"/>
    <w:rsid w:val="00D21D98"/>
    <w:rsid w:val="00D2317F"/>
    <w:rsid w:val="00D231A9"/>
    <w:rsid w:val="00D24391"/>
    <w:rsid w:val="00D2472B"/>
    <w:rsid w:val="00D253DD"/>
    <w:rsid w:val="00D26FFA"/>
    <w:rsid w:val="00D3215D"/>
    <w:rsid w:val="00D33352"/>
    <w:rsid w:val="00D347D9"/>
    <w:rsid w:val="00D35565"/>
    <w:rsid w:val="00D36A19"/>
    <w:rsid w:val="00D40DCF"/>
    <w:rsid w:val="00D41075"/>
    <w:rsid w:val="00D41C76"/>
    <w:rsid w:val="00D41DD8"/>
    <w:rsid w:val="00D4222C"/>
    <w:rsid w:val="00D425CE"/>
    <w:rsid w:val="00D42F40"/>
    <w:rsid w:val="00D4396C"/>
    <w:rsid w:val="00D4446F"/>
    <w:rsid w:val="00D44B55"/>
    <w:rsid w:val="00D45490"/>
    <w:rsid w:val="00D457B8"/>
    <w:rsid w:val="00D457E1"/>
    <w:rsid w:val="00D47BEB"/>
    <w:rsid w:val="00D50487"/>
    <w:rsid w:val="00D50563"/>
    <w:rsid w:val="00D50F50"/>
    <w:rsid w:val="00D5235F"/>
    <w:rsid w:val="00D52F50"/>
    <w:rsid w:val="00D55A98"/>
    <w:rsid w:val="00D56B49"/>
    <w:rsid w:val="00D6053F"/>
    <w:rsid w:val="00D6073D"/>
    <w:rsid w:val="00D618D6"/>
    <w:rsid w:val="00D62426"/>
    <w:rsid w:val="00D62804"/>
    <w:rsid w:val="00D70F55"/>
    <w:rsid w:val="00D70FA5"/>
    <w:rsid w:val="00D74171"/>
    <w:rsid w:val="00D7474C"/>
    <w:rsid w:val="00D8032C"/>
    <w:rsid w:val="00D80CE2"/>
    <w:rsid w:val="00D83080"/>
    <w:rsid w:val="00D83E66"/>
    <w:rsid w:val="00D84D5F"/>
    <w:rsid w:val="00D851E2"/>
    <w:rsid w:val="00D87FFA"/>
    <w:rsid w:val="00D91419"/>
    <w:rsid w:val="00D92A09"/>
    <w:rsid w:val="00D92D2A"/>
    <w:rsid w:val="00D92EEC"/>
    <w:rsid w:val="00D93470"/>
    <w:rsid w:val="00D9395F"/>
    <w:rsid w:val="00D93D55"/>
    <w:rsid w:val="00D941FA"/>
    <w:rsid w:val="00D94B59"/>
    <w:rsid w:val="00D95315"/>
    <w:rsid w:val="00D95EAB"/>
    <w:rsid w:val="00DA0B39"/>
    <w:rsid w:val="00DA1203"/>
    <w:rsid w:val="00DA2316"/>
    <w:rsid w:val="00DA25E0"/>
    <w:rsid w:val="00DA2700"/>
    <w:rsid w:val="00DA3001"/>
    <w:rsid w:val="00DA3C5D"/>
    <w:rsid w:val="00DA3EFF"/>
    <w:rsid w:val="00DA7769"/>
    <w:rsid w:val="00DB08C6"/>
    <w:rsid w:val="00DB1BC2"/>
    <w:rsid w:val="00DB1CBB"/>
    <w:rsid w:val="00DB31ED"/>
    <w:rsid w:val="00DB4124"/>
    <w:rsid w:val="00DB4511"/>
    <w:rsid w:val="00DB4F0C"/>
    <w:rsid w:val="00DC0176"/>
    <w:rsid w:val="00DC043F"/>
    <w:rsid w:val="00DC093E"/>
    <w:rsid w:val="00DC0E29"/>
    <w:rsid w:val="00DC0E7A"/>
    <w:rsid w:val="00DC2A65"/>
    <w:rsid w:val="00DC2A86"/>
    <w:rsid w:val="00DC3631"/>
    <w:rsid w:val="00DC37F7"/>
    <w:rsid w:val="00DC6F54"/>
    <w:rsid w:val="00DD0C00"/>
    <w:rsid w:val="00DD0F8C"/>
    <w:rsid w:val="00DD116C"/>
    <w:rsid w:val="00DD23D5"/>
    <w:rsid w:val="00DD2AF1"/>
    <w:rsid w:val="00DD46DA"/>
    <w:rsid w:val="00DD6072"/>
    <w:rsid w:val="00DD62BE"/>
    <w:rsid w:val="00DD77D9"/>
    <w:rsid w:val="00DD7CA4"/>
    <w:rsid w:val="00DE167C"/>
    <w:rsid w:val="00DE3B70"/>
    <w:rsid w:val="00DE5813"/>
    <w:rsid w:val="00DF10B1"/>
    <w:rsid w:val="00DF1FDA"/>
    <w:rsid w:val="00DF3DD0"/>
    <w:rsid w:val="00DF4D50"/>
    <w:rsid w:val="00DF538C"/>
    <w:rsid w:val="00E021C2"/>
    <w:rsid w:val="00E024A3"/>
    <w:rsid w:val="00E0423D"/>
    <w:rsid w:val="00E057B5"/>
    <w:rsid w:val="00E0581E"/>
    <w:rsid w:val="00E079C5"/>
    <w:rsid w:val="00E07CBD"/>
    <w:rsid w:val="00E07F56"/>
    <w:rsid w:val="00E10A16"/>
    <w:rsid w:val="00E1112F"/>
    <w:rsid w:val="00E1318F"/>
    <w:rsid w:val="00E13B3B"/>
    <w:rsid w:val="00E13E29"/>
    <w:rsid w:val="00E16857"/>
    <w:rsid w:val="00E16C3A"/>
    <w:rsid w:val="00E20651"/>
    <w:rsid w:val="00E2107C"/>
    <w:rsid w:val="00E21E70"/>
    <w:rsid w:val="00E224DE"/>
    <w:rsid w:val="00E23DCE"/>
    <w:rsid w:val="00E26363"/>
    <w:rsid w:val="00E272A4"/>
    <w:rsid w:val="00E305F9"/>
    <w:rsid w:val="00E306AC"/>
    <w:rsid w:val="00E34446"/>
    <w:rsid w:val="00E3633B"/>
    <w:rsid w:val="00E36870"/>
    <w:rsid w:val="00E374E1"/>
    <w:rsid w:val="00E417AB"/>
    <w:rsid w:val="00E43D48"/>
    <w:rsid w:val="00E4542D"/>
    <w:rsid w:val="00E45BE0"/>
    <w:rsid w:val="00E46CAD"/>
    <w:rsid w:val="00E47521"/>
    <w:rsid w:val="00E4760C"/>
    <w:rsid w:val="00E507A6"/>
    <w:rsid w:val="00E5375C"/>
    <w:rsid w:val="00E561AD"/>
    <w:rsid w:val="00E57FAF"/>
    <w:rsid w:val="00E60BA9"/>
    <w:rsid w:val="00E63510"/>
    <w:rsid w:val="00E635EA"/>
    <w:rsid w:val="00E655E5"/>
    <w:rsid w:val="00E65F4E"/>
    <w:rsid w:val="00E662E0"/>
    <w:rsid w:val="00E67D5D"/>
    <w:rsid w:val="00E71C7A"/>
    <w:rsid w:val="00E73119"/>
    <w:rsid w:val="00E73E1E"/>
    <w:rsid w:val="00E767FF"/>
    <w:rsid w:val="00E84C91"/>
    <w:rsid w:val="00E84E60"/>
    <w:rsid w:val="00E8556E"/>
    <w:rsid w:val="00E86B2D"/>
    <w:rsid w:val="00E86F4D"/>
    <w:rsid w:val="00E87D08"/>
    <w:rsid w:val="00E90D0E"/>
    <w:rsid w:val="00E91B2D"/>
    <w:rsid w:val="00E92FCA"/>
    <w:rsid w:val="00E95CAA"/>
    <w:rsid w:val="00EA0A39"/>
    <w:rsid w:val="00EA0EB2"/>
    <w:rsid w:val="00EA236F"/>
    <w:rsid w:val="00EA3023"/>
    <w:rsid w:val="00EA3E49"/>
    <w:rsid w:val="00EA3FC8"/>
    <w:rsid w:val="00EA5B8C"/>
    <w:rsid w:val="00EB0DC9"/>
    <w:rsid w:val="00EB1383"/>
    <w:rsid w:val="00EB252D"/>
    <w:rsid w:val="00EB29FA"/>
    <w:rsid w:val="00EB2CCE"/>
    <w:rsid w:val="00EB385F"/>
    <w:rsid w:val="00EB3E49"/>
    <w:rsid w:val="00EB5FC3"/>
    <w:rsid w:val="00EB6DA9"/>
    <w:rsid w:val="00EC1561"/>
    <w:rsid w:val="00EC462E"/>
    <w:rsid w:val="00EC6CD8"/>
    <w:rsid w:val="00EC786F"/>
    <w:rsid w:val="00ED1866"/>
    <w:rsid w:val="00ED3134"/>
    <w:rsid w:val="00ED38E2"/>
    <w:rsid w:val="00ED5C44"/>
    <w:rsid w:val="00ED635B"/>
    <w:rsid w:val="00EE742D"/>
    <w:rsid w:val="00EF0A22"/>
    <w:rsid w:val="00EF1267"/>
    <w:rsid w:val="00EF180C"/>
    <w:rsid w:val="00EF3B6B"/>
    <w:rsid w:val="00EF4B43"/>
    <w:rsid w:val="00EF6750"/>
    <w:rsid w:val="00EF770B"/>
    <w:rsid w:val="00F02836"/>
    <w:rsid w:val="00F02FB5"/>
    <w:rsid w:val="00F0534E"/>
    <w:rsid w:val="00F05C30"/>
    <w:rsid w:val="00F10F1B"/>
    <w:rsid w:val="00F14179"/>
    <w:rsid w:val="00F15786"/>
    <w:rsid w:val="00F167C5"/>
    <w:rsid w:val="00F20B5A"/>
    <w:rsid w:val="00F21F0B"/>
    <w:rsid w:val="00F236AB"/>
    <w:rsid w:val="00F24EA4"/>
    <w:rsid w:val="00F27087"/>
    <w:rsid w:val="00F2773C"/>
    <w:rsid w:val="00F300B3"/>
    <w:rsid w:val="00F30DB9"/>
    <w:rsid w:val="00F30FB8"/>
    <w:rsid w:val="00F31D68"/>
    <w:rsid w:val="00F33152"/>
    <w:rsid w:val="00F338F2"/>
    <w:rsid w:val="00F349D3"/>
    <w:rsid w:val="00F3533E"/>
    <w:rsid w:val="00F35B84"/>
    <w:rsid w:val="00F402B5"/>
    <w:rsid w:val="00F4072F"/>
    <w:rsid w:val="00F42839"/>
    <w:rsid w:val="00F44CC0"/>
    <w:rsid w:val="00F450BA"/>
    <w:rsid w:val="00F4684B"/>
    <w:rsid w:val="00F46BE9"/>
    <w:rsid w:val="00F47C3B"/>
    <w:rsid w:val="00F506CA"/>
    <w:rsid w:val="00F53A7A"/>
    <w:rsid w:val="00F54FCD"/>
    <w:rsid w:val="00F5785C"/>
    <w:rsid w:val="00F65E3C"/>
    <w:rsid w:val="00F67076"/>
    <w:rsid w:val="00F677FA"/>
    <w:rsid w:val="00F7115A"/>
    <w:rsid w:val="00F717AA"/>
    <w:rsid w:val="00F72714"/>
    <w:rsid w:val="00F744C3"/>
    <w:rsid w:val="00F75EE2"/>
    <w:rsid w:val="00F75F69"/>
    <w:rsid w:val="00F76014"/>
    <w:rsid w:val="00F802D3"/>
    <w:rsid w:val="00F80F94"/>
    <w:rsid w:val="00F81BA2"/>
    <w:rsid w:val="00F823A4"/>
    <w:rsid w:val="00F8412F"/>
    <w:rsid w:val="00F84791"/>
    <w:rsid w:val="00F85995"/>
    <w:rsid w:val="00F85FC5"/>
    <w:rsid w:val="00F86C22"/>
    <w:rsid w:val="00F90CB3"/>
    <w:rsid w:val="00F912A2"/>
    <w:rsid w:val="00F913A3"/>
    <w:rsid w:val="00F925C3"/>
    <w:rsid w:val="00FA0109"/>
    <w:rsid w:val="00FA458B"/>
    <w:rsid w:val="00FA5EC5"/>
    <w:rsid w:val="00FA7016"/>
    <w:rsid w:val="00FA7174"/>
    <w:rsid w:val="00FA793D"/>
    <w:rsid w:val="00FB020E"/>
    <w:rsid w:val="00FB0F17"/>
    <w:rsid w:val="00FB4B9D"/>
    <w:rsid w:val="00FB50ED"/>
    <w:rsid w:val="00FB6E18"/>
    <w:rsid w:val="00FC144B"/>
    <w:rsid w:val="00FC2169"/>
    <w:rsid w:val="00FC28E2"/>
    <w:rsid w:val="00FC3BF6"/>
    <w:rsid w:val="00FC3D22"/>
    <w:rsid w:val="00FC6FE1"/>
    <w:rsid w:val="00FD0C3D"/>
    <w:rsid w:val="00FD2F6B"/>
    <w:rsid w:val="00FE064A"/>
    <w:rsid w:val="00FE0B55"/>
    <w:rsid w:val="00FE1E98"/>
    <w:rsid w:val="00FE2452"/>
    <w:rsid w:val="00FE5469"/>
    <w:rsid w:val="00FE66C2"/>
    <w:rsid w:val="00FE684A"/>
    <w:rsid w:val="00FE6F23"/>
    <w:rsid w:val="00FF0F8C"/>
    <w:rsid w:val="00FF408B"/>
    <w:rsid w:val="00FF43E1"/>
    <w:rsid w:val="02D5775A"/>
    <w:rsid w:val="03430854"/>
    <w:rsid w:val="039F5FA6"/>
    <w:rsid w:val="05A94C1F"/>
    <w:rsid w:val="09305ADA"/>
    <w:rsid w:val="0E8013B7"/>
    <w:rsid w:val="0FC24482"/>
    <w:rsid w:val="101416DC"/>
    <w:rsid w:val="10D604C6"/>
    <w:rsid w:val="11675097"/>
    <w:rsid w:val="11B515E0"/>
    <w:rsid w:val="13A53267"/>
    <w:rsid w:val="13F970D2"/>
    <w:rsid w:val="14AA4136"/>
    <w:rsid w:val="1572463D"/>
    <w:rsid w:val="163A420B"/>
    <w:rsid w:val="18386B49"/>
    <w:rsid w:val="193B5429"/>
    <w:rsid w:val="19413B26"/>
    <w:rsid w:val="1C6D3688"/>
    <w:rsid w:val="1C974DF7"/>
    <w:rsid w:val="1CC63D0A"/>
    <w:rsid w:val="1DC2081A"/>
    <w:rsid w:val="1DD94266"/>
    <w:rsid w:val="1E963BB4"/>
    <w:rsid w:val="1F9D0947"/>
    <w:rsid w:val="1FFB29C6"/>
    <w:rsid w:val="20970BD1"/>
    <w:rsid w:val="22AF3620"/>
    <w:rsid w:val="22E70AD4"/>
    <w:rsid w:val="24F1508D"/>
    <w:rsid w:val="25314FE2"/>
    <w:rsid w:val="266F634F"/>
    <w:rsid w:val="291059EA"/>
    <w:rsid w:val="2A462348"/>
    <w:rsid w:val="2BBF12EC"/>
    <w:rsid w:val="2BC649D9"/>
    <w:rsid w:val="2CEC6E3F"/>
    <w:rsid w:val="331514D2"/>
    <w:rsid w:val="3515160D"/>
    <w:rsid w:val="3B7807FE"/>
    <w:rsid w:val="3C7D00D8"/>
    <w:rsid w:val="3CA06C0C"/>
    <w:rsid w:val="3CBF0C6C"/>
    <w:rsid w:val="3D6A6BF0"/>
    <w:rsid w:val="3DC717ED"/>
    <w:rsid w:val="3EA25851"/>
    <w:rsid w:val="3F6C3757"/>
    <w:rsid w:val="405D6A10"/>
    <w:rsid w:val="41DA6594"/>
    <w:rsid w:val="444C1A75"/>
    <w:rsid w:val="44A3526F"/>
    <w:rsid w:val="44B032F4"/>
    <w:rsid w:val="457D25F7"/>
    <w:rsid w:val="468341CD"/>
    <w:rsid w:val="472C2589"/>
    <w:rsid w:val="48BE6BFA"/>
    <w:rsid w:val="49F106F9"/>
    <w:rsid w:val="4A760AEB"/>
    <w:rsid w:val="4B907252"/>
    <w:rsid w:val="4F3162CA"/>
    <w:rsid w:val="50D95873"/>
    <w:rsid w:val="521F2A93"/>
    <w:rsid w:val="526102AF"/>
    <w:rsid w:val="528444DA"/>
    <w:rsid w:val="537745D5"/>
    <w:rsid w:val="552306F6"/>
    <w:rsid w:val="56E352D5"/>
    <w:rsid w:val="57E435FE"/>
    <w:rsid w:val="582D0655"/>
    <w:rsid w:val="5951205C"/>
    <w:rsid w:val="59D079E8"/>
    <w:rsid w:val="59D40847"/>
    <w:rsid w:val="5A5028F2"/>
    <w:rsid w:val="5AE37F25"/>
    <w:rsid w:val="5CB23D47"/>
    <w:rsid w:val="5DB46785"/>
    <w:rsid w:val="5DE6D967"/>
    <w:rsid w:val="5DF4962A"/>
    <w:rsid w:val="5DFD93CC"/>
    <w:rsid w:val="5F506A21"/>
    <w:rsid w:val="5FAF09C4"/>
    <w:rsid w:val="60812D22"/>
    <w:rsid w:val="608C4642"/>
    <w:rsid w:val="62795572"/>
    <w:rsid w:val="64DD6417"/>
    <w:rsid w:val="66004745"/>
    <w:rsid w:val="67DC2045"/>
    <w:rsid w:val="6A567F20"/>
    <w:rsid w:val="6AD841A2"/>
    <w:rsid w:val="6CD97953"/>
    <w:rsid w:val="6DD94674"/>
    <w:rsid w:val="6ED30FD7"/>
    <w:rsid w:val="6FFF7BD7"/>
    <w:rsid w:val="727D78FD"/>
    <w:rsid w:val="73CC655F"/>
    <w:rsid w:val="73FA8648"/>
    <w:rsid w:val="749A6557"/>
    <w:rsid w:val="74BC548F"/>
    <w:rsid w:val="75957445"/>
    <w:rsid w:val="75D01AE1"/>
    <w:rsid w:val="77524363"/>
    <w:rsid w:val="77B917B5"/>
    <w:rsid w:val="77F75380"/>
    <w:rsid w:val="77F75819"/>
    <w:rsid w:val="78703975"/>
    <w:rsid w:val="788F783E"/>
    <w:rsid w:val="7A971C1F"/>
    <w:rsid w:val="7B733827"/>
    <w:rsid w:val="7BDC08A0"/>
    <w:rsid w:val="7BE01F8F"/>
    <w:rsid w:val="7BE420FD"/>
    <w:rsid w:val="7D0D296B"/>
    <w:rsid w:val="7D37F326"/>
    <w:rsid w:val="7D4E0B54"/>
    <w:rsid w:val="7D503E78"/>
    <w:rsid w:val="7DAF3D55"/>
    <w:rsid w:val="7DDF25E9"/>
    <w:rsid w:val="7E0160D4"/>
    <w:rsid w:val="7E241911"/>
    <w:rsid w:val="7E806262"/>
    <w:rsid w:val="7FA117F3"/>
    <w:rsid w:val="ABDFA8C3"/>
    <w:rsid w:val="B79A69B2"/>
    <w:rsid w:val="F9A614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80" w:firstLineChars="200"/>
      <w:jc w:val="both"/>
    </w:pPr>
    <w:rPr>
      <w:rFonts w:ascii="宋体" w:hAnsi="宋体" w:eastAsia="宋体" w:cs="Times New Roman"/>
      <w:kern w:val="2"/>
      <w:sz w:val="24"/>
      <w:szCs w:val="24"/>
      <w:lang w:val="en-US" w:eastAsia="zh-CN" w:bidi="ar-SA"/>
    </w:rPr>
  </w:style>
  <w:style w:type="paragraph" w:styleId="2">
    <w:name w:val="heading 1"/>
    <w:basedOn w:val="1"/>
    <w:next w:val="1"/>
    <w:link w:val="75"/>
    <w:qFormat/>
    <w:uiPriority w:val="0"/>
    <w:pPr>
      <w:keepNext/>
      <w:keepLines/>
      <w:numPr>
        <w:ilvl w:val="0"/>
        <w:numId w:val="1"/>
      </w:numPr>
      <w:spacing w:before="120" w:after="120"/>
      <w:ind w:firstLine="0" w:firstLineChars="0"/>
      <w:outlineLvl w:val="0"/>
    </w:pPr>
    <w:rPr>
      <w:rFonts w:eastAsia="黑体"/>
      <w:b/>
      <w:bCs/>
      <w:kern w:val="44"/>
      <w:sz w:val="32"/>
      <w:szCs w:val="28"/>
    </w:rPr>
  </w:style>
  <w:style w:type="paragraph" w:styleId="3">
    <w:name w:val="heading 2"/>
    <w:basedOn w:val="1"/>
    <w:next w:val="1"/>
    <w:link w:val="88"/>
    <w:qFormat/>
    <w:uiPriority w:val="9"/>
    <w:pPr>
      <w:keepNext/>
      <w:keepLines/>
      <w:numPr>
        <w:ilvl w:val="1"/>
        <w:numId w:val="1"/>
      </w:numPr>
      <w:spacing w:before="120" w:after="120"/>
      <w:ind w:firstLine="0" w:firstLineChars="0"/>
      <w:outlineLvl w:val="1"/>
    </w:pPr>
    <w:rPr>
      <w:b/>
      <w:bCs/>
      <w:sz w:val="30"/>
      <w:szCs w:val="32"/>
    </w:rPr>
  </w:style>
  <w:style w:type="paragraph" w:styleId="4">
    <w:name w:val="heading 3"/>
    <w:basedOn w:val="1"/>
    <w:next w:val="1"/>
    <w:link w:val="81"/>
    <w:qFormat/>
    <w:uiPriority w:val="0"/>
    <w:pPr>
      <w:keepNext/>
      <w:keepLines/>
      <w:numPr>
        <w:ilvl w:val="2"/>
        <w:numId w:val="1"/>
      </w:numPr>
      <w:spacing w:before="120" w:after="120"/>
      <w:ind w:firstLine="0" w:firstLineChars="0"/>
      <w:outlineLvl w:val="2"/>
    </w:pPr>
    <w:rPr>
      <w:b/>
      <w:bCs/>
      <w:sz w:val="28"/>
      <w:szCs w:val="28"/>
    </w:rPr>
  </w:style>
  <w:style w:type="paragraph" w:styleId="5">
    <w:name w:val="heading 4"/>
    <w:basedOn w:val="1"/>
    <w:next w:val="1"/>
    <w:link w:val="58"/>
    <w:qFormat/>
    <w:uiPriority w:val="0"/>
    <w:pPr>
      <w:keepNext/>
      <w:keepLines/>
      <w:numPr>
        <w:ilvl w:val="3"/>
        <w:numId w:val="1"/>
      </w:numPr>
      <w:spacing w:before="120" w:after="120"/>
      <w:ind w:left="851" w:firstLine="0" w:firstLineChars="0"/>
      <w:outlineLvl w:val="3"/>
    </w:pPr>
    <w:rPr>
      <w:b/>
      <w:bCs/>
      <w:sz w:val="30"/>
      <w:szCs w:val="30"/>
    </w:rPr>
  </w:style>
  <w:style w:type="paragraph" w:styleId="6">
    <w:name w:val="heading 5"/>
    <w:basedOn w:val="1"/>
    <w:next w:val="1"/>
    <w:link w:val="86"/>
    <w:qFormat/>
    <w:uiPriority w:val="0"/>
    <w:pPr>
      <w:keepNext/>
      <w:keepLines/>
      <w:numPr>
        <w:ilvl w:val="4"/>
        <w:numId w:val="1"/>
      </w:numPr>
      <w:spacing w:before="120" w:after="120"/>
      <w:ind w:left="0" w:firstLine="0" w:firstLineChars="0"/>
      <w:outlineLvl w:val="4"/>
    </w:pPr>
    <w:rPr>
      <w:b/>
      <w:bCs/>
      <w:szCs w:val="28"/>
    </w:rPr>
  </w:style>
  <w:style w:type="paragraph" w:styleId="7">
    <w:name w:val="heading 6"/>
    <w:basedOn w:val="1"/>
    <w:next w:val="1"/>
    <w:link w:val="99"/>
    <w:qFormat/>
    <w:uiPriority w:val="0"/>
    <w:pPr>
      <w:keepNext/>
      <w:keepLines/>
      <w:numPr>
        <w:ilvl w:val="5"/>
        <w:numId w:val="1"/>
      </w:numPr>
      <w:spacing w:before="120" w:after="120"/>
      <w:ind w:firstLine="0" w:firstLineChars="0"/>
      <w:outlineLvl w:val="5"/>
    </w:pPr>
    <w:rPr>
      <w:rFonts w:ascii="Cambria" w:hAnsi="Cambria"/>
      <w:b/>
      <w:bCs/>
    </w:rPr>
  </w:style>
  <w:style w:type="paragraph" w:styleId="8">
    <w:name w:val="heading 7"/>
    <w:basedOn w:val="1"/>
    <w:next w:val="1"/>
    <w:link w:val="72"/>
    <w:qFormat/>
    <w:uiPriority w:val="9"/>
    <w:pPr>
      <w:keepNext/>
      <w:keepLines/>
      <w:spacing w:before="240" w:after="64" w:line="319" w:lineRule="auto"/>
      <w:ind w:firstLine="0" w:firstLineChars="0"/>
      <w:outlineLvl w:val="6"/>
    </w:pPr>
    <w:rPr>
      <w:rFonts w:ascii="Times New Roman" w:hAnsi="Times New Roman"/>
      <w:b/>
      <w:bCs/>
      <w:sz w:val="21"/>
    </w:rPr>
  </w:style>
  <w:style w:type="paragraph" w:styleId="9">
    <w:name w:val="heading 8"/>
    <w:basedOn w:val="1"/>
    <w:next w:val="1"/>
    <w:link w:val="98"/>
    <w:qFormat/>
    <w:uiPriority w:val="9"/>
    <w:pPr>
      <w:keepNext/>
      <w:keepLines/>
      <w:spacing w:before="240" w:after="64" w:line="319" w:lineRule="auto"/>
      <w:ind w:firstLine="0" w:firstLineChars="0"/>
      <w:outlineLvl w:val="7"/>
    </w:pPr>
    <w:rPr>
      <w:rFonts w:ascii="Cambria" w:hAnsi="Cambria"/>
      <w:sz w:val="21"/>
    </w:rPr>
  </w:style>
  <w:style w:type="paragraph" w:styleId="10">
    <w:name w:val="heading 9"/>
    <w:basedOn w:val="1"/>
    <w:next w:val="1"/>
    <w:link w:val="48"/>
    <w:qFormat/>
    <w:uiPriority w:val="9"/>
    <w:pPr>
      <w:keepNext/>
      <w:keepLines/>
      <w:spacing w:before="240" w:after="64" w:line="319" w:lineRule="auto"/>
      <w:ind w:firstLine="0" w:firstLineChars="0"/>
      <w:outlineLvl w:val="8"/>
    </w:pPr>
    <w:rPr>
      <w:rFonts w:ascii="Cambria" w:hAnsi="Cambria"/>
      <w:sz w:val="21"/>
      <w:szCs w:val="21"/>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rPr>
      <w:rFonts w:ascii="等线" w:hAnsi="等线" w:eastAsia="等线"/>
      <w:szCs w:val="22"/>
    </w:rPr>
  </w:style>
  <w:style w:type="paragraph" w:styleId="12">
    <w:name w:val="Normal Indent"/>
    <w:basedOn w:val="1"/>
    <w:unhideWhenUsed/>
    <w:qFormat/>
    <w:uiPriority w:val="99"/>
    <w:pPr>
      <w:spacing w:line="240" w:lineRule="auto"/>
      <w:ind w:firstLine="420"/>
    </w:pPr>
    <w:rPr>
      <w:rFonts w:ascii="Calibri" w:hAnsi="Calibri"/>
      <w:sz w:val="21"/>
    </w:rPr>
  </w:style>
  <w:style w:type="paragraph" w:styleId="13">
    <w:name w:val="caption"/>
    <w:basedOn w:val="1"/>
    <w:next w:val="1"/>
    <w:link w:val="54"/>
    <w:qFormat/>
    <w:uiPriority w:val="0"/>
    <w:pPr>
      <w:spacing w:afterLines="50"/>
      <w:ind w:firstLine="200"/>
    </w:pPr>
    <w:rPr>
      <w:rFonts w:ascii="Arial" w:hAnsi="Arial" w:eastAsia="黑体"/>
      <w:sz w:val="20"/>
      <w:szCs w:val="20"/>
    </w:rPr>
  </w:style>
  <w:style w:type="paragraph" w:styleId="14">
    <w:name w:val="Document Map"/>
    <w:basedOn w:val="1"/>
    <w:link w:val="91"/>
    <w:qFormat/>
    <w:uiPriority w:val="0"/>
    <w:rPr>
      <w:rFonts w:hAnsi="Times New Roman"/>
      <w:sz w:val="18"/>
      <w:szCs w:val="18"/>
    </w:rPr>
  </w:style>
  <w:style w:type="paragraph" w:styleId="15">
    <w:name w:val="annotation text"/>
    <w:basedOn w:val="1"/>
    <w:link w:val="45"/>
    <w:qFormat/>
    <w:uiPriority w:val="99"/>
    <w:pPr>
      <w:jc w:val="left"/>
    </w:pPr>
    <w:rPr>
      <w:rFonts w:ascii="Times New Roman" w:hAnsi="Times New Roman" w:eastAsia="仿宋"/>
      <w:sz w:val="28"/>
    </w:rPr>
  </w:style>
  <w:style w:type="paragraph" w:styleId="16">
    <w:name w:val="Body Text"/>
    <w:basedOn w:val="1"/>
    <w:link w:val="59"/>
    <w:unhideWhenUsed/>
    <w:qFormat/>
    <w:uiPriority w:val="0"/>
    <w:pPr>
      <w:spacing w:after="120" w:line="240" w:lineRule="auto"/>
      <w:ind w:firstLine="0" w:firstLineChars="0"/>
    </w:pPr>
    <w:rPr>
      <w:rFonts w:ascii="Times New Roman" w:hAnsi="Times New Roman"/>
      <w:sz w:val="21"/>
    </w:rPr>
  </w:style>
  <w:style w:type="paragraph" w:styleId="17">
    <w:name w:val="Body Text Indent"/>
    <w:basedOn w:val="1"/>
    <w:link w:val="85"/>
    <w:qFormat/>
    <w:uiPriority w:val="0"/>
    <w:pPr>
      <w:spacing w:after="120"/>
      <w:ind w:firstLine="200"/>
    </w:pPr>
    <w:rPr>
      <w:rFonts w:ascii="Times New Roman" w:hAnsi="Times New Roman"/>
      <w:sz w:val="21"/>
      <w:szCs w:val="20"/>
    </w:rPr>
  </w:style>
  <w:style w:type="paragraph" w:styleId="18">
    <w:name w:val="toc 5"/>
    <w:basedOn w:val="1"/>
    <w:next w:val="1"/>
    <w:unhideWhenUsed/>
    <w:qFormat/>
    <w:uiPriority w:val="39"/>
    <w:pPr>
      <w:ind w:left="1680" w:leftChars="800"/>
    </w:pPr>
    <w:rPr>
      <w:rFonts w:ascii="等线" w:hAnsi="等线" w:eastAsia="等线"/>
      <w:szCs w:val="22"/>
    </w:rPr>
  </w:style>
  <w:style w:type="paragraph" w:styleId="19">
    <w:name w:val="toc 3"/>
    <w:basedOn w:val="1"/>
    <w:next w:val="1"/>
    <w:qFormat/>
    <w:uiPriority w:val="39"/>
    <w:pPr>
      <w:tabs>
        <w:tab w:val="right" w:leader="dot" w:pos="8302"/>
      </w:tabs>
      <w:ind w:left="840" w:leftChars="400"/>
    </w:pPr>
  </w:style>
  <w:style w:type="paragraph" w:styleId="20">
    <w:name w:val="Plain Text"/>
    <w:basedOn w:val="1"/>
    <w:link w:val="66"/>
    <w:qFormat/>
    <w:uiPriority w:val="0"/>
    <w:pPr>
      <w:spacing w:line="240" w:lineRule="auto"/>
      <w:ind w:firstLine="0" w:firstLineChars="0"/>
    </w:pPr>
    <w:rPr>
      <w:rFonts w:hAnsi="Courier New"/>
      <w:sz w:val="21"/>
      <w:szCs w:val="20"/>
    </w:rPr>
  </w:style>
  <w:style w:type="paragraph" w:styleId="21">
    <w:name w:val="toc 8"/>
    <w:basedOn w:val="1"/>
    <w:next w:val="1"/>
    <w:unhideWhenUsed/>
    <w:qFormat/>
    <w:uiPriority w:val="39"/>
    <w:pPr>
      <w:ind w:left="2940" w:leftChars="1400"/>
    </w:pPr>
    <w:rPr>
      <w:rFonts w:ascii="等线" w:hAnsi="等线" w:eastAsia="等线"/>
      <w:szCs w:val="22"/>
    </w:rPr>
  </w:style>
  <w:style w:type="paragraph" w:styleId="22">
    <w:name w:val="Date"/>
    <w:basedOn w:val="1"/>
    <w:next w:val="1"/>
    <w:link w:val="47"/>
    <w:qFormat/>
    <w:uiPriority w:val="0"/>
    <w:pPr>
      <w:ind w:left="100" w:leftChars="2500"/>
    </w:pPr>
    <w:rPr>
      <w:rFonts w:ascii="Times New Roman" w:hAnsi="Times New Roman"/>
      <w:sz w:val="21"/>
    </w:rPr>
  </w:style>
  <w:style w:type="paragraph" w:styleId="23">
    <w:name w:val="Balloon Text"/>
    <w:basedOn w:val="1"/>
    <w:link w:val="96"/>
    <w:qFormat/>
    <w:uiPriority w:val="0"/>
    <w:rPr>
      <w:rFonts w:ascii="Times New Roman" w:hAnsi="Times New Roman"/>
      <w:sz w:val="18"/>
      <w:szCs w:val="18"/>
    </w:rPr>
  </w:style>
  <w:style w:type="paragraph" w:styleId="24">
    <w:name w:val="footer"/>
    <w:basedOn w:val="1"/>
    <w:link w:val="89"/>
    <w:qFormat/>
    <w:uiPriority w:val="99"/>
    <w:pPr>
      <w:tabs>
        <w:tab w:val="center" w:pos="4153"/>
        <w:tab w:val="right" w:pos="8306"/>
      </w:tabs>
      <w:snapToGrid w:val="0"/>
      <w:jc w:val="center"/>
    </w:pPr>
    <w:rPr>
      <w:rFonts w:ascii="Times New Roman" w:hAnsi="Times New Roman"/>
      <w:sz w:val="18"/>
      <w:szCs w:val="18"/>
    </w:rPr>
  </w:style>
  <w:style w:type="paragraph" w:styleId="25">
    <w:name w:val="header"/>
    <w:basedOn w:val="1"/>
    <w:link w:val="97"/>
    <w:qFormat/>
    <w:uiPriority w:val="99"/>
    <w:pPr>
      <w:pBdr>
        <w:bottom w:val="single" w:color="auto" w:sz="4" w:space="0"/>
      </w:pBdr>
      <w:tabs>
        <w:tab w:val="center" w:pos="4153"/>
        <w:tab w:val="right" w:pos="8306"/>
      </w:tabs>
      <w:snapToGrid w:val="0"/>
      <w:jc w:val="center"/>
    </w:pPr>
    <w:rPr>
      <w:rFonts w:ascii="Times New Roman" w:hAnsi="Times New Roman"/>
      <w:sz w:val="18"/>
      <w:szCs w:val="18"/>
    </w:rPr>
  </w:style>
  <w:style w:type="paragraph" w:styleId="26">
    <w:name w:val="toc 1"/>
    <w:basedOn w:val="1"/>
    <w:next w:val="1"/>
    <w:qFormat/>
    <w:uiPriority w:val="39"/>
  </w:style>
  <w:style w:type="paragraph" w:styleId="27">
    <w:name w:val="toc 4"/>
    <w:basedOn w:val="1"/>
    <w:next w:val="1"/>
    <w:unhideWhenUsed/>
    <w:qFormat/>
    <w:uiPriority w:val="39"/>
    <w:pPr>
      <w:ind w:left="1260" w:leftChars="600"/>
    </w:pPr>
    <w:rPr>
      <w:rFonts w:ascii="等线" w:hAnsi="等线" w:eastAsia="等线"/>
      <w:szCs w:val="22"/>
    </w:rPr>
  </w:style>
  <w:style w:type="paragraph" w:styleId="28">
    <w:name w:val="Subtitle"/>
    <w:basedOn w:val="1"/>
    <w:next w:val="1"/>
    <w:link w:val="87"/>
    <w:qFormat/>
    <w:uiPriority w:val="0"/>
    <w:pPr>
      <w:spacing w:before="240" w:after="60" w:line="312" w:lineRule="auto"/>
      <w:jc w:val="center"/>
      <w:outlineLvl w:val="1"/>
    </w:pPr>
    <w:rPr>
      <w:rFonts w:ascii="Calibri Light" w:hAnsi="Calibri Light"/>
      <w:b/>
      <w:bCs/>
      <w:kern w:val="28"/>
      <w:sz w:val="32"/>
      <w:szCs w:val="32"/>
    </w:rPr>
  </w:style>
  <w:style w:type="paragraph" w:styleId="29">
    <w:name w:val="toc 6"/>
    <w:basedOn w:val="1"/>
    <w:next w:val="1"/>
    <w:unhideWhenUsed/>
    <w:qFormat/>
    <w:uiPriority w:val="39"/>
    <w:pPr>
      <w:ind w:left="2100" w:leftChars="1000"/>
    </w:pPr>
    <w:rPr>
      <w:rFonts w:ascii="等线" w:hAnsi="等线" w:eastAsia="等线"/>
      <w:szCs w:val="22"/>
    </w:rPr>
  </w:style>
  <w:style w:type="paragraph" w:styleId="30">
    <w:name w:val="toc 2"/>
    <w:basedOn w:val="1"/>
    <w:next w:val="1"/>
    <w:qFormat/>
    <w:uiPriority w:val="39"/>
    <w:pPr>
      <w:tabs>
        <w:tab w:val="right" w:leader="dot" w:pos="8302"/>
      </w:tabs>
      <w:ind w:left="420" w:leftChars="200"/>
    </w:pPr>
  </w:style>
  <w:style w:type="paragraph" w:styleId="31">
    <w:name w:val="toc 9"/>
    <w:basedOn w:val="1"/>
    <w:next w:val="1"/>
    <w:unhideWhenUsed/>
    <w:qFormat/>
    <w:uiPriority w:val="39"/>
    <w:pPr>
      <w:ind w:left="3360" w:leftChars="1600"/>
    </w:pPr>
    <w:rPr>
      <w:rFonts w:ascii="等线" w:hAnsi="等线" w:eastAsia="等线"/>
      <w:szCs w:val="22"/>
    </w:rPr>
  </w:style>
  <w:style w:type="paragraph" w:styleId="32">
    <w:name w:val="Normal (Web)"/>
    <w:basedOn w:val="1"/>
    <w:qFormat/>
    <w:uiPriority w:val="99"/>
    <w:pPr>
      <w:widowControl/>
      <w:spacing w:before="100" w:after="100"/>
      <w:jc w:val="left"/>
    </w:pPr>
    <w:rPr>
      <w:rFonts w:hint="eastAsia" w:ascii="Arial Unicode MS" w:hAnsi="Arial Unicode MS" w:eastAsia="Arial Unicode MS"/>
      <w:kern w:val="0"/>
    </w:rPr>
  </w:style>
  <w:style w:type="paragraph" w:styleId="33">
    <w:name w:val="Title"/>
    <w:basedOn w:val="1"/>
    <w:next w:val="1"/>
    <w:link w:val="95"/>
    <w:qFormat/>
    <w:uiPriority w:val="0"/>
    <w:pPr>
      <w:spacing w:before="240" w:after="60" w:line="960" w:lineRule="auto"/>
      <w:jc w:val="center"/>
    </w:pPr>
    <w:rPr>
      <w:rFonts w:ascii="Cambria" w:hAnsi="Cambria" w:eastAsia="黑体"/>
      <w:b/>
      <w:bCs/>
      <w:sz w:val="52"/>
      <w:szCs w:val="32"/>
    </w:rPr>
  </w:style>
  <w:style w:type="paragraph" w:styleId="34">
    <w:name w:val="annotation subject"/>
    <w:basedOn w:val="15"/>
    <w:next w:val="15"/>
    <w:link w:val="83"/>
    <w:qFormat/>
    <w:uiPriority w:val="0"/>
    <w:rPr>
      <w:b/>
      <w:bCs/>
      <w:sz w:val="21"/>
    </w:rPr>
  </w:style>
  <w:style w:type="table" w:styleId="36">
    <w:name w:val="Table Grid"/>
    <w:basedOn w:val="35"/>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page number"/>
    <w:basedOn w:val="37"/>
    <w:qFormat/>
    <w:uiPriority w:val="0"/>
  </w:style>
  <w:style w:type="character" w:styleId="39">
    <w:name w:val="FollowedHyperlink"/>
    <w:unhideWhenUsed/>
    <w:qFormat/>
    <w:uiPriority w:val="99"/>
    <w:rPr>
      <w:color w:val="954F72"/>
      <w:u w:val="single"/>
    </w:rPr>
  </w:style>
  <w:style w:type="character" w:styleId="40">
    <w:name w:val="Hyperlink"/>
    <w:qFormat/>
    <w:uiPriority w:val="99"/>
    <w:rPr>
      <w:color w:val="0000FF"/>
      <w:u w:val="single"/>
    </w:rPr>
  </w:style>
  <w:style w:type="character" w:styleId="41">
    <w:name w:val="annotation reference"/>
    <w:qFormat/>
    <w:uiPriority w:val="99"/>
    <w:rPr>
      <w:sz w:val="21"/>
      <w:szCs w:val="21"/>
    </w:rPr>
  </w:style>
  <w:style w:type="character" w:customStyle="1" w:styleId="42">
    <w:name w:val="标题 3 字符1"/>
    <w:qFormat/>
    <w:uiPriority w:val="0"/>
    <w:rPr>
      <w:rFonts w:ascii="宋体" w:hAnsi="宋体"/>
      <w:b/>
      <w:bCs/>
      <w:kern w:val="2"/>
      <w:sz w:val="28"/>
      <w:szCs w:val="28"/>
    </w:rPr>
  </w:style>
  <w:style w:type="character" w:customStyle="1" w:styleId="43">
    <w:name w:val="首行缩进正文 Char"/>
    <w:link w:val="44"/>
    <w:qFormat/>
    <w:uiPriority w:val="0"/>
    <w:rPr>
      <w:kern w:val="2"/>
      <w:sz w:val="24"/>
    </w:rPr>
  </w:style>
  <w:style w:type="paragraph" w:customStyle="1" w:styleId="44">
    <w:name w:val="首行缩进正文"/>
    <w:basedOn w:val="1"/>
    <w:link w:val="43"/>
    <w:qFormat/>
    <w:uiPriority w:val="0"/>
    <w:pPr>
      <w:widowControl/>
      <w:adjustRightInd w:val="0"/>
      <w:snapToGrid w:val="0"/>
      <w:spacing w:afterLines="50" w:line="276" w:lineRule="auto"/>
      <w:ind w:firstLine="420" w:firstLineChars="0"/>
      <w:jc w:val="left"/>
    </w:pPr>
    <w:rPr>
      <w:rFonts w:ascii="Times New Roman" w:hAnsi="Times New Roman"/>
      <w:szCs w:val="20"/>
    </w:rPr>
  </w:style>
  <w:style w:type="character" w:customStyle="1" w:styleId="45">
    <w:name w:val="批注文字 Char"/>
    <w:link w:val="15"/>
    <w:qFormat/>
    <w:uiPriority w:val="99"/>
    <w:rPr>
      <w:rFonts w:eastAsia="仿宋"/>
      <w:kern w:val="2"/>
      <w:sz w:val="28"/>
      <w:szCs w:val="24"/>
    </w:rPr>
  </w:style>
  <w:style w:type="character" w:customStyle="1" w:styleId="46">
    <w:name w:val="日期 字符"/>
    <w:semiHidden/>
    <w:qFormat/>
    <w:uiPriority w:val="99"/>
    <w:rPr>
      <w:rFonts w:ascii="宋体" w:hAnsi="宋体"/>
      <w:kern w:val="2"/>
      <w:sz w:val="24"/>
      <w:szCs w:val="24"/>
    </w:rPr>
  </w:style>
  <w:style w:type="character" w:customStyle="1" w:styleId="47">
    <w:name w:val="日期 Char"/>
    <w:link w:val="22"/>
    <w:qFormat/>
    <w:uiPriority w:val="0"/>
    <w:rPr>
      <w:kern w:val="2"/>
      <w:sz w:val="21"/>
      <w:szCs w:val="24"/>
    </w:rPr>
  </w:style>
  <w:style w:type="character" w:customStyle="1" w:styleId="48">
    <w:name w:val="标题 9 Char"/>
    <w:link w:val="10"/>
    <w:qFormat/>
    <w:uiPriority w:val="9"/>
    <w:rPr>
      <w:rFonts w:ascii="Cambria" w:hAnsi="Cambria"/>
      <w:kern w:val="2"/>
      <w:sz w:val="21"/>
      <w:szCs w:val="21"/>
    </w:rPr>
  </w:style>
  <w:style w:type="character" w:customStyle="1" w:styleId="49">
    <w:name w:val="未处理的提及1"/>
    <w:unhideWhenUsed/>
    <w:qFormat/>
    <w:uiPriority w:val="99"/>
    <w:rPr>
      <w:color w:val="605E5C"/>
      <w:shd w:val="clear" w:color="auto" w:fill="E1DFDD"/>
    </w:rPr>
  </w:style>
  <w:style w:type="character" w:customStyle="1" w:styleId="50">
    <w:name w:val="标题 1 字符"/>
    <w:qFormat/>
    <w:uiPriority w:val="9"/>
    <w:rPr>
      <w:rFonts w:ascii="宋体" w:hAnsi="宋体"/>
      <w:b/>
      <w:bCs/>
      <w:kern w:val="44"/>
      <w:sz w:val="44"/>
      <w:szCs w:val="44"/>
    </w:rPr>
  </w:style>
  <w:style w:type="character" w:customStyle="1" w:styleId="51">
    <w:name w:val="标题 3 字符"/>
    <w:semiHidden/>
    <w:qFormat/>
    <w:uiPriority w:val="9"/>
    <w:rPr>
      <w:rFonts w:ascii="宋体" w:hAnsi="宋体"/>
      <w:b/>
      <w:bCs/>
      <w:kern w:val="2"/>
      <w:sz w:val="32"/>
      <w:szCs w:val="32"/>
    </w:rPr>
  </w:style>
  <w:style w:type="character" w:customStyle="1" w:styleId="52">
    <w:name w:val="页脚 字符"/>
    <w:qFormat/>
    <w:uiPriority w:val="99"/>
  </w:style>
  <w:style w:type="character" w:customStyle="1" w:styleId="53">
    <w:name w:val="标题 5 字符"/>
    <w:semiHidden/>
    <w:qFormat/>
    <w:uiPriority w:val="9"/>
    <w:rPr>
      <w:rFonts w:ascii="宋体" w:hAnsi="宋体"/>
      <w:b/>
      <w:bCs/>
      <w:kern w:val="2"/>
      <w:sz w:val="28"/>
      <w:szCs w:val="28"/>
    </w:rPr>
  </w:style>
  <w:style w:type="character" w:customStyle="1" w:styleId="54">
    <w:name w:val="题注 Char"/>
    <w:link w:val="13"/>
    <w:qFormat/>
    <w:locked/>
    <w:uiPriority w:val="0"/>
    <w:rPr>
      <w:rFonts w:ascii="Arial" w:hAnsi="Arial" w:eastAsia="黑体"/>
      <w:kern w:val="2"/>
    </w:rPr>
  </w:style>
  <w:style w:type="character" w:customStyle="1" w:styleId="55">
    <w:name w:val="标题 2 字符"/>
    <w:semiHidden/>
    <w:qFormat/>
    <w:uiPriority w:val="9"/>
    <w:rPr>
      <w:rFonts w:ascii="等线 Light" w:hAnsi="等线 Light" w:eastAsia="等线 Light" w:cs="Times New Roman"/>
      <w:b/>
      <w:bCs/>
      <w:kern w:val="2"/>
      <w:sz w:val="32"/>
      <w:szCs w:val="32"/>
    </w:rPr>
  </w:style>
  <w:style w:type="character" w:customStyle="1" w:styleId="56">
    <w:name w:val="纯文本 字符"/>
    <w:qFormat/>
    <w:uiPriority w:val="0"/>
    <w:rPr>
      <w:rFonts w:ascii="宋体" w:hAnsi="Courier New" w:cs="Courier New"/>
      <w:kern w:val="2"/>
      <w:sz w:val="21"/>
      <w:szCs w:val="21"/>
    </w:rPr>
  </w:style>
  <w:style w:type="character" w:customStyle="1" w:styleId="57">
    <w:name w:val="列表段落 字符"/>
    <w:qFormat/>
    <w:uiPriority w:val="34"/>
    <w:rPr>
      <w:kern w:val="2"/>
      <w:sz w:val="21"/>
      <w:szCs w:val="22"/>
    </w:rPr>
  </w:style>
  <w:style w:type="character" w:customStyle="1" w:styleId="58">
    <w:name w:val="标题 4 Char"/>
    <w:link w:val="5"/>
    <w:qFormat/>
    <w:uiPriority w:val="0"/>
    <w:rPr>
      <w:rFonts w:ascii="宋体" w:hAnsi="宋体"/>
      <w:b/>
      <w:bCs/>
      <w:kern w:val="2"/>
      <w:sz w:val="30"/>
      <w:szCs w:val="30"/>
    </w:rPr>
  </w:style>
  <w:style w:type="character" w:customStyle="1" w:styleId="59">
    <w:name w:val="正文文本 Char"/>
    <w:link w:val="16"/>
    <w:qFormat/>
    <w:uiPriority w:val="0"/>
    <w:rPr>
      <w:kern w:val="2"/>
      <w:sz w:val="21"/>
      <w:szCs w:val="24"/>
    </w:rPr>
  </w:style>
  <w:style w:type="character" w:customStyle="1" w:styleId="60">
    <w:name w:val="列出段落 Char"/>
    <w:link w:val="61"/>
    <w:qFormat/>
    <w:uiPriority w:val="34"/>
    <w:rPr>
      <w:kern w:val="2"/>
      <w:sz w:val="21"/>
      <w:szCs w:val="24"/>
    </w:rPr>
  </w:style>
  <w:style w:type="paragraph" w:styleId="61">
    <w:name w:val="List Paragraph"/>
    <w:basedOn w:val="1"/>
    <w:link w:val="60"/>
    <w:qFormat/>
    <w:uiPriority w:val="34"/>
    <w:pPr>
      <w:ind w:firstLine="420"/>
    </w:pPr>
    <w:rPr>
      <w:rFonts w:ascii="Times New Roman" w:hAnsi="Times New Roman"/>
      <w:sz w:val="21"/>
    </w:rPr>
  </w:style>
  <w:style w:type="character" w:customStyle="1" w:styleId="62">
    <w:name w:val="font21"/>
    <w:qFormat/>
    <w:uiPriority w:val="0"/>
    <w:rPr>
      <w:rFonts w:ascii="Calibri" w:hAnsi="Calibri" w:cs="Calibri"/>
      <w:color w:val="000000"/>
      <w:sz w:val="21"/>
      <w:szCs w:val="21"/>
      <w:u w:val="none"/>
    </w:rPr>
  </w:style>
  <w:style w:type="character" w:customStyle="1" w:styleId="63">
    <w:name w:val="*正文 Char"/>
    <w:link w:val="64"/>
    <w:qFormat/>
    <w:uiPriority w:val="0"/>
    <w:rPr>
      <w:rFonts w:ascii="time" w:hAnsi="time"/>
      <w:sz w:val="24"/>
      <w:szCs w:val="24"/>
      <w:lang w:bidi="en-US"/>
    </w:rPr>
  </w:style>
  <w:style w:type="paragraph" w:customStyle="1" w:styleId="64">
    <w:name w:val="*正文"/>
    <w:basedOn w:val="1"/>
    <w:link w:val="63"/>
    <w:qFormat/>
    <w:uiPriority w:val="0"/>
    <w:pPr>
      <w:widowControl/>
      <w:ind w:firstLine="200"/>
      <w:contextualSpacing/>
    </w:pPr>
    <w:rPr>
      <w:rFonts w:ascii="time" w:hAnsi="time"/>
      <w:kern w:val="0"/>
      <w:lang w:bidi="en-US"/>
    </w:rPr>
  </w:style>
  <w:style w:type="character" w:customStyle="1" w:styleId="65">
    <w:name w:val="正文文本缩进 字符"/>
    <w:semiHidden/>
    <w:qFormat/>
    <w:uiPriority w:val="99"/>
    <w:rPr>
      <w:rFonts w:ascii="宋体" w:hAnsi="宋体"/>
      <w:kern w:val="2"/>
      <w:sz w:val="24"/>
      <w:szCs w:val="24"/>
    </w:rPr>
  </w:style>
  <w:style w:type="character" w:customStyle="1" w:styleId="66">
    <w:name w:val="纯文本 Char"/>
    <w:link w:val="20"/>
    <w:qFormat/>
    <w:locked/>
    <w:uiPriority w:val="0"/>
    <w:rPr>
      <w:rFonts w:ascii="宋体" w:hAnsi="Courier New"/>
      <w:kern w:val="2"/>
      <w:sz w:val="21"/>
    </w:rPr>
  </w:style>
  <w:style w:type="character" w:customStyle="1" w:styleId="67">
    <w:name w:val="my正文 Char"/>
    <w:link w:val="68"/>
    <w:qFormat/>
    <w:uiPriority w:val="0"/>
    <w:rPr>
      <w:kern w:val="2"/>
      <w:sz w:val="21"/>
      <w:szCs w:val="24"/>
    </w:rPr>
  </w:style>
  <w:style w:type="paragraph" w:customStyle="1" w:styleId="68">
    <w:name w:val="my正文"/>
    <w:basedOn w:val="1"/>
    <w:link w:val="67"/>
    <w:qFormat/>
    <w:uiPriority w:val="0"/>
    <w:pPr>
      <w:spacing w:line="240" w:lineRule="auto"/>
      <w:ind w:firstLine="0" w:firstLineChars="0"/>
    </w:pPr>
    <w:rPr>
      <w:rFonts w:ascii="Times New Roman" w:hAnsi="Times New Roman"/>
      <w:sz w:val="21"/>
    </w:rPr>
  </w:style>
  <w:style w:type="character" w:customStyle="1" w:styleId="69">
    <w:name w:val="正文2 字符"/>
    <w:link w:val="70"/>
    <w:qFormat/>
    <w:uiPriority w:val="0"/>
    <w:rPr>
      <w:kern w:val="2"/>
      <w:sz w:val="21"/>
      <w:szCs w:val="24"/>
    </w:rPr>
  </w:style>
  <w:style w:type="paragraph" w:customStyle="1" w:styleId="70">
    <w:name w:val="正文2"/>
    <w:basedOn w:val="1"/>
    <w:link w:val="69"/>
    <w:qFormat/>
    <w:uiPriority w:val="0"/>
    <w:pPr>
      <w:ind w:firstLine="420"/>
    </w:pPr>
    <w:rPr>
      <w:rFonts w:ascii="Times New Roman" w:hAnsi="Times New Roman"/>
      <w:sz w:val="21"/>
    </w:rPr>
  </w:style>
  <w:style w:type="character" w:customStyle="1" w:styleId="71">
    <w:name w:val="font41"/>
    <w:qFormat/>
    <w:uiPriority w:val="0"/>
    <w:rPr>
      <w:rFonts w:hint="eastAsia" w:ascii="宋体" w:hAnsi="宋体" w:eastAsia="宋体" w:cs="宋体"/>
      <w:color w:val="000000"/>
      <w:sz w:val="21"/>
      <w:szCs w:val="21"/>
      <w:u w:val="none"/>
    </w:rPr>
  </w:style>
  <w:style w:type="character" w:customStyle="1" w:styleId="72">
    <w:name w:val="标题 7 Char"/>
    <w:link w:val="8"/>
    <w:qFormat/>
    <w:uiPriority w:val="9"/>
    <w:rPr>
      <w:b/>
      <w:bCs/>
      <w:kern w:val="2"/>
      <w:sz w:val="21"/>
      <w:szCs w:val="24"/>
    </w:rPr>
  </w:style>
  <w:style w:type="character" w:customStyle="1" w:styleId="73">
    <w:name w:val="批注框文本 字符"/>
    <w:semiHidden/>
    <w:qFormat/>
    <w:uiPriority w:val="99"/>
    <w:rPr>
      <w:rFonts w:ascii="宋体" w:hAnsi="宋体"/>
      <w:kern w:val="2"/>
      <w:sz w:val="18"/>
      <w:szCs w:val="18"/>
    </w:rPr>
  </w:style>
  <w:style w:type="character" w:customStyle="1" w:styleId="74">
    <w:name w:val="副标题 Char1"/>
    <w:qFormat/>
    <w:uiPriority w:val="0"/>
    <w:rPr>
      <w:rFonts w:ascii="Calibri Light" w:hAnsi="Calibri Light" w:cs="Times New Roman"/>
      <w:b/>
      <w:bCs/>
      <w:kern w:val="28"/>
      <w:sz w:val="32"/>
      <w:szCs w:val="32"/>
    </w:rPr>
  </w:style>
  <w:style w:type="character" w:customStyle="1" w:styleId="75">
    <w:name w:val="标题 1 Char1"/>
    <w:link w:val="2"/>
    <w:qFormat/>
    <w:uiPriority w:val="0"/>
    <w:rPr>
      <w:rFonts w:ascii="宋体" w:hAnsi="宋体" w:eastAsia="黑体"/>
      <w:b/>
      <w:bCs/>
      <w:kern w:val="44"/>
      <w:sz w:val="32"/>
      <w:szCs w:val="28"/>
    </w:rPr>
  </w:style>
  <w:style w:type="character" w:customStyle="1" w:styleId="76">
    <w:name w:val="批注文字 字符"/>
    <w:qFormat/>
    <w:uiPriority w:val="99"/>
    <w:rPr>
      <w:rFonts w:ascii="宋体" w:hAnsi="宋体"/>
      <w:kern w:val="2"/>
      <w:sz w:val="24"/>
      <w:szCs w:val="24"/>
    </w:rPr>
  </w:style>
  <w:style w:type="character" w:customStyle="1" w:styleId="77">
    <w:name w:val="文档结构图 字符"/>
    <w:semiHidden/>
    <w:qFormat/>
    <w:uiPriority w:val="99"/>
    <w:rPr>
      <w:rFonts w:ascii="Microsoft YaHei UI" w:hAnsi="宋体" w:eastAsia="Microsoft YaHei UI"/>
      <w:kern w:val="2"/>
      <w:sz w:val="18"/>
      <w:szCs w:val="18"/>
    </w:rPr>
  </w:style>
  <w:style w:type="character" w:customStyle="1" w:styleId="78">
    <w:name w:val="标题 6 字符"/>
    <w:semiHidden/>
    <w:qFormat/>
    <w:uiPriority w:val="9"/>
    <w:rPr>
      <w:rFonts w:ascii="等线 Light" w:hAnsi="等线 Light" w:eastAsia="等线 Light" w:cs="Times New Roman"/>
      <w:b/>
      <w:bCs/>
      <w:kern w:val="2"/>
      <w:sz w:val="24"/>
      <w:szCs w:val="24"/>
    </w:rPr>
  </w:style>
  <w:style w:type="character" w:customStyle="1" w:styleId="79">
    <w:name w:val="正文正文2 Char"/>
    <w:link w:val="80"/>
    <w:qFormat/>
    <w:uiPriority w:val="0"/>
    <w:rPr>
      <w:rFonts w:ascii="宋体" w:hAnsi="宋体"/>
      <w:kern w:val="2"/>
      <w:sz w:val="21"/>
      <w:szCs w:val="21"/>
    </w:rPr>
  </w:style>
  <w:style w:type="paragraph" w:customStyle="1" w:styleId="80">
    <w:name w:val="正文正文2"/>
    <w:basedOn w:val="1"/>
    <w:link w:val="79"/>
    <w:qFormat/>
    <w:uiPriority w:val="0"/>
    <w:pPr>
      <w:ind w:firstLine="460"/>
    </w:pPr>
    <w:rPr>
      <w:sz w:val="21"/>
      <w:szCs w:val="21"/>
    </w:rPr>
  </w:style>
  <w:style w:type="character" w:customStyle="1" w:styleId="81">
    <w:name w:val="标题 3 Char"/>
    <w:link w:val="4"/>
    <w:qFormat/>
    <w:uiPriority w:val="0"/>
    <w:rPr>
      <w:rFonts w:ascii="宋体" w:hAnsi="宋体"/>
      <w:b/>
      <w:bCs/>
      <w:kern w:val="2"/>
      <w:sz w:val="28"/>
      <w:szCs w:val="28"/>
    </w:rPr>
  </w:style>
  <w:style w:type="character" w:customStyle="1" w:styleId="82">
    <w:name w:val="标题 4 字符"/>
    <w:semiHidden/>
    <w:qFormat/>
    <w:uiPriority w:val="9"/>
    <w:rPr>
      <w:rFonts w:ascii="等线 Light" w:hAnsi="等线 Light" w:eastAsia="等线 Light" w:cs="Times New Roman"/>
      <w:b/>
      <w:bCs/>
      <w:kern w:val="2"/>
      <w:sz w:val="28"/>
      <w:szCs w:val="28"/>
    </w:rPr>
  </w:style>
  <w:style w:type="character" w:customStyle="1" w:styleId="83">
    <w:name w:val="批注主题 Char"/>
    <w:link w:val="34"/>
    <w:qFormat/>
    <w:uiPriority w:val="0"/>
    <w:rPr>
      <w:rFonts w:eastAsia="仿宋"/>
      <w:b/>
      <w:bCs/>
      <w:kern w:val="2"/>
      <w:sz w:val="21"/>
      <w:szCs w:val="24"/>
    </w:rPr>
  </w:style>
  <w:style w:type="character" w:customStyle="1" w:styleId="84">
    <w:name w:val="页眉 字符"/>
    <w:semiHidden/>
    <w:qFormat/>
    <w:uiPriority w:val="99"/>
    <w:rPr>
      <w:rFonts w:ascii="宋体" w:hAnsi="宋体"/>
      <w:kern w:val="2"/>
      <w:sz w:val="18"/>
      <w:szCs w:val="18"/>
    </w:rPr>
  </w:style>
  <w:style w:type="character" w:customStyle="1" w:styleId="85">
    <w:name w:val="正文文本缩进 Char"/>
    <w:link w:val="17"/>
    <w:qFormat/>
    <w:uiPriority w:val="0"/>
    <w:rPr>
      <w:kern w:val="2"/>
      <w:sz w:val="21"/>
    </w:rPr>
  </w:style>
  <w:style w:type="character" w:customStyle="1" w:styleId="86">
    <w:name w:val="标题 5 Char"/>
    <w:link w:val="6"/>
    <w:qFormat/>
    <w:uiPriority w:val="0"/>
    <w:rPr>
      <w:rFonts w:ascii="宋体" w:hAnsi="宋体"/>
      <w:b/>
      <w:bCs/>
      <w:kern w:val="2"/>
      <w:sz w:val="24"/>
      <w:szCs w:val="28"/>
    </w:rPr>
  </w:style>
  <w:style w:type="character" w:customStyle="1" w:styleId="87">
    <w:name w:val="副标题 Char"/>
    <w:link w:val="28"/>
    <w:qFormat/>
    <w:uiPriority w:val="0"/>
    <w:rPr>
      <w:rFonts w:ascii="Calibri Light" w:hAnsi="Calibri Light"/>
      <w:b/>
      <w:bCs/>
      <w:kern w:val="28"/>
      <w:sz w:val="32"/>
      <w:szCs w:val="32"/>
    </w:rPr>
  </w:style>
  <w:style w:type="character" w:customStyle="1" w:styleId="88">
    <w:name w:val="标题 2 Char"/>
    <w:link w:val="3"/>
    <w:qFormat/>
    <w:uiPriority w:val="9"/>
    <w:rPr>
      <w:rFonts w:ascii="宋体" w:hAnsi="宋体"/>
      <w:b/>
      <w:bCs/>
      <w:kern w:val="2"/>
      <w:sz w:val="30"/>
      <w:szCs w:val="32"/>
    </w:rPr>
  </w:style>
  <w:style w:type="character" w:customStyle="1" w:styleId="89">
    <w:name w:val="页脚 Char"/>
    <w:link w:val="24"/>
    <w:qFormat/>
    <w:uiPriority w:val="99"/>
    <w:rPr>
      <w:kern w:val="2"/>
      <w:sz w:val="18"/>
      <w:szCs w:val="18"/>
    </w:rPr>
  </w:style>
  <w:style w:type="character" w:customStyle="1" w:styleId="90">
    <w:name w:val="批注主题 字符"/>
    <w:semiHidden/>
    <w:qFormat/>
    <w:uiPriority w:val="99"/>
    <w:rPr>
      <w:rFonts w:ascii="宋体" w:hAnsi="宋体"/>
      <w:b/>
      <w:bCs/>
      <w:kern w:val="2"/>
      <w:sz w:val="24"/>
      <w:szCs w:val="24"/>
    </w:rPr>
  </w:style>
  <w:style w:type="character" w:customStyle="1" w:styleId="91">
    <w:name w:val="文档结构图 Char"/>
    <w:link w:val="14"/>
    <w:qFormat/>
    <w:uiPriority w:val="0"/>
    <w:rPr>
      <w:rFonts w:ascii="宋体"/>
      <w:kern w:val="2"/>
      <w:sz w:val="18"/>
      <w:szCs w:val="18"/>
    </w:rPr>
  </w:style>
  <w:style w:type="character" w:customStyle="1" w:styleId="92">
    <w:name w:val="font31"/>
    <w:qFormat/>
    <w:uiPriority w:val="0"/>
    <w:rPr>
      <w:rFonts w:hint="eastAsia" w:ascii="宋体" w:hAnsi="宋体" w:eastAsia="宋体" w:cs="宋体"/>
      <w:color w:val="000000"/>
      <w:sz w:val="21"/>
      <w:szCs w:val="21"/>
      <w:u w:val="none"/>
    </w:rPr>
  </w:style>
  <w:style w:type="character" w:customStyle="1" w:styleId="93">
    <w:name w:val="标准正文 Char"/>
    <w:link w:val="94"/>
    <w:qFormat/>
    <w:uiPriority w:val="0"/>
    <w:rPr>
      <w:rFonts w:ascii="Arial" w:hAnsi="Arial"/>
      <w:kern w:val="2"/>
      <w:sz w:val="24"/>
    </w:rPr>
  </w:style>
  <w:style w:type="paragraph" w:customStyle="1" w:styleId="94">
    <w:name w:val="标准正文"/>
    <w:basedOn w:val="17"/>
    <w:link w:val="93"/>
    <w:qFormat/>
    <w:uiPriority w:val="0"/>
    <w:pPr>
      <w:spacing w:before="60" w:after="60"/>
      <w:ind w:firstLine="482" w:firstLineChars="0"/>
    </w:pPr>
    <w:rPr>
      <w:rFonts w:ascii="Arial" w:hAnsi="Arial"/>
      <w:sz w:val="24"/>
    </w:rPr>
  </w:style>
  <w:style w:type="character" w:customStyle="1" w:styleId="95">
    <w:name w:val="标题 Char"/>
    <w:link w:val="33"/>
    <w:qFormat/>
    <w:uiPriority w:val="0"/>
    <w:rPr>
      <w:rFonts w:ascii="Cambria" w:hAnsi="Cambria" w:eastAsia="黑体"/>
      <w:b/>
      <w:bCs/>
      <w:kern w:val="2"/>
      <w:sz w:val="52"/>
      <w:szCs w:val="32"/>
    </w:rPr>
  </w:style>
  <w:style w:type="character" w:customStyle="1" w:styleId="96">
    <w:name w:val="批注框文本 Char"/>
    <w:link w:val="23"/>
    <w:qFormat/>
    <w:uiPriority w:val="0"/>
    <w:rPr>
      <w:kern w:val="2"/>
      <w:sz w:val="18"/>
      <w:szCs w:val="18"/>
    </w:rPr>
  </w:style>
  <w:style w:type="character" w:customStyle="1" w:styleId="97">
    <w:name w:val="页眉 Char"/>
    <w:link w:val="25"/>
    <w:qFormat/>
    <w:uiPriority w:val="99"/>
    <w:rPr>
      <w:kern w:val="2"/>
      <w:sz w:val="18"/>
      <w:szCs w:val="18"/>
    </w:rPr>
  </w:style>
  <w:style w:type="character" w:customStyle="1" w:styleId="98">
    <w:name w:val="标题 8 Char"/>
    <w:link w:val="9"/>
    <w:qFormat/>
    <w:uiPriority w:val="9"/>
    <w:rPr>
      <w:rFonts w:ascii="Cambria" w:hAnsi="Cambria"/>
      <w:kern w:val="2"/>
      <w:sz w:val="21"/>
      <w:szCs w:val="24"/>
    </w:rPr>
  </w:style>
  <w:style w:type="character" w:customStyle="1" w:styleId="99">
    <w:name w:val="标题 6 Char"/>
    <w:link w:val="7"/>
    <w:qFormat/>
    <w:uiPriority w:val="0"/>
    <w:rPr>
      <w:rFonts w:ascii="Cambria" w:hAnsi="Cambria"/>
      <w:b/>
      <w:bCs/>
      <w:kern w:val="2"/>
      <w:sz w:val="24"/>
      <w:szCs w:val="24"/>
    </w:rPr>
  </w:style>
  <w:style w:type="character" w:customStyle="1" w:styleId="100">
    <w:name w:val="标题 字符"/>
    <w:qFormat/>
    <w:uiPriority w:val="10"/>
    <w:rPr>
      <w:rFonts w:ascii="等线 Light" w:hAnsi="等线 Light" w:eastAsia="等线 Light" w:cs="Times New Roman"/>
      <w:b/>
      <w:bCs/>
      <w:kern w:val="2"/>
      <w:sz w:val="32"/>
      <w:szCs w:val="32"/>
    </w:rPr>
  </w:style>
  <w:style w:type="character" w:customStyle="1" w:styleId="101">
    <w:name w:val="副标题 字符"/>
    <w:qFormat/>
    <w:uiPriority w:val="11"/>
    <w:rPr>
      <w:rFonts w:ascii="等线" w:hAnsi="等线" w:eastAsia="等线" w:cs="Times New Roman"/>
      <w:b/>
      <w:bCs/>
      <w:kern w:val="28"/>
      <w:sz w:val="32"/>
      <w:szCs w:val="32"/>
    </w:rPr>
  </w:style>
  <w:style w:type="paragraph" w:customStyle="1" w:styleId="102">
    <w:name w:val="xl72"/>
    <w:basedOn w:val="1"/>
    <w:qFormat/>
    <w:uiPriority w:val="0"/>
    <w:pPr>
      <w:widowControl/>
      <w:spacing w:before="100" w:beforeAutospacing="1" w:after="100" w:afterAutospacing="1" w:line="240" w:lineRule="auto"/>
      <w:ind w:firstLine="0" w:firstLineChars="0"/>
      <w:jc w:val="center"/>
    </w:pPr>
    <w:rPr>
      <w:rFonts w:cs="宋体"/>
      <w:kern w:val="0"/>
    </w:rPr>
  </w:style>
  <w:style w:type="paragraph" w:customStyle="1" w:styleId="103">
    <w:name w:val="正文（深信服）"/>
    <w:qFormat/>
    <w:uiPriority w:val="0"/>
    <w:pPr>
      <w:spacing w:line="360" w:lineRule="auto"/>
      <w:ind w:firstLine="420"/>
    </w:pPr>
    <w:rPr>
      <w:rFonts w:ascii="Arial" w:hAnsi="Arial" w:eastAsia="宋体" w:cs="Times New Roman"/>
      <w:sz w:val="24"/>
      <w:szCs w:val="21"/>
      <w:shd w:val="clear" w:color="auto" w:fill="FFFFFF"/>
      <w:lang w:val="en-US" w:eastAsia="zh-CN" w:bidi="ar-SA"/>
    </w:rPr>
  </w:style>
  <w:style w:type="paragraph" w:customStyle="1" w:styleId="104">
    <w:name w:val="xl70"/>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right"/>
      <w:textAlignment w:val="center"/>
    </w:pPr>
    <w:rPr>
      <w:rFonts w:ascii="Microsoft Sans Serif" w:hAnsi="Microsoft Sans Serif" w:cs="Microsoft Sans Serif"/>
      <w:kern w:val="0"/>
      <w:sz w:val="18"/>
      <w:szCs w:val="18"/>
    </w:rPr>
  </w:style>
  <w:style w:type="paragraph" w:customStyle="1" w:styleId="105">
    <w:name w:val="_Style 2"/>
    <w:basedOn w:val="2"/>
    <w:next w:val="1"/>
    <w:qFormat/>
    <w:uiPriority w:val="39"/>
    <w:pPr>
      <w:widowControl/>
      <w:numPr>
        <w:numId w:val="0"/>
      </w:numPr>
      <w:spacing w:before="480" w:after="0" w:line="276" w:lineRule="auto"/>
      <w:jc w:val="left"/>
      <w:outlineLvl w:val="9"/>
    </w:pPr>
    <w:rPr>
      <w:rFonts w:ascii="Cambria" w:hAnsi="Cambria" w:eastAsia="宋体"/>
      <w:color w:val="365F91"/>
      <w:kern w:val="0"/>
      <w:sz w:val="28"/>
    </w:rPr>
  </w:style>
  <w:style w:type="paragraph" w:customStyle="1" w:styleId="106">
    <w:name w:val="正文缩进1"/>
    <w:basedOn w:val="1"/>
    <w:qFormat/>
    <w:uiPriority w:val="0"/>
    <w:pPr>
      <w:spacing w:line="240" w:lineRule="auto"/>
      <w:ind w:firstLine="420"/>
    </w:pPr>
    <w:rPr>
      <w:rFonts w:ascii="Times New Roman" w:hAnsi="Times New Roman"/>
      <w:sz w:val="21"/>
      <w:szCs w:val="20"/>
    </w:rPr>
  </w:style>
  <w:style w:type="paragraph" w:customStyle="1" w:styleId="107">
    <w:name w:val="xl68"/>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Microsoft Sans Serif" w:hAnsi="Microsoft Sans Serif" w:cs="Microsoft Sans Serif"/>
      <w:kern w:val="0"/>
      <w:sz w:val="18"/>
      <w:szCs w:val="18"/>
    </w:rPr>
  </w:style>
  <w:style w:type="paragraph" w:customStyle="1" w:styleId="108">
    <w:name w:val="前言、引言标题"/>
    <w:next w:val="1"/>
    <w:qFormat/>
    <w:uiPriority w:val="99"/>
    <w:pPr>
      <w:shd w:val="clear" w:color="FFFFFF" w:fill="FFFFFF"/>
      <w:tabs>
        <w:tab w:val="left" w:pos="425"/>
      </w:tabs>
      <w:spacing w:before="640" w:after="560"/>
      <w:jc w:val="center"/>
      <w:outlineLvl w:val="0"/>
    </w:pPr>
    <w:rPr>
      <w:rFonts w:ascii="黑体" w:hAnsi="Times New Roman" w:eastAsia="黑体" w:cs="Times New Roman"/>
      <w:sz w:val="32"/>
      <w:lang w:val="en-US" w:eastAsia="zh-CN" w:bidi="ar-SA"/>
    </w:rPr>
  </w:style>
  <w:style w:type="paragraph" w:customStyle="1" w:styleId="109">
    <w:name w:val="Indent Normal"/>
    <w:basedOn w:val="1"/>
    <w:qFormat/>
    <w:uiPriority w:val="0"/>
    <w:pPr>
      <w:ind w:firstLine="150" w:firstLineChars="150"/>
    </w:pPr>
  </w:style>
  <w:style w:type="paragraph" w:customStyle="1" w:styleId="110">
    <w:name w:val="msonormal"/>
    <w:basedOn w:val="1"/>
    <w:qFormat/>
    <w:uiPriority w:val="0"/>
    <w:pPr>
      <w:widowControl/>
      <w:spacing w:before="100" w:beforeAutospacing="1" w:after="100" w:afterAutospacing="1" w:line="240" w:lineRule="auto"/>
      <w:ind w:firstLine="0" w:firstLineChars="0"/>
      <w:jc w:val="left"/>
    </w:pPr>
    <w:rPr>
      <w:rFonts w:cs="宋体"/>
      <w:kern w:val="0"/>
    </w:rPr>
  </w:style>
  <w:style w:type="paragraph" w:customStyle="1" w:styleId="111">
    <w:name w:val="正文 缩进2字符"/>
    <w:basedOn w:val="1"/>
    <w:qFormat/>
    <w:uiPriority w:val="0"/>
    <w:pPr>
      <w:spacing w:afterLines="50" w:line="240" w:lineRule="auto"/>
      <w:ind w:firstLine="0" w:firstLineChars="0"/>
    </w:pPr>
    <w:rPr>
      <w:rFonts w:ascii="Times New Roman" w:hAnsi="Times New Roman" w:cs="宋体"/>
      <w:sz w:val="21"/>
      <w:szCs w:val="20"/>
    </w:rPr>
  </w:style>
  <w:style w:type="paragraph" w:customStyle="1" w:styleId="112">
    <w:name w:val="列项●（二级）"/>
    <w:qFormat/>
    <w:uiPriority w:val="0"/>
    <w:pPr>
      <w:numPr>
        <w:ilvl w:val="0"/>
        <w:numId w:val="2"/>
      </w:numPr>
      <w:tabs>
        <w:tab w:val="left" w:pos="840"/>
      </w:tabs>
      <w:ind w:left="600" w:leftChars="400" w:hanging="200" w:hangingChars="200"/>
      <w:jc w:val="both"/>
    </w:pPr>
    <w:rPr>
      <w:rFonts w:ascii="宋体" w:hAnsi="Times New Roman" w:eastAsia="宋体" w:cs="Times New Roman"/>
      <w:sz w:val="21"/>
      <w:lang w:val="en-US" w:eastAsia="zh-CN" w:bidi="ar-SA"/>
    </w:rPr>
  </w:style>
  <w:style w:type="paragraph" w:customStyle="1" w:styleId="113">
    <w:name w:val="助手文本"/>
    <w:basedOn w:val="1"/>
    <w:qFormat/>
    <w:uiPriority w:val="0"/>
    <w:pPr>
      <w:autoSpaceDE w:val="0"/>
      <w:autoSpaceDN w:val="0"/>
      <w:adjustRightInd w:val="0"/>
      <w:spacing w:beforeLines="50" w:afterLines="50"/>
      <w:ind w:left="14" w:firstLine="434"/>
      <w:textAlignment w:val="baseline"/>
    </w:pPr>
    <w:rPr>
      <w:rFonts w:ascii="楷体_GB2312" w:eastAsia="楷体_GB2312"/>
      <w:kern w:val="0"/>
      <w:szCs w:val="20"/>
      <w:u w:val="single"/>
    </w:rPr>
  </w:style>
  <w:style w:type="paragraph" w:customStyle="1" w:styleId="114">
    <w:name w:val="xl67"/>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b/>
      <w:bCs/>
      <w:kern w:val="0"/>
      <w:sz w:val="18"/>
      <w:szCs w:val="18"/>
    </w:rPr>
  </w:style>
  <w:style w:type="paragraph" w:customStyle="1" w:styleId="115">
    <w:name w:val="段"/>
    <w:qFormat/>
    <w:uiPriority w:val="0"/>
    <w:pPr>
      <w:autoSpaceDE w:val="0"/>
      <w:autoSpaceDN w:val="0"/>
      <w:ind w:firstLine="200" w:firstLineChars="200"/>
      <w:jc w:val="both"/>
    </w:pPr>
    <w:rPr>
      <w:rFonts w:ascii="宋体" w:hAnsi="Times New Roman" w:eastAsia="宋体" w:cs="Calibri"/>
      <w:sz w:val="21"/>
      <w:lang w:val="en-US" w:eastAsia="zh-CN" w:bidi="ar-SA"/>
    </w:rPr>
  </w:style>
  <w:style w:type="paragraph" w:customStyle="1" w:styleId="11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宋体"/>
      <w:kern w:val="0"/>
    </w:rPr>
  </w:style>
  <w:style w:type="paragraph" w:customStyle="1" w:styleId="117">
    <w:name w:val="Char Char Char Char Char Char1 Char"/>
    <w:basedOn w:val="1"/>
    <w:qFormat/>
    <w:uiPriority w:val="0"/>
    <w:pPr>
      <w:widowControl/>
      <w:spacing w:after="160" w:line="240" w:lineRule="exact"/>
      <w:jc w:val="left"/>
    </w:pPr>
  </w:style>
  <w:style w:type="paragraph" w:customStyle="1" w:styleId="118">
    <w:name w:val="PM_Body"/>
    <w:basedOn w:val="1"/>
    <w:qFormat/>
    <w:locked/>
    <w:uiPriority w:val="0"/>
    <w:rPr>
      <w:szCs w:val="21"/>
    </w:rPr>
  </w:style>
  <w:style w:type="paragraph" w:customStyle="1" w:styleId="119">
    <w:name w:val="Char Char1"/>
    <w:basedOn w:val="1"/>
    <w:qFormat/>
    <w:uiPriority w:val="0"/>
    <w:pPr>
      <w:widowControl/>
      <w:spacing w:before="120" w:after="120"/>
    </w:pPr>
    <w:rPr>
      <w:rFonts w:ascii="Times New Roman" w:hAnsi="Times New Roman" w:cs="宋体"/>
    </w:rPr>
  </w:style>
  <w:style w:type="paragraph" w:customStyle="1" w:styleId="120">
    <w:name w:val="xl71"/>
    <w:basedOn w:val="1"/>
    <w:qFormat/>
    <w:uiPriority w:val="0"/>
    <w:pPr>
      <w:widowControl/>
      <w:spacing w:before="100" w:beforeAutospacing="1" w:after="100" w:afterAutospacing="1" w:line="240" w:lineRule="auto"/>
      <w:ind w:firstLine="0" w:firstLineChars="0"/>
      <w:jc w:val="right"/>
      <w:textAlignment w:val="center"/>
    </w:pPr>
    <w:rPr>
      <w:rFonts w:ascii="Microsoft Sans Serif" w:hAnsi="Microsoft Sans Serif" w:cs="Microsoft Sans Serif"/>
      <w:kern w:val="0"/>
      <w:sz w:val="18"/>
      <w:szCs w:val="18"/>
    </w:rPr>
  </w:style>
  <w:style w:type="paragraph" w:customStyle="1" w:styleId="121">
    <w:name w:val="Revision"/>
    <w:unhideWhenUsed/>
    <w:qFormat/>
    <w:uiPriority w:val="99"/>
    <w:rPr>
      <w:rFonts w:ascii="宋体" w:hAnsi="宋体" w:eastAsia="宋体" w:cs="Times New Roman"/>
      <w:kern w:val="2"/>
      <w:sz w:val="24"/>
      <w:szCs w:val="24"/>
      <w:lang w:val="en-US" w:eastAsia="zh-CN" w:bidi="ar-SA"/>
    </w:rPr>
  </w:style>
  <w:style w:type="paragraph" w:customStyle="1" w:styleId="122">
    <w:name w:val="列出段落2"/>
    <w:basedOn w:val="1"/>
    <w:qFormat/>
    <w:uiPriority w:val="0"/>
    <w:pPr>
      <w:spacing w:line="240" w:lineRule="auto"/>
      <w:ind w:firstLine="420"/>
    </w:pPr>
    <w:rPr>
      <w:rFonts w:ascii="等线" w:hAnsi="等线" w:eastAsia="等线" w:cs="等线"/>
      <w:sz w:val="21"/>
      <w:szCs w:val="21"/>
    </w:rPr>
  </w:style>
  <w:style w:type="paragraph" w:customStyle="1" w:styleId="123">
    <w:name w:val="xl69"/>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kern w:val="0"/>
      <w:sz w:val="18"/>
      <w:szCs w:val="18"/>
    </w:rPr>
  </w:style>
  <w:style w:type="paragraph" w:customStyle="1" w:styleId="124">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b/>
      <w:bCs/>
      <w:kern w:val="0"/>
      <w:sz w:val="18"/>
      <w:szCs w:val="18"/>
    </w:rPr>
  </w:style>
  <w:style w:type="paragraph" w:customStyle="1" w:styleId="125">
    <w:name w:val="文档正文文本（中安网脉）"/>
    <w:basedOn w:val="1"/>
    <w:qFormat/>
    <w:uiPriority w:val="0"/>
    <w:pPr>
      <w:ind w:firstLine="200"/>
    </w:pPr>
    <w:rPr>
      <w:rFonts w:ascii="Times New Roman" w:hAnsi="Times New Roman" w:eastAsia="仿宋_GB2312"/>
      <w:color w:val="000000"/>
      <w:szCs w:val="28"/>
    </w:rPr>
  </w:style>
  <w:style w:type="paragraph" w:customStyle="1" w:styleId="126">
    <w:name w:val="xl6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Microsoft Sans Serif" w:hAnsi="Microsoft Sans Serif" w:cs="Microsoft Sans Serif"/>
      <w:kern w:val="0"/>
      <w:sz w:val="18"/>
      <w:szCs w:val="18"/>
    </w:rPr>
  </w:style>
  <w:style w:type="paragraph" w:customStyle="1" w:styleId="127">
    <w:name w:val="正文样式"/>
    <w:unhideWhenUsed/>
    <w:qFormat/>
    <w:uiPriority w:val="0"/>
    <w:pPr>
      <w:widowControl w:val="0"/>
      <w:adjustRightInd w:val="0"/>
      <w:snapToGrid w:val="0"/>
      <w:spacing w:line="360" w:lineRule="auto"/>
      <w:ind w:firstLine="200" w:firstLineChars="200"/>
      <w:jc w:val="both"/>
    </w:pPr>
    <w:rPr>
      <w:rFonts w:ascii="Times New Roman" w:hAnsi="Times New Roman" w:eastAsia="宋体" w:cs="Times New Roman"/>
      <w:bCs/>
      <w:snapToGrid w:val="0"/>
      <w:sz w:val="24"/>
      <w:szCs w:val="44"/>
      <w:lang w:val="en-US" w:eastAsia="zh-CN" w:bidi="ar-SA"/>
    </w:rPr>
  </w:style>
  <w:style w:type="paragraph" w:customStyle="1" w:styleId="128">
    <w:name w:val="样式 行距: 1.5 倍行距 首行缩进:  2 字符"/>
    <w:basedOn w:val="1"/>
    <w:qFormat/>
    <w:uiPriority w:val="0"/>
    <w:pPr>
      <w:ind w:firstLine="560"/>
      <w:jc w:val="left"/>
    </w:pPr>
    <w:rPr>
      <w:rFonts w:ascii="仿宋" w:hAnsi="仿宋" w:eastAsia="仿宋" w:cs="宋体"/>
      <w:sz w:val="28"/>
      <w:szCs w:val="20"/>
    </w:rPr>
  </w:style>
  <w:style w:type="paragraph" w:customStyle="1" w:styleId="129">
    <w:name w:val="TOC Heading"/>
    <w:basedOn w:val="2"/>
    <w:next w:val="1"/>
    <w:qFormat/>
    <w:uiPriority w:val="39"/>
    <w:pPr>
      <w:widowControl/>
      <w:numPr>
        <w:numId w:val="0"/>
      </w:numPr>
      <w:spacing w:before="480" w:after="0" w:line="276" w:lineRule="auto"/>
      <w:jc w:val="left"/>
      <w:outlineLvl w:val="9"/>
    </w:pPr>
    <w:rPr>
      <w:rFonts w:ascii="Cambria" w:hAnsi="Cambria" w:eastAsia="宋体"/>
      <w:color w:val="365F91"/>
      <w:kern w:val="0"/>
      <w:sz w:val="28"/>
    </w:rPr>
  </w:style>
  <w:style w:type="table" w:customStyle="1" w:styleId="130">
    <w:name w:val="!我的表格1"/>
    <w:basedOn w:val="3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1">
    <w:name w:val="网格型1"/>
    <w:basedOn w:val="35"/>
    <w:unhideWhenUsed/>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2">
    <w:name w:val="标题 1 Char"/>
    <w:qFormat/>
    <w:uiPriority w:val="0"/>
    <w:rPr>
      <w:rFonts w:ascii="宋体" w:hAnsi="宋体" w:eastAsia="黑体"/>
      <w:b/>
      <w:bCs/>
      <w:kern w:val="44"/>
      <w:sz w:val="32"/>
      <w:szCs w:val="28"/>
    </w:rPr>
  </w:style>
  <w:style w:type="character" w:customStyle="1" w:styleId="133">
    <w:name w:val="纯文本 Char2"/>
    <w:qFormat/>
    <w:uiPriority w:val="0"/>
    <w:rPr>
      <w:rFonts w:ascii="宋体" w:hAnsi="宋体" w:eastAsia="宋体" w:cs="Times New Roman"/>
      <w:color w:val="000000"/>
      <w:kern w:val="0"/>
      <w:sz w:val="24"/>
      <w:szCs w:val="24"/>
    </w:rPr>
  </w:style>
  <w:style w:type="paragraph" w:customStyle="1" w:styleId="134">
    <w:name w:val="列出段落1"/>
    <w:basedOn w:val="1"/>
    <w:qFormat/>
    <w:uiPriority w:val="34"/>
    <w:pPr>
      <w:spacing w:line="240" w:lineRule="auto"/>
      <w:ind w:firstLine="420"/>
    </w:pPr>
    <w:rPr>
      <w:rFonts w:ascii="Calibri" w:hAnsi="Calibri"/>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21</Pages>
  <Words>1944</Words>
  <Characters>1979</Characters>
  <Lines>65</Lines>
  <Paragraphs>18</Paragraphs>
  <TotalTime>66</TotalTime>
  <ScaleCrop>false</ScaleCrop>
  <LinksUpToDate>false</LinksUpToDate>
  <CharactersWithSpaces>1979</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2022-12-26T09:54:00Z</dcterms:created>
  <dc:creator>gtig_tzb</dc:creator>
  <cp:lastModifiedBy>王婉婷</cp:lastModifiedBy>
  <cp:lastPrinted>2020-08-09T20:08:00Z</cp:lastPrinted>
  <dcterms:modified xsi:type="dcterms:W3CDTF">2026-04-17T14:03:28Z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791FAE6D8E7A40A9A84855E59855D75C_13</vt:lpwstr>
  </property>
  <property fmtid="{D5CDD505-2E9C-101B-9397-08002B2CF9AE}" pid="4" name="KSOTemplateDocerSaveRecord">
    <vt:lpwstr>eyJoZGlkIjoiMTQxZmVlYTNkYzUzZTAzZDI0NGY3MDRiZGZhYjkwZWUiLCJ1c2VySWQiOiI5MDgzNDM0NjYifQ==</vt:lpwstr>
  </property>
</Properties>
</file>