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E5C3F">
      <w:pPr>
        <w:ind w:firstLine="0" w:firstLineChars="0"/>
        <w:jc w:val="center"/>
        <w:rPr>
          <w:rFonts w:hint="eastAsia" w:ascii="黑体" w:hAnsi="黑体" w:eastAsia="黑体"/>
          <w:sz w:val="48"/>
          <w:szCs w:val="48"/>
        </w:rPr>
      </w:pPr>
    </w:p>
    <w:p w14:paraId="1DDFF5A4">
      <w:pPr>
        <w:ind w:firstLine="0" w:firstLineChars="0"/>
        <w:jc w:val="center"/>
        <w:rPr>
          <w:rFonts w:hint="eastAsia" w:ascii="黑体" w:hAnsi="黑体" w:eastAsia="黑体"/>
          <w:sz w:val="48"/>
          <w:szCs w:val="48"/>
        </w:rPr>
      </w:pPr>
    </w:p>
    <w:p w14:paraId="2C676E06">
      <w:pPr>
        <w:ind w:firstLine="0" w:firstLineChars="0"/>
        <w:jc w:val="center"/>
        <w:rPr>
          <w:rFonts w:hint="eastAsia" w:ascii="黑体" w:hAnsi="黑体" w:eastAsia="黑体"/>
          <w:sz w:val="52"/>
          <w:szCs w:val="52"/>
        </w:rPr>
      </w:pPr>
      <w:r>
        <w:rPr>
          <w:rFonts w:hint="eastAsia" w:ascii="黑体" w:hAnsi="黑体" w:eastAsia="黑体"/>
          <w:sz w:val="52"/>
          <w:szCs w:val="52"/>
        </w:rPr>
        <w:t>上海市低空智能网联系统项目</w:t>
      </w:r>
    </w:p>
    <w:p w14:paraId="786D352E">
      <w:pPr>
        <w:ind w:firstLine="0" w:firstLineChars="0"/>
        <w:jc w:val="center"/>
        <w:rPr>
          <w:rFonts w:hint="eastAsia" w:ascii="黑体" w:hAnsi="黑体" w:eastAsia="黑体"/>
          <w:sz w:val="52"/>
          <w:szCs w:val="52"/>
        </w:rPr>
      </w:pPr>
      <w:r>
        <w:rPr>
          <w:rFonts w:hint="eastAsia" w:ascii="黑体" w:hAnsi="黑体" w:eastAsia="黑体"/>
          <w:sz w:val="52"/>
          <w:szCs w:val="52"/>
        </w:rPr>
        <w:t>采购需求</w:t>
      </w:r>
    </w:p>
    <w:p w14:paraId="667C0EFA">
      <w:pPr>
        <w:ind w:firstLine="0" w:firstLineChars="0"/>
        <w:jc w:val="center"/>
        <w:rPr>
          <w:rFonts w:hint="eastAsia" w:ascii="黑体" w:hAnsi="黑体" w:eastAsia="黑体"/>
          <w:sz w:val="72"/>
          <w:szCs w:val="72"/>
        </w:rPr>
      </w:pPr>
    </w:p>
    <w:p w14:paraId="4E77F385">
      <w:pPr>
        <w:ind w:firstLine="0" w:firstLineChars="0"/>
        <w:jc w:val="center"/>
        <w:rPr>
          <w:rFonts w:hint="eastAsia" w:ascii="黑体" w:hAnsi="黑体" w:eastAsia="黑体"/>
          <w:sz w:val="48"/>
          <w:szCs w:val="48"/>
        </w:rPr>
      </w:pPr>
    </w:p>
    <w:p w14:paraId="5DCF5AF4">
      <w:pPr>
        <w:ind w:firstLine="0" w:firstLineChars="0"/>
        <w:jc w:val="center"/>
        <w:rPr>
          <w:rFonts w:hint="eastAsia" w:ascii="黑体" w:hAnsi="黑体" w:eastAsia="黑体"/>
          <w:sz w:val="52"/>
          <w:szCs w:val="52"/>
        </w:rPr>
      </w:pPr>
    </w:p>
    <w:p w14:paraId="063EFA69">
      <w:pPr>
        <w:ind w:firstLine="1040"/>
        <w:rPr>
          <w:rFonts w:hint="eastAsia" w:ascii="黑体" w:hAnsi="黑体" w:eastAsia="黑体"/>
          <w:sz w:val="52"/>
          <w:szCs w:val="52"/>
        </w:rPr>
      </w:pPr>
    </w:p>
    <w:p w14:paraId="4EAD2903">
      <w:pPr>
        <w:rPr>
          <w:rFonts w:hint="eastAsia"/>
        </w:rPr>
      </w:pPr>
    </w:p>
    <w:p w14:paraId="3BE300B3">
      <w:pPr>
        <w:rPr>
          <w:rFonts w:hint="eastAsia"/>
        </w:rPr>
      </w:pPr>
    </w:p>
    <w:p w14:paraId="20B4F46A">
      <w:pPr>
        <w:rPr>
          <w:rFonts w:hint="eastAsia"/>
        </w:rPr>
      </w:pPr>
    </w:p>
    <w:p w14:paraId="69E8EA19">
      <w:pPr>
        <w:rPr>
          <w:rFonts w:hint="eastAsia"/>
        </w:rPr>
      </w:pPr>
    </w:p>
    <w:p w14:paraId="244CA346">
      <w:pPr>
        <w:rPr>
          <w:rFonts w:hint="eastAsia"/>
        </w:rPr>
      </w:pPr>
    </w:p>
    <w:p w14:paraId="04970F55">
      <w:pPr>
        <w:ind w:firstLine="1040"/>
        <w:rPr>
          <w:rFonts w:hint="eastAsia" w:ascii="黑体" w:hAnsi="黑体" w:eastAsia="黑体"/>
          <w:sz w:val="52"/>
          <w:szCs w:val="52"/>
        </w:rPr>
      </w:pPr>
    </w:p>
    <w:p w14:paraId="7DF4BF72">
      <w:pPr>
        <w:jc w:val="center"/>
        <w:rPr>
          <w:rFonts w:hint="eastAsia"/>
        </w:rPr>
        <w:sectPr>
          <w:headerReference r:id="rId7" w:type="first"/>
          <w:footerReference r:id="rId10" w:type="first"/>
          <w:headerReference r:id="rId5" w:type="default"/>
          <w:footerReference r:id="rId8" w:type="default"/>
          <w:headerReference r:id="rId6" w:type="even"/>
          <w:footerReference r:id="rId9" w:type="even"/>
          <w:pgSz w:w="11906" w:h="16838"/>
          <w:pgMar w:top="1134" w:right="1797" w:bottom="1135" w:left="1797" w:header="340" w:footer="7" w:gutter="0"/>
          <w:pgNumType w:start="1"/>
          <w:cols w:space="720" w:num="1"/>
          <w:titlePg/>
          <w:docGrid w:type="linesAndChars" w:linePitch="326" w:charSpace="0"/>
        </w:sectPr>
      </w:pPr>
    </w:p>
    <w:p w14:paraId="7BBA9395">
      <w:pPr>
        <w:pStyle w:val="2"/>
        <w:rPr>
          <w:rFonts w:hint="eastAsia"/>
        </w:rPr>
      </w:pPr>
      <w:bookmarkStart w:id="0" w:name="_Toc63785461"/>
      <w:r>
        <w:rPr>
          <w:rFonts w:hint="eastAsia"/>
        </w:rPr>
        <w:t>项目概况</w:t>
      </w:r>
      <w:bookmarkEnd w:id="0"/>
    </w:p>
    <w:p w14:paraId="3BED3B0D">
      <w:pPr>
        <w:rPr>
          <w:rFonts w:hint="eastAsia" w:cs="宋体" w:asciiTheme="minorEastAsia" w:hAnsiTheme="minorEastAsia" w:eastAsiaTheme="minorEastAsia"/>
          <w:color w:val="000000"/>
        </w:rPr>
      </w:pPr>
      <w:r>
        <w:rPr>
          <w:rFonts w:hint="eastAsia" w:cs="宋体" w:asciiTheme="minorEastAsia" w:hAnsiTheme="minorEastAsia" w:eastAsiaTheme="minorEastAsia"/>
          <w:color w:val="000000"/>
        </w:rPr>
        <w:t>项目背景和现状：上海作为国家低空经济与无人驾驶航空重点试点城市，已构建全域协同的低空运行格局，形成57%市域适飞、分层管控、产业赋能、长三角联动的空域管理体系。全市无人机注册数量、相关市场主体规模与飞行架次实现规模化增长，低空经济产业生态初步成型。</w:t>
      </w:r>
    </w:p>
    <w:p w14:paraId="4B45D803">
      <w:pPr>
        <w:rPr>
          <w:rFonts w:hint="eastAsia" w:cs="宋体" w:asciiTheme="minorEastAsia" w:hAnsiTheme="minorEastAsia" w:eastAsiaTheme="minorEastAsia"/>
          <w:color w:val="000000"/>
        </w:rPr>
      </w:pPr>
      <w:r>
        <w:rPr>
          <w:rFonts w:hint="eastAsia" w:cs="宋体" w:asciiTheme="minorEastAsia" w:hAnsiTheme="minorEastAsia" w:eastAsiaTheme="minorEastAsia"/>
          <w:color w:val="000000"/>
        </w:rPr>
        <w:t>上海市低空飞行综合监管服务平台承担本市低空飞行行为报备管理以及低空飞行监视功能，警用无人机管控赋能平台承担本市警务低空飞行行为管理功能，本项目通过将现有两个平台进行整合、纳管，作为低空智能网联系统应用平台的两个子系统，分别承担民用及警用政务低空飞行服务管理和低空飞行安全监管功能。</w:t>
      </w:r>
    </w:p>
    <w:p w14:paraId="28288FBE">
      <w:pPr>
        <w:rPr>
          <w:rFonts w:hint="eastAsia" w:cs="宋体" w:asciiTheme="minorEastAsia" w:hAnsiTheme="minorEastAsia" w:eastAsiaTheme="minorEastAsia"/>
          <w:color w:val="000000"/>
        </w:rPr>
      </w:pPr>
      <w:r>
        <w:rPr>
          <w:rFonts w:hint="eastAsia" w:cs="宋体" w:asciiTheme="minorEastAsia" w:hAnsiTheme="minorEastAsia" w:eastAsiaTheme="minorEastAsia"/>
          <w:color w:val="000000"/>
        </w:rPr>
        <w:t>上海市“一张图”（城市智理时空一体化大系统）作为本项目数据底座的重要组成，将充分利用上海市“一张图”（城市智理时空一体化大系统）的已建能力，包括数据资源、时空功能等，避免数据重复采集和功能重复建设。本项目中新增公共时空数据及共性时空能力，将按照要求反馈接入市“一张图”集约复用。</w:t>
      </w:r>
    </w:p>
    <w:p w14:paraId="68D79181">
      <w:pPr>
        <w:rPr>
          <w:rFonts w:hint="eastAsia" w:cs="宋体" w:asciiTheme="minorEastAsia" w:hAnsiTheme="minorEastAsia" w:eastAsiaTheme="minorEastAsia"/>
          <w:color w:val="D13438"/>
        </w:rPr>
      </w:pPr>
      <w:r>
        <w:rPr>
          <w:rFonts w:cs="宋体" w:asciiTheme="minorEastAsia" w:hAnsiTheme="minorEastAsia" w:eastAsiaTheme="minorEastAsia"/>
          <w:color w:val="000000"/>
        </w:rPr>
        <w:t>为落实国家低空试点任务，破解现有平台分散、监管能力不足、安全防控薄弱等突出问题，亟需建设上海市低空智能网联系统：整合升级现有两大平台并纳入统一架构统筹管理，打通与国家级、区域级、平行单位及军民航、气象等数据接口；依托市“一张图”统一时空底座，实现资源集约共享；补齐探测反制融合、智能管控、风险预警、应急处置、数据安全等能力短板，构建全域协同、上下贯通、自主可控的低空管理体系，全面提升飞行服务效率与安全管控水平，保障城市公共安全，支撑上海低空经济高质量发展</w:t>
      </w:r>
      <w:r>
        <w:rPr>
          <w:rFonts w:hint="eastAsia" w:cs="宋体" w:asciiTheme="minorEastAsia" w:hAnsiTheme="minorEastAsia" w:eastAsiaTheme="minorEastAsia"/>
          <w:color w:val="000000"/>
        </w:rPr>
        <w:t>。</w:t>
      </w:r>
    </w:p>
    <w:p w14:paraId="540E06E4">
      <w:pPr>
        <w:spacing w:line="560" w:lineRule="exact"/>
        <w:rPr>
          <w:rFonts w:hint="eastAsia" w:cs="宋体" w:asciiTheme="minorEastAsia" w:hAnsiTheme="minorEastAsia" w:eastAsiaTheme="minorEastAsia"/>
        </w:rPr>
      </w:pPr>
      <w:r>
        <w:rPr>
          <w:rFonts w:hint="eastAsia" w:cs="宋体" w:asciiTheme="minorEastAsia" w:hAnsiTheme="minorEastAsia" w:eastAsiaTheme="minorEastAsia"/>
        </w:rPr>
        <w:t>建设期限：自合同签订之日起12个月</w:t>
      </w:r>
    </w:p>
    <w:p w14:paraId="42430228">
      <w:pPr>
        <w:spacing w:line="560" w:lineRule="exact"/>
        <w:rPr>
          <w:rFonts w:hint="eastAsia" w:cs="宋体" w:asciiTheme="minorEastAsia" w:hAnsiTheme="minorEastAsia" w:eastAsiaTheme="minorEastAsia"/>
        </w:rPr>
      </w:pPr>
      <w:r>
        <w:rPr>
          <w:rFonts w:hint="eastAsia" w:cs="宋体" w:asciiTheme="minorEastAsia" w:hAnsiTheme="minorEastAsia" w:eastAsiaTheme="minorEastAsia"/>
        </w:rPr>
        <w:t>建设地点：上海市大数据中心、上海市经济信息中心</w:t>
      </w:r>
    </w:p>
    <w:p w14:paraId="6D4F4874">
      <w:pPr>
        <w:spacing w:line="560" w:lineRule="exact"/>
        <w:rPr>
          <w:rFonts w:hint="eastAsia" w:cs="宋体" w:asciiTheme="minorEastAsia" w:hAnsiTheme="minorEastAsia" w:eastAsiaTheme="minorEastAsia"/>
        </w:rPr>
      </w:pPr>
      <w:r>
        <w:rPr>
          <w:rFonts w:hint="eastAsia" w:cs="宋体" w:asciiTheme="minorEastAsia" w:hAnsiTheme="minorEastAsia" w:eastAsiaTheme="minorEastAsia"/>
        </w:rPr>
        <w:t>预算金额：66,321,844.00 元</w:t>
      </w:r>
    </w:p>
    <w:p w14:paraId="6D732CCA">
      <w:pPr>
        <w:spacing w:line="560" w:lineRule="exact"/>
        <w:rPr>
          <w:rFonts w:hint="eastAsia" w:cs="宋体" w:asciiTheme="minorEastAsia" w:hAnsiTheme="minorEastAsia" w:eastAsiaTheme="minorEastAsia"/>
        </w:rPr>
      </w:pPr>
      <w:r>
        <w:rPr>
          <w:rFonts w:hint="eastAsia" w:cs="宋体" w:asciiTheme="minorEastAsia" w:hAnsiTheme="minorEastAsia" w:eastAsiaTheme="minorEastAsia"/>
        </w:rPr>
        <w:t>当年度预算金额：13,240,000.00元</w:t>
      </w:r>
    </w:p>
    <w:p w14:paraId="2041236F">
      <w:pPr>
        <w:spacing w:line="560" w:lineRule="exact"/>
        <w:rPr>
          <w:rFonts w:hint="eastAsia" w:cs="宋体" w:asciiTheme="minorEastAsia" w:hAnsiTheme="minorEastAsia" w:eastAsiaTheme="minorEastAsia"/>
        </w:rPr>
      </w:pPr>
      <w:r>
        <w:rPr>
          <w:rFonts w:hint="eastAsia" w:cs="宋体" w:asciiTheme="minorEastAsia" w:hAnsiTheme="minorEastAsia" w:eastAsiaTheme="minorEastAsia"/>
        </w:rPr>
        <w:t>采购金额（最高限价）：66,321,844.00 元</w:t>
      </w:r>
    </w:p>
    <w:p w14:paraId="2B40DA4B">
      <w:pPr>
        <w:spacing w:line="560" w:lineRule="exact"/>
        <w:rPr>
          <w:rFonts w:hint="eastAsia" w:cs="宋体" w:asciiTheme="minorEastAsia" w:hAnsiTheme="minorEastAsia" w:eastAsiaTheme="minorEastAsia"/>
        </w:rPr>
      </w:pPr>
      <w:r>
        <w:rPr>
          <w:rFonts w:hint="eastAsia" w:cs="宋体" w:asciiTheme="minorEastAsia" w:hAnsiTheme="minorEastAsia" w:eastAsiaTheme="minorEastAsia"/>
        </w:rPr>
        <w:t>组织形式：集中采购</w:t>
      </w:r>
    </w:p>
    <w:p w14:paraId="360915C9">
      <w:pPr>
        <w:spacing w:line="560" w:lineRule="exact"/>
        <w:rPr>
          <w:rFonts w:hint="eastAsia" w:cs="宋体" w:asciiTheme="minorEastAsia" w:hAnsiTheme="minorEastAsia" w:eastAsiaTheme="minorEastAsia"/>
        </w:rPr>
      </w:pPr>
      <w:r>
        <w:rPr>
          <w:rFonts w:hint="eastAsia" w:cs="宋体" w:asciiTheme="minorEastAsia" w:hAnsiTheme="minorEastAsia" w:eastAsiaTheme="minorEastAsia"/>
        </w:rPr>
        <w:t>采购方式：公开招标</w:t>
      </w:r>
    </w:p>
    <w:p w14:paraId="5A4BB066">
      <w:pPr>
        <w:spacing w:line="560" w:lineRule="exact"/>
        <w:rPr>
          <w:rFonts w:hint="eastAsia" w:cs="宋体" w:asciiTheme="minorEastAsia" w:hAnsiTheme="minorEastAsia" w:eastAsiaTheme="minorEastAsia"/>
        </w:rPr>
      </w:pPr>
      <w:r>
        <w:rPr>
          <w:rFonts w:hint="eastAsia" w:cs="宋体" w:asciiTheme="minorEastAsia" w:hAnsiTheme="minorEastAsia" w:eastAsiaTheme="minorEastAsia"/>
        </w:rPr>
        <w:t>是否接受联合体投标：是</w:t>
      </w:r>
    </w:p>
    <w:p w14:paraId="0CEAB263">
      <w:pPr>
        <w:spacing w:line="560" w:lineRule="exact"/>
        <w:rPr>
          <w:rFonts w:hint="eastAsia" w:cs="宋体" w:asciiTheme="minorEastAsia" w:hAnsiTheme="minorEastAsia" w:eastAsiaTheme="minorEastAsia"/>
        </w:rPr>
      </w:pPr>
      <w:r>
        <w:rPr>
          <w:rFonts w:hint="eastAsia" w:cs="宋体" w:asciiTheme="minorEastAsia" w:hAnsiTheme="minorEastAsia" w:eastAsiaTheme="minorEastAsia"/>
        </w:rPr>
        <w:t>是否按XC要求建设：是</w:t>
      </w:r>
    </w:p>
    <w:p w14:paraId="5EBAE4FC">
      <w:pPr>
        <w:spacing w:line="560" w:lineRule="exact"/>
        <w:rPr>
          <w:rFonts w:hint="eastAsia" w:cs="宋体" w:asciiTheme="minorEastAsia" w:hAnsiTheme="minorEastAsia" w:eastAsiaTheme="minorEastAsia"/>
        </w:rPr>
      </w:pPr>
      <w:r>
        <w:rPr>
          <w:rFonts w:hint="eastAsia" w:cs="宋体" w:asciiTheme="minorEastAsia" w:hAnsiTheme="minorEastAsia" w:eastAsiaTheme="minorEastAsia"/>
        </w:rPr>
        <w:t>是否采用低代码建设：否</w:t>
      </w:r>
    </w:p>
    <w:p w14:paraId="699FCE49">
      <w:pPr>
        <w:spacing w:line="560" w:lineRule="exact"/>
        <w:rPr>
          <w:rFonts w:hint="eastAsia" w:cs="宋体" w:asciiTheme="minorEastAsia" w:hAnsiTheme="minorEastAsia" w:eastAsiaTheme="minorEastAsia"/>
        </w:rPr>
      </w:pPr>
      <w:r>
        <w:rPr>
          <w:rFonts w:hint="eastAsia" w:cs="宋体" w:asciiTheme="minorEastAsia" w:hAnsiTheme="minorEastAsia" w:eastAsiaTheme="minorEastAsia"/>
        </w:rPr>
        <w:t>运维后所属大系统：上海市低空智能网联系统</w:t>
      </w:r>
    </w:p>
    <w:p w14:paraId="7EF3C3BB">
      <w:pPr>
        <w:pStyle w:val="2"/>
        <w:rPr>
          <w:rFonts w:hint="eastAsia"/>
        </w:rPr>
      </w:pPr>
      <w:bookmarkStart w:id="1" w:name="_Toc47533256"/>
      <w:bookmarkEnd w:id="1"/>
      <w:bookmarkStart w:id="2" w:name="_Toc47539070"/>
      <w:bookmarkEnd w:id="2"/>
      <w:bookmarkStart w:id="3" w:name="_Toc47536272"/>
      <w:bookmarkEnd w:id="3"/>
      <w:bookmarkStart w:id="4" w:name="_Toc47532255"/>
      <w:bookmarkEnd w:id="4"/>
      <w:bookmarkStart w:id="5" w:name="_Toc47537134"/>
      <w:bookmarkEnd w:id="5"/>
      <w:bookmarkStart w:id="6" w:name="_Toc47531634"/>
      <w:bookmarkEnd w:id="6"/>
      <w:bookmarkStart w:id="7" w:name="_Toc47532891"/>
      <w:bookmarkEnd w:id="7"/>
      <w:bookmarkStart w:id="8" w:name="_Toc47536644"/>
      <w:bookmarkEnd w:id="8"/>
      <w:bookmarkStart w:id="9" w:name="_Toc63785463"/>
      <w:bookmarkStart w:id="10" w:name="_Toc48223882"/>
      <w:r>
        <w:rPr>
          <w:rFonts w:hint="eastAsia"/>
        </w:rPr>
        <w:t>建设目标</w:t>
      </w:r>
      <w:bookmarkEnd w:id="9"/>
      <w:bookmarkEnd w:id="10"/>
    </w:p>
    <w:p w14:paraId="5965A14B">
      <w:pPr>
        <w:pStyle w:val="3"/>
        <w:rPr>
          <w:rFonts w:hint="eastAsia"/>
        </w:rPr>
      </w:pPr>
      <w:r>
        <w:rPr>
          <w:rFonts w:hint="eastAsia"/>
        </w:rPr>
        <w:t>项目目标</w:t>
      </w:r>
    </w:p>
    <w:p w14:paraId="593E3CF0">
      <w:pPr>
        <w:rPr>
          <w:rFonts w:hint="eastAsia"/>
          <w:bCs/>
        </w:rPr>
      </w:pPr>
      <w:r>
        <w:rPr>
          <w:rFonts w:hint="eastAsia"/>
          <w:bCs/>
        </w:rPr>
        <w:t>考虑上海超大城市特点，上海市低空智能网联系统作为城市级智能网联系统，按照《导则》要求同时承担省市两级平台功能，平台以基础保障、统筹协调为主，具备低空信息汇聚、低空飞行服务、低空运行管理、低空设施设备管理和低空安全监管等功能，是本市低空经济管理的重要承载平台，是本市空域申请、飞行活动申请的唯一入口，逐步整合已有各类飞行服务平台、通航飞行服务站等职能。</w:t>
      </w:r>
    </w:p>
    <w:p w14:paraId="328555B6">
      <w:pPr>
        <w:rPr>
          <w:rFonts w:hint="eastAsia"/>
          <w:bCs/>
        </w:rPr>
      </w:pPr>
      <w:r>
        <w:rPr>
          <w:rFonts w:hint="eastAsia"/>
          <w:bCs/>
        </w:rPr>
        <w:t>（1）统筹管理。构建军地民协同工作机制与低空空域管理“单一窗口”，实现空域规划、飞行审批、应急处置、数据共享等环节的高效协同。</w:t>
      </w:r>
    </w:p>
    <w:p w14:paraId="44D6B568">
      <w:pPr>
        <w:rPr>
          <w:rFonts w:hint="eastAsia"/>
          <w:bCs/>
        </w:rPr>
      </w:pPr>
      <w:r>
        <w:rPr>
          <w:rFonts w:hint="eastAsia"/>
          <w:bCs/>
        </w:rPr>
        <w:t>（2）安全监管。构建“全域覆盖、动态可控、精准高效”的安全监管体系，实现低空飞行活动可视、可管、可控。</w:t>
      </w:r>
    </w:p>
    <w:p w14:paraId="0286A2E3">
      <w:pPr>
        <w:rPr>
          <w:rFonts w:hint="eastAsia"/>
          <w:bCs/>
        </w:rPr>
      </w:pPr>
      <w:r>
        <w:rPr>
          <w:rFonts w:hint="eastAsia"/>
          <w:bCs/>
        </w:rPr>
        <w:t>（3）飞行服务。面向无人机企业、政务飞行单位和个人消费者，提供飞行计划申报、航行情报和气象等一站式服务。</w:t>
      </w:r>
    </w:p>
    <w:p w14:paraId="1B3E94D6">
      <w:pPr>
        <w:rPr>
          <w:rFonts w:hint="eastAsia"/>
          <w:bCs/>
        </w:rPr>
      </w:pPr>
      <w:r>
        <w:rPr>
          <w:rFonts w:hint="eastAsia"/>
          <w:bCs/>
        </w:rPr>
        <w:t>（4）数据底座。构建全域覆盖、标准统一、安全可信的低空数据体系与时空智能计算分析能力，为空域精细化管理和飞行安全监管提供数据支撑。</w:t>
      </w:r>
    </w:p>
    <w:p w14:paraId="4694515B">
      <w:pPr>
        <w:pStyle w:val="3"/>
        <w:rPr>
          <w:rFonts w:hint="eastAsia"/>
        </w:rPr>
      </w:pPr>
      <w:r>
        <w:rPr>
          <w:rFonts w:hint="eastAsia"/>
        </w:rPr>
        <w:t>项目成效考核目标</w:t>
      </w:r>
    </w:p>
    <w:tbl>
      <w:tblPr>
        <w:tblStyle w:val="35"/>
        <w:tblW w:w="0" w:type="auto"/>
        <w:tblInd w:w="113" w:type="dxa"/>
        <w:tblLayout w:type="autofit"/>
        <w:tblCellMar>
          <w:top w:w="0" w:type="dxa"/>
          <w:left w:w="108" w:type="dxa"/>
          <w:bottom w:w="0" w:type="dxa"/>
          <w:right w:w="108" w:type="dxa"/>
        </w:tblCellMar>
      </w:tblPr>
      <w:tblGrid>
        <w:gridCol w:w="698"/>
        <w:gridCol w:w="1180"/>
        <w:gridCol w:w="1202"/>
        <w:gridCol w:w="3827"/>
        <w:gridCol w:w="1332"/>
      </w:tblGrid>
      <w:tr w14:paraId="66F0572C">
        <w:tblPrEx>
          <w:tblCellMar>
            <w:top w:w="0" w:type="dxa"/>
            <w:left w:w="108" w:type="dxa"/>
            <w:bottom w:w="0" w:type="dxa"/>
            <w:right w:w="108" w:type="dxa"/>
          </w:tblCellMar>
        </w:tblPrEx>
        <w:trPr>
          <w:trHeight w:val="454" w:hRule="atLeast"/>
        </w:trPr>
        <w:tc>
          <w:tcPr>
            <w:tcW w:w="0" w:type="auto"/>
            <w:tcBorders>
              <w:top w:val="single" w:color="auto" w:sz="4" w:space="0"/>
              <w:left w:val="single" w:color="auto" w:sz="4" w:space="0"/>
              <w:bottom w:val="single" w:color="auto" w:sz="4" w:space="0"/>
              <w:right w:val="single" w:color="auto" w:sz="4" w:space="0"/>
            </w:tcBorders>
            <w:vAlign w:val="center"/>
          </w:tcPr>
          <w:p w14:paraId="617159D3">
            <w:pPr>
              <w:keepNext w:val="0"/>
              <w:keepLines w:val="0"/>
              <w:widowControl/>
              <w:suppressLineNumbers w:val="0"/>
              <w:spacing w:before="0" w:beforeAutospacing="0" w:after="0" w:afterAutospacing="0" w:line="240" w:lineRule="auto"/>
              <w:ind w:left="0" w:right="0" w:firstLine="0" w:firstLineChars="0"/>
              <w:jc w:val="center"/>
              <w:rPr>
                <w:rFonts w:hint="eastAsia" w:cs="宋体"/>
                <w:b/>
                <w:bCs/>
                <w:kern w:val="0"/>
              </w:rPr>
            </w:pPr>
            <w:r>
              <w:rPr>
                <w:rFonts w:hint="eastAsia" w:cs="宋体"/>
                <w:b/>
                <w:bCs/>
                <w:kern w:val="0"/>
              </w:rPr>
              <w:t>序号</w:t>
            </w:r>
          </w:p>
        </w:tc>
        <w:tc>
          <w:tcPr>
            <w:tcW w:w="0" w:type="auto"/>
            <w:tcBorders>
              <w:top w:val="single" w:color="auto" w:sz="4" w:space="0"/>
              <w:left w:val="nil"/>
              <w:bottom w:val="single" w:color="auto" w:sz="4" w:space="0"/>
              <w:right w:val="single" w:color="auto" w:sz="4" w:space="0"/>
            </w:tcBorders>
            <w:vAlign w:val="center"/>
          </w:tcPr>
          <w:p w14:paraId="6F379D46">
            <w:pPr>
              <w:keepNext w:val="0"/>
              <w:keepLines w:val="0"/>
              <w:widowControl/>
              <w:suppressLineNumbers w:val="0"/>
              <w:spacing w:before="0" w:beforeAutospacing="0" w:after="0" w:afterAutospacing="0" w:line="240" w:lineRule="auto"/>
              <w:ind w:left="0" w:right="0" w:firstLine="0" w:firstLineChars="0"/>
              <w:jc w:val="center"/>
              <w:rPr>
                <w:rFonts w:hint="eastAsia" w:cs="宋体"/>
                <w:b/>
                <w:bCs/>
                <w:kern w:val="0"/>
              </w:rPr>
            </w:pPr>
            <w:r>
              <w:rPr>
                <w:rFonts w:hint="eastAsia" w:cs="宋体"/>
                <w:b/>
                <w:bCs/>
                <w:kern w:val="0"/>
              </w:rPr>
              <w:t>一级指标</w:t>
            </w:r>
          </w:p>
        </w:tc>
        <w:tc>
          <w:tcPr>
            <w:tcW w:w="1202" w:type="dxa"/>
            <w:tcBorders>
              <w:top w:val="single" w:color="auto" w:sz="4" w:space="0"/>
              <w:left w:val="nil"/>
              <w:bottom w:val="single" w:color="auto" w:sz="4" w:space="0"/>
              <w:right w:val="single" w:color="auto" w:sz="4" w:space="0"/>
            </w:tcBorders>
            <w:vAlign w:val="center"/>
          </w:tcPr>
          <w:p w14:paraId="25C46538">
            <w:pPr>
              <w:keepNext w:val="0"/>
              <w:keepLines w:val="0"/>
              <w:widowControl/>
              <w:suppressLineNumbers w:val="0"/>
              <w:spacing w:before="0" w:beforeAutospacing="0" w:after="0" w:afterAutospacing="0" w:line="240" w:lineRule="auto"/>
              <w:ind w:left="0" w:right="0" w:firstLine="0" w:firstLineChars="0"/>
              <w:jc w:val="center"/>
              <w:rPr>
                <w:rFonts w:hint="eastAsia" w:cs="宋体"/>
                <w:b/>
                <w:bCs/>
                <w:kern w:val="0"/>
              </w:rPr>
            </w:pPr>
            <w:r>
              <w:rPr>
                <w:rFonts w:hint="eastAsia" w:cs="宋体"/>
                <w:b/>
                <w:bCs/>
                <w:kern w:val="0"/>
              </w:rPr>
              <w:t>二级指标</w:t>
            </w:r>
          </w:p>
        </w:tc>
        <w:tc>
          <w:tcPr>
            <w:tcW w:w="3827" w:type="dxa"/>
            <w:tcBorders>
              <w:top w:val="single" w:color="auto" w:sz="4" w:space="0"/>
              <w:left w:val="nil"/>
              <w:bottom w:val="single" w:color="auto" w:sz="4" w:space="0"/>
              <w:right w:val="single" w:color="auto" w:sz="4" w:space="0"/>
            </w:tcBorders>
            <w:vAlign w:val="center"/>
          </w:tcPr>
          <w:p w14:paraId="53A88ECE">
            <w:pPr>
              <w:keepNext w:val="0"/>
              <w:keepLines w:val="0"/>
              <w:widowControl/>
              <w:suppressLineNumbers w:val="0"/>
              <w:spacing w:before="0" w:beforeAutospacing="0" w:after="0" w:afterAutospacing="0" w:line="240" w:lineRule="auto"/>
              <w:ind w:left="0" w:right="0" w:firstLine="0" w:firstLineChars="0"/>
              <w:jc w:val="center"/>
              <w:rPr>
                <w:rFonts w:hint="eastAsia" w:cs="宋体"/>
                <w:b/>
                <w:bCs/>
                <w:kern w:val="0"/>
              </w:rPr>
            </w:pPr>
            <w:r>
              <w:rPr>
                <w:rFonts w:hint="eastAsia" w:cs="宋体"/>
                <w:b/>
                <w:bCs/>
                <w:kern w:val="0"/>
              </w:rPr>
              <w:t>三级指标</w:t>
            </w:r>
          </w:p>
        </w:tc>
        <w:tc>
          <w:tcPr>
            <w:tcW w:w="1332" w:type="dxa"/>
            <w:tcBorders>
              <w:top w:val="single" w:color="auto" w:sz="4" w:space="0"/>
              <w:left w:val="nil"/>
              <w:bottom w:val="single" w:color="auto" w:sz="4" w:space="0"/>
              <w:right w:val="single" w:color="auto" w:sz="4" w:space="0"/>
            </w:tcBorders>
            <w:vAlign w:val="center"/>
          </w:tcPr>
          <w:p w14:paraId="10828075">
            <w:pPr>
              <w:keepNext w:val="0"/>
              <w:keepLines w:val="0"/>
              <w:widowControl/>
              <w:suppressLineNumbers w:val="0"/>
              <w:spacing w:before="0" w:beforeAutospacing="0" w:after="0" w:afterAutospacing="0" w:line="240" w:lineRule="auto"/>
              <w:ind w:left="0" w:right="0" w:firstLine="0" w:firstLineChars="0"/>
              <w:jc w:val="center"/>
              <w:rPr>
                <w:rFonts w:hint="eastAsia" w:cs="宋体"/>
                <w:b/>
                <w:bCs/>
                <w:kern w:val="0"/>
              </w:rPr>
            </w:pPr>
            <w:r>
              <w:rPr>
                <w:rFonts w:hint="eastAsia" w:cs="宋体"/>
                <w:b/>
                <w:bCs/>
                <w:kern w:val="0"/>
              </w:rPr>
              <w:t>指标值</w:t>
            </w:r>
          </w:p>
        </w:tc>
      </w:tr>
      <w:tr w14:paraId="6DFA571B">
        <w:trPr>
          <w:trHeight w:val="454" w:hRule="atLeast"/>
        </w:trPr>
        <w:tc>
          <w:tcPr>
            <w:tcW w:w="0" w:type="auto"/>
            <w:tcBorders>
              <w:top w:val="nil"/>
              <w:left w:val="single" w:color="auto" w:sz="4" w:space="0"/>
              <w:bottom w:val="single" w:color="auto" w:sz="4" w:space="0"/>
              <w:right w:val="single" w:color="auto" w:sz="4" w:space="0"/>
            </w:tcBorders>
            <w:vAlign w:val="center"/>
          </w:tcPr>
          <w:p w14:paraId="53301ABB">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restart"/>
            <w:tcBorders>
              <w:top w:val="nil"/>
              <w:left w:val="single" w:color="auto" w:sz="4" w:space="0"/>
              <w:bottom w:val="single" w:color="000000" w:sz="4" w:space="0"/>
              <w:right w:val="single" w:color="auto" w:sz="4" w:space="0"/>
            </w:tcBorders>
            <w:vAlign w:val="center"/>
          </w:tcPr>
          <w:p w14:paraId="7789364B">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技术指标</w:t>
            </w:r>
          </w:p>
        </w:tc>
        <w:tc>
          <w:tcPr>
            <w:tcW w:w="1202" w:type="dxa"/>
            <w:vMerge w:val="restart"/>
            <w:tcBorders>
              <w:top w:val="nil"/>
              <w:left w:val="single" w:color="auto" w:sz="4" w:space="0"/>
              <w:bottom w:val="single" w:color="auto" w:sz="4" w:space="0"/>
              <w:right w:val="single" w:color="auto" w:sz="4" w:space="0"/>
            </w:tcBorders>
            <w:vAlign w:val="center"/>
          </w:tcPr>
          <w:p w14:paraId="2B06D357">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产出数量</w:t>
            </w:r>
          </w:p>
        </w:tc>
        <w:tc>
          <w:tcPr>
            <w:tcW w:w="3827" w:type="dxa"/>
            <w:tcBorders>
              <w:top w:val="nil"/>
              <w:left w:val="nil"/>
              <w:bottom w:val="single" w:color="auto" w:sz="4" w:space="0"/>
              <w:right w:val="single" w:color="auto" w:sz="4" w:space="0"/>
            </w:tcBorders>
            <w:vAlign w:val="center"/>
          </w:tcPr>
          <w:p w14:paraId="147F871B">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软件开发完成率</w:t>
            </w:r>
          </w:p>
        </w:tc>
        <w:tc>
          <w:tcPr>
            <w:tcW w:w="1332" w:type="dxa"/>
            <w:tcBorders>
              <w:top w:val="nil"/>
              <w:left w:val="nil"/>
              <w:bottom w:val="single" w:color="auto" w:sz="4" w:space="0"/>
              <w:right w:val="single" w:color="auto" w:sz="4" w:space="0"/>
            </w:tcBorders>
            <w:vAlign w:val="center"/>
          </w:tcPr>
          <w:p w14:paraId="48BFB721">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100%</w:t>
            </w:r>
          </w:p>
        </w:tc>
      </w:tr>
      <w:tr w14:paraId="63CABC96">
        <w:tblPrEx>
          <w:tblCellMar>
            <w:top w:w="0" w:type="dxa"/>
            <w:left w:w="108" w:type="dxa"/>
            <w:bottom w:w="0" w:type="dxa"/>
            <w:right w:w="108" w:type="dxa"/>
          </w:tblCellMar>
        </w:tblPrEx>
        <w:trPr>
          <w:trHeight w:val="454" w:hRule="atLeast"/>
        </w:trPr>
        <w:tc>
          <w:tcPr>
            <w:tcW w:w="0" w:type="auto"/>
            <w:tcBorders>
              <w:top w:val="nil"/>
              <w:left w:val="single" w:color="auto" w:sz="4" w:space="0"/>
              <w:bottom w:val="single" w:color="auto" w:sz="4" w:space="0"/>
              <w:right w:val="single" w:color="auto" w:sz="4" w:space="0"/>
            </w:tcBorders>
            <w:vAlign w:val="center"/>
          </w:tcPr>
          <w:p w14:paraId="3EEFE40A">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nil"/>
              <w:left w:val="single" w:color="auto" w:sz="4" w:space="0"/>
              <w:bottom w:val="single" w:color="000000" w:sz="4" w:space="0"/>
              <w:right w:val="single" w:color="auto" w:sz="4" w:space="0"/>
            </w:tcBorders>
            <w:vAlign w:val="center"/>
          </w:tcPr>
          <w:p w14:paraId="179CA440">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vMerge w:val="continue"/>
            <w:tcBorders>
              <w:top w:val="nil"/>
              <w:left w:val="single" w:color="auto" w:sz="4" w:space="0"/>
              <w:bottom w:val="single" w:color="auto" w:sz="4" w:space="0"/>
              <w:right w:val="single" w:color="auto" w:sz="4" w:space="0"/>
            </w:tcBorders>
            <w:vAlign w:val="center"/>
          </w:tcPr>
          <w:p w14:paraId="1739606B">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3827" w:type="dxa"/>
            <w:tcBorders>
              <w:top w:val="nil"/>
              <w:left w:val="nil"/>
              <w:bottom w:val="single" w:color="auto" w:sz="4" w:space="0"/>
              <w:right w:val="single" w:color="auto" w:sz="4" w:space="0"/>
            </w:tcBorders>
            <w:vAlign w:val="center"/>
          </w:tcPr>
          <w:p w14:paraId="2055DF70">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软件产品购置完成率</w:t>
            </w:r>
          </w:p>
        </w:tc>
        <w:tc>
          <w:tcPr>
            <w:tcW w:w="1332" w:type="dxa"/>
            <w:tcBorders>
              <w:top w:val="nil"/>
              <w:left w:val="nil"/>
              <w:bottom w:val="single" w:color="auto" w:sz="4" w:space="0"/>
              <w:right w:val="single" w:color="auto" w:sz="4" w:space="0"/>
            </w:tcBorders>
            <w:vAlign w:val="center"/>
          </w:tcPr>
          <w:p w14:paraId="5077802A">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100%</w:t>
            </w:r>
          </w:p>
        </w:tc>
      </w:tr>
      <w:tr w14:paraId="3F95EE5D">
        <w:tblPrEx>
          <w:tblCellMar>
            <w:top w:w="0" w:type="dxa"/>
            <w:left w:w="108" w:type="dxa"/>
            <w:bottom w:w="0" w:type="dxa"/>
            <w:right w:w="108" w:type="dxa"/>
          </w:tblCellMar>
        </w:tblPrEx>
        <w:trPr>
          <w:trHeight w:val="454" w:hRule="atLeast"/>
        </w:trPr>
        <w:tc>
          <w:tcPr>
            <w:tcW w:w="0" w:type="auto"/>
            <w:tcBorders>
              <w:top w:val="nil"/>
              <w:left w:val="single" w:color="auto" w:sz="4" w:space="0"/>
              <w:bottom w:val="single" w:color="auto" w:sz="4" w:space="0"/>
              <w:right w:val="single" w:color="auto" w:sz="4" w:space="0"/>
            </w:tcBorders>
            <w:vAlign w:val="center"/>
          </w:tcPr>
          <w:p w14:paraId="49013131">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nil"/>
              <w:left w:val="single" w:color="auto" w:sz="4" w:space="0"/>
              <w:bottom w:val="single" w:color="000000" w:sz="4" w:space="0"/>
              <w:right w:val="single" w:color="auto" w:sz="4" w:space="0"/>
            </w:tcBorders>
            <w:vAlign w:val="center"/>
          </w:tcPr>
          <w:p w14:paraId="238B48C6">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vMerge w:val="continue"/>
            <w:tcBorders>
              <w:top w:val="nil"/>
              <w:left w:val="single" w:color="auto" w:sz="4" w:space="0"/>
              <w:bottom w:val="single" w:color="auto" w:sz="4" w:space="0"/>
              <w:right w:val="single" w:color="auto" w:sz="4" w:space="0"/>
            </w:tcBorders>
            <w:vAlign w:val="center"/>
          </w:tcPr>
          <w:p w14:paraId="4D5111A8">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3827" w:type="dxa"/>
            <w:tcBorders>
              <w:top w:val="nil"/>
              <w:left w:val="nil"/>
              <w:bottom w:val="single" w:color="auto" w:sz="4" w:space="0"/>
              <w:right w:val="single" w:color="auto" w:sz="4" w:space="0"/>
            </w:tcBorders>
            <w:vAlign w:val="center"/>
          </w:tcPr>
          <w:p w14:paraId="6DFB8265">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硬件设备购置完成率</w:t>
            </w:r>
          </w:p>
        </w:tc>
        <w:tc>
          <w:tcPr>
            <w:tcW w:w="1332" w:type="dxa"/>
            <w:tcBorders>
              <w:top w:val="nil"/>
              <w:left w:val="nil"/>
              <w:bottom w:val="single" w:color="auto" w:sz="4" w:space="0"/>
              <w:right w:val="single" w:color="auto" w:sz="4" w:space="0"/>
            </w:tcBorders>
            <w:vAlign w:val="center"/>
          </w:tcPr>
          <w:p w14:paraId="611F3D97">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100%</w:t>
            </w:r>
          </w:p>
        </w:tc>
      </w:tr>
      <w:tr w14:paraId="228662BF">
        <w:trPr>
          <w:trHeight w:val="454" w:hRule="atLeast"/>
        </w:trPr>
        <w:tc>
          <w:tcPr>
            <w:tcW w:w="0" w:type="auto"/>
            <w:tcBorders>
              <w:top w:val="nil"/>
              <w:left w:val="single" w:color="auto" w:sz="4" w:space="0"/>
              <w:bottom w:val="single" w:color="auto" w:sz="4" w:space="0"/>
              <w:right w:val="single" w:color="auto" w:sz="4" w:space="0"/>
            </w:tcBorders>
            <w:vAlign w:val="center"/>
          </w:tcPr>
          <w:p w14:paraId="2080DEC8">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nil"/>
              <w:left w:val="single" w:color="auto" w:sz="4" w:space="0"/>
              <w:bottom w:val="single" w:color="000000" w:sz="4" w:space="0"/>
              <w:right w:val="single" w:color="auto" w:sz="4" w:space="0"/>
            </w:tcBorders>
            <w:vAlign w:val="center"/>
          </w:tcPr>
          <w:p w14:paraId="77F000E7">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vMerge w:val="restart"/>
            <w:tcBorders>
              <w:top w:val="nil"/>
              <w:left w:val="single" w:color="auto" w:sz="4" w:space="0"/>
              <w:right w:val="single" w:color="auto" w:sz="4" w:space="0"/>
            </w:tcBorders>
            <w:vAlign w:val="center"/>
          </w:tcPr>
          <w:p w14:paraId="271BA07D">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产出质量</w:t>
            </w:r>
          </w:p>
        </w:tc>
        <w:tc>
          <w:tcPr>
            <w:tcW w:w="3827" w:type="dxa"/>
            <w:tcBorders>
              <w:top w:val="nil"/>
              <w:left w:val="nil"/>
              <w:bottom w:val="single" w:color="auto" w:sz="4" w:space="0"/>
              <w:right w:val="single" w:color="auto" w:sz="4" w:space="0"/>
            </w:tcBorders>
            <w:vAlign w:val="center"/>
          </w:tcPr>
          <w:p w14:paraId="2B4713F9">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项目验收合格率</w:t>
            </w:r>
          </w:p>
        </w:tc>
        <w:tc>
          <w:tcPr>
            <w:tcW w:w="1332" w:type="dxa"/>
            <w:tcBorders>
              <w:top w:val="nil"/>
              <w:left w:val="nil"/>
              <w:bottom w:val="single" w:color="auto" w:sz="4" w:space="0"/>
              <w:right w:val="single" w:color="auto" w:sz="4" w:space="0"/>
            </w:tcBorders>
            <w:vAlign w:val="center"/>
          </w:tcPr>
          <w:p w14:paraId="375FBB5D">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100%</w:t>
            </w:r>
          </w:p>
        </w:tc>
      </w:tr>
      <w:tr w14:paraId="5A887745">
        <w:tblPrEx>
          <w:tblCellMar>
            <w:top w:w="0" w:type="dxa"/>
            <w:left w:w="108" w:type="dxa"/>
            <w:bottom w:w="0" w:type="dxa"/>
            <w:right w:w="108" w:type="dxa"/>
          </w:tblCellMar>
        </w:tblPrEx>
        <w:trPr>
          <w:trHeight w:val="454" w:hRule="atLeast"/>
        </w:trPr>
        <w:tc>
          <w:tcPr>
            <w:tcW w:w="0" w:type="auto"/>
            <w:tcBorders>
              <w:top w:val="nil"/>
              <w:left w:val="single" w:color="auto" w:sz="4" w:space="0"/>
              <w:bottom w:val="single" w:color="auto" w:sz="4" w:space="0"/>
              <w:right w:val="single" w:color="auto" w:sz="4" w:space="0"/>
            </w:tcBorders>
            <w:vAlign w:val="center"/>
          </w:tcPr>
          <w:p w14:paraId="6421113F">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nil"/>
              <w:left w:val="single" w:color="auto" w:sz="4" w:space="0"/>
              <w:bottom w:val="single" w:color="000000" w:sz="4" w:space="0"/>
              <w:right w:val="single" w:color="auto" w:sz="4" w:space="0"/>
            </w:tcBorders>
            <w:vAlign w:val="center"/>
          </w:tcPr>
          <w:p w14:paraId="491C74DF">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vMerge w:val="continue"/>
            <w:tcBorders>
              <w:left w:val="single" w:color="auto" w:sz="4" w:space="0"/>
              <w:right w:val="single" w:color="auto" w:sz="4" w:space="0"/>
            </w:tcBorders>
            <w:vAlign w:val="center"/>
          </w:tcPr>
          <w:p w14:paraId="36BD8682">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3827" w:type="dxa"/>
            <w:tcBorders>
              <w:top w:val="nil"/>
              <w:left w:val="nil"/>
              <w:bottom w:val="single" w:color="auto" w:sz="4" w:space="0"/>
              <w:right w:val="single" w:color="auto" w:sz="4" w:space="0"/>
            </w:tcBorders>
            <w:vAlign w:val="center"/>
          </w:tcPr>
          <w:p w14:paraId="56B6A399">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系统可靠性</w:t>
            </w:r>
          </w:p>
        </w:tc>
        <w:tc>
          <w:tcPr>
            <w:tcW w:w="1332" w:type="dxa"/>
            <w:tcBorders>
              <w:top w:val="nil"/>
              <w:left w:val="nil"/>
              <w:bottom w:val="single" w:color="auto" w:sz="4" w:space="0"/>
              <w:right w:val="single" w:color="auto" w:sz="4" w:space="0"/>
            </w:tcBorders>
            <w:vAlign w:val="center"/>
          </w:tcPr>
          <w:p w14:paraId="43E9111F">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≥99.9%</w:t>
            </w:r>
          </w:p>
        </w:tc>
      </w:tr>
      <w:tr w14:paraId="373509BA">
        <w:tblPrEx>
          <w:tblCellMar>
            <w:top w:w="0" w:type="dxa"/>
            <w:left w:w="108" w:type="dxa"/>
            <w:bottom w:w="0" w:type="dxa"/>
            <w:right w:w="108" w:type="dxa"/>
          </w:tblCellMar>
        </w:tblPrEx>
        <w:trPr>
          <w:trHeight w:val="454" w:hRule="atLeast"/>
        </w:trPr>
        <w:tc>
          <w:tcPr>
            <w:tcW w:w="0" w:type="auto"/>
            <w:tcBorders>
              <w:top w:val="nil"/>
              <w:left w:val="single" w:color="auto" w:sz="4" w:space="0"/>
              <w:bottom w:val="single" w:color="auto" w:sz="4" w:space="0"/>
              <w:right w:val="single" w:color="auto" w:sz="4" w:space="0"/>
            </w:tcBorders>
            <w:vAlign w:val="center"/>
          </w:tcPr>
          <w:p w14:paraId="2391D380">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nil"/>
              <w:left w:val="single" w:color="auto" w:sz="4" w:space="0"/>
              <w:bottom w:val="single" w:color="000000" w:sz="4" w:space="0"/>
              <w:right w:val="single" w:color="auto" w:sz="4" w:space="0"/>
            </w:tcBorders>
            <w:vAlign w:val="center"/>
          </w:tcPr>
          <w:p w14:paraId="0AB0C91F">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vMerge w:val="continue"/>
            <w:tcBorders>
              <w:left w:val="single" w:color="auto" w:sz="4" w:space="0"/>
              <w:bottom w:val="single" w:color="000000" w:sz="4" w:space="0"/>
              <w:right w:val="single" w:color="auto" w:sz="4" w:space="0"/>
            </w:tcBorders>
            <w:vAlign w:val="center"/>
          </w:tcPr>
          <w:p w14:paraId="0EE789B0">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3827" w:type="dxa"/>
            <w:tcBorders>
              <w:top w:val="nil"/>
              <w:left w:val="nil"/>
              <w:bottom w:val="single" w:color="auto" w:sz="4" w:space="0"/>
              <w:right w:val="single" w:color="auto" w:sz="4" w:space="0"/>
            </w:tcBorders>
            <w:vAlign w:val="center"/>
          </w:tcPr>
          <w:p w14:paraId="2B3081F0">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color w:val="000000"/>
                <w:kern w:val="0"/>
              </w:rPr>
              <w:t>网络安全等级保护</w:t>
            </w:r>
          </w:p>
        </w:tc>
        <w:tc>
          <w:tcPr>
            <w:tcW w:w="1332" w:type="dxa"/>
            <w:tcBorders>
              <w:top w:val="nil"/>
              <w:left w:val="nil"/>
              <w:bottom w:val="single" w:color="auto" w:sz="4" w:space="0"/>
              <w:right w:val="single" w:color="auto" w:sz="4" w:space="0"/>
            </w:tcBorders>
            <w:vAlign w:val="center"/>
          </w:tcPr>
          <w:p w14:paraId="0B590240">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color w:val="000000"/>
                <w:kern w:val="0"/>
              </w:rPr>
              <w:t>等保三级</w:t>
            </w:r>
          </w:p>
        </w:tc>
      </w:tr>
      <w:tr w14:paraId="24C7FDBA">
        <w:trPr>
          <w:trHeight w:val="454" w:hRule="atLeast"/>
        </w:trPr>
        <w:tc>
          <w:tcPr>
            <w:tcW w:w="0" w:type="auto"/>
            <w:tcBorders>
              <w:top w:val="nil"/>
              <w:left w:val="single" w:color="auto" w:sz="4" w:space="0"/>
              <w:bottom w:val="single" w:color="auto" w:sz="4" w:space="0"/>
              <w:right w:val="single" w:color="auto" w:sz="4" w:space="0"/>
            </w:tcBorders>
            <w:vAlign w:val="center"/>
          </w:tcPr>
          <w:p w14:paraId="654686C3">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nil"/>
              <w:left w:val="single" w:color="auto" w:sz="4" w:space="0"/>
              <w:bottom w:val="single" w:color="auto" w:sz="4" w:space="0"/>
              <w:right w:val="single" w:color="auto" w:sz="4" w:space="0"/>
            </w:tcBorders>
            <w:vAlign w:val="center"/>
          </w:tcPr>
          <w:p w14:paraId="67437578">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tcBorders>
              <w:top w:val="nil"/>
              <w:left w:val="nil"/>
              <w:bottom w:val="single" w:color="auto" w:sz="4" w:space="0"/>
              <w:right w:val="single" w:color="auto" w:sz="4" w:space="0"/>
            </w:tcBorders>
            <w:vAlign w:val="center"/>
          </w:tcPr>
          <w:p w14:paraId="1752E8D1">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产出时效</w:t>
            </w:r>
          </w:p>
        </w:tc>
        <w:tc>
          <w:tcPr>
            <w:tcW w:w="3827" w:type="dxa"/>
            <w:tcBorders>
              <w:top w:val="nil"/>
              <w:left w:val="nil"/>
              <w:bottom w:val="single" w:color="auto" w:sz="4" w:space="0"/>
              <w:right w:val="single" w:color="auto" w:sz="4" w:space="0"/>
            </w:tcBorders>
            <w:vAlign w:val="center"/>
          </w:tcPr>
          <w:p w14:paraId="3425A066">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项目建设周期</w:t>
            </w:r>
          </w:p>
        </w:tc>
        <w:tc>
          <w:tcPr>
            <w:tcW w:w="1332" w:type="dxa"/>
            <w:tcBorders>
              <w:top w:val="nil"/>
              <w:left w:val="nil"/>
              <w:bottom w:val="single" w:color="auto" w:sz="4" w:space="0"/>
              <w:right w:val="single" w:color="auto" w:sz="4" w:space="0"/>
            </w:tcBorders>
            <w:vAlign w:val="center"/>
          </w:tcPr>
          <w:p w14:paraId="3549B687">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12个月</w:t>
            </w:r>
          </w:p>
        </w:tc>
      </w:tr>
      <w:tr w14:paraId="3CFB3EAE">
        <w:tblPrEx>
          <w:tblCellMar>
            <w:top w:w="0" w:type="dxa"/>
            <w:left w:w="108" w:type="dxa"/>
            <w:bottom w:w="0" w:type="dxa"/>
            <w:right w:w="108" w:type="dxa"/>
          </w:tblCellMar>
        </w:tblPrEx>
        <w:trPr>
          <w:trHeight w:val="454" w:hRule="atLeast"/>
        </w:trPr>
        <w:tc>
          <w:tcPr>
            <w:tcW w:w="0" w:type="auto"/>
            <w:tcBorders>
              <w:top w:val="nil"/>
              <w:left w:val="single" w:color="auto" w:sz="4" w:space="0"/>
              <w:bottom w:val="single" w:color="auto" w:sz="4" w:space="0"/>
              <w:right w:val="single" w:color="auto" w:sz="4" w:space="0"/>
            </w:tcBorders>
            <w:vAlign w:val="center"/>
          </w:tcPr>
          <w:p w14:paraId="46233A64">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4E388C50">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应用指标</w:t>
            </w:r>
          </w:p>
        </w:tc>
        <w:tc>
          <w:tcPr>
            <w:tcW w:w="1202" w:type="dxa"/>
            <w:vMerge w:val="restart"/>
            <w:tcBorders>
              <w:top w:val="nil"/>
              <w:left w:val="single" w:color="auto" w:sz="4" w:space="0"/>
              <w:bottom w:val="single" w:color="000000" w:sz="4" w:space="0"/>
              <w:right w:val="single" w:color="auto" w:sz="4" w:space="0"/>
            </w:tcBorders>
            <w:vAlign w:val="center"/>
          </w:tcPr>
          <w:p w14:paraId="70978206">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产出数量</w:t>
            </w:r>
          </w:p>
        </w:tc>
        <w:tc>
          <w:tcPr>
            <w:tcW w:w="3827" w:type="dxa"/>
            <w:tcBorders>
              <w:top w:val="nil"/>
              <w:left w:val="nil"/>
              <w:bottom w:val="single" w:color="auto" w:sz="4" w:space="0"/>
              <w:right w:val="single" w:color="auto" w:sz="4" w:space="0"/>
            </w:tcBorders>
            <w:vAlign w:val="center"/>
          </w:tcPr>
          <w:p w14:paraId="5DA580A2">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集成平台数量</w:t>
            </w:r>
          </w:p>
        </w:tc>
        <w:tc>
          <w:tcPr>
            <w:tcW w:w="1332" w:type="dxa"/>
            <w:tcBorders>
              <w:top w:val="nil"/>
              <w:left w:val="nil"/>
              <w:bottom w:val="single" w:color="auto" w:sz="4" w:space="0"/>
              <w:right w:val="single" w:color="auto" w:sz="4" w:space="0"/>
            </w:tcBorders>
            <w:vAlign w:val="center"/>
          </w:tcPr>
          <w:p w14:paraId="3F7047D8">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1个</w:t>
            </w:r>
          </w:p>
        </w:tc>
      </w:tr>
      <w:tr w14:paraId="6532294C">
        <w:tblPrEx>
          <w:tblCellMar>
            <w:top w:w="0" w:type="dxa"/>
            <w:left w:w="108" w:type="dxa"/>
            <w:bottom w:w="0" w:type="dxa"/>
            <w:right w:w="108" w:type="dxa"/>
          </w:tblCellMar>
        </w:tblPrEx>
        <w:trPr>
          <w:trHeight w:val="454" w:hRule="atLeast"/>
        </w:trPr>
        <w:tc>
          <w:tcPr>
            <w:tcW w:w="0" w:type="auto"/>
            <w:tcBorders>
              <w:top w:val="nil"/>
              <w:left w:val="single" w:color="auto" w:sz="4" w:space="0"/>
              <w:bottom w:val="single" w:color="auto" w:sz="4" w:space="0"/>
              <w:right w:val="single" w:color="auto" w:sz="4" w:space="0"/>
            </w:tcBorders>
            <w:vAlign w:val="center"/>
          </w:tcPr>
          <w:p w14:paraId="19BF32CA">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2616A67">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vMerge w:val="continue"/>
            <w:tcBorders>
              <w:top w:val="nil"/>
              <w:left w:val="single" w:color="auto" w:sz="4" w:space="0"/>
              <w:bottom w:val="single" w:color="000000" w:sz="4" w:space="0"/>
              <w:right w:val="single" w:color="auto" w:sz="4" w:space="0"/>
            </w:tcBorders>
            <w:vAlign w:val="center"/>
          </w:tcPr>
          <w:p w14:paraId="7B2E8D96">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3827" w:type="dxa"/>
            <w:tcBorders>
              <w:top w:val="nil"/>
              <w:left w:val="nil"/>
              <w:bottom w:val="single" w:color="auto" w:sz="4" w:space="0"/>
              <w:right w:val="single" w:color="auto" w:sz="4" w:space="0"/>
            </w:tcBorders>
            <w:vAlign w:val="center"/>
          </w:tcPr>
          <w:p w14:paraId="2C2FF39C">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数据底座数量</w:t>
            </w:r>
          </w:p>
        </w:tc>
        <w:tc>
          <w:tcPr>
            <w:tcW w:w="1332" w:type="dxa"/>
            <w:tcBorders>
              <w:top w:val="nil"/>
              <w:left w:val="nil"/>
              <w:bottom w:val="single" w:color="auto" w:sz="4" w:space="0"/>
              <w:right w:val="single" w:color="auto" w:sz="4" w:space="0"/>
            </w:tcBorders>
            <w:vAlign w:val="center"/>
          </w:tcPr>
          <w:p w14:paraId="7C11EB2C">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1个</w:t>
            </w:r>
          </w:p>
        </w:tc>
      </w:tr>
      <w:tr w14:paraId="1F4F8AA3">
        <w:trPr>
          <w:trHeight w:val="454" w:hRule="atLeast"/>
        </w:trPr>
        <w:tc>
          <w:tcPr>
            <w:tcW w:w="0" w:type="auto"/>
            <w:tcBorders>
              <w:top w:val="nil"/>
              <w:left w:val="single" w:color="auto" w:sz="4" w:space="0"/>
              <w:bottom w:val="single" w:color="auto" w:sz="4" w:space="0"/>
              <w:right w:val="single" w:color="auto" w:sz="4" w:space="0"/>
            </w:tcBorders>
            <w:vAlign w:val="center"/>
          </w:tcPr>
          <w:p w14:paraId="53953D8B">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2BBDBE7">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vMerge w:val="continue"/>
            <w:tcBorders>
              <w:top w:val="nil"/>
              <w:left w:val="single" w:color="auto" w:sz="4" w:space="0"/>
              <w:bottom w:val="single" w:color="000000" w:sz="4" w:space="0"/>
              <w:right w:val="single" w:color="auto" w:sz="4" w:space="0"/>
            </w:tcBorders>
            <w:vAlign w:val="center"/>
          </w:tcPr>
          <w:p w14:paraId="3505900C">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3827" w:type="dxa"/>
            <w:tcBorders>
              <w:top w:val="nil"/>
              <w:left w:val="nil"/>
              <w:bottom w:val="single" w:color="auto" w:sz="4" w:space="0"/>
              <w:right w:val="single" w:color="auto" w:sz="4" w:space="0"/>
            </w:tcBorders>
            <w:vAlign w:val="center"/>
          </w:tcPr>
          <w:p w14:paraId="63F0DDD8">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子平台数量</w:t>
            </w:r>
          </w:p>
        </w:tc>
        <w:tc>
          <w:tcPr>
            <w:tcW w:w="1332" w:type="dxa"/>
            <w:tcBorders>
              <w:top w:val="nil"/>
              <w:left w:val="nil"/>
              <w:bottom w:val="single" w:color="auto" w:sz="4" w:space="0"/>
              <w:right w:val="single" w:color="auto" w:sz="4" w:space="0"/>
            </w:tcBorders>
            <w:vAlign w:val="center"/>
          </w:tcPr>
          <w:p w14:paraId="54CD33D3">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2个</w:t>
            </w:r>
          </w:p>
        </w:tc>
      </w:tr>
      <w:tr w14:paraId="4578F065">
        <w:tblPrEx>
          <w:tblCellMar>
            <w:top w:w="0" w:type="dxa"/>
            <w:left w:w="108" w:type="dxa"/>
            <w:bottom w:w="0" w:type="dxa"/>
            <w:right w:w="108" w:type="dxa"/>
          </w:tblCellMar>
        </w:tblPrEx>
        <w:trPr>
          <w:trHeight w:val="454" w:hRule="atLeast"/>
        </w:trPr>
        <w:tc>
          <w:tcPr>
            <w:tcW w:w="0" w:type="auto"/>
            <w:tcBorders>
              <w:top w:val="nil"/>
              <w:left w:val="single" w:color="auto" w:sz="4" w:space="0"/>
              <w:bottom w:val="single" w:color="auto" w:sz="4" w:space="0"/>
              <w:right w:val="single" w:color="auto" w:sz="4" w:space="0"/>
            </w:tcBorders>
            <w:vAlign w:val="center"/>
          </w:tcPr>
          <w:p w14:paraId="201061D6">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16C2DF5">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vMerge w:val="continue"/>
            <w:tcBorders>
              <w:top w:val="nil"/>
              <w:left w:val="single" w:color="auto" w:sz="4" w:space="0"/>
              <w:bottom w:val="single" w:color="000000" w:sz="4" w:space="0"/>
              <w:right w:val="single" w:color="auto" w:sz="4" w:space="0"/>
            </w:tcBorders>
            <w:vAlign w:val="center"/>
          </w:tcPr>
          <w:p w14:paraId="34A41891">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3827" w:type="dxa"/>
            <w:tcBorders>
              <w:top w:val="nil"/>
              <w:left w:val="nil"/>
              <w:bottom w:val="single" w:color="auto" w:sz="4" w:space="0"/>
              <w:right w:val="single" w:color="auto" w:sz="4" w:space="0"/>
            </w:tcBorders>
            <w:vAlign w:val="center"/>
          </w:tcPr>
          <w:p w14:paraId="205FB9F0">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与国家UOM平台对接</w:t>
            </w:r>
          </w:p>
        </w:tc>
        <w:tc>
          <w:tcPr>
            <w:tcW w:w="1332" w:type="dxa"/>
            <w:tcBorders>
              <w:top w:val="nil"/>
              <w:left w:val="nil"/>
              <w:bottom w:val="single" w:color="auto" w:sz="4" w:space="0"/>
              <w:right w:val="single" w:color="auto" w:sz="4" w:space="0"/>
            </w:tcBorders>
            <w:vAlign w:val="center"/>
          </w:tcPr>
          <w:p w14:paraId="7413746A">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完成</w:t>
            </w:r>
          </w:p>
        </w:tc>
      </w:tr>
      <w:tr w14:paraId="2469DBBF">
        <w:tblPrEx>
          <w:tblCellMar>
            <w:top w:w="0" w:type="dxa"/>
            <w:left w:w="108" w:type="dxa"/>
            <w:bottom w:w="0" w:type="dxa"/>
            <w:right w:w="108" w:type="dxa"/>
          </w:tblCellMar>
        </w:tblPrEx>
        <w:trPr>
          <w:trHeight w:val="454" w:hRule="atLeast"/>
        </w:trPr>
        <w:tc>
          <w:tcPr>
            <w:tcW w:w="0" w:type="auto"/>
            <w:tcBorders>
              <w:top w:val="nil"/>
              <w:left w:val="single" w:color="auto" w:sz="4" w:space="0"/>
              <w:bottom w:val="single" w:color="auto" w:sz="4" w:space="0"/>
              <w:right w:val="single" w:color="auto" w:sz="4" w:space="0"/>
            </w:tcBorders>
            <w:vAlign w:val="center"/>
          </w:tcPr>
          <w:p w14:paraId="3C262AC5">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CCED9D2">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vMerge w:val="restart"/>
            <w:tcBorders>
              <w:top w:val="nil"/>
              <w:left w:val="single" w:color="auto" w:sz="4" w:space="0"/>
              <w:bottom w:val="single" w:color="000000" w:sz="4" w:space="0"/>
              <w:right w:val="single" w:color="auto" w:sz="4" w:space="0"/>
            </w:tcBorders>
            <w:vAlign w:val="center"/>
          </w:tcPr>
          <w:p w14:paraId="12FA0CB9">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产出质量</w:t>
            </w:r>
          </w:p>
        </w:tc>
        <w:tc>
          <w:tcPr>
            <w:tcW w:w="3827" w:type="dxa"/>
            <w:tcBorders>
              <w:top w:val="nil"/>
              <w:left w:val="nil"/>
              <w:bottom w:val="single" w:color="auto" w:sz="4" w:space="0"/>
              <w:right w:val="single" w:color="auto" w:sz="4" w:space="0"/>
            </w:tcBorders>
            <w:vAlign w:val="center"/>
          </w:tcPr>
          <w:p w14:paraId="10517D6C">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支持集成平台用户注册数</w:t>
            </w:r>
          </w:p>
        </w:tc>
        <w:tc>
          <w:tcPr>
            <w:tcW w:w="1332" w:type="dxa"/>
            <w:tcBorders>
              <w:top w:val="nil"/>
              <w:left w:val="nil"/>
              <w:bottom w:val="single" w:color="auto" w:sz="4" w:space="0"/>
              <w:right w:val="single" w:color="auto" w:sz="4" w:space="0"/>
            </w:tcBorders>
            <w:vAlign w:val="center"/>
          </w:tcPr>
          <w:p w14:paraId="0C0EB2F6">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≥1000</w:t>
            </w:r>
          </w:p>
        </w:tc>
      </w:tr>
      <w:tr w14:paraId="046C04B8">
        <w:trPr>
          <w:trHeight w:val="454" w:hRule="atLeast"/>
        </w:trPr>
        <w:tc>
          <w:tcPr>
            <w:tcW w:w="0" w:type="auto"/>
            <w:tcBorders>
              <w:top w:val="nil"/>
              <w:left w:val="single" w:color="auto" w:sz="4" w:space="0"/>
              <w:bottom w:val="single" w:color="auto" w:sz="4" w:space="0"/>
              <w:right w:val="single" w:color="auto" w:sz="4" w:space="0"/>
            </w:tcBorders>
            <w:vAlign w:val="center"/>
          </w:tcPr>
          <w:p w14:paraId="621DA2ED">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C5686D6">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vMerge w:val="continue"/>
            <w:tcBorders>
              <w:top w:val="nil"/>
              <w:left w:val="single" w:color="auto" w:sz="4" w:space="0"/>
              <w:bottom w:val="single" w:color="000000" w:sz="4" w:space="0"/>
              <w:right w:val="single" w:color="auto" w:sz="4" w:space="0"/>
            </w:tcBorders>
            <w:vAlign w:val="center"/>
          </w:tcPr>
          <w:p w14:paraId="0C51E784">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3827" w:type="dxa"/>
            <w:tcBorders>
              <w:top w:val="nil"/>
              <w:left w:val="nil"/>
              <w:bottom w:val="single" w:color="auto" w:sz="4" w:space="0"/>
              <w:right w:val="single" w:color="auto" w:sz="4" w:space="0"/>
            </w:tcBorders>
            <w:vAlign w:val="center"/>
          </w:tcPr>
          <w:p w14:paraId="0263AA3C">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支持集成平台用户并发访问</w:t>
            </w:r>
          </w:p>
        </w:tc>
        <w:tc>
          <w:tcPr>
            <w:tcW w:w="1332" w:type="dxa"/>
            <w:tcBorders>
              <w:top w:val="nil"/>
              <w:left w:val="nil"/>
              <w:bottom w:val="single" w:color="auto" w:sz="4" w:space="0"/>
              <w:right w:val="single" w:color="auto" w:sz="4" w:space="0"/>
            </w:tcBorders>
            <w:vAlign w:val="center"/>
          </w:tcPr>
          <w:p w14:paraId="0CBBF126">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≥40</w:t>
            </w:r>
          </w:p>
        </w:tc>
      </w:tr>
      <w:tr w14:paraId="422F9BD7">
        <w:tblPrEx>
          <w:tblCellMar>
            <w:top w:w="0" w:type="dxa"/>
            <w:left w:w="108" w:type="dxa"/>
            <w:bottom w:w="0" w:type="dxa"/>
            <w:right w:w="108" w:type="dxa"/>
          </w:tblCellMar>
        </w:tblPrEx>
        <w:trPr>
          <w:trHeight w:val="454" w:hRule="atLeast"/>
        </w:trPr>
        <w:tc>
          <w:tcPr>
            <w:tcW w:w="0" w:type="auto"/>
            <w:tcBorders>
              <w:top w:val="nil"/>
              <w:left w:val="single" w:color="auto" w:sz="4" w:space="0"/>
              <w:bottom w:val="single" w:color="auto" w:sz="4" w:space="0"/>
              <w:right w:val="single" w:color="auto" w:sz="4" w:space="0"/>
            </w:tcBorders>
            <w:vAlign w:val="center"/>
          </w:tcPr>
          <w:p w14:paraId="6290C841">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53105C6">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vMerge w:val="continue"/>
            <w:tcBorders>
              <w:top w:val="nil"/>
              <w:left w:val="single" w:color="auto" w:sz="4" w:space="0"/>
              <w:bottom w:val="single" w:color="000000" w:sz="4" w:space="0"/>
              <w:right w:val="single" w:color="auto" w:sz="4" w:space="0"/>
            </w:tcBorders>
            <w:vAlign w:val="center"/>
          </w:tcPr>
          <w:p w14:paraId="40332830">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3827" w:type="dxa"/>
            <w:tcBorders>
              <w:top w:val="nil"/>
              <w:left w:val="nil"/>
              <w:bottom w:val="single" w:color="auto" w:sz="4" w:space="0"/>
              <w:right w:val="single" w:color="auto" w:sz="4" w:space="0"/>
            </w:tcBorders>
            <w:vAlign w:val="center"/>
          </w:tcPr>
          <w:p w14:paraId="09C864BC">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支持上海市低空飞行综合监管服务平台用户注册数</w:t>
            </w:r>
          </w:p>
        </w:tc>
        <w:tc>
          <w:tcPr>
            <w:tcW w:w="1332" w:type="dxa"/>
            <w:tcBorders>
              <w:top w:val="nil"/>
              <w:left w:val="nil"/>
              <w:bottom w:val="single" w:color="auto" w:sz="4" w:space="0"/>
              <w:right w:val="single" w:color="auto" w:sz="4" w:space="0"/>
            </w:tcBorders>
            <w:vAlign w:val="center"/>
          </w:tcPr>
          <w:p w14:paraId="6BCE72FE">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≥30000</w:t>
            </w:r>
          </w:p>
        </w:tc>
      </w:tr>
      <w:tr w14:paraId="2B7FF53A">
        <w:tblPrEx>
          <w:tblCellMar>
            <w:top w:w="0" w:type="dxa"/>
            <w:left w:w="108" w:type="dxa"/>
            <w:bottom w:w="0" w:type="dxa"/>
            <w:right w:w="108" w:type="dxa"/>
          </w:tblCellMar>
        </w:tblPrEx>
        <w:trPr>
          <w:trHeight w:val="454" w:hRule="atLeast"/>
        </w:trPr>
        <w:tc>
          <w:tcPr>
            <w:tcW w:w="0" w:type="auto"/>
            <w:tcBorders>
              <w:top w:val="nil"/>
              <w:left w:val="single" w:color="auto" w:sz="4" w:space="0"/>
              <w:bottom w:val="single" w:color="auto" w:sz="4" w:space="0"/>
              <w:right w:val="single" w:color="auto" w:sz="4" w:space="0"/>
            </w:tcBorders>
            <w:vAlign w:val="center"/>
          </w:tcPr>
          <w:p w14:paraId="6537C8DC">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4EE3F72">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vMerge w:val="continue"/>
            <w:tcBorders>
              <w:top w:val="nil"/>
              <w:left w:val="single" w:color="auto" w:sz="4" w:space="0"/>
              <w:bottom w:val="single" w:color="000000" w:sz="4" w:space="0"/>
              <w:right w:val="single" w:color="auto" w:sz="4" w:space="0"/>
            </w:tcBorders>
            <w:vAlign w:val="center"/>
          </w:tcPr>
          <w:p w14:paraId="7476454E">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3827" w:type="dxa"/>
            <w:tcBorders>
              <w:top w:val="nil"/>
              <w:left w:val="nil"/>
              <w:bottom w:val="single" w:color="auto" w:sz="4" w:space="0"/>
              <w:right w:val="single" w:color="auto" w:sz="4" w:space="0"/>
            </w:tcBorders>
            <w:vAlign w:val="center"/>
          </w:tcPr>
          <w:p w14:paraId="6C13C84A">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支持上海市低空飞行综合监管服务平台并发用户数</w:t>
            </w:r>
          </w:p>
        </w:tc>
        <w:tc>
          <w:tcPr>
            <w:tcW w:w="1332" w:type="dxa"/>
            <w:tcBorders>
              <w:top w:val="nil"/>
              <w:left w:val="nil"/>
              <w:bottom w:val="single" w:color="auto" w:sz="4" w:space="0"/>
              <w:right w:val="single" w:color="auto" w:sz="4" w:space="0"/>
            </w:tcBorders>
            <w:vAlign w:val="center"/>
          </w:tcPr>
          <w:p w14:paraId="04344921">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≥300</w:t>
            </w:r>
          </w:p>
        </w:tc>
      </w:tr>
      <w:tr w14:paraId="3F9FF1BB">
        <w:trPr>
          <w:trHeight w:val="454" w:hRule="atLeast"/>
        </w:trPr>
        <w:tc>
          <w:tcPr>
            <w:tcW w:w="0" w:type="auto"/>
            <w:tcBorders>
              <w:top w:val="nil"/>
              <w:left w:val="single" w:color="auto" w:sz="4" w:space="0"/>
              <w:bottom w:val="single" w:color="auto" w:sz="4" w:space="0"/>
              <w:right w:val="single" w:color="auto" w:sz="4" w:space="0"/>
            </w:tcBorders>
            <w:vAlign w:val="center"/>
          </w:tcPr>
          <w:p w14:paraId="47EEFA76">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519608D">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vMerge w:val="continue"/>
            <w:tcBorders>
              <w:top w:val="nil"/>
              <w:left w:val="single" w:color="auto" w:sz="4" w:space="0"/>
              <w:bottom w:val="single" w:color="000000" w:sz="4" w:space="0"/>
              <w:right w:val="single" w:color="auto" w:sz="4" w:space="0"/>
            </w:tcBorders>
            <w:vAlign w:val="center"/>
          </w:tcPr>
          <w:p w14:paraId="475E164C">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3827" w:type="dxa"/>
            <w:tcBorders>
              <w:top w:val="nil"/>
              <w:left w:val="nil"/>
              <w:bottom w:val="single" w:color="auto" w:sz="4" w:space="0"/>
              <w:right w:val="single" w:color="auto" w:sz="4" w:space="0"/>
            </w:tcBorders>
            <w:vAlign w:val="center"/>
          </w:tcPr>
          <w:p w14:paraId="56644AB0">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上海市低空飞行综合监管服务平台支持无人机在线数量</w:t>
            </w:r>
          </w:p>
        </w:tc>
        <w:tc>
          <w:tcPr>
            <w:tcW w:w="1332" w:type="dxa"/>
            <w:tcBorders>
              <w:top w:val="nil"/>
              <w:left w:val="nil"/>
              <w:bottom w:val="single" w:color="auto" w:sz="4" w:space="0"/>
              <w:right w:val="single" w:color="auto" w:sz="4" w:space="0"/>
            </w:tcBorders>
            <w:vAlign w:val="center"/>
          </w:tcPr>
          <w:p w14:paraId="35FB717E">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≥2000台</w:t>
            </w:r>
          </w:p>
        </w:tc>
      </w:tr>
      <w:tr w14:paraId="1E4D001B">
        <w:tblPrEx>
          <w:tblCellMar>
            <w:top w:w="0" w:type="dxa"/>
            <w:left w:w="108" w:type="dxa"/>
            <w:bottom w:w="0" w:type="dxa"/>
            <w:right w:w="108" w:type="dxa"/>
          </w:tblCellMar>
        </w:tblPrEx>
        <w:trPr>
          <w:trHeight w:val="454" w:hRule="atLeast"/>
        </w:trPr>
        <w:tc>
          <w:tcPr>
            <w:tcW w:w="0" w:type="auto"/>
            <w:tcBorders>
              <w:top w:val="nil"/>
              <w:left w:val="single" w:color="auto" w:sz="4" w:space="0"/>
              <w:bottom w:val="single" w:color="auto" w:sz="4" w:space="0"/>
              <w:right w:val="single" w:color="auto" w:sz="4" w:space="0"/>
            </w:tcBorders>
            <w:vAlign w:val="center"/>
          </w:tcPr>
          <w:p w14:paraId="0EA626B4">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C348B34">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vMerge w:val="continue"/>
            <w:tcBorders>
              <w:top w:val="nil"/>
              <w:left w:val="single" w:color="auto" w:sz="4" w:space="0"/>
              <w:bottom w:val="single" w:color="000000" w:sz="4" w:space="0"/>
              <w:right w:val="single" w:color="auto" w:sz="4" w:space="0"/>
            </w:tcBorders>
            <w:vAlign w:val="center"/>
          </w:tcPr>
          <w:p w14:paraId="4194E3F7">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3827" w:type="dxa"/>
            <w:tcBorders>
              <w:top w:val="nil"/>
              <w:left w:val="nil"/>
              <w:bottom w:val="single" w:color="auto" w:sz="4" w:space="0"/>
              <w:right w:val="single" w:color="auto" w:sz="4" w:space="0"/>
            </w:tcBorders>
            <w:vAlign w:val="center"/>
          </w:tcPr>
          <w:p w14:paraId="71EC0A9D">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上海市低空飞行综合监管服务平台可接入无人机型号种类</w:t>
            </w:r>
          </w:p>
        </w:tc>
        <w:tc>
          <w:tcPr>
            <w:tcW w:w="1332" w:type="dxa"/>
            <w:tcBorders>
              <w:top w:val="nil"/>
              <w:left w:val="nil"/>
              <w:bottom w:val="single" w:color="auto" w:sz="4" w:space="0"/>
              <w:right w:val="single" w:color="auto" w:sz="4" w:space="0"/>
            </w:tcBorders>
            <w:vAlign w:val="center"/>
          </w:tcPr>
          <w:p w14:paraId="6C4B4171">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≥3种</w:t>
            </w:r>
          </w:p>
        </w:tc>
      </w:tr>
      <w:tr w14:paraId="69137596">
        <w:tblPrEx>
          <w:tblCellMar>
            <w:top w:w="0" w:type="dxa"/>
            <w:left w:w="108" w:type="dxa"/>
            <w:bottom w:w="0" w:type="dxa"/>
            <w:right w:w="108" w:type="dxa"/>
          </w:tblCellMar>
        </w:tblPrEx>
        <w:trPr>
          <w:trHeight w:val="454" w:hRule="atLeast"/>
        </w:trPr>
        <w:tc>
          <w:tcPr>
            <w:tcW w:w="0" w:type="auto"/>
            <w:tcBorders>
              <w:top w:val="nil"/>
              <w:left w:val="single" w:color="auto" w:sz="4" w:space="0"/>
              <w:bottom w:val="single" w:color="auto" w:sz="4" w:space="0"/>
              <w:right w:val="single" w:color="auto" w:sz="4" w:space="0"/>
            </w:tcBorders>
            <w:vAlign w:val="center"/>
          </w:tcPr>
          <w:p w14:paraId="2AAC60D0">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E449075">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vMerge w:val="continue"/>
            <w:tcBorders>
              <w:top w:val="nil"/>
              <w:left w:val="single" w:color="auto" w:sz="4" w:space="0"/>
              <w:bottom w:val="single" w:color="000000" w:sz="4" w:space="0"/>
              <w:right w:val="single" w:color="auto" w:sz="4" w:space="0"/>
            </w:tcBorders>
            <w:vAlign w:val="center"/>
          </w:tcPr>
          <w:p w14:paraId="18DCF9E5">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3827" w:type="dxa"/>
            <w:tcBorders>
              <w:top w:val="nil"/>
              <w:left w:val="nil"/>
              <w:bottom w:val="single" w:color="auto" w:sz="4" w:space="0"/>
              <w:right w:val="single" w:color="auto" w:sz="4" w:space="0"/>
            </w:tcBorders>
            <w:vAlign w:val="center"/>
          </w:tcPr>
          <w:p w14:paraId="318E6D1E">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支持警务政务无人机飞行和民用无人机安全管控平台用户注册数</w:t>
            </w:r>
          </w:p>
        </w:tc>
        <w:tc>
          <w:tcPr>
            <w:tcW w:w="1332" w:type="dxa"/>
            <w:tcBorders>
              <w:top w:val="nil"/>
              <w:left w:val="nil"/>
              <w:bottom w:val="single" w:color="auto" w:sz="4" w:space="0"/>
              <w:right w:val="single" w:color="auto" w:sz="4" w:space="0"/>
            </w:tcBorders>
            <w:vAlign w:val="center"/>
          </w:tcPr>
          <w:p w14:paraId="36D56CEC">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≥3000</w:t>
            </w:r>
          </w:p>
        </w:tc>
      </w:tr>
      <w:tr w14:paraId="04BE466A">
        <w:trPr>
          <w:trHeight w:val="454" w:hRule="atLeast"/>
        </w:trPr>
        <w:tc>
          <w:tcPr>
            <w:tcW w:w="0" w:type="auto"/>
            <w:tcBorders>
              <w:top w:val="nil"/>
              <w:left w:val="single" w:color="auto" w:sz="4" w:space="0"/>
              <w:bottom w:val="single" w:color="auto" w:sz="4" w:space="0"/>
              <w:right w:val="single" w:color="auto" w:sz="4" w:space="0"/>
            </w:tcBorders>
            <w:vAlign w:val="center"/>
          </w:tcPr>
          <w:p w14:paraId="58E866E7">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BDD013C">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vMerge w:val="continue"/>
            <w:tcBorders>
              <w:top w:val="nil"/>
              <w:left w:val="single" w:color="auto" w:sz="4" w:space="0"/>
              <w:bottom w:val="single" w:color="000000" w:sz="4" w:space="0"/>
              <w:right w:val="single" w:color="auto" w:sz="4" w:space="0"/>
            </w:tcBorders>
            <w:vAlign w:val="center"/>
          </w:tcPr>
          <w:p w14:paraId="7D944374">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3827" w:type="dxa"/>
            <w:tcBorders>
              <w:top w:val="nil"/>
              <w:left w:val="nil"/>
              <w:bottom w:val="single" w:color="auto" w:sz="4" w:space="0"/>
              <w:right w:val="single" w:color="auto" w:sz="4" w:space="0"/>
            </w:tcBorders>
            <w:vAlign w:val="center"/>
          </w:tcPr>
          <w:p w14:paraId="7E557A98">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支持警务政务无人机飞行和民用无人机安全管控平台用户并发访问</w:t>
            </w:r>
          </w:p>
        </w:tc>
        <w:tc>
          <w:tcPr>
            <w:tcW w:w="1332" w:type="dxa"/>
            <w:tcBorders>
              <w:top w:val="nil"/>
              <w:left w:val="nil"/>
              <w:bottom w:val="single" w:color="auto" w:sz="4" w:space="0"/>
              <w:right w:val="single" w:color="auto" w:sz="4" w:space="0"/>
            </w:tcBorders>
            <w:vAlign w:val="center"/>
          </w:tcPr>
          <w:p w14:paraId="008D54B8">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≥360</w:t>
            </w:r>
          </w:p>
        </w:tc>
      </w:tr>
      <w:tr w14:paraId="2C842A88">
        <w:tblPrEx>
          <w:tblCellMar>
            <w:top w:w="0" w:type="dxa"/>
            <w:left w:w="108" w:type="dxa"/>
            <w:bottom w:w="0" w:type="dxa"/>
            <w:right w:w="108" w:type="dxa"/>
          </w:tblCellMar>
        </w:tblPrEx>
        <w:trPr>
          <w:trHeight w:val="454" w:hRule="atLeast"/>
        </w:trPr>
        <w:tc>
          <w:tcPr>
            <w:tcW w:w="0" w:type="auto"/>
            <w:tcBorders>
              <w:top w:val="nil"/>
              <w:left w:val="single" w:color="auto" w:sz="4" w:space="0"/>
              <w:bottom w:val="single" w:color="auto" w:sz="4" w:space="0"/>
              <w:right w:val="single" w:color="auto" w:sz="4" w:space="0"/>
            </w:tcBorders>
            <w:vAlign w:val="center"/>
          </w:tcPr>
          <w:p w14:paraId="1165E066">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5F06688C">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r>
              <w:rPr>
                <w:rFonts w:hint="eastAsia" w:cs="宋体"/>
                <w:kern w:val="0"/>
              </w:rPr>
              <w:t>绩效目标</w:t>
            </w:r>
          </w:p>
        </w:tc>
        <w:tc>
          <w:tcPr>
            <w:tcW w:w="1202" w:type="dxa"/>
            <w:tcBorders>
              <w:top w:val="nil"/>
              <w:left w:val="nil"/>
              <w:bottom w:val="single" w:color="auto" w:sz="4" w:space="0"/>
              <w:right w:val="single" w:color="auto" w:sz="4" w:space="0"/>
            </w:tcBorders>
            <w:vAlign w:val="center"/>
          </w:tcPr>
          <w:p w14:paraId="029715C3">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社会效益指标</w:t>
            </w:r>
          </w:p>
        </w:tc>
        <w:tc>
          <w:tcPr>
            <w:tcW w:w="3827" w:type="dxa"/>
            <w:tcBorders>
              <w:top w:val="nil"/>
              <w:left w:val="nil"/>
              <w:bottom w:val="single" w:color="auto" w:sz="4" w:space="0"/>
              <w:right w:val="single" w:color="auto" w:sz="4" w:space="0"/>
            </w:tcBorders>
            <w:vAlign w:val="center"/>
          </w:tcPr>
          <w:p w14:paraId="69DAB43D">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支持管理全年飞行次数</w:t>
            </w:r>
          </w:p>
        </w:tc>
        <w:tc>
          <w:tcPr>
            <w:tcW w:w="1332" w:type="dxa"/>
            <w:tcBorders>
              <w:top w:val="nil"/>
              <w:left w:val="nil"/>
              <w:bottom w:val="single" w:color="auto" w:sz="4" w:space="0"/>
              <w:right w:val="single" w:color="auto" w:sz="4" w:space="0"/>
            </w:tcBorders>
            <w:vAlign w:val="center"/>
          </w:tcPr>
          <w:p w14:paraId="7F5C5877">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≥120万次</w:t>
            </w:r>
          </w:p>
        </w:tc>
      </w:tr>
      <w:tr w14:paraId="5540ED6C">
        <w:tblPrEx>
          <w:tblCellMar>
            <w:top w:w="0" w:type="dxa"/>
            <w:left w:w="108" w:type="dxa"/>
            <w:bottom w:w="0" w:type="dxa"/>
            <w:right w:w="108" w:type="dxa"/>
          </w:tblCellMar>
        </w:tblPrEx>
        <w:trPr>
          <w:trHeight w:val="454" w:hRule="atLeast"/>
        </w:trPr>
        <w:tc>
          <w:tcPr>
            <w:tcW w:w="0" w:type="auto"/>
            <w:tcBorders>
              <w:top w:val="nil"/>
              <w:left w:val="single" w:color="auto" w:sz="4" w:space="0"/>
              <w:bottom w:val="single" w:color="auto" w:sz="4" w:space="0"/>
              <w:right w:val="single" w:color="auto" w:sz="4" w:space="0"/>
            </w:tcBorders>
            <w:vAlign w:val="center"/>
          </w:tcPr>
          <w:p w14:paraId="005EC5F0">
            <w:pPr>
              <w:pStyle w:val="64"/>
              <w:keepNext w:val="0"/>
              <w:keepLines w:val="0"/>
              <w:widowControl/>
              <w:numPr>
                <w:ilvl w:val="0"/>
                <w:numId w:val="3"/>
              </w:numPr>
              <w:suppressLineNumbers w:val="0"/>
              <w:spacing w:before="0" w:beforeAutospacing="0" w:after="0" w:afterAutospacing="0" w:line="240" w:lineRule="auto"/>
              <w:ind w:right="0" w:firstLineChars="0"/>
              <w:jc w:val="center"/>
              <w:rPr>
                <w:rFonts w:hint="eastAsia" w:ascii="宋体" w:hAnsi="宋体" w:cs="宋体"/>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57314EE">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rPr>
            </w:pPr>
          </w:p>
        </w:tc>
        <w:tc>
          <w:tcPr>
            <w:tcW w:w="1202" w:type="dxa"/>
            <w:tcBorders>
              <w:top w:val="nil"/>
              <w:left w:val="nil"/>
              <w:bottom w:val="single" w:color="auto" w:sz="4" w:space="0"/>
              <w:right w:val="single" w:color="auto" w:sz="4" w:space="0"/>
            </w:tcBorders>
            <w:vAlign w:val="center"/>
          </w:tcPr>
          <w:p w14:paraId="30AE9E1D">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服务对象满意度指标</w:t>
            </w:r>
          </w:p>
        </w:tc>
        <w:tc>
          <w:tcPr>
            <w:tcW w:w="3827" w:type="dxa"/>
            <w:tcBorders>
              <w:top w:val="nil"/>
              <w:left w:val="nil"/>
              <w:bottom w:val="single" w:color="auto" w:sz="4" w:space="0"/>
              <w:right w:val="single" w:color="auto" w:sz="4" w:space="0"/>
            </w:tcBorders>
            <w:vAlign w:val="center"/>
          </w:tcPr>
          <w:p w14:paraId="40CA513D">
            <w:pPr>
              <w:keepNext w:val="0"/>
              <w:keepLines w:val="0"/>
              <w:widowControl/>
              <w:suppressLineNumbers w:val="0"/>
              <w:spacing w:before="0" w:beforeAutospacing="0" w:after="0" w:afterAutospacing="0" w:line="240" w:lineRule="auto"/>
              <w:ind w:left="0" w:right="0" w:firstLine="0" w:firstLineChars="0"/>
              <w:rPr>
                <w:rFonts w:hint="eastAsia" w:cs="宋体"/>
                <w:kern w:val="0"/>
              </w:rPr>
            </w:pPr>
            <w:r>
              <w:rPr>
                <w:rFonts w:hint="eastAsia" w:cs="宋体"/>
                <w:kern w:val="0"/>
              </w:rPr>
              <w:t>服务对象满意度</w:t>
            </w:r>
          </w:p>
        </w:tc>
        <w:tc>
          <w:tcPr>
            <w:tcW w:w="1332" w:type="dxa"/>
            <w:tcBorders>
              <w:top w:val="nil"/>
              <w:left w:val="nil"/>
              <w:bottom w:val="single" w:color="auto" w:sz="4" w:space="0"/>
              <w:right w:val="single" w:color="auto" w:sz="4" w:space="0"/>
            </w:tcBorders>
            <w:vAlign w:val="center"/>
          </w:tcPr>
          <w:p w14:paraId="3C986F0B">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rPr>
            </w:pPr>
            <w:r>
              <w:rPr>
                <w:rFonts w:hint="eastAsia" w:cs="宋体"/>
                <w:kern w:val="0"/>
              </w:rPr>
              <w:t>≥85%</w:t>
            </w:r>
          </w:p>
        </w:tc>
      </w:tr>
    </w:tbl>
    <w:p w14:paraId="04F92AD6">
      <w:pPr>
        <w:rPr>
          <w:rFonts w:hint="eastAsia"/>
          <w:bCs/>
        </w:rPr>
      </w:pPr>
    </w:p>
    <w:p w14:paraId="443941B7">
      <w:pPr>
        <w:pStyle w:val="2"/>
        <w:rPr>
          <w:rFonts w:hint="eastAsia"/>
        </w:rPr>
      </w:pPr>
      <w:bookmarkStart w:id="11" w:name="_Toc47533288"/>
      <w:bookmarkEnd w:id="11"/>
      <w:bookmarkStart w:id="12" w:name="_Toc47539102"/>
      <w:bookmarkEnd w:id="12"/>
      <w:bookmarkStart w:id="13" w:name="_Toc47536304"/>
      <w:bookmarkEnd w:id="13"/>
      <w:bookmarkStart w:id="14" w:name="_Toc47532923"/>
      <w:bookmarkEnd w:id="14"/>
      <w:bookmarkStart w:id="15" w:name="_Toc47537166"/>
      <w:bookmarkEnd w:id="15"/>
      <w:bookmarkStart w:id="16" w:name="_Toc47536676"/>
      <w:bookmarkEnd w:id="16"/>
      <w:r>
        <w:rPr>
          <w:rFonts w:hint="eastAsia"/>
        </w:rPr>
        <w:t>项目建设内容</w:t>
      </w:r>
    </w:p>
    <w:p w14:paraId="7864D8C6">
      <w:pPr>
        <w:pStyle w:val="3"/>
        <w:rPr>
          <w:rFonts w:hint="eastAsia"/>
        </w:rPr>
      </w:pPr>
      <w:r>
        <w:rPr>
          <w:rFonts w:hint="eastAsia"/>
        </w:rPr>
        <w:t>项目内容概要</w:t>
      </w:r>
    </w:p>
    <w:p w14:paraId="656F132D">
      <w:pPr>
        <w:rPr>
          <w:rFonts w:hint="eastAsia"/>
          <w:bCs/>
        </w:rPr>
      </w:pPr>
      <w:r>
        <w:rPr>
          <w:bCs/>
        </w:rPr>
        <w:t>集成平台，包括低空统筹管理、低空信息汇聚、低空基础设施管理、低空应用场景管理、低空社会组织管理、低空产业管理、低空公共服务“一网统飞”</w:t>
      </w:r>
      <w:r>
        <w:rPr>
          <w:rFonts w:hint="eastAsia"/>
          <w:bCs/>
        </w:rPr>
        <w:t>等</w:t>
      </w:r>
      <w:r>
        <w:rPr>
          <w:bCs/>
        </w:rPr>
        <w:t>功能</w:t>
      </w:r>
      <w:r>
        <w:rPr>
          <w:rFonts w:hint="eastAsia"/>
          <w:bCs/>
        </w:rPr>
        <w:t>，实现对低空飞行服务、低空运行管理、低空安全监管、低空经济运行等态势进行全盘监测、分析，并联动相关监管系统进行应急联动处置</w:t>
      </w:r>
      <w:r>
        <w:rPr>
          <w:bCs/>
        </w:rPr>
        <w:t>。</w:t>
      </w:r>
    </w:p>
    <w:p w14:paraId="7F3D11BB">
      <w:pPr>
        <w:rPr>
          <w:rFonts w:hint="eastAsia"/>
          <w:bCs/>
        </w:rPr>
      </w:pPr>
      <w:bookmarkStart w:id="17" w:name="_Toc228452659"/>
      <w:bookmarkStart w:id="18" w:name="_Toc234355975"/>
      <w:bookmarkStart w:id="19" w:name="_Toc231240166"/>
      <w:r>
        <w:rPr>
          <w:bCs/>
        </w:rPr>
        <w:t>上海市低空飞行综合监管服务平台</w:t>
      </w:r>
      <w:bookmarkEnd w:id="17"/>
      <w:bookmarkEnd w:id="18"/>
      <w:bookmarkEnd w:id="19"/>
      <w:r>
        <w:rPr>
          <w:bCs/>
        </w:rPr>
        <w:t>，包括</w:t>
      </w:r>
      <w:r>
        <w:rPr>
          <w:rFonts w:hint="eastAsia"/>
          <w:bCs/>
        </w:rPr>
        <w:t>空域管理、飞行服务、态势监视监管、辅助决策、信息服务、应急联动、长三角飞行协同监管和服务专题、示范应用专题等功能。</w:t>
      </w:r>
    </w:p>
    <w:p w14:paraId="564B8D0C">
      <w:pPr>
        <w:rPr>
          <w:rFonts w:hint="eastAsia"/>
          <w:bCs/>
        </w:rPr>
      </w:pPr>
      <w:r>
        <w:rPr>
          <w:bCs/>
        </w:rPr>
        <w:t>警务政务无人机飞行和民用无人机安全管控平台，包括警务政务无人机飞行数据中枢与算法引擎、飞行管理与服务、飞行数据安全防护，以及民用无人机飞行管控数据中枢与算法引擎、运行保障与安全防护、飞行安全监管、全景驾驶舱与专题分析等功能。</w:t>
      </w:r>
    </w:p>
    <w:p w14:paraId="0D799391">
      <w:pPr>
        <w:rPr>
          <w:rFonts w:hint="eastAsia"/>
          <w:bCs/>
        </w:rPr>
      </w:pPr>
      <w:r>
        <w:rPr>
          <w:bCs/>
        </w:rPr>
        <w:t>数据底座，</w:t>
      </w:r>
      <w:r>
        <w:rPr>
          <w:rFonts w:hint="eastAsia"/>
          <w:bCs/>
        </w:rPr>
        <w:t>作为整个平台的“数据基石”与“能力中枢”，承担着从多源异构数据采集、标准化治理、融合存储到智能分析服务的全链路数据支撑使命。在功能上满足数据管理和能力支撑两部分功能需求。数据管理方面，建设内容包括数据汇聚、数据治理、低空网格数据治理等；能力平台方面，建设内容包括支撑平台、低空网格编码体系、时空二维数据底座、时空三维数据底座、低空时空智能计算分析、低空多维可视化引擎、高精度定位网等。</w:t>
      </w:r>
    </w:p>
    <w:p w14:paraId="2F286D06">
      <w:pPr>
        <w:rPr>
          <w:rFonts w:hint="eastAsia"/>
          <w:bCs/>
        </w:rPr>
      </w:pPr>
      <w:r>
        <w:rPr>
          <w:rFonts w:hint="eastAsia"/>
          <w:bCs/>
        </w:rPr>
        <w:t>同时进行警用物联设备安全接入、警务低空通航与安全监管系统工作站、数据安全产品的软硬件购置，以及警用物联设备安全接入（运营商安全资源池服务）、云基础设施服务、算力资源、数据采购、通讯网络、安全及密码服务的服务购买，以支撑平台运行。</w:t>
      </w:r>
    </w:p>
    <w:p w14:paraId="56D877BE">
      <w:pPr>
        <w:pStyle w:val="3"/>
        <w:rPr>
          <w:rFonts w:hint="eastAsia"/>
        </w:rPr>
      </w:pPr>
      <w:r>
        <w:rPr>
          <w:rFonts w:hint="eastAsia"/>
        </w:rPr>
        <w:t>软件开发清单</w:t>
      </w:r>
    </w:p>
    <w:tbl>
      <w:tblPr>
        <w:tblStyle w:val="35"/>
        <w:tblW w:w="0" w:type="auto"/>
        <w:tblInd w:w="113" w:type="dxa"/>
        <w:tblLayout w:type="autofit"/>
        <w:tblCellMar>
          <w:top w:w="0" w:type="dxa"/>
          <w:left w:w="108" w:type="dxa"/>
          <w:bottom w:w="0" w:type="dxa"/>
          <w:right w:w="108" w:type="dxa"/>
        </w:tblCellMar>
      </w:tblPr>
      <w:tblGrid>
        <w:gridCol w:w="576"/>
        <w:gridCol w:w="1262"/>
        <w:gridCol w:w="1559"/>
        <w:gridCol w:w="5018"/>
      </w:tblGrid>
      <w:tr w14:paraId="31A3ADEA">
        <w:tblPrEx>
          <w:tblCellMar>
            <w:top w:w="0" w:type="dxa"/>
            <w:left w:w="108" w:type="dxa"/>
            <w:bottom w:w="0" w:type="dxa"/>
            <w:right w:w="108"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vAlign w:val="center"/>
          </w:tcPr>
          <w:p w14:paraId="0D878DF2">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序号</w:t>
            </w:r>
          </w:p>
        </w:tc>
        <w:tc>
          <w:tcPr>
            <w:tcW w:w="1262" w:type="dxa"/>
            <w:tcBorders>
              <w:top w:val="single" w:color="auto" w:sz="4" w:space="0"/>
              <w:left w:val="nil"/>
              <w:bottom w:val="single" w:color="auto" w:sz="4" w:space="0"/>
              <w:right w:val="single" w:color="auto" w:sz="4" w:space="0"/>
            </w:tcBorders>
            <w:vAlign w:val="center"/>
          </w:tcPr>
          <w:p w14:paraId="5C3ADA4E">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应用系统名称</w:t>
            </w:r>
          </w:p>
        </w:tc>
        <w:tc>
          <w:tcPr>
            <w:tcW w:w="1559" w:type="dxa"/>
            <w:tcBorders>
              <w:top w:val="single" w:color="auto" w:sz="4" w:space="0"/>
              <w:left w:val="nil"/>
              <w:bottom w:val="single" w:color="auto" w:sz="4" w:space="0"/>
              <w:right w:val="single" w:color="auto" w:sz="4" w:space="0"/>
            </w:tcBorders>
            <w:vAlign w:val="center"/>
          </w:tcPr>
          <w:p w14:paraId="59116638">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模块名称</w:t>
            </w:r>
          </w:p>
        </w:tc>
        <w:tc>
          <w:tcPr>
            <w:tcW w:w="5018" w:type="dxa"/>
            <w:tcBorders>
              <w:top w:val="single" w:color="auto" w:sz="4" w:space="0"/>
              <w:left w:val="nil"/>
              <w:bottom w:val="single" w:color="auto" w:sz="4" w:space="0"/>
              <w:right w:val="single" w:color="auto" w:sz="4" w:space="0"/>
            </w:tcBorders>
            <w:vAlign w:val="center"/>
          </w:tcPr>
          <w:p w14:paraId="7B93373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模块描述</w:t>
            </w:r>
          </w:p>
        </w:tc>
      </w:tr>
      <w:tr w14:paraId="4BB553CC">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5C9A30D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w:t>
            </w:r>
          </w:p>
        </w:tc>
        <w:tc>
          <w:tcPr>
            <w:tcW w:w="1262" w:type="dxa"/>
            <w:vMerge w:val="restart"/>
            <w:tcBorders>
              <w:top w:val="nil"/>
              <w:left w:val="single" w:color="auto" w:sz="4" w:space="0"/>
              <w:bottom w:val="single" w:color="auto" w:sz="4" w:space="0"/>
              <w:right w:val="single" w:color="auto" w:sz="4" w:space="0"/>
            </w:tcBorders>
            <w:vAlign w:val="center"/>
          </w:tcPr>
          <w:p w14:paraId="1C9BB00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集成平台</w:t>
            </w:r>
          </w:p>
        </w:tc>
        <w:tc>
          <w:tcPr>
            <w:tcW w:w="1559" w:type="dxa"/>
            <w:tcBorders>
              <w:top w:val="nil"/>
              <w:left w:val="nil"/>
              <w:bottom w:val="single" w:color="auto" w:sz="4" w:space="0"/>
              <w:right w:val="single" w:color="auto" w:sz="4" w:space="0"/>
            </w:tcBorders>
            <w:vAlign w:val="center"/>
          </w:tcPr>
          <w:p w14:paraId="7014D15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低空统筹管理-军地民协同</w:t>
            </w:r>
          </w:p>
        </w:tc>
        <w:tc>
          <w:tcPr>
            <w:tcW w:w="5018" w:type="dxa"/>
            <w:tcBorders>
              <w:top w:val="nil"/>
              <w:left w:val="nil"/>
              <w:bottom w:val="single" w:color="auto" w:sz="4" w:space="0"/>
              <w:right w:val="single" w:color="auto" w:sz="4" w:space="0"/>
            </w:tcBorders>
            <w:shd w:val="clear" w:color="000000" w:fill="FFFFFF"/>
            <w:vAlign w:val="center"/>
          </w:tcPr>
          <w:p w14:paraId="757A9384">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建设跨部门低空空域管理“单一窗口”，兼容UOM与军方空管协议，实时共享飞行计划、空域状态及安全数据；支持军地民三方线上协同审批、敏感航线自动抄送；支持空域动态激活、灵活分配及临时管制一键收回重规划。</w:t>
            </w:r>
          </w:p>
        </w:tc>
      </w:tr>
      <w:tr w14:paraId="27C72AE8">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157C0FB6">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w:t>
            </w:r>
          </w:p>
        </w:tc>
        <w:tc>
          <w:tcPr>
            <w:tcW w:w="1262" w:type="dxa"/>
            <w:vMerge w:val="continue"/>
            <w:tcBorders>
              <w:top w:val="nil"/>
              <w:left w:val="single" w:color="auto" w:sz="4" w:space="0"/>
              <w:bottom w:val="single" w:color="auto" w:sz="4" w:space="0"/>
              <w:right w:val="single" w:color="auto" w:sz="4" w:space="0"/>
            </w:tcBorders>
            <w:vAlign w:val="center"/>
          </w:tcPr>
          <w:p w14:paraId="25BF285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6D0B4C3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低空统筹管理-低空安全和应急联动</w:t>
            </w:r>
          </w:p>
        </w:tc>
        <w:tc>
          <w:tcPr>
            <w:tcW w:w="5018" w:type="dxa"/>
            <w:tcBorders>
              <w:top w:val="nil"/>
              <w:left w:val="nil"/>
              <w:bottom w:val="single" w:color="auto" w:sz="4" w:space="0"/>
              <w:right w:val="single" w:color="auto" w:sz="4" w:space="0"/>
            </w:tcBorders>
            <w:shd w:val="clear" w:color="000000" w:fill="FFFFFF"/>
            <w:vAlign w:val="center"/>
          </w:tcPr>
          <w:p w14:paraId="315CC351">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面向应急、公安、交通、气象、空管等单位，提供统一调度、智能预警、预案管理和联动处置；接入4D轨迹识别异常并告警，结合气象、航空器等情况生成分级决策建议；建设数字化预案库，支持告警匹配、事件分级、任务下发、指令跟踪与归档。</w:t>
            </w:r>
          </w:p>
        </w:tc>
      </w:tr>
      <w:tr w14:paraId="30FAE313">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1DC276C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3</w:t>
            </w:r>
          </w:p>
        </w:tc>
        <w:tc>
          <w:tcPr>
            <w:tcW w:w="1262" w:type="dxa"/>
            <w:vMerge w:val="continue"/>
            <w:tcBorders>
              <w:top w:val="nil"/>
              <w:left w:val="single" w:color="auto" w:sz="4" w:space="0"/>
              <w:bottom w:val="single" w:color="auto" w:sz="4" w:space="0"/>
              <w:right w:val="single" w:color="auto" w:sz="4" w:space="0"/>
            </w:tcBorders>
            <w:vAlign w:val="center"/>
          </w:tcPr>
          <w:p w14:paraId="71796F8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28D46674">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低空统筹管理-系统暂停键</w:t>
            </w:r>
          </w:p>
        </w:tc>
        <w:tc>
          <w:tcPr>
            <w:tcW w:w="5018" w:type="dxa"/>
            <w:tcBorders>
              <w:top w:val="nil"/>
              <w:left w:val="nil"/>
              <w:bottom w:val="single" w:color="auto" w:sz="4" w:space="0"/>
              <w:right w:val="single" w:color="auto" w:sz="4" w:space="0"/>
            </w:tcBorders>
            <w:shd w:val="clear" w:color="000000" w:fill="FFFFFF"/>
            <w:vAlign w:val="center"/>
          </w:tcPr>
          <w:p w14:paraId="3C7E4910">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按Ⅰ级全域、Ⅱ级局部、Ⅲ级预防性限制划分暂停级别，明确触发场景、范围与审批；满足条件自动生成建议并推送负责人确认，Ⅰ/Ⅱ级设倒计时防误触；暂停后获取在飞清单，分类处置并切换降级运行，支持整改验收与恢复。</w:t>
            </w:r>
          </w:p>
        </w:tc>
      </w:tr>
      <w:tr w14:paraId="5D73D6C2">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630DDE3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4</w:t>
            </w:r>
          </w:p>
        </w:tc>
        <w:tc>
          <w:tcPr>
            <w:tcW w:w="1262" w:type="dxa"/>
            <w:vMerge w:val="continue"/>
            <w:tcBorders>
              <w:top w:val="nil"/>
              <w:left w:val="single" w:color="auto" w:sz="4" w:space="0"/>
              <w:bottom w:val="single" w:color="auto" w:sz="4" w:space="0"/>
              <w:right w:val="single" w:color="auto" w:sz="4" w:space="0"/>
            </w:tcBorders>
            <w:vAlign w:val="center"/>
          </w:tcPr>
          <w:p w14:paraId="1F95B0DB">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6E3F4DA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低空统筹管理-政策制定衔接</w:t>
            </w:r>
          </w:p>
        </w:tc>
        <w:tc>
          <w:tcPr>
            <w:tcW w:w="5018" w:type="dxa"/>
            <w:tcBorders>
              <w:top w:val="nil"/>
              <w:left w:val="nil"/>
              <w:bottom w:val="single" w:color="auto" w:sz="4" w:space="0"/>
              <w:right w:val="single" w:color="auto" w:sz="4" w:space="0"/>
            </w:tcBorders>
            <w:shd w:val="clear" w:color="000000" w:fill="FFFFFF"/>
            <w:vAlign w:val="center"/>
          </w:tcPr>
          <w:p w14:paraId="376DB36B">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对接国家及本市政策发布渠道，结构化解析政策文本并提取核心要素，经业务确认后生效；将政策条款转化为可执行规则；定期汇总执行数据，生成评估报告并按上级要求报送，形成政策闭环。</w:t>
            </w:r>
          </w:p>
        </w:tc>
      </w:tr>
      <w:tr w14:paraId="0EC0248F">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13BFC22A">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5</w:t>
            </w:r>
          </w:p>
        </w:tc>
        <w:tc>
          <w:tcPr>
            <w:tcW w:w="1262" w:type="dxa"/>
            <w:vMerge w:val="continue"/>
            <w:tcBorders>
              <w:top w:val="nil"/>
              <w:left w:val="single" w:color="auto" w:sz="4" w:space="0"/>
              <w:bottom w:val="single" w:color="auto" w:sz="4" w:space="0"/>
              <w:right w:val="single" w:color="auto" w:sz="4" w:space="0"/>
            </w:tcBorders>
            <w:vAlign w:val="center"/>
          </w:tcPr>
          <w:p w14:paraId="297426A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10E9D6D5">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低空统筹管理-低空运行监测</w:t>
            </w:r>
          </w:p>
        </w:tc>
        <w:tc>
          <w:tcPr>
            <w:tcW w:w="5018" w:type="dxa"/>
            <w:tcBorders>
              <w:top w:val="nil"/>
              <w:left w:val="nil"/>
              <w:bottom w:val="single" w:color="auto" w:sz="4" w:space="0"/>
              <w:right w:val="single" w:color="auto" w:sz="4" w:space="0"/>
            </w:tcBorders>
            <w:shd w:val="clear" w:color="000000" w:fill="FFFFFF"/>
            <w:vAlign w:val="center"/>
          </w:tcPr>
          <w:p w14:paraId="12EF867F">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对接ADS-B、TDOA、雷达、远程标识、基站感知及遥测等数据源，统一时空基准并融合多源航迹，识别合作/非合作目标；基于高精度三维地图构建4D数字孪生态势感知，支持二三维切换、轨迹回放、实时监测与冲突预警；建立空域运行效能评估模型并生成报告。</w:t>
            </w:r>
          </w:p>
        </w:tc>
      </w:tr>
      <w:tr w14:paraId="6EAA0CDD">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4518365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6</w:t>
            </w:r>
          </w:p>
        </w:tc>
        <w:tc>
          <w:tcPr>
            <w:tcW w:w="1262" w:type="dxa"/>
            <w:vMerge w:val="continue"/>
            <w:tcBorders>
              <w:top w:val="nil"/>
              <w:left w:val="single" w:color="auto" w:sz="4" w:space="0"/>
              <w:bottom w:val="single" w:color="auto" w:sz="4" w:space="0"/>
              <w:right w:val="single" w:color="auto" w:sz="4" w:space="0"/>
            </w:tcBorders>
            <w:vAlign w:val="center"/>
          </w:tcPr>
          <w:p w14:paraId="67C62FE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30D954D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低空信息汇聚-信息收集</w:t>
            </w:r>
          </w:p>
        </w:tc>
        <w:tc>
          <w:tcPr>
            <w:tcW w:w="5018" w:type="dxa"/>
            <w:tcBorders>
              <w:top w:val="nil"/>
              <w:left w:val="nil"/>
              <w:bottom w:val="single" w:color="auto" w:sz="4" w:space="0"/>
              <w:right w:val="single" w:color="auto" w:sz="4" w:space="0"/>
            </w:tcBorders>
            <w:shd w:val="clear" w:color="000000" w:fill="FFFFFF"/>
            <w:vAlign w:val="center"/>
          </w:tcPr>
          <w:p w14:paraId="02D0450A">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采用协议适配与边缘计算，新增数据源通过适配器接入，不改主链路；覆盖物联网、Web服务、视频流、定位、航空专用、飞控及消息队列等协议；边缘节点负责解析、过滤、压缩和加密上传；提供统一数据源注册管理。</w:t>
            </w:r>
          </w:p>
        </w:tc>
      </w:tr>
      <w:tr w14:paraId="19AA0877">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6057EF52">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7</w:t>
            </w:r>
          </w:p>
        </w:tc>
        <w:tc>
          <w:tcPr>
            <w:tcW w:w="1262" w:type="dxa"/>
            <w:vMerge w:val="continue"/>
            <w:tcBorders>
              <w:top w:val="nil"/>
              <w:left w:val="single" w:color="auto" w:sz="4" w:space="0"/>
              <w:bottom w:val="single" w:color="auto" w:sz="4" w:space="0"/>
              <w:right w:val="single" w:color="auto" w:sz="4" w:space="0"/>
            </w:tcBorders>
            <w:vAlign w:val="center"/>
          </w:tcPr>
          <w:p w14:paraId="416589F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6D3676B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低空信息汇聚-信息共享</w:t>
            </w:r>
          </w:p>
        </w:tc>
        <w:tc>
          <w:tcPr>
            <w:tcW w:w="5018" w:type="dxa"/>
            <w:tcBorders>
              <w:top w:val="nil"/>
              <w:left w:val="nil"/>
              <w:bottom w:val="single" w:color="auto" w:sz="4" w:space="0"/>
              <w:right w:val="single" w:color="auto" w:sz="4" w:space="0"/>
            </w:tcBorders>
            <w:shd w:val="clear" w:color="000000" w:fill="FFFFFF"/>
            <w:vAlign w:val="center"/>
          </w:tcPr>
          <w:p w14:paraId="687573FA">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建立数据资源注册编目与共享目录；采用角色+属性分级访问控制，敏感数据动态脱敏、存储隔离并单独管控；提供数据调取申请、审批、分发、审计全流程管理及标准数据API发布管理。</w:t>
            </w:r>
          </w:p>
        </w:tc>
      </w:tr>
      <w:tr w14:paraId="316592A9">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7DA9C75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8</w:t>
            </w:r>
          </w:p>
        </w:tc>
        <w:tc>
          <w:tcPr>
            <w:tcW w:w="1262" w:type="dxa"/>
            <w:vMerge w:val="continue"/>
            <w:tcBorders>
              <w:top w:val="nil"/>
              <w:left w:val="single" w:color="auto" w:sz="4" w:space="0"/>
              <w:bottom w:val="single" w:color="auto" w:sz="4" w:space="0"/>
              <w:right w:val="single" w:color="auto" w:sz="4" w:space="0"/>
            </w:tcBorders>
            <w:vAlign w:val="center"/>
          </w:tcPr>
          <w:p w14:paraId="38B796F4">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3E55D49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低空信息汇聚-信息分析</w:t>
            </w:r>
          </w:p>
        </w:tc>
        <w:tc>
          <w:tcPr>
            <w:tcW w:w="5018" w:type="dxa"/>
            <w:tcBorders>
              <w:top w:val="nil"/>
              <w:left w:val="nil"/>
              <w:bottom w:val="single" w:color="auto" w:sz="4" w:space="0"/>
              <w:right w:val="single" w:color="auto" w:sz="4" w:space="0"/>
            </w:tcBorders>
            <w:shd w:val="clear" w:color="000000" w:fill="FFFFFF"/>
            <w:vAlign w:val="center"/>
          </w:tcPr>
          <w:p w14:paraId="1EBB8D72">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构建运行特征指标体系，支持实时与离线特征计算；通过聚类和模式识别识别典型飞行模式，准确率不低于90%；支持活动规律与异常检测；建立航线风险评分模型，结合气象和适航性能动态评分。</w:t>
            </w:r>
          </w:p>
        </w:tc>
      </w:tr>
      <w:tr w14:paraId="1AEDB869">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3CB1A138">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9</w:t>
            </w:r>
          </w:p>
        </w:tc>
        <w:tc>
          <w:tcPr>
            <w:tcW w:w="1262" w:type="dxa"/>
            <w:vMerge w:val="continue"/>
            <w:tcBorders>
              <w:top w:val="nil"/>
              <w:left w:val="single" w:color="auto" w:sz="4" w:space="0"/>
              <w:bottom w:val="single" w:color="auto" w:sz="4" w:space="0"/>
              <w:right w:val="single" w:color="auto" w:sz="4" w:space="0"/>
            </w:tcBorders>
            <w:vAlign w:val="center"/>
          </w:tcPr>
          <w:p w14:paraId="38DF96F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51E92895">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低空信息汇聚-低空态势感知</w:t>
            </w:r>
          </w:p>
        </w:tc>
        <w:tc>
          <w:tcPr>
            <w:tcW w:w="5018" w:type="dxa"/>
            <w:tcBorders>
              <w:top w:val="nil"/>
              <w:left w:val="nil"/>
              <w:bottom w:val="single" w:color="auto" w:sz="4" w:space="0"/>
              <w:right w:val="single" w:color="auto" w:sz="4" w:space="0"/>
            </w:tcBorders>
            <w:shd w:val="clear" w:color="000000" w:fill="FFFFFF"/>
            <w:vAlign w:val="center"/>
          </w:tcPr>
          <w:p w14:paraId="0F27D219">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对空域格点化建模，实时解析运行状态并统计分区、分层飞行器密度；综合评估生成态势评分；提供航路预测能力；提供航线时空冲突预警、处置建议及空域剖面量测。</w:t>
            </w:r>
          </w:p>
        </w:tc>
      </w:tr>
      <w:tr w14:paraId="72E02DF7">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565D06C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10</w:t>
            </w:r>
          </w:p>
        </w:tc>
        <w:tc>
          <w:tcPr>
            <w:tcW w:w="1262" w:type="dxa"/>
            <w:vMerge w:val="continue"/>
            <w:tcBorders>
              <w:top w:val="nil"/>
              <w:left w:val="single" w:color="auto" w:sz="4" w:space="0"/>
              <w:bottom w:val="single" w:color="auto" w:sz="4" w:space="0"/>
              <w:right w:val="single" w:color="auto" w:sz="4" w:space="0"/>
            </w:tcBorders>
            <w:vAlign w:val="center"/>
          </w:tcPr>
          <w:p w14:paraId="6C39782B">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6B7CA8E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低空信息汇聚-平台数据交互</w:t>
            </w:r>
          </w:p>
        </w:tc>
        <w:tc>
          <w:tcPr>
            <w:tcW w:w="5018" w:type="dxa"/>
            <w:tcBorders>
              <w:top w:val="nil"/>
              <w:left w:val="nil"/>
              <w:bottom w:val="single" w:color="auto" w:sz="4" w:space="0"/>
              <w:right w:val="single" w:color="auto" w:sz="4" w:space="0"/>
            </w:tcBorders>
            <w:shd w:val="clear" w:color="000000" w:fill="FFFFFF"/>
            <w:vAlign w:val="center"/>
          </w:tcPr>
          <w:p w14:paraId="0A51DFB4">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建设内部消息总线，采用发布/订阅模式，通过主题订阅实现解耦通信；建设外部接口网关，统一接入、认证、限流与路由；对总线、网关和传输通道运行监控与异常告警，统一注册管理消息主题和外部接口。</w:t>
            </w:r>
          </w:p>
        </w:tc>
      </w:tr>
      <w:tr w14:paraId="17ED3AF6">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4DC461B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11</w:t>
            </w:r>
          </w:p>
        </w:tc>
        <w:tc>
          <w:tcPr>
            <w:tcW w:w="1262" w:type="dxa"/>
            <w:vMerge w:val="continue"/>
            <w:tcBorders>
              <w:top w:val="nil"/>
              <w:left w:val="single" w:color="auto" w:sz="4" w:space="0"/>
              <w:bottom w:val="single" w:color="auto" w:sz="4" w:space="0"/>
              <w:right w:val="single" w:color="auto" w:sz="4" w:space="0"/>
            </w:tcBorders>
            <w:vAlign w:val="center"/>
          </w:tcPr>
          <w:p w14:paraId="25A34465">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032339A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低空基础设施管理-公共航路管理</w:t>
            </w:r>
          </w:p>
        </w:tc>
        <w:tc>
          <w:tcPr>
            <w:tcW w:w="5018" w:type="dxa"/>
            <w:tcBorders>
              <w:top w:val="nil"/>
              <w:left w:val="nil"/>
              <w:bottom w:val="single" w:color="auto" w:sz="4" w:space="0"/>
              <w:right w:val="single" w:color="auto" w:sz="4" w:space="0"/>
            </w:tcBorders>
            <w:shd w:val="clear" w:color="000000" w:fill="FFFFFF"/>
            <w:vAlign w:val="center"/>
          </w:tcPr>
          <w:p w14:paraId="25CBDA2C">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基于三维网格结构化表达城市低空空域，航路以航路段为基本单元、有序航路点串联；规划输入涵盖起降场、地理、空域及既有设施约束，提供可视化编辑工具并实时校验冲突。</w:t>
            </w:r>
          </w:p>
        </w:tc>
      </w:tr>
      <w:tr w14:paraId="47FC30F8">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0D4A4CFE">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12</w:t>
            </w:r>
          </w:p>
        </w:tc>
        <w:tc>
          <w:tcPr>
            <w:tcW w:w="1262" w:type="dxa"/>
            <w:vMerge w:val="continue"/>
            <w:tcBorders>
              <w:top w:val="nil"/>
              <w:left w:val="single" w:color="auto" w:sz="4" w:space="0"/>
              <w:bottom w:val="single" w:color="auto" w:sz="4" w:space="0"/>
              <w:right w:val="single" w:color="auto" w:sz="4" w:space="0"/>
            </w:tcBorders>
            <w:vAlign w:val="center"/>
          </w:tcPr>
          <w:p w14:paraId="371D9AA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326E336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低空基础设施管理-基础设施管理</w:t>
            </w:r>
          </w:p>
        </w:tc>
        <w:tc>
          <w:tcPr>
            <w:tcW w:w="5018" w:type="dxa"/>
            <w:tcBorders>
              <w:top w:val="nil"/>
              <w:left w:val="nil"/>
              <w:bottom w:val="single" w:color="auto" w:sz="4" w:space="0"/>
              <w:right w:val="single" w:color="auto" w:sz="4" w:space="0"/>
            </w:tcBorders>
            <w:shd w:val="clear" w:color="000000" w:fill="FFFFFF"/>
            <w:vAlign w:val="center"/>
          </w:tcPr>
          <w:p w14:paraId="22AB7AAE">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建立统一分类和标准化台账，覆盖起降场、通信、监视、导航、气象等设施，登记基本信息、状态、管辖及维保单位；监测在线状态、运行参数和告警，地图分级显示；记录全生命周期，建立报修—派单—处置—验收闭环。</w:t>
            </w:r>
          </w:p>
        </w:tc>
      </w:tr>
      <w:tr w14:paraId="43604A93">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3F41A9AE">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13</w:t>
            </w:r>
          </w:p>
        </w:tc>
        <w:tc>
          <w:tcPr>
            <w:tcW w:w="1262" w:type="dxa"/>
            <w:vMerge w:val="continue"/>
            <w:tcBorders>
              <w:top w:val="nil"/>
              <w:left w:val="single" w:color="auto" w:sz="4" w:space="0"/>
              <w:bottom w:val="single" w:color="auto" w:sz="4" w:space="0"/>
              <w:right w:val="single" w:color="auto" w:sz="4" w:space="0"/>
            </w:tcBorders>
            <w:vAlign w:val="center"/>
          </w:tcPr>
          <w:p w14:paraId="2BF063D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0F4058A5">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低空基础设施管理-建设布局管理</w:t>
            </w:r>
          </w:p>
        </w:tc>
        <w:tc>
          <w:tcPr>
            <w:tcW w:w="5018" w:type="dxa"/>
            <w:tcBorders>
              <w:top w:val="nil"/>
              <w:left w:val="nil"/>
              <w:bottom w:val="single" w:color="auto" w:sz="4" w:space="0"/>
              <w:right w:val="single" w:color="auto" w:sz="4" w:space="0"/>
            </w:tcBorders>
            <w:shd w:val="clear" w:color="000000" w:fill="FFFFFF"/>
            <w:vAlign w:val="center"/>
          </w:tcPr>
          <w:p w14:paraId="0082CF74">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基于飞行活动、产业分布、人口热力和规划航路生成需求热力图；评估通信、监视、起降场、气象、导航覆盖并标识盲区，生成补盲区域；结合覆盖目标、地形和安全约束推演选址方案并支持对比。</w:t>
            </w:r>
          </w:p>
        </w:tc>
      </w:tr>
      <w:tr w14:paraId="0A4B7768">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65234038">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14</w:t>
            </w:r>
          </w:p>
        </w:tc>
        <w:tc>
          <w:tcPr>
            <w:tcW w:w="1262" w:type="dxa"/>
            <w:vMerge w:val="continue"/>
            <w:tcBorders>
              <w:top w:val="nil"/>
              <w:left w:val="single" w:color="auto" w:sz="4" w:space="0"/>
              <w:bottom w:val="single" w:color="auto" w:sz="4" w:space="0"/>
              <w:right w:val="single" w:color="auto" w:sz="4" w:space="0"/>
            </w:tcBorders>
            <w:vAlign w:val="center"/>
          </w:tcPr>
          <w:p w14:paraId="2587AC2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27CFACEB">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低空基础设施管理-建设运营管理</w:t>
            </w:r>
          </w:p>
        </w:tc>
        <w:tc>
          <w:tcPr>
            <w:tcW w:w="5018" w:type="dxa"/>
            <w:tcBorders>
              <w:top w:val="nil"/>
              <w:left w:val="nil"/>
              <w:bottom w:val="single" w:color="auto" w:sz="4" w:space="0"/>
              <w:right w:val="single" w:color="auto" w:sz="4" w:space="0"/>
            </w:tcBorders>
            <w:shd w:val="clear" w:color="000000" w:fill="FFFFFF"/>
            <w:vAlign w:val="center"/>
          </w:tcPr>
          <w:p w14:paraId="48BC3174">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对已批准项目结构化管理，按阶段和任务节点记录计划/实际时间、责任单位和完成标志；计算进度偏差并分级预警，识别关键路径；支持审批、签认、验收在线流转，统计基础设施利用率等指标。</w:t>
            </w:r>
          </w:p>
        </w:tc>
      </w:tr>
      <w:tr w14:paraId="52D3C4C8">
        <w:tblPrEx>
          <w:tblCellMar>
            <w:top w:w="0" w:type="dxa"/>
            <w:left w:w="108" w:type="dxa"/>
            <w:bottom w:w="0" w:type="dxa"/>
            <w:right w:w="108" w:type="dxa"/>
          </w:tblCellMar>
        </w:tblPrEx>
        <w:trPr>
          <w:trHeight w:val="300" w:hRule="atLeast"/>
        </w:trPr>
        <w:tc>
          <w:tcPr>
            <w:tcW w:w="0" w:type="auto"/>
            <w:tcBorders>
              <w:top w:val="nil"/>
              <w:left w:val="single" w:color="auto" w:sz="4" w:space="0"/>
              <w:bottom w:val="single" w:color="auto" w:sz="4" w:space="0"/>
              <w:right w:val="single" w:color="auto" w:sz="4" w:space="0"/>
            </w:tcBorders>
            <w:vAlign w:val="center"/>
          </w:tcPr>
          <w:p w14:paraId="3BAEB40E">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15</w:t>
            </w:r>
          </w:p>
        </w:tc>
        <w:tc>
          <w:tcPr>
            <w:tcW w:w="1262" w:type="dxa"/>
            <w:vMerge w:val="continue"/>
            <w:tcBorders>
              <w:top w:val="nil"/>
              <w:left w:val="single" w:color="auto" w:sz="4" w:space="0"/>
              <w:bottom w:val="single" w:color="auto" w:sz="4" w:space="0"/>
              <w:right w:val="single" w:color="auto" w:sz="4" w:space="0"/>
            </w:tcBorders>
            <w:vAlign w:val="center"/>
          </w:tcPr>
          <w:p w14:paraId="52A14E1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26CF972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低空应用场景管理-场景拓展动态监测</w:t>
            </w:r>
          </w:p>
        </w:tc>
        <w:tc>
          <w:tcPr>
            <w:tcW w:w="5018" w:type="dxa"/>
            <w:tcBorders>
              <w:top w:val="nil"/>
              <w:left w:val="nil"/>
              <w:bottom w:val="single" w:color="auto" w:sz="4" w:space="0"/>
              <w:right w:val="single" w:color="auto" w:sz="4" w:space="0"/>
            </w:tcBorders>
            <w:shd w:val="clear" w:color="000000" w:fill="FFFFFF"/>
            <w:vAlign w:val="center"/>
          </w:tcPr>
          <w:p w14:paraId="05E3EF0D">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汇聚各区域飞行架次、起降点负载、运营主体和飞行器数量等数据，建立场景分类标签和全域飞行流量图谱，以热力图展示场景空间分布与运行态势。</w:t>
            </w:r>
          </w:p>
        </w:tc>
      </w:tr>
      <w:tr w14:paraId="05DB834F">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111F52D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16</w:t>
            </w:r>
          </w:p>
        </w:tc>
        <w:tc>
          <w:tcPr>
            <w:tcW w:w="1262" w:type="dxa"/>
            <w:vMerge w:val="continue"/>
            <w:tcBorders>
              <w:top w:val="nil"/>
              <w:left w:val="single" w:color="auto" w:sz="4" w:space="0"/>
              <w:bottom w:val="single" w:color="auto" w:sz="4" w:space="0"/>
              <w:right w:val="single" w:color="auto" w:sz="4" w:space="0"/>
            </w:tcBorders>
            <w:vAlign w:val="center"/>
          </w:tcPr>
          <w:p w14:paraId="1303A8D4">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76BFDFE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低空应用场景管理-成熟应用场景案例库</w:t>
            </w:r>
          </w:p>
        </w:tc>
        <w:tc>
          <w:tcPr>
            <w:tcW w:w="5018" w:type="dxa"/>
            <w:tcBorders>
              <w:top w:val="nil"/>
              <w:left w:val="nil"/>
              <w:bottom w:val="single" w:color="auto" w:sz="4" w:space="0"/>
              <w:right w:val="single" w:color="auto" w:sz="4" w:space="0"/>
            </w:tcBorders>
            <w:shd w:val="clear" w:color="000000" w:fill="FFFFFF"/>
            <w:vAlign w:val="center"/>
          </w:tcPr>
          <w:p w14:paraId="7EECEC55">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建立标准化结构化案例库，涵盖基本信息、航线空域、飞行器载荷、设施配套、成本、风险与效果评估；建立提交、校验、审核、发布、更新流程；支持按场景、机型、航程、载荷、风险检索匹配、对比及清单导出。</w:t>
            </w:r>
          </w:p>
        </w:tc>
      </w:tr>
      <w:tr w14:paraId="1CEE70ED">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6FE4C24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17</w:t>
            </w:r>
          </w:p>
        </w:tc>
        <w:tc>
          <w:tcPr>
            <w:tcW w:w="1262" w:type="dxa"/>
            <w:vMerge w:val="continue"/>
            <w:tcBorders>
              <w:top w:val="nil"/>
              <w:left w:val="single" w:color="auto" w:sz="4" w:space="0"/>
              <w:bottom w:val="single" w:color="auto" w:sz="4" w:space="0"/>
              <w:right w:val="single" w:color="auto" w:sz="4" w:space="0"/>
            </w:tcBorders>
            <w:vAlign w:val="center"/>
          </w:tcPr>
          <w:p w14:paraId="3465CFBD">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07E3D6B0">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低空社会组织管理-社会组织清单管理</w:t>
            </w:r>
          </w:p>
        </w:tc>
        <w:tc>
          <w:tcPr>
            <w:tcW w:w="5018" w:type="dxa"/>
            <w:tcBorders>
              <w:top w:val="nil"/>
              <w:left w:val="nil"/>
              <w:bottom w:val="single" w:color="auto" w:sz="4" w:space="0"/>
              <w:right w:val="single" w:color="auto" w:sz="4" w:space="0"/>
            </w:tcBorders>
            <w:shd w:val="clear" w:color="000000" w:fill="FFFFFF"/>
            <w:vAlign w:val="center"/>
          </w:tcPr>
          <w:p w14:paraId="218E294E">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建立社会组织全要素台账，实现底数清晰、动态可查、全流程可溯源；结构化信息与非结构化资质文件分类存储。</w:t>
            </w:r>
          </w:p>
        </w:tc>
      </w:tr>
      <w:tr w14:paraId="40C73CFE">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581B560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18</w:t>
            </w:r>
          </w:p>
        </w:tc>
        <w:tc>
          <w:tcPr>
            <w:tcW w:w="1262" w:type="dxa"/>
            <w:vMerge w:val="continue"/>
            <w:tcBorders>
              <w:top w:val="nil"/>
              <w:left w:val="single" w:color="auto" w:sz="4" w:space="0"/>
              <w:bottom w:val="single" w:color="auto" w:sz="4" w:space="0"/>
              <w:right w:val="single" w:color="auto" w:sz="4" w:space="0"/>
            </w:tcBorders>
            <w:vAlign w:val="center"/>
          </w:tcPr>
          <w:p w14:paraId="59B222B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756F4540">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低空社会组织管理-新设组织计划申报</w:t>
            </w:r>
          </w:p>
        </w:tc>
        <w:tc>
          <w:tcPr>
            <w:tcW w:w="5018" w:type="dxa"/>
            <w:tcBorders>
              <w:top w:val="nil"/>
              <w:left w:val="nil"/>
              <w:bottom w:val="single" w:color="auto" w:sz="4" w:space="0"/>
              <w:right w:val="single" w:color="auto" w:sz="4" w:space="0"/>
            </w:tcBorders>
            <w:shd w:val="clear" w:color="000000" w:fill="FFFFFF"/>
            <w:vAlign w:val="center"/>
          </w:tcPr>
          <w:p w14:paraId="02E925D8">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建立“线上申请、联合会审、全程留痕”申报审核闭环；提供标准化模板并按组织类型差异化配置，前置校验完整性、格式和名称重复；按业务范围和职责自动分发审核；支持必要性评估、评审论证和关键节点存证。</w:t>
            </w:r>
          </w:p>
        </w:tc>
      </w:tr>
      <w:tr w14:paraId="6DE0BFF2">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044546FA">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19</w:t>
            </w:r>
          </w:p>
        </w:tc>
        <w:tc>
          <w:tcPr>
            <w:tcW w:w="1262" w:type="dxa"/>
            <w:vMerge w:val="continue"/>
            <w:tcBorders>
              <w:top w:val="nil"/>
              <w:left w:val="single" w:color="auto" w:sz="4" w:space="0"/>
              <w:bottom w:val="single" w:color="auto" w:sz="4" w:space="0"/>
              <w:right w:val="single" w:color="auto" w:sz="4" w:space="0"/>
            </w:tcBorders>
            <w:vAlign w:val="center"/>
          </w:tcPr>
          <w:p w14:paraId="23C12D0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6CA5FF4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低空产业管理-低空园区管理</w:t>
            </w:r>
          </w:p>
        </w:tc>
        <w:tc>
          <w:tcPr>
            <w:tcW w:w="5018" w:type="dxa"/>
            <w:tcBorders>
              <w:top w:val="nil"/>
              <w:left w:val="nil"/>
              <w:bottom w:val="single" w:color="auto" w:sz="4" w:space="0"/>
              <w:right w:val="single" w:color="auto" w:sz="4" w:space="0"/>
            </w:tcBorders>
            <w:shd w:val="clear" w:color="000000" w:fill="FFFFFF"/>
            <w:vAlign w:val="center"/>
          </w:tcPr>
          <w:p w14:paraId="4AE9E69A">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集成园区高精度BIM与地理信息，叠加机巢、测控站等设施物联网实时数据；建设资产管理系统、能源监测和产业看板；综合解算产值、能耗、空域利用率等指标，实现运营状态可视化管控。</w:t>
            </w:r>
          </w:p>
        </w:tc>
      </w:tr>
      <w:tr w14:paraId="6C3A4FB9">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52F9CAD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20</w:t>
            </w:r>
          </w:p>
        </w:tc>
        <w:tc>
          <w:tcPr>
            <w:tcW w:w="1262" w:type="dxa"/>
            <w:vMerge w:val="continue"/>
            <w:tcBorders>
              <w:top w:val="nil"/>
              <w:left w:val="single" w:color="auto" w:sz="4" w:space="0"/>
              <w:bottom w:val="single" w:color="auto" w:sz="4" w:space="0"/>
              <w:right w:val="single" w:color="auto" w:sz="4" w:space="0"/>
            </w:tcBorders>
            <w:vAlign w:val="center"/>
          </w:tcPr>
          <w:p w14:paraId="77A7724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239F3B6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低空产业管理-低空企业管理</w:t>
            </w:r>
          </w:p>
        </w:tc>
        <w:tc>
          <w:tcPr>
            <w:tcW w:w="5018" w:type="dxa"/>
            <w:tcBorders>
              <w:top w:val="nil"/>
              <w:left w:val="nil"/>
              <w:bottom w:val="single" w:color="auto" w:sz="4" w:space="0"/>
              <w:right w:val="single" w:color="auto" w:sz="4" w:space="0"/>
            </w:tcBorders>
            <w:shd w:val="clear" w:color="000000" w:fill="FFFFFF"/>
            <w:vAlign w:val="center"/>
          </w:tcPr>
          <w:p w14:paraId="04DCA919">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构建覆盖研发、制造、运营、服务的企业全生命周期数字档案与动态评价体系；赋予唯一数字身份，关联工商、民航、工信等合规数据；从研发投入、飞行小时、市场份额、安全记录等维度生成企业画像。</w:t>
            </w:r>
          </w:p>
        </w:tc>
      </w:tr>
      <w:tr w14:paraId="41916E2C">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4955A0AE">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21</w:t>
            </w:r>
          </w:p>
        </w:tc>
        <w:tc>
          <w:tcPr>
            <w:tcW w:w="1262" w:type="dxa"/>
            <w:vMerge w:val="continue"/>
            <w:tcBorders>
              <w:top w:val="nil"/>
              <w:left w:val="single" w:color="auto" w:sz="4" w:space="0"/>
              <w:bottom w:val="single" w:color="auto" w:sz="4" w:space="0"/>
              <w:right w:val="single" w:color="auto" w:sz="4" w:space="0"/>
            </w:tcBorders>
            <w:vAlign w:val="center"/>
          </w:tcPr>
          <w:p w14:paraId="3CB0DCC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13895BF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低空产业管理-产业政策管理</w:t>
            </w:r>
          </w:p>
        </w:tc>
        <w:tc>
          <w:tcPr>
            <w:tcW w:w="5018" w:type="dxa"/>
            <w:tcBorders>
              <w:top w:val="nil"/>
              <w:left w:val="nil"/>
              <w:bottom w:val="single" w:color="auto" w:sz="4" w:space="0"/>
              <w:right w:val="single" w:color="auto" w:sz="4" w:space="0"/>
            </w:tcBorders>
            <w:shd w:val="clear" w:color="000000" w:fill="FFFFFF"/>
            <w:vAlign w:val="center"/>
          </w:tcPr>
          <w:p w14:paraId="19883BA1">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建设政策知识图谱与企业/园区标签库，语义解析政策文件，提取适用机型、产值门槛、补贴标准、申报时限等因子；建立多维映射模型，实现政策与企业、园区精准匹配和主动推送，支持申报跟踪与效果统计。</w:t>
            </w:r>
          </w:p>
        </w:tc>
      </w:tr>
      <w:tr w14:paraId="4750BA2F">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539DEF9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22</w:t>
            </w:r>
          </w:p>
        </w:tc>
        <w:tc>
          <w:tcPr>
            <w:tcW w:w="1262" w:type="dxa"/>
            <w:vMerge w:val="continue"/>
            <w:tcBorders>
              <w:top w:val="nil"/>
              <w:left w:val="single" w:color="auto" w:sz="4" w:space="0"/>
              <w:bottom w:val="single" w:color="auto" w:sz="4" w:space="0"/>
              <w:right w:val="single" w:color="auto" w:sz="4" w:space="0"/>
            </w:tcBorders>
            <w:vAlign w:val="center"/>
          </w:tcPr>
          <w:p w14:paraId="1EDFBB05">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2171A31B">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低空产业管理-产品质量监管</w:t>
            </w:r>
          </w:p>
        </w:tc>
        <w:tc>
          <w:tcPr>
            <w:tcW w:w="5018" w:type="dxa"/>
            <w:tcBorders>
              <w:top w:val="nil"/>
              <w:left w:val="nil"/>
              <w:bottom w:val="single" w:color="auto" w:sz="4" w:space="0"/>
              <w:right w:val="single" w:color="auto" w:sz="4" w:space="0"/>
            </w:tcBorders>
            <w:shd w:val="clear" w:color="000000" w:fill="FFFFFF"/>
            <w:vAlign w:val="center"/>
          </w:tcPr>
          <w:p w14:paraId="5B05B50B">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建设产品质量档案、违规失信公告、信用处置闭环管理子系统，实现产品分类建档、检测数据汇聚、质量风险监测，公告分类模板、多级审核发布与检索，处置跟踪、异议申诉、公告归档及信用修复。</w:t>
            </w:r>
          </w:p>
        </w:tc>
      </w:tr>
      <w:tr w14:paraId="3D22BE71">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30C526C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23</w:t>
            </w:r>
          </w:p>
        </w:tc>
        <w:tc>
          <w:tcPr>
            <w:tcW w:w="1262" w:type="dxa"/>
            <w:vMerge w:val="continue"/>
            <w:tcBorders>
              <w:top w:val="nil"/>
              <w:left w:val="single" w:color="auto" w:sz="4" w:space="0"/>
              <w:bottom w:val="single" w:color="auto" w:sz="4" w:space="0"/>
              <w:right w:val="single" w:color="auto" w:sz="4" w:space="0"/>
            </w:tcBorders>
            <w:vAlign w:val="center"/>
          </w:tcPr>
          <w:p w14:paraId="7908681D">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6205AE5D">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公共服务“一网统飞”-公共机队管理</w:t>
            </w:r>
          </w:p>
        </w:tc>
        <w:tc>
          <w:tcPr>
            <w:tcW w:w="5018" w:type="dxa"/>
            <w:tcBorders>
              <w:top w:val="nil"/>
              <w:left w:val="nil"/>
              <w:bottom w:val="single" w:color="auto" w:sz="4" w:space="0"/>
              <w:right w:val="single" w:color="auto" w:sz="4" w:space="0"/>
            </w:tcBorders>
            <w:shd w:val="clear" w:color="000000" w:fill="FFFFFF"/>
            <w:vAlign w:val="center"/>
          </w:tcPr>
          <w:p w14:paraId="497A16E6">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建设政务数字化机队统一管理体系，集成各厂商飞控与机载系统接口，通过标准端云协议实时回传电芯电压、电池循环、载荷自检等健康数据；建立维护预测算法，实现故障预警与维护智能研判。</w:t>
            </w:r>
          </w:p>
        </w:tc>
      </w:tr>
      <w:tr w14:paraId="75A0701F">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1B8F018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24</w:t>
            </w:r>
          </w:p>
        </w:tc>
        <w:tc>
          <w:tcPr>
            <w:tcW w:w="1262" w:type="dxa"/>
            <w:vMerge w:val="continue"/>
            <w:tcBorders>
              <w:top w:val="nil"/>
              <w:left w:val="single" w:color="auto" w:sz="4" w:space="0"/>
              <w:bottom w:val="single" w:color="auto" w:sz="4" w:space="0"/>
              <w:right w:val="single" w:color="auto" w:sz="4" w:space="0"/>
            </w:tcBorders>
            <w:vAlign w:val="center"/>
          </w:tcPr>
          <w:p w14:paraId="6800D8F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4EA406A4">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公共服务“一网统飞”-公共服务飞行航路航线管理</w:t>
            </w:r>
          </w:p>
        </w:tc>
        <w:tc>
          <w:tcPr>
            <w:tcW w:w="5018" w:type="dxa"/>
            <w:tcBorders>
              <w:top w:val="nil"/>
              <w:left w:val="nil"/>
              <w:bottom w:val="single" w:color="auto" w:sz="4" w:space="0"/>
              <w:right w:val="single" w:color="auto" w:sz="4" w:space="0"/>
            </w:tcBorders>
            <w:shd w:val="clear" w:color="000000" w:fill="FFFFFF"/>
            <w:vAlign w:val="center"/>
          </w:tcPr>
          <w:p w14:paraId="61802738">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整合气象、三维矢量地图及动态禁飞区等实时信息，构建飞行环境感知模型；采用四维时空路径规划算法，支持气象变化、空域调整等突发情况下航线动态重规划，规避飞行风险。</w:t>
            </w:r>
          </w:p>
        </w:tc>
      </w:tr>
      <w:tr w14:paraId="64A821E3">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4004CA1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25</w:t>
            </w:r>
          </w:p>
        </w:tc>
        <w:tc>
          <w:tcPr>
            <w:tcW w:w="1262" w:type="dxa"/>
            <w:vMerge w:val="continue"/>
            <w:tcBorders>
              <w:top w:val="nil"/>
              <w:left w:val="single" w:color="auto" w:sz="4" w:space="0"/>
              <w:bottom w:val="single" w:color="auto" w:sz="4" w:space="0"/>
              <w:right w:val="single" w:color="auto" w:sz="4" w:space="0"/>
            </w:tcBorders>
            <w:vAlign w:val="center"/>
          </w:tcPr>
          <w:p w14:paraId="7283E54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1ADB65B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公共服务“一网统飞”-公共飞行计划管理</w:t>
            </w:r>
          </w:p>
        </w:tc>
        <w:tc>
          <w:tcPr>
            <w:tcW w:w="5018" w:type="dxa"/>
            <w:tcBorders>
              <w:top w:val="nil"/>
              <w:left w:val="nil"/>
              <w:bottom w:val="single" w:color="auto" w:sz="4" w:space="0"/>
              <w:right w:val="single" w:color="auto" w:sz="4" w:space="0"/>
            </w:tcBorders>
            <w:shd w:val="clear" w:color="000000" w:fill="FFFFFF"/>
            <w:vAlign w:val="center"/>
          </w:tcPr>
          <w:p w14:paraId="6F027253">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基于流程与规则引擎建立“标准化审批、全流程监控、动态可撤销”的飞行计划管理闭环，集成数字签名与电子认证；对接消息总线，自动比对实际轨迹与申报计划，发现偏离/违规立即预警并支持动态调整。</w:t>
            </w:r>
          </w:p>
        </w:tc>
      </w:tr>
      <w:tr w14:paraId="5DB75CBA">
        <w:tblPrEx>
          <w:tblCellMar>
            <w:top w:w="0" w:type="dxa"/>
            <w:left w:w="108" w:type="dxa"/>
            <w:bottom w:w="0" w:type="dxa"/>
            <w:right w:w="108" w:type="dxa"/>
          </w:tblCellMar>
        </w:tblPrEx>
        <w:trPr>
          <w:trHeight w:val="585" w:hRule="atLeast"/>
        </w:trPr>
        <w:tc>
          <w:tcPr>
            <w:tcW w:w="0" w:type="auto"/>
            <w:tcBorders>
              <w:top w:val="nil"/>
              <w:left w:val="single" w:color="auto" w:sz="4" w:space="0"/>
              <w:bottom w:val="single" w:color="auto" w:sz="4" w:space="0"/>
              <w:right w:val="single" w:color="auto" w:sz="4" w:space="0"/>
            </w:tcBorders>
            <w:vAlign w:val="center"/>
          </w:tcPr>
          <w:p w14:paraId="6B2BA9A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26</w:t>
            </w:r>
          </w:p>
        </w:tc>
        <w:tc>
          <w:tcPr>
            <w:tcW w:w="1262" w:type="dxa"/>
            <w:vMerge w:val="restart"/>
            <w:tcBorders>
              <w:top w:val="nil"/>
              <w:left w:val="single" w:color="auto" w:sz="4" w:space="0"/>
              <w:bottom w:val="single" w:color="auto" w:sz="4" w:space="0"/>
              <w:right w:val="single" w:color="auto" w:sz="4" w:space="0"/>
            </w:tcBorders>
            <w:vAlign w:val="center"/>
          </w:tcPr>
          <w:p w14:paraId="7A1CD40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上海市低空飞行综合监管服务平台</w:t>
            </w:r>
          </w:p>
        </w:tc>
        <w:tc>
          <w:tcPr>
            <w:tcW w:w="1559" w:type="dxa"/>
            <w:tcBorders>
              <w:top w:val="nil"/>
              <w:left w:val="nil"/>
              <w:bottom w:val="single" w:color="auto" w:sz="4" w:space="0"/>
              <w:right w:val="single" w:color="auto" w:sz="4" w:space="0"/>
            </w:tcBorders>
            <w:vAlign w:val="center"/>
          </w:tcPr>
          <w:p w14:paraId="3A7DC10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空域管理</w:t>
            </w:r>
          </w:p>
        </w:tc>
        <w:tc>
          <w:tcPr>
            <w:tcW w:w="5018" w:type="dxa"/>
            <w:tcBorders>
              <w:top w:val="nil"/>
              <w:left w:val="nil"/>
              <w:bottom w:val="single" w:color="auto" w:sz="4" w:space="0"/>
              <w:right w:val="single" w:color="auto" w:sz="4" w:space="0"/>
            </w:tcBorders>
            <w:vAlign w:val="center"/>
          </w:tcPr>
          <w:p w14:paraId="64426DD1">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完善三维空域网格动态管控能力，支持批量航线业务办理与智能化审批。强化飞行冲突提前研判，实现空域资源动态调配，将调配结果与审批业务打通，形成空域管理业务闭环，提升空域运行管控水平。</w:t>
            </w:r>
          </w:p>
        </w:tc>
      </w:tr>
      <w:tr w14:paraId="57690564">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4CB2191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27</w:t>
            </w:r>
          </w:p>
        </w:tc>
        <w:tc>
          <w:tcPr>
            <w:tcW w:w="1262" w:type="dxa"/>
            <w:vMerge w:val="continue"/>
            <w:tcBorders>
              <w:top w:val="nil"/>
              <w:left w:val="single" w:color="auto" w:sz="4" w:space="0"/>
              <w:bottom w:val="single" w:color="auto" w:sz="4" w:space="0"/>
              <w:right w:val="single" w:color="auto" w:sz="4" w:space="0"/>
            </w:tcBorders>
            <w:vAlign w:val="center"/>
          </w:tcPr>
          <w:p w14:paraId="3684121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642261E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飞行服务</w:t>
            </w:r>
          </w:p>
        </w:tc>
        <w:tc>
          <w:tcPr>
            <w:tcW w:w="5018" w:type="dxa"/>
            <w:tcBorders>
              <w:top w:val="nil"/>
              <w:left w:val="nil"/>
              <w:bottom w:val="single" w:color="auto" w:sz="4" w:space="0"/>
              <w:right w:val="single" w:color="auto" w:sz="4" w:space="0"/>
            </w:tcBorders>
            <w:vAlign w:val="center"/>
          </w:tcPr>
          <w:p w14:paraId="0CC53D60">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对接本市政务服务入口，区分企业、个人用户实现飞行业务全流程线上办理。新增飞行体验区预约管控与信用约束，深化多部门业务对接，开展飞行情报风险研判，建设主体画像与全维度信用监管。</w:t>
            </w:r>
          </w:p>
        </w:tc>
      </w:tr>
      <w:tr w14:paraId="44AA8BCF">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7C33EDBE">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28</w:t>
            </w:r>
          </w:p>
        </w:tc>
        <w:tc>
          <w:tcPr>
            <w:tcW w:w="1262" w:type="dxa"/>
            <w:vMerge w:val="continue"/>
            <w:tcBorders>
              <w:top w:val="nil"/>
              <w:left w:val="single" w:color="auto" w:sz="4" w:space="0"/>
              <w:bottom w:val="single" w:color="auto" w:sz="4" w:space="0"/>
              <w:right w:val="single" w:color="auto" w:sz="4" w:space="0"/>
            </w:tcBorders>
            <w:vAlign w:val="center"/>
          </w:tcPr>
          <w:p w14:paraId="542B7A0F">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531D746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态势监视监管</w:t>
            </w:r>
          </w:p>
        </w:tc>
        <w:tc>
          <w:tcPr>
            <w:tcW w:w="5018" w:type="dxa"/>
            <w:tcBorders>
              <w:top w:val="nil"/>
              <w:left w:val="nil"/>
              <w:bottom w:val="single" w:color="auto" w:sz="4" w:space="0"/>
              <w:right w:val="single" w:color="auto" w:sz="4" w:space="0"/>
            </w:tcBorders>
            <w:vAlign w:val="center"/>
          </w:tcPr>
          <w:p w14:paraId="7000133D">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实现空域运行拥堵提前预警与辅助管控。升级违规风险预判能力，支持告警事件全流程处置协同。新增农林植保、机场净空、飞行体验区等专项场景安全监测预警能力。</w:t>
            </w:r>
          </w:p>
        </w:tc>
      </w:tr>
      <w:tr w14:paraId="6B5E11C6">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7EBC3AA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29</w:t>
            </w:r>
          </w:p>
        </w:tc>
        <w:tc>
          <w:tcPr>
            <w:tcW w:w="1262" w:type="dxa"/>
            <w:vMerge w:val="continue"/>
            <w:tcBorders>
              <w:top w:val="nil"/>
              <w:left w:val="single" w:color="auto" w:sz="4" w:space="0"/>
              <w:bottom w:val="single" w:color="auto" w:sz="4" w:space="0"/>
              <w:right w:val="single" w:color="auto" w:sz="4" w:space="0"/>
            </w:tcBorders>
            <w:vAlign w:val="center"/>
          </w:tcPr>
          <w:p w14:paraId="2832996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185CA550">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辅助决策</w:t>
            </w:r>
          </w:p>
        </w:tc>
        <w:tc>
          <w:tcPr>
            <w:tcW w:w="5018" w:type="dxa"/>
            <w:tcBorders>
              <w:top w:val="nil"/>
              <w:left w:val="nil"/>
              <w:bottom w:val="single" w:color="auto" w:sz="4" w:space="0"/>
              <w:right w:val="single" w:color="auto" w:sz="4" w:space="0"/>
            </w:tcBorders>
            <w:vAlign w:val="center"/>
          </w:tcPr>
          <w:p w14:paraId="1781EC4D">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搭建飞行全流程智能安全评估能力，覆盖飞行事前、事中、事后全环节。实现航线智能优选规划，开展飞行运行多维度统计与趋势预测。开发违规举报受理核查流程，支撑管理决策。</w:t>
            </w:r>
          </w:p>
        </w:tc>
      </w:tr>
      <w:tr w14:paraId="5DD9C56D">
        <w:tblPrEx>
          <w:tblCellMar>
            <w:top w:w="0" w:type="dxa"/>
            <w:left w:w="108" w:type="dxa"/>
            <w:bottom w:w="0" w:type="dxa"/>
            <w:right w:w="108" w:type="dxa"/>
          </w:tblCellMar>
        </w:tblPrEx>
        <w:trPr>
          <w:trHeight w:val="585" w:hRule="atLeast"/>
        </w:trPr>
        <w:tc>
          <w:tcPr>
            <w:tcW w:w="0" w:type="auto"/>
            <w:tcBorders>
              <w:top w:val="nil"/>
              <w:left w:val="single" w:color="auto" w:sz="4" w:space="0"/>
              <w:bottom w:val="single" w:color="auto" w:sz="4" w:space="0"/>
              <w:right w:val="single" w:color="auto" w:sz="4" w:space="0"/>
            </w:tcBorders>
            <w:vAlign w:val="center"/>
          </w:tcPr>
          <w:p w14:paraId="3D06855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30</w:t>
            </w:r>
          </w:p>
        </w:tc>
        <w:tc>
          <w:tcPr>
            <w:tcW w:w="1262" w:type="dxa"/>
            <w:vMerge w:val="continue"/>
            <w:tcBorders>
              <w:top w:val="nil"/>
              <w:left w:val="single" w:color="auto" w:sz="4" w:space="0"/>
              <w:bottom w:val="single" w:color="auto" w:sz="4" w:space="0"/>
              <w:right w:val="single" w:color="auto" w:sz="4" w:space="0"/>
            </w:tcBorders>
            <w:vAlign w:val="center"/>
          </w:tcPr>
          <w:p w14:paraId="10003C0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4F62840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信息服务</w:t>
            </w:r>
          </w:p>
        </w:tc>
        <w:tc>
          <w:tcPr>
            <w:tcW w:w="5018" w:type="dxa"/>
            <w:tcBorders>
              <w:top w:val="nil"/>
              <w:left w:val="nil"/>
              <w:bottom w:val="single" w:color="auto" w:sz="4" w:space="0"/>
              <w:right w:val="single" w:color="auto" w:sz="4" w:space="0"/>
            </w:tcBorders>
            <w:vAlign w:val="center"/>
          </w:tcPr>
          <w:p w14:paraId="599B4FBE">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建设面向管理用户的智能化问答服务能力，汇聚法规政策、空域分布、办事指南等权威知识资源，支持用户智能咨询，对复杂业务提供流程引导服务，提升用户信息服务体验。</w:t>
            </w:r>
          </w:p>
        </w:tc>
      </w:tr>
      <w:tr w14:paraId="41348844">
        <w:tblPrEx>
          <w:tblCellMar>
            <w:top w:w="0" w:type="dxa"/>
            <w:left w:w="108" w:type="dxa"/>
            <w:bottom w:w="0" w:type="dxa"/>
            <w:right w:w="108" w:type="dxa"/>
          </w:tblCellMar>
        </w:tblPrEx>
        <w:trPr>
          <w:trHeight w:val="585" w:hRule="atLeast"/>
        </w:trPr>
        <w:tc>
          <w:tcPr>
            <w:tcW w:w="0" w:type="auto"/>
            <w:tcBorders>
              <w:top w:val="nil"/>
              <w:left w:val="single" w:color="auto" w:sz="4" w:space="0"/>
              <w:bottom w:val="single" w:color="auto" w:sz="4" w:space="0"/>
              <w:right w:val="single" w:color="auto" w:sz="4" w:space="0"/>
            </w:tcBorders>
            <w:vAlign w:val="center"/>
          </w:tcPr>
          <w:p w14:paraId="2939FA9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31</w:t>
            </w:r>
          </w:p>
        </w:tc>
        <w:tc>
          <w:tcPr>
            <w:tcW w:w="1262" w:type="dxa"/>
            <w:vMerge w:val="continue"/>
            <w:tcBorders>
              <w:top w:val="nil"/>
              <w:left w:val="single" w:color="auto" w:sz="4" w:space="0"/>
              <w:bottom w:val="single" w:color="auto" w:sz="4" w:space="0"/>
              <w:right w:val="single" w:color="auto" w:sz="4" w:space="0"/>
            </w:tcBorders>
            <w:vAlign w:val="center"/>
          </w:tcPr>
          <w:p w14:paraId="7B9BC77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06B04F8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应急联动</w:t>
            </w:r>
          </w:p>
        </w:tc>
        <w:tc>
          <w:tcPr>
            <w:tcW w:w="5018" w:type="dxa"/>
            <w:tcBorders>
              <w:top w:val="nil"/>
              <w:left w:val="nil"/>
              <w:bottom w:val="single" w:color="auto" w:sz="4" w:space="0"/>
              <w:right w:val="single" w:color="auto" w:sz="4" w:space="0"/>
            </w:tcBorders>
            <w:vAlign w:val="center"/>
          </w:tcPr>
          <w:p w14:paraId="033508A4">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建设数字化应急协同预案资源库，实现应急事件自动研判。可快速汇总事件多维度信息，支撑统一应急指挥处置的协同工作。对应急事件完整留痕归档，支持事后复盘分析。</w:t>
            </w:r>
          </w:p>
        </w:tc>
      </w:tr>
      <w:tr w14:paraId="2B45FE63">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66EA893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32</w:t>
            </w:r>
          </w:p>
        </w:tc>
        <w:tc>
          <w:tcPr>
            <w:tcW w:w="1262" w:type="dxa"/>
            <w:vMerge w:val="continue"/>
            <w:tcBorders>
              <w:top w:val="nil"/>
              <w:left w:val="single" w:color="auto" w:sz="4" w:space="0"/>
              <w:bottom w:val="single" w:color="auto" w:sz="4" w:space="0"/>
              <w:right w:val="single" w:color="auto" w:sz="4" w:space="0"/>
            </w:tcBorders>
            <w:vAlign w:val="center"/>
          </w:tcPr>
          <w:p w14:paraId="23640D2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671BF7D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长三角飞行协同监管和服务专题</w:t>
            </w:r>
          </w:p>
        </w:tc>
        <w:tc>
          <w:tcPr>
            <w:tcW w:w="5018" w:type="dxa"/>
            <w:tcBorders>
              <w:top w:val="nil"/>
              <w:left w:val="nil"/>
              <w:bottom w:val="single" w:color="auto" w:sz="4" w:space="0"/>
              <w:right w:val="single" w:color="auto" w:sz="4" w:space="0"/>
            </w:tcBorders>
            <w:vAlign w:val="center"/>
          </w:tcPr>
          <w:p w14:paraId="300A92A7">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开展跨域飞行业务协同办理，落实区域资质信用互认。实现长三角区域态势信息共享、跨域风险协同预警，完善跨省市数据交换与运行追溯管理。</w:t>
            </w:r>
          </w:p>
        </w:tc>
      </w:tr>
      <w:tr w14:paraId="21AD8F46">
        <w:tblPrEx>
          <w:tblCellMar>
            <w:top w:w="0" w:type="dxa"/>
            <w:left w:w="108" w:type="dxa"/>
            <w:bottom w:w="0" w:type="dxa"/>
            <w:right w:w="108" w:type="dxa"/>
          </w:tblCellMar>
        </w:tblPrEx>
        <w:trPr>
          <w:trHeight w:val="585" w:hRule="atLeast"/>
        </w:trPr>
        <w:tc>
          <w:tcPr>
            <w:tcW w:w="0" w:type="auto"/>
            <w:tcBorders>
              <w:top w:val="nil"/>
              <w:left w:val="single" w:color="auto" w:sz="4" w:space="0"/>
              <w:bottom w:val="single" w:color="auto" w:sz="4" w:space="0"/>
              <w:right w:val="single" w:color="auto" w:sz="4" w:space="0"/>
            </w:tcBorders>
            <w:vAlign w:val="center"/>
          </w:tcPr>
          <w:p w14:paraId="6BB066E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33</w:t>
            </w:r>
          </w:p>
        </w:tc>
        <w:tc>
          <w:tcPr>
            <w:tcW w:w="1262" w:type="dxa"/>
            <w:vMerge w:val="continue"/>
            <w:tcBorders>
              <w:top w:val="nil"/>
              <w:left w:val="single" w:color="auto" w:sz="4" w:space="0"/>
              <w:bottom w:val="single" w:color="auto" w:sz="4" w:space="0"/>
              <w:right w:val="single" w:color="auto" w:sz="4" w:space="0"/>
            </w:tcBorders>
            <w:vAlign w:val="center"/>
          </w:tcPr>
          <w:p w14:paraId="3736557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1061B9A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示范应用专题</w:t>
            </w:r>
          </w:p>
        </w:tc>
        <w:tc>
          <w:tcPr>
            <w:tcW w:w="5018" w:type="dxa"/>
            <w:tcBorders>
              <w:top w:val="nil"/>
              <w:left w:val="nil"/>
              <w:bottom w:val="single" w:color="auto" w:sz="4" w:space="0"/>
              <w:right w:val="single" w:color="auto" w:sz="4" w:space="0"/>
            </w:tcBorders>
            <w:vAlign w:val="center"/>
          </w:tcPr>
          <w:p w14:paraId="19EF395D">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围绕物流配送、巡检作业、产业创新等场景开展示范建设，构建产业目录与能力地图，开放脱敏产业数据，形成可复制推广的低空业务运行示范模式。</w:t>
            </w:r>
          </w:p>
        </w:tc>
      </w:tr>
      <w:tr w14:paraId="7D9FA507">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463E76EA">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34</w:t>
            </w:r>
          </w:p>
        </w:tc>
        <w:tc>
          <w:tcPr>
            <w:tcW w:w="1262" w:type="dxa"/>
            <w:vMerge w:val="restart"/>
            <w:tcBorders>
              <w:top w:val="nil"/>
              <w:left w:val="single" w:color="auto" w:sz="4" w:space="0"/>
              <w:bottom w:val="single" w:color="auto" w:sz="4" w:space="0"/>
              <w:right w:val="single" w:color="auto" w:sz="4" w:space="0"/>
            </w:tcBorders>
            <w:vAlign w:val="center"/>
          </w:tcPr>
          <w:p w14:paraId="3F28D5BD">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警务政务无人机飞行和民用无人机安全管控平台</w:t>
            </w:r>
          </w:p>
        </w:tc>
        <w:tc>
          <w:tcPr>
            <w:tcW w:w="1559" w:type="dxa"/>
            <w:tcBorders>
              <w:top w:val="nil"/>
              <w:left w:val="nil"/>
              <w:bottom w:val="single" w:color="auto" w:sz="4" w:space="0"/>
              <w:right w:val="single" w:color="auto" w:sz="4" w:space="0"/>
            </w:tcBorders>
            <w:vAlign w:val="center"/>
          </w:tcPr>
          <w:p w14:paraId="574B9B2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警务政务无人机飞行数据中枢与算法引擎-“机驾管”数据集成</w:t>
            </w:r>
          </w:p>
        </w:tc>
        <w:tc>
          <w:tcPr>
            <w:tcW w:w="5018" w:type="dxa"/>
            <w:tcBorders>
              <w:top w:val="nil"/>
              <w:left w:val="nil"/>
              <w:bottom w:val="single" w:color="auto" w:sz="4" w:space="0"/>
              <w:right w:val="single" w:color="auto" w:sz="4" w:space="0"/>
            </w:tcBorders>
            <w:vAlign w:val="center"/>
          </w:tcPr>
          <w:p w14:paraId="542161C8">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统一集成无人机、人员、单位数据，标准统一、动态更新、全生命周期可追溯，建档案并提供内外部接口。</w:t>
            </w:r>
          </w:p>
        </w:tc>
      </w:tr>
      <w:tr w14:paraId="4DCC6055">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7C8C609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35</w:t>
            </w:r>
          </w:p>
        </w:tc>
        <w:tc>
          <w:tcPr>
            <w:tcW w:w="1262" w:type="dxa"/>
            <w:vMerge w:val="continue"/>
            <w:tcBorders>
              <w:top w:val="nil"/>
              <w:left w:val="single" w:color="auto" w:sz="4" w:space="0"/>
              <w:bottom w:val="single" w:color="auto" w:sz="4" w:space="0"/>
              <w:right w:val="single" w:color="auto" w:sz="4" w:space="0"/>
            </w:tcBorders>
            <w:vAlign w:val="center"/>
          </w:tcPr>
          <w:p w14:paraId="75621B8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0077077B">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警务政务无人机飞行数据中枢与算法引擎-动态数据集成</w:t>
            </w:r>
          </w:p>
        </w:tc>
        <w:tc>
          <w:tcPr>
            <w:tcW w:w="5018" w:type="dxa"/>
            <w:tcBorders>
              <w:top w:val="nil"/>
              <w:left w:val="nil"/>
              <w:bottom w:val="single" w:color="auto" w:sz="4" w:space="0"/>
              <w:right w:val="single" w:color="auto" w:sz="4" w:space="0"/>
            </w:tcBorders>
            <w:vAlign w:val="center"/>
          </w:tcPr>
          <w:p w14:paraId="67266148">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支持多源数据协议适配、结构标准化、设备注册与鉴权以及实时数据时空对齐、属性关联、状态补全与推算；建设实时流处理引擎，提供结构化存储、实时数据接口服务。</w:t>
            </w:r>
          </w:p>
        </w:tc>
      </w:tr>
      <w:tr w14:paraId="31FA82A3">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45755386">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36</w:t>
            </w:r>
          </w:p>
        </w:tc>
        <w:tc>
          <w:tcPr>
            <w:tcW w:w="1262" w:type="dxa"/>
            <w:vMerge w:val="continue"/>
            <w:tcBorders>
              <w:top w:val="nil"/>
              <w:left w:val="single" w:color="auto" w:sz="4" w:space="0"/>
              <w:bottom w:val="single" w:color="auto" w:sz="4" w:space="0"/>
              <w:right w:val="single" w:color="auto" w:sz="4" w:space="0"/>
            </w:tcBorders>
            <w:vAlign w:val="center"/>
          </w:tcPr>
          <w:p w14:paraId="3369CF5D">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0733CA1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警务政务无人机飞行数据中枢与算法引擎-视觉识别算法</w:t>
            </w:r>
          </w:p>
        </w:tc>
        <w:tc>
          <w:tcPr>
            <w:tcW w:w="5018" w:type="dxa"/>
            <w:tcBorders>
              <w:top w:val="nil"/>
              <w:left w:val="nil"/>
              <w:bottom w:val="single" w:color="auto" w:sz="4" w:space="0"/>
              <w:right w:val="single" w:color="auto" w:sz="4" w:space="0"/>
            </w:tcBorders>
            <w:vAlign w:val="center"/>
          </w:tcPr>
          <w:p w14:paraId="510D6EA5">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建设警务政务视觉识别算法，优化小目标识别，拓展边港水域、城市街面、平安校园；支持标签与逻辑一体化、大模型场景理解与预警审核。</w:t>
            </w:r>
          </w:p>
        </w:tc>
      </w:tr>
      <w:tr w14:paraId="10E7BBDF">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38E8A0A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37</w:t>
            </w:r>
          </w:p>
        </w:tc>
        <w:tc>
          <w:tcPr>
            <w:tcW w:w="1262" w:type="dxa"/>
            <w:vMerge w:val="continue"/>
            <w:tcBorders>
              <w:top w:val="nil"/>
              <w:left w:val="single" w:color="auto" w:sz="4" w:space="0"/>
              <w:bottom w:val="single" w:color="auto" w:sz="4" w:space="0"/>
              <w:right w:val="single" w:color="auto" w:sz="4" w:space="0"/>
            </w:tcBorders>
            <w:vAlign w:val="center"/>
          </w:tcPr>
          <w:p w14:paraId="15DD904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3C803B5B">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警务政务无人机飞行管理与服务</w:t>
            </w:r>
          </w:p>
        </w:tc>
        <w:tc>
          <w:tcPr>
            <w:tcW w:w="5018" w:type="dxa"/>
            <w:tcBorders>
              <w:top w:val="nil"/>
              <w:left w:val="nil"/>
              <w:bottom w:val="single" w:color="auto" w:sz="4" w:space="0"/>
              <w:right w:val="single" w:color="auto" w:sz="4" w:space="0"/>
            </w:tcBorders>
            <w:vAlign w:val="center"/>
          </w:tcPr>
          <w:p w14:paraId="21BF6C37">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面向警务政务无人机，涵盖无人机飞行综合指挥与调度、飞行服务、飞行运行管理；通过飞行风险预警与处置智能体和低空飞行知识库问答智能体，提供风险预警、辅助决策和知识问答能力。</w:t>
            </w:r>
          </w:p>
        </w:tc>
      </w:tr>
      <w:tr w14:paraId="17983B30">
        <w:tblPrEx>
          <w:tblCellMar>
            <w:top w:w="0" w:type="dxa"/>
            <w:left w:w="108" w:type="dxa"/>
            <w:bottom w:w="0" w:type="dxa"/>
            <w:right w:w="108" w:type="dxa"/>
          </w:tblCellMar>
        </w:tblPrEx>
        <w:trPr>
          <w:trHeight w:val="555" w:hRule="atLeast"/>
        </w:trPr>
        <w:tc>
          <w:tcPr>
            <w:tcW w:w="0" w:type="auto"/>
            <w:tcBorders>
              <w:top w:val="nil"/>
              <w:left w:val="single" w:color="auto" w:sz="4" w:space="0"/>
              <w:bottom w:val="single" w:color="auto" w:sz="4" w:space="0"/>
              <w:right w:val="single" w:color="auto" w:sz="4" w:space="0"/>
            </w:tcBorders>
            <w:vAlign w:val="center"/>
          </w:tcPr>
          <w:p w14:paraId="6707FF5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38</w:t>
            </w:r>
          </w:p>
        </w:tc>
        <w:tc>
          <w:tcPr>
            <w:tcW w:w="1262" w:type="dxa"/>
            <w:vMerge w:val="continue"/>
            <w:tcBorders>
              <w:top w:val="nil"/>
              <w:left w:val="single" w:color="auto" w:sz="4" w:space="0"/>
              <w:bottom w:val="single" w:color="auto" w:sz="4" w:space="0"/>
              <w:right w:val="single" w:color="auto" w:sz="4" w:space="0"/>
            </w:tcBorders>
            <w:vAlign w:val="center"/>
          </w:tcPr>
          <w:p w14:paraId="1AFBA8E5">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0DB056A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警务政务无人机飞行数据安全防护-基于隐私计算的跨机构可信数据协作</w:t>
            </w:r>
          </w:p>
        </w:tc>
        <w:tc>
          <w:tcPr>
            <w:tcW w:w="5018" w:type="dxa"/>
            <w:tcBorders>
              <w:top w:val="nil"/>
              <w:left w:val="nil"/>
              <w:bottom w:val="single" w:color="auto" w:sz="4" w:space="0"/>
              <w:right w:val="single" w:color="auto" w:sz="4" w:space="0"/>
            </w:tcBorders>
            <w:vAlign w:val="center"/>
          </w:tcPr>
          <w:p w14:paraId="44966697">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通过隐私计算、数据沙箱、可信执行环境，实现敏感数据可用不可见；支持资源目录、安全建模分析、加密碰撞、权限审批追溯、密钥证书及上链审计。</w:t>
            </w:r>
          </w:p>
        </w:tc>
      </w:tr>
      <w:tr w14:paraId="695EA11D">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3076CF0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39</w:t>
            </w:r>
          </w:p>
        </w:tc>
        <w:tc>
          <w:tcPr>
            <w:tcW w:w="1262" w:type="dxa"/>
            <w:vMerge w:val="continue"/>
            <w:tcBorders>
              <w:top w:val="nil"/>
              <w:left w:val="single" w:color="auto" w:sz="4" w:space="0"/>
              <w:bottom w:val="single" w:color="auto" w:sz="4" w:space="0"/>
              <w:right w:val="single" w:color="auto" w:sz="4" w:space="0"/>
            </w:tcBorders>
            <w:vAlign w:val="center"/>
          </w:tcPr>
          <w:p w14:paraId="7CB2E2D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1BFD0B6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警务政务无人机飞行数据安全防护-低空无人机终端可信管控</w:t>
            </w:r>
          </w:p>
        </w:tc>
        <w:tc>
          <w:tcPr>
            <w:tcW w:w="5018" w:type="dxa"/>
            <w:tcBorders>
              <w:top w:val="nil"/>
              <w:left w:val="nil"/>
              <w:bottom w:val="single" w:color="auto" w:sz="4" w:space="0"/>
              <w:right w:val="single" w:color="auto" w:sz="4" w:space="0"/>
            </w:tcBorders>
            <w:vAlign w:val="center"/>
          </w:tcPr>
          <w:p w14:paraId="63E9B46A">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建设云边端一体化终端可信管控，实现人机任务全生命周期身份管理、合规校验、数据加密与上链审计，确保事前校对、事中监控、事后追溯。</w:t>
            </w:r>
          </w:p>
        </w:tc>
      </w:tr>
      <w:tr w14:paraId="34EC9E06">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4ECFF73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40</w:t>
            </w:r>
          </w:p>
        </w:tc>
        <w:tc>
          <w:tcPr>
            <w:tcW w:w="1262" w:type="dxa"/>
            <w:vMerge w:val="continue"/>
            <w:tcBorders>
              <w:top w:val="nil"/>
              <w:left w:val="single" w:color="auto" w:sz="4" w:space="0"/>
              <w:bottom w:val="single" w:color="auto" w:sz="4" w:space="0"/>
              <w:right w:val="single" w:color="auto" w:sz="4" w:space="0"/>
            </w:tcBorders>
            <w:vAlign w:val="center"/>
          </w:tcPr>
          <w:p w14:paraId="551C8C5F">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10FAFA7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民用无人机飞行管控数据中枢与算法引擎</w:t>
            </w:r>
          </w:p>
        </w:tc>
        <w:tc>
          <w:tcPr>
            <w:tcW w:w="5018" w:type="dxa"/>
            <w:tcBorders>
              <w:top w:val="nil"/>
              <w:left w:val="nil"/>
              <w:bottom w:val="single" w:color="auto" w:sz="4" w:space="0"/>
              <w:right w:val="single" w:color="auto" w:sz="4" w:space="0"/>
            </w:tcBorders>
            <w:vAlign w:val="center"/>
          </w:tcPr>
          <w:p w14:paraId="1C50E424">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整合空域管制、限飞区、禁飞区、适飞区等数据进行统一管理；建设数据安全审计智能体和数据分级分类授权智能体，保障数据安全合规与按级授权使用；建设飞行意图识别、趋势分析、黑飞感知、全链路证据模型等算法智能体，以支持违规飞行识别、研判与证据固化。</w:t>
            </w:r>
          </w:p>
        </w:tc>
      </w:tr>
      <w:tr w14:paraId="62B7F649">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75016EBD">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41</w:t>
            </w:r>
          </w:p>
        </w:tc>
        <w:tc>
          <w:tcPr>
            <w:tcW w:w="1262" w:type="dxa"/>
            <w:vMerge w:val="continue"/>
            <w:tcBorders>
              <w:top w:val="nil"/>
              <w:left w:val="single" w:color="auto" w:sz="4" w:space="0"/>
              <w:bottom w:val="single" w:color="auto" w:sz="4" w:space="0"/>
              <w:right w:val="single" w:color="auto" w:sz="4" w:space="0"/>
            </w:tcBorders>
            <w:vAlign w:val="center"/>
          </w:tcPr>
          <w:p w14:paraId="60F749D0">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0E850AF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民用无人机飞行管控运行保障与安全防护</w:t>
            </w:r>
          </w:p>
        </w:tc>
        <w:tc>
          <w:tcPr>
            <w:tcW w:w="5018" w:type="dxa"/>
            <w:tcBorders>
              <w:top w:val="nil"/>
              <w:left w:val="nil"/>
              <w:bottom w:val="single" w:color="auto" w:sz="4" w:space="0"/>
              <w:right w:val="single" w:color="auto" w:sz="4" w:space="0"/>
            </w:tcBorders>
            <w:vAlign w:val="center"/>
          </w:tcPr>
          <w:p w14:paraId="4A2592B6">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对探测阵地及设备统一管控，接入探测物联网及反制设备，建设飞手专属档案，实现飞手全生命周期规范化管理；对飞行管控全流程记录，支持多维度查询与责任追溯。</w:t>
            </w:r>
          </w:p>
        </w:tc>
      </w:tr>
      <w:tr w14:paraId="68493A28">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73638B2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42</w:t>
            </w:r>
          </w:p>
        </w:tc>
        <w:tc>
          <w:tcPr>
            <w:tcW w:w="1262" w:type="dxa"/>
            <w:vMerge w:val="continue"/>
            <w:tcBorders>
              <w:top w:val="nil"/>
              <w:left w:val="single" w:color="auto" w:sz="4" w:space="0"/>
              <w:bottom w:val="single" w:color="auto" w:sz="4" w:space="0"/>
              <w:right w:val="single" w:color="auto" w:sz="4" w:space="0"/>
            </w:tcBorders>
            <w:vAlign w:val="center"/>
          </w:tcPr>
          <w:p w14:paraId="42F5F7D5">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0331C7E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民用无人机飞行安全监管</w:t>
            </w:r>
          </w:p>
        </w:tc>
        <w:tc>
          <w:tcPr>
            <w:tcW w:w="5018" w:type="dxa"/>
            <w:tcBorders>
              <w:top w:val="nil"/>
              <w:left w:val="nil"/>
              <w:bottom w:val="single" w:color="auto" w:sz="4" w:space="0"/>
              <w:right w:val="single" w:color="auto" w:sz="4" w:space="0"/>
            </w:tcBorders>
            <w:vAlign w:val="center"/>
          </w:tcPr>
          <w:p w14:paraId="115992E3">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对飞行意图进行分析，智能研判黑飞行为，支持告警并进行快控智能反制联动；支持黑飞处置的多部门警情联动与信息共享，预置大型活动等场景处置预案，智能匹配最优预案并快速触发执行；支持活动安保期间进行飞行管控与指挥，提供应急处置智能通信调度能力，实现多部门协同处置时语音、数据、指令实时互通。</w:t>
            </w:r>
          </w:p>
        </w:tc>
      </w:tr>
      <w:tr w14:paraId="4ED7A68C">
        <w:tblPrEx>
          <w:tblCellMar>
            <w:top w:w="0" w:type="dxa"/>
            <w:left w:w="108" w:type="dxa"/>
            <w:bottom w:w="0" w:type="dxa"/>
            <w:right w:w="108" w:type="dxa"/>
          </w:tblCellMar>
        </w:tblPrEx>
        <w:trPr>
          <w:trHeight w:val="855" w:hRule="atLeast"/>
        </w:trPr>
        <w:tc>
          <w:tcPr>
            <w:tcW w:w="0" w:type="auto"/>
            <w:tcBorders>
              <w:top w:val="nil"/>
              <w:left w:val="single" w:color="auto" w:sz="4" w:space="0"/>
              <w:bottom w:val="single" w:color="auto" w:sz="4" w:space="0"/>
              <w:right w:val="single" w:color="auto" w:sz="4" w:space="0"/>
            </w:tcBorders>
            <w:vAlign w:val="center"/>
          </w:tcPr>
          <w:p w14:paraId="528C824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43</w:t>
            </w:r>
          </w:p>
        </w:tc>
        <w:tc>
          <w:tcPr>
            <w:tcW w:w="1262" w:type="dxa"/>
            <w:vMerge w:val="continue"/>
            <w:tcBorders>
              <w:top w:val="nil"/>
              <w:left w:val="single" w:color="auto" w:sz="4" w:space="0"/>
              <w:bottom w:val="single" w:color="auto" w:sz="4" w:space="0"/>
              <w:right w:val="single" w:color="auto" w:sz="4" w:space="0"/>
            </w:tcBorders>
            <w:vAlign w:val="center"/>
          </w:tcPr>
          <w:p w14:paraId="3171A04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29B8378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民用无人机飞行飞行管控全景驾驶舱和专题分析</w:t>
            </w:r>
          </w:p>
        </w:tc>
        <w:tc>
          <w:tcPr>
            <w:tcW w:w="5018" w:type="dxa"/>
            <w:tcBorders>
              <w:top w:val="nil"/>
              <w:left w:val="nil"/>
              <w:bottom w:val="single" w:color="auto" w:sz="4" w:space="0"/>
              <w:right w:val="single" w:color="auto" w:sz="4" w:space="0"/>
            </w:tcBorders>
            <w:vAlign w:val="center"/>
          </w:tcPr>
          <w:p w14:paraId="6983B56A">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构建全景驾驶舱，全息可视化呈现风险态势，分级推送预警与处置提示，形成全域立体可视化态势图；融合低空要素图谱，提供低空飞行安全的多维溯源能力，能够实时解析飞行态势，核查轨迹合规性，实时解析空域态势、飞行合规性与风险，形成飞行时序链追踪分析图；聚焦大型活动空域安保以及单体无人机全生命周期管控，实现管控预警和快速处置。</w:t>
            </w:r>
          </w:p>
        </w:tc>
      </w:tr>
      <w:tr w14:paraId="7259054A">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70DA24B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44</w:t>
            </w:r>
          </w:p>
        </w:tc>
        <w:tc>
          <w:tcPr>
            <w:tcW w:w="1262" w:type="dxa"/>
            <w:vMerge w:val="restart"/>
            <w:tcBorders>
              <w:top w:val="nil"/>
              <w:left w:val="single" w:color="auto" w:sz="4" w:space="0"/>
              <w:bottom w:val="single" w:color="000000" w:sz="4" w:space="0"/>
              <w:right w:val="single" w:color="auto" w:sz="4" w:space="0"/>
            </w:tcBorders>
            <w:noWrap/>
            <w:vAlign w:val="center"/>
          </w:tcPr>
          <w:p w14:paraId="384AD7D6">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数据底座</w:t>
            </w:r>
          </w:p>
        </w:tc>
        <w:tc>
          <w:tcPr>
            <w:tcW w:w="1559" w:type="dxa"/>
            <w:tcBorders>
              <w:top w:val="nil"/>
              <w:left w:val="nil"/>
              <w:bottom w:val="single" w:color="auto" w:sz="4" w:space="0"/>
              <w:right w:val="single" w:color="auto" w:sz="4" w:space="0"/>
            </w:tcBorders>
            <w:vAlign w:val="center"/>
          </w:tcPr>
          <w:p w14:paraId="1A778F3F">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支撑平台-统一权限</w:t>
            </w:r>
          </w:p>
        </w:tc>
        <w:tc>
          <w:tcPr>
            <w:tcW w:w="5018" w:type="dxa"/>
            <w:tcBorders>
              <w:top w:val="nil"/>
              <w:left w:val="nil"/>
              <w:bottom w:val="single" w:color="auto" w:sz="4" w:space="0"/>
              <w:right w:val="single" w:color="auto" w:sz="4" w:space="0"/>
            </w:tcBorders>
            <w:vAlign w:val="center"/>
          </w:tcPr>
          <w:p w14:paraId="0BB28B1A">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统一权限管控枢纽，聚焦组织-用户-角色-权限全链路权限管理，覆盖多类主体，整合组织架构、用户身份、角色定义、权限分配的标准化管理能力。</w:t>
            </w:r>
          </w:p>
        </w:tc>
      </w:tr>
      <w:tr w14:paraId="50E934F0">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5A2526B8">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45</w:t>
            </w:r>
          </w:p>
        </w:tc>
        <w:tc>
          <w:tcPr>
            <w:tcW w:w="1262" w:type="dxa"/>
            <w:vMerge w:val="continue"/>
            <w:tcBorders>
              <w:top w:val="nil"/>
              <w:left w:val="single" w:color="auto" w:sz="4" w:space="0"/>
              <w:bottom w:val="single" w:color="000000" w:sz="4" w:space="0"/>
              <w:right w:val="single" w:color="auto" w:sz="4" w:space="0"/>
            </w:tcBorders>
            <w:vAlign w:val="center"/>
          </w:tcPr>
          <w:p w14:paraId="25E4F3C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10AB7C5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支撑平台-统一信息服务</w:t>
            </w:r>
          </w:p>
        </w:tc>
        <w:tc>
          <w:tcPr>
            <w:tcW w:w="5018" w:type="dxa"/>
            <w:tcBorders>
              <w:top w:val="nil"/>
              <w:left w:val="nil"/>
              <w:bottom w:val="single" w:color="auto" w:sz="4" w:space="0"/>
              <w:right w:val="single" w:color="auto" w:sz="4" w:space="0"/>
            </w:tcBorders>
            <w:vAlign w:val="center"/>
          </w:tcPr>
          <w:p w14:paraId="06EA9436">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核心信息交互枢纽，提供消息收发、精准推送等一体化服务，确保消息精准触达，提升跨角色信息协同效率。</w:t>
            </w:r>
          </w:p>
        </w:tc>
      </w:tr>
      <w:tr w14:paraId="4BABCBC6">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11E1D0E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46</w:t>
            </w:r>
          </w:p>
        </w:tc>
        <w:tc>
          <w:tcPr>
            <w:tcW w:w="1262" w:type="dxa"/>
            <w:vMerge w:val="continue"/>
            <w:tcBorders>
              <w:top w:val="nil"/>
              <w:left w:val="single" w:color="auto" w:sz="4" w:space="0"/>
              <w:bottom w:val="single" w:color="000000" w:sz="4" w:space="0"/>
              <w:right w:val="single" w:color="auto" w:sz="4" w:space="0"/>
            </w:tcBorders>
            <w:vAlign w:val="center"/>
          </w:tcPr>
          <w:p w14:paraId="2CF2188B">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6DB7642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支撑平台-共享能力服务-AI支撑-数据分类分级智能体</w:t>
            </w:r>
          </w:p>
        </w:tc>
        <w:tc>
          <w:tcPr>
            <w:tcW w:w="5018" w:type="dxa"/>
            <w:tcBorders>
              <w:top w:val="nil"/>
              <w:left w:val="nil"/>
              <w:bottom w:val="single" w:color="auto" w:sz="4" w:space="0"/>
              <w:right w:val="single" w:color="auto" w:sz="4" w:space="0"/>
            </w:tcBorders>
            <w:vAlign w:val="center"/>
          </w:tcPr>
          <w:p w14:paraId="747B9F18">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依托AI算法与低空管控业务场景特征，对飞行全流程多源异构数据开展自动化、智能化的分类分级处理，精准识别敏感数据与核心数据，构建标准化的数据飞行管控体系，为数据加密、访问控制、合规流转提供底层分类依据。</w:t>
            </w:r>
          </w:p>
        </w:tc>
      </w:tr>
      <w:tr w14:paraId="6CBE35D4">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333DE32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47</w:t>
            </w:r>
          </w:p>
        </w:tc>
        <w:tc>
          <w:tcPr>
            <w:tcW w:w="1262" w:type="dxa"/>
            <w:vMerge w:val="continue"/>
            <w:tcBorders>
              <w:top w:val="nil"/>
              <w:left w:val="single" w:color="auto" w:sz="4" w:space="0"/>
              <w:bottom w:val="single" w:color="000000" w:sz="4" w:space="0"/>
              <w:right w:val="single" w:color="auto" w:sz="4" w:space="0"/>
            </w:tcBorders>
            <w:vAlign w:val="center"/>
          </w:tcPr>
          <w:p w14:paraId="698989E4">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1750FCB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支撑平台-共享能力服务-AI支撑-空域飞行密度算法智能体</w:t>
            </w:r>
          </w:p>
        </w:tc>
        <w:tc>
          <w:tcPr>
            <w:tcW w:w="5018" w:type="dxa"/>
            <w:tcBorders>
              <w:top w:val="nil"/>
              <w:left w:val="nil"/>
              <w:bottom w:val="single" w:color="auto" w:sz="4" w:space="0"/>
              <w:right w:val="single" w:color="auto" w:sz="4" w:space="0"/>
            </w:tcBorders>
            <w:vAlign w:val="center"/>
          </w:tcPr>
          <w:p w14:paraId="20D59C22">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依托动态感知与机器学习技术，实现对空域飞行密度的实时计算、趋势预测与风险预警，精准刻画空域繁忙程度，为飞行计划审批、航线规划、空域分配等业务提供科学的数据支撑。</w:t>
            </w:r>
          </w:p>
        </w:tc>
      </w:tr>
      <w:tr w14:paraId="5F5D07E1">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1B3F99A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48</w:t>
            </w:r>
          </w:p>
        </w:tc>
        <w:tc>
          <w:tcPr>
            <w:tcW w:w="1262" w:type="dxa"/>
            <w:vMerge w:val="continue"/>
            <w:tcBorders>
              <w:top w:val="nil"/>
              <w:left w:val="single" w:color="auto" w:sz="4" w:space="0"/>
              <w:bottom w:val="single" w:color="000000" w:sz="4" w:space="0"/>
              <w:right w:val="single" w:color="auto" w:sz="4" w:space="0"/>
            </w:tcBorders>
            <w:vAlign w:val="center"/>
          </w:tcPr>
          <w:p w14:paraId="3030959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3B7A2264">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支撑平台-共享能力服务-AI支撑-数据资产审计智能体</w:t>
            </w:r>
          </w:p>
        </w:tc>
        <w:tc>
          <w:tcPr>
            <w:tcW w:w="5018" w:type="dxa"/>
            <w:tcBorders>
              <w:top w:val="nil"/>
              <w:left w:val="nil"/>
              <w:bottom w:val="single" w:color="auto" w:sz="4" w:space="0"/>
              <w:right w:val="single" w:color="auto" w:sz="4" w:space="0"/>
            </w:tcBorders>
            <w:vAlign w:val="center"/>
          </w:tcPr>
          <w:p w14:paraId="2D83D5D6">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基于区块链溯源存证与资产数字档案，对低空数据资产的全生命周期使用行为进行实时感知与采集，支持多维度对数据使用行为进行交叉分析与深度挖掘，自动生成结构化的合规审计报告。</w:t>
            </w:r>
          </w:p>
        </w:tc>
      </w:tr>
      <w:tr w14:paraId="5441AF8B">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21BAFA0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49</w:t>
            </w:r>
          </w:p>
        </w:tc>
        <w:tc>
          <w:tcPr>
            <w:tcW w:w="1262" w:type="dxa"/>
            <w:vMerge w:val="continue"/>
            <w:tcBorders>
              <w:top w:val="nil"/>
              <w:left w:val="single" w:color="auto" w:sz="4" w:space="0"/>
              <w:bottom w:val="single" w:color="000000" w:sz="4" w:space="0"/>
              <w:right w:val="single" w:color="auto" w:sz="4" w:space="0"/>
            </w:tcBorders>
            <w:vAlign w:val="center"/>
          </w:tcPr>
          <w:p w14:paraId="09256EF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62BE87B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支撑平台-共享能力服务-AI支撑-航线规划智能体</w:t>
            </w:r>
          </w:p>
        </w:tc>
        <w:tc>
          <w:tcPr>
            <w:tcW w:w="5018" w:type="dxa"/>
            <w:tcBorders>
              <w:top w:val="nil"/>
              <w:left w:val="nil"/>
              <w:bottom w:val="single" w:color="auto" w:sz="4" w:space="0"/>
              <w:right w:val="single" w:color="auto" w:sz="4" w:space="0"/>
            </w:tcBorders>
            <w:vAlign w:val="center"/>
          </w:tcPr>
          <w:p w14:paraId="46E3D358">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深度融合地理空间数据、实时气象、空域管制规则、任务需求、设备性能与多机协同调度策略，构建AI自动规划、风险自动规避、资源自动统筹、动态实时优化的全流程智能航线服务。</w:t>
            </w:r>
          </w:p>
        </w:tc>
      </w:tr>
      <w:tr w14:paraId="759D6F0E">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63ECFE0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50</w:t>
            </w:r>
          </w:p>
        </w:tc>
        <w:tc>
          <w:tcPr>
            <w:tcW w:w="1262" w:type="dxa"/>
            <w:vMerge w:val="continue"/>
            <w:tcBorders>
              <w:top w:val="nil"/>
              <w:left w:val="single" w:color="auto" w:sz="4" w:space="0"/>
              <w:bottom w:val="single" w:color="000000" w:sz="4" w:space="0"/>
              <w:right w:val="single" w:color="auto" w:sz="4" w:space="0"/>
            </w:tcBorders>
            <w:vAlign w:val="center"/>
          </w:tcPr>
          <w:p w14:paraId="0082D8A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04DAC70F">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支撑平台-共享能力服务-安全支撑</w:t>
            </w:r>
          </w:p>
        </w:tc>
        <w:tc>
          <w:tcPr>
            <w:tcW w:w="5018" w:type="dxa"/>
            <w:tcBorders>
              <w:top w:val="nil"/>
              <w:left w:val="nil"/>
              <w:bottom w:val="single" w:color="auto" w:sz="4" w:space="0"/>
              <w:right w:val="single" w:color="auto" w:sz="4" w:space="0"/>
            </w:tcBorders>
            <w:vAlign w:val="center"/>
          </w:tcPr>
          <w:p w14:paraId="41252788">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实现飞行规则、智能合约的上链与合规审核，以及飞手身份、无人机资产、飞行日志等数据的上链存证、确权与溯源，进行无人机资产全生命周期管理。同时支持链上数据防篡改监测、权限分级、信用评分、质量监督、完整性验证、资产化，支持违规行为智能识别、飞行数据异常告警，提供隐私计算服务能力。</w:t>
            </w:r>
          </w:p>
        </w:tc>
      </w:tr>
      <w:tr w14:paraId="4173A13E">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09B5089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51</w:t>
            </w:r>
          </w:p>
        </w:tc>
        <w:tc>
          <w:tcPr>
            <w:tcW w:w="1262" w:type="dxa"/>
            <w:vMerge w:val="continue"/>
            <w:tcBorders>
              <w:top w:val="nil"/>
              <w:left w:val="single" w:color="auto" w:sz="4" w:space="0"/>
              <w:bottom w:val="single" w:color="000000" w:sz="4" w:space="0"/>
              <w:right w:val="single" w:color="auto" w:sz="4" w:space="0"/>
            </w:tcBorders>
            <w:vAlign w:val="center"/>
          </w:tcPr>
          <w:p w14:paraId="61CCA06D">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5219A68B">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支撑平台-共享能力服务-信息融合支撑-一机一档全息数据集成</w:t>
            </w:r>
          </w:p>
        </w:tc>
        <w:tc>
          <w:tcPr>
            <w:tcW w:w="5018" w:type="dxa"/>
            <w:tcBorders>
              <w:top w:val="nil"/>
              <w:left w:val="nil"/>
              <w:bottom w:val="single" w:color="auto" w:sz="4" w:space="0"/>
              <w:right w:val="single" w:color="auto" w:sz="4" w:space="0"/>
            </w:tcBorders>
            <w:vAlign w:val="center"/>
          </w:tcPr>
          <w:p w14:paraId="6A942D79">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为每架无人机建立动态、实时更新的“数字孪生”档案，整合无人机全维度全息数据，实现无人机唯一身份标识与全生命周期可追溯管理，为无人机资质审核、适航性评估、故障排查、责任追溯提供全面、精准的数据支撑。</w:t>
            </w:r>
          </w:p>
        </w:tc>
      </w:tr>
      <w:tr w14:paraId="0211E684">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5A2871F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52</w:t>
            </w:r>
          </w:p>
        </w:tc>
        <w:tc>
          <w:tcPr>
            <w:tcW w:w="1262" w:type="dxa"/>
            <w:vMerge w:val="continue"/>
            <w:tcBorders>
              <w:top w:val="nil"/>
              <w:left w:val="single" w:color="auto" w:sz="4" w:space="0"/>
              <w:bottom w:val="single" w:color="000000" w:sz="4" w:space="0"/>
              <w:right w:val="single" w:color="auto" w:sz="4" w:space="0"/>
            </w:tcBorders>
            <w:vAlign w:val="center"/>
          </w:tcPr>
          <w:p w14:paraId="6C66EF7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3EA70C9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支撑平台-共享能力服务-信息融合支撑-飞行-监管动态数据集成</w:t>
            </w:r>
          </w:p>
        </w:tc>
        <w:tc>
          <w:tcPr>
            <w:tcW w:w="5018" w:type="dxa"/>
            <w:tcBorders>
              <w:top w:val="nil"/>
              <w:left w:val="nil"/>
              <w:bottom w:val="single" w:color="auto" w:sz="4" w:space="0"/>
              <w:right w:val="single" w:color="auto" w:sz="4" w:space="0"/>
            </w:tcBorders>
            <w:vAlign w:val="center"/>
          </w:tcPr>
          <w:p w14:paraId="634BFB7D">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汇聚无人机实时飞行数据、空域监管数据及多部门联动数据，实现多维度数据的整合、标准化处理与同步，为黑飞研判、联动决策、现场处置提供全面、实时、精准的数据支撑。</w:t>
            </w:r>
          </w:p>
        </w:tc>
      </w:tr>
      <w:tr w14:paraId="0AB9BBB2">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29069E3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53</w:t>
            </w:r>
          </w:p>
        </w:tc>
        <w:tc>
          <w:tcPr>
            <w:tcW w:w="1262" w:type="dxa"/>
            <w:vMerge w:val="continue"/>
            <w:tcBorders>
              <w:top w:val="nil"/>
              <w:left w:val="single" w:color="auto" w:sz="4" w:space="0"/>
              <w:bottom w:val="single" w:color="000000" w:sz="4" w:space="0"/>
              <w:right w:val="single" w:color="auto" w:sz="4" w:space="0"/>
            </w:tcBorders>
            <w:vAlign w:val="center"/>
          </w:tcPr>
          <w:p w14:paraId="1889CEEF">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50CA11F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支撑平台-共享能力服务-信息融合支撑-低空飞行报备</w:t>
            </w:r>
          </w:p>
        </w:tc>
        <w:tc>
          <w:tcPr>
            <w:tcW w:w="5018" w:type="dxa"/>
            <w:tcBorders>
              <w:top w:val="nil"/>
              <w:left w:val="nil"/>
              <w:bottom w:val="single" w:color="auto" w:sz="4" w:space="0"/>
              <w:right w:val="single" w:color="auto" w:sz="4" w:space="0"/>
            </w:tcBorders>
            <w:vAlign w:val="center"/>
          </w:tcPr>
          <w:p w14:paraId="749CD2E4">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涵盖飞行计划申报与审批、空域使用申请与管理、无人机与人员信息登记等核心功能，构建标准化、线上化、智能化的低空飞行报备体系，实现飞行活动的“先报备、后飞行”。</w:t>
            </w:r>
          </w:p>
        </w:tc>
      </w:tr>
      <w:tr w14:paraId="48976172">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2604F09A">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54</w:t>
            </w:r>
          </w:p>
        </w:tc>
        <w:tc>
          <w:tcPr>
            <w:tcW w:w="1262" w:type="dxa"/>
            <w:vMerge w:val="continue"/>
            <w:tcBorders>
              <w:top w:val="nil"/>
              <w:left w:val="single" w:color="auto" w:sz="4" w:space="0"/>
              <w:bottom w:val="single" w:color="000000" w:sz="4" w:space="0"/>
              <w:right w:val="single" w:color="auto" w:sz="4" w:space="0"/>
            </w:tcBorders>
            <w:vAlign w:val="center"/>
          </w:tcPr>
          <w:p w14:paraId="3602C61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1DD204B0">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支撑平台-共享能力服务-信息融合支撑-飞行空域管理</w:t>
            </w:r>
          </w:p>
        </w:tc>
        <w:tc>
          <w:tcPr>
            <w:tcW w:w="5018" w:type="dxa"/>
            <w:tcBorders>
              <w:top w:val="nil"/>
              <w:left w:val="nil"/>
              <w:bottom w:val="single" w:color="auto" w:sz="4" w:space="0"/>
              <w:right w:val="single" w:color="auto" w:sz="4" w:space="0"/>
            </w:tcBorders>
            <w:vAlign w:val="center"/>
          </w:tcPr>
          <w:p w14:paraId="636FAB4C">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聚焦飞行空域的绘制、分配、监控等核心需求，构建标准化的飞行空域管理体系，实现对低空空域资源的科学规划与高效利用，避免多个无人机在同一空域出现飞行冲突。</w:t>
            </w:r>
          </w:p>
        </w:tc>
      </w:tr>
      <w:tr w14:paraId="64554596">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38C72F8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55</w:t>
            </w:r>
          </w:p>
        </w:tc>
        <w:tc>
          <w:tcPr>
            <w:tcW w:w="1262" w:type="dxa"/>
            <w:vMerge w:val="continue"/>
            <w:tcBorders>
              <w:top w:val="nil"/>
              <w:left w:val="single" w:color="auto" w:sz="4" w:space="0"/>
              <w:bottom w:val="single" w:color="000000" w:sz="4" w:space="0"/>
              <w:right w:val="single" w:color="auto" w:sz="4" w:space="0"/>
            </w:tcBorders>
            <w:vAlign w:val="center"/>
          </w:tcPr>
          <w:p w14:paraId="1EB2925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11BD64C0">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支撑平台-共享能力服务-信息融合支撑-无人机信息注册与实名制监管</w:t>
            </w:r>
          </w:p>
        </w:tc>
        <w:tc>
          <w:tcPr>
            <w:tcW w:w="5018" w:type="dxa"/>
            <w:tcBorders>
              <w:top w:val="nil"/>
              <w:left w:val="nil"/>
              <w:bottom w:val="single" w:color="auto" w:sz="4" w:space="0"/>
              <w:right w:val="single" w:color="auto" w:sz="4" w:space="0"/>
            </w:tcBorders>
            <w:vAlign w:val="center"/>
          </w:tcPr>
          <w:p w14:paraId="1E14CB58">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为每架无人机赋予唯一的“数字身份证”，构建全流程、闭环式的无人机实名制监管体系，实现无人机飞行活动的事前预防、事中监管、事后追责，有效遏制无序飞行，从源头规范无人机飞行行为。</w:t>
            </w:r>
          </w:p>
        </w:tc>
      </w:tr>
      <w:tr w14:paraId="70E93B52">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65FB89FE">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56</w:t>
            </w:r>
          </w:p>
        </w:tc>
        <w:tc>
          <w:tcPr>
            <w:tcW w:w="1262" w:type="dxa"/>
            <w:vMerge w:val="continue"/>
            <w:tcBorders>
              <w:top w:val="nil"/>
              <w:left w:val="single" w:color="auto" w:sz="4" w:space="0"/>
              <w:bottom w:val="single" w:color="000000" w:sz="4" w:space="0"/>
              <w:right w:val="single" w:color="auto" w:sz="4" w:space="0"/>
            </w:tcBorders>
            <w:vAlign w:val="center"/>
          </w:tcPr>
          <w:p w14:paraId="590D262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008E019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支撑平台-共享能力服务-信息融合支撑-无人机资产数字化管理</w:t>
            </w:r>
          </w:p>
        </w:tc>
        <w:tc>
          <w:tcPr>
            <w:tcW w:w="5018" w:type="dxa"/>
            <w:tcBorders>
              <w:top w:val="nil"/>
              <w:left w:val="nil"/>
              <w:bottom w:val="single" w:color="auto" w:sz="4" w:space="0"/>
              <w:right w:val="single" w:color="auto" w:sz="4" w:space="0"/>
            </w:tcBorders>
            <w:vAlign w:val="center"/>
          </w:tcPr>
          <w:p w14:paraId="1DBA6EB9">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对无人机资产进行统一标准化、标签化管理，构建覆盖“人—机—物—事—地—时”的低空知识图谱，对警用及政务无人机设备、挂载传感器、机队运维记录等形成完整的“数字资产账本”，支撑设备折旧评估、运维成本分析、能力评估等数据服务。</w:t>
            </w:r>
          </w:p>
        </w:tc>
      </w:tr>
      <w:tr w14:paraId="066B9F96">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32A11482">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57</w:t>
            </w:r>
          </w:p>
        </w:tc>
        <w:tc>
          <w:tcPr>
            <w:tcW w:w="1262" w:type="dxa"/>
            <w:vMerge w:val="continue"/>
            <w:tcBorders>
              <w:top w:val="nil"/>
              <w:left w:val="single" w:color="auto" w:sz="4" w:space="0"/>
              <w:bottom w:val="single" w:color="000000" w:sz="4" w:space="0"/>
              <w:right w:val="single" w:color="auto" w:sz="4" w:space="0"/>
            </w:tcBorders>
            <w:vAlign w:val="center"/>
          </w:tcPr>
          <w:p w14:paraId="38E805C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053D1284">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支撑平台-共享能力服务-算法支撑-智能感知融合模型算法</w:t>
            </w:r>
          </w:p>
        </w:tc>
        <w:tc>
          <w:tcPr>
            <w:tcW w:w="5018" w:type="dxa"/>
            <w:tcBorders>
              <w:top w:val="nil"/>
              <w:left w:val="nil"/>
              <w:bottom w:val="single" w:color="auto" w:sz="4" w:space="0"/>
              <w:right w:val="single" w:color="auto" w:sz="4" w:space="0"/>
            </w:tcBorders>
            <w:vAlign w:val="center"/>
          </w:tcPr>
          <w:p w14:paraId="1AD2D0C1">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通过整合不同传感器的异构探测数据，实现信息互补与数据融合，提升低空无人机感知的精准度、全面性与可靠性。</w:t>
            </w:r>
          </w:p>
        </w:tc>
      </w:tr>
      <w:tr w14:paraId="3875F4B4">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726AE79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58</w:t>
            </w:r>
          </w:p>
        </w:tc>
        <w:tc>
          <w:tcPr>
            <w:tcW w:w="1262" w:type="dxa"/>
            <w:vMerge w:val="continue"/>
            <w:tcBorders>
              <w:top w:val="nil"/>
              <w:left w:val="single" w:color="auto" w:sz="4" w:space="0"/>
              <w:bottom w:val="single" w:color="000000" w:sz="4" w:space="0"/>
              <w:right w:val="single" w:color="auto" w:sz="4" w:space="0"/>
            </w:tcBorders>
            <w:vAlign w:val="center"/>
          </w:tcPr>
          <w:p w14:paraId="41EF9094">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7AF2462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支撑平台-共享能力服务-算法支撑-无人机探测与识别算法</w:t>
            </w:r>
          </w:p>
        </w:tc>
        <w:tc>
          <w:tcPr>
            <w:tcW w:w="5018" w:type="dxa"/>
            <w:tcBorders>
              <w:top w:val="nil"/>
              <w:left w:val="nil"/>
              <w:bottom w:val="single" w:color="auto" w:sz="4" w:space="0"/>
              <w:right w:val="single" w:color="auto" w:sz="4" w:space="0"/>
            </w:tcBorders>
            <w:vAlign w:val="center"/>
          </w:tcPr>
          <w:p w14:paraId="5D78F5E3">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依托多类型探测设备与智能识别算法，实现对低空无人机的精准探测与识别、属性特征的智能识别分类，为后续飞行意图分析、黑飞快控反制、风险预警提供高精准、高实时的前端感知数据。</w:t>
            </w:r>
          </w:p>
        </w:tc>
      </w:tr>
      <w:tr w14:paraId="006A25EE">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4EB8A50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59</w:t>
            </w:r>
          </w:p>
        </w:tc>
        <w:tc>
          <w:tcPr>
            <w:tcW w:w="1262" w:type="dxa"/>
            <w:vMerge w:val="continue"/>
            <w:tcBorders>
              <w:top w:val="nil"/>
              <w:left w:val="single" w:color="auto" w:sz="4" w:space="0"/>
              <w:bottom w:val="single" w:color="000000" w:sz="4" w:space="0"/>
              <w:right w:val="single" w:color="auto" w:sz="4" w:space="0"/>
            </w:tcBorders>
            <w:vAlign w:val="center"/>
          </w:tcPr>
          <w:p w14:paraId="5130B43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58F99AE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支撑平台-共享能力服务-算法支撑-飞行风险评估算法</w:t>
            </w:r>
          </w:p>
        </w:tc>
        <w:tc>
          <w:tcPr>
            <w:tcW w:w="5018" w:type="dxa"/>
            <w:tcBorders>
              <w:top w:val="nil"/>
              <w:left w:val="nil"/>
              <w:bottom w:val="single" w:color="auto" w:sz="4" w:space="0"/>
              <w:right w:val="single" w:color="auto" w:sz="4" w:space="0"/>
            </w:tcBorders>
            <w:vAlign w:val="center"/>
          </w:tcPr>
          <w:p w14:paraId="04DD7D25">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基于无人机飞行任务、空域环境、空域中其他无人机实时飞行活动等数据，实时预测识别无人机飞行过程中可能存在的安全风险</w:t>
            </w:r>
          </w:p>
        </w:tc>
      </w:tr>
      <w:tr w14:paraId="701A6754">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03F377C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60</w:t>
            </w:r>
          </w:p>
        </w:tc>
        <w:tc>
          <w:tcPr>
            <w:tcW w:w="1262" w:type="dxa"/>
            <w:vMerge w:val="continue"/>
            <w:tcBorders>
              <w:top w:val="nil"/>
              <w:left w:val="single" w:color="auto" w:sz="4" w:space="0"/>
              <w:bottom w:val="single" w:color="000000" w:sz="4" w:space="0"/>
              <w:right w:val="single" w:color="auto" w:sz="4" w:space="0"/>
            </w:tcBorders>
            <w:vAlign w:val="center"/>
          </w:tcPr>
          <w:p w14:paraId="00B0237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010F4D6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支撑平台-共享能力服务-算法支撑-航路规划算法</w:t>
            </w:r>
          </w:p>
        </w:tc>
        <w:tc>
          <w:tcPr>
            <w:tcW w:w="5018" w:type="dxa"/>
            <w:tcBorders>
              <w:top w:val="nil"/>
              <w:left w:val="nil"/>
              <w:bottom w:val="single" w:color="auto" w:sz="4" w:space="0"/>
              <w:right w:val="single" w:color="auto" w:sz="4" w:space="0"/>
            </w:tcBorders>
            <w:vAlign w:val="center"/>
          </w:tcPr>
          <w:p w14:paraId="23029116">
            <w:pPr>
              <w:keepNext w:val="0"/>
              <w:keepLines w:val="0"/>
              <w:widowControl/>
              <w:suppressLineNumbers w:val="0"/>
              <w:spacing w:before="0" w:beforeAutospacing="0" w:after="0" w:afterAutospacing="0" w:line="240" w:lineRule="auto"/>
              <w:ind w:left="0" w:right="0" w:firstLine="0" w:firstLineChars="0"/>
              <w:rPr>
                <w:rFonts w:hint="eastAsia" w:cs="宋体"/>
                <w:color w:val="0F1115"/>
                <w:kern w:val="0"/>
              </w:rPr>
            </w:pPr>
            <w:r>
              <w:rPr>
                <w:rFonts w:hint="eastAsia" w:cs="宋体"/>
                <w:color w:val="0F1115"/>
                <w:kern w:val="0"/>
              </w:rPr>
              <w:t>构建警务政务航路规划算法簇，满足巡检、侦查、应急、跟踪等全场景警务飞行需求。</w:t>
            </w:r>
          </w:p>
        </w:tc>
      </w:tr>
      <w:tr w14:paraId="61D86388">
        <w:tblPrEx>
          <w:tblCellMar>
            <w:top w:w="0" w:type="dxa"/>
            <w:left w:w="108" w:type="dxa"/>
            <w:bottom w:w="0" w:type="dxa"/>
            <w:right w:w="108" w:type="dxa"/>
          </w:tblCellMar>
        </w:tblPrEx>
        <w:trPr>
          <w:trHeight w:val="855" w:hRule="atLeast"/>
        </w:trPr>
        <w:tc>
          <w:tcPr>
            <w:tcW w:w="0" w:type="auto"/>
            <w:tcBorders>
              <w:top w:val="nil"/>
              <w:left w:val="single" w:color="auto" w:sz="4" w:space="0"/>
              <w:bottom w:val="single" w:color="auto" w:sz="4" w:space="0"/>
              <w:right w:val="single" w:color="auto" w:sz="4" w:space="0"/>
            </w:tcBorders>
            <w:vAlign w:val="center"/>
          </w:tcPr>
          <w:p w14:paraId="7DEE25D6">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61</w:t>
            </w:r>
          </w:p>
        </w:tc>
        <w:tc>
          <w:tcPr>
            <w:tcW w:w="1262" w:type="dxa"/>
            <w:vMerge w:val="continue"/>
            <w:tcBorders>
              <w:top w:val="nil"/>
              <w:left w:val="single" w:color="auto" w:sz="4" w:space="0"/>
              <w:bottom w:val="single" w:color="000000" w:sz="4" w:space="0"/>
              <w:right w:val="single" w:color="auto" w:sz="4" w:space="0"/>
            </w:tcBorders>
            <w:vAlign w:val="center"/>
          </w:tcPr>
          <w:p w14:paraId="35A9F13D">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7E413AF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数据汇聚</w:t>
            </w:r>
          </w:p>
        </w:tc>
        <w:tc>
          <w:tcPr>
            <w:tcW w:w="5018" w:type="dxa"/>
            <w:tcBorders>
              <w:top w:val="nil"/>
              <w:left w:val="nil"/>
              <w:bottom w:val="single" w:color="auto" w:sz="4" w:space="0"/>
              <w:right w:val="single" w:color="auto" w:sz="4" w:space="0"/>
            </w:tcBorders>
            <w:vAlign w:val="center"/>
          </w:tcPr>
          <w:p w14:paraId="1173845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数据主要来源于各业务系统以及各委办局的已有数据、基础资料等，也可从现建设的相关系统数据库数据抽取，支持接入多种类型的数据源，包括数据库表、文件数据、空间数据、消息队列、接口数据、实时数据等，从源系统抽取数据或从指定位置读取数据，检查数据是否与数据定义一致，形成符合数据处理要求的格式；也可以采用自定义表单进行数据填报和管理。</w:t>
            </w:r>
          </w:p>
        </w:tc>
      </w:tr>
      <w:tr w14:paraId="585E46DF">
        <w:tblPrEx>
          <w:tblCellMar>
            <w:top w:w="0" w:type="dxa"/>
            <w:left w:w="108" w:type="dxa"/>
            <w:bottom w:w="0" w:type="dxa"/>
            <w:right w:w="108" w:type="dxa"/>
          </w:tblCellMar>
        </w:tblPrEx>
        <w:trPr>
          <w:trHeight w:val="855" w:hRule="atLeast"/>
        </w:trPr>
        <w:tc>
          <w:tcPr>
            <w:tcW w:w="0" w:type="auto"/>
            <w:tcBorders>
              <w:top w:val="nil"/>
              <w:left w:val="single" w:color="auto" w:sz="4" w:space="0"/>
              <w:bottom w:val="single" w:color="auto" w:sz="4" w:space="0"/>
              <w:right w:val="single" w:color="auto" w:sz="4" w:space="0"/>
            </w:tcBorders>
            <w:vAlign w:val="center"/>
          </w:tcPr>
          <w:p w14:paraId="4C7AEE38">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62</w:t>
            </w:r>
          </w:p>
        </w:tc>
        <w:tc>
          <w:tcPr>
            <w:tcW w:w="1262" w:type="dxa"/>
            <w:vMerge w:val="continue"/>
            <w:tcBorders>
              <w:top w:val="nil"/>
              <w:left w:val="single" w:color="auto" w:sz="4" w:space="0"/>
              <w:bottom w:val="single" w:color="000000" w:sz="4" w:space="0"/>
              <w:right w:val="single" w:color="auto" w:sz="4" w:space="0"/>
            </w:tcBorders>
            <w:vAlign w:val="center"/>
          </w:tcPr>
          <w:p w14:paraId="5ACEFD1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0EE25D0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数据治理</w:t>
            </w:r>
          </w:p>
        </w:tc>
        <w:tc>
          <w:tcPr>
            <w:tcW w:w="5018" w:type="dxa"/>
            <w:tcBorders>
              <w:top w:val="nil"/>
              <w:left w:val="nil"/>
              <w:bottom w:val="single" w:color="auto" w:sz="4" w:space="0"/>
              <w:right w:val="single" w:color="auto" w:sz="4" w:space="0"/>
            </w:tcBorders>
            <w:vAlign w:val="center"/>
          </w:tcPr>
          <w:p w14:paraId="223F8E1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对汇集的各业务系统中的数据进行数据格式规范统一、数据编码规范统一、数据标识规范统一等数据转换处理；按照“低空基础库、低空业务库、低空专题库”的分类逻辑，整合数据形成结构化数据库；为所有动态数据添加统一时间戳，避免因时间偏差导致的分析误差；对数据的完整性、属性精度、空间精度、逻辑一致性进行质检；结合业务分类、标签规则库对数据进行标识；为数据制定标准化接口规范并实现全生命周期管控。</w:t>
            </w:r>
          </w:p>
        </w:tc>
      </w:tr>
      <w:tr w14:paraId="4688887B">
        <w:tblPrEx>
          <w:tblCellMar>
            <w:top w:w="0" w:type="dxa"/>
            <w:left w:w="108" w:type="dxa"/>
            <w:bottom w:w="0" w:type="dxa"/>
            <w:right w:w="108" w:type="dxa"/>
          </w:tblCellMar>
        </w:tblPrEx>
        <w:trPr>
          <w:trHeight w:val="855" w:hRule="atLeast"/>
        </w:trPr>
        <w:tc>
          <w:tcPr>
            <w:tcW w:w="0" w:type="auto"/>
            <w:tcBorders>
              <w:top w:val="nil"/>
              <w:left w:val="single" w:color="auto" w:sz="4" w:space="0"/>
              <w:bottom w:val="single" w:color="auto" w:sz="4" w:space="0"/>
              <w:right w:val="single" w:color="auto" w:sz="4" w:space="0"/>
            </w:tcBorders>
            <w:vAlign w:val="center"/>
          </w:tcPr>
          <w:p w14:paraId="1A40BBCE">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63</w:t>
            </w:r>
          </w:p>
        </w:tc>
        <w:tc>
          <w:tcPr>
            <w:tcW w:w="1262" w:type="dxa"/>
            <w:vMerge w:val="continue"/>
            <w:tcBorders>
              <w:top w:val="nil"/>
              <w:left w:val="single" w:color="auto" w:sz="4" w:space="0"/>
              <w:bottom w:val="single" w:color="000000" w:sz="4" w:space="0"/>
              <w:right w:val="single" w:color="auto" w:sz="4" w:space="0"/>
            </w:tcBorders>
            <w:vAlign w:val="center"/>
          </w:tcPr>
          <w:p w14:paraId="03A9C35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45D3FFA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低空网格数据治理-静态地理信息数据网格编码</w:t>
            </w:r>
          </w:p>
        </w:tc>
        <w:tc>
          <w:tcPr>
            <w:tcW w:w="5018" w:type="dxa"/>
            <w:tcBorders>
              <w:top w:val="nil"/>
              <w:left w:val="nil"/>
              <w:bottom w:val="single" w:color="auto" w:sz="4" w:space="0"/>
              <w:right w:val="single" w:color="auto" w:sz="4" w:space="0"/>
            </w:tcBorders>
            <w:vAlign w:val="center"/>
          </w:tcPr>
          <w:p w14:paraId="698BA4D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静态地理信息数据是低空运行的基础空间载体，其网格编码核心是将各类静态空间数据与BD网格码进行精准关联，实现空间位置的标准化定位与数据的网格化管理。编码过程严格遵循BD网格编码规则，结合上海市低空地理空间特点，针对多源静态数据来源不一致、精度层级和建模方式存在差异等实际情况，通过统一的空间组织方式将相关成果纳入同一管理体系。</w:t>
            </w:r>
          </w:p>
        </w:tc>
      </w:tr>
      <w:tr w14:paraId="306788C7">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76E9A6F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64</w:t>
            </w:r>
          </w:p>
        </w:tc>
        <w:tc>
          <w:tcPr>
            <w:tcW w:w="1262" w:type="dxa"/>
            <w:vMerge w:val="continue"/>
            <w:tcBorders>
              <w:top w:val="nil"/>
              <w:left w:val="single" w:color="auto" w:sz="4" w:space="0"/>
              <w:bottom w:val="single" w:color="000000" w:sz="4" w:space="0"/>
              <w:right w:val="single" w:color="auto" w:sz="4" w:space="0"/>
            </w:tcBorders>
            <w:vAlign w:val="center"/>
          </w:tcPr>
          <w:p w14:paraId="7DB42EE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525F9EF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低空网格数据治理-半动态数据编码</w:t>
            </w:r>
          </w:p>
        </w:tc>
        <w:tc>
          <w:tcPr>
            <w:tcW w:w="5018" w:type="dxa"/>
            <w:tcBorders>
              <w:top w:val="nil"/>
              <w:left w:val="nil"/>
              <w:bottom w:val="single" w:color="auto" w:sz="4" w:space="0"/>
              <w:right w:val="single" w:color="auto" w:sz="4" w:space="0"/>
            </w:tcBorders>
            <w:vAlign w:val="center"/>
          </w:tcPr>
          <w:p w14:paraId="1C15FFE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半动态数据是指更新频率中等（小时级、日级）、状态相对稳定但需定期更新的数据，主要包括雷达覆盖、气象覆盖、电磁环境等各类覆盖数据与环境数据，其网格编码核心是实现数据状态的动态更新与网格关联，确保数据的时效性与准确性，结合数据更新频率，建立差异化的编码更新机制。</w:t>
            </w:r>
          </w:p>
        </w:tc>
      </w:tr>
      <w:tr w14:paraId="4BD21B83">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2FF6342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65</w:t>
            </w:r>
          </w:p>
        </w:tc>
        <w:tc>
          <w:tcPr>
            <w:tcW w:w="1262" w:type="dxa"/>
            <w:vMerge w:val="continue"/>
            <w:tcBorders>
              <w:top w:val="nil"/>
              <w:left w:val="single" w:color="auto" w:sz="4" w:space="0"/>
              <w:bottom w:val="single" w:color="000000" w:sz="4" w:space="0"/>
              <w:right w:val="single" w:color="auto" w:sz="4" w:space="0"/>
            </w:tcBorders>
            <w:vAlign w:val="center"/>
          </w:tcPr>
          <w:p w14:paraId="3A23D0B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0CF0FCF4">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低空网格数据治理-动态数据编码</w:t>
            </w:r>
          </w:p>
        </w:tc>
        <w:tc>
          <w:tcPr>
            <w:tcW w:w="5018" w:type="dxa"/>
            <w:tcBorders>
              <w:top w:val="nil"/>
              <w:left w:val="nil"/>
              <w:bottom w:val="single" w:color="auto" w:sz="4" w:space="0"/>
              <w:right w:val="single" w:color="auto" w:sz="4" w:space="0"/>
            </w:tcBorders>
            <w:vAlign w:val="center"/>
          </w:tcPr>
          <w:p w14:paraId="5FD0B2B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动态数据是指更新频率高（秒级、分钟级）、状态实时变化的数据，主要包括航空器飞行位置、飞行计划路径、低空告警事件、飞行流量等飞行活动相关数据，其网格编码核心是实现数据的实时采集、快速编码与同步更新，确保数据与实际飞行状态、告警情况保持一致。</w:t>
            </w:r>
          </w:p>
        </w:tc>
      </w:tr>
      <w:tr w14:paraId="3BEEC24E">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1261876A">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66</w:t>
            </w:r>
          </w:p>
        </w:tc>
        <w:tc>
          <w:tcPr>
            <w:tcW w:w="1262" w:type="dxa"/>
            <w:vMerge w:val="continue"/>
            <w:tcBorders>
              <w:top w:val="nil"/>
              <w:left w:val="single" w:color="auto" w:sz="4" w:space="0"/>
              <w:bottom w:val="single" w:color="000000" w:sz="4" w:space="0"/>
              <w:right w:val="single" w:color="auto" w:sz="4" w:space="0"/>
            </w:tcBorders>
            <w:vAlign w:val="center"/>
          </w:tcPr>
          <w:p w14:paraId="3EEC69C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5C7E618D">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低空网格编码体系-基础编码管理</w:t>
            </w:r>
          </w:p>
        </w:tc>
        <w:tc>
          <w:tcPr>
            <w:tcW w:w="5018" w:type="dxa"/>
            <w:tcBorders>
              <w:top w:val="nil"/>
              <w:left w:val="nil"/>
              <w:bottom w:val="single" w:color="auto" w:sz="4" w:space="0"/>
              <w:right w:val="single" w:color="auto" w:sz="4" w:space="0"/>
            </w:tcBorders>
            <w:vAlign w:val="center"/>
          </w:tcPr>
          <w:p w14:paraId="097AADF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面向低空场景，对接军航、民航等行业标准，结合省级低空治理实际需求，建立专属的编码规则体系、关联映射机制与更新同步机制，确保编码规则适配低空多场景、多主体、多数据类型的管理需求，体现低空编码的专有性与规范性。</w:t>
            </w:r>
          </w:p>
        </w:tc>
      </w:tr>
      <w:tr w14:paraId="48FFD0B4">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7BC997DD">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67</w:t>
            </w:r>
          </w:p>
        </w:tc>
        <w:tc>
          <w:tcPr>
            <w:tcW w:w="1262" w:type="dxa"/>
            <w:vMerge w:val="continue"/>
            <w:tcBorders>
              <w:top w:val="nil"/>
              <w:left w:val="single" w:color="auto" w:sz="4" w:space="0"/>
              <w:bottom w:val="single" w:color="000000" w:sz="4" w:space="0"/>
              <w:right w:val="single" w:color="auto" w:sz="4" w:space="0"/>
            </w:tcBorders>
            <w:vAlign w:val="center"/>
          </w:tcPr>
          <w:p w14:paraId="7025EF0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522F4E54">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低空网格编码体系-编码转换</w:t>
            </w:r>
          </w:p>
        </w:tc>
        <w:tc>
          <w:tcPr>
            <w:tcW w:w="5018" w:type="dxa"/>
            <w:tcBorders>
              <w:top w:val="nil"/>
              <w:left w:val="nil"/>
              <w:bottom w:val="single" w:color="auto" w:sz="4" w:space="0"/>
              <w:right w:val="single" w:color="auto" w:sz="4" w:space="0"/>
            </w:tcBorders>
            <w:vAlign w:val="center"/>
          </w:tcPr>
          <w:p w14:paraId="59BD9BC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建立低空网格编码与不同层级、不同部门编码体系的适配转换机制，确保编码在国家-省-市-县四级管理体系中无缝流转，在军航、民航、公安、应急等跨部门协同中兼容互通，体现低空编码体系的全域适配性与协同支撑价值。转换过程严格遵循国家及行业标准，确保转换结果准确、唯一、可追溯。</w:t>
            </w:r>
          </w:p>
        </w:tc>
      </w:tr>
      <w:tr w14:paraId="49408570">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33BE39B2">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68</w:t>
            </w:r>
          </w:p>
        </w:tc>
        <w:tc>
          <w:tcPr>
            <w:tcW w:w="1262" w:type="dxa"/>
            <w:vMerge w:val="continue"/>
            <w:tcBorders>
              <w:top w:val="nil"/>
              <w:left w:val="single" w:color="auto" w:sz="4" w:space="0"/>
              <w:bottom w:val="single" w:color="000000" w:sz="4" w:space="0"/>
              <w:right w:val="single" w:color="auto" w:sz="4" w:space="0"/>
            </w:tcBorders>
            <w:vAlign w:val="center"/>
          </w:tcPr>
          <w:p w14:paraId="76AFC1BF">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11295750">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时空二维数据底座-低空二维时空运行框架</w:t>
            </w:r>
          </w:p>
        </w:tc>
        <w:tc>
          <w:tcPr>
            <w:tcW w:w="5018" w:type="dxa"/>
            <w:tcBorders>
              <w:top w:val="nil"/>
              <w:left w:val="nil"/>
              <w:bottom w:val="single" w:color="auto" w:sz="4" w:space="0"/>
              <w:right w:val="single" w:color="auto" w:sz="4" w:space="0"/>
            </w:tcBorders>
            <w:vAlign w:val="center"/>
          </w:tcPr>
          <w:p w14:paraId="29B0872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将现实世界的地理要素（如地形、道路、空域）转化为计算机可识别的空间数据（矢量/栅格），并以地图形式可视化，为系统提供统一的地理坐标框架。提供时空信息处理、管理和分析地理空间数据，集成数据采集、存储、管理、分析、展示和应用等能力，可支持用户对地理信息进行高效操作。</w:t>
            </w:r>
          </w:p>
        </w:tc>
      </w:tr>
      <w:tr w14:paraId="53EFED3C">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52D9130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69</w:t>
            </w:r>
          </w:p>
        </w:tc>
        <w:tc>
          <w:tcPr>
            <w:tcW w:w="1262" w:type="dxa"/>
            <w:vMerge w:val="continue"/>
            <w:tcBorders>
              <w:top w:val="nil"/>
              <w:left w:val="single" w:color="auto" w:sz="4" w:space="0"/>
              <w:bottom w:val="single" w:color="000000" w:sz="4" w:space="0"/>
              <w:right w:val="single" w:color="auto" w:sz="4" w:space="0"/>
            </w:tcBorders>
            <w:vAlign w:val="center"/>
          </w:tcPr>
          <w:p w14:paraId="5BAAF64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78D431CF">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时空二维数据底座-低空时空基础工具</w:t>
            </w:r>
          </w:p>
        </w:tc>
        <w:tc>
          <w:tcPr>
            <w:tcW w:w="5018" w:type="dxa"/>
            <w:tcBorders>
              <w:top w:val="nil"/>
              <w:left w:val="nil"/>
              <w:bottom w:val="single" w:color="auto" w:sz="4" w:space="0"/>
              <w:right w:val="single" w:color="auto" w:sz="4" w:space="0"/>
            </w:tcBorders>
            <w:vAlign w:val="center"/>
          </w:tcPr>
          <w:p w14:paraId="47BEC4BB">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低空时空基础工具包含视图交互、平面几何计算、时空要素检索、标绘注记、飞行时序动态回溯、飞行视频动态融合、图层分级管控、智慧标绘、电子围栏划域、多视角同屏比控等工具。</w:t>
            </w:r>
          </w:p>
        </w:tc>
      </w:tr>
      <w:tr w14:paraId="44AA271D">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74E5EF46">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70</w:t>
            </w:r>
          </w:p>
        </w:tc>
        <w:tc>
          <w:tcPr>
            <w:tcW w:w="1262" w:type="dxa"/>
            <w:vMerge w:val="continue"/>
            <w:tcBorders>
              <w:top w:val="nil"/>
              <w:left w:val="single" w:color="auto" w:sz="4" w:space="0"/>
              <w:bottom w:val="single" w:color="000000" w:sz="4" w:space="0"/>
              <w:right w:val="single" w:color="auto" w:sz="4" w:space="0"/>
            </w:tcBorders>
            <w:vAlign w:val="center"/>
          </w:tcPr>
          <w:p w14:paraId="5749854F">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4429753D">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时空二维数据底座-低空服务台账管理</w:t>
            </w:r>
          </w:p>
        </w:tc>
        <w:tc>
          <w:tcPr>
            <w:tcW w:w="5018" w:type="dxa"/>
            <w:tcBorders>
              <w:top w:val="nil"/>
              <w:left w:val="nil"/>
              <w:bottom w:val="single" w:color="auto" w:sz="4" w:space="0"/>
              <w:right w:val="single" w:color="auto" w:sz="4" w:space="0"/>
            </w:tcBorders>
            <w:vAlign w:val="center"/>
          </w:tcPr>
          <w:p w14:paraId="1A6801E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对低空服务进行服务编排以及台账构建与管理。</w:t>
            </w:r>
          </w:p>
        </w:tc>
      </w:tr>
      <w:tr w14:paraId="16801E3C">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6EA1D46E">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71</w:t>
            </w:r>
          </w:p>
        </w:tc>
        <w:tc>
          <w:tcPr>
            <w:tcW w:w="1262" w:type="dxa"/>
            <w:vMerge w:val="continue"/>
            <w:tcBorders>
              <w:top w:val="nil"/>
              <w:left w:val="single" w:color="auto" w:sz="4" w:space="0"/>
              <w:bottom w:val="single" w:color="000000" w:sz="4" w:space="0"/>
              <w:right w:val="single" w:color="auto" w:sz="4" w:space="0"/>
            </w:tcBorders>
            <w:vAlign w:val="center"/>
          </w:tcPr>
          <w:p w14:paraId="45B81E7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281C160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时空二维数据底座-低空数据服务接入网关</w:t>
            </w:r>
          </w:p>
        </w:tc>
        <w:tc>
          <w:tcPr>
            <w:tcW w:w="5018" w:type="dxa"/>
            <w:tcBorders>
              <w:top w:val="nil"/>
              <w:left w:val="nil"/>
              <w:bottom w:val="single" w:color="auto" w:sz="4" w:space="0"/>
              <w:right w:val="single" w:color="auto" w:sz="4" w:space="0"/>
            </w:tcBorders>
            <w:vAlign w:val="center"/>
          </w:tcPr>
          <w:p w14:paraId="09CDD24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对各类服务进行统一注册管理，支持本项目中发布的数据服务以及调用的外部数据服务进行注册接入。</w:t>
            </w:r>
          </w:p>
        </w:tc>
      </w:tr>
      <w:tr w14:paraId="527360C3">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58F03FC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72</w:t>
            </w:r>
          </w:p>
        </w:tc>
        <w:tc>
          <w:tcPr>
            <w:tcW w:w="1262" w:type="dxa"/>
            <w:vMerge w:val="continue"/>
            <w:tcBorders>
              <w:top w:val="nil"/>
              <w:left w:val="single" w:color="auto" w:sz="4" w:space="0"/>
              <w:bottom w:val="single" w:color="000000" w:sz="4" w:space="0"/>
              <w:right w:val="single" w:color="auto" w:sz="4" w:space="0"/>
            </w:tcBorders>
            <w:vAlign w:val="center"/>
          </w:tcPr>
          <w:p w14:paraId="44AD67A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2AA0A5B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时空二维数据底座-低空时空动态更新管理</w:t>
            </w:r>
          </w:p>
        </w:tc>
        <w:tc>
          <w:tcPr>
            <w:tcW w:w="5018" w:type="dxa"/>
            <w:tcBorders>
              <w:top w:val="nil"/>
              <w:left w:val="nil"/>
              <w:bottom w:val="single" w:color="auto" w:sz="4" w:space="0"/>
              <w:right w:val="single" w:color="auto" w:sz="4" w:space="0"/>
            </w:tcBorders>
            <w:vAlign w:val="center"/>
          </w:tcPr>
          <w:p w14:paraId="10FB705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根据业务需求和数据源更新情况，设置数据服务更新频率，按照数据源的更新频率和业务需求，及时的完成数据服务的更新及管理。</w:t>
            </w:r>
          </w:p>
        </w:tc>
      </w:tr>
      <w:tr w14:paraId="4A5B2061">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42C75CF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73</w:t>
            </w:r>
          </w:p>
        </w:tc>
        <w:tc>
          <w:tcPr>
            <w:tcW w:w="1262" w:type="dxa"/>
            <w:vMerge w:val="continue"/>
            <w:tcBorders>
              <w:top w:val="nil"/>
              <w:left w:val="single" w:color="auto" w:sz="4" w:space="0"/>
              <w:bottom w:val="single" w:color="000000" w:sz="4" w:space="0"/>
              <w:right w:val="single" w:color="auto" w:sz="4" w:space="0"/>
            </w:tcBorders>
            <w:vAlign w:val="center"/>
          </w:tcPr>
          <w:p w14:paraId="58C6A2A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11CC615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时空二维数据底座-低空专题图构建</w:t>
            </w:r>
          </w:p>
        </w:tc>
        <w:tc>
          <w:tcPr>
            <w:tcW w:w="5018" w:type="dxa"/>
            <w:tcBorders>
              <w:top w:val="nil"/>
              <w:left w:val="nil"/>
              <w:bottom w:val="single" w:color="auto" w:sz="4" w:space="0"/>
              <w:right w:val="single" w:color="auto" w:sz="4" w:space="0"/>
            </w:tcBorders>
            <w:vAlign w:val="center"/>
          </w:tcPr>
          <w:p w14:paraId="7574592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根据需求构建低空专题图。</w:t>
            </w:r>
          </w:p>
        </w:tc>
      </w:tr>
      <w:tr w14:paraId="232CFB36">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22F29F9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74</w:t>
            </w:r>
          </w:p>
        </w:tc>
        <w:tc>
          <w:tcPr>
            <w:tcW w:w="1262" w:type="dxa"/>
            <w:vMerge w:val="continue"/>
            <w:tcBorders>
              <w:top w:val="nil"/>
              <w:left w:val="single" w:color="auto" w:sz="4" w:space="0"/>
              <w:bottom w:val="single" w:color="000000" w:sz="4" w:space="0"/>
              <w:right w:val="single" w:color="auto" w:sz="4" w:space="0"/>
            </w:tcBorders>
            <w:vAlign w:val="center"/>
          </w:tcPr>
          <w:p w14:paraId="194EB04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3408D05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时空三维数据底座-低空城市三维采集数据管理</w:t>
            </w:r>
          </w:p>
        </w:tc>
        <w:tc>
          <w:tcPr>
            <w:tcW w:w="5018" w:type="dxa"/>
            <w:tcBorders>
              <w:top w:val="nil"/>
              <w:left w:val="nil"/>
              <w:bottom w:val="single" w:color="auto" w:sz="4" w:space="0"/>
              <w:right w:val="single" w:color="auto" w:sz="4" w:space="0"/>
            </w:tcBorders>
            <w:vAlign w:val="center"/>
          </w:tcPr>
          <w:p w14:paraId="24E035D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面向低空城市三维采集影像数据的统一管理模块，提供数据存储、传输、组织及入库能力，支撑后续空三处理、三维建模与空间分析等流程的数据使用需求。</w:t>
            </w:r>
          </w:p>
        </w:tc>
      </w:tr>
      <w:tr w14:paraId="3AD1F80A">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373A1116">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75</w:t>
            </w:r>
          </w:p>
        </w:tc>
        <w:tc>
          <w:tcPr>
            <w:tcW w:w="1262" w:type="dxa"/>
            <w:vMerge w:val="continue"/>
            <w:tcBorders>
              <w:top w:val="nil"/>
              <w:left w:val="single" w:color="auto" w:sz="4" w:space="0"/>
              <w:bottom w:val="single" w:color="000000" w:sz="4" w:space="0"/>
              <w:right w:val="single" w:color="auto" w:sz="4" w:space="0"/>
            </w:tcBorders>
            <w:vAlign w:val="center"/>
          </w:tcPr>
          <w:p w14:paraId="22A36A0D">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55EB06E0">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时空三维数据底座-低空城市三维采集影像数据质检</w:t>
            </w:r>
          </w:p>
        </w:tc>
        <w:tc>
          <w:tcPr>
            <w:tcW w:w="5018" w:type="dxa"/>
            <w:tcBorders>
              <w:top w:val="nil"/>
              <w:left w:val="nil"/>
              <w:bottom w:val="single" w:color="auto" w:sz="4" w:space="0"/>
              <w:right w:val="single" w:color="auto" w:sz="4" w:space="0"/>
            </w:tcBorders>
            <w:vAlign w:val="center"/>
          </w:tcPr>
          <w:p w14:paraId="5B992B5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面向低空城市三维建模采集数据（航飞影像）的入库前/入库中质检与快速可视化评估模块，为“是否可建模、是否需返飞补采、是否需要人工复核”提供依据。</w:t>
            </w:r>
          </w:p>
        </w:tc>
      </w:tr>
      <w:tr w14:paraId="2EEB6DFF">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33EFAADE">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76</w:t>
            </w:r>
          </w:p>
        </w:tc>
        <w:tc>
          <w:tcPr>
            <w:tcW w:w="1262" w:type="dxa"/>
            <w:vMerge w:val="continue"/>
            <w:tcBorders>
              <w:top w:val="nil"/>
              <w:left w:val="single" w:color="auto" w:sz="4" w:space="0"/>
              <w:bottom w:val="single" w:color="000000" w:sz="4" w:space="0"/>
              <w:right w:val="single" w:color="auto" w:sz="4" w:space="0"/>
            </w:tcBorders>
            <w:vAlign w:val="center"/>
          </w:tcPr>
          <w:p w14:paraId="185CF1A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497D255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时空三维数据底座-低空城市三维采集空三数据质检</w:t>
            </w:r>
          </w:p>
        </w:tc>
        <w:tc>
          <w:tcPr>
            <w:tcW w:w="5018" w:type="dxa"/>
            <w:tcBorders>
              <w:top w:val="nil"/>
              <w:left w:val="nil"/>
              <w:bottom w:val="single" w:color="auto" w:sz="4" w:space="0"/>
              <w:right w:val="single" w:color="auto" w:sz="4" w:space="0"/>
            </w:tcBorders>
            <w:vAlign w:val="center"/>
          </w:tcPr>
          <w:p w14:paraId="6EF86EB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通过对采集的部分照片数据进行空三计算与分析，快速评估航飞质量、照片可用性及后续三维重建的效率与效果。</w:t>
            </w:r>
          </w:p>
        </w:tc>
      </w:tr>
      <w:tr w14:paraId="62D3F0BC">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60E362C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77</w:t>
            </w:r>
          </w:p>
        </w:tc>
        <w:tc>
          <w:tcPr>
            <w:tcW w:w="1262" w:type="dxa"/>
            <w:vMerge w:val="continue"/>
            <w:tcBorders>
              <w:top w:val="nil"/>
              <w:left w:val="single" w:color="auto" w:sz="4" w:space="0"/>
              <w:bottom w:val="single" w:color="000000" w:sz="4" w:space="0"/>
              <w:right w:val="single" w:color="auto" w:sz="4" w:space="0"/>
            </w:tcBorders>
            <w:vAlign w:val="center"/>
          </w:tcPr>
          <w:p w14:paraId="1E3202F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47A81CB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时空三维数据底座-低空城市三维模型智能生成</w:t>
            </w:r>
          </w:p>
        </w:tc>
        <w:tc>
          <w:tcPr>
            <w:tcW w:w="5018" w:type="dxa"/>
            <w:tcBorders>
              <w:top w:val="nil"/>
              <w:left w:val="nil"/>
              <w:bottom w:val="single" w:color="auto" w:sz="4" w:space="0"/>
              <w:right w:val="single" w:color="auto" w:sz="4" w:space="0"/>
            </w:tcBorders>
            <w:vAlign w:val="center"/>
          </w:tcPr>
          <w:p w14:paraId="66660CF0">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面向低空经济应用，将海量无人机倾斜摄影数据转化为高精度的三维数字资产，支持低空路径规划与仿真模拟。</w:t>
            </w:r>
          </w:p>
        </w:tc>
      </w:tr>
      <w:tr w14:paraId="0FA46861">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74378FD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78</w:t>
            </w:r>
          </w:p>
        </w:tc>
        <w:tc>
          <w:tcPr>
            <w:tcW w:w="1262" w:type="dxa"/>
            <w:vMerge w:val="continue"/>
            <w:tcBorders>
              <w:top w:val="nil"/>
              <w:left w:val="single" w:color="auto" w:sz="4" w:space="0"/>
              <w:bottom w:val="single" w:color="000000" w:sz="4" w:space="0"/>
              <w:right w:val="single" w:color="auto" w:sz="4" w:space="0"/>
            </w:tcBorders>
            <w:vAlign w:val="center"/>
          </w:tcPr>
          <w:p w14:paraId="054AB0D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24E27BD5">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时空三维数据底座-低空城市三维模型单体化识别</w:t>
            </w:r>
          </w:p>
        </w:tc>
        <w:tc>
          <w:tcPr>
            <w:tcW w:w="5018" w:type="dxa"/>
            <w:tcBorders>
              <w:top w:val="nil"/>
              <w:left w:val="nil"/>
              <w:bottom w:val="single" w:color="auto" w:sz="4" w:space="0"/>
              <w:right w:val="single" w:color="auto" w:sz="4" w:space="0"/>
            </w:tcBorders>
            <w:vAlign w:val="center"/>
          </w:tcPr>
          <w:p w14:paraId="7015FCC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自动识别低空飞行中的物理场景空间要素，分割出单个物理场景空间要素的点云和模型。便于基于单体物理场景空间要素挂接业务属性信息。</w:t>
            </w:r>
          </w:p>
        </w:tc>
      </w:tr>
      <w:tr w14:paraId="268E683B">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0BE7593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79</w:t>
            </w:r>
          </w:p>
        </w:tc>
        <w:tc>
          <w:tcPr>
            <w:tcW w:w="1262" w:type="dxa"/>
            <w:vMerge w:val="continue"/>
            <w:tcBorders>
              <w:top w:val="nil"/>
              <w:left w:val="single" w:color="auto" w:sz="4" w:space="0"/>
              <w:bottom w:val="single" w:color="000000" w:sz="4" w:space="0"/>
              <w:right w:val="single" w:color="auto" w:sz="4" w:space="0"/>
            </w:tcBorders>
            <w:vAlign w:val="center"/>
          </w:tcPr>
          <w:p w14:paraId="0988DB5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5C4AB9E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时空三维数据底座-低空城市三维模型处理</w:t>
            </w:r>
          </w:p>
        </w:tc>
        <w:tc>
          <w:tcPr>
            <w:tcW w:w="5018" w:type="dxa"/>
            <w:tcBorders>
              <w:top w:val="nil"/>
              <w:left w:val="nil"/>
              <w:bottom w:val="single" w:color="auto" w:sz="4" w:space="0"/>
              <w:right w:val="single" w:color="auto" w:sz="4" w:space="0"/>
            </w:tcBorders>
            <w:vAlign w:val="center"/>
          </w:tcPr>
          <w:p w14:paraId="75BED3C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对生成模块生成的三维模型进行轻量化以及纹理贴图美化处理，方便进行数据应用。</w:t>
            </w:r>
          </w:p>
        </w:tc>
      </w:tr>
      <w:tr w14:paraId="0F2CB21C">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6853DA9D">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80</w:t>
            </w:r>
          </w:p>
        </w:tc>
        <w:tc>
          <w:tcPr>
            <w:tcW w:w="1262" w:type="dxa"/>
            <w:vMerge w:val="continue"/>
            <w:tcBorders>
              <w:top w:val="nil"/>
              <w:left w:val="single" w:color="auto" w:sz="4" w:space="0"/>
              <w:bottom w:val="single" w:color="000000" w:sz="4" w:space="0"/>
              <w:right w:val="single" w:color="auto" w:sz="4" w:space="0"/>
            </w:tcBorders>
            <w:vAlign w:val="center"/>
          </w:tcPr>
          <w:p w14:paraId="6891F78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37BC49B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时空三维数据底座-低空城市三维模型数据管理</w:t>
            </w:r>
          </w:p>
        </w:tc>
        <w:tc>
          <w:tcPr>
            <w:tcW w:w="5018" w:type="dxa"/>
            <w:tcBorders>
              <w:top w:val="nil"/>
              <w:left w:val="nil"/>
              <w:bottom w:val="single" w:color="auto" w:sz="4" w:space="0"/>
              <w:right w:val="single" w:color="auto" w:sz="4" w:space="0"/>
            </w:tcBorders>
            <w:vAlign w:val="center"/>
          </w:tcPr>
          <w:p w14:paraId="28B81DA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对处理生成的低空环境中的海量三维数据进行管理，支持对建筑OBJ和3D Tiles标准的三维切片数据存储与综合管理。</w:t>
            </w:r>
          </w:p>
        </w:tc>
      </w:tr>
      <w:tr w14:paraId="06961635">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03BCDB3A">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81</w:t>
            </w:r>
          </w:p>
        </w:tc>
        <w:tc>
          <w:tcPr>
            <w:tcW w:w="1262" w:type="dxa"/>
            <w:vMerge w:val="continue"/>
            <w:tcBorders>
              <w:top w:val="nil"/>
              <w:left w:val="single" w:color="auto" w:sz="4" w:space="0"/>
              <w:bottom w:val="single" w:color="000000" w:sz="4" w:space="0"/>
              <w:right w:val="single" w:color="auto" w:sz="4" w:space="0"/>
            </w:tcBorders>
            <w:vAlign w:val="center"/>
          </w:tcPr>
          <w:p w14:paraId="007834A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vAlign w:val="center"/>
          </w:tcPr>
          <w:p w14:paraId="0AD0A83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时空三维数据底座-低空城市三维模型数据预览</w:t>
            </w:r>
          </w:p>
        </w:tc>
        <w:tc>
          <w:tcPr>
            <w:tcW w:w="5018" w:type="dxa"/>
            <w:tcBorders>
              <w:top w:val="nil"/>
              <w:left w:val="nil"/>
              <w:bottom w:val="single" w:color="auto" w:sz="4" w:space="0"/>
              <w:right w:val="single" w:color="auto" w:sz="4" w:space="0"/>
            </w:tcBorders>
            <w:vAlign w:val="center"/>
          </w:tcPr>
          <w:p w14:paraId="75C07E9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在低空物理场景空间要素数据加工处理阶段，实时预览低空三维环境的三维数字化复刻效果、轻量化程度及纹理质量，辅助判断低空航线的可行性与安全性。</w:t>
            </w:r>
          </w:p>
        </w:tc>
      </w:tr>
      <w:tr w14:paraId="4730474C">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5945D5B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82</w:t>
            </w:r>
          </w:p>
        </w:tc>
        <w:tc>
          <w:tcPr>
            <w:tcW w:w="1262" w:type="dxa"/>
            <w:vMerge w:val="continue"/>
            <w:tcBorders>
              <w:top w:val="nil"/>
              <w:left w:val="single" w:color="auto" w:sz="4" w:space="0"/>
              <w:bottom w:val="single" w:color="000000" w:sz="4" w:space="0"/>
              <w:right w:val="single" w:color="auto" w:sz="4" w:space="0"/>
            </w:tcBorders>
            <w:vAlign w:val="center"/>
          </w:tcPr>
          <w:p w14:paraId="0A53915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6FF6D7D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时空三维数据底座-低空城市三维模型数据动态更新管理</w:t>
            </w:r>
          </w:p>
        </w:tc>
        <w:tc>
          <w:tcPr>
            <w:tcW w:w="5018" w:type="dxa"/>
            <w:tcBorders>
              <w:top w:val="nil"/>
              <w:left w:val="nil"/>
              <w:bottom w:val="single" w:color="auto" w:sz="4" w:space="0"/>
              <w:right w:val="single" w:color="auto" w:sz="4" w:space="0"/>
            </w:tcBorders>
            <w:vAlign w:val="center"/>
          </w:tcPr>
          <w:p w14:paraId="63843E55">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面对大尺度空间场景下的海量低空物理空间三维数据要素管理需求，对整个城市进行多层级重新划分，确保每一个区域都能得到精准覆盖以及快速加载、查找、更新。更新的三维数据，能够实现自动传输到预设的指定位置，无需人工干预，提升数据流转的效率和准确性，实现实景三维模型的高频次、快速更新。</w:t>
            </w:r>
          </w:p>
        </w:tc>
      </w:tr>
      <w:tr w14:paraId="338C18E6">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1354BFA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83</w:t>
            </w:r>
          </w:p>
        </w:tc>
        <w:tc>
          <w:tcPr>
            <w:tcW w:w="1262" w:type="dxa"/>
            <w:vMerge w:val="continue"/>
            <w:tcBorders>
              <w:top w:val="nil"/>
              <w:left w:val="single" w:color="auto" w:sz="4" w:space="0"/>
              <w:bottom w:val="single" w:color="000000" w:sz="4" w:space="0"/>
              <w:right w:val="single" w:color="auto" w:sz="4" w:space="0"/>
            </w:tcBorders>
            <w:vAlign w:val="center"/>
          </w:tcPr>
          <w:p w14:paraId="4871588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598477C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低空时空智能计算分析-信息统计分析</w:t>
            </w:r>
          </w:p>
        </w:tc>
        <w:tc>
          <w:tcPr>
            <w:tcW w:w="5018" w:type="dxa"/>
            <w:tcBorders>
              <w:top w:val="nil"/>
              <w:left w:val="nil"/>
              <w:bottom w:val="single" w:color="auto" w:sz="4" w:space="0"/>
              <w:right w:val="single" w:color="auto" w:sz="4" w:space="0"/>
            </w:tcBorders>
            <w:vAlign w:val="center"/>
          </w:tcPr>
          <w:p w14:paraId="388DB51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数据按类型统计分析核心是针对低空领域各类数据源，按数据类别进行系统化统计与组织，明确各类数据的接入情况、核心统计指标，实现数据的分类管控与高效调用，为上层业务应用提供标准化的数据支撑。</w:t>
            </w:r>
          </w:p>
        </w:tc>
      </w:tr>
      <w:tr w14:paraId="46DF7AAF">
        <w:tblPrEx>
          <w:tblCellMar>
            <w:top w:w="0" w:type="dxa"/>
            <w:left w:w="108" w:type="dxa"/>
            <w:bottom w:w="0" w:type="dxa"/>
            <w:right w:w="108" w:type="dxa"/>
          </w:tblCellMar>
        </w:tblPrEx>
        <w:trPr>
          <w:trHeight w:val="855" w:hRule="atLeast"/>
        </w:trPr>
        <w:tc>
          <w:tcPr>
            <w:tcW w:w="0" w:type="auto"/>
            <w:tcBorders>
              <w:top w:val="nil"/>
              <w:left w:val="single" w:color="auto" w:sz="4" w:space="0"/>
              <w:bottom w:val="single" w:color="auto" w:sz="4" w:space="0"/>
              <w:right w:val="single" w:color="auto" w:sz="4" w:space="0"/>
            </w:tcBorders>
            <w:vAlign w:val="center"/>
          </w:tcPr>
          <w:p w14:paraId="5436367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84</w:t>
            </w:r>
          </w:p>
        </w:tc>
        <w:tc>
          <w:tcPr>
            <w:tcW w:w="1262" w:type="dxa"/>
            <w:vMerge w:val="continue"/>
            <w:tcBorders>
              <w:top w:val="nil"/>
              <w:left w:val="single" w:color="auto" w:sz="4" w:space="0"/>
              <w:bottom w:val="single" w:color="000000" w:sz="4" w:space="0"/>
              <w:right w:val="single" w:color="auto" w:sz="4" w:space="0"/>
            </w:tcBorders>
            <w:vAlign w:val="center"/>
          </w:tcPr>
          <w:p w14:paraId="7421A9BF">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785DBB2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低空时空智能计算分析-网格计算</w:t>
            </w:r>
          </w:p>
        </w:tc>
        <w:tc>
          <w:tcPr>
            <w:tcW w:w="5018" w:type="dxa"/>
            <w:tcBorders>
              <w:top w:val="nil"/>
              <w:left w:val="nil"/>
              <w:bottom w:val="single" w:color="auto" w:sz="4" w:space="0"/>
              <w:right w:val="single" w:color="auto" w:sz="4" w:space="0"/>
            </w:tcBorders>
            <w:vAlign w:val="center"/>
          </w:tcPr>
          <w:p w14:paraId="293ED7A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网格编码计算是低空网格编码体系的核心能力输出层，立足低空场景专有需求，提供一系列标准化、模块化的基础计算能力，为上层低空业务（如航线规划、空域管理、流量调控等）提供底层支撑。计算能力聚焦低空空间特性、多维度数据融合需求，仅输出基础计算结果，不涉及具体业务逻辑与场景实现，确保计算能力的通用性与专属适配性。</w:t>
            </w:r>
          </w:p>
        </w:tc>
      </w:tr>
      <w:tr w14:paraId="5F41D429">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511F0A0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85</w:t>
            </w:r>
          </w:p>
        </w:tc>
        <w:tc>
          <w:tcPr>
            <w:tcW w:w="1262" w:type="dxa"/>
            <w:vMerge w:val="continue"/>
            <w:tcBorders>
              <w:top w:val="nil"/>
              <w:left w:val="single" w:color="auto" w:sz="4" w:space="0"/>
              <w:bottom w:val="single" w:color="000000" w:sz="4" w:space="0"/>
              <w:right w:val="single" w:color="auto" w:sz="4" w:space="0"/>
            </w:tcBorders>
            <w:vAlign w:val="center"/>
          </w:tcPr>
          <w:p w14:paraId="5DF8DD2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6F5420D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低空时空智能计算分析-时空智能基础能力</w:t>
            </w:r>
          </w:p>
        </w:tc>
        <w:tc>
          <w:tcPr>
            <w:tcW w:w="5018" w:type="dxa"/>
            <w:tcBorders>
              <w:top w:val="nil"/>
              <w:left w:val="nil"/>
              <w:bottom w:val="single" w:color="auto" w:sz="4" w:space="0"/>
              <w:right w:val="single" w:color="auto" w:sz="4" w:space="0"/>
            </w:tcBorders>
            <w:vAlign w:val="center"/>
          </w:tcPr>
          <w:p w14:paraId="1996217F">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时空智能基础能力主要进行时空标签关联分析，提供时空上下文服务以及低空网格智能检索与语义理解。</w:t>
            </w:r>
          </w:p>
        </w:tc>
      </w:tr>
      <w:tr w14:paraId="6FB7661B">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7990956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86</w:t>
            </w:r>
          </w:p>
        </w:tc>
        <w:tc>
          <w:tcPr>
            <w:tcW w:w="1262" w:type="dxa"/>
            <w:vMerge w:val="continue"/>
            <w:tcBorders>
              <w:top w:val="nil"/>
              <w:left w:val="single" w:color="auto" w:sz="4" w:space="0"/>
              <w:bottom w:val="single" w:color="000000" w:sz="4" w:space="0"/>
              <w:right w:val="single" w:color="auto" w:sz="4" w:space="0"/>
            </w:tcBorders>
            <w:vAlign w:val="center"/>
          </w:tcPr>
          <w:p w14:paraId="4597370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0E040F6D">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低空时空智能计算分析-空域网格分析</w:t>
            </w:r>
          </w:p>
        </w:tc>
        <w:tc>
          <w:tcPr>
            <w:tcW w:w="5018" w:type="dxa"/>
            <w:tcBorders>
              <w:top w:val="nil"/>
              <w:left w:val="nil"/>
              <w:bottom w:val="single" w:color="auto" w:sz="4" w:space="0"/>
              <w:right w:val="single" w:color="auto" w:sz="4" w:space="0"/>
            </w:tcBorders>
            <w:vAlign w:val="center"/>
          </w:tcPr>
          <w:p w14:paraId="371D606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对低空网格时序要素基础运行状态的量化刻画，支持按照不同的时间粒度开展批量特征计算，对时序数据的长期演化与短期波动特征进行量化解析，自动识别时序特征的异常偏离情况，并能够将分析成果导出。</w:t>
            </w:r>
          </w:p>
        </w:tc>
      </w:tr>
      <w:tr w14:paraId="67A4BA71">
        <w:tblPrEx>
          <w:tblCellMar>
            <w:top w:w="0" w:type="dxa"/>
            <w:left w:w="108" w:type="dxa"/>
            <w:bottom w:w="0" w:type="dxa"/>
            <w:right w:w="108" w:type="dxa"/>
          </w:tblCellMar>
        </w:tblPrEx>
        <w:trPr>
          <w:trHeight w:val="855" w:hRule="atLeast"/>
        </w:trPr>
        <w:tc>
          <w:tcPr>
            <w:tcW w:w="0" w:type="auto"/>
            <w:tcBorders>
              <w:top w:val="nil"/>
              <w:left w:val="single" w:color="auto" w:sz="4" w:space="0"/>
              <w:bottom w:val="single" w:color="auto" w:sz="4" w:space="0"/>
              <w:right w:val="single" w:color="auto" w:sz="4" w:space="0"/>
            </w:tcBorders>
            <w:vAlign w:val="center"/>
          </w:tcPr>
          <w:p w14:paraId="2C97739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87</w:t>
            </w:r>
          </w:p>
        </w:tc>
        <w:tc>
          <w:tcPr>
            <w:tcW w:w="1262" w:type="dxa"/>
            <w:vMerge w:val="continue"/>
            <w:tcBorders>
              <w:top w:val="nil"/>
              <w:left w:val="single" w:color="auto" w:sz="4" w:space="0"/>
              <w:bottom w:val="single" w:color="000000" w:sz="4" w:space="0"/>
              <w:right w:val="single" w:color="auto" w:sz="4" w:space="0"/>
            </w:tcBorders>
            <w:vAlign w:val="center"/>
          </w:tcPr>
          <w:p w14:paraId="05B92F3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7E889ADD">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低空时空智能计算分析-智能网格画像</w:t>
            </w:r>
          </w:p>
        </w:tc>
        <w:tc>
          <w:tcPr>
            <w:tcW w:w="5018" w:type="dxa"/>
            <w:tcBorders>
              <w:top w:val="nil"/>
              <w:left w:val="nil"/>
              <w:bottom w:val="single" w:color="auto" w:sz="4" w:space="0"/>
              <w:right w:val="single" w:color="auto" w:sz="4" w:space="0"/>
            </w:tcBorders>
            <w:vAlign w:val="center"/>
          </w:tcPr>
          <w:p w14:paraId="09B92E24">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依托基础地理、设施资源、社会统计及实时感知等多类数据源，对网格的静态固有属性与动态运行态势开展全维度特征提取、规范化处理与结构化入库，将网格底层分散的空间特征、属性特征、时序特征等多维度数据，统一加工转换为画像体系可直接使用的标准量化指标与规范化业务标签，自动化地进行网格画像迭代，能够进行网格画像历史溯源。</w:t>
            </w:r>
          </w:p>
        </w:tc>
      </w:tr>
      <w:tr w14:paraId="68B15472">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6A45185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88</w:t>
            </w:r>
          </w:p>
        </w:tc>
        <w:tc>
          <w:tcPr>
            <w:tcW w:w="1262" w:type="dxa"/>
            <w:vMerge w:val="continue"/>
            <w:tcBorders>
              <w:top w:val="nil"/>
              <w:left w:val="single" w:color="auto" w:sz="4" w:space="0"/>
              <w:bottom w:val="single" w:color="000000" w:sz="4" w:space="0"/>
              <w:right w:val="single" w:color="auto" w:sz="4" w:space="0"/>
            </w:tcBorders>
            <w:vAlign w:val="center"/>
          </w:tcPr>
          <w:p w14:paraId="07816D0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44171820">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低空时空智能计算分析-复杂城市环境低空微气象精细化仿真</w:t>
            </w:r>
          </w:p>
        </w:tc>
        <w:tc>
          <w:tcPr>
            <w:tcW w:w="5018" w:type="dxa"/>
            <w:tcBorders>
              <w:top w:val="nil"/>
              <w:left w:val="nil"/>
              <w:bottom w:val="single" w:color="auto" w:sz="4" w:space="0"/>
              <w:right w:val="single" w:color="auto" w:sz="4" w:space="0"/>
            </w:tcBorders>
            <w:vAlign w:val="center"/>
          </w:tcPr>
          <w:p w14:paraId="35CC47A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建设高保真静态风场基准数据库、低空致险特征指标体系、高时空分辨率智能预测能力以及对外服务能力，形成“建模—提取—预测—服务”标准化业务闭环，实现由“宏观天气信息”向“机器可读风险指标”的跨越。</w:t>
            </w:r>
          </w:p>
        </w:tc>
      </w:tr>
      <w:tr w14:paraId="2AD88ABB">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45637A9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89</w:t>
            </w:r>
          </w:p>
        </w:tc>
        <w:tc>
          <w:tcPr>
            <w:tcW w:w="1262" w:type="dxa"/>
            <w:vMerge w:val="continue"/>
            <w:tcBorders>
              <w:top w:val="nil"/>
              <w:left w:val="single" w:color="auto" w:sz="4" w:space="0"/>
              <w:bottom w:val="single" w:color="000000" w:sz="4" w:space="0"/>
              <w:right w:val="single" w:color="auto" w:sz="4" w:space="0"/>
            </w:tcBorders>
            <w:vAlign w:val="center"/>
          </w:tcPr>
          <w:p w14:paraId="22AE3CD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39D153B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低空时空智能计算分析-低空智能分析</w:t>
            </w:r>
          </w:p>
        </w:tc>
        <w:tc>
          <w:tcPr>
            <w:tcW w:w="5018" w:type="dxa"/>
            <w:tcBorders>
              <w:top w:val="nil"/>
              <w:left w:val="nil"/>
              <w:bottom w:val="single" w:color="auto" w:sz="4" w:space="0"/>
              <w:right w:val="single" w:color="auto" w:sz="4" w:space="0"/>
            </w:tcBorders>
            <w:vAlign w:val="center"/>
          </w:tcPr>
          <w:p w14:paraId="17EE259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依托全域无人机历史飞行轨迹核心数据，以低空网格作为标准化空间分析单元，通过空间匹配关联完成离散飞行轨迹的精准网格落位，结合多时序维度的数据统计与特征挖掘方式，系统化开展空域利用深度分析，全面解析无人机飞行活动的时空分布规律与运行变化特征。</w:t>
            </w:r>
          </w:p>
        </w:tc>
      </w:tr>
      <w:tr w14:paraId="11735B1A">
        <w:tblPrEx>
          <w:tblCellMar>
            <w:top w:w="0" w:type="dxa"/>
            <w:left w:w="108" w:type="dxa"/>
            <w:bottom w:w="0" w:type="dxa"/>
            <w:right w:w="108" w:type="dxa"/>
          </w:tblCellMar>
        </w:tblPrEx>
        <w:trPr>
          <w:trHeight w:val="855" w:hRule="atLeast"/>
        </w:trPr>
        <w:tc>
          <w:tcPr>
            <w:tcW w:w="0" w:type="auto"/>
            <w:tcBorders>
              <w:top w:val="nil"/>
              <w:left w:val="single" w:color="auto" w:sz="4" w:space="0"/>
              <w:bottom w:val="single" w:color="auto" w:sz="4" w:space="0"/>
              <w:right w:val="single" w:color="auto" w:sz="4" w:space="0"/>
            </w:tcBorders>
            <w:vAlign w:val="center"/>
          </w:tcPr>
          <w:p w14:paraId="0DE7D03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90</w:t>
            </w:r>
          </w:p>
        </w:tc>
        <w:tc>
          <w:tcPr>
            <w:tcW w:w="1262" w:type="dxa"/>
            <w:vMerge w:val="continue"/>
            <w:tcBorders>
              <w:top w:val="nil"/>
              <w:left w:val="single" w:color="auto" w:sz="4" w:space="0"/>
              <w:bottom w:val="single" w:color="000000" w:sz="4" w:space="0"/>
              <w:right w:val="single" w:color="auto" w:sz="4" w:space="0"/>
            </w:tcBorders>
            <w:vAlign w:val="center"/>
          </w:tcPr>
          <w:p w14:paraId="7D42B3C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47C552D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低空多维可视化引擎-低空全域多源数据融合渲染</w:t>
            </w:r>
          </w:p>
        </w:tc>
        <w:tc>
          <w:tcPr>
            <w:tcW w:w="5018" w:type="dxa"/>
            <w:tcBorders>
              <w:top w:val="nil"/>
              <w:left w:val="nil"/>
              <w:bottom w:val="single" w:color="auto" w:sz="4" w:space="0"/>
              <w:right w:val="single" w:color="auto" w:sz="4" w:space="0"/>
            </w:tcBorders>
            <w:vAlign w:val="center"/>
          </w:tcPr>
          <w:p w14:paraId="2718476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通过多源数据融合及数据治理技术、三维模型轻量化技术、高性能图形引擎技术、基于LOD技术的场景无缝切换技术、基于物理世界实时渲染的仿真推演场景模拟技术等，打造集宏观微观、空天地一体化、室内室外一体化的游戏级渲染效果的低空全要素、全空间、可交互的高逼真场景，实现对真实世界的光照、时间变换、天气变化、事件案件的仿真推演。</w:t>
            </w:r>
          </w:p>
        </w:tc>
      </w:tr>
      <w:tr w14:paraId="199CED16">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7B00275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91</w:t>
            </w:r>
          </w:p>
        </w:tc>
        <w:tc>
          <w:tcPr>
            <w:tcW w:w="1262" w:type="dxa"/>
            <w:vMerge w:val="continue"/>
            <w:tcBorders>
              <w:top w:val="nil"/>
              <w:left w:val="single" w:color="auto" w:sz="4" w:space="0"/>
              <w:bottom w:val="single" w:color="000000" w:sz="4" w:space="0"/>
              <w:right w:val="single" w:color="auto" w:sz="4" w:space="0"/>
            </w:tcBorders>
            <w:vAlign w:val="center"/>
          </w:tcPr>
          <w:p w14:paraId="72B8513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06AD400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低空多维可视化引擎-低空可视化场景编辑</w:t>
            </w:r>
          </w:p>
        </w:tc>
        <w:tc>
          <w:tcPr>
            <w:tcW w:w="5018" w:type="dxa"/>
            <w:tcBorders>
              <w:top w:val="nil"/>
              <w:left w:val="nil"/>
              <w:bottom w:val="single" w:color="auto" w:sz="4" w:space="0"/>
              <w:right w:val="single" w:color="auto" w:sz="4" w:space="0"/>
            </w:tcBorders>
            <w:vAlign w:val="center"/>
          </w:tcPr>
          <w:p w14:paraId="00E38BB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快速整合多源、海量的空间数据，并进行高质量、高性能的绘制，拥有丰富的场景特效。</w:t>
            </w:r>
          </w:p>
        </w:tc>
      </w:tr>
      <w:tr w14:paraId="2E7944D8">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0CE0070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92</w:t>
            </w:r>
          </w:p>
        </w:tc>
        <w:tc>
          <w:tcPr>
            <w:tcW w:w="1262" w:type="dxa"/>
            <w:vMerge w:val="continue"/>
            <w:tcBorders>
              <w:top w:val="nil"/>
              <w:left w:val="single" w:color="auto" w:sz="4" w:space="0"/>
              <w:bottom w:val="single" w:color="000000" w:sz="4" w:space="0"/>
              <w:right w:val="single" w:color="auto" w:sz="4" w:space="0"/>
            </w:tcBorders>
            <w:vAlign w:val="center"/>
          </w:tcPr>
          <w:p w14:paraId="31C9E36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47954975">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低空多维可视化引擎-低空可视化渲染</w:t>
            </w:r>
          </w:p>
        </w:tc>
        <w:tc>
          <w:tcPr>
            <w:tcW w:w="5018" w:type="dxa"/>
            <w:tcBorders>
              <w:top w:val="nil"/>
              <w:left w:val="nil"/>
              <w:bottom w:val="single" w:color="auto" w:sz="4" w:space="0"/>
              <w:right w:val="single" w:color="auto" w:sz="4" w:space="0"/>
            </w:tcBorders>
            <w:vAlign w:val="center"/>
          </w:tcPr>
          <w:p w14:paraId="0E18F5F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实现在服务器的云端进行实时渲染，将渲染画面通过视频串流的方式实时传输到终端，供用户使用。用户在终端的操作同时也可实时反馈给云端，达到无插件、跨平台、跨浏览器的浏览和操作的一致体验。</w:t>
            </w:r>
          </w:p>
        </w:tc>
      </w:tr>
      <w:tr w14:paraId="43390A7B">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68340BD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93</w:t>
            </w:r>
          </w:p>
        </w:tc>
        <w:tc>
          <w:tcPr>
            <w:tcW w:w="1262" w:type="dxa"/>
            <w:vMerge w:val="continue"/>
            <w:tcBorders>
              <w:top w:val="nil"/>
              <w:left w:val="single" w:color="auto" w:sz="4" w:space="0"/>
              <w:bottom w:val="single" w:color="000000" w:sz="4" w:space="0"/>
              <w:right w:val="single" w:color="auto" w:sz="4" w:space="0"/>
            </w:tcBorders>
            <w:vAlign w:val="center"/>
          </w:tcPr>
          <w:p w14:paraId="1B44FBB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7216622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低空多维可视化引擎-低空三维可视化分析工具</w:t>
            </w:r>
          </w:p>
        </w:tc>
        <w:tc>
          <w:tcPr>
            <w:tcW w:w="5018" w:type="dxa"/>
            <w:tcBorders>
              <w:top w:val="nil"/>
              <w:left w:val="nil"/>
              <w:bottom w:val="single" w:color="auto" w:sz="4" w:space="0"/>
              <w:right w:val="single" w:color="auto" w:sz="4" w:space="0"/>
            </w:tcBorders>
            <w:vAlign w:val="center"/>
          </w:tcPr>
          <w:p w14:paraId="3F458EC4">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低空三维可视化分析工具包括可视域分析、天际线分析、开敞度分析、通视分析、日照分析、挖填方分析功能。</w:t>
            </w:r>
          </w:p>
        </w:tc>
      </w:tr>
      <w:tr w14:paraId="6D37BE53">
        <w:tblPrEx>
          <w:tblCellMar>
            <w:top w:w="0" w:type="dxa"/>
            <w:left w:w="108" w:type="dxa"/>
            <w:bottom w:w="0" w:type="dxa"/>
            <w:right w:w="108" w:type="dxa"/>
          </w:tblCellMar>
        </w:tblPrEx>
        <w:trPr>
          <w:trHeight w:val="855" w:hRule="atLeast"/>
        </w:trPr>
        <w:tc>
          <w:tcPr>
            <w:tcW w:w="0" w:type="auto"/>
            <w:tcBorders>
              <w:top w:val="nil"/>
              <w:left w:val="single" w:color="auto" w:sz="4" w:space="0"/>
              <w:bottom w:val="single" w:color="auto" w:sz="4" w:space="0"/>
              <w:right w:val="single" w:color="auto" w:sz="4" w:space="0"/>
            </w:tcBorders>
            <w:vAlign w:val="center"/>
          </w:tcPr>
          <w:p w14:paraId="61B18EA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94</w:t>
            </w:r>
          </w:p>
        </w:tc>
        <w:tc>
          <w:tcPr>
            <w:tcW w:w="1262" w:type="dxa"/>
            <w:vMerge w:val="continue"/>
            <w:tcBorders>
              <w:top w:val="nil"/>
              <w:left w:val="single" w:color="auto" w:sz="4" w:space="0"/>
              <w:bottom w:val="single" w:color="000000" w:sz="4" w:space="0"/>
              <w:right w:val="single" w:color="auto" w:sz="4" w:space="0"/>
            </w:tcBorders>
            <w:vAlign w:val="center"/>
          </w:tcPr>
          <w:p w14:paraId="3FA750A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730CD20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低空多维可视化引擎-低空大规模全场景仿真</w:t>
            </w:r>
          </w:p>
        </w:tc>
        <w:tc>
          <w:tcPr>
            <w:tcW w:w="5018" w:type="dxa"/>
            <w:tcBorders>
              <w:top w:val="nil"/>
              <w:left w:val="nil"/>
              <w:bottom w:val="single" w:color="auto" w:sz="4" w:space="0"/>
              <w:right w:val="single" w:color="auto" w:sz="4" w:space="0"/>
            </w:tcBorders>
            <w:vAlign w:val="center"/>
          </w:tcPr>
          <w:p w14:paraId="3D98726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基于数字孪生系统提供的对现实世界的建模与虚拟操作能力，将现实世界中的环境信息与飞行器信息传入虚拟世界中，对大规模多飞行器运行及其环境因素进行仿真。能模拟仿真多个飞行器在各种低空环境下运行的状态，以形成预测多个飞行器在给定低空场景环境下的飞行情况、安全性、空域使用效率等指标参数。同时在仿真场景中训练各种飞行调度模型、验证各类飞行规划算法，为真实大规模飞行运行测试提供了数据支持。</w:t>
            </w:r>
          </w:p>
        </w:tc>
      </w:tr>
      <w:tr w14:paraId="0AE2A78C">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5EA686C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95</w:t>
            </w:r>
          </w:p>
        </w:tc>
        <w:tc>
          <w:tcPr>
            <w:tcW w:w="1262" w:type="dxa"/>
            <w:vMerge w:val="continue"/>
            <w:tcBorders>
              <w:top w:val="nil"/>
              <w:left w:val="single" w:color="auto" w:sz="4" w:space="0"/>
              <w:bottom w:val="single" w:color="000000" w:sz="4" w:space="0"/>
              <w:right w:val="single" w:color="auto" w:sz="4" w:space="0"/>
            </w:tcBorders>
            <w:vAlign w:val="center"/>
          </w:tcPr>
          <w:p w14:paraId="6958E9B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30F3C48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高精度定位网-格网差分数据接入网关</w:t>
            </w:r>
          </w:p>
        </w:tc>
        <w:tc>
          <w:tcPr>
            <w:tcW w:w="5018" w:type="dxa"/>
            <w:tcBorders>
              <w:top w:val="nil"/>
              <w:left w:val="nil"/>
              <w:bottom w:val="single" w:color="auto" w:sz="4" w:space="0"/>
              <w:right w:val="single" w:color="auto" w:sz="4" w:space="0"/>
            </w:tcBorders>
            <w:vAlign w:val="center"/>
          </w:tcPr>
          <w:p w14:paraId="249E911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原生支持卫星观测数据等行业标准格式，同时兼容BD、GPS、GLONASS、Galileo、QZSS等多系统卫星数据，可直接接入地基增强基站、区域观测基站的卫星观测值、星历数据等核心信息。接入后自动完成数据清洗、格式标准化转换、误差修正。</w:t>
            </w:r>
          </w:p>
        </w:tc>
      </w:tr>
      <w:tr w14:paraId="76E82C55">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736D06A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96</w:t>
            </w:r>
          </w:p>
        </w:tc>
        <w:tc>
          <w:tcPr>
            <w:tcW w:w="1262" w:type="dxa"/>
            <w:vMerge w:val="continue"/>
            <w:tcBorders>
              <w:top w:val="nil"/>
              <w:left w:val="single" w:color="auto" w:sz="4" w:space="0"/>
              <w:bottom w:val="single" w:color="000000" w:sz="4" w:space="0"/>
              <w:right w:val="single" w:color="auto" w:sz="4" w:space="0"/>
            </w:tcBorders>
            <w:vAlign w:val="center"/>
          </w:tcPr>
          <w:p w14:paraId="60F3570B">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47FCB53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高精度定位网-差分数据播发网关</w:t>
            </w:r>
          </w:p>
        </w:tc>
        <w:tc>
          <w:tcPr>
            <w:tcW w:w="5018" w:type="dxa"/>
            <w:tcBorders>
              <w:top w:val="nil"/>
              <w:left w:val="nil"/>
              <w:bottom w:val="single" w:color="auto" w:sz="4" w:space="0"/>
              <w:right w:val="single" w:color="auto" w:sz="4" w:space="0"/>
            </w:tcBorders>
            <w:vAlign w:val="center"/>
          </w:tcPr>
          <w:p w14:paraId="07F019B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接入的原始观测数据实时分发原始卫星观测数据至算法模块，固定间隔时间存储历史数据，存入离线数据盘，便于后续分析。</w:t>
            </w:r>
          </w:p>
        </w:tc>
      </w:tr>
      <w:tr w14:paraId="31DF1F2C">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05A320C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97</w:t>
            </w:r>
          </w:p>
        </w:tc>
        <w:tc>
          <w:tcPr>
            <w:tcW w:w="1262" w:type="dxa"/>
            <w:vMerge w:val="continue"/>
            <w:tcBorders>
              <w:top w:val="nil"/>
              <w:left w:val="single" w:color="auto" w:sz="4" w:space="0"/>
              <w:bottom w:val="single" w:color="000000" w:sz="4" w:space="0"/>
              <w:right w:val="single" w:color="auto" w:sz="4" w:space="0"/>
            </w:tcBorders>
            <w:vAlign w:val="center"/>
          </w:tcPr>
          <w:p w14:paraId="5EEB5A8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6DA9E8A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高精度定位网-概览</w:t>
            </w:r>
          </w:p>
        </w:tc>
        <w:tc>
          <w:tcPr>
            <w:tcW w:w="5018" w:type="dxa"/>
            <w:tcBorders>
              <w:top w:val="nil"/>
              <w:left w:val="nil"/>
              <w:bottom w:val="single" w:color="auto" w:sz="4" w:space="0"/>
              <w:right w:val="single" w:color="auto" w:sz="4" w:space="0"/>
            </w:tcBorders>
            <w:vAlign w:val="center"/>
          </w:tcPr>
          <w:p w14:paraId="54B80F7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概览页面呈现差分账号的在线情况和活跃情况。</w:t>
            </w:r>
          </w:p>
        </w:tc>
      </w:tr>
      <w:tr w14:paraId="24AFAF9F">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3E6378B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98</w:t>
            </w:r>
          </w:p>
        </w:tc>
        <w:tc>
          <w:tcPr>
            <w:tcW w:w="1262" w:type="dxa"/>
            <w:vMerge w:val="continue"/>
            <w:tcBorders>
              <w:top w:val="nil"/>
              <w:left w:val="single" w:color="auto" w:sz="4" w:space="0"/>
              <w:bottom w:val="single" w:color="000000" w:sz="4" w:space="0"/>
              <w:right w:val="single" w:color="auto" w:sz="4" w:space="0"/>
            </w:tcBorders>
            <w:vAlign w:val="center"/>
          </w:tcPr>
          <w:p w14:paraId="7328436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51970C85">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高精度定位网-地图监控</w:t>
            </w:r>
          </w:p>
        </w:tc>
        <w:tc>
          <w:tcPr>
            <w:tcW w:w="5018" w:type="dxa"/>
            <w:tcBorders>
              <w:top w:val="nil"/>
              <w:left w:val="nil"/>
              <w:bottom w:val="single" w:color="auto" w:sz="4" w:space="0"/>
              <w:right w:val="single" w:color="auto" w:sz="4" w:space="0"/>
            </w:tcBorders>
            <w:vAlign w:val="center"/>
          </w:tcPr>
          <w:p w14:paraId="240868B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基于B/S的控制台设计，面向业务的UI交互设计，支持模糊及精确搜索。</w:t>
            </w:r>
          </w:p>
        </w:tc>
      </w:tr>
      <w:tr w14:paraId="60D5C895">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12B9FFF2">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99</w:t>
            </w:r>
          </w:p>
        </w:tc>
        <w:tc>
          <w:tcPr>
            <w:tcW w:w="1262" w:type="dxa"/>
            <w:vMerge w:val="continue"/>
            <w:tcBorders>
              <w:top w:val="nil"/>
              <w:left w:val="single" w:color="auto" w:sz="4" w:space="0"/>
              <w:bottom w:val="single" w:color="000000" w:sz="4" w:space="0"/>
              <w:right w:val="single" w:color="auto" w:sz="4" w:space="0"/>
            </w:tcBorders>
            <w:vAlign w:val="center"/>
          </w:tcPr>
          <w:p w14:paraId="60E2E87B">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314706F0">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高精度定位网-差分账号</w:t>
            </w:r>
          </w:p>
        </w:tc>
        <w:tc>
          <w:tcPr>
            <w:tcW w:w="5018" w:type="dxa"/>
            <w:tcBorders>
              <w:top w:val="nil"/>
              <w:left w:val="nil"/>
              <w:bottom w:val="single" w:color="auto" w:sz="4" w:space="0"/>
              <w:right w:val="single" w:color="auto" w:sz="4" w:space="0"/>
            </w:tcBorders>
            <w:vAlign w:val="center"/>
          </w:tcPr>
          <w:p w14:paraId="7ED9D3D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总览所有账号的信息，也可以搜索查看特定账号。</w:t>
            </w:r>
          </w:p>
        </w:tc>
      </w:tr>
      <w:tr w14:paraId="3B832760">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0EDEC02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100</w:t>
            </w:r>
          </w:p>
        </w:tc>
        <w:tc>
          <w:tcPr>
            <w:tcW w:w="1262" w:type="dxa"/>
            <w:vMerge w:val="continue"/>
            <w:tcBorders>
              <w:top w:val="nil"/>
              <w:left w:val="single" w:color="auto" w:sz="4" w:space="0"/>
              <w:bottom w:val="single" w:color="000000" w:sz="4" w:space="0"/>
              <w:right w:val="single" w:color="auto" w:sz="4" w:space="0"/>
            </w:tcBorders>
            <w:vAlign w:val="center"/>
          </w:tcPr>
          <w:p w14:paraId="5B34155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677875D4">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高精度定位网-仿真站点</w:t>
            </w:r>
          </w:p>
        </w:tc>
        <w:tc>
          <w:tcPr>
            <w:tcW w:w="5018" w:type="dxa"/>
            <w:tcBorders>
              <w:top w:val="nil"/>
              <w:left w:val="nil"/>
              <w:bottom w:val="single" w:color="auto" w:sz="4" w:space="0"/>
              <w:right w:val="single" w:color="auto" w:sz="4" w:space="0"/>
            </w:tcBorders>
            <w:vAlign w:val="center"/>
          </w:tcPr>
          <w:p w14:paraId="36AA8B35">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仿真站点为基站经过组网后生成的虚拟站点，包含SGR和用户自建站组网SGR两类。</w:t>
            </w:r>
          </w:p>
        </w:tc>
      </w:tr>
      <w:tr w14:paraId="73DCFAAB">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06D47FD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101</w:t>
            </w:r>
          </w:p>
        </w:tc>
        <w:tc>
          <w:tcPr>
            <w:tcW w:w="1262" w:type="dxa"/>
            <w:vMerge w:val="continue"/>
            <w:tcBorders>
              <w:top w:val="nil"/>
              <w:left w:val="single" w:color="auto" w:sz="4" w:space="0"/>
              <w:bottom w:val="single" w:color="000000" w:sz="4" w:space="0"/>
              <w:right w:val="single" w:color="auto" w:sz="4" w:space="0"/>
            </w:tcBorders>
            <w:vAlign w:val="center"/>
          </w:tcPr>
          <w:p w14:paraId="26112B35">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60D76C4F">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高精度定位网-统计报表开放接口</w:t>
            </w:r>
          </w:p>
        </w:tc>
        <w:tc>
          <w:tcPr>
            <w:tcW w:w="5018" w:type="dxa"/>
            <w:tcBorders>
              <w:top w:val="nil"/>
              <w:left w:val="nil"/>
              <w:bottom w:val="single" w:color="auto" w:sz="4" w:space="0"/>
              <w:right w:val="single" w:color="auto" w:sz="4" w:space="0"/>
            </w:tcBorders>
            <w:vAlign w:val="center"/>
          </w:tcPr>
          <w:p w14:paraId="48FA499F">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展示所有差分账号的信息，也可输入具体账号查看其信息。</w:t>
            </w:r>
          </w:p>
        </w:tc>
      </w:tr>
      <w:tr w14:paraId="7C26BC5B">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718F4236">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102</w:t>
            </w:r>
          </w:p>
        </w:tc>
        <w:tc>
          <w:tcPr>
            <w:tcW w:w="1262" w:type="dxa"/>
            <w:vMerge w:val="continue"/>
            <w:tcBorders>
              <w:top w:val="nil"/>
              <w:left w:val="single" w:color="auto" w:sz="4" w:space="0"/>
              <w:bottom w:val="single" w:color="000000" w:sz="4" w:space="0"/>
              <w:right w:val="single" w:color="auto" w:sz="4" w:space="0"/>
            </w:tcBorders>
            <w:vAlign w:val="center"/>
          </w:tcPr>
          <w:p w14:paraId="2D5E1BDF">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29E4537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高精度定位网-系统配置</w:t>
            </w:r>
          </w:p>
        </w:tc>
        <w:tc>
          <w:tcPr>
            <w:tcW w:w="5018" w:type="dxa"/>
            <w:tcBorders>
              <w:top w:val="nil"/>
              <w:left w:val="nil"/>
              <w:bottom w:val="single" w:color="auto" w:sz="4" w:space="0"/>
              <w:right w:val="single" w:color="auto" w:sz="4" w:space="0"/>
            </w:tcBorders>
            <w:vAlign w:val="center"/>
          </w:tcPr>
          <w:p w14:paraId="7869B18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可设置播发配置等相关参数信息，包含GGA上报频率、基础信息、观测数据及参与组网解算的星座等。</w:t>
            </w:r>
          </w:p>
        </w:tc>
      </w:tr>
      <w:tr w14:paraId="1FF7A832">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5BA9CC02">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103</w:t>
            </w:r>
          </w:p>
        </w:tc>
        <w:tc>
          <w:tcPr>
            <w:tcW w:w="1262" w:type="dxa"/>
            <w:vMerge w:val="continue"/>
            <w:tcBorders>
              <w:top w:val="nil"/>
              <w:left w:val="single" w:color="auto" w:sz="4" w:space="0"/>
              <w:bottom w:val="single" w:color="000000" w:sz="4" w:space="0"/>
              <w:right w:val="single" w:color="auto" w:sz="4" w:space="0"/>
            </w:tcBorders>
            <w:vAlign w:val="center"/>
          </w:tcPr>
          <w:p w14:paraId="170BDB8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1E9C707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高精度定位网-API接口</w:t>
            </w:r>
          </w:p>
        </w:tc>
        <w:tc>
          <w:tcPr>
            <w:tcW w:w="5018" w:type="dxa"/>
            <w:tcBorders>
              <w:top w:val="nil"/>
              <w:left w:val="nil"/>
              <w:bottom w:val="single" w:color="auto" w:sz="4" w:space="0"/>
              <w:right w:val="single" w:color="auto" w:sz="4" w:space="0"/>
            </w:tcBorders>
            <w:vAlign w:val="center"/>
          </w:tcPr>
          <w:p w14:paraId="7AC1240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通过key账密形式管理对外api接口调用。可以设置所属组织、生效/到期时间、设定key状态等主要信息。</w:t>
            </w:r>
          </w:p>
        </w:tc>
      </w:tr>
      <w:tr w14:paraId="5763DB74">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0DBAEE8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104</w:t>
            </w:r>
          </w:p>
        </w:tc>
        <w:tc>
          <w:tcPr>
            <w:tcW w:w="1262" w:type="dxa"/>
            <w:vMerge w:val="continue"/>
            <w:tcBorders>
              <w:top w:val="nil"/>
              <w:left w:val="single" w:color="auto" w:sz="4" w:space="0"/>
              <w:bottom w:val="single" w:color="000000" w:sz="4" w:space="0"/>
              <w:right w:val="single" w:color="auto" w:sz="4" w:space="0"/>
            </w:tcBorders>
            <w:vAlign w:val="center"/>
          </w:tcPr>
          <w:p w14:paraId="2CE8C40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74AB1FE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高精度定位网-用户管理</w:t>
            </w:r>
          </w:p>
        </w:tc>
        <w:tc>
          <w:tcPr>
            <w:tcW w:w="5018" w:type="dxa"/>
            <w:tcBorders>
              <w:top w:val="nil"/>
              <w:left w:val="nil"/>
              <w:bottom w:val="single" w:color="auto" w:sz="4" w:space="0"/>
              <w:right w:val="single" w:color="auto" w:sz="4" w:space="0"/>
            </w:tcBorders>
            <w:vAlign w:val="center"/>
          </w:tcPr>
          <w:p w14:paraId="29395ED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通过精细化的用户全生命周期管理与灵活的角色权限配置，构建安全、可控的系统访问环境。</w:t>
            </w:r>
          </w:p>
        </w:tc>
      </w:tr>
      <w:tr w14:paraId="23FFFCC4">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48F742F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105</w:t>
            </w:r>
          </w:p>
        </w:tc>
        <w:tc>
          <w:tcPr>
            <w:tcW w:w="1262" w:type="dxa"/>
            <w:vMerge w:val="restart"/>
            <w:tcBorders>
              <w:top w:val="nil"/>
              <w:left w:val="single" w:color="auto" w:sz="4" w:space="0"/>
              <w:bottom w:val="single" w:color="auto" w:sz="4" w:space="0"/>
              <w:right w:val="single" w:color="auto" w:sz="4" w:space="0"/>
            </w:tcBorders>
            <w:noWrap/>
            <w:vAlign w:val="center"/>
          </w:tcPr>
          <w:p w14:paraId="77DD4AD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密码应用接口</w:t>
            </w:r>
          </w:p>
        </w:tc>
        <w:tc>
          <w:tcPr>
            <w:tcW w:w="1559" w:type="dxa"/>
            <w:tcBorders>
              <w:top w:val="nil"/>
              <w:left w:val="nil"/>
              <w:bottom w:val="single" w:color="auto" w:sz="4" w:space="0"/>
              <w:right w:val="single" w:color="auto" w:sz="4" w:space="0"/>
            </w:tcBorders>
            <w:noWrap/>
            <w:vAlign w:val="center"/>
          </w:tcPr>
          <w:p w14:paraId="0A04CCA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用户身份认证机制模块</w:t>
            </w:r>
          </w:p>
        </w:tc>
        <w:tc>
          <w:tcPr>
            <w:tcW w:w="5018" w:type="dxa"/>
            <w:tcBorders>
              <w:top w:val="nil"/>
              <w:left w:val="nil"/>
              <w:bottom w:val="single" w:color="auto" w:sz="4" w:space="0"/>
              <w:right w:val="single" w:color="auto" w:sz="4" w:space="0"/>
            </w:tcBorders>
            <w:vAlign w:val="center"/>
          </w:tcPr>
          <w:p w14:paraId="3B6EB93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开发用户身份认证机制模块，通过签名验签等安全机制实现登录用户的身份鉴别。</w:t>
            </w:r>
          </w:p>
        </w:tc>
      </w:tr>
      <w:tr w14:paraId="53629D57">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1D9E19E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106</w:t>
            </w:r>
          </w:p>
        </w:tc>
        <w:tc>
          <w:tcPr>
            <w:tcW w:w="1262" w:type="dxa"/>
            <w:vMerge w:val="continue"/>
            <w:tcBorders>
              <w:top w:val="nil"/>
              <w:left w:val="single" w:color="auto" w:sz="4" w:space="0"/>
              <w:bottom w:val="single" w:color="auto" w:sz="4" w:space="0"/>
              <w:right w:val="single" w:color="auto" w:sz="4" w:space="0"/>
            </w:tcBorders>
            <w:vAlign w:val="center"/>
          </w:tcPr>
          <w:p w14:paraId="65141605">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5A9A7DE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用户访问控制信息签名验签模块</w:t>
            </w:r>
          </w:p>
        </w:tc>
        <w:tc>
          <w:tcPr>
            <w:tcW w:w="5018" w:type="dxa"/>
            <w:tcBorders>
              <w:top w:val="nil"/>
              <w:left w:val="nil"/>
              <w:bottom w:val="single" w:color="auto" w:sz="4" w:space="0"/>
              <w:right w:val="single" w:color="auto" w:sz="4" w:space="0"/>
            </w:tcBorders>
            <w:vAlign w:val="center"/>
          </w:tcPr>
          <w:p w14:paraId="753C7644">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开发用户访问控制信息签名验签模块，调用密码支撑平台提供的签名验签服务接口，实现应用系统登录用户的访问控制列表完整性保护。</w:t>
            </w:r>
          </w:p>
        </w:tc>
      </w:tr>
      <w:tr w14:paraId="5F1BF8AB">
        <w:tblPrEx>
          <w:tblCellMar>
            <w:top w:w="0" w:type="dxa"/>
            <w:left w:w="108" w:type="dxa"/>
            <w:bottom w:w="0" w:type="dxa"/>
            <w:right w:w="108" w:type="dxa"/>
          </w:tblCellMar>
        </w:tblPrEx>
        <w:trPr>
          <w:trHeight w:val="285" w:hRule="atLeast"/>
        </w:trPr>
        <w:tc>
          <w:tcPr>
            <w:tcW w:w="0" w:type="auto"/>
            <w:tcBorders>
              <w:top w:val="nil"/>
              <w:left w:val="single" w:color="auto" w:sz="4" w:space="0"/>
              <w:bottom w:val="single" w:color="auto" w:sz="4" w:space="0"/>
              <w:right w:val="single" w:color="auto" w:sz="4" w:space="0"/>
            </w:tcBorders>
            <w:vAlign w:val="center"/>
          </w:tcPr>
          <w:p w14:paraId="22767C6E">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107</w:t>
            </w:r>
          </w:p>
        </w:tc>
        <w:tc>
          <w:tcPr>
            <w:tcW w:w="1262" w:type="dxa"/>
            <w:vMerge w:val="continue"/>
            <w:tcBorders>
              <w:top w:val="nil"/>
              <w:left w:val="single" w:color="auto" w:sz="4" w:space="0"/>
              <w:bottom w:val="single" w:color="auto" w:sz="4" w:space="0"/>
              <w:right w:val="single" w:color="auto" w:sz="4" w:space="0"/>
            </w:tcBorders>
            <w:vAlign w:val="center"/>
          </w:tcPr>
          <w:p w14:paraId="3D1DCEA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2EC1EDA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应用系统重要数据签名验签模块</w:t>
            </w:r>
          </w:p>
        </w:tc>
        <w:tc>
          <w:tcPr>
            <w:tcW w:w="5018" w:type="dxa"/>
            <w:tcBorders>
              <w:top w:val="nil"/>
              <w:left w:val="nil"/>
              <w:bottom w:val="single" w:color="auto" w:sz="4" w:space="0"/>
              <w:right w:val="single" w:color="auto" w:sz="4" w:space="0"/>
            </w:tcBorders>
            <w:vAlign w:val="center"/>
          </w:tcPr>
          <w:p w14:paraId="40260FD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开发应用系统重要数据签名验签模块，调用密码支撑平台提供的签名验签服务接口，实现登录用户身份鉴别数据、业务数据、业务日志的存储完整性保护。</w:t>
            </w:r>
          </w:p>
        </w:tc>
      </w:tr>
      <w:tr w14:paraId="29E5472F">
        <w:tblPrEx>
          <w:tblCellMar>
            <w:top w:w="0" w:type="dxa"/>
            <w:left w:w="108" w:type="dxa"/>
            <w:bottom w:w="0" w:type="dxa"/>
            <w:right w:w="108" w:type="dxa"/>
          </w:tblCellMar>
        </w:tblPrEx>
        <w:trPr>
          <w:trHeight w:val="570" w:hRule="atLeast"/>
        </w:trPr>
        <w:tc>
          <w:tcPr>
            <w:tcW w:w="0" w:type="auto"/>
            <w:tcBorders>
              <w:top w:val="nil"/>
              <w:left w:val="single" w:color="auto" w:sz="4" w:space="0"/>
              <w:bottom w:val="single" w:color="auto" w:sz="4" w:space="0"/>
              <w:right w:val="single" w:color="auto" w:sz="4" w:space="0"/>
            </w:tcBorders>
            <w:vAlign w:val="center"/>
          </w:tcPr>
          <w:p w14:paraId="3C12407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108</w:t>
            </w:r>
          </w:p>
        </w:tc>
        <w:tc>
          <w:tcPr>
            <w:tcW w:w="1262" w:type="dxa"/>
            <w:vMerge w:val="continue"/>
            <w:tcBorders>
              <w:top w:val="nil"/>
              <w:left w:val="single" w:color="auto" w:sz="4" w:space="0"/>
              <w:bottom w:val="single" w:color="auto" w:sz="4" w:space="0"/>
              <w:right w:val="single" w:color="auto" w:sz="4" w:space="0"/>
            </w:tcBorders>
            <w:vAlign w:val="center"/>
          </w:tcPr>
          <w:p w14:paraId="3DBCA59B">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p>
        </w:tc>
        <w:tc>
          <w:tcPr>
            <w:tcW w:w="1559" w:type="dxa"/>
            <w:tcBorders>
              <w:top w:val="nil"/>
              <w:left w:val="nil"/>
              <w:bottom w:val="single" w:color="auto" w:sz="4" w:space="0"/>
              <w:right w:val="single" w:color="auto" w:sz="4" w:space="0"/>
            </w:tcBorders>
            <w:noWrap/>
            <w:vAlign w:val="center"/>
          </w:tcPr>
          <w:p w14:paraId="530FB8E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应用系统重要数据加解密模块</w:t>
            </w:r>
          </w:p>
        </w:tc>
        <w:tc>
          <w:tcPr>
            <w:tcW w:w="5018" w:type="dxa"/>
            <w:tcBorders>
              <w:top w:val="nil"/>
              <w:left w:val="nil"/>
              <w:bottom w:val="single" w:color="auto" w:sz="4" w:space="0"/>
              <w:right w:val="single" w:color="auto" w:sz="4" w:space="0"/>
            </w:tcBorders>
            <w:vAlign w:val="center"/>
          </w:tcPr>
          <w:p w14:paraId="0B146F7F">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开发应用系统重要数据加解密模块，调用密码支撑平台提供的数据库加密服务接口、加密存储服务接口，实现登录用户身份鉴别数据、业务数据等结构化数据、非结构化数据的存储机密性保护。</w:t>
            </w:r>
          </w:p>
        </w:tc>
      </w:tr>
    </w:tbl>
    <w:p w14:paraId="092C4B29">
      <w:pPr>
        <w:ind w:firstLine="0" w:firstLineChars="0"/>
        <w:rPr>
          <w:rFonts w:hint="eastAsia"/>
        </w:rPr>
      </w:pPr>
    </w:p>
    <w:p w14:paraId="072A8BF6">
      <w:pPr>
        <w:pStyle w:val="3"/>
        <w:rPr>
          <w:rFonts w:hint="eastAsia"/>
        </w:rPr>
      </w:pPr>
      <w:r>
        <w:rPr>
          <w:rFonts w:hint="eastAsia"/>
        </w:rPr>
        <w:t>硬件购置清单</w:t>
      </w:r>
    </w:p>
    <w:tbl>
      <w:tblPr>
        <w:tblStyle w:val="35"/>
        <w:tblW w:w="85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680"/>
        <w:gridCol w:w="851"/>
        <w:gridCol w:w="5386"/>
        <w:gridCol w:w="567"/>
        <w:gridCol w:w="510"/>
      </w:tblGrid>
      <w:tr w14:paraId="1AFB3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noWrap/>
            <w:vAlign w:val="center"/>
          </w:tcPr>
          <w:p w14:paraId="327172C3">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序号</w:t>
            </w:r>
          </w:p>
        </w:tc>
        <w:tc>
          <w:tcPr>
            <w:tcW w:w="680" w:type="dxa"/>
            <w:vAlign w:val="center"/>
          </w:tcPr>
          <w:p w14:paraId="6E133F67">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类别</w:t>
            </w:r>
          </w:p>
        </w:tc>
        <w:tc>
          <w:tcPr>
            <w:tcW w:w="851" w:type="dxa"/>
            <w:noWrap/>
            <w:vAlign w:val="center"/>
          </w:tcPr>
          <w:p w14:paraId="2D3D8ACA">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名称</w:t>
            </w:r>
          </w:p>
        </w:tc>
        <w:tc>
          <w:tcPr>
            <w:tcW w:w="5386" w:type="dxa"/>
            <w:noWrap/>
            <w:vAlign w:val="center"/>
          </w:tcPr>
          <w:p w14:paraId="59F9CAAE">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配置要求</w:t>
            </w:r>
          </w:p>
        </w:tc>
        <w:tc>
          <w:tcPr>
            <w:tcW w:w="567" w:type="dxa"/>
            <w:noWrap/>
            <w:vAlign w:val="center"/>
          </w:tcPr>
          <w:p w14:paraId="4C2E3800">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数量</w:t>
            </w:r>
          </w:p>
        </w:tc>
        <w:tc>
          <w:tcPr>
            <w:tcW w:w="510" w:type="dxa"/>
            <w:noWrap/>
            <w:vAlign w:val="center"/>
          </w:tcPr>
          <w:p w14:paraId="659586AA">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单位</w:t>
            </w:r>
          </w:p>
        </w:tc>
      </w:tr>
      <w:tr w14:paraId="40B68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noWrap/>
            <w:vAlign w:val="center"/>
          </w:tcPr>
          <w:p w14:paraId="11793961">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w:t>
            </w:r>
          </w:p>
        </w:tc>
        <w:tc>
          <w:tcPr>
            <w:tcW w:w="680" w:type="dxa"/>
            <w:vMerge w:val="restart"/>
            <w:vAlign w:val="center"/>
          </w:tcPr>
          <w:p w14:paraId="2D031C79">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警用物联设备安全接入（自组网安全资源池及配套）</w:t>
            </w:r>
          </w:p>
        </w:tc>
        <w:tc>
          <w:tcPr>
            <w:tcW w:w="851" w:type="dxa"/>
            <w:noWrap/>
            <w:vAlign w:val="center"/>
          </w:tcPr>
          <w:p w14:paraId="6E6BE96F">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sz w:val="22"/>
                <w:szCs w:val="22"/>
              </w:rPr>
            </w:pPr>
            <w:r>
              <w:rPr>
                <w:rFonts w:hint="eastAsia" w:cs="宋体"/>
                <w:kern w:val="0"/>
                <w:sz w:val="22"/>
                <w:szCs w:val="22"/>
              </w:rPr>
              <w:t>防火墙:单机部署</w:t>
            </w:r>
          </w:p>
        </w:tc>
        <w:tc>
          <w:tcPr>
            <w:tcW w:w="5386" w:type="dxa"/>
            <w:vAlign w:val="center"/>
          </w:tcPr>
          <w:p w14:paraId="13A336ED">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sz w:val="22"/>
                <w:szCs w:val="22"/>
              </w:rPr>
              <w:t>1、2U机架式设备；国产化芯片，国产化操作系统；交流冗余电源；下一代防火墙产品，支持IPS、防病毒、应用控制、IPSec VPN、SSL VPN等功能。配置不低于：8核CPU、32G内存、2T存储、1个console接口、2个USB接口、8个千兆电口、4个千兆SFP接口（不含模块）、6个扩展槽位；</w:t>
            </w:r>
            <w:r>
              <w:rPr>
                <w:rFonts w:hint="eastAsia"/>
                <w:sz w:val="22"/>
                <w:szCs w:val="22"/>
              </w:rPr>
              <w:br w:type="textWrapping"/>
            </w:r>
            <w:r>
              <w:rPr>
                <w:rFonts w:hint="eastAsia"/>
                <w:sz w:val="22"/>
                <w:szCs w:val="22"/>
              </w:rPr>
              <w:t>2、性能指标不低于：网络吞吐80Gbps、应用吞吐6</w:t>
            </w:r>
            <w:r>
              <w:rPr>
                <w:rFonts w:hint="eastAsia"/>
                <w:sz w:val="22"/>
                <w:szCs w:val="22"/>
                <w:lang w:val="en-US" w:eastAsia="zh-CN"/>
              </w:rPr>
              <w:t>0</w:t>
            </w:r>
            <w:r>
              <w:rPr>
                <w:rFonts w:hint="eastAsia"/>
                <w:sz w:val="22"/>
                <w:szCs w:val="22"/>
              </w:rPr>
              <w:t>Gbps、最大并发连接</w:t>
            </w:r>
            <w:r>
              <w:rPr>
                <w:rFonts w:hint="eastAsia"/>
                <w:sz w:val="22"/>
                <w:szCs w:val="22"/>
                <w:lang w:val="en-US" w:eastAsia="zh-CN"/>
              </w:rPr>
              <w:t>数</w:t>
            </w:r>
            <w:r>
              <w:rPr>
                <w:rFonts w:hint="eastAsia"/>
                <w:sz w:val="22"/>
                <w:szCs w:val="22"/>
              </w:rPr>
              <w:t>2</w:t>
            </w:r>
            <w:r>
              <w:rPr>
                <w:rFonts w:hint="eastAsia"/>
                <w:sz w:val="22"/>
                <w:szCs w:val="22"/>
                <w:lang w:val="en-US" w:eastAsia="zh-CN"/>
              </w:rPr>
              <w:t>5</w:t>
            </w:r>
            <w:r>
              <w:rPr>
                <w:rFonts w:hint="eastAsia"/>
                <w:sz w:val="22"/>
                <w:szCs w:val="22"/>
              </w:rPr>
              <w:t>00万、新建连接6</w:t>
            </w:r>
            <w:r>
              <w:rPr>
                <w:rFonts w:hint="eastAsia"/>
                <w:sz w:val="22"/>
                <w:szCs w:val="22"/>
                <w:lang w:val="en-US" w:eastAsia="zh-CN"/>
              </w:rPr>
              <w:t>0</w:t>
            </w:r>
            <w:r>
              <w:rPr>
                <w:rFonts w:hint="eastAsia"/>
                <w:sz w:val="22"/>
                <w:szCs w:val="22"/>
              </w:rPr>
              <w:t>万/秒、适用带宽6G。</w:t>
            </w:r>
          </w:p>
        </w:tc>
        <w:tc>
          <w:tcPr>
            <w:tcW w:w="567" w:type="dxa"/>
            <w:noWrap/>
            <w:vAlign w:val="center"/>
          </w:tcPr>
          <w:p w14:paraId="5AE60ABB">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w:t>
            </w:r>
          </w:p>
        </w:tc>
        <w:tc>
          <w:tcPr>
            <w:tcW w:w="510" w:type="dxa"/>
            <w:noWrap/>
            <w:vAlign w:val="center"/>
          </w:tcPr>
          <w:p w14:paraId="4A39E7A2">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台</w:t>
            </w:r>
          </w:p>
        </w:tc>
      </w:tr>
      <w:tr w14:paraId="2A253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noWrap/>
            <w:vAlign w:val="center"/>
          </w:tcPr>
          <w:p w14:paraId="0CF1AB27">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2</w:t>
            </w:r>
          </w:p>
        </w:tc>
        <w:tc>
          <w:tcPr>
            <w:tcW w:w="680" w:type="dxa"/>
            <w:vMerge w:val="continue"/>
            <w:vAlign w:val="center"/>
          </w:tcPr>
          <w:p w14:paraId="257218A5">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p>
        </w:tc>
        <w:tc>
          <w:tcPr>
            <w:tcW w:w="851" w:type="dxa"/>
            <w:noWrap/>
            <w:vAlign w:val="center"/>
          </w:tcPr>
          <w:p w14:paraId="146DA357">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sz w:val="22"/>
                <w:szCs w:val="22"/>
              </w:rPr>
            </w:pPr>
            <w:r>
              <w:rPr>
                <w:rFonts w:hint="eastAsia" w:cs="宋体"/>
                <w:kern w:val="0"/>
                <w:sz w:val="22"/>
                <w:szCs w:val="22"/>
              </w:rPr>
              <w:t>入侵防御:单机部署</w:t>
            </w:r>
          </w:p>
        </w:tc>
        <w:tc>
          <w:tcPr>
            <w:tcW w:w="5386" w:type="dxa"/>
            <w:vAlign w:val="center"/>
          </w:tcPr>
          <w:p w14:paraId="232BC964">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sz w:val="22"/>
                <w:szCs w:val="22"/>
              </w:rPr>
              <w:t>1、2U机架式设备；冗余双电源。配置不低于：1个CONSOLE口、2个USB口、板载2个100/1000M电口、4个扩展槽、16G内存、2T硬盘；</w:t>
            </w:r>
            <w:r>
              <w:rPr>
                <w:rFonts w:hint="eastAsia"/>
                <w:sz w:val="22"/>
                <w:szCs w:val="22"/>
              </w:rPr>
              <w:br w:type="textWrapping"/>
            </w:r>
            <w:r>
              <w:rPr>
                <w:rFonts w:hint="eastAsia"/>
                <w:sz w:val="22"/>
                <w:szCs w:val="22"/>
              </w:rPr>
              <w:t>2、性能指标不低于：IPS吞吐：8G；最大并发连接</w:t>
            </w:r>
            <w:r>
              <w:rPr>
                <w:rFonts w:hint="eastAsia"/>
                <w:sz w:val="22"/>
                <w:szCs w:val="22"/>
                <w:lang w:val="en-US" w:eastAsia="zh-CN"/>
              </w:rPr>
              <w:t>数</w:t>
            </w:r>
            <w:r>
              <w:rPr>
                <w:rFonts w:hint="eastAsia"/>
                <w:sz w:val="22"/>
                <w:szCs w:val="22"/>
              </w:rPr>
              <w:t>400万</w:t>
            </w:r>
            <w:r>
              <w:rPr>
                <w:rFonts w:hint="eastAsia"/>
                <w:sz w:val="22"/>
                <w:szCs w:val="22"/>
                <w:lang w:eastAsia="zh-CN"/>
              </w:rPr>
              <w:t>、</w:t>
            </w:r>
            <w:r>
              <w:rPr>
                <w:rFonts w:hint="eastAsia"/>
                <w:sz w:val="22"/>
                <w:szCs w:val="22"/>
              </w:rPr>
              <w:t>新建连接16万/秒。</w:t>
            </w:r>
          </w:p>
        </w:tc>
        <w:tc>
          <w:tcPr>
            <w:tcW w:w="567" w:type="dxa"/>
            <w:noWrap/>
            <w:vAlign w:val="center"/>
          </w:tcPr>
          <w:p w14:paraId="12579467">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w:t>
            </w:r>
          </w:p>
        </w:tc>
        <w:tc>
          <w:tcPr>
            <w:tcW w:w="510" w:type="dxa"/>
            <w:noWrap/>
            <w:vAlign w:val="center"/>
          </w:tcPr>
          <w:p w14:paraId="10D57DEC">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台</w:t>
            </w:r>
          </w:p>
        </w:tc>
      </w:tr>
      <w:tr w14:paraId="2FC33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2" w:type="dxa"/>
            <w:noWrap/>
            <w:vAlign w:val="center"/>
          </w:tcPr>
          <w:p w14:paraId="489B2751">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3</w:t>
            </w:r>
          </w:p>
        </w:tc>
        <w:tc>
          <w:tcPr>
            <w:tcW w:w="680" w:type="dxa"/>
            <w:vMerge w:val="continue"/>
            <w:vAlign w:val="center"/>
          </w:tcPr>
          <w:p w14:paraId="4B0A1069">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p>
        </w:tc>
        <w:tc>
          <w:tcPr>
            <w:tcW w:w="851" w:type="dxa"/>
            <w:noWrap/>
            <w:vAlign w:val="center"/>
          </w:tcPr>
          <w:p w14:paraId="7ADA1BB5">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sz w:val="22"/>
                <w:szCs w:val="22"/>
              </w:rPr>
            </w:pPr>
            <w:r>
              <w:rPr>
                <w:rFonts w:hint="eastAsia" w:cs="宋体"/>
                <w:kern w:val="0"/>
                <w:sz w:val="22"/>
                <w:szCs w:val="22"/>
              </w:rPr>
              <w:t>设备认证:单机部署</w:t>
            </w:r>
          </w:p>
        </w:tc>
        <w:tc>
          <w:tcPr>
            <w:tcW w:w="5386" w:type="dxa"/>
            <w:vAlign w:val="center"/>
          </w:tcPr>
          <w:p w14:paraId="523C978F">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硬件配置及性能要求：1、硬件参数：软硬件一体设备，单台设备支持所有功能。配置不低于：1个RJ45 Console接口、6个GE电口、2个独立的NIC扩展槽（每扩展槽可扩展为4/8千兆网口或2/4万兆网口）。</w:t>
            </w:r>
          </w:p>
          <w:p w14:paraId="776F3321">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2、性能参数不低于：终端接入500点、IP绑定条目500条、并发认证10000次/分钟。</w:t>
            </w:r>
          </w:p>
          <w:p w14:paraId="76648DF4">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功能要求：</w:t>
            </w:r>
          </w:p>
          <w:p w14:paraId="0A185CCD">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1、准入服务器多网口支持Bond接入交换机，网口支持配置ipv4与ipv6参数及访问权限，访问权限包含不限于http/https/telnet/ssh/ping等；</w:t>
            </w:r>
          </w:p>
          <w:p w14:paraId="1DC21AC6">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2、支持SNMP准入、DHCPv4&amp;v6准入、网关准入、SPAN准入等技术，并支持同时开启；</w:t>
            </w:r>
          </w:p>
          <w:p w14:paraId="11881C00">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3、禁止使用修改交换机端口VLAN ID的方法来实现准入控制，防止交换机负载过高，影响正常终端的网络通信与数据交换；</w:t>
            </w:r>
          </w:p>
          <w:p w14:paraId="7F025EDB">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4、针对无法使用交换机策略路由与镜像抓包环境下，未安装客户端代理软件，隔离/阻断HUB和非网管交换机所连接的非法终端与合法终端间的通信；</w:t>
            </w:r>
          </w:p>
          <w:p w14:paraId="313F15FA">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5、支持通过bootp、dhcp、radius三种协议分配IP地址；发现内网中非法的DHCP服务器并告警；同时支持DHCPv4与DHCPv6，支持ipv4/ipv6地址绑定终端mac；</w:t>
            </w:r>
          </w:p>
          <w:p w14:paraId="6900F180">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6、支持802.1X认证、Webportal认证、RADIUS认证、短信认证、AD域认证、CA普密证书认证</w:t>
            </w:r>
          </w:p>
          <w:p w14:paraId="3307ED00">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7、内置RADIUS服务，支持802.1x认证协议，支持EAP-TLS认证，EAP-TLS可支持TLS1.3国密算法证书认证。</w:t>
            </w:r>
          </w:p>
        </w:tc>
        <w:tc>
          <w:tcPr>
            <w:tcW w:w="567" w:type="dxa"/>
            <w:noWrap/>
            <w:vAlign w:val="center"/>
          </w:tcPr>
          <w:p w14:paraId="23FB981F">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w:t>
            </w:r>
          </w:p>
        </w:tc>
        <w:tc>
          <w:tcPr>
            <w:tcW w:w="510" w:type="dxa"/>
            <w:noWrap/>
            <w:vAlign w:val="center"/>
          </w:tcPr>
          <w:p w14:paraId="7881839C">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台</w:t>
            </w:r>
          </w:p>
        </w:tc>
      </w:tr>
      <w:tr w14:paraId="4293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noWrap/>
            <w:vAlign w:val="center"/>
          </w:tcPr>
          <w:p w14:paraId="44C26699">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4</w:t>
            </w:r>
          </w:p>
        </w:tc>
        <w:tc>
          <w:tcPr>
            <w:tcW w:w="680" w:type="dxa"/>
            <w:vMerge w:val="continue"/>
            <w:vAlign w:val="center"/>
          </w:tcPr>
          <w:p w14:paraId="0E8521C4">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p>
        </w:tc>
        <w:tc>
          <w:tcPr>
            <w:tcW w:w="851" w:type="dxa"/>
            <w:noWrap/>
            <w:vAlign w:val="center"/>
          </w:tcPr>
          <w:p w14:paraId="4E840139">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sz w:val="22"/>
                <w:szCs w:val="22"/>
              </w:rPr>
            </w:pPr>
            <w:r>
              <w:rPr>
                <w:rFonts w:hint="eastAsia" w:cs="宋体"/>
                <w:kern w:val="0"/>
                <w:sz w:val="22"/>
                <w:szCs w:val="22"/>
              </w:rPr>
              <w:t>流量监测:单机部署</w:t>
            </w:r>
          </w:p>
        </w:tc>
        <w:tc>
          <w:tcPr>
            <w:tcW w:w="5386" w:type="dxa"/>
            <w:vAlign w:val="center"/>
          </w:tcPr>
          <w:p w14:paraId="75C8A38F">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sz w:val="22"/>
                <w:szCs w:val="22"/>
              </w:rPr>
              <w:t>1、2U机架式设备；冗余双电源。配置不低于：1个CONSOLE口、板载2电口、4个扩展槽位（含1张2万兆光扩展卡）、32G内存、960GB固态硬盘+4TB机械硬盘；</w:t>
            </w:r>
            <w:r>
              <w:rPr>
                <w:rFonts w:hint="eastAsia"/>
                <w:sz w:val="22"/>
                <w:szCs w:val="22"/>
              </w:rPr>
              <w:br w:type="textWrapping"/>
            </w:r>
            <w:r>
              <w:rPr>
                <w:rFonts w:hint="eastAsia"/>
                <w:sz w:val="22"/>
                <w:szCs w:val="22"/>
              </w:rPr>
              <w:t>2、支持流量处理能力≥5Gbps。</w:t>
            </w:r>
          </w:p>
        </w:tc>
        <w:tc>
          <w:tcPr>
            <w:tcW w:w="567" w:type="dxa"/>
            <w:noWrap/>
            <w:vAlign w:val="center"/>
          </w:tcPr>
          <w:p w14:paraId="384EF059">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w:t>
            </w:r>
          </w:p>
        </w:tc>
        <w:tc>
          <w:tcPr>
            <w:tcW w:w="510" w:type="dxa"/>
            <w:noWrap/>
            <w:vAlign w:val="center"/>
          </w:tcPr>
          <w:p w14:paraId="12267488">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台</w:t>
            </w:r>
          </w:p>
        </w:tc>
      </w:tr>
      <w:tr w14:paraId="36EF0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noWrap/>
            <w:vAlign w:val="center"/>
          </w:tcPr>
          <w:p w14:paraId="41865118">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5</w:t>
            </w:r>
          </w:p>
        </w:tc>
        <w:tc>
          <w:tcPr>
            <w:tcW w:w="680" w:type="dxa"/>
            <w:vMerge w:val="restart"/>
            <w:vAlign w:val="center"/>
          </w:tcPr>
          <w:p w14:paraId="09395F3A">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警用物联设备安全接入（公安信息网物联设备接入区）</w:t>
            </w:r>
          </w:p>
        </w:tc>
        <w:tc>
          <w:tcPr>
            <w:tcW w:w="851" w:type="dxa"/>
            <w:noWrap/>
            <w:vAlign w:val="center"/>
          </w:tcPr>
          <w:p w14:paraId="01528CE6">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sz w:val="22"/>
                <w:szCs w:val="22"/>
              </w:rPr>
            </w:pPr>
            <w:r>
              <w:rPr>
                <w:rFonts w:hint="eastAsia" w:cs="宋体"/>
                <w:kern w:val="0"/>
                <w:sz w:val="22"/>
                <w:szCs w:val="22"/>
              </w:rPr>
              <w:t>SDP控制中心：单机部署</w:t>
            </w:r>
          </w:p>
        </w:tc>
        <w:tc>
          <w:tcPr>
            <w:tcW w:w="5386" w:type="dxa"/>
            <w:vAlign w:val="center"/>
          </w:tcPr>
          <w:p w14:paraId="56680929">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控制中心是整个SDP架构的大脑，负责对所有接入请求进行授权决策和动态访问控制，是实现“默认拒绝、最小化授权”安全原则的核心指挥枢纽。</w:t>
            </w:r>
          </w:p>
          <w:p w14:paraId="2E944F1F">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1、2U硬件一体机，支持4个千兆电口，冗余电源，内置密码卡；</w:t>
            </w:r>
          </w:p>
          <w:p w14:paraId="45D18F9A">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w:t>
            </w:r>
            <w:r>
              <w:rPr>
                <w:rFonts w:hint="eastAsia" w:ascii="宋体" w:hAnsi="宋体" w:eastAsia="宋体" w:cs="Times New Roman"/>
                <w:kern w:val="2"/>
                <w:sz w:val="22"/>
                <w:szCs w:val="22"/>
                <w:lang w:val="en-US" w:eastAsia="zh-CN" w:bidi="ar"/>
              </w:rPr>
              <w:t>国产化芯片，国产化操作系统</w:t>
            </w:r>
            <w:r>
              <w:rPr>
                <w:rFonts w:hint="eastAsia" w:cs="宋体"/>
                <w:kern w:val="0"/>
                <w:sz w:val="22"/>
                <w:szCs w:val="22"/>
              </w:rPr>
              <w:t>；</w:t>
            </w:r>
          </w:p>
          <w:p w14:paraId="777CAFE7">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3、具备自集群能力，每添加一台设备，性能衰减不超过20%；</w:t>
            </w:r>
          </w:p>
          <w:p w14:paraId="57E309F5">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4、支持SM1、SM2、SM3、SM4国密算法；</w:t>
            </w:r>
          </w:p>
          <w:p w14:paraId="68C3D4EA">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5、支持4层发布、7层发布以及4层转7层的发布方式对应用资源进行发布；</w:t>
            </w:r>
          </w:p>
          <w:p w14:paraId="657F9394">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6、支持针对物端设备身份的全生命周期管理；</w:t>
            </w:r>
          </w:p>
          <w:p w14:paraId="67C14551">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7、具备以LDAP、数据库、API调用等方式进行身份聚合能力；</w:t>
            </w:r>
          </w:p>
          <w:p w14:paraId="3F22E603">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8、支持基于数字证书的身份认证；</w:t>
            </w:r>
          </w:p>
          <w:p w14:paraId="6FC6CECD">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9、向第三方提供认证服务，完成挑战应答、签名验签业务，并支持通过OCSP和CRL检验证书状态；</w:t>
            </w:r>
          </w:p>
          <w:p w14:paraId="0601E22C">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10、支持UDP+TCP单包认证，避免因SNAT引起的权限放大问题；</w:t>
            </w:r>
          </w:p>
          <w:p w14:paraId="2D8F081F">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11、支持通过国密TLCP保障数据传输过程中的机密性及完整性；</w:t>
            </w:r>
          </w:p>
          <w:p w14:paraId="6263900D">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12、支持业务及管理日志审计。</w:t>
            </w:r>
          </w:p>
          <w:p w14:paraId="489EFCED">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性能指标：</w:t>
            </w:r>
          </w:p>
          <w:p w14:paraId="159CC2D7">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1、认证性能不低于100tps；</w:t>
            </w:r>
          </w:p>
          <w:p w14:paraId="7A38723E">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2、最大设备在线数不低于500。</w:t>
            </w:r>
          </w:p>
        </w:tc>
        <w:tc>
          <w:tcPr>
            <w:tcW w:w="567" w:type="dxa"/>
            <w:noWrap/>
            <w:vAlign w:val="center"/>
          </w:tcPr>
          <w:p w14:paraId="4062C4FE">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w:t>
            </w:r>
          </w:p>
        </w:tc>
        <w:tc>
          <w:tcPr>
            <w:tcW w:w="510" w:type="dxa"/>
            <w:noWrap/>
            <w:vAlign w:val="center"/>
          </w:tcPr>
          <w:p w14:paraId="6CA69E68">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台</w:t>
            </w:r>
          </w:p>
        </w:tc>
      </w:tr>
      <w:tr w14:paraId="49A5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noWrap/>
            <w:vAlign w:val="center"/>
          </w:tcPr>
          <w:p w14:paraId="2A748564">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6</w:t>
            </w:r>
          </w:p>
        </w:tc>
        <w:tc>
          <w:tcPr>
            <w:tcW w:w="680" w:type="dxa"/>
            <w:vMerge w:val="continue"/>
            <w:vAlign w:val="center"/>
          </w:tcPr>
          <w:p w14:paraId="3BFEB91E">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p>
        </w:tc>
        <w:tc>
          <w:tcPr>
            <w:tcW w:w="851" w:type="dxa"/>
            <w:noWrap/>
            <w:vAlign w:val="center"/>
          </w:tcPr>
          <w:p w14:paraId="671092E8">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sz w:val="22"/>
                <w:szCs w:val="22"/>
              </w:rPr>
            </w:pPr>
            <w:r>
              <w:rPr>
                <w:rFonts w:hint="eastAsia" w:cs="宋体"/>
                <w:kern w:val="0"/>
                <w:sz w:val="22"/>
                <w:szCs w:val="22"/>
              </w:rPr>
              <w:t>SDP网关：单机部署</w:t>
            </w:r>
          </w:p>
        </w:tc>
        <w:tc>
          <w:tcPr>
            <w:tcW w:w="5386" w:type="dxa"/>
            <w:vAlign w:val="center"/>
          </w:tcPr>
          <w:p w14:paraId="409587B4">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实现物联设备与SDP建立通信加密的国密安全链路以及对物联设备进行认证和动态访问控制的能力。</w:t>
            </w:r>
          </w:p>
          <w:p w14:paraId="18F280DF">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1、2U硬件一体机，支持4个千兆电口，冗余电源，内置密码卡；</w:t>
            </w:r>
          </w:p>
          <w:p w14:paraId="21959FCD">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2、支持自集群，具备集群性能线性无衰减能力；</w:t>
            </w:r>
          </w:p>
          <w:p w14:paraId="26A72D9C">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3、支持SM1、SM2、SM3、SM4国密算法；</w:t>
            </w:r>
          </w:p>
          <w:p w14:paraId="7097FE11">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4、支持4层代理、7层代理以及4层转7层的代理模式；</w:t>
            </w:r>
          </w:p>
          <w:p w14:paraId="72554EAD">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5、支持UDP+TCP单包认证，避免因SNAT引起的权限放大问题；</w:t>
            </w:r>
          </w:p>
          <w:p w14:paraId="6D39A389">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6、支持TCP单包授权机制；</w:t>
            </w:r>
          </w:p>
          <w:p w14:paraId="4D0B3DF8">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7、支持通过国密TLCP保障数据传输过程中的机密性及完整性。</w:t>
            </w:r>
          </w:p>
          <w:p w14:paraId="3599B6E9">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性能指标：</w:t>
            </w:r>
          </w:p>
          <w:p w14:paraId="684FF36C">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1、每秒新建连接（SM2）不低于12000；</w:t>
            </w:r>
          </w:p>
          <w:p w14:paraId="57B8494F">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2、最大并发连接数（SM2）不低于65000；</w:t>
            </w:r>
          </w:p>
          <w:p w14:paraId="7FD81562">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3、SSL吞吐（SM2）不低于800Mbps。</w:t>
            </w:r>
          </w:p>
        </w:tc>
        <w:tc>
          <w:tcPr>
            <w:tcW w:w="567" w:type="dxa"/>
            <w:noWrap/>
            <w:vAlign w:val="center"/>
          </w:tcPr>
          <w:p w14:paraId="64D66427">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w:t>
            </w:r>
          </w:p>
        </w:tc>
        <w:tc>
          <w:tcPr>
            <w:tcW w:w="510" w:type="dxa"/>
            <w:noWrap/>
            <w:vAlign w:val="center"/>
          </w:tcPr>
          <w:p w14:paraId="0EDBD12A">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台</w:t>
            </w:r>
          </w:p>
        </w:tc>
      </w:tr>
      <w:tr w14:paraId="3C9EC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noWrap/>
            <w:vAlign w:val="center"/>
          </w:tcPr>
          <w:p w14:paraId="0B31957A">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7</w:t>
            </w:r>
          </w:p>
        </w:tc>
        <w:tc>
          <w:tcPr>
            <w:tcW w:w="680" w:type="dxa"/>
            <w:vMerge w:val="continue"/>
            <w:vAlign w:val="center"/>
          </w:tcPr>
          <w:p w14:paraId="7292A473">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p>
        </w:tc>
        <w:tc>
          <w:tcPr>
            <w:tcW w:w="851" w:type="dxa"/>
            <w:noWrap/>
            <w:vAlign w:val="center"/>
          </w:tcPr>
          <w:p w14:paraId="3698EAEE">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sz w:val="22"/>
                <w:szCs w:val="22"/>
              </w:rPr>
            </w:pPr>
            <w:r>
              <w:rPr>
                <w:rFonts w:hint="eastAsia" w:cs="宋体"/>
                <w:kern w:val="0"/>
                <w:sz w:val="22"/>
                <w:szCs w:val="22"/>
              </w:rPr>
              <w:t>无线接入终端</w:t>
            </w:r>
          </w:p>
        </w:tc>
        <w:tc>
          <w:tcPr>
            <w:tcW w:w="5386" w:type="dxa"/>
            <w:vAlign w:val="center"/>
          </w:tcPr>
          <w:p w14:paraId="68BD07A1">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（1）数字证书数自动维护</w:t>
            </w:r>
          </w:p>
          <w:p w14:paraId="11A66E5C">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能够与PKI联动完成数字证书的自动申请、自动延期。以降低设备运维成本。</w:t>
            </w:r>
          </w:p>
          <w:p w14:paraId="4989CB16">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（2）自动身份认证</w:t>
            </w:r>
          </w:p>
          <w:p w14:paraId="1D41FA8F">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能够与网关联动进行自动化的身份认证，确保的接入设备身份的真实性。</w:t>
            </w:r>
          </w:p>
          <w:p w14:paraId="56B355B0">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（3）通道加密</w:t>
            </w:r>
          </w:p>
          <w:p w14:paraId="0990AF18">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支持通过国密算法保护数据传输过程中的机密性和完整性。</w:t>
            </w:r>
          </w:p>
          <w:p w14:paraId="5BF9C4A9">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（4）设备状态上传</w:t>
            </w:r>
          </w:p>
          <w:p w14:paraId="4896CFBC">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支持向网关上传设备状态，能够为管理员提供运维抓手。</w:t>
            </w:r>
          </w:p>
          <w:p w14:paraId="1E003A45">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（5）支持5G基站接入</w:t>
            </w:r>
          </w:p>
          <w:p w14:paraId="62F52FAC">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设备支持5G N1频段,具备的和运营商基站和自建基站的对接能力。</w:t>
            </w:r>
          </w:p>
          <w:p w14:paraId="5202F95B">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（6）支持DHCP</w:t>
            </w:r>
          </w:p>
          <w:p w14:paraId="0BA86D3C">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能显著降低网络管理复杂度，提高终端接入和运维效率。</w:t>
            </w:r>
          </w:p>
          <w:p w14:paraId="003B48B4">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（7）支持宽温作业</w:t>
            </w:r>
          </w:p>
          <w:p w14:paraId="6B87FE1E">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宽温支持使设备突破环境限制，显著提升可靠性、耐用性和适用场景，能够支持户外、车载等严苛环境。</w:t>
            </w:r>
          </w:p>
          <w:p w14:paraId="0F5EAEAF">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性能指标不低于：</w:t>
            </w:r>
          </w:p>
          <w:p w14:paraId="681F9B10">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（1）数据吞吐量(有线接口)≥90Mbps；</w:t>
            </w:r>
          </w:p>
          <w:p w14:paraId="4B7227A3">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sz w:val="22"/>
                <w:szCs w:val="22"/>
              </w:rPr>
              <w:t>（2）5G数据吞吐量≥90Mbps(依据5G网络的情况会有差异)。</w:t>
            </w:r>
          </w:p>
        </w:tc>
        <w:tc>
          <w:tcPr>
            <w:tcW w:w="567" w:type="dxa"/>
            <w:noWrap/>
            <w:vAlign w:val="center"/>
          </w:tcPr>
          <w:p w14:paraId="31DA8215">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30</w:t>
            </w:r>
          </w:p>
        </w:tc>
        <w:tc>
          <w:tcPr>
            <w:tcW w:w="510" w:type="dxa"/>
            <w:noWrap/>
            <w:vAlign w:val="center"/>
          </w:tcPr>
          <w:p w14:paraId="2C25FE91">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台</w:t>
            </w:r>
          </w:p>
        </w:tc>
      </w:tr>
      <w:tr w14:paraId="43C0E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noWrap/>
            <w:vAlign w:val="center"/>
          </w:tcPr>
          <w:p w14:paraId="7B541B06">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8</w:t>
            </w:r>
          </w:p>
        </w:tc>
        <w:tc>
          <w:tcPr>
            <w:tcW w:w="680" w:type="dxa"/>
            <w:vMerge w:val="continue"/>
            <w:vAlign w:val="center"/>
          </w:tcPr>
          <w:p w14:paraId="636428BD">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p>
        </w:tc>
        <w:tc>
          <w:tcPr>
            <w:tcW w:w="851" w:type="dxa"/>
            <w:noWrap/>
            <w:vAlign w:val="center"/>
          </w:tcPr>
          <w:p w14:paraId="7D726497">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sz w:val="22"/>
                <w:szCs w:val="22"/>
              </w:rPr>
            </w:pPr>
            <w:r>
              <w:rPr>
                <w:rFonts w:hint="eastAsia" w:cs="宋体"/>
                <w:kern w:val="0"/>
                <w:sz w:val="22"/>
                <w:szCs w:val="22"/>
              </w:rPr>
              <w:t>物联设备在线协同系统</w:t>
            </w:r>
          </w:p>
        </w:tc>
        <w:tc>
          <w:tcPr>
            <w:tcW w:w="5386" w:type="dxa"/>
            <w:vAlign w:val="center"/>
          </w:tcPr>
          <w:p w14:paraId="2EFFCAC7">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实现物联设备在线证书的签发和在线更新等管理。部署在跨网交换中心。</w:t>
            </w:r>
          </w:p>
          <w:p w14:paraId="3DD9F249">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硬件规格：2U硬件一体机，冗余电源；配置不低于4千兆电口+2千兆光口。</w:t>
            </w:r>
          </w:p>
          <w:p w14:paraId="352E8D31">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主要功能：</w:t>
            </w:r>
          </w:p>
          <w:p w14:paraId="33D8BAB2">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1、配合终端密码模块、国密SDK完成密钥分散、密钥存储、密钥运算等功能；</w:t>
            </w:r>
          </w:p>
          <w:p w14:paraId="0644C2D0">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2、配合终端完成数字证书全生命周期管理功能，如证书申请、更新、延期、注销等；</w:t>
            </w:r>
          </w:p>
          <w:p w14:paraId="6CD96FA6">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3、证书策略管理：支持终端证书更新策略、延期策略配置；</w:t>
            </w:r>
          </w:p>
          <w:p w14:paraId="062A91C6">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4、支持三员管理机制，不同管理员有不同权限，可动态增加、修改、启用、停用管理员；</w:t>
            </w:r>
          </w:p>
          <w:p w14:paraId="190B4369">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5、支持对用户、管理员行为进行审计，支持多维日志查询功能；</w:t>
            </w:r>
          </w:p>
          <w:p w14:paraId="0E571082">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6、内置具体商用密码产品认证证书的密码卡设备，硬件机箱经过防窥探、加装安全锁等安全加固，满足密码模块二级技术要求，安全性更高；</w:t>
            </w:r>
          </w:p>
          <w:p w14:paraId="4FD5BA7F">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7、密钥分片运算:支持SM2算法密钥分片；</w:t>
            </w:r>
          </w:p>
          <w:p w14:paraId="16E57AA3">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sz w:val="22"/>
                <w:szCs w:val="22"/>
              </w:rPr>
              <w:t>8、联合签名运算：支持SM2算法联合签名运算。</w:t>
            </w:r>
          </w:p>
        </w:tc>
        <w:tc>
          <w:tcPr>
            <w:tcW w:w="567" w:type="dxa"/>
            <w:noWrap/>
            <w:vAlign w:val="center"/>
          </w:tcPr>
          <w:p w14:paraId="65FB6009">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w:t>
            </w:r>
          </w:p>
        </w:tc>
        <w:tc>
          <w:tcPr>
            <w:tcW w:w="510" w:type="dxa"/>
            <w:noWrap/>
            <w:vAlign w:val="center"/>
          </w:tcPr>
          <w:p w14:paraId="767856FB">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台</w:t>
            </w:r>
          </w:p>
        </w:tc>
      </w:tr>
      <w:tr w14:paraId="31D6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2" w:type="dxa"/>
            <w:noWrap/>
            <w:vAlign w:val="center"/>
          </w:tcPr>
          <w:p w14:paraId="59E050EF">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9</w:t>
            </w:r>
          </w:p>
        </w:tc>
        <w:tc>
          <w:tcPr>
            <w:tcW w:w="680" w:type="dxa"/>
            <w:vMerge w:val="continue"/>
            <w:vAlign w:val="center"/>
          </w:tcPr>
          <w:p w14:paraId="1FA5E426">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p>
        </w:tc>
        <w:tc>
          <w:tcPr>
            <w:tcW w:w="851" w:type="dxa"/>
            <w:noWrap/>
            <w:vAlign w:val="center"/>
          </w:tcPr>
          <w:p w14:paraId="0C07D7E1">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sz w:val="22"/>
                <w:szCs w:val="22"/>
              </w:rPr>
            </w:pPr>
            <w:r>
              <w:rPr>
                <w:rFonts w:hint="eastAsia" w:cs="宋体"/>
                <w:kern w:val="0"/>
                <w:sz w:val="22"/>
                <w:szCs w:val="22"/>
              </w:rPr>
              <w:t>物联控制系统</w:t>
            </w:r>
          </w:p>
        </w:tc>
        <w:tc>
          <w:tcPr>
            <w:tcW w:w="5386" w:type="dxa"/>
            <w:vAlign w:val="center"/>
          </w:tcPr>
          <w:p w14:paraId="6F6E59B2">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1、2U硬件一体机，支持≥4个千兆电口，冗余电源。</w:t>
            </w:r>
          </w:p>
          <w:p w14:paraId="2ECAFBCB">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sz w:val="22"/>
                <w:szCs w:val="22"/>
              </w:rPr>
              <w:t>2、支持设备批量导入、新增、删除、修改、设备禁用启用、设备接入、设备审核手动/自动审核、证书管理、证书申请、证书续期、原厂证书链检验等功能</w:t>
            </w:r>
          </w:p>
        </w:tc>
        <w:tc>
          <w:tcPr>
            <w:tcW w:w="567" w:type="dxa"/>
            <w:noWrap/>
            <w:vAlign w:val="center"/>
          </w:tcPr>
          <w:p w14:paraId="1BE0C5EA">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w:t>
            </w:r>
          </w:p>
        </w:tc>
        <w:tc>
          <w:tcPr>
            <w:tcW w:w="510" w:type="dxa"/>
            <w:noWrap/>
            <w:vAlign w:val="center"/>
          </w:tcPr>
          <w:p w14:paraId="05D87DB5">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台</w:t>
            </w:r>
          </w:p>
        </w:tc>
      </w:tr>
      <w:tr w14:paraId="671E7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noWrap/>
            <w:vAlign w:val="center"/>
          </w:tcPr>
          <w:p w14:paraId="642488D1">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10</w:t>
            </w:r>
          </w:p>
        </w:tc>
        <w:tc>
          <w:tcPr>
            <w:tcW w:w="680" w:type="dxa"/>
            <w:vMerge w:val="continue"/>
            <w:vAlign w:val="center"/>
          </w:tcPr>
          <w:p w14:paraId="4F5A478E">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p>
        </w:tc>
        <w:tc>
          <w:tcPr>
            <w:tcW w:w="851" w:type="dxa"/>
            <w:noWrap/>
            <w:vAlign w:val="center"/>
          </w:tcPr>
          <w:p w14:paraId="56AB2676">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sz w:val="22"/>
                <w:szCs w:val="22"/>
              </w:rPr>
            </w:pPr>
            <w:r>
              <w:rPr>
                <w:rFonts w:hint="eastAsia" w:cs="宋体"/>
                <w:kern w:val="0"/>
                <w:sz w:val="22"/>
                <w:szCs w:val="22"/>
              </w:rPr>
              <w:t>安全管理平台</w:t>
            </w:r>
          </w:p>
        </w:tc>
        <w:tc>
          <w:tcPr>
            <w:tcW w:w="5386" w:type="dxa"/>
            <w:vAlign w:val="center"/>
          </w:tcPr>
          <w:p w14:paraId="0E563CF1">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硬件配置及性能要求：</w:t>
            </w:r>
          </w:p>
          <w:p w14:paraId="2BF5C132">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冗余电源；</w:t>
            </w:r>
            <w:r>
              <w:rPr>
                <w:rFonts w:hint="eastAsia" w:ascii="宋体" w:hAnsi="宋体" w:eastAsia="宋体" w:cs="Times New Roman"/>
                <w:kern w:val="2"/>
                <w:sz w:val="22"/>
                <w:szCs w:val="22"/>
                <w:lang w:val="en-US" w:eastAsia="zh-CN" w:bidi="ar"/>
              </w:rPr>
              <w:t>国产化芯片，国产化操作系统</w:t>
            </w:r>
            <w:r>
              <w:rPr>
                <w:rFonts w:hint="eastAsia" w:cs="宋体"/>
                <w:kern w:val="0"/>
                <w:sz w:val="22"/>
                <w:szCs w:val="22"/>
              </w:rPr>
              <w:t>；内存≥64G，硬盘≥4TB；提供≥6个千兆电口、≥4个千兆SFP插槽；最大支持终端管控数量500个，最大并发登录用户数量50个。</w:t>
            </w:r>
          </w:p>
          <w:p w14:paraId="32FEDA53">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功能要求：</w:t>
            </w:r>
          </w:p>
          <w:p w14:paraId="2035B8C2">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1、软件可采用旁路模式部署，安装完全不影响原有的网络结构，实施部署简单方便</w:t>
            </w:r>
          </w:p>
          <w:p w14:paraId="1B73989D">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2、资产设备类型数量统计，统计各种类型资产的数量，并进行可视化展示，按设备类型进行查询、排序并展示， 按设备数量进行查询、排序并展示</w:t>
            </w:r>
          </w:p>
          <w:p w14:paraId="56266854">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3、资产安全事件趋势，对近7天发生的资产安全事件进行趋势统计展示（资产频繁上线、下线、病毒攻击、开放高风险端口）</w:t>
            </w:r>
          </w:p>
          <w:p w14:paraId="2E1860F9">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4、最新资产安全事件，对发生的最新的资产安全事件进行展示</w:t>
            </w:r>
          </w:p>
          <w:p w14:paraId="6D32DC8D">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5、资产安全事件等级分布，按照高、中、低等级对安全事件进行统计</w:t>
            </w:r>
          </w:p>
          <w:p w14:paraId="476B4D94">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6、风险资产TOP5，对风险等级较高的前5个资产进行展示</w:t>
            </w:r>
          </w:p>
          <w:p w14:paraId="0E8071DF">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7、实时攻击事件列表，对实时攻击事件进行展示，包括事件名称、攻击IP、被攻击IP、攻击方式、攻击事件进行展示</w:t>
            </w:r>
          </w:p>
          <w:p w14:paraId="38BA25D4">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8、各类攻击类型分布，对各种攻击类型按照历史攻击数量进行排名（IPS、DDOS、病毒攻击等）</w:t>
            </w:r>
          </w:p>
          <w:p w14:paraId="37608E29">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9、近期攻击事件排名，对近7天攻击类型按照攻击数量进行统计排名</w:t>
            </w:r>
          </w:p>
          <w:p w14:paraId="327B3F90">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10、安全事件总数统计，历史发生的安全事件总数统计展示</w:t>
            </w:r>
          </w:p>
          <w:p w14:paraId="6317A8BC">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11、当日安全事件统计，当日发生的安全事件总数统计展示</w:t>
            </w:r>
          </w:p>
          <w:p w14:paraId="4402432C">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12、攻击源IP TOP5，对攻击(来源)排名前5的IP进行展示</w:t>
            </w:r>
          </w:p>
          <w:p w14:paraId="4C4E94C7">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13、攻击事件告警趋势，对近7天的攻击事件数量趋势进行统计展示</w:t>
            </w:r>
          </w:p>
          <w:p w14:paraId="214AB428">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14、攻击类型TOP5，对各种攻击类型按时间类型进行统计展示</w:t>
            </w:r>
          </w:p>
          <w:p w14:paraId="7F5B8CBF">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15、被攻击信息列表，以攻击事件为维度，对最近发生的20次事件信息进行展示，包括事件名称、资源IP、攻击次数等</w:t>
            </w:r>
          </w:p>
          <w:p w14:paraId="1486412E">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16、分级态势，支持查看下级单位态势结果，对各县区的安全状态进行监测呈现，对安全告警、威胁响应处置任务等相关网络安全状况进行呈现。</w:t>
            </w:r>
          </w:p>
          <w:p w14:paraId="148921A6">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17、脆弱性总数统计，对当前存在的漏洞、弱口令等总数进行统计</w:t>
            </w:r>
          </w:p>
          <w:p w14:paraId="41C537EC">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18、每日高危漏洞修复情况，统计最近7天每天修复的高危漏洞数量</w:t>
            </w:r>
          </w:p>
          <w:p w14:paraId="62BED4DE">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19、脆弱性类型排名，对各种类型漏洞数量进行统计排名，展示前5漏洞类型及数量</w:t>
            </w:r>
          </w:p>
          <w:p w14:paraId="27DB45C8">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20、高危设备监测，对高危漏洞设备IP、漏洞名称、监测时间、修复状态进行展示</w:t>
            </w:r>
          </w:p>
          <w:p w14:paraId="03C6FF6B">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21、近期弱口令设备监测，统计近三天发现的弱口令设备IP、漏洞发现时间</w:t>
            </w:r>
          </w:p>
          <w:p w14:paraId="3ADEFBBD">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22、综合处置情况，展示历史事件分类处置情况，包括尚未修复、已修复、无法修复、复现、误报等</w:t>
            </w:r>
          </w:p>
          <w:p w14:paraId="27D72043">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23、漏洞等级分布情况，对高、中、低等级的漏洞数量进行统计</w:t>
            </w:r>
          </w:p>
          <w:p w14:paraId="605F9B7D">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24、脆弱性分布，对漏洞、弱口令、其他等分类的数量进行展示</w:t>
            </w:r>
          </w:p>
          <w:p w14:paraId="7EE0D577">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25、资产概览，展示终端准入统计情况，视频终端统计情况，分类展示出在线资产数、待准入终端数、已阻断终端、离线终端等数据详情</w:t>
            </w:r>
          </w:p>
          <w:p w14:paraId="3C430076">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26、展示视频资产品牌，可钻取详细的品牌占比</w:t>
            </w:r>
          </w:p>
          <w:p w14:paraId="6E0E4187">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27、展示安全事件发生次数，安全事件支持漏洞事件、弱口令事件、漏洞防护、病毒查杀、DOS防护、阻断日志事件等</w:t>
            </w:r>
          </w:p>
          <w:p w14:paraId="723C8417">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28、统计在线资产类型，可展示在线资产类型，并显示出各类资产的总数</w:t>
            </w:r>
          </w:p>
          <w:p w14:paraId="5E8513DE">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29、资产库管理，构建树状架构，实现每个树节点代表一个节点区域，叶子节点代表接入节点设备，并进行分类展示节点设备下列所有终端</w:t>
            </w:r>
          </w:p>
          <w:p w14:paraId="7FB2848C">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30、资产查询，支持以IP地址、MAC地址、终端名、终端状态对终端进行查询</w:t>
            </w:r>
          </w:p>
          <w:p w14:paraId="7AFA0365">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31、资产列表，在线资产，显示所有在线资产，包括所有节点统计的资产信息</w:t>
            </w:r>
          </w:p>
          <w:p w14:paraId="40F08C1D">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32、在线资产查询功能，支持以终端名称、IP地址、MAC地址、资产类型、品牌、型号、节点名称、时间范围等条件进行单一或者组合查询，筛选数据</w:t>
            </w:r>
          </w:p>
          <w:p w14:paraId="0EBDA616">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33、离线资产，显示所有离线资产，包括所有节点统计的资产信息</w:t>
            </w:r>
          </w:p>
          <w:p w14:paraId="4376A793">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34、在线资产查询功能，支持以终端名称、IP地址、MAC地址、资产类型、品牌、型号、节点名称、时间范围等条件进行单一或者组合查询，筛选数据</w:t>
            </w:r>
          </w:p>
          <w:p w14:paraId="354B9166">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35、待准入终端，显示所有待准入终端，包括所有节点统计的待准入终端信息</w:t>
            </w:r>
          </w:p>
          <w:p w14:paraId="26D30F98">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36、待准入终端查询功能，支持以终端名称、IP地址、MAC地址、资产类型、品牌、型号、节点名称、时间范围等条件进行单一或者组合查询，筛选数据</w:t>
            </w:r>
          </w:p>
          <w:p w14:paraId="2873873E">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37、资产特征库，对常见的资产特征进行管理，用于显示探测资产类型和型号</w:t>
            </w:r>
          </w:p>
          <w:p w14:paraId="7ECD3A99">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38、风险资产列表，对于违规开放端口较多或扫描有弱口令、安全漏洞的设备标记为风险资产，方便运维人员提前发现处置</w:t>
            </w:r>
          </w:p>
          <w:p w14:paraId="5C271803">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39、风险资产查询，风险资产查询，支持以终端名称、IP地址、MAC地址、资产类型、品牌、型号、节点名称、时间范围等条件进行单一或者组合查询，筛选数据</w:t>
            </w:r>
          </w:p>
          <w:p w14:paraId="029A4D5F">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40、已阻断终端列表，对已阻断终端进行列表展示，包括所有节点统计的已阻断终端信息</w:t>
            </w:r>
          </w:p>
          <w:p w14:paraId="064BE7E7">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41、已阻断终端查询，已阻断终端查询，支持以终端名称、IP地址、MAC地址、资产类型、品牌、型号、节点名称、时间范围等条件进行单一或者组合查询，筛选数据</w:t>
            </w:r>
          </w:p>
          <w:p w14:paraId="3E6CC4A3">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42、数据分析，基线构建：根据每个基线检测规则汇聚匹配的日志信息，构建对应的基线，当基线构建大于一个时间窗口期后可以进行基线检测</w:t>
            </w:r>
          </w:p>
          <w:p w14:paraId="1A38B977">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43、关系构建：基于日志提取的信标预构建其中的关系，支持提取并构建网络侧下载、端点侧启动、创建</w:t>
            </w:r>
          </w:p>
          <w:p w14:paraId="433FDC0F">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44、逻辑规则建立：提取日志中的信标和特征，通过逻辑判断、模块外结构化信息校验等方式进行检测</w:t>
            </w:r>
          </w:p>
          <w:p w14:paraId="18EBA784">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45、事件生成：对安全日志进行归并、关联和追溯，挖掘并生成安全事件</w:t>
            </w:r>
          </w:p>
          <w:p w14:paraId="216DD35D">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46、资产关联：获取资产相关字段关联到相关资产，并根据补全关系，并在事件中记录资产信息，便于上层业务的关联和呈现</w:t>
            </w:r>
          </w:p>
          <w:p w14:paraId="143ED119">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47、漏洞关联：基于资产安全运维系统同步的漏洞情况以及发现的漏洞利用攻击行为，丰富漏洞知识信息、利用信息</w:t>
            </w:r>
          </w:p>
          <w:p w14:paraId="7075EFA8">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48、溯源模块：根据分析预处理过程中构建的关系对发现的恶意行为进行追溯，发现其关联的攻击源</w:t>
            </w:r>
          </w:p>
          <w:p w14:paraId="2761C2B3">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49、告警管理：包括告警查询、告警关联展示、告警导入导出等</w:t>
            </w:r>
          </w:p>
          <w:p w14:paraId="5E5768C0">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50、告警列表呈现：根据告警风险级别区分颜色展示。可以根据源IP、规则名称、目标IP、描述、处理状态、告警级别、告警事件范围进行组合查询</w:t>
            </w:r>
          </w:p>
          <w:p w14:paraId="46A5B706">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51、终端准入规则，配置安全接入系统终端准入规则，如IP地址、MAC地址、终端类型等，实现对入网设备进行控制</w:t>
            </w:r>
          </w:p>
          <w:p w14:paraId="47C61C84">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52、疑似仿冒终端，设置疑似仿冒终端计时器，可按照分钟、小时、天三个时间单位，对疑似仿冒终端列表进行倒计时，时间耗尽后可以判断终端为仿冒或者非仿冒</w:t>
            </w:r>
          </w:p>
          <w:p w14:paraId="75AAEB04">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53、漏洞扫描，建立扫描任务：对接入的设备建立任务进行漏洞扫描，漏洞扫描任务支持立即执行、按日（一次性）、按周（循环任务）、按月（循环任务）、每日执行等时间计划</w:t>
            </w:r>
          </w:p>
          <w:p w14:paraId="5B39C720">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54、异常行为管控，对节点仿冒、私接终端进行允许、阻断、告警、规则启用等操作</w:t>
            </w:r>
          </w:p>
          <w:p w14:paraId="3445E4CB">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55、设置节点的终端带宽超限指标，对带宽超限终端进行允许、阻断、告警、规则启用等操作</w:t>
            </w:r>
          </w:p>
          <w:p w14:paraId="214028EA">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56、对节点存在弱口令终端进行允许、阻断、告警、规则启用等操作</w:t>
            </w:r>
          </w:p>
          <w:p w14:paraId="39D2AD6D">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57、对节点存在漏洞的终端进行允许、阻断、告警、规则启用等操作</w:t>
            </w:r>
          </w:p>
          <w:p w14:paraId="4E832189">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58、对节点的终端设置端口监控列表，设置合法的端口范围，进行允许、阻断、告警、规则启用等操作</w:t>
            </w:r>
          </w:p>
          <w:p w14:paraId="6E4685B0">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59、对节点的终端设置非法外联的IP监控列表，设置合法的IP列表，对不合规的目标IP访问情况进行允许、阻断、告警、规则启用等操作</w:t>
            </w:r>
          </w:p>
          <w:p w14:paraId="27FE7519">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60、对节点存在异常网络行为的终端进行允许、阻断、告警等操作</w:t>
            </w:r>
          </w:p>
          <w:p w14:paraId="1529DB23">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61、对节点的终端设置协议识别列表，设置合规的协议范围，对不合规的协议进行允许、阻断、告警、等操作</w:t>
            </w:r>
          </w:p>
          <w:p w14:paraId="45A70F06">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62、CPU使用率，统计每个节点设备的CPU在时间范围内的趋势，以时间轴进行表示。时间范围可以选择最近一个小时、一周、一个月、自定义时间段</w:t>
            </w:r>
          </w:p>
          <w:p w14:paraId="393E5260">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63、内存使用率，统计每个节点设备的内存在时间范围内的趋势，以时间轴进行表示。时间范围可以选择最近一个小时、一周、一个月、自定义时间段</w:t>
            </w:r>
          </w:p>
          <w:p w14:paraId="2DCC6F77">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64、终端分析统计，统计每个节点设备的终端流量成分，可按照总流量、上行流量、下行流量、服务类型等维度进行统计；时间范围可以选择最近一个小时、一周、一个月、自定义时间段。</w:t>
            </w:r>
          </w:p>
          <w:p w14:paraId="20E1CC7A">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65、服务统计，统计每个节点设备的网络流量的服务成分，可按照总流量、上行流量、下行流量、服务类型等维度进行统计；时间范围可以选择最近一个小时、一周、一个月、自定义时间段。</w:t>
            </w:r>
          </w:p>
          <w:p w14:paraId="4E648793">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66、服务类型统计，统计每个节点设备的网络流量的服务类型成分，可按照总流量、上行流量、下行流量、服务类型等维度进行统计；时间范围可以选择最近一个小时、一周、一个月、自定义时间段。</w:t>
            </w:r>
          </w:p>
        </w:tc>
        <w:tc>
          <w:tcPr>
            <w:tcW w:w="567" w:type="dxa"/>
            <w:noWrap/>
            <w:vAlign w:val="center"/>
          </w:tcPr>
          <w:p w14:paraId="61669E4B">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w:t>
            </w:r>
          </w:p>
        </w:tc>
        <w:tc>
          <w:tcPr>
            <w:tcW w:w="510" w:type="dxa"/>
            <w:noWrap/>
            <w:vAlign w:val="center"/>
          </w:tcPr>
          <w:p w14:paraId="1D5F4B44">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台</w:t>
            </w:r>
          </w:p>
        </w:tc>
      </w:tr>
      <w:tr w14:paraId="02B3C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noWrap/>
            <w:vAlign w:val="center"/>
          </w:tcPr>
          <w:p w14:paraId="2527997D">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11</w:t>
            </w:r>
          </w:p>
        </w:tc>
        <w:tc>
          <w:tcPr>
            <w:tcW w:w="680" w:type="dxa"/>
            <w:vMerge w:val="continue"/>
            <w:vAlign w:val="center"/>
          </w:tcPr>
          <w:p w14:paraId="6790B8C3">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p>
        </w:tc>
        <w:tc>
          <w:tcPr>
            <w:tcW w:w="851" w:type="dxa"/>
            <w:noWrap/>
            <w:vAlign w:val="center"/>
          </w:tcPr>
          <w:p w14:paraId="64DF730A">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sz w:val="22"/>
                <w:szCs w:val="22"/>
              </w:rPr>
            </w:pPr>
            <w:r>
              <w:rPr>
                <w:rFonts w:hint="eastAsia" w:cs="宋体"/>
                <w:kern w:val="0"/>
                <w:sz w:val="22"/>
                <w:szCs w:val="22"/>
              </w:rPr>
              <w:t>探针</w:t>
            </w:r>
          </w:p>
        </w:tc>
        <w:tc>
          <w:tcPr>
            <w:tcW w:w="5386" w:type="dxa"/>
            <w:vAlign w:val="center"/>
          </w:tcPr>
          <w:p w14:paraId="076FF470">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硬件配置及性能要求：</w:t>
            </w:r>
            <w:r>
              <w:rPr>
                <w:rFonts w:hint="eastAsia" w:ascii="宋体" w:hAnsi="宋体" w:eastAsia="宋体" w:cs="Times New Roman"/>
                <w:kern w:val="2"/>
                <w:sz w:val="22"/>
                <w:szCs w:val="22"/>
                <w:lang w:val="en-US" w:eastAsia="zh-CN" w:bidi="ar"/>
              </w:rPr>
              <w:t>国产化芯片，国产化操作系统</w:t>
            </w:r>
            <w:r>
              <w:rPr>
                <w:rFonts w:hint="eastAsia" w:cs="宋体"/>
                <w:kern w:val="0"/>
                <w:sz w:val="22"/>
                <w:szCs w:val="22"/>
              </w:rPr>
              <w:t>；1U标准机架式，单电源。配置不低于：1T数据盘、6*GE+2*SFP、2个扩展插槽；</w:t>
            </w:r>
          </w:p>
          <w:p w14:paraId="143A3510">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性能不低于：镜像流量4G、终端探测500个。</w:t>
            </w:r>
          </w:p>
          <w:p w14:paraId="2D1E9A03">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功能要求：</w:t>
            </w:r>
          </w:p>
          <w:p w14:paraId="44776461">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资产探测，支持主动扫描和被动探测方式，对在网资产进行全面探测与识别，形成设备指纹信息，自动按资产类型进行分类。设备类型包括视频设备、物联设备、安全设备、存储设备等，支持自定义资产特征。</w:t>
            </w:r>
          </w:p>
          <w:p w14:paraId="663CABF2">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2、流量及协议识别，支持解析GB/T 28181、GB 35114、ONVIF、RTSP等主流视频协议和视频控制协议，可识别海康、大华、宇视等主流厂商私有协议，支持对视频和数据流量进行监测，以规则或统计基线判定异常并实施控制。</w:t>
            </w:r>
          </w:p>
          <w:p w14:paraId="5CA80D05">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3、违规外联监测，支持无客户端方式对终端外联到其他网络（尤其是互联网）扫描，检测内网终端、网络设备是否存在额外的互联网通道，支持自定义外联监测策略。</w:t>
            </w:r>
          </w:p>
          <w:p w14:paraId="7D952438">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4、异常行为管控，通过流量特征提取终端设备的异常行为，如开放违规端口、非法连接非授权网络、主动探测高危端口、使用异常协议、超限访问后端平台资源等。</w:t>
            </w:r>
          </w:p>
        </w:tc>
        <w:tc>
          <w:tcPr>
            <w:tcW w:w="567" w:type="dxa"/>
            <w:noWrap/>
            <w:vAlign w:val="center"/>
          </w:tcPr>
          <w:p w14:paraId="5AA0E6F6">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w:t>
            </w:r>
          </w:p>
        </w:tc>
        <w:tc>
          <w:tcPr>
            <w:tcW w:w="510" w:type="dxa"/>
            <w:noWrap/>
            <w:vAlign w:val="center"/>
          </w:tcPr>
          <w:p w14:paraId="735F9FB6">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台</w:t>
            </w:r>
          </w:p>
        </w:tc>
      </w:tr>
      <w:tr w14:paraId="003E9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noWrap/>
            <w:vAlign w:val="center"/>
          </w:tcPr>
          <w:p w14:paraId="751CFB88">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12</w:t>
            </w:r>
          </w:p>
        </w:tc>
        <w:tc>
          <w:tcPr>
            <w:tcW w:w="680" w:type="dxa"/>
            <w:vMerge w:val="continue"/>
            <w:vAlign w:val="center"/>
          </w:tcPr>
          <w:p w14:paraId="68ABC9BD">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p>
        </w:tc>
        <w:tc>
          <w:tcPr>
            <w:tcW w:w="851" w:type="dxa"/>
            <w:noWrap/>
            <w:vAlign w:val="center"/>
          </w:tcPr>
          <w:p w14:paraId="15F74D54">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sz w:val="22"/>
                <w:szCs w:val="22"/>
              </w:rPr>
            </w:pPr>
            <w:r>
              <w:rPr>
                <w:rFonts w:hint="eastAsia" w:cs="宋体"/>
                <w:kern w:val="0"/>
                <w:sz w:val="22"/>
                <w:szCs w:val="22"/>
              </w:rPr>
              <w:t>防火墙</w:t>
            </w:r>
          </w:p>
        </w:tc>
        <w:tc>
          <w:tcPr>
            <w:tcW w:w="5386" w:type="dxa"/>
            <w:vAlign w:val="center"/>
          </w:tcPr>
          <w:p w14:paraId="760B84D2">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1、2U机架式设备；国产化芯片，国产化操作系统；交流冗余电源；下一代防火墙产品，支持IPS、防病毒、应用控制、IPSec VPN、SSL VPN等功能。配置不低于：8核CPU、32G内存、2T存储、1个console接口、2个USB接口、8个千兆电口、4个千兆SFP接口（不含模块）、6个扩展槽位；</w:t>
            </w:r>
          </w:p>
          <w:p w14:paraId="39BAB40F">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sz w:val="22"/>
                <w:szCs w:val="22"/>
              </w:rPr>
              <w:t>2、性能指标不低于：网络吞吐80Gbps、应用吞吐6</w:t>
            </w:r>
            <w:r>
              <w:rPr>
                <w:rFonts w:hint="eastAsia"/>
                <w:sz w:val="22"/>
                <w:szCs w:val="22"/>
                <w:lang w:val="en-US" w:eastAsia="zh-CN"/>
              </w:rPr>
              <w:t>0</w:t>
            </w:r>
            <w:r>
              <w:rPr>
                <w:rFonts w:hint="eastAsia"/>
                <w:sz w:val="22"/>
                <w:szCs w:val="22"/>
              </w:rPr>
              <w:t>Gbps、最大并发连接</w:t>
            </w:r>
            <w:r>
              <w:rPr>
                <w:rFonts w:hint="eastAsia"/>
                <w:sz w:val="22"/>
                <w:szCs w:val="22"/>
                <w:lang w:val="en-US" w:eastAsia="zh-CN"/>
              </w:rPr>
              <w:t>数</w:t>
            </w:r>
            <w:r>
              <w:rPr>
                <w:rFonts w:hint="eastAsia"/>
                <w:sz w:val="22"/>
                <w:szCs w:val="22"/>
              </w:rPr>
              <w:t>2</w:t>
            </w:r>
            <w:r>
              <w:rPr>
                <w:rFonts w:hint="eastAsia"/>
                <w:sz w:val="22"/>
                <w:szCs w:val="22"/>
                <w:lang w:val="en-US" w:eastAsia="zh-CN"/>
              </w:rPr>
              <w:t>5</w:t>
            </w:r>
            <w:r>
              <w:rPr>
                <w:rFonts w:hint="eastAsia"/>
                <w:sz w:val="22"/>
                <w:szCs w:val="22"/>
              </w:rPr>
              <w:t>00万、新建连接6</w:t>
            </w:r>
            <w:r>
              <w:rPr>
                <w:rFonts w:hint="eastAsia"/>
                <w:sz w:val="22"/>
                <w:szCs w:val="22"/>
                <w:lang w:val="en-US" w:eastAsia="zh-CN"/>
              </w:rPr>
              <w:t>0</w:t>
            </w:r>
            <w:r>
              <w:rPr>
                <w:rFonts w:hint="eastAsia"/>
                <w:sz w:val="22"/>
                <w:szCs w:val="22"/>
              </w:rPr>
              <w:t>万/秒、适用带宽6G。</w:t>
            </w:r>
          </w:p>
        </w:tc>
        <w:tc>
          <w:tcPr>
            <w:tcW w:w="567" w:type="dxa"/>
            <w:noWrap/>
            <w:vAlign w:val="center"/>
          </w:tcPr>
          <w:p w14:paraId="49624B7B">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w:t>
            </w:r>
          </w:p>
        </w:tc>
        <w:tc>
          <w:tcPr>
            <w:tcW w:w="510" w:type="dxa"/>
            <w:noWrap/>
            <w:vAlign w:val="center"/>
          </w:tcPr>
          <w:p w14:paraId="4276AFF0">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台</w:t>
            </w:r>
          </w:p>
        </w:tc>
      </w:tr>
      <w:tr w14:paraId="6D96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noWrap/>
            <w:vAlign w:val="center"/>
          </w:tcPr>
          <w:p w14:paraId="217E3A42">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13</w:t>
            </w:r>
          </w:p>
        </w:tc>
        <w:tc>
          <w:tcPr>
            <w:tcW w:w="680" w:type="dxa"/>
            <w:vMerge w:val="continue"/>
            <w:vAlign w:val="center"/>
          </w:tcPr>
          <w:p w14:paraId="7F339E94">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p>
        </w:tc>
        <w:tc>
          <w:tcPr>
            <w:tcW w:w="851" w:type="dxa"/>
            <w:noWrap/>
            <w:vAlign w:val="center"/>
          </w:tcPr>
          <w:p w14:paraId="74C8D0FC">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sz w:val="22"/>
                <w:szCs w:val="22"/>
              </w:rPr>
            </w:pPr>
            <w:r>
              <w:rPr>
                <w:rFonts w:hint="eastAsia" w:cs="宋体"/>
                <w:kern w:val="0"/>
                <w:sz w:val="22"/>
                <w:szCs w:val="22"/>
              </w:rPr>
              <w:t>入侵防御系统</w:t>
            </w:r>
          </w:p>
        </w:tc>
        <w:tc>
          <w:tcPr>
            <w:tcW w:w="5386" w:type="dxa"/>
            <w:vAlign w:val="center"/>
          </w:tcPr>
          <w:p w14:paraId="1DFD417D">
            <w:pPr>
              <w:keepNext w:val="0"/>
              <w:keepLines w:val="0"/>
              <w:widowControl/>
              <w:suppressLineNumbers w:val="0"/>
              <w:spacing w:before="0" w:beforeAutospacing="0" w:after="0" w:afterAutospacing="0" w:line="240" w:lineRule="auto"/>
              <w:ind w:left="0" w:right="0" w:firstLine="0" w:firstLineChars="0"/>
              <w:jc w:val="both"/>
              <w:rPr>
                <w:rFonts w:hint="eastAsia"/>
                <w:sz w:val="22"/>
                <w:szCs w:val="22"/>
              </w:rPr>
            </w:pPr>
            <w:r>
              <w:rPr>
                <w:rFonts w:hint="eastAsia"/>
                <w:sz w:val="22"/>
                <w:szCs w:val="22"/>
              </w:rPr>
              <w:t>1、2U机架式设备；冗余双电源。配置不低于：1个CONSOLE口、2个USB口、板载2个100/1000M电口、4个扩展槽、16G内存、2T硬盘；</w:t>
            </w:r>
          </w:p>
          <w:p w14:paraId="3ABEA7C4">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sz w:val="22"/>
                <w:szCs w:val="22"/>
              </w:rPr>
              <w:t>2、性能指标不低于：IPS吞吐8G、最大并发连接数400万、</w:t>
            </w:r>
            <w:r>
              <w:rPr>
                <w:rFonts w:hint="eastAsia"/>
                <w:sz w:val="22"/>
                <w:szCs w:val="22"/>
                <w:lang w:eastAsia="zh-CN"/>
              </w:rPr>
              <w:t>新建连接</w:t>
            </w:r>
            <w:r>
              <w:rPr>
                <w:rFonts w:hint="eastAsia"/>
                <w:sz w:val="22"/>
                <w:szCs w:val="22"/>
                <w:lang w:val="en-US" w:eastAsia="zh-CN"/>
              </w:rPr>
              <w:t>16万</w:t>
            </w:r>
            <w:r>
              <w:rPr>
                <w:rFonts w:hint="eastAsia"/>
                <w:sz w:val="22"/>
                <w:szCs w:val="22"/>
              </w:rPr>
              <w:t>/秒。</w:t>
            </w:r>
          </w:p>
        </w:tc>
        <w:tc>
          <w:tcPr>
            <w:tcW w:w="567" w:type="dxa"/>
            <w:noWrap/>
            <w:vAlign w:val="center"/>
          </w:tcPr>
          <w:p w14:paraId="2BA5CFAC">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w:t>
            </w:r>
          </w:p>
        </w:tc>
        <w:tc>
          <w:tcPr>
            <w:tcW w:w="510" w:type="dxa"/>
            <w:noWrap/>
            <w:vAlign w:val="center"/>
          </w:tcPr>
          <w:p w14:paraId="25971C7A">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套</w:t>
            </w:r>
          </w:p>
        </w:tc>
      </w:tr>
      <w:tr w14:paraId="7E53B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noWrap/>
            <w:vAlign w:val="center"/>
          </w:tcPr>
          <w:p w14:paraId="73C4BD1E">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14</w:t>
            </w:r>
          </w:p>
        </w:tc>
        <w:tc>
          <w:tcPr>
            <w:tcW w:w="680" w:type="dxa"/>
            <w:vMerge w:val="continue"/>
            <w:vAlign w:val="center"/>
          </w:tcPr>
          <w:p w14:paraId="5B55A0AB">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p>
        </w:tc>
        <w:tc>
          <w:tcPr>
            <w:tcW w:w="851" w:type="dxa"/>
            <w:noWrap/>
            <w:vAlign w:val="center"/>
          </w:tcPr>
          <w:p w14:paraId="2FC854C8">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sz w:val="22"/>
                <w:szCs w:val="22"/>
              </w:rPr>
            </w:pPr>
            <w:r>
              <w:rPr>
                <w:rFonts w:hint="eastAsia" w:cs="宋体"/>
                <w:kern w:val="0"/>
                <w:sz w:val="22"/>
                <w:szCs w:val="22"/>
              </w:rPr>
              <w:t>网络准入系统</w:t>
            </w:r>
          </w:p>
        </w:tc>
        <w:tc>
          <w:tcPr>
            <w:tcW w:w="5386" w:type="dxa"/>
            <w:vAlign w:val="center"/>
          </w:tcPr>
          <w:p w14:paraId="78AC2B55">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硬件配置及性能要求：1、硬件参数：软硬件一体设备，单台设备支持所有功能。配置不低于：1个RJ45 Console接口、6个GE电口、2个独立的NIC扩展槽（每扩展槽可扩展为4/8千兆网口或2/4万兆网口）。</w:t>
            </w:r>
          </w:p>
          <w:p w14:paraId="53880EC3">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2、性能参数不低于：终端接入500点、IP绑定条目500条、并发认证10000次/分钟。</w:t>
            </w:r>
          </w:p>
          <w:p w14:paraId="288B120F">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功能要求：</w:t>
            </w:r>
          </w:p>
          <w:p w14:paraId="02CBDADA">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1、准入服务器多网口支持Bond接入交换机，网口支持配置ipv4与ipv6参数及访问权限，访问权限包含不限于http/https/telnet/ssh/ping等；</w:t>
            </w:r>
          </w:p>
          <w:p w14:paraId="72626059">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2、支持SNMP准入、DHCPv4&amp;v6准入、网关准入、SPAN准入等技术，并支持同时开启；</w:t>
            </w:r>
          </w:p>
          <w:p w14:paraId="08351BD6">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3、禁止使用修改交换机端口VLAN ID的方法来实现准入控制，防止交换机负载过高，影响正常终端的网络通信与数据交换；</w:t>
            </w:r>
          </w:p>
          <w:p w14:paraId="28498FAD">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4、针对无法使用交换机策略路由与镜像抓包环境下，未安装客户端代理软件，隔离/阻断HUB和非网管交换机所连接的非法终端与合法终端间的通信；</w:t>
            </w:r>
          </w:p>
          <w:p w14:paraId="55EC9479">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5、支持通过bootp、dhcp、radius三种协议分配IP地址；发现内网中非法的DHCP服务器并告警；同时支持DHCPv4与DHCPv6，支持ipv4/ipv6地址绑定终端mac；</w:t>
            </w:r>
          </w:p>
          <w:p w14:paraId="3D77C7F1">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6、支持802.1X认证、Webportal认证、RADIUS认证、短信认证、AD域认证、CA普密证书认证；</w:t>
            </w:r>
          </w:p>
          <w:p w14:paraId="55CC2D66">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7、内置RADIUS服务，支持802.1x认证协议，支持EAP-TLS认证，EAP-TLS可支持TLS1.3国密算法证书认证。</w:t>
            </w:r>
          </w:p>
        </w:tc>
        <w:tc>
          <w:tcPr>
            <w:tcW w:w="567" w:type="dxa"/>
            <w:noWrap/>
            <w:vAlign w:val="center"/>
          </w:tcPr>
          <w:p w14:paraId="4488EA55">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w:t>
            </w:r>
          </w:p>
        </w:tc>
        <w:tc>
          <w:tcPr>
            <w:tcW w:w="510" w:type="dxa"/>
            <w:noWrap/>
            <w:vAlign w:val="center"/>
          </w:tcPr>
          <w:p w14:paraId="3F8A14D4">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套</w:t>
            </w:r>
          </w:p>
        </w:tc>
      </w:tr>
      <w:tr w14:paraId="4653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2" w:type="dxa"/>
            <w:noWrap/>
            <w:vAlign w:val="center"/>
          </w:tcPr>
          <w:p w14:paraId="70E085C4">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15</w:t>
            </w:r>
          </w:p>
        </w:tc>
        <w:tc>
          <w:tcPr>
            <w:tcW w:w="680" w:type="dxa"/>
            <w:vMerge w:val="continue"/>
            <w:vAlign w:val="center"/>
          </w:tcPr>
          <w:p w14:paraId="21E85199">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p>
        </w:tc>
        <w:tc>
          <w:tcPr>
            <w:tcW w:w="851" w:type="dxa"/>
            <w:noWrap/>
            <w:vAlign w:val="center"/>
          </w:tcPr>
          <w:p w14:paraId="6FDD511C">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sz w:val="22"/>
                <w:szCs w:val="22"/>
              </w:rPr>
            </w:pPr>
            <w:r>
              <w:rPr>
                <w:rFonts w:hint="eastAsia" w:cs="宋体"/>
                <w:kern w:val="0"/>
                <w:sz w:val="22"/>
                <w:szCs w:val="22"/>
              </w:rPr>
              <w:t>安全日志审计系统</w:t>
            </w:r>
          </w:p>
        </w:tc>
        <w:tc>
          <w:tcPr>
            <w:tcW w:w="5386" w:type="dxa"/>
            <w:vAlign w:val="center"/>
          </w:tcPr>
          <w:p w14:paraId="084870FF">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1、2U机架式设备；交流冗余电源。配置不低于：4T*2（raid1）硬盘、32G内存、2个千兆电口、4个扩展槽、1个Console口、2个USB接口；</w:t>
            </w:r>
          </w:p>
          <w:p w14:paraId="5AC8E65B">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2、性能不低于：日志处理能力25000EPS、管理设备授权300个。</w:t>
            </w:r>
          </w:p>
        </w:tc>
        <w:tc>
          <w:tcPr>
            <w:tcW w:w="567" w:type="dxa"/>
            <w:noWrap/>
            <w:vAlign w:val="center"/>
          </w:tcPr>
          <w:p w14:paraId="6413BB63">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w:t>
            </w:r>
          </w:p>
        </w:tc>
        <w:tc>
          <w:tcPr>
            <w:tcW w:w="510" w:type="dxa"/>
            <w:noWrap/>
            <w:vAlign w:val="center"/>
          </w:tcPr>
          <w:p w14:paraId="2B8795EA">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套</w:t>
            </w:r>
          </w:p>
        </w:tc>
      </w:tr>
      <w:tr w14:paraId="749E5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noWrap/>
            <w:vAlign w:val="center"/>
          </w:tcPr>
          <w:p w14:paraId="681E3B10">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16</w:t>
            </w:r>
          </w:p>
        </w:tc>
        <w:tc>
          <w:tcPr>
            <w:tcW w:w="680" w:type="dxa"/>
            <w:vMerge w:val="continue"/>
            <w:vAlign w:val="center"/>
          </w:tcPr>
          <w:p w14:paraId="176D8A6E">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p>
        </w:tc>
        <w:tc>
          <w:tcPr>
            <w:tcW w:w="851" w:type="dxa"/>
            <w:noWrap/>
            <w:vAlign w:val="center"/>
          </w:tcPr>
          <w:p w14:paraId="3F630D1B">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sz w:val="22"/>
                <w:szCs w:val="22"/>
              </w:rPr>
            </w:pPr>
            <w:r>
              <w:rPr>
                <w:rFonts w:hint="eastAsia" w:cs="宋体"/>
                <w:kern w:val="0"/>
                <w:sz w:val="22"/>
                <w:szCs w:val="22"/>
              </w:rPr>
              <w:t>安全流量审计系统</w:t>
            </w:r>
          </w:p>
        </w:tc>
        <w:tc>
          <w:tcPr>
            <w:tcW w:w="5386" w:type="dxa"/>
            <w:vAlign w:val="center"/>
          </w:tcPr>
          <w:p w14:paraId="148D968F">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1、2U机架式设备；冗余双电源。配置不低于：1个CONSOLE口、板载2电口、4个扩展槽位（含1张2万兆光扩展卡）、32G内存、960GB固态硬盘+4TB机械硬盘；</w:t>
            </w:r>
          </w:p>
          <w:p w14:paraId="722D0000">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2、流量处理能力不低于5Gbps。</w:t>
            </w:r>
          </w:p>
        </w:tc>
        <w:tc>
          <w:tcPr>
            <w:tcW w:w="567" w:type="dxa"/>
            <w:noWrap/>
            <w:vAlign w:val="center"/>
          </w:tcPr>
          <w:p w14:paraId="7A63CF88">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w:t>
            </w:r>
          </w:p>
        </w:tc>
        <w:tc>
          <w:tcPr>
            <w:tcW w:w="510" w:type="dxa"/>
            <w:noWrap/>
            <w:vAlign w:val="center"/>
          </w:tcPr>
          <w:p w14:paraId="46FBD2A2">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套</w:t>
            </w:r>
          </w:p>
        </w:tc>
      </w:tr>
      <w:tr w14:paraId="2566C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noWrap/>
            <w:vAlign w:val="center"/>
          </w:tcPr>
          <w:p w14:paraId="233D9DD6">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17</w:t>
            </w:r>
          </w:p>
        </w:tc>
        <w:tc>
          <w:tcPr>
            <w:tcW w:w="680" w:type="dxa"/>
            <w:vAlign w:val="center"/>
          </w:tcPr>
          <w:p w14:paraId="055A17EE">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警务低空通航与安全监管系统工作站</w:t>
            </w:r>
          </w:p>
        </w:tc>
        <w:tc>
          <w:tcPr>
            <w:tcW w:w="851" w:type="dxa"/>
            <w:noWrap/>
            <w:vAlign w:val="center"/>
          </w:tcPr>
          <w:p w14:paraId="5B619814">
            <w:pPr>
              <w:keepNext w:val="0"/>
              <w:keepLines w:val="0"/>
              <w:widowControl/>
              <w:suppressLineNumbers w:val="0"/>
              <w:spacing w:before="0" w:beforeAutospacing="0" w:after="0" w:afterAutospacing="0" w:line="240" w:lineRule="auto"/>
              <w:ind w:left="0" w:right="0" w:firstLine="0" w:firstLineChars="0"/>
              <w:jc w:val="left"/>
              <w:rPr>
                <w:rFonts w:hint="eastAsia" w:cs="宋体"/>
                <w:kern w:val="0"/>
                <w:sz w:val="22"/>
                <w:szCs w:val="22"/>
              </w:rPr>
            </w:pPr>
            <w:r>
              <w:rPr>
                <w:rFonts w:hint="eastAsia" w:cs="宋体"/>
                <w:kern w:val="0"/>
                <w:sz w:val="22"/>
                <w:szCs w:val="22"/>
              </w:rPr>
              <w:t>无人机地面工作站</w:t>
            </w:r>
          </w:p>
        </w:tc>
        <w:tc>
          <w:tcPr>
            <w:tcW w:w="5386" w:type="dxa"/>
            <w:vAlign w:val="center"/>
          </w:tcPr>
          <w:p w14:paraId="2E8F4C5A">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处理器：国产处理器</w:t>
            </w:r>
            <w:r>
              <w:rPr>
                <w:rFonts w:hint="eastAsia" w:cs="宋体"/>
                <w:kern w:val="0"/>
                <w:sz w:val="22"/>
                <w:szCs w:val="22"/>
              </w:rPr>
              <w:br w:type="textWrapping"/>
            </w:r>
            <w:r>
              <w:rPr>
                <w:rFonts w:hint="eastAsia" w:cs="宋体"/>
                <w:kern w:val="0"/>
                <w:sz w:val="22"/>
                <w:szCs w:val="22"/>
              </w:rPr>
              <w:t>内存：32GB DDR5（最高支持4根内存128G）</w:t>
            </w:r>
            <w:r>
              <w:rPr>
                <w:rFonts w:hint="eastAsia" w:cs="宋体"/>
                <w:kern w:val="0"/>
                <w:sz w:val="22"/>
                <w:szCs w:val="22"/>
              </w:rPr>
              <w:br w:type="textWrapping"/>
            </w:r>
            <w:r>
              <w:rPr>
                <w:rFonts w:hint="eastAsia" w:cs="宋体"/>
                <w:kern w:val="0"/>
                <w:sz w:val="22"/>
                <w:szCs w:val="22"/>
              </w:rPr>
              <w:t>网络：板载千兆RJ45网口（选配无线网卡）</w:t>
            </w:r>
            <w:r>
              <w:rPr>
                <w:rFonts w:hint="eastAsia" w:cs="宋体"/>
                <w:kern w:val="0"/>
                <w:sz w:val="22"/>
                <w:szCs w:val="22"/>
              </w:rPr>
              <w:br w:type="textWrapping"/>
            </w:r>
            <w:r>
              <w:rPr>
                <w:rFonts w:hint="eastAsia" w:cs="宋体"/>
                <w:kern w:val="0"/>
                <w:sz w:val="22"/>
                <w:szCs w:val="22"/>
              </w:rPr>
              <w:t>硬盘：1T SSD（最高支持2个3.5寸+1个2.5寸硬盘，支持1个M.2 SSD）</w:t>
            </w:r>
          </w:p>
          <w:p w14:paraId="0B964468">
            <w:pPr>
              <w:keepNext w:val="0"/>
              <w:keepLines w:val="0"/>
              <w:widowControl/>
              <w:suppressLineNumbers w:val="0"/>
              <w:spacing w:before="0" w:beforeAutospacing="0" w:after="0" w:afterAutospacing="0" w:line="240" w:lineRule="auto"/>
              <w:ind w:left="0" w:right="0" w:firstLine="0" w:firstLineChars="0"/>
              <w:jc w:val="both"/>
              <w:rPr>
                <w:rFonts w:hint="eastAsia" w:cs="宋体"/>
                <w:kern w:val="0"/>
                <w:sz w:val="22"/>
                <w:szCs w:val="22"/>
              </w:rPr>
            </w:pPr>
            <w:r>
              <w:rPr>
                <w:rFonts w:hint="eastAsia" w:cs="宋体"/>
                <w:kern w:val="0"/>
                <w:sz w:val="22"/>
                <w:szCs w:val="22"/>
              </w:rPr>
              <w:t>电源：600W/1200W（根据显卡选配）</w:t>
            </w:r>
            <w:r>
              <w:rPr>
                <w:rFonts w:hint="eastAsia" w:cs="宋体"/>
                <w:kern w:val="0"/>
                <w:sz w:val="22"/>
                <w:szCs w:val="22"/>
              </w:rPr>
              <w:br w:type="textWrapping"/>
            </w:r>
            <w:r>
              <w:rPr>
                <w:rFonts w:hint="eastAsia" w:cs="宋体"/>
                <w:kern w:val="0"/>
                <w:sz w:val="22"/>
                <w:szCs w:val="22"/>
              </w:rPr>
              <w:t>显卡：国产独立显卡（≥显存12GB）*1</w:t>
            </w:r>
          </w:p>
        </w:tc>
        <w:tc>
          <w:tcPr>
            <w:tcW w:w="567" w:type="dxa"/>
            <w:noWrap/>
            <w:vAlign w:val="center"/>
          </w:tcPr>
          <w:p w14:paraId="21E3E18F">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125</w:t>
            </w:r>
          </w:p>
        </w:tc>
        <w:tc>
          <w:tcPr>
            <w:tcW w:w="510" w:type="dxa"/>
            <w:noWrap/>
            <w:vAlign w:val="center"/>
          </w:tcPr>
          <w:p w14:paraId="4FA1593E">
            <w:pPr>
              <w:keepNext w:val="0"/>
              <w:keepLines w:val="0"/>
              <w:widowControl/>
              <w:suppressLineNumbers w:val="0"/>
              <w:spacing w:before="0" w:beforeAutospacing="0" w:after="0" w:afterAutospacing="0" w:line="240" w:lineRule="auto"/>
              <w:ind w:left="0" w:right="0" w:firstLine="0" w:firstLineChars="0"/>
              <w:jc w:val="center"/>
              <w:rPr>
                <w:rFonts w:hint="eastAsia" w:cs="宋体"/>
                <w:kern w:val="0"/>
                <w:sz w:val="22"/>
                <w:szCs w:val="22"/>
              </w:rPr>
            </w:pPr>
            <w:r>
              <w:rPr>
                <w:rFonts w:hint="eastAsia" w:cs="宋体"/>
                <w:kern w:val="0"/>
                <w:sz w:val="22"/>
                <w:szCs w:val="22"/>
              </w:rPr>
              <w:t>台</w:t>
            </w:r>
          </w:p>
        </w:tc>
      </w:tr>
    </w:tbl>
    <w:p w14:paraId="4C433209">
      <w:pPr>
        <w:ind w:firstLine="0" w:firstLineChars="0"/>
        <w:rPr>
          <w:rFonts w:hint="eastAsia"/>
        </w:rPr>
      </w:pPr>
    </w:p>
    <w:p w14:paraId="1B92E713">
      <w:pPr>
        <w:pStyle w:val="3"/>
        <w:rPr>
          <w:rFonts w:hint="eastAsia"/>
        </w:rPr>
      </w:pPr>
      <w:r>
        <w:rPr>
          <w:rFonts w:hint="eastAsia"/>
        </w:rPr>
        <w:t>产品软件购置清单</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1179"/>
        <w:gridCol w:w="851"/>
        <w:gridCol w:w="4606"/>
        <w:gridCol w:w="631"/>
        <w:gridCol w:w="631"/>
      </w:tblGrid>
      <w:tr w14:paraId="3551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noWrap/>
            <w:vAlign w:val="center"/>
          </w:tcPr>
          <w:p w14:paraId="50E653B8">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序号</w:t>
            </w:r>
          </w:p>
        </w:tc>
        <w:tc>
          <w:tcPr>
            <w:tcW w:w="1179" w:type="dxa"/>
            <w:vAlign w:val="center"/>
          </w:tcPr>
          <w:p w14:paraId="4B88E6B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类别</w:t>
            </w:r>
          </w:p>
        </w:tc>
        <w:tc>
          <w:tcPr>
            <w:tcW w:w="851" w:type="dxa"/>
            <w:noWrap/>
            <w:vAlign w:val="center"/>
          </w:tcPr>
          <w:p w14:paraId="05D38B6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软件名称</w:t>
            </w:r>
          </w:p>
        </w:tc>
        <w:tc>
          <w:tcPr>
            <w:tcW w:w="4606" w:type="dxa"/>
            <w:noWrap/>
            <w:vAlign w:val="center"/>
          </w:tcPr>
          <w:p w14:paraId="6558378D">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配置要求</w:t>
            </w:r>
          </w:p>
        </w:tc>
        <w:tc>
          <w:tcPr>
            <w:tcW w:w="631" w:type="dxa"/>
            <w:noWrap/>
            <w:vAlign w:val="center"/>
          </w:tcPr>
          <w:p w14:paraId="3223C19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数量</w:t>
            </w:r>
          </w:p>
        </w:tc>
        <w:tc>
          <w:tcPr>
            <w:tcW w:w="631" w:type="dxa"/>
            <w:noWrap/>
            <w:vAlign w:val="center"/>
          </w:tcPr>
          <w:p w14:paraId="7525282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单位</w:t>
            </w:r>
          </w:p>
        </w:tc>
      </w:tr>
      <w:tr w14:paraId="6741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noWrap/>
            <w:vAlign w:val="center"/>
          </w:tcPr>
          <w:p w14:paraId="3FF6655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1</w:t>
            </w:r>
          </w:p>
        </w:tc>
        <w:tc>
          <w:tcPr>
            <w:tcW w:w="1179" w:type="dxa"/>
            <w:vAlign w:val="center"/>
          </w:tcPr>
          <w:p w14:paraId="52AA516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警用物联设备安全接入（公安信息网物联设备接入区）</w:t>
            </w:r>
          </w:p>
        </w:tc>
        <w:tc>
          <w:tcPr>
            <w:tcW w:w="851" w:type="dxa"/>
            <w:noWrap/>
            <w:vAlign w:val="center"/>
          </w:tcPr>
          <w:p w14:paraId="1DDE85C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1"/>
                <w:szCs w:val="21"/>
              </w:rPr>
            </w:pPr>
            <w:r>
              <w:rPr>
                <w:rFonts w:hint="eastAsia" w:cs="宋体"/>
                <w:color w:val="000000"/>
                <w:kern w:val="0"/>
                <w:sz w:val="21"/>
                <w:szCs w:val="21"/>
              </w:rPr>
              <w:t>物联设备软件开发工具包</w:t>
            </w:r>
          </w:p>
        </w:tc>
        <w:tc>
          <w:tcPr>
            <w:tcW w:w="4606" w:type="dxa"/>
            <w:vAlign w:val="center"/>
          </w:tcPr>
          <w:p w14:paraId="66FBBCF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1"/>
                <w:szCs w:val="21"/>
              </w:rPr>
            </w:pPr>
            <w:r>
              <w:rPr>
                <w:rFonts w:hint="eastAsia" w:cs="宋体"/>
                <w:color w:val="000000"/>
                <w:kern w:val="0"/>
                <w:sz w:val="21"/>
                <w:szCs w:val="21"/>
              </w:rPr>
              <w:t>软件形态，与物联设备在线发证系统协同运算。适配物联设备，实现物联设备具备身份认证、重要数据加解密以及与SDP建立通信加密的国密安全通道能力，针对不同的终端环境均需适配。</w:t>
            </w:r>
          </w:p>
        </w:tc>
        <w:tc>
          <w:tcPr>
            <w:tcW w:w="631" w:type="dxa"/>
            <w:noWrap/>
            <w:vAlign w:val="center"/>
          </w:tcPr>
          <w:p w14:paraId="0F36AB4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4</w:t>
            </w:r>
          </w:p>
        </w:tc>
        <w:tc>
          <w:tcPr>
            <w:tcW w:w="631" w:type="dxa"/>
            <w:noWrap/>
            <w:vAlign w:val="center"/>
          </w:tcPr>
          <w:p w14:paraId="16D4E68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套</w:t>
            </w:r>
          </w:p>
        </w:tc>
      </w:tr>
      <w:tr w14:paraId="624C8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noWrap/>
            <w:vAlign w:val="center"/>
          </w:tcPr>
          <w:p w14:paraId="188FA222">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2</w:t>
            </w:r>
          </w:p>
        </w:tc>
        <w:tc>
          <w:tcPr>
            <w:tcW w:w="1179" w:type="dxa"/>
            <w:vMerge w:val="restart"/>
            <w:vAlign w:val="center"/>
          </w:tcPr>
          <w:p w14:paraId="38ADBEA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数据安全产品</w:t>
            </w:r>
          </w:p>
        </w:tc>
        <w:tc>
          <w:tcPr>
            <w:tcW w:w="851" w:type="dxa"/>
            <w:noWrap/>
            <w:vAlign w:val="center"/>
          </w:tcPr>
          <w:p w14:paraId="6E94A4D5">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1"/>
                <w:szCs w:val="21"/>
              </w:rPr>
            </w:pPr>
            <w:r>
              <w:rPr>
                <w:rFonts w:hint="eastAsia" w:cs="宋体"/>
                <w:color w:val="000000"/>
                <w:kern w:val="0"/>
                <w:sz w:val="21"/>
                <w:szCs w:val="21"/>
              </w:rPr>
              <w:t>API安全监测与访问控制系统</w:t>
            </w:r>
          </w:p>
        </w:tc>
        <w:tc>
          <w:tcPr>
            <w:tcW w:w="4606" w:type="dxa"/>
            <w:vAlign w:val="center"/>
          </w:tcPr>
          <w:p w14:paraId="7252296D">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1"/>
                <w:szCs w:val="21"/>
              </w:rPr>
            </w:pPr>
            <w:r>
              <w:rPr>
                <w:rFonts w:hint="eastAsia" w:cs="宋体"/>
                <w:color w:val="000000"/>
                <w:kern w:val="0"/>
                <w:sz w:val="21"/>
                <w:szCs w:val="21"/>
              </w:rPr>
              <w:t>以统一服务网关为核心入口，提供API注册、授权、发布、路由转发、协议转换、限流熔断、访问控制、传输加密与全生命周期管理能力，支持多版本灰度发布、服务监控告警、运营统计分析，可实现内部微服务、外部接口、第三方能力的集中接入与安全开放，帮助组织构建标准化、可管控、高可用的服务集成与开放体系，有效降低系统集成复杂度、保障服务调用安全与稳定运行。</w:t>
            </w:r>
          </w:p>
        </w:tc>
        <w:tc>
          <w:tcPr>
            <w:tcW w:w="631" w:type="dxa"/>
            <w:noWrap/>
            <w:vAlign w:val="center"/>
          </w:tcPr>
          <w:p w14:paraId="59CAFB5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1</w:t>
            </w:r>
          </w:p>
        </w:tc>
        <w:tc>
          <w:tcPr>
            <w:tcW w:w="631" w:type="dxa"/>
            <w:noWrap/>
            <w:vAlign w:val="center"/>
          </w:tcPr>
          <w:p w14:paraId="2A7750CA">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套</w:t>
            </w:r>
          </w:p>
        </w:tc>
      </w:tr>
      <w:tr w14:paraId="36F7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0" w:type="dxa"/>
            <w:noWrap/>
            <w:vAlign w:val="center"/>
          </w:tcPr>
          <w:p w14:paraId="39BBE4BA">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3</w:t>
            </w:r>
          </w:p>
        </w:tc>
        <w:tc>
          <w:tcPr>
            <w:tcW w:w="1179" w:type="dxa"/>
            <w:vMerge w:val="continue"/>
            <w:vAlign w:val="center"/>
          </w:tcPr>
          <w:p w14:paraId="3261CC88">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p>
        </w:tc>
        <w:tc>
          <w:tcPr>
            <w:tcW w:w="851" w:type="dxa"/>
            <w:noWrap/>
            <w:vAlign w:val="center"/>
          </w:tcPr>
          <w:p w14:paraId="21D8133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1"/>
                <w:szCs w:val="21"/>
              </w:rPr>
            </w:pPr>
            <w:r>
              <w:rPr>
                <w:rFonts w:hint="eastAsia" w:cs="宋体"/>
                <w:color w:val="000000"/>
                <w:kern w:val="0"/>
                <w:sz w:val="21"/>
                <w:szCs w:val="21"/>
              </w:rPr>
              <w:t>数据全态脱敏工具</w:t>
            </w:r>
          </w:p>
        </w:tc>
        <w:tc>
          <w:tcPr>
            <w:tcW w:w="4606" w:type="dxa"/>
            <w:vAlign w:val="center"/>
          </w:tcPr>
          <w:p w14:paraId="456FADA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1"/>
                <w:szCs w:val="21"/>
              </w:rPr>
            </w:pPr>
            <w:r>
              <w:rPr>
                <w:rFonts w:hint="eastAsia" w:cs="宋体"/>
                <w:color w:val="000000"/>
                <w:kern w:val="0"/>
                <w:sz w:val="21"/>
                <w:szCs w:val="21"/>
              </w:rPr>
              <w:t>提供数据服务全流程敏感数据安全防护，可在数据输出环节对身份证号、手机号、银行卡号、个人信息等敏感数据，采用多种专业脱敏算法进行安全处理，包括不可逆加密算法（MD5、SHA256）、可逆脱敏算法（AES、RSA）及格式保留脱敏算法。产品具备高效脱敏能力，单条数据脱敏响应时间≤10ms，批量处理峰值不低于10万条/秒，支持高并发场景稳定运行。同时适配系统测试、数据运维、数据分析、数据共享等多业务场景，可灵活配置脱敏对象、脱敏规则，支持自定义脱敏策略，兼顾数据安全性与业务可用性，从源头阻断敏感信息外泄路径，为企业数据安全合规提供可靠技术支撑，满足各行业数据安全监管要求。</w:t>
            </w:r>
          </w:p>
        </w:tc>
        <w:tc>
          <w:tcPr>
            <w:tcW w:w="631" w:type="dxa"/>
            <w:noWrap/>
            <w:vAlign w:val="center"/>
          </w:tcPr>
          <w:p w14:paraId="1DCF6876">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1</w:t>
            </w:r>
          </w:p>
        </w:tc>
        <w:tc>
          <w:tcPr>
            <w:tcW w:w="631" w:type="dxa"/>
            <w:noWrap/>
            <w:vAlign w:val="center"/>
          </w:tcPr>
          <w:p w14:paraId="045AF13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套</w:t>
            </w:r>
          </w:p>
        </w:tc>
      </w:tr>
      <w:tr w14:paraId="548B9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noWrap/>
            <w:vAlign w:val="center"/>
          </w:tcPr>
          <w:p w14:paraId="086AAC6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4</w:t>
            </w:r>
          </w:p>
        </w:tc>
        <w:tc>
          <w:tcPr>
            <w:tcW w:w="1179" w:type="dxa"/>
            <w:vMerge w:val="continue"/>
            <w:vAlign w:val="center"/>
          </w:tcPr>
          <w:p w14:paraId="4FF90428">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p>
        </w:tc>
        <w:tc>
          <w:tcPr>
            <w:tcW w:w="851" w:type="dxa"/>
            <w:noWrap/>
            <w:vAlign w:val="center"/>
          </w:tcPr>
          <w:p w14:paraId="75AE64E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1"/>
                <w:szCs w:val="21"/>
              </w:rPr>
            </w:pPr>
            <w:r>
              <w:rPr>
                <w:rFonts w:hint="eastAsia" w:cs="宋体"/>
                <w:color w:val="000000"/>
                <w:kern w:val="0"/>
                <w:sz w:val="21"/>
                <w:szCs w:val="21"/>
              </w:rPr>
              <w:t>数据库安全防护工具</w:t>
            </w:r>
          </w:p>
        </w:tc>
        <w:tc>
          <w:tcPr>
            <w:tcW w:w="4606" w:type="dxa"/>
            <w:vAlign w:val="center"/>
          </w:tcPr>
          <w:p w14:paraId="2DB375E1">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1"/>
                <w:szCs w:val="21"/>
              </w:rPr>
            </w:pPr>
            <w:r>
              <w:rPr>
                <w:rFonts w:hint="eastAsia" w:cs="宋体"/>
                <w:color w:val="000000"/>
                <w:kern w:val="0"/>
                <w:sz w:val="21"/>
                <w:szCs w:val="21"/>
              </w:rPr>
              <w:t>采用SM4算法对重要数据进行加密存储，确保数据在存储过程中的机密性。</w:t>
            </w:r>
          </w:p>
        </w:tc>
        <w:tc>
          <w:tcPr>
            <w:tcW w:w="631" w:type="dxa"/>
            <w:noWrap/>
            <w:vAlign w:val="center"/>
          </w:tcPr>
          <w:p w14:paraId="4FB5FC56">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1</w:t>
            </w:r>
          </w:p>
        </w:tc>
        <w:tc>
          <w:tcPr>
            <w:tcW w:w="631" w:type="dxa"/>
            <w:noWrap/>
            <w:vAlign w:val="center"/>
          </w:tcPr>
          <w:p w14:paraId="7F1A324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套</w:t>
            </w:r>
          </w:p>
        </w:tc>
      </w:tr>
      <w:tr w14:paraId="7C4E0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noWrap/>
            <w:vAlign w:val="center"/>
          </w:tcPr>
          <w:p w14:paraId="4265C22E">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5</w:t>
            </w:r>
          </w:p>
        </w:tc>
        <w:tc>
          <w:tcPr>
            <w:tcW w:w="1179" w:type="dxa"/>
            <w:vMerge w:val="continue"/>
            <w:vAlign w:val="center"/>
          </w:tcPr>
          <w:p w14:paraId="697A7BA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p>
        </w:tc>
        <w:tc>
          <w:tcPr>
            <w:tcW w:w="851" w:type="dxa"/>
            <w:noWrap/>
            <w:vAlign w:val="center"/>
          </w:tcPr>
          <w:p w14:paraId="6845A23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1"/>
                <w:szCs w:val="21"/>
              </w:rPr>
            </w:pPr>
            <w:r>
              <w:rPr>
                <w:rFonts w:hint="eastAsia" w:cs="宋体"/>
                <w:color w:val="000000"/>
                <w:kern w:val="0"/>
                <w:sz w:val="21"/>
                <w:szCs w:val="21"/>
              </w:rPr>
              <w:t>数据水印溯源</w:t>
            </w:r>
          </w:p>
        </w:tc>
        <w:tc>
          <w:tcPr>
            <w:tcW w:w="4606" w:type="dxa"/>
            <w:vAlign w:val="center"/>
          </w:tcPr>
          <w:p w14:paraId="344E80A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1"/>
                <w:szCs w:val="21"/>
              </w:rPr>
            </w:pPr>
            <w:r>
              <w:rPr>
                <w:rFonts w:hint="eastAsia" w:cs="宋体"/>
                <w:color w:val="000000"/>
                <w:kern w:val="0"/>
                <w:sz w:val="21"/>
                <w:szCs w:val="21"/>
              </w:rPr>
              <w:t>数据水印溯源工具核心提供水印嵌入管理功能，可对各类信息水印进行全生命周期管理与精准控制，针对文本、图片、文档、数据库等不同格式数据，采用对应水印编码处理方案，确保水印嵌入后对原有业务信息的可读性、可用性基本无影响，嵌入后数据大小偏差≤5%，不干扰正常业务流转。产品支持可见水印与不可见水印双重模式，不可见水印采用盲提取算法，提取成功率≥99.5%，可抵御裁剪、压缩、格式转换等常见数据篡改操作。嵌入响应时间≤50ms，批量处理能力达5万条/分钟，支持高并发嵌入需求。同时具备精准溯源能力，可嵌入用户标识、时间戳等溯源信息，水印篡改可快速报警，溯源定位精度达100%，为数据泄露、篡改事件提供可追溯依据，满足企业数据溯源合规要求，适配数据共享、版权保护、数据审计等多业务场景。</w:t>
            </w:r>
          </w:p>
        </w:tc>
        <w:tc>
          <w:tcPr>
            <w:tcW w:w="631" w:type="dxa"/>
            <w:noWrap/>
            <w:vAlign w:val="center"/>
          </w:tcPr>
          <w:p w14:paraId="543DB43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1</w:t>
            </w:r>
          </w:p>
        </w:tc>
        <w:tc>
          <w:tcPr>
            <w:tcW w:w="631" w:type="dxa"/>
            <w:noWrap/>
            <w:vAlign w:val="center"/>
          </w:tcPr>
          <w:p w14:paraId="337AAAD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1"/>
                <w:szCs w:val="21"/>
              </w:rPr>
            </w:pPr>
            <w:r>
              <w:rPr>
                <w:rFonts w:hint="eastAsia" w:cs="宋体"/>
                <w:color w:val="000000"/>
                <w:kern w:val="0"/>
                <w:sz w:val="21"/>
                <w:szCs w:val="21"/>
              </w:rPr>
              <w:t>套</w:t>
            </w:r>
          </w:p>
        </w:tc>
      </w:tr>
    </w:tbl>
    <w:p w14:paraId="3FA9D2AE">
      <w:pPr>
        <w:ind w:firstLine="0" w:firstLineChars="0"/>
        <w:rPr>
          <w:rFonts w:hint="eastAsia"/>
        </w:rPr>
      </w:pPr>
    </w:p>
    <w:p w14:paraId="00D9F6DD">
      <w:pPr>
        <w:pStyle w:val="3"/>
        <w:rPr>
          <w:rFonts w:hint="eastAsia"/>
        </w:rPr>
      </w:pPr>
      <w:r>
        <w:rPr>
          <w:rFonts w:hint="eastAsia"/>
        </w:rPr>
        <w:t>服务采购清单</w:t>
      </w:r>
    </w:p>
    <w:tbl>
      <w:tblPr>
        <w:tblStyle w:val="35"/>
        <w:tblW w:w="0" w:type="auto"/>
        <w:tblInd w:w="113" w:type="dxa"/>
        <w:tblLayout w:type="autofit"/>
        <w:tblCellMar>
          <w:top w:w="0" w:type="dxa"/>
          <w:left w:w="108" w:type="dxa"/>
          <w:bottom w:w="0" w:type="dxa"/>
          <w:right w:w="108" w:type="dxa"/>
        </w:tblCellMar>
      </w:tblPr>
      <w:tblGrid>
        <w:gridCol w:w="656"/>
        <w:gridCol w:w="1891"/>
        <w:gridCol w:w="4446"/>
        <w:gridCol w:w="766"/>
        <w:gridCol w:w="656"/>
      </w:tblGrid>
      <w:tr w14:paraId="22920DFF">
        <w:tblPrEx>
          <w:tblCellMar>
            <w:top w:w="0" w:type="dxa"/>
            <w:left w:w="108" w:type="dxa"/>
            <w:bottom w:w="0" w:type="dxa"/>
            <w:right w:w="108" w:type="dxa"/>
          </w:tblCellMar>
        </w:tblPrEx>
        <w:trPr>
          <w:trHeight w:val="285" w:hRule="atLeast"/>
        </w:trPr>
        <w:tc>
          <w:tcPr>
            <w:tcW w:w="656" w:type="dxa"/>
            <w:tcBorders>
              <w:top w:val="single" w:color="auto" w:sz="4" w:space="0"/>
              <w:left w:val="single" w:color="auto" w:sz="4" w:space="0"/>
              <w:bottom w:val="single" w:color="auto" w:sz="4" w:space="0"/>
              <w:right w:val="single" w:color="auto" w:sz="4" w:space="0"/>
            </w:tcBorders>
            <w:noWrap/>
            <w:vAlign w:val="center"/>
          </w:tcPr>
          <w:p w14:paraId="7399C34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序号</w:t>
            </w:r>
          </w:p>
        </w:tc>
        <w:tc>
          <w:tcPr>
            <w:tcW w:w="1891" w:type="dxa"/>
            <w:tcBorders>
              <w:top w:val="single" w:color="auto" w:sz="4" w:space="0"/>
              <w:left w:val="nil"/>
              <w:bottom w:val="single" w:color="auto" w:sz="4" w:space="0"/>
              <w:right w:val="single" w:color="auto" w:sz="4" w:space="0"/>
            </w:tcBorders>
            <w:vAlign w:val="center"/>
          </w:tcPr>
          <w:p w14:paraId="527AF26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服务名称</w:t>
            </w:r>
          </w:p>
        </w:tc>
        <w:tc>
          <w:tcPr>
            <w:tcW w:w="4446" w:type="dxa"/>
            <w:tcBorders>
              <w:top w:val="single" w:color="auto" w:sz="4" w:space="0"/>
              <w:left w:val="nil"/>
              <w:bottom w:val="single" w:color="auto" w:sz="4" w:space="0"/>
              <w:right w:val="single" w:color="auto" w:sz="4" w:space="0"/>
            </w:tcBorders>
            <w:vAlign w:val="center"/>
          </w:tcPr>
          <w:p w14:paraId="180C17B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服务内容</w:t>
            </w:r>
          </w:p>
        </w:tc>
        <w:tc>
          <w:tcPr>
            <w:tcW w:w="0" w:type="auto"/>
            <w:tcBorders>
              <w:top w:val="single" w:color="auto" w:sz="4" w:space="0"/>
              <w:left w:val="nil"/>
              <w:bottom w:val="single" w:color="auto" w:sz="4" w:space="0"/>
              <w:right w:val="single" w:color="auto" w:sz="4" w:space="0"/>
            </w:tcBorders>
            <w:noWrap/>
            <w:vAlign w:val="center"/>
          </w:tcPr>
          <w:p w14:paraId="562A6DA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数量</w:t>
            </w:r>
          </w:p>
        </w:tc>
        <w:tc>
          <w:tcPr>
            <w:tcW w:w="0" w:type="auto"/>
            <w:tcBorders>
              <w:top w:val="single" w:color="auto" w:sz="4" w:space="0"/>
              <w:left w:val="nil"/>
              <w:bottom w:val="single" w:color="auto" w:sz="4" w:space="0"/>
              <w:right w:val="single" w:color="auto" w:sz="4" w:space="0"/>
            </w:tcBorders>
            <w:noWrap/>
            <w:vAlign w:val="center"/>
          </w:tcPr>
          <w:p w14:paraId="609680A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单位</w:t>
            </w:r>
          </w:p>
        </w:tc>
      </w:tr>
      <w:tr w14:paraId="0AF45D26">
        <w:tblPrEx>
          <w:tblCellMar>
            <w:top w:w="0" w:type="dxa"/>
            <w:left w:w="108" w:type="dxa"/>
            <w:bottom w:w="0" w:type="dxa"/>
            <w:right w:w="108" w:type="dxa"/>
          </w:tblCellMar>
        </w:tblPrEx>
        <w:trPr>
          <w:trHeight w:val="540" w:hRule="atLeast"/>
        </w:trPr>
        <w:tc>
          <w:tcPr>
            <w:tcW w:w="656" w:type="dxa"/>
            <w:tcBorders>
              <w:top w:val="nil"/>
              <w:left w:val="single" w:color="auto" w:sz="4" w:space="0"/>
              <w:bottom w:val="single" w:color="auto" w:sz="4" w:space="0"/>
              <w:right w:val="single" w:color="auto" w:sz="4" w:space="0"/>
            </w:tcBorders>
            <w:noWrap/>
            <w:vAlign w:val="center"/>
          </w:tcPr>
          <w:p w14:paraId="749FAB0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w:t>
            </w:r>
          </w:p>
        </w:tc>
        <w:tc>
          <w:tcPr>
            <w:tcW w:w="1891" w:type="dxa"/>
            <w:tcBorders>
              <w:top w:val="nil"/>
              <w:left w:val="nil"/>
              <w:bottom w:val="single" w:color="auto" w:sz="4" w:space="0"/>
              <w:right w:val="single" w:color="auto" w:sz="4" w:space="0"/>
            </w:tcBorders>
            <w:vAlign w:val="center"/>
          </w:tcPr>
          <w:p w14:paraId="74C9A7B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警用物联设备安全接入（运营商安全资源池服务）</w:t>
            </w:r>
          </w:p>
        </w:tc>
        <w:tc>
          <w:tcPr>
            <w:tcW w:w="4446" w:type="dxa"/>
            <w:tcBorders>
              <w:top w:val="nil"/>
              <w:left w:val="nil"/>
              <w:bottom w:val="single" w:color="auto" w:sz="4" w:space="0"/>
              <w:right w:val="single" w:color="auto" w:sz="4" w:space="0"/>
            </w:tcBorders>
            <w:vAlign w:val="center"/>
          </w:tcPr>
          <w:p w14:paraId="2F01C2D3">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警用无人机、探测反制设备等终端一共按1000个测算，服务时间为1年。</w:t>
            </w:r>
          </w:p>
        </w:tc>
        <w:tc>
          <w:tcPr>
            <w:tcW w:w="0" w:type="auto"/>
            <w:tcBorders>
              <w:top w:val="nil"/>
              <w:left w:val="nil"/>
              <w:bottom w:val="single" w:color="auto" w:sz="4" w:space="0"/>
              <w:right w:val="single" w:color="auto" w:sz="4" w:space="0"/>
            </w:tcBorders>
            <w:noWrap/>
            <w:vAlign w:val="center"/>
          </w:tcPr>
          <w:p w14:paraId="75EF44F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12000</w:t>
            </w:r>
          </w:p>
        </w:tc>
        <w:tc>
          <w:tcPr>
            <w:tcW w:w="0" w:type="auto"/>
            <w:tcBorders>
              <w:top w:val="nil"/>
              <w:left w:val="nil"/>
              <w:bottom w:val="single" w:color="auto" w:sz="4" w:space="0"/>
              <w:right w:val="single" w:color="auto" w:sz="4" w:space="0"/>
            </w:tcBorders>
            <w:noWrap/>
            <w:vAlign w:val="center"/>
          </w:tcPr>
          <w:p w14:paraId="36B8D34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31834371">
        <w:tblPrEx>
          <w:tblCellMar>
            <w:top w:w="0" w:type="dxa"/>
            <w:left w:w="108" w:type="dxa"/>
            <w:bottom w:w="0" w:type="dxa"/>
            <w:right w:w="108" w:type="dxa"/>
          </w:tblCellMar>
        </w:tblPrEx>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476A2B4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2</w:t>
            </w:r>
          </w:p>
        </w:tc>
        <w:tc>
          <w:tcPr>
            <w:tcW w:w="1891" w:type="dxa"/>
            <w:vMerge w:val="restart"/>
            <w:tcBorders>
              <w:top w:val="nil"/>
              <w:left w:val="single" w:color="auto" w:sz="4" w:space="0"/>
              <w:bottom w:val="single" w:color="auto" w:sz="4" w:space="0"/>
              <w:right w:val="single" w:color="auto" w:sz="4" w:space="0"/>
            </w:tcBorders>
            <w:vAlign w:val="center"/>
          </w:tcPr>
          <w:p w14:paraId="7ED6BC3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云基础设施服务</w:t>
            </w:r>
          </w:p>
        </w:tc>
        <w:tc>
          <w:tcPr>
            <w:tcW w:w="4446" w:type="dxa"/>
            <w:tcBorders>
              <w:top w:val="nil"/>
              <w:left w:val="nil"/>
              <w:bottom w:val="single" w:color="auto" w:sz="4" w:space="0"/>
              <w:right w:val="single" w:color="auto" w:sz="4" w:space="0"/>
            </w:tcBorders>
            <w:vAlign w:val="center"/>
          </w:tcPr>
          <w:p w14:paraId="1C64E4D9">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CPU</w:t>
            </w:r>
          </w:p>
        </w:tc>
        <w:tc>
          <w:tcPr>
            <w:tcW w:w="0" w:type="auto"/>
            <w:tcBorders>
              <w:top w:val="nil"/>
              <w:left w:val="nil"/>
              <w:bottom w:val="single" w:color="auto" w:sz="4" w:space="0"/>
              <w:right w:val="single" w:color="auto" w:sz="4" w:space="0"/>
            </w:tcBorders>
            <w:noWrap/>
            <w:vAlign w:val="center"/>
          </w:tcPr>
          <w:p w14:paraId="602B60A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4616</w:t>
            </w:r>
          </w:p>
        </w:tc>
        <w:tc>
          <w:tcPr>
            <w:tcW w:w="0" w:type="auto"/>
            <w:tcBorders>
              <w:top w:val="nil"/>
              <w:left w:val="nil"/>
              <w:bottom w:val="single" w:color="auto" w:sz="4" w:space="0"/>
              <w:right w:val="single" w:color="auto" w:sz="4" w:space="0"/>
            </w:tcBorders>
            <w:noWrap/>
            <w:vAlign w:val="center"/>
          </w:tcPr>
          <w:p w14:paraId="78230E36">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核</w:t>
            </w:r>
          </w:p>
        </w:tc>
      </w:tr>
      <w:tr w14:paraId="583BF12C">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54EA0D5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3</w:t>
            </w:r>
          </w:p>
        </w:tc>
        <w:tc>
          <w:tcPr>
            <w:tcW w:w="1891" w:type="dxa"/>
            <w:vMerge w:val="continue"/>
            <w:tcBorders>
              <w:top w:val="nil"/>
              <w:left w:val="single" w:color="auto" w:sz="4" w:space="0"/>
              <w:bottom w:val="single" w:color="auto" w:sz="4" w:space="0"/>
              <w:right w:val="single" w:color="auto" w:sz="4" w:space="0"/>
            </w:tcBorders>
            <w:vAlign w:val="center"/>
          </w:tcPr>
          <w:p w14:paraId="3575000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79BD3C49">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内存</w:t>
            </w:r>
          </w:p>
        </w:tc>
        <w:tc>
          <w:tcPr>
            <w:tcW w:w="0" w:type="auto"/>
            <w:tcBorders>
              <w:top w:val="nil"/>
              <w:left w:val="nil"/>
              <w:bottom w:val="single" w:color="auto" w:sz="4" w:space="0"/>
              <w:right w:val="single" w:color="auto" w:sz="4" w:space="0"/>
            </w:tcBorders>
            <w:noWrap/>
            <w:vAlign w:val="center"/>
          </w:tcPr>
          <w:p w14:paraId="765C864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16400</w:t>
            </w:r>
          </w:p>
        </w:tc>
        <w:tc>
          <w:tcPr>
            <w:tcW w:w="0" w:type="auto"/>
            <w:tcBorders>
              <w:top w:val="nil"/>
              <w:left w:val="nil"/>
              <w:bottom w:val="single" w:color="auto" w:sz="4" w:space="0"/>
              <w:right w:val="single" w:color="auto" w:sz="4" w:space="0"/>
            </w:tcBorders>
            <w:noWrap/>
            <w:vAlign w:val="center"/>
          </w:tcPr>
          <w:p w14:paraId="58814A3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GB</w:t>
            </w:r>
          </w:p>
        </w:tc>
      </w:tr>
      <w:tr w14:paraId="67BDF499">
        <w:tblPrEx>
          <w:tblCellMar>
            <w:top w:w="0" w:type="dxa"/>
            <w:left w:w="108" w:type="dxa"/>
            <w:bottom w:w="0" w:type="dxa"/>
            <w:right w:w="108" w:type="dxa"/>
          </w:tblCellMar>
        </w:tblPrEx>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580F608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4</w:t>
            </w:r>
          </w:p>
        </w:tc>
        <w:tc>
          <w:tcPr>
            <w:tcW w:w="1891" w:type="dxa"/>
            <w:vMerge w:val="continue"/>
            <w:tcBorders>
              <w:top w:val="nil"/>
              <w:left w:val="single" w:color="auto" w:sz="4" w:space="0"/>
              <w:bottom w:val="single" w:color="auto" w:sz="4" w:space="0"/>
              <w:right w:val="single" w:color="auto" w:sz="4" w:space="0"/>
            </w:tcBorders>
            <w:vAlign w:val="center"/>
          </w:tcPr>
          <w:p w14:paraId="44C063E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7C62F22D">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系统盘</w:t>
            </w:r>
          </w:p>
        </w:tc>
        <w:tc>
          <w:tcPr>
            <w:tcW w:w="0" w:type="auto"/>
            <w:tcBorders>
              <w:top w:val="nil"/>
              <w:left w:val="nil"/>
              <w:bottom w:val="single" w:color="auto" w:sz="4" w:space="0"/>
              <w:right w:val="single" w:color="auto" w:sz="4" w:space="0"/>
            </w:tcBorders>
            <w:noWrap/>
            <w:vAlign w:val="center"/>
          </w:tcPr>
          <w:p w14:paraId="1FD62BE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43</w:t>
            </w:r>
          </w:p>
        </w:tc>
        <w:tc>
          <w:tcPr>
            <w:tcW w:w="0" w:type="auto"/>
            <w:tcBorders>
              <w:top w:val="nil"/>
              <w:left w:val="nil"/>
              <w:bottom w:val="single" w:color="auto" w:sz="4" w:space="0"/>
              <w:right w:val="single" w:color="auto" w:sz="4" w:space="0"/>
            </w:tcBorders>
            <w:noWrap/>
            <w:vAlign w:val="center"/>
          </w:tcPr>
          <w:p w14:paraId="7E5E3BED">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T</w:t>
            </w:r>
          </w:p>
        </w:tc>
      </w:tr>
      <w:tr w14:paraId="4BA4B230">
        <w:tblPrEx>
          <w:tblCellMar>
            <w:top w:w="0" w:type="dxa"/>
            <w:left w:w="108" w:type="dxa"/>
            <w:bottom w:w="0" w:type="dxa"/>
            <w:right w:w="108" w:type="dxa"/>
          </w:tblCellMar>
        </w:tblPrEx>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1C33CB0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5</w:t>
            </w:r>
          </w:p>
        </w:tc>
        <w:tc>
          <w:tcPr>
            <w:tcW w:w="1891" w:type="dxa"/>
            <w:vMerge w:val="continue"/>
            <w:tcBorders>
              <w:top w:val="nil"/>
              <w:left w:val="single" w:color="auto" w:sz="4" w:space="0"/>
              <w:bottom w:val="single" w:color="auto" w:sz="4" w:space="0"/>
              <w:right w:val="single" w:color="auto" w:sz="4" w:space="0"/>
            </w:tcBorders>
            <w:vAlign w:val="center"/>
          </w:tcPr>
          <w:p w14:paraId="660D2C9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5AAAA452">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数据存储</w:t>
            </w:r>
          </w:p>
        </w:tc>
        <w:tc>
          <w:tcPr>
            <w:tcW w:w="0" w:type="auto"/>
            <w:tcBorders>
              <w:top w:val="nil"/>
              <w:left w:val="nil"/>
              <w:bottom w:val="single" w:color="auto" w:sz="4" w:space="0"/>
              <w:right w:val="single" w:color="auto" w:sz="4" w:space="0"/>
            </w:tcBorders>
            <w:noWrap/>
            <w:vAlign w:val="center"/>
          </w:tcPr>
          <w:p w14:paraId="53033AE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503</w:t>
            </w:r>
          </w:p>
        </w:tc>
        <w:tc>
          <w:tcPr>
            <w:tcW w:w="0" w:type="auto"/>
            <w:tcBorders>
              <w:top w:val="nil"/>
              <w:left w:val="nil"/>
              <w:bottom w:val="single" w:color="auto" w:sz="4" w:space="0"/>
              <w:right w:val="single" w:color="auto" w:sz="4" w:space="0"/>
            </w:tcBorders>
            <w:noWrap/>
            <w:vAlign w:val="center"/>
          </w:tcPr>
          <w:p w14:paraId="22441DC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T</w:t>
            </w:r>
          </w:p>
        </w:tc>
      </w:tr>
      <w:tr w14:paraId="16CC3B24">
        <w:tblPrEx>
          <w:tblCellMar>
            <w:top w:w="0" w:type="dxa"/>
            <w:left w:w="108" w:type="dxa"/>
            <w:bottom w:w="0" w:type="dxa"/>
            <w:right w:w="108" w:type="dxa"/>
          </w:tblCellMar>
        </w:tblPrEx>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17214A3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6</w:t>
            </w:r>
          </w:p>
        </w:tc>
        <w:tc>
          <w:tcPr>
            <w:tcW w:w="1891" w:type="dxa"/>
            <w:vMerge w:val="continue"/>
            <w:tcBorders>
              <w:top w:val="nil"/>
              <w:left w:val="single" w:color="auto" w:sz="4" w:space="0"/>
              <w:bottom w:val="single" w:color="auto" w:sz="4" w:space="0"/>
              <w:right w:val="single" w:color="auto" w:sz="4" w:space="0"/>
            </w:tcBorders>
            <w:vAlign w:val="center"/>
          </w:tcPr>
          <w:p w14:paraId="2D0978C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69ACA7CE">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操作系统</w:t>
            </w:r>
          </w:p>
        </w:tc>
        <w:tc>
          <w:tcPr>
            <w:tcW w:w="0" w:type="auto"/>
            <w:tcBorders>
              <w:top w:val="nil"/>
              <w:left w:val="nil"/>
              <w:bottom w:val="single" w:color="auto" w:sz="4" w:space="0"/>
              <w:right w:val="single" w:color="auto" w:sz="4" w:space="0"/>
            </w:tcBorders>
            <w:noWrap/>
            <w:vAlign w:val="center"/>
          </w:tcPr>
          <w:p w14:paraId="3F26FB48">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155</w:t>
            </w:r>
          </w:p>
        </w:tc>
        <w:tc>
          <w:tcPr>
            <w:tcW w:w="0" w:type="auto"/>
            <w:tcBorders>
              <w:top w:val="nil"/>
              <w:left w:val="nil"/>
              <w:bottom w:val="single" w:color="auto" w:sz="4" w:space="0"/>
              <w:right w:val="single" w:color="auto" w:sz="4" w:space="0"/>
            </w:tcBorders>
            <w:noWrap/>
            <w:vAlign w:val="center"/>
          </w:tcPr>
          <w:p w14:paraId="051983D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套</w:t>
            </w:r>
          </w:p>
        </w:tc>
      </w:tr>
      <w:tr w14:paraId="2614718F">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1651A8A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7</w:t>
            </w:r>
          </w:p>
        </w:tc>
        <w:tc>
          <w:tcPr>
            <w:tcW w:w="1891" w:type="dxa"/>
            <w:vMerge w:val="continue"/>
            <w:tcBorders>
              <w:top w:val="nil"/>
              <w:left w:val="single" w:color="auto" w:sz="4" w:space="0"/>
              <w:bottom w:val="single" w:color="auto" w:sz="4" w:space="0"/>
              <w:right w:val="single" w:color="auto" w:sz="4" w:space="0"/>
            </w:tcBorders>
            <w:vAlign w:val="center"/>
          </w:tcPr>
          <w:p w14:paraId="4CC1504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63E6D741">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中间件软件</w:t>
            </w:r>
          </w:p>
        </w:tc>
        <w:tc>
          <w:tcPr>
            <w:tcW w:w="0" w:type="auto"/>
            <w:tcBorders>
              <w:top w:val="nil"/>
              <w:left w:val="nil"/>
              <w:bottom w:val="single" w:color="auto" w:sz="4" w:space="0"/>
              <w:right w:val="single" w:color="auto" w:sz="4" w:space="0"/>
            </w:tcBorders>
            <w:noWrap/>
            <w:vAlign w:val="center"/>
          </w:tcPr>
          <w:p w14:paraId="0BF5540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45</w:t>
            </w:r>
          </w:p>
        </w:tc>
        <w:tc>
          <w:tcPr>
            <w:tcW w:w="0" w:type="auto"/>
            <w:tcBorders>
              <w:top w:val="nil"/>
              <w:left w:val="nil"/>
              <w:bottom w:val="single" w:color="auto" w:sz="4" w:space="0"/>
              <w:right w:val="single" w:color="auto" w:sz="4" w:space="0"/>
            </w:tcBorders>
            <w:noWrap/>
            <w:vAlign w:val="center"/>
          </w:tcPr>
          <w:p w14:paraId="7BDA635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套</w:t>
            </w:r>
          </w:p>
        </w:tc>
      </w:tr>
      <w:tr w14:paraId="5314F87F">
        <w:tblPrEx>
          <w:tblCellMar>
            <w:top w:w="0" w:type="dxa"/>
            <w:left w:w="108" w:type="dxa"/>
            <w:bottom w:w="0" w:type="dxa"/>
            <w:right w:w="108" w:type="dxa"/>
          </w:tblCellMar>
        </w:tblPrEx>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196690B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8</w:t>
            </w:r>
          </w:p>
        </w:tc>
        <w:tc>
          <w:tcPr>
            <w:tcW w:w="1891" w:type="dxa"/>
            <w:vMerge w:val="continue"/>
            <w:tcBorders>
              <w:top w:val="nil"/>
              <w:left w:val="single" w:color="auto" w:sz="4" w:space="0"/>
              <w:bottom w:val="single" w:color="auto" w:sz="4" w:space="0"/>
              <w:right w:val="single" w:color="auto" w:sz="4" w:space="0"/>
            </w:tcBorders>
            <w:vAlign w:val="center"/>
          </w:tcPr>
          <w:p w14:paraId="73F9F98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3EF8A77B">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数据库软件</w:t>
            </w:r>
          </w:p>
        </w:tc>
        <w:tc>
          <w:tcPr>
            <w:tcW w:w="0" w:type="auto"/>
            <w:tcBorders>
              <w:top w:val="nil"/>
              <w:left w:val="nil"/>
              <w:bottom w:val="single" w:color="auto" w:sz="4" w:space="0"/>
              <w:right w:val="single" w:color="auto" w:sz="4" w:space="0"/>
            </w:tcBorders>
            <w:noWrap/>
            <w:vAlign w:val="center"/>
          </w:tcPr>
          <w:p w14:paraId="585EC13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19</w:t>
            </w:r>
          </w:p>
        </w:tc>
        <w:tc>
          <w:tcPr>
            <w:tcW w:w="0" w:type="auto"/>
            <w:tcBorders>
              <w:top w:val="nil"/>
              <w:left w:val="nil"/>
              <w:bottom w:val="single" w:color="auto" w:sz="4" w:space="0"/>
              <w:right w:val="single" w:color="auto" w:sz="4" w:space="0"/>
            </w:tcBorders>
            <w:noWrap/>
            <w:vAlign w:val="center"/>
          </w:tcPr>
          <w:p w14:paraId="121E528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套</w:t>
            </w:r>
          </w:p>
        </w:tc>
      </w:tr>
      <w:tr w14:paraId="12732D31">
        <w:tblPrEx>
          <w:tblCellMar>
            <w:top w:w="0" w:type="dxa"/>
            <w:left w:w="108" w:type="dxa"/>
            <w:bottom w:w="0" w:type="dxa"/>
            <w:right w:w="108" w:type="dxa"/>
          </w:tblCellMar>
        </w:tblPrEx>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688C66F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9</w:t>
            </w:r>
          </w:p>
        </w:tc>
        <w:tc>
          <w:tcPr>
            <w:tcW w:w="1891" w:type="dxa"/>
            <w:vMerge w:val="continue"/>
            <w:tcBorders>
              <w:top w:val="nil"/>
              <w:left w:val="single" w:color="auto" w:sz="4" w:space="0"/>
              <w:bottom w:val="single" w:color="auto" w:sz="4" w:space="0"/>
              <w:right w:val="single" w:color="auto" w:sz="4" w:space="0"/>
            </w:tcBorders>
            <w:vAlign w:val="center"/>
          </w:tcPr>
          <w:p w14:paraId="12D0E65C">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4BBD9046">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安全防病毒</w:t>
            </w:r>
          </w:p>
        </w:tc>
        <w:tc>
          <w:tcPr>
            <w:tcW w:w="0" w:type="auto"/>
            <w:tcBorders>
              <w:top w:val="nil"/>
              <w:left w:val="nil"/>
              <w:bottom w:val="single" w:color="auto" w:sz="4" w:space="0"/>
              <w:right w:val="single" w:color="auto" w:sz="4" w:space="0"/>
            </w:tcBorders>
            <w:noWrap/>
            <w:vAlign w:val="center"/>
          </w:tcPr>
          <w:p w14:paraId="1BC9154D">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155</w:t>
            </w:r>
          </w:p>
        </w:tc>
        <w:tc>
          <w:tcPr>
            <w:tcW w:w="0" w:type="auto"/>
            <w:tcBorders>
              <w:top w:val="nil"/>
              <w:left w:val="nil"/>
              <w:bottom w:val="single" w:color="auto" w:sz="4" w:space="0"/>
              <w:right w:val="single" w:color="auto" w:sz="4" w:space="0"/>
            </w:tcBorders>
            <w:noWrap/>
            <w:vAlign w:val="center"/>
          </w:tcPr>
          <w:p w14:paraId="3D52DE8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套</w:t>
            </w:r>
          </w:p>
        </w:tc>
      </w:tr>
      <w:tr w14:paraId="002ABAC6">
        <w:tblPrEx>
          <w:tblCellMar>
            <w:top w:w="0" w:type="dxa"/>
            <w:left w:w="108" w:type="dxa"/>
            <w:bottom w:w="0" w:type="dxa"/>
            <w:right w:w="108" w:type="dxa"/>
          </w:tblCellMar>
        </w:tblPrEx>
        <w:trPr>
          <w:trHeight w:val="540" w:hRule="atLeast"/>
        </w:trPr>
        <w:tc>
          <w:tcPr>
            <w:tcW w:w="656" w:type="dxa"/>
            <w:tcBorders>
              <w:top w:val="nil"/>
              <w:left w:val="single" w:color="auto" w:sz="4" w:space="0"/>
              <w:bottom w:val="single" w:color="auto" w:sz="4" w:space="0"/>
              <w:right w:val="single" w:color="auto" w:sz="4" w:space="0"/>
            </w:tcBorders>
            <w:noWrap/>
            <w:vAlign w:val="center"/>
          </w:tcPr>
          <w:p w14:paraId="0CA67E8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10</w:t>
            </w:r>
          </w:p>
        </w:tc>
        <w:tc>
          <w:tcPr>
            <w:tcW w:w="1891" w:type="dxa"/>
            <w:vMerge w:val="restart"/>
            <w:tcBorders>
              <w:top w:val="nil"/>
              <w:left w:val="single" w:color="auto" w:sz="4" w:space="0"/>
              <w:bottom w:val="single" w:color="auto" w:sz="4" w:space="0"/>
              <w:right w:val="single" w:color="auto" w:sz="4" w:space="0"/>
            </w:tcBorders>
            <w:vAlign w:val="center"/>
          </w:tcPr>
          <w:p w14:paraId="639CB032">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算力资源</w:t>
            </w:r>
          </w:p>
        </w:tc>
        <w:tc>
          <w:tcPr>
            <w:tcW w:w="4446" w:type="dxa"/>
            <w:tcBorders>
              <w:top w:val="nil"/>
              <w:left w:val="nil"/>
              <w:bottom w:val="single" w:color="auto" w:sz="4" w:space="0"/>
              <w:right w:val="single" w:color="auto" w:sz="4" w:space="0"/>
            </w:tcBorders>
            <w:vAlign w:val="center"/>
          </w:tcPr>
          <w:p w14:paraId="6CB83942">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数据底座低空时空智能计算分析：国产化GPU集群（8卡），单卡配置要求：</w:t>
            </w:r>
          </w:p>
          <w:p w14:paraId="6F3FA0D7">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单卡显存容量≥24GB，显存带宽≥200 GB/s；单卡INT8算力≥140 TOPS，FP16算力≥70 TFLOPS；CPU≥8核，基础主频≥1.9GHz；芯片为国产自主可控，配套驱动SDK原生适配国产操作系统。</w:t>
            </w:r>
          </w:p>
        </w:tc>
        <w:tc>
          <w:tcPr>
            <w:tcW w:w="0" w:type="auto"/>
            <w:tcBorders>
              <w:top w:val="nil"/>
              <w:left w:val="nil"/>
              <w:bottom w:val="single" w:color="auto" w:sz="4" w:space="0"/>
              <w:right w:val="single" w:color="auto" w:sz="4" w:space="0"/>
            </w:tcBorders>
            <w:noWrap/>
            <w:vAlign w:val="center"/>
          </w:tcPr>
          <w:p w14:paraId="2244BE0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w:t>
            </w:r>
          </w:p>
        </w:tc>
        <w:tc>
          <w:tcPr>
            <w:tcW w:w="0" w:type="auto"/>
            <w:tcBorders>
              <w:top w:val="nil"/>
              <w:left w:val="nil"/>
              <w:bottom w:val="single" w:color="auto" w:sz="4" w:space="0"/>
              <w:right w:val="single" w:color="auto" w:sz="4" w:space="0"/>
            </w:tcBorders>
            <w:noWrap/>
            <w:vAlign w:val="center"/>
          </w:tcPr>
          <w:p w14:paraId="4771DE0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363EB27A">
        <w:trPr>
          <w:trHeight w:val="540" w:hRule="atLeast"/>
        </w:trPr>
        <w:tc>
          <w:tcPr>
            <w:tcW w:w="656" w:type="dxa"/>
            <w:tcBorders>
              <w:top w:val="nil"/>
              <w:left w:val="single" w:color="auto" w:sz="4" w:space="0"/>
              <w:bottom w:val="single" w:color="auto" w:sz="4" w:space="0"/>
              <w:right w:val="single" w:color="auto" w:sz="4" w:space="0"/>
            </w:tcBorders>
            <w:noWrap/>
            <w:vAlign w:val="center"/>
          </w:tcPr>
          <w:p w14:paraId="6F242278">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11</w:t>
            </w:r>
          </w:p>
        </w:tc>
        <w:tc>
          <w:tcPr>
            <w:tcW w:w="1891" w:type="dxa"/>
            <w:vMerge w:val="continue"/>
            <w:tcBorders>
              <w:top w:val="nil"/>
              <w:left w:val="single" w:color="auto" w:sz="4" w:space="0"/>
              <w:bottom w:val="single" w:color="auto" w:sz="4" w:space="0"/>
              <w:right w:val="single" w:color="auto" w:sz="4" w:space="0"/>
            </w:tcBorders>
            <w:vAlign w:val="center"/>
          </w:tcPr>
          <w:p w14:paraId="00079B0B">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0C6B4D6B">
            <w:pPr>
              <w:keepNext w:val="0"/>
              <w:keepLines w:val="0"/>
              <w:widowControl/>
              <w:suppressLineNumbers w:val="0"/>
              <w:spacing w:before="0" w:beforeAutospacing="0" w:after="0" w:afterAutospacing="0" w:line="240" w:lineRule="auto"/>
              <w:ind w:left="0" w:right="0" w:firstLine="0" w:firstLineChars="0"/>
              <w:rPr>
                <w:rFonts w:hint="default" w:cs="宋体"/>
                <w:color w:val="000000"/>
                <w:kern w:val="0"/>
                <w:sz w:val="22"/>
                <w:szCs w:val="22"/>
              </w:rPr>
            </w:pPr>
            <w:r>
              <w:rPr>
                <w:rFonts w:hint="eastAsia" w:ascii="宋体" w:hAnsi="宋体" w:cstheme="majorBidi"/>
                <w:sz w:val="22"/>
                <w:szCs w:val="22"/>
              </w:rPr>
              <w:t>数据底座低空时空三维数据底座：</w:t>
            </w:r>
            <w:r>
              <w:rPr>
                <w:rFonts w:hint="eastAsia" w:cs="宋体"/>
                <w:color w:val="000000"/>
                <w:kern w:val="0"/>
                <w:sz w:val="22"/>
                <w:szCs w:val="22"/>
              </w:rPr>
              <w:t>国产化GPU集群（4卡），单卡配置要求：</w:t>
            </w:r>
          </w:p>
          <w:p w14:paraId="577BC618">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单卡显存容量≥80GB，显存带宽≥1.6 TB/s；单卡FP8算力≥1000 TFLOPS。</w:t>
            </w:r>
          </w:p>
        </w:tc>
        <w:tc>
          <w:tcPr>
            <w:tcW w:w="0" w:type="auto"/>
            <w:tcBorders>
              <w:top w:val="nil"/>
              <w:left w:val="nil"/>
              <w:bottom w:val="single" w:color="auto" w:sz="4" w:space="0"/>
              <w:right w:val="single" w:color="auto" w:sz="4" w:space="0"/>
            </w:tcBorders>
            <w:noWrap/>
            <w:vAlign w:val="center"/>
          </w:tcPr>
          <w:p w14:paraId="6318CB6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2</w:t>
            </w:r>
          </w:p>
        </w:tc>
        <w:tc>
          <w:tcPr>
            <w:tcW w:w="0" w:type="auto"/>
            <w:tcBorders>
              <w:top w:val="nil"/>
              <w:left w:val="nil"/>
              <w:bottom w:val="single" w:color="auto" w:sz="4" w:space="0"/>
              <w:right w:val="single" w:color="auto" w:sz="4" w:space="0"/>
            </w:tcBorders>
            <w:noWrap/>
            <w:vAlign w:val="center"/>
          </w:tcPr>
          <w:p w14:paraId="10BAF31A">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1631965E">
        <w:tblPrEx>
          <w:tblCellMar>
            <w:top w:w="0" w:type="dxa"/>
            <w:left w:w="108" w:type="dxa"/>
            <w:bottom w:w="0" w:type="dxa"/>
            <w:right w:w="108" w:type="dxa"/>
          </w:tblCellMar>
        </w:tblPrEx>
        <w:trPr>
          <w:trHeight w:val="540" w:hRule="atLeast"/>
        </w:trPr>
        <w:tc>
          <w:tcPr>
            <w:tcW w:w="656" w:type="dxa"/>
            <w:tcBorders>
              <w:top w:val="nil"/>
              <w:left w:val="single" w:color="auto" w:sz="4" w:space="0"/>
              <w:bottom w:val="single" w:color="auto" w:sz="4" w:space="0"/>
              <w:right w:val="single" w:color="auto" w:sz="4" w:space="0"/>
            </w:tcBorders>
            <w:noWrap/>
            <w:vAlign w:val="center"/>
          </w:tcPr>
          <w:p w14:paraId="118F720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12</w:t>
            </w:r>
          </w:p>
        </w:tc>
        <w:tc>
          <w:tcPr>
            <w:tcW w:w="1891" w:type="dxa"/>
            <w:vMerge w:val="continue"/>
            <w:tcBorders>
              <w:top w:val="nil"/>
              <w:left w:val="single" w:color="auto" w:sz="4" w:space="0"/>
              <w:bottom w:val="single" w:color="auto" w:sz="4" w:space="0"/>
              <w:right w:val="single" w:color="auto" w:sz="4" w:space="0"/>
            </w:tcBorders>
            <w:vAlign w:val="center"/>
          </w:tcPr>
          <w:p w14:paraId="66F2B7E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71CFFCEC">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ascii="宋体" w:hAnsi="宋体" w:cstheme="majorBidi"/>
                <w:sz w:val="22"/>
                <w:szCs w:val="22"/>
              </w:rPr>
              <w:t>数据底座低空多维可视化引擎：</w:t>
            </w:r>
            <w:r>
              <w:rPr>
                <w:rFonts w:hint="eastAsia" w:cstheme="majorBidi"/>
                <w:sz w:val="22"/>
                <w:szCs w:val="22"/>
              </w:rPr>
              <w:t>国产化</w:t>
            </w:r>
            <w:r>
              <w:rPr>
                <w:rFonts w:hint="eastAsia" w:cs="宋体"/>
                <w:color w:val="000000"/>
                <w:kern w:val="0"/>
                <w:sz w:val="22"/>
                <w:szCs w:val="22"/>
              </w:rPr>
              <w:t>GPU集群（4卡）×2，单卡配置要求：</w:t>
            </w:r>
          </w:p>
          <w:p w14:paraId="75251633">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单卡显存容量≥24GB，支持ECC；像素填充率≥192 GP/s，纹理填充率≥384 GT/s；FP32算力≥24 TFLOPS；支持虚拟化GPU；支持图形渲染。</w:t>
            </w:r>
          </w:p>
        </w:tc>
        <w:tc>
          <w:tcPr>
            <w:tcW w:w="0" w:type="auto"/>
            <w:tcBorders>
              <w:top w:val="nil"/>
              <w:left w:val="nil"/>
              <w:bottom w:val="single" w:color="auto" w:sz="4" w:space="0"/>
              <w:right w:val="single" w:color="auto" w:sz="4" w:space="0"/>
            </w:tcBorders>
            <w:noWrap/>
            <w:vAlign w:val="center"/>
          </w:tcPr>
          <w:p w14:paraId="5BC079C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4</w:t>
            </w:r>
          </w:p>
        </w:tc>
        <w:tc>
          <w:tcPr>
            <w:tcW w:w="0" w:type="auto"/>
            <w:tcBorders>
              <w:top w:val="nil"/>
              <w:left w:val="nil"/>
              <w:bottom w:val="single" w:color="auto" w:sz="4" w:space="0"/>
              <w:right w:val="single" w:color="auto" w:sz="4" w:space="0"/>
            </w:tcBorders>
            <w:noWrap/>
            <w:vAlign w:val="center"/>
          </w:tcPr>
          <w:p w14:paraId="0F0C5E4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06F937BA">
        <w:tblPrEx>
          <w:tblCellMar>
            <w:top w:w="0" w:type="dxa"/>
            <w:left w:w="108" w:type="dxa"/>
            <w:bottom w:w="0" w:type="dxa"/>
            <w:right w:w="108" w:type="dxa"/>
          </w:tblCellMar>
        </w:tblPrEx>
        <w:trPr>
          <w:trHeight w:val="540" w:hRule="atLeast"/>
        </w:trPr>
        <w:tc>
          <w:tcPr>
            <w:tcW w:w="656" w:type="dxa"/>
            <w:tcBorders>
              <w:top w:val="nil"/>
              <w:left w:val="single" w:color="auto" w:sz="4" w:space="0"/>
              <w:bottom w:val="single" w:color="auto" w:sz="4" w:space="0"/>
              <w:right w:val="single" w:color="auto" w:sz="4" w:space="0"/>
            </w:tcBorders>
            <w:noWrap/>
            <w:vAlign w:val="center"/>
          </w:tcPr>
          <w:p w14:paraId="22CC96A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13</w:t>
            </w:r>
          </w:p>
        </w:tc>
        <w:tc>
          <w:tcPr>
            <w:tcW w:w="1891" w:type="dxa"/>
            <w:vMerge w:val="continue"/>
            <w:tcBorders>
              <w:top w:val="nil"/>
              <w:left w:val="single" w:color="auto" w:sz="4" w:space="0"/>
              <w:bottom w:val="single" w:color="auto" w:sz="4" w:space="0"/>
              <w:right w:val="single" w:color="auto" w:sz="4" w:space="0"/>
            </w:tcBorders>
            <w:vAlign w:val="center"/>
          </w:tcPr>
          <w:p w14:paraId="2F39E404">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4081F5CA">
            <w:pPr>
              <w:keepNext w:val="0"/>
              <w:keepLines w:val="0"/>
              <w:widowControl/>
              <w:suppressLineNumbers w:val="0"/>
              <w:spacing w:before="0" w:beforeAutospacing="0" w:after="0" w:afterAutospacing="0" w:line="240" w:lineRule="auto"/>
              <w:ind w:left="0" w:right="0" w:firstLine="0" w:firstLineChars="0"/>
              <w:rPr>
                <w:rFonts w:hint="eastAsia" w:cs="宋体"/>
                <w:color w:val="000000"/>
                <w:kern w:val="0"/>
                <w:sz w:val="22"/>
                <w:szCs w:val="22"/>
              </w:rPr>
            </w:pPr>
            <w:r>
              <w:rPr>
                <w:rFonts w:hint="eastAsia" w:ascii="宋体" w:hAnsi="宋体" w:cstheme="majorBidi"/>
                <w:sz w:val="22"/>
                <w:szCs w:val="22"/>
              </w:rPr>
              <w:t>警务政务无人机飞行和民用无人机安全管控平台</w:t>
            </w:r>
            <w:r>
              <w:rPr>
                <w:rFonts w:hint="default" w:ascii="宋体" w:hAnsi="宋体" w:cstheme="majorBidi"/>
                <w:sz w:val="22"/>
                <w:szCs w:val="22"/>
              </w:rPr>
              <w:t>-</w:t>
            </w:r>
            <w:r>
              <w:rPr>
                <w:rFonts w:hint="eastAsia" w:ascii="宋体" w:hAnsi="宋体" w:cstheme="majorBidi"/>
                <w:sz w:val="22"/>
                <w:szCs w:val="22"/>
              </w:rPr>
              <w:t>智视觉算法：</w:t>
            </w:r>
            <w:r>
              <w:rPr>
                <w:rFonts w:hint="eastAsia" w:cstheme="majorBidi"/>
                <w:sz w:val="22"/>
                <w:szCs w:val="22"/>
              </w:rPr>
              <w:t>国产化</w:t>
            </w:r>
            <w:r>
              <w:rPr>
                <w:rFonts w:hint="eastAsia" w:cs="宋体"/>
                <w:color w:val="000000"/>
                <w:kern w:val="0"/>
                <w:sz w:val="22"/>
                <w:szCs w:val="22"/>
              </w:rPr>
              <w:t>GPU（20卡），单卡配置要求：</w:t>
            </w:r>
          </w:p>
          <w:p w14:paraId="4EE8CA6C">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单卡显存容量≥64GB，显存带宽≥1.5 TB/s；FP16算力≥320 TFLOPS；标配PCIe 4.0 x16。</w:t>
            </w:r>
          </w:p>
        </w:tc>
        <w:tc>
          <w:tcPr>
            <w:tcW w:w="0" w:type="auto"/>
            <w:tcBorders>
              <w:top w:val="nil"/>
              <w:left w:val="nil"/>
              <w:bottom w:val="single" w:color="auto" w:sz="4" w:space="0"/>
              <w:right w:val="single" w:color="auto" w:sz="4" w:space="0"/>
            </w:tcBorders>
            <w:noWrap/>
            <w:vAlign w:val="center"/>
          </w:tcPr>
          <w:p w14:paraId="533557E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w:t>
            </w:r>
          </w:p>
        </w:tc>
        <w:tc>
          <w:tcPr>
            <w:tcW w:w="0" w:type="auto"/>
            <w:tcBorders>
              <w:top w:val="nil"/>
              <w:left w:val="nil"/>
              <w:bottom w:val="single" w:color="auto" w:sz="4" w:space="0"/>
              <w:right w:val="single" w:color="auto" w:sz="4" w:space="0"/>
            </w:tcBorders>
            <w:noWrap/>
            <w:vAlign w:val="center"/>
          </w:tcPr>
          <w:p w14:paraId="0E188FF2">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3275C579">
        <w:tblPrEx>
          <w:tblCellMar>
            <w:top w:w="0" w:type="dxa"/>
            <w:left w:w="108" w:type="dxa"/>
            <w:bottom w:w="0" w:type="dxa"/>
            <w:right w:w="108" w:type="dxa"/>
          </w:tblCellMar>
        </w:tblPrEx>
        <w:trPr>
          <w:trHeight w:val="540" w:hRule="atLeast"/>
        </w:trPr>
        <w:tc>
          <w:tcPr>
            <w:tcW w:w="656" w:type="dxa"/>
            <w:tcBorders>
              <w:top w:val="nil"/>
              <w:left w:val="single" w:color="auto" w:sz="4" w:space="0"/>
              <w:bottom w:val="single" w:color="auto" w:sz="4" w:space="0"/>
              <w:right w:val="single" w:color="auto" w:sz="4" w:space="0"/>
            </w:tcBorders>
            <w:noWrap/>
            <w:vAlign w:val="center"/>
          </w:tcPr>
          <w:p w14:paraId="7CFE7BA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14</w:t>
            </w:r>
          </w:p>
        </w:tc>
        <w:tc>
          <w:tcPr>
            <w:tcW w:w="1891" w:type="dxa"/>
            <w:vMerge w:val="continue"/>
            <w:tcBorders>
              <w:top w:val="nil"/>
              <w:left w:val="single" w:color="auto" w:sz="4" w:space="0"/>
              <w:bottom w:val="single" w:color="auto" w:sz="4" w:space="0"/>
              <w:right w:val="single" w:color="auto" w:sz="4" w:space="0"/>
            </w:tcBorders>
            <w:vAlign w:val="center"/>
          </w:tcPr>
          <w:p w14:paraId="5B1B7DA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00316AE7">
            <w:pPr>
              <w:keepNext w:val="0"/>
              <w:keepLines w:val="0"/>
              <w:widowControl/>
              <w:suppressLineNumbers w:val="0"/>
              <w:spacing w:before="0" w:beforeAutospacing="0" w:after="0" w:afterAutospacing="0" w:line="240" w:lineRule="auto"/>
              <w:ind w:left="0" w:right="0" w:firstLine="0" w:firstLineChars="0"/>
              <w:rPr>
                <w:rFonts w:hint="eastAsia" w:cs="宋体"/>
                <w:color w:val="000000"/>
                <w:kern w:val="0"/>
                <w:sz w:val="22"/>
                <w:szCs w:val="22"/>
              </w:rPr>
            </w:pPr>
            <w:r>
              <w:rPr>
                <w:rFonts w:hint="eastAsia" w:ascii="宋体" w:hAnsi="宋体" w:cstheme="majorBidi"/>
                <w:sz w:val="22"/>
                <w:szCs w:val="22"/>
              </w:rPr>
              <w:t>警务政务无人机飞行和民用无人机安全管控平台</w:t>
            </w:r>
            <w:r>
              <w:rPr>
                <w:rFonts w:hint="default" w:ascii="宋体" w:hAnsi="宋体" w:cstheme="majorBidi"/>
                <w:sz w:val="22"/>
                <w:szCs w:val="22"/>
              </w:rPr>
              <w:t>-</w:t>
            </w:r>
            <w:r>
              <w:rPr>
                <w:rFonts w:hint="eastAsia" w:ascii="宋体" w:hAnsi="宋体" w:cstheme="majorBidi"/>
                <w:sz w:val="22"/>
                <w:szCs w:val="22"/>
              </w:rPr>
              <w:t>智能体：</w:t>
            </w:r>
            <w:r>
              <w:rPr>
                <w:rFonts w:hint="eastAsia" w:cstheme="majorBidi"/>
                <w:sz w:val="22"/>
                <w:szCs w:val="22"/>
              </w:rPr>
              <w:t>国产化</w:t>
            </w:r>
            <w:r>
              <w:rPr>
                <w:rFonts w:hint="eastAsia" w:cs="宋体"/>
                <w:color w:val="000000"/>
                <w:kern w:val="0"/>
                <w:sz w:val="22"/>
                <w:szCs w:val="22"/>
              </w:rPr>
              <w:t>GPU（4卡），单卡配置要求：</w:t>
            </w:r>
          </w:p>
          <w:p w14:paraId="4BF1384E">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单卡显存容量≥64GB，显存带宽≥1.5TB/s；FP16算力≥320 TFLOPS；标配PCIe 4.0 x16。</w:t>
            </w:r>
          </w:p>
        </w:tc>
        <w:tc>
          <w:tcPr>
            <w:tcW w:w="0" w:type="auto"/>
            <w:tcBorders>
              <w:top w:val="nil"/>
              <w:left w:val="nil"/>
              <w:bottom w:val="single" w:color="auto" w:sz="4" w:space="0"/>
              <w:right w:val="single" w:color="auto" w:sz="4" w:space="0"/>
            </w:tcBorders>
            <w:noWrap/>
            <w:vAlign w:val="center"/>
          </w:tcPr>
          <w:p w14:paraId="620F9D3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2</w:t>
            </w:r>
          </w:p>
        </w:tc>
        <w:tc>
          <w:tcPr>
            <w:tcW w:w="0" w:type="auto"/>
            <w:tcBorders>
              <w:top w:val="nil"/>
              <w:left w:val="nil"/>
              <w:bottom w:val="single" w:color="auto" w:sz="4" w:space="0"/>
              <w:right w:val="single" w:color="auto" w:sz="4" w:space="0"/>
            </w:tcBorders>
            <w:noWrap/>
            <w:vAlign w:val="center"/>
          </w:tcPr>
          <w:p w14:paraId="5CC5C38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31CA4F5E">
        <w:trPr>
          <w:trHeight w:val="540" w:hRule="atLeast"/>
        </w:trPr>
        <w:tc>
          <w:tcPr>
            <w:tcW w:w="656" w:type="dxa"/>
            <w:tcBorders>
              <w:top w:val="nil"/>
              <w:left w:val="single" w:color="auto" w:sz="4" w:space="0"/>
              <w:bottom w:val="single" w:color="auto" w:sz="4" w:space="0"/>
              <w:right w:val="single" w:color="auto" w:sz="4" w:space="0"/>
            </w:tcBorders>
            <w:noWrap/>
            <w:vAlign w:val="center"/>
          </w:tcPr>
          <w:p w14:paraId="555AFA9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15</w:t>
            </w:r>
          </w:p>
        </w:tc>
        <w:tc>
          <w:tcPr>
            <w:tcW w:w="1891" w:type="dxa"/>
            <w:vMerge w:val="continue"/>
            <w:tcBorders>
              <w:top w:val="nil"/>
              <w:left w:val="single" w:color="auto" w:sz="4" w:space="0"/>
              <w:bottom w:val="single" w:color="auto" w:sz="4" w:space="0"/>
              <w:right w:val="single" w:color="auto" w:sz="4" w:space="0"/>
            </w:tcBorders>
            <w:vAlign w:val="center"/>
          </w:tcPr>
          <w:p w14:paraId="24DD2CA4">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034FCF8A">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ascii="宋体" w:hAnsi="宋体" w:cstheme="majorBidi"/>
                <w:sz w:val="22"/>
                <w:szCs w:val="22"/>
              </w:rPr>
              <w:t>集成平台：</w:t>
            </w:r>
            <w:r>
              <w:rPr>
                <w:rFonts w:hint="eastAsia" w:cs="宋体"/>
                <w:color w:val="000000"/>
                <w:kern w:val="0"/>
                <w:sz w:val="22"/>
                <w:szCs w:val="22"/>
              </w:rPr>
              <w:t>国产化GPU集群（8卡），单卡配置要求：</w:t>
            </w:r>
          </w:p>
          <w:p w14:paraId="4D3DCD46">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单卡显存容量≥24GB，显存带宽≥200 GB/s；单卡INT8算力≥140 TOPS，FP16算力≥70 TFLOPS；CPU≥8核，基础主频≥1.9GHz；芯片为国产自主可控，配套驱动SDK原生适配国产操作系统。</w:t>
            </w:r>
          </w:p>
        </w:tc>
        <w:tc>
          <w:tcPr>
            <w:tcW w:w="0" w:type="auto"/>
            <w:tcBorders>
              <w:top w:val="nil"/>
              <w:left w:val="nil"/>
              <w:bottom w:val="single" w:color="auto" w:sz="4" w:space="0"/>
              <w:right w:val="single" w:color="auto" w:sz="4" w:space="0"/>
            </w:tcBorders>
            <w:noWrap/>
            <w:vAlign w:val="center"/>
          </w:tcPr>
          <w:p w14:paraId="068079A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w:t>
            </w:r>
          </w:p>
        </w:tc>
        <w:tc>
          <w:tcPr>
            <w:tcW w:w="0" w:type="auto"/>
            <w:tcBorders>
              <w:top w:val="nil"/>
              <w:left w:val="nil"/>
              <w:bottom w:val="single" w:color="auto" w:sz="4" w:space="0"/>
              <w:right w:val="single" w:color="auto" w:sz="4" w:space="0"/>
            </w:tcBorders>
            <w:noWrap/>
            <w:vAlign w:val="center"/>
          </w:tcPr>
          <w:p w14:paraId="72AE7FB8">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3E678B32">
        <w:tblPrEx>
          <w:tblCellMar>
            <w:top w:w="0" w:type="dxa"/>
            <w:left w:w="108" w:type="dxa"/>
            <w:bottom w:w="0" w:type="dxa"/>
            <w:right w:w="108" w:type="dxa"/>
          </w:tblCellMar>
        </w:tblPrEx>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40D0BB1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16</w:t>
            </w:r>
          </w:p>
        </w:tc>
        <w:tc>
          <w:tcPr>
            <w:tcW w:w="1891" w:type="dxa"/>
            <w:vMerge w:val="continue"/>
            <w:tcBorders>
              <w:top w:val="nil"/>
              <w:left w:val="single" w:color="auto" w:sz="4" w:space="0"/>
              <w:bottom w:val="single" w:color="auto" w:sz="4" w:space="0"/>
              <w:right w:val="single" w:color="auto" w:sz="4" w:space="0"/>
            </w:tcBorders>
            <w:vAlign w:val="center"/>
          </w:tcPr>
          <w:p w14:paraId="23BA487F">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2106BA87">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ascii="宋体" w:hAnsi="宋体" w:cs="宋体"/>
                <w:color w:val="000000"/>
                <w:kern w:val="0"/>
                <w:sz w:val="22"/>
                <w:szCs w:val="22"/>
              </w:rPr>
              <w:t>低空飞行综合监管服务</w:t>
            </w:r>
            <w:r>
              <w:rPr>
                <w:rFonts w:hint="default" w:ascii="宋体" w:hAnsi="宋体" w:cs="宋体"/>
                <w:color w:val="000000"/>
                <w:kern w:val="0"/>
                <w:sz w:val="22"/>
                <w:szCs w:val="22"/>
              </w:rPr>
              <w:t>-</w:t>
            </w:r>
            <w:r>
              <w:rPr>
                <w:rFonts w:hint="eastAsia" w:ascii="宋体" w:hAnsi="宋体" w:cs="宋体"/>
                <w:color w:val="000000"/>
                <w:kern w:val="0"/>
                <w:sz w:val="22"/>
                <w:szCs w:val="22"/>
              </w:rPr>
              <w:t>智能体：国产化</w:t>
            </w:r>
            <w:r>
              <w:rPr>
                <w:rFonts w:hint="eastAsia" w:cs="宋体"/>
                <w:color w:val="000000"/>
                <w:kern w:val="0"/>
                <w:sz w:val="22"/>
                <w:szCs w:val="22"/>
              </w:rPr>
              <w:t>GPU集群（4卡），单卡配置要求：</w:t>
            </w:r>
          </w:p>
          <w:p w14:paraId="71CDA127">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单卡显存容量≥64GB，支持ECC显存纠错功能,显存带宽≥896 GB/s；FP32单精度张量算力≥49 TFLOPS，FP16/BF16半精度张量算力≥192 TFLOPS，INT8整数算力≥392 TOPS；总线接口支持 PCIe 4.0 x16 及以上规格；软件层面须兼容TensorFlow、PyTorch、飞桨等主流深度学习框架，可支撑通用AI模型训练与推理部署场景。</w:t>
            </w:r>
          </w:p>
        </w:tc>
        <w:tc>
          <w:tcPr>
            <w:tcW w:w="0" w:type="auto"/>
            <w:tcBorders>
              <w:top w:val="nil"/>
              <w:left w:val="nil"/>
              <w:bottom w:val="single" w:color="auto" w:sz="4" w:space="0"/>
              <w:right w:val="single" w:color="auto" w:sz="4" w:space="0"/>
            </w:tcBorders>
            <w:noWrap/>
            <w:vAlign w:val="center"/>
          </w:tcPr>
          <w:p w14:paraId="2FE4985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w:t>
            </w:r>
          </w:p>
        </w:tc>
        <w:tc>
          <w:tcPr>
            <w:tcW w:w="0" w:type="auto"/>
            <w:tcBorders>
              <w:top w:val="nil"/>
              <w:left w:val="nil"/>
              <w:bottom w:val="single" w:color="auto" w:sz="4" w:space="0"/>
              <w:right w:val="single" w:color="auto" w:sz="4" w:space="0"/>
            </w:tcBorders>
            <w:noWrap/>
            <w:vAlign w:val="center"/>
          </w:tcPr>
          <w:p w14:paraId="2A262FF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32C3F337">
        <w:tblPrEx>
          <w:tblCellMar>
            <w:top w:w="0" w:type="dxa"/>
            <w:left w:w="108" w:type="dxa"/>
            <w:bottom w:w="0" w:type="dxa"/>
            <w:right w:w="108" w:type="dxa"/>
          </w:tblCellMar>
        </w:tblPrEx>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6B66AAE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17</w:t>
            </w:r>
          </w:p>
        </w:tc>
        <w:tc>
          <w:tcPr>
            <w:tcW w:w="1891" w:type="dxa"/>
            <w:vMerge w:val="restart"/>
            <w:tcBorders>
              <w:top w:val="nil"/>
              <w:left w:val="single" w:color="auto" w:sz="4" w:space="0"/>
              <w:bottom w:val="single" w:color="auto" w:sz="4" w:space="0"/>
              <w:right w:val="single" w:color="auto" w:sz="4" w:space="0"/>
            </w:tcBorders>
            <w:vAlign w:val="center"/>
          </w:tcPr>
          <w:p w14:paraId="1DDF5C7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数据采购</w:t>
            </w:r>
          </w:p>
        </w:tc>
        <w:tc>
          <w:tcPr>
            <w:tcW w:w="4446" w:type="dxa"/>
            <w:tcBorders>
              <w:top w:val="nil"/>
              <w:left w:val="nil"/>
              <w:bottom w:val="single" w:color="auto" w:sz="4" w:space="0"/>
              <w:right w:val="single" w:color="auto" w:sz="4" w:space="0"/>
            </w:tcBorders>
            <w:vAlign w:val="center"/>
          </w:tcPr>
          <w:p w14:paraId="0E568A44">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UOM数据采购</w:t>
            </w:r>
          </w:p>
        </w:tc>
        <w:tc>
          <w:tcPr>
            <w:tcW w:w="0" w:type="auto"/>
            <w:tcBorders>
              <w:top w:val="nil"/>
              <w:left w:val="nil"/>
              <w:bottom w:val="single" w:color="auto" w:sz="4" w:space="0"/>
              <w:right w:val="single" w:color="auto" w:sz="4" w:space="0"/>
            </w:tcBorders>
            <w:noWrap/>
            <w:vAlign w:val="center"/>
          </w:tcPr>
          <w:p w14:paraId="176164C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w:t>
            </w:r>
          </w:p>
        </w:tc>
        <w:tc>
          <w:tcPr>
            <w:tcW w:w="0" w:type="auto"/>
            <w:tcBorders>
              <w:top w:val="nil"/>
              <w:left w:val="nil"/>
              <w:bottom w:val="single" w:color="auto" w:sz="4" w:space="0"/>
              <w:right w:val="single" w:color="auto" w:sz="4" w:space="0"/>
            </w:tcBorders>
            <w:noWrap/>
            <w:vAlign w:val="center"/>
          </w:tcPr>
          <w:p w14:paraId="2764E67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58D868BA">
        <w:tblPrEx>
          <w:tblCellMar>
            <w:top w:w="0" w:type="dxa"/>
            <w:left w:w="108" w:type="dxa"/>
            <w:bottom w:w="0" w:type="dxa"/>
            <w:right w:w="108" w:type="dxa"/>
          </w:tblCellMar>
        </w:tblPrEx>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20D9AEA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18</w:t>
            </w:r>
          </w:p>
        </w:tc>
        <w:tc>
          <w:tcPr>
            <w:tcW w:w="1891" w:type="dxa"/>
            <w:vMerge w:val="continue"/>
            <w:tcBorders>
              <w:top w:val="nil"/>
              <w:left w:val="single" w:color="auto" w:sz="4" w:space="0"/>
              <w:bottom w:val="single" w:color="auto" w:sz="4" w:space="0"/>
              <w:right w:val="single" w:color="auto" w:sz="4" w:space="0"/>
            </w:tcBorders>
            <w:vAlign w:val="center"/>
          </w:tcPr>
          <w:p w14:paraId="31A1936D">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7DE1730F">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BD数据采购</w:t>
            </w:r>
          </w:p>
        </w:tc>
        <w:tc>
          <w:tcPr>
            <w:tcW w:w="0" w:type="auto"/>
            <w:tcBorders>
              <w:top w:val="nil"/>
              <w:left w:val="nil"/>
              <w:bottom w:val="single" w:color="auto" w:sz="4" w:space="0"/>
              <w:right w:val="single" w:color="auto" w:sz="4" w:space="0"/>
            </w:tcBorders>
            <w:noWrap/>
            <w:vAlign w:val="center"/>
          </w:tcPr>
          <w:p w14:paraId="3A978A1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w:t>
            </w:r>
          </w:p>
        </w:tc>
        <w:tc>
          <w:tcPr>
            <w:tcW w:w="0" w:type="auto"/>
            <w:tcBorders>
              <w:top w:val="nil"/>
              <w:left w:val="nil"/>
              <w:bottom w:val="single" w:color="auto" w:sz="4" w:space="0"/>
              <w:right w:val="single" w:color="auto" w:sz="4" w:space="0"/>
            </w:tcBorders>
            <w:noWrap/>
            <w:vAlign w:val="center"/>
          </w:tcPr>
          <w:p w14:paraId="62EFC5E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69E5A54C">
        <w:tblPrEx>
          <w:tblCellMar>
            <w:top w:w="0" w:type="dxa"/>
            <w:left w:w="108" w:type="dxa"/>
            <w:bottom w:w="0" w:type="dxa"/>
            <w:right w:w="108" w:type="dxa"/>
          </w:tblCellMar>
        </w:tblPrEx>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2D9D5F3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19</w:t>
            </w:r>
          </w:p>
        </w:tc>
        <w:tc>
          <w:tcPr>
            <w:tcW w:w="1891" w:type="dxa"/>
            <w:vMerge w:val="continue"/>
            <w:tcBorders>
              <w:top w:val="nil"/>
              <w:left w:val="single" w:color="auto" w:sz="4" w:space="0"/>
              <w:bottom w:val="single" w:color="auto" w:sz="4" w:space="0"/>
              <w:right w:val="single" w:color="auto" w:sz="4" w:space="0"/>
            </w:tcBorders>
            <w:vAlign w:val="center"/>
          </w:tcPr>
          <w:p w14:paraId="227CD5C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444CAA02">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ADS-B数据采购</w:t>
            </w:r>
          </w:p>
        </w:tc>
        <w:tc>
          <w:tcPr>
            <w:tcW w:w="0" w:type="auto"/>
            <w:tcBorders>
              <w:top w:val="nil"/>
              <w:left w:val="nil"/>
              <w:bottom w:val="single" w:color="auto" w:sz="4" w:space="0"/>
              <w:right w:val="single" w:color="auto" w:sz="4" w:space="0"/>
            </w:tcBorders>
            <w:noWrap/>
            <w:vAlign w:val="center"/>
          </w:tcPr>
          <w:p w14:paraId="21BDC806">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w:t>
            </w:r>
          </w:p>
        </w:tc>
        <w:tc>
          <w:tcPr>
            <w:tcW w:w="0" w:type="auto"/>
            <w:tcBorders>
              <w:top w:val="nil"/>
              <w:left w:val="nil"/>
              <w:bottom w:val="single" w:color="auto" w:sz="4" w:space="0"/>
              <w:right w:val="single" w:color="auto" w:sz="4" w:space="0"/>
            </w:tcBorders>
            <w:noWrap/>
            <w:vAlign w:val="center"/>
          </w:tcPr>
          <w:p w14:paraId="0D761B0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677A2549">
        <w:tblPrEx>
          <w:tblCellMar>
            <w:top w:w="0" w:type="dxa"/>
            <w:left w:w="108" w:type="dxa"/>
            <w:bottom w:w="0" w:type="dxa"/>
            <w:right w:w="108" w:type="dxa"/>
          </w:tblCellMar>
        </w:tblPrEx>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0E059F8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20</w:t>
            </w:r>
          </w:p>
        </w:tc>
        <w:tc>
          <w:tcPr>
            <w:tcW w:w="1891" w:type="dxa"/>
            <w:vMerge w:val="continue"/>
            <w:tcBorders>
              <w:top w:val="nil"/>
              <w:left w:val="single" w:color="auto" w:sz="4" w:space="0"/>
              <w:bottom w:val="single" w:color="auto" w:sz="4" w:space="0"/>
              <w:right w:val="single" w:color="auto" w:sz="4" w:space="0"/>
            </w:tcBorders>
            <w:vAlign w:val="center"/>
          </w:tcPr>
          <w:p w14:paraId="4BD40A1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7FEBECFB">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低空重点区域人流数据</w:t>
            </w:r>
          </w:p>
        </w:tc>
        <w:tc>
          <w:tcPr>
            <w:tcW w:w="0" w:type="auto"/>
            <w:tcBorders>
              <w:top w:val="nil"/>
              <w:left w:val="nil"/>
              <w:bottom w:val="single" w:color="auto" w:sz="4" w:space="0"/>
              <w:right w:val="single" w:color="auto" w:sz="4" w:space="0"/>
            </w:tcBorders>
            <w:noWrap/>
            <w:vAlign w:val="center"/>
          </w:tcPr>
          <w:p w14:paraId="69AEDC58">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w:t>
            </w:r>
          </w:p>
        </w:tc>
        <w:tc>
          <w:tcPr>
            <w:tcW w:w="0" w:type="auto"/>
            <w:tcBorders>
              <w:top w:val="nil"/>
              <w:left w:val="nil"/>
              <w:bottom w:val="single" w:color="auto" w:sz="4" w:space="0"/>
              <w:right w:val="single" w:color="auto" w:sz="4" w:space="0"/>
            </w:tcBorders>
            <w:noWrap/>
            <w:vAlign w:val="center"/>
          </w:tcPr>
          <w:p w14:paraId="4E43B178">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4262D54C">
        <w:tblPrEx>
          <w:tblCellMar>
            <w:top w:w="0" w:type="dxa"/>
            <w:left w:w="108" w:type="dxa"/>
            <w:bottom w:w="0" w:type="dxa"/>
            <w:right w:w="108" w:type="dxa"/>
          </w:tblCellMar>
        </w:tblPrEx>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119F1ED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21</w:t>
            </w:r>
          </w:p>
        </w:tc>
        <w:tc>
          <w:tcPr>
            <w:tcW w:w="1891" w:type="dxa"/>
            <w:vMerge w:val="continue"/>
            <w:tcBorders>
              <w:top w:val="nil"/>
              <w:left w:val="single" w:color="auto" w:sz="4" w:space="0"/>
              <w:bottom w:val="single" w:color="auto" w:sz="4" w:space="0"/>
              <w:right w:val="single" w:color="auto" w:sz="4" w:space="0"/>
            </w:tcBorders>
            <w:vAlign w:val="center"/>
          </w:tcPr>
          <w:p w14:paraId="4804FF8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2FF69EAC">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低空重点区域互联网地面交通数据</w:t>
            </w:r>
          </w:p>
        </w:tc>
        <w:tc>
          <w:tcPr>
            <w:tcW w:w="0" w:type="auto"/>
            <w:tcBorders>
              <w:top w:val="nil"/>
              <w:left w:val="nil"/>
              <w:bottom w:val="single" w:color="auto" w:sz="4" w:space="0"/>
              <w:right w:val="single" w:color="auto" w:sz="4" w:space="0"/>
            </w:tcBorders>
            <w:noWrap/>
            <w:vAlign w:val="center"/>
          </w:tcPr>
          <w:p w14:paraId="798F77D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w:t>
            </w:r>
          </w:p>
        </w:tc>
        <w:tc>
          <w:tcPr>
            <w:tcW w:w="0" w:type="auto"/>
            <w:tcBorders>
              <w:top w:val="nil"/>
              <w:left w:val="nil"/>
              <w:bottom w:val="single" w:color="auto" w:sz="4" w:space="0"/>
              <w:right w:val="single" w:color="auto" w:sz="4" w:space="0"/>
            </w:tcBorders>
            <w:noWrap/>
            <w:vAlign w:val="center"/>
          </w:tcPr>
          <w:p w14:paraId="15C9E5C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43AD685E">
        <w:tblPrEx>
          <w:tblCellMar>
            <w:top w:w="0" w:type="dxa"/>
            <w:left w:w="108" w:type="dxa"/>
            <w:bottom w:w="0" w:type="dxa"/>
            <w:right w:w="108" w:type="dxa"/>
          </w:tblCellMar>
        </w:tblPrEx>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64E37232">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22</w:t>
            </w:r>
          </w:p>
        </w:tc>
        <w:tc>
          <w:tcPr>
            <w:tcW w:w="1891" w:type="dxa"/>
            <w:vMerge w:val="continue"/>
            <w:tcBorders>
              <w:top w:val="nil"/>
              <w:left w:val="single" w:color="auto" w:sz="4" w:space="0"/>
              <w:bottom w:val="single" w:color="auto" w:sz="4" w:space="0"/>
              <w:right w:val="single" w:color="auto" w:sz="4" w:space="0"/>
            </w:tcBorders>
            <w:vAlign w:val="center"/>
          </w:tcPr>
          <w:p w14:paraId="25547677">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7D5FBFD0">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民航航班、旅客数据</w:t>
            </w:r>
          </w:p>
        </w:tc>
        <w:tc>
          <w:tcPr>
            <w:tcW w:w="0" w:type="auto"/>
            <w:tcBorders>
              <w:top w:val="nil"/>
              <w:left w:val="nil"/>
              <w:bottom w:val="single" w:color="auto" w:sz="4" w:space="0"/>
              <w:right w:val="single" w:color="auto" w:sz="4" w:space="0"/>
            </w:tcBorders>
            <w:noWrap/>
            <w:vAlign w:val="center"/>
          </w:tcPr>
          <w:p w14:paraId="2209ECE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w:t>
            </w:r>
          </w:p>
        </w:tc>
        <w:tc>
          <w:tcPr>
            <w:tcW w:w="0" w:type="auto"/>
            <w:tcBorders>
              <w:top w:val="nil"/>
              <w:left w:val="nil"/>
              <w:bottom w:val="single" w:color="auto" w:sz="4" w:space="0"/>
              <w:right w:val="single" w:color="auto" w:sz="4" w:space="0"/>
            </w:tcBorders>
            <w:noWrap/>
            <w:vAlign w:val="center"/>
          </w:tcPr>
          <w:p w14:paraId="44B1700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684F3A43">
        <w:tblPrEx>
          <w:tblCellMar>
            <w:top w:w="0" w:type="dxa"/>
            <w:left w:w="108" w:type="dxa"/>
            <w:bottom w:w="0" w:type="dxa"/>
            <w:right w:w="108" w:type="dxa"/>
          </w:tblCellMar>
        </w:tblPrEx>
        <w:trPr>
          <w:trHeight w:val="540" w:hRule="atLeast"/>
        </w:trPr>
        <w:tc>
          <w:tcPr>
            <w:tcW w:w="656" w:type="dxa"/>
            <w:tcBorders>
              <w:top w:val="nil"/>
              <w:left w:val="single" w:color="auto" w:sz="4" w:space="0"/>
              <w:bottom w:val="single" w:color="auto" w:sz="4" w:space="0"/>
              <w:right w:val="single" w:color="auto" w:sz="4" w:space="0"/>
            </w:tcBorders>
            <w:noWrap/>
            <w:vAlign w:val="center"/>
          </w:tcPr>
          <w:p w14:paraId="6B3F242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23</w:t>
            </w:r>
          </w:p>
        </w:tc>
        <w:tc>
          <w:tcPr>
            <w:tcW w:w="1891" w:type="dxa"/>
            <w:vMerge w:val="continue"/>
            <w:tcBorders>
              <w:top w:val="nil"/>
              <w:left w:val="single" w:color="auto" w:sz="4" w:space="0"/>
              <w:bottom w:val="single" w:color="auto" w:sz="4" w:space="0"/>
              <w:right w:val="single" w:color="auto" w:sz="4" w:space="0"/>
            </w:tcBorders>
            <w:vAlign w:val="center"/>
          </w:tcPr>
          <w:p w14:paraId="490B9006">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23A632CD">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三维城市建筑精模（体验区及周围、金山华东无人机基地）数据采集服务</w:t>
            </w:r>
          </w:p>
        </w:tc>
        <w:tc>
          <w:tcPr>
            <w:tcW w:w="0" w:type="auto"/>
            <w:tcBorders>
              <w:top w:val="nil"/>
              <w:left w:val="nil"/>
              <w:bottom w:val="single" w:color="auto" w:sz="4" w:space="0"/>
              <w:right w:val="single" w:color="auto" w:sz="4" w:space="0"/>
            </w:tcBorders>
            <w:noWrap/>
            <w:vAlign w:val="center"/>
          </w:tcPr>
          <w:p w14:paraId="72B6C54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w:t>
            </w:r>
          </w:p>
        </w:tc>
        <w:tc>
          <w:tcPr>
            <w:tcW w:w="0" w:type="auto"/>
            <w:tcBorders>
              <w:top w:val="nil"/>
              <w:left w:val="nil"/>
              <w:bottom w:val="single" w:color="auto" w:sz="4" w:space="0"/>
              <w:right w:val="single" w:color="auto" w:sz="4" w:space="0"/>
            </w:tcBorders>
            <w:noWrap/>
            <w:vAlign w:val="center"/>
          </w:tcPr>
          <w:p w14:paraId="7FE5D3A6">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4C32045C">
        <w:tblPrEx>
          <w:tblCellMar>
            <w:top w:w="0" w:type="dxa"/>
            <w:left w:w="108" w:type="dxa"/>
            <w:bottom w:w="0" w:type="dxa"/>
            <w:right w:w="108" w:type="dxa"/>
          </w:tblCellMar>
        </w:tblPrEx>
        <w:trPr>
          <w:trHeight w:val="540" w:hRule="atLeast"/>
        </w:trPr>
        <w:tc>
          <w:tcPr>
            <w:tcW w:w="656" w:type="dxa"/>
            <w:tcBorders>
              <w:top w:val="nil"/>
              <w:left w:val="single" w:color="auto" w:sz="4" w:space="0"/>
              <w:bottom w:val="single" w:color="auto" w:sz="4" w:space="0"/>
              <w:right w:val="single" w:color="auto" w:sz="4" w:space="0"/>
            </w:tcBorders>
            <w:noWrap/>
            <w:vAlign w:val="center"/>
          </w:tcPr>
          <w:p w14:paraId="28FA4F3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24</w:t>
            </w:r>
          </w:p>
        </w:tc>
        <w:tc>
          <w:tcPr>
            <w:tcW w:w="1891" w:type="dxa"/>
            <w:vMerge w:val="continue"/>
            <w:tcBorders>
              <w:top w:val="nil"/>
              <w:left w:val="single" w:color="auto" w:sz="4" w:space="0"/>
              <w:bottom w:val="single" w:color="auto" w:sz="4" w:space="0"/>
              <w:right w:val="single" w:color="auto" w:sz="4" w:space="0"/>
            </w:tcBorders>
            <w:vAlign w:val="center"/>
          </w:tcPr>
          <w:p w14:paraId="56D92E7F">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69BF4021">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三维城市高架精模（体验区及周围、金山华东无人机基地）数据采集服务</w:t>
            </w:r>
          </w:p>
        </w:tc>
        <w:tc>
          <w:tcPr>
            <w:tcW w:w="0" w:type="auto"/>
            <w:tcBorders>
              <w:top w:val="nil"/>
              <w:left w:val="nil"/>
              <w:bottom w:val="single" w:color="auto" w:sz="4" w:space="0"/>
              <w:right w:val="single" w:color="auto" w:sz="4" w:space="0"/>
            </w:tcBorders>
            <w:noWrap/>
            <w:vAlign w:val="center"/>
          </w:tcPr>
          <w:p w14:paraId="0A0394F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w:t>
            </w:r>
          </w:p>
        </w:tc>
        <w:tc>
          <w:tcPr>
            <w:tcW w:w="0" w:type="auto"/>
            <w:tcBorders>
              <w:top w:val="nil"/>
              <w:left w:val="nil"/>
              <w:bottom w:val="single" w:color="auto" w:sz="4" w:space="0"/>
              <w:right w:val="single" w:color="auto" w:sz="4" w:space="0"/>
            </w:tcBorders>
            <w:noWrap/>
            <w:vAlign w:val="center"/>
          </w:tcPr>
          <w:p w14:paraId="6B13D94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7C6AE85F">
        <w:tblPrEx>
          <w:tblCellMar>
            <w:top w:w="0" w:type="dxa"/>
            <w:left w:w="108" w:type="dxa"/>
            <w:bottom w:w="0" w:type="dxa"/>
            <w:right w:w="108" w:type="dxa"/>
          </w:tblCellMar>
        </w:tblPrEx>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77F42B8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25</w:t>
            </w:r>
          </w:p>
        </w:tc>
        <w:tc>
          <w:tcPr>
            <w:tcW w:w="1891" w:type="dxa"/>
            <w:vMerge w:val="continue"/>
            <w:tcBorders>
              <w:top w:val="nil"/>
              <w:left w:val="single" w:color="auto" w:sz="4" w:space="0"/>
              <w:bottom w:val="single" w:color="auto" w:sz="4" w:space="0"/>
              <w:right w:val="single" w:color="auto" w:sz="4" w:space="0"/>
            </w:tcBorders>
            <w:vAlign w:val="center"/>
          </w:tcPr>
          <w:p w14:paraId="2DA5D66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6BBD0DB9">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三维低空障碍物精模（铁塔）数据采集服务</w:t>
            </w:r>
          </w:p>
        </w:tc>
        <w:tc>
          <w:tcPr>
            <w:tcW w:w="0" w:type="auto"/>
            <w:tcBorders>
              <w:top w:val="nil"/>
              <w:left w:val="nil"/>
              <w:bottom w:val="single" w:color="auto" w:sz="4" w:space="0"/>
              <w:right w:val="single" w:color="auto" w:sz="4" w:space="0"/>
            </w:tcBorders>
            <w:noWrap/>
            <w:vAlign w:val="center"/>
          </w:tcPr>
          <w:p w14:paraId="0B7F3D78">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w:t>
            </w:r>
          </w:p>
        </w:tc>
        <w:tc>
          <w:tcPr>
            <w:tcW w:w="0" w:type="auto"/>
            <w:tcBorders>
              <w:top w:val="nil"/>
              <w:left w:val="nil"/>
              <w:bottom w:val="single" w:color="auto" w:sz="4" w:space="0"/>
              <w:right w:val="single" w:color="auto" w:sz="4" w:space="0"/>
            </w:tcBorders>
            <w:noWrap/>
            <w:vAlign w:val="center"/>
          </w:tcPr>
          <w:p w14:paraId="419C9B3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327A8933">
        <w:tblPrEx>
          <w:tblCellMar>
            <w:top w:w="0" w:type="dxa"/>
            <w:left w:w="108" w:type="dxa"/>
            <w:bottom w:w="0" w:type="dxa"/>
            <w:right w:w="108" w:type="dxa"/>
          </w:tblCellMar>
        </w:tblPrEx>
        <w:trPr>
          <w:trHeight w:val="540" w:hRule="atLeast"/>
        </w:trPr>
        <w:tc>
          <w:tcPr>
            <w:tcW w:w="656" w:type="dxa"/>
            <w:tcBorders>
              <w:top w:val="nil"/>
              <w:left w:val="single" w:color="auto" w:sz="4" w:space="0"/>
              <w:bottom w:val="single" w:color="auto" w:sz="4" w:space="0"/>
              <w:right w:val="single" w:color="auto" w:sz="4" w:space="0"/>
            </w:tcBorders>
            <w:noWrap/>
            <w:vAlign w:val="center"/>
          </w:tcPr>
          <w:p w14:paraId="6DB0E72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26</w:t>
            </w:r>
          </w:p>
        </w:tc>
        <w:tc>
          <w:tcPr>
            <w:tcW w:w="1891" w:type="dxa"/>
            <w:vMerge w:val="continue"/>
            <w:tcBorders>
              <w:top w:val="nil"/>
              <w:left w:val="single" w:color="auto" w:sz="4" w:space="0"/>
              <w:bottom w:val="single" w:color="auto" w:sz="4" w:space="0"/>
              <w:right w:val="single" w:color="auto" w:sz="4" w:space="0"/>
            </w:tcBorders>
            <w:vAlign w:val="center"/>
          </w:tcPr>
          <w:p w14:paraId="227DD148">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7785F1F5">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三维低空障碍物精模（输电走廊数据）数据采集服务</w:t>
            </w:r>
          </w:p>
        </w:tc>
        <w:tc>
          <w:tcPr>
            <w:tcW w:w="0" w:type="auto"/>
            <w:tcBorders>
              <w:top w:val="nil"/>
              <w:left w:val="nil"/>
              <w:bottom w:val="single" w:color="auto" w:sz="4" w:space="0"/>
              <w:right w:val="single" w:color="auto" w:sz="4" w:space="0"/>
            </w:tcBorders>
            <w:noWrap/>
            <w:vAlign w:val="center"/>
          </w:tcPr>
          <w:p w14:paraId="1CCCACC2">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w:t>
            </w:r>
          </w:p>
        </w:tc>
        <w:tc>
          <w:tcPr>
            <w:tcW w:w="0" w:type="auto"/>
            <w:tcBorders>
              <w:top w:val="nil"/>
              <w:left w:val="nil"/>
              <w:bottom w:val="single" w:color="auto" w:sz="4" w:space="0"/>
              <w:right w:val="single" w:color="auto" w:sz="4" w:space="0"/>
            </w:tcBorders>
            <w:noWrap/>
            <w:vAlign w:val="center"/>
          </w:tcPr>
          <w:p w14:paraId="6111B52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78366651">
        <w:tblPrEx>
          <w:tblCellMar>
            <w:top w:w="0" w:type="dxa"/>
            <w:left w:w="108" w:type="dxa"/>
            <w:bottom w:w="0" w:type="dxa"/>
            <w:right w:w="108" w:type="dxa"/>
          </w:tblCellMar>
        </w:tblPrEx>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2053C9D2">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27</w:t>
            </w:r>
          </w:p>
        </w:tc>
        <w:tc>
          <w:tcPr>
            <w:tcW w:w="1891" w:type="dxa"/>
            <w:vMerge w:val="continue"/>
            <w:tcBorders>
              <w:top w:val="nil"/>
              <w:left w:val="single" w:color="auto" w:sz="4" w:space="0"/>
              <w:bottom w:val="single" w:color="auto" w:sz="4" w:space="0"/>
              <w:right w:val="single" w:color="auto" w:sz="4" w:space="0"/>
            </w:tcBorders>
            <w:vAlign w:val="center"/>
          </w:tcPr>
          <w:p w14:paraId="6889076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sz w:val="22"/>
                <w:szCs w:val="22"/>
              </w:rPr>
            </w:pPr>
          </w:p>
        </w:tc>
        <w:tc>
          <w:tcPr>
            <w:tcW w:w="4446" w:type="dxa"/>
            <w:tcBorders>
              <w:top w:val="nil"/>
              <w:left w:val="nil"/>
              <w:bottom w:val="single" w:color="auto" w:sz="4" w:space="0"/>
              <w:right w:val="single" w:color="auto" w:sz="4" w:space="0"/>
            </w:tcBorders>
            <w:vAlign w:val="center"/>
          </w:tcPr>
          <w:p w14:paraId="24ACD32E">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飞行真高服务</w:t>
            </w:r>
          </w:p>
        </w:tc>
        <w:tc>
          <w:tcPr>
            <w:tcW w:w="0" w:type="auto"/>
            <w:tcBorders>
              <w:top w:val="nil"/>
              <w:left w:val="nil"/>
              <w:bottom w:val="single" w:color="auto" w:sz="4" w:space="0"/>
              <w:right w:val="single" w:color="auto" w:sz="4" w:space="0"/>
            </w:tcBorders>
            <w:noWrap/>
            <w:vAlign w:val="center"/>
          </w:tcPr>
          <w:p w14:paraId="332287C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w:t>
            </w:r>
          </w:p>
        </w:tc>
        <w:tc>
          <w:tcPr>
            <w:tcW w:w="0" w:type="auto"/>
            <w:tcBorders>
              <w:top w:val="nil"/>
              <w:left w:val="nil"/>
              <w:bottom w:val="single" w:color="auto" w:sz="4" w:space="0"/>
              <w:right w:val="single" w:color="auto" w:sz="4" w:space="0"/>
            </w:tcBorders>
            <w:noWrap/>
            <w:vAlign w:val="center"/>
          </w:tcPr>
          <w:p w14:paraId="51FBA42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r w14:paraId="0DB863FC">
        <w:tblPrEx>
          <w:tblCellMar>
            <w:top w:w="0" w:type="dxa"/>
            <w:left w:w="108" w:type="dxa"/>
            <w:bottom w:w="0" w:type="dxa"/>
            <w:right w:w="108" w:type="dxa"/>
          </w:tblCellMar>
        </w:tblPrEx>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2A1EADC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28</w:t>
            </w:r>
          </w:p>
        </w:tc>
        <w:tc>
          <w:tcPr>
            <w:tcW w:w="1891" w:type="dxa"/>
            <w:tcBorders>
              <w:top w:val="nil"/>
              <w:left w:val="nil"/>
              <w:bottom w:val="single" w:color="auto" w:sz="4" w:space="0"/>
              <w:right w:val="single" w:color="auto" w:sz="4" w:space="0"/>
            </w:tcBorders>
            <w:vAlign w:val="center"/>
          </w:tcPr>
          <w:p w14:paraId="15A2DD7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通讯网络</w:t>
            </w:r>
          </w:p>
        </w:tc>
        <w:tc>
          <w:tcPr>
            <w:tcW w:w="4446" w:type="dxa"/>
            <w:tcBorders>
              <w:top w:val="nil"/>
              <w:left w:val="nil"/>
              <w:bottom w:val="single" w:color="auto" w:sz="4" w:space="0"/>
              <w:right w:val="single" w:color="auto" w:sz="4" w:space="0"/>
            </w:tcBorders>
            <w:vAlign w:val="center"/>
          </w:tcPr>
          <w:p w14:paraId="7D03F0D2">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通讯网络</w:t>
            </w:r>
          </w:p>
        </w:tc>
        <w:tc>
          <w:tcPr>
            <w:tcW w:w="0" w:type="auto"/>
            <w:tcBorders>
              <w:top w:val="nil"/>
              <w:left w:val="nil"/>
              <w:bottom w:val="single" w:color="auto" w:sz="4" w:space="0"/>
              <w:right w:val="single" w:color="auto" w:sz="4" w:space="0"/>
            </w:tcBorders>
            <w:noWrap/>
            <w:vAlign w:val="center"/>
          </w:tcPr>
          <w:p w14:paraId="133BD1C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2</w:t>
            </w:r>
          </w:p>
        </w:tc>
        <w:tc>
          <w:tcPr>
            <w:tcW w:w="0" w:type="auto"/>
            <w:tcBorders>
              <w:top w:val="nil"/>
              <w:left w:val="nil"/>
              <w:bottom w:val="single" w:color="auto" w:sz="4" w:space="0"/>
              <w:right w:val="single" w:color="auto" w:sz="4" w:space="0"/>
            </w:tcBorders>
            <w:noWrap/>
            <w:vAlign w:val="center"/>
          </w:tcPr>
          <w:p w14:paraId="7E04B9AA">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条</w:t>
            </w:r>
          </w:p>
        </w:tc>
      </w:tr>
      <w:tr w14:paraId="3B52CBF3">
        <w:tblPrEx>
          <w:tblCellMar>
            <w:top w:w="0" w:type="dxa"/>
            <w:left w:w="108" w:type="dxa"/>
            <w:bottom w:w="0" w:type="dxa"/>
            <w:right w:w="108" w:type="dxa"/>
          </w:tblCellMar>
        </w:tblPrEx>
        <w:trPr>
          <w:trHeight w:val="285" w:hRule="atLeast"/>
        </w:trPr>
        <w:tc>
          <w:tcPr>
            <w:tcW w:w="656" w:type="dxa"/>
            <w:tcBorders>
              <w:top w:val="nil"/>
              <w:left w:val="single" w:color="auto" w:sz="4" w:space="0"/>
              <w:bottom w:val="single" w:color="auto" w:sz="4" w:space="0"/>
              <w:right w:val="single" w:color="auto" w:sz="4" w:space="0"/>
            </w:tcBorders>
            <w:noWrap/>
            <w:vAlign w:val="center"/>
          </w:tcPr>
          <w:p w14:paraId="7765869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29</w:t>
            </w:r>
          </w:p>
        </w:tc>
        <w:tc>
          <w:tcPr>
            <w:tcW w:w="1891" w:type="dxa"/>
            <w:tcBorders>
              <w:top w:val="nil"/>
              <w:left w:val="nil"/>
              <w:bottom w:val="single" w:color="auto" w:sz="4" w:space="0"/>
              <w:right w:val="single" w:color="auto" w:sz="4" w:space="0"/>
            </w:tcBorders>
            <w:vAlign w:val="center"/>
          </w:tcPr>
          <w:p w14:paraId="38F6127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安全及密码服务</w:t>
            </w:r>
          </w:p>
        </w:tc>
        <w:tc>
          <w:tcPr>
            <w:tcW w:w="4446" w:type="dxa"/>
            <w:tcBorders>
              <w:top w:val="nil"/>
              <w:left w:val="nil"/>
              <w:bottom w:val="single" w:color="auto" w:sz="4" w:space="0"/>
              <w:right w:val="single" w:color="auto" w:sz="4" w:space="0"/>
            </w:tcBorders>
            <w:vAlign w:val="center"/>
          </w:tcPr>
          <w:p w14:paraId="3E404A9F">
            <w:pPr>
              <w:keepNext w:val="0"/>
              <w:keepLines w:val="0"/>
              <w:widowControl/>
              <w:suppressLineNumbers w:val="0"/>
              <w:spacing w:before="0" w:beforeAutospacing="0" w:after="0" w:afterAutospacing="0" w:line="240" w:lineRule="auto"/>
              <w:ind w:left="0" w:right="0" w:firstLine="0" w:firstLineChars="0"/>
              <w:jc w:val="both"/>
              <w:rPr>
                <w:rFonts w:hint="eastAsia" w:cs="宋体"/>
                <w:color w:val="000000"/>
                <w:kern w:val="0"/>
                <w:sz w:val="22"/>
                <w:szCs w:val="22"/>
              </w:rPr>
            </w:pPr>
            <w:r>
              <w:rPr>
                <w:rFonts w:hint="eastAsia" w:cs="宋体"/>
                <w:color w:val="000000"/>
                <w:kern w:val="0"/>
                <w:sz w:val="22"/>
                <w:szCs w:val="22"/>
              </w:rPr>
              <w:t>安全及密码服务</w:t>
            </w:r>
          </w:p>
        </w:tc>
        <w:tc>
          <w:tcPr>
            <w:tcW w:w="0" w:type="auto"/>
            <w:tcBorders>
              <w:top w:val="nil"/>
              <w:left w:val="nil"/>
              <w:bottom w:val="single" w:color="auto" w:sz="4" w:space="0"/>
              <w:right w:val="single" w:color="auto" w:sz="4" w:space="0"/>
            </w:tcBorders>
            <w:noWrap/>
            <w:vAlign w:val="center"/>
          </w:tcPr>
          <w:p w14:paraId="5CF3F05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1</w:t>
            </w:r>
          </w:p>
        </w:tc>
        <w:tc>
          <w:tcPr>
            <w:tcW w:w="0" w:type="auto"/>
            <w:tcBorders>
              <w:top w:val="nil"/>
              <w:left w:val="nil"/>
              <w:bottom w:val="single" w:color="auto" w:sz="4" w:space="0"/>
              <w:right w:val="single" w:color="auto" w:sz="4" w:space="0"/>
            </w:tcBorders>
            <w:noWrap/>
            <w:vAlign w:val="center"/>
          </w:tcPr>
          <w:p w14:paraId="3F12AE4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sz w:val="22"/>
                <w:szCs w:val="22"/>
              </w:rPr>
            </w:pPr>
            <w:r>
              <w:rPr>
                <w:rFonts w:hint="eastAsia" w:cs="宋体"/>
                <w:color w:val="000000"/>
                <w:kern w:val="0"/>
                <w:sz w:val="22"/>
                <w:szCs w:val="22"/>
              </w:rPr>
              <w:t>项</w:t>
            </w:r>
          </w:p>
        </w:tc>
      </w:tr>
    </w:tbl>
    <w:p w14:paraId="196A4015">
      <w:pPr>
        <w:ind w:firstLine="0" w:firstLineChars="0"/>
        <w:rPr>
          <w:rFonts w:hint="eastAsia"/>
        </w:rPr>
      </w:pPr>
    </w:p>
    <w:p w14:paraId="38C34FD7">
      <w:pPr>
        <w:pStyle w:val="3"/>
        <w:rPr>
          <w:rFonts w:hint="eastAsia"/>
        </w:rPr>
      </w:pPr>
      <w:r>
        <w:rPr>
          <w:rFonts w:hint="eastAsia"/>
        </w:rPr>
        <w:t>系统集成服务</w:t>
      </w:r>
    </w:p>
    <w:p w14:paraId="54BEE742">
      <w:pPr>
        <w:rPr>
          <w:rFonts w:hint="eastAsia"/>
          <w:bCs/>
        </w:rPr>
      </w:pPr>
      <w:r>
        <w:rPr>
          <w:rFonts w:hint="eastAsia"/>
          <w:bCs/>
        </w:rPr>
        <w:t>提供上海低空智能网联系统的系统集成服务，包括但不限于：系统所有涉及软件模块、硬件设备、产品软件的部署、安装、调试；系统的整体优化联调、互联互通；采购数据服务的相关对接；搭建信息安全防护体系，最终实现系统资源协同高效，支撑业务数字化运转等。</w:t>
      </w:r>
    </w:p>
    <w:p w14:paraId="31856231">
      <w:pPr>
        <w:rPr>
          <w:rFonts w:hint="eastAsia"/>
        </w:rPr>
      </w:pPr>
    </w:p>
    <w:p w14:paraId="713F22D2">
      <w:pPr>
        <w:pStyle w:val="2"/>
        <w:rPr>
          <w:rFonts w:hint="eastAsia"/>
        </w:rPr>
      </w:pPr>
      <w:bookmarkStart w:id="20" w:name="_Toc63785503"/>
      <w:r>
        <w:rPr>
          <w:rFonts w:hint="eastAsia"/>
        </w:rPr>
        <w:t>其他工作要求</w:t>
      </w:r>
      <w:bookmarkEnd w:id="20"/>
    </w:p>
    <w:p w14:paraId="5F755FB5">
      <w:pPr>
        <w:pStyle w:val="3"/>
        <w:rPr>
          <w:rFonts w:hint="eastAsia"/>
        </w:rPr>
      </w:pPr>
      <w:bookmarkStart w:id="21" w:name="_Toc63785505"/>
      <w:r>
        <w:rPr>
          <w:rFonts w:hint="eastAsia"/>
        </w:rPr>
        <w:t>售后服务要求</w:t>
      </w:r>
      <w:bookmarkEnd w:id="21"/>
    </w:p>
    <w:p w14:paraId="0492C089">
      <w:pPr>
        <w:rPr>
          <w:rFonts w:hint="eastAsia"/>
        </w:rPr>
      </w:pPr>
      <w:r>
        <w:rPr>
          <w:rFonts w:hint="eastAsia"/>
        </w:rPr>
        <w:t>本项目从系统验收通过之日起1年内提供</w:t>
      </w:r>
      <w:r>
        <w:t>7*24小时免费技术支持</w:t>
      </w:r>
      <w:r>
        <w:rPr>
          <w:rFonts w:hint="eastAsia"/>
        </w:rPr>
        <w:t>和售后服务，1年后进入有偿维护期。</w:t>
      </w:r>
    </w:p>
    <w:p w14:paraId="705057BB">
      <w:pPr>
        <w:rPr>
          <w:rFonts w:hint="eastAsia"/>
        </w:rPr>
      </w:pPr>
      <w:r>
        <w:rPr>
          <w:rFonts w:hint="eastAsia"/>
        </w:rPr>
        <w:t>在质量保证期内，供应商将按照售后服务的承诺提供保修和运行维护服务，如果厂商对信息系统中软、硬件设备等产品中的部分保修期超过上述期限的，则按照厂商的规定进行免费保修。</w:t>
      </w:r>
    </w:p>
    <w:p w14:paraId="4183F813">
      <w:pPr>
        <w:rPr>
          <w:rFonts w:hint="eastAsia"/>
        </w:rPr>
      </w:pPr>
      <w:r>
        <w:rPr>
          <w:rFonts w:hint="eastAsia"/>
        </w:rPr>
        <w:t>在</w:t>
      </w:r>
      <w:bookmarkStart w:id="22" w:name="_Hlk242958098"/>
      <w:r>
        <w:rPr>
          <w:rFonts w:hint="eastAsia"/>
        </w:rPr>
        <w:t>质量保证期</w:t>
      </w:r>
      <w:bookmarkEnd w:id="22"/>
      <w:r>
        <w:rPr>
          <w:rFonts w:hint="eastAsia"/>
        </w:rPr>
        <w:t>内，供应商负责信息系统的运行维护工作，确保信息系统安全、稳定、可靠地运行。</w:t>
      </w:r>
    </w:p>
    <w:p w14:paraId="703A5D21">
      <w:pPr>
        <w:rPr>
          <w:rFonts w:hint="eastAsia"/>
        </w:rPr>
      </w:pPr>
      <w:r>
        <w:rPr>
          <w:rFonts w:hint="eastAsia"/>
        </w:rPr>
        <w:t>供应商提供的应用软件免费维护服务内容包括应用软件的升级与维护等工作，免费维护的范围覆盖本项目所涉及应用系统的全部子系统和功能模块。</w:t>
      </w:r>
    </w:p>
    <w:p w14:paraId="6CDC454C">
      <w:pPr>
        <w:rPr>
          <w:rFonts w:hint="eastAsia"/>
        </w:rPr>
      </w:pPr>
      <w:r>
        <w:rPr>
          <w:rFonts w:hint="eastAsia"/>
        </w:rPr>
        <w:t>供应商承诺，质量保证期内的技术服务免费，并至少提供以下服务：</w:t>
      </w:r>
    </w:p>
    <w:p w14:paraId="3FF22D74">
      <w:pPr>
        <w:rPr>
          <w:rFonts w:hint="eastAsia"/>
        </w:rPr>
      </w:pPr>
      <w:r>
        <w:rPr>
          <w:rFonts w:hint="eastAsia"/>
        </w:rPr>
        <w:t>（1）</w:t>
      </w:r>
      <w:r>
        <w:t>供应商应有专业售后服务团队，可按本需求要求及时提供本需求约定的服务。</w:t>
      </w:r>
    </w:p>
    <w:p w14:paraId="0AFA0490">
      <w:pPr>
        <w:rPr>
          <w:rFonts w:hint="eastAsia"/>
        </w:rPr>
      </w:pPr>
      <w:r>
        <w:rPr>
          <w:rFonts w:hint="eastAsia"/>
        </w:rPr>
        <w:t>（2）</w:t>
      </w:r>
      <w:r>
        <w:t>在</w:t>
      </w:r>
      <w:r>
        <w:rPr>
          <w:rFonts w:hint="eastAsia"/>
        </w:rPr>
        <w:t>质量保证期</w:t>
      </w:r>
      <w:r>
        <w:t>结束前，进行至少一次全面检查，任何缺陷由供应商负责修理，在修理之后，项目实施方将缺陷原因、修理内容、完成修理及恢复正常的时间和日期等报告给采购人。</w:t>
      </w:r>
    </w:p>
    <w:p w14:paraId="5FC86E9A">
      <w:pPr>
        <w:rPr>
          <w:rFonts w:hint="eastAsia"/>
        </w:rPr>
      </w:pPr>
      <w:r>
        <w:rPr>
          <w:rFonts w:hint="eastAsia"/>
        </w:rPr>
        <w:t>（3）</w:t>
      </w:r>
      <w:r>
        <w:t>供应商具备相关的售后服务体系，</w:t>
      </w:r>
      <w:r>
        <w:rPr>
          <w:rFonts w:hint="eastAsia"/>
        </w:rPr>
        <w:t>在质量保证期内承诺</w:t>
      </w:r>
      <w:r>
        <w:t>提供完善、及时、无推诿的应用软件等项目实施范围内的服务保障。</w:t>
      </w:r>
    </w:p>
    <w:p w14:paraId="53BA2C44">
      <w:pPr>
        <w:pStyle w:val="3"/>
        <w:rPr>
          <w:rFonts w:hint="eastAsia"/>
        </w:rPr>
      </w:pPr>
      <w:bookmarkStart w:id="23" w:name="_Toc63785506"/>
      <w:r>
        <w:rPr>
          <w:rFonts w:hint="eastAsia"/>
        </w:rPr>
        <w:t>应急响应要求</w:t>
      </w:r>
      <w:bookmarkEnd w:id="23"/>
    </w:p>
    <w:p w14:paraId="2E253627">
      <w:pPr>
        <w:rPr>
          <w:rFonts w:hint="eastAsia"/>
        </w:rPr>
      </w:pPr>
      <w:r>
        <w:rPr>
          <w:rFonts w:hint="eastAsia"/>
        </w:rPr>
        <w:t>供应商对系统故障应能够实时响应，若系统发生故障，接到通知后30分钟之内响应，专业工程师2小时内到达现场。特殊故障与客户沟通协商后，按照协商的方式制定解决方案并进行处理。</w:t>
      </w:r>
    </w:p>
    <w:p w14:paraId="527BA6C2">
      <w:pPr>
        <w:rPr>
          <w:rFonts w:hint="eastAsia"/>
        </w:rPr>
      </w:pPr>
      <w:r>
        <w:rPr>
          <w:rFonts w:hint="eastAsia"/>
        </w:rPr>
        <w:t>具体故障级别及对应的应急响应要求如下：</w:t>
      </w:r>
    </w:p>
    <w:p w14:paraId="00BE4870">
      <w:pPr>
        <w:rPr>
          <w:rFonts w:hint="eastAsia"/>
        </w:rPr>
      </w:pPr>
      <w:r>
        <w:rPr>
          <w:rFonts w:hint="eastAsia"/>
        </w:rPr>
        <w:t>一级故障：在1小时内确诊，总故障解决时间不超过4小时。</w:t>
      </w:r>
    </w:p>
    <w:p w14:paraId="0E5E25C2">
      <w:pPr>
        <w:rPr>
          <w:rFonts w:hint="eastAsia"/>
        </w:rPr>
      </w:pPr>
      <w:r>
        <w:rPr>
          <w:rFonts w:hint="eastAsia"/>
        </w:rPr>
        <w:t>二级故障：在2小时内确诊，并在4小时内由专家到达现场确诊并解决，总故障解决时间不超过8小时；</w:t>
      </w:r>
    </w:p>
    <w:p w14:paraId="44965F5F">
      <w:pPr>
        <w:rPr>
          <w:rFonts w:hint="eastAsia"/>
        </w:rPr>
      </w:pPr>
      <w:r>
        <w:rPr>
          <w:rFonts w:hint="eastAsia"/>
        </w:rPr>
        <w:t>三、四级故障：在4小时内确诊故障，总故障解决时间不超过16小时。</w:t>
      </w:r>
    </w:p>
    <w:p w14:paraId="3700B0AB">
      <w:pPr>
        <w:pStyle w:val="3"/>
        <w:rPr>
          <w:rFonts w:hint="eastAsia"/>
        </w:rPr>
      </w:pPr>
      <w:r>
        <w:rPr>
          <w:rFonts w:hint="eastAsia"/>
        </w:rPr>
        <w:t>网络与数据安全</w:t>
      </w:r>
    </w:p>
    <w:p w14:paraId="6DF970B7">
      <w:pPr>
        <w:rPr>
          <w:rFonts w:hint="eastAsia"/>
        </w:rPr>
      </w:pPr>
      <w:r>
        <w:rPr>
          <w:rFonts w:hint="eastAsia"/>
        </w:rPr>
        <w:t>(1)供应商应在项目深化设计阶段，应开展安全需求调研和数据分类分级工作，制定网络和数据安全设计方案，制定总体安全技术架构，明确边界防护、访问控制、权限管理、系统安全配置、身份鉴别、入侵防范等系统安全防护措施，制定差异化的数据安全防护手段，确保数据全生命周期安全。</w:t>
      </w:r>
    </w:p>
    <w:p w14:paraId="2579615D">
      <w:pPr>
        <w:rPr>
          <w:rFonts w:hint="eastAsia"/>
        </w:rPr>
      </w:pPr>
      <w:r>
        <w:rPr>
          <w:rFonts w:hint="eastAsia"/>
        </w:rPr>
        <w:t>(2)供应商应配合采购人开展相关安全制度和规范的制定，并根据项目实际，制定项目实施过程安全管理方案。</w:t>
      </w:r>
    </w:p>
    <w:p w14:paraId="74D99A81">
      <w:pPr>
        <w:rPr>
          <w:rFonts w:hint="eastAsia"/>
        </w:rPr>
      </w:pPr>
      <w:r>
        <w:rPr>
          <w:rFonts w:hint="eastAsia"/>
        </w:rPr>
        <w:t>(3)供应商应确保所提供的软件产品和定制开发内容所涉及的供应链满足采购人的管理要求，提供供应链物料清单，落实供应链安全控制措施，包括代码安全检测和质量评估、漏洞扫描、第三方组件评估等工作，并于系统上线前，完成信息化资产的梳理。</w:t>
      </w:r>
    </w:p>
    <w:p w14:paraId="6AC10CEA">
      <w:pPr>
        <w:rPr>
          <w:rFonts w:hint="eastAsia"/>
        </w:rPr>
      </w:pPr>
      <w:r>
        <w:rPr>
          <w:rFonts w:hint="eastAsia"/>
        </w:rPr>
        <w:t>(4)供应商应在项目实施过程中，推动安全开发控制工作的实施，按照安全设计方案和采购人安全开发要求，落实安全开发规范，确保代码质量和安全性。供应商应确保系统开发及生产环境安全，落实安全管理策略及安全配置。</w:t>
      </w:r>
    </w:p>
    <w:p w14:paraId="59BA6BAF">
      <w:pPr>
        <w:rPr>
          <w:rFonts w:hint="eastAsia"/>
        </w:rPr>
      </w:pPr>
      <w:r>
        <w:rPr>
          <w:rFonts w:hint="eastAsia"/>
        </w:rPr>
        <w:t>(5)供应商应在项目实施过程中，按照数据差异化安全防护策略，根据系统需要采取数据加密、数据访问控制、日志记录、流转监测等防护能力及相关管理流程，切实保障数据安全。</w:t>
      </w:r>
    </w:p>
    <w:p w14:paraId="5BCE02DD">
      <w:pPr>
        <w:rPr>
          <w:rFonts w:hint="eastAsia"/>
        </w:rPr>
      </w:pPr>
      <w:r>
        <w:rPr>
          <w:rFonts w:hint="eastAsia"/>
        </w:rPr>
        <w:t>(6)供应商应按照采购人场地及人员安全管理制度，加强人员管理，配合采购人落实人员背调、入离场、终端管理、网络限制、数据权限最小化等管控措施。</w:t>
      </w:r>
    </w:p>
    <w:p w14:paraId="5D6BBC81">
      <w:pPr>
        <w:rPr>
          <w:rFonts w:hint="eastAsia"/>
        </w:rPr>
      </w:pPr>
      <w:r>
        <w:rPr>
          <w:rFonts w:hint="eastAsia"/>
        </w:rPr>
        <w:t>(7)供应商应配合采购人开展系统安全事件（含业务故障）级别划分，制定应急预案，并落实应急预案中规定的应急响应要求。</w:t>
      </w:r>
    </w:p>
    <w:p w14:paraId="1E7AEC0C">
      <w:pPr>
        <w:rPr>
          <w:rFonts w:hint="eastAsia"/>
        </w:rPr>
      </w:pPr>
      <w:r>
        <w:rPr>
          <w:rFonts w:hint="eastAsia"/>
        </w:rPr>
        <w:t>(8)供应商应于系统上线部署前对系统运行环境、应用软件等开展安全自查，并于项目初验及系统试运行阶段，配合采购人开展安测、密测、等保、密评、数据安全风险评估等系列安全测试、评估工作，针对发现的问题及时完成整改，确保系统上线安全。</w:t>
      </w:r>
    </w:p>
    <w:p w14:paraId="7C9087E6">
      <w:pPr>
        <w:rPr>
          <w:rFonts w:hint="eastAsia"/>
        </w:rPr>
      </w:pPr>
      <w:r>
        <w:rPr>
          <w:rFonts w:hint="eastAsia"/>
        </w:rPr>
        <w:t>(9)供应商应在系统免维期内承担系统安全运维管理责任，落实安全管理保障措施，包括但不限于制度修订、风险排查、应急响应、漏洞修复、重保等工作。</w:t>
      </w:r>
    </w:p>
    <w:p w14:paraId="2087587C">
      <w:pPr>
        <w:pStyle w:val="3"/>
        <w:rPr>
          <w:rFonts w:hint="eastAsia"/>
        </w:rPr>
      </w:pPr>
      <w:bookmarkStart w:id="24" w:name="_Toc63785507"/>
      <w:r>
        <w:rPr>
          <w:rFonts w:hint="eastAsia"/>
        </w:rPr>
        <w:t>培训要求</w:t>
      </w:r>
      <w:bookmarkEnd w:id="24"/>
    </w:p>
    <w:p w14:paraId="5BA4F43A">
      <w:pPr>
        <w:rPr>
          <w:rFonts w:hint="eastAsia"/>
        </w:rPr>
      </w:pPr>
      <w:r>
        <w:rPr>
          <w:rFonts w:hint="eastAsia"/>
        </w:rPr>
        <w:t>对系统使用单位提供业务操作培训，应提供详细培训方案。</w:t>
      </w:r>
    </w:p>
    <w:p w14:paraId="7CB9C9CB">
      <w:pPr>
        <w:rPr>
          <w:rFonts w:hint="eastAsia"/>
        </w:rPr>
      </w:pPr>
      <w:r>
        <w:rPr>
          <w:rFonts w:hint="eastAsia"/>
        </w:rPr>
        <w:t>(1)在12个月的质量保证期内，提供2次与项目相关的必要培训。</w:t>
      </w:r>
    </w:p>
    <w:p w14:paraId="48C31AFA">
      <w:pPr>
        <w:rPr>
          <w:rFonts w:hint="eastAsia"/>
        </w:rPr>
      </w:pPr>
      <w:r>
        <w:rPr>
          <w:rFonts w:hint="eastAsia"/>
        </w:rPr>
        <w:t>(2)供应商需要开展分层次的人员培训工作，每次培训后应对参加培训人员进行测试，评估培训成果。培训应具有培训教材、培训环境和高水平的培训讲师。</w:t>
      </w:r>
    </w:p>
    <w:p w14:paraId="3DDD4074">
      <w:pPr>
        <w:rPr>
          <w:rFonts w:hint="eastAsia"/>
        </w:rPr>
      </w:pPr>
      <w:r>
        <w:rPr>
          <w:rFonts w:hint="eastAsia"/>
        </w:rPr>
        <w:t>(3)供应商应提供一般用户的基础操作培训和部门信息管理员的日常应用维护的培训，确保用户对象能够掌握对应的操作技能。</w:t>
      </w:r>
    </w:p>
    <w:p w14:paraId="31F58741">
      <w:pPr>
        <w:pStyle w:val="3"/>
        <w:rPr>
          <w:rFonts w:hint="eastAsia"/>
        </w:rPr>
      </w:pPr>
      <w:bookmarkStart w:id="25" w:name="_Toc63785508"/>
      <w:r>
        <w:rPr>
          <w:rFonts w:hint="eastAsia"/>
        </w:rPr>
        <w:t>验收要求</w:t>
      </w:r>
      <w:bookmarkEnd w:id="25"/>
    </w:p>
    <w:p w14:paraId="2D2E9782">
      <w:pPr>
        <w:rPr>
          <w:rFonts w:hint="eastAsia"/>
          <w:szCs w:val="21"/>
        </w:rPr>
      </w:pPr>
      <w:r>
        <w:rPr>
          <w:rFonts w:hint="eastAsia"/>
          <w:szCs w:val="21"/>
        </w:rPr>
        <w:t>本项目按下述方式开展验收。</w:t>
      </w:r>
    </w:p>
    <w:p w14:paraId="3BEAE804">
      <w:pPr>
        <w:rPr>
          <w:rFonts w:hint="eastAsia"/>
          <w:szCs w:val="21"/>
        </w:rPr>
      </w:pPr>
      <w:r>
        <w:rPr>
          <w:rFonts w:hint="eastAsia"/>
          <w:szCs w:val="21"/>
        </w:rPr>
        <w:t>（</w:t>
      </w:r>
      <w:r>
        <w:rPr>
          <w:szCs w:val="21"/>
        </w:rPr>
        <w:t>1）验收分初验和终验。</w:t>
      </w:r>
    </w:p>
    <w:p w14:paraId="2E95B491">
      <w:pPr>
        <w:rPr>
          <w:rFonts w:hint="eastAsia"/>
          <w:szCs w:val="21"/>
        </w:rPr>
      </w:pPr>
      <w:r>
        <w:rPr>
          <w:rFonts w:hint="eastAsia"/>
          <w:szCs w:val="21"/>
        </w:rPr>
        <w:t>（</w:t>
      </w:r>
      <w:r>
        <w:rPr>
          <w:szCs w:val="21"/>
        </w:rPr>
        <w:t>2）初验前，供应商须完成软件开发、软硬件安装和信息系统的调试等，并对本项目进行功能和运行检测，确保所有信息系统功能模块能够正常运行且已达到本项目约定的各类标准要求。供应商应以书面形式向招标方递交初验通知书。招标方应当在接到通知后的5个工作日内确定初验的具体日期，由双方按照本项目的约定完成本项目的初验。招标方有权委托第三方检测机构进行验收，对此供应商应当配合。</w:t>
      </w:r>
    </w:p>
    <w:p w14:paraId="014D9CCD">
      <w:pPr>
        <w:rPr>
          <w:rFonts w:hint="eastAsia"/>
          <w:szCs w:val="21"/>
        </w:rPr>
      </w:pPr>
      <w:r>
        <w:rPr>
          <w:rFonts w:hint="eastAsia"/>
          <w:szCs w:val="21"/>
        </w:rPr>
        <w:t>（</w:t>
      </w:r>
      <w:r>
        <w:rPr>
          <w:szCs w:val="21"/>
        </w:rPr>
        <w:t>3）初验时，供应商须提供软件文档包括《用户需求说明书》、《系统概要设计说明书》、《系统详细设计说明书》、</w:t>
      </w:r>
      <w:r>
        <w:rPr>
          <w:rFonts w:hint="eastAsia"/>
          <w:szCs w:val="21"/>
        </w:rPr>
        <w:t>《三方功能需求确认单》、</w:t>
      </w:r>
      <w:r>
        <w:rPr>
          <w:szCs w:val="21"/>
        </w:rPr>
        <w:t>《测试报告》、《用户使用手册》、《系统部署文档》等及可安装的程序运行文件。所交付的文档与文件应当是可供自然人阅读的书面和电子文档。软件文档及可安装的程序运行文件验收通过后，视为初验通过。如有缺陷，招标方应向供应商出具书面报告，陈述需要改进的缺陷。供应商应立即严格依照招标方的书面报告中的要求改进缺陷，并再次进行初验。</w:t>
      </w:r>
    </w:p>
    <w:p w14:paraId="2B8B8AC0">
      <w:pPr>
        <w:rPr>
          <w:rFonts w:hint="eastAsia"/>
          <w:szCs w:val="21"/>
        </w:rPr>
      </w:pPr>
      <w:r>
        <w:rPr>
          <w:rFonts w:hint="eastAsia"/>
          <w:szCs w:val="21"/>
        </w:rPr>
        <w:t>（</w:t>
      </w:r>
      <w:r>
        <w:rPr>
          <w:szCs w:val="21"/>
        </w:rPr>
        <w:t>4）自初验通过之日起，招标方享有供应商免费提供的</w:t>
      </w:r>
      <w:r>
        <w:rPr>
          <w:rFonts w:hint="eastAsia"/>
          <w:szCs w:val="21"/>
        </w:rPr>
        <w:t>30</w:t>
      </w:r>
      <w:r>
        <w:rPr>
          <w:szCs w:val="21"/>
        </w:rPr>
        <w:t>天的信息系统试运行现场驻场服务期。该期间内，供应商应当按照招标方的要求提供现场技术支持服务，解决信息系统试运行期间可能出现的各类问题，或进一步提高与完善信息系统运行水平。</w:t>
      </w:r>
    </w:p>
    <w:p w14:paraId="51F86361">
      <w:pPr>
        <w:rPr>
          <w:rFonts w:hint="eastAsia"/>
          <w:szCs w:val="21"/>
        </w:rPr>
      </w:pPr>
      <w:r>
        <w:rPr>
          <w:rFonts w:hint="eastAsia"/>
          <w:szCs w:val="21"/>
        </w:rPr>
        <w:t>（</w:t>
      </w:r>
      <w:r>
        <w:rPr>
          <w:szCs w:val="21"/>
        </w:rPr>
        <w:t>5）初验通过且信息系统试运行期已经达到本项目约定的时间，经供应商确认信息系统具备正常运行条件，且信息系统通过运行测试，供应商应以书面形式通知招标方信息系统已准备就绪等待终验。招标方在收到终验通知后的</w:t>
      </w:r>
      <w:r>
        <w:rPr>
          <w:rFonts w:hint="eastAsia"/>
          <w:szCs w:val="21"/>
        </w:rPr>
        <w:t>10</w:t>
      </w:r>
      <w:r>
        <w:rPr>
          <w:szCs w:val="21"/>
        </w:rPr>
        <w:t>个工作日内发起组织专家验收会。</w:t>
      </w:r>
    </w:p>
    <w:p w14:paraId="1F3C2A8E">
      <w:pPr>
        <w:rPr>
          <w:rFonts w:hint="eastAsia"/>
          <w:szCs w:val="21"/>
        </w:rPr>
      </w:pPr>
      <w:r>
        <w:rPr>
          <w:rFonts w:hint="eastAsia"/>
          <w:szCs w:val="21"/>
        </w:rPr>
        <w:t>（6</w:t>
      </w:r>
      <w:r>
        <w:rPr>
          <w:szCs w:val="21"/>
        </w:rPr>
        <w:t>）如果属于供应商原因致使本项目未能通过终验，供应商应当排除缺陷，直至本项目完全符合验收标准，由上述情形而产生的相关费用应由供应商自行承担。</w:t>
      </w:r>
    </w:p>
    <w:p w14:paraId="4150DCAC">
      <w:pPr>
        <w:rPr>
          <w:rFonts w:hint="eastAsia"/>
          <w:szCs w:val="21"/>
        </w:rPr>
      </w:pPr>
      <w:r>
        <w:rPr>
          <w:rFonts w:hint="eastAsia"/>
          <w:szCs w:val="21"/>
        </w:rPr>
        <w:t>（7</w:t>
      </w:r>
      <w:r>
        <w:rPr>
          <w:szCs w:val="21"/>
        </w:rPr>
        <w:t>）如果由于招标方原因导致本项目在终验通过前出现故障或问题，供应商应及时配合排除该方面的故障或问题。</w:t>
      </w:r>
    </w:p>
    <w:p w14:paraId="0CD0443A">
      <w:pPr>
        <w:rPr>
          <w:rFonts w:hint="eastAsia"/>
          <w:szCs w:val="21"/>
        </w:rPr>
      </w:pPr>
      <w:r>
        <w:rPr>
          <w:rFonts w:hint="eastAsia"/>
          <w:szCs w:val="21"/>
        </w:rPr>
        <w:t>（8</w:t>
      </w:r>
      <w:r>
        <w:rPr>
          <w:szCs w:val="21"/>
        </w:rPr>
        <w:t>）如本项目连续3次验收未通过（含初验未通过或终验未通过），招标方有权解除项目，并有权依照本项目约定的违约条款追究供应商的违约责任。</w:t>
      </w:r>
    </w:p>
    <w:p w14:paraId="5BD411D1">
      <w:pPr>
        <w:pStyle w:val="3"/>
        <w:rPr>
          <w:rFonts w:hint="eastAsia"/>
        </w:rPr>
      </w:pPr>
      <w:bookmarkStart w:id="26" w:name="_Toc63785509"/>
      <w:r>
        <w:rPr>
          <w:rFonts w:hint="eastAsia"/>
        </w:rPr>
        <w:t>进度要求</w:t>
      </w:r>
      <w:bookmarkEnd w:id="26"/>
    </w:p>
    <w:p w14:paraId="19CC0668">
      <w:pPr>
        <w:rPr>
          <w:rFonts w:hint="eastAsia"/>
          <w:szCs w:val="21"/>
        </w:rPr>
      </w:pPr>
      <w:r>
        <w:rPr>
          <w:rFonts w:hint="eastAsia"/>
          <w:szCs w:val="21"/>
        </w:rPr>
        <w:t>投标人应根据建设内容，分阶段制定合理的时间进度，并且应根据招标方要求进行调整和细化。</w:t>
      </w:r>
    </w:p>
    <w:p w14:paraId="00C8759D">
      <w:pPr>
        <w:rPr>
          <w:rFonts w:hint="eastAsia"/>
          <w:szCs w:val="21"/>
        </w:rPr>
      </w:pPr>
      <w:r>
        <w:rPr>
          <w:rFonts w:hint="eastAsia"/>
          <w:szCs w:val="21"/>
        </w:rPr>
        <w:t>总建设周期为12个月，主要划分为以下几个阶段：</w:t>
      </w:r>
    </w:p>
    <w:p w14:paraId="5710DC6D">
      <w:pPr>
        <w:rPr>
          <w:rFonts w:hint="eastAsia"/>
          <w:szCs w:val="21"/>
        </w:rPr>
      </w:pPr>
      <w:r>
        <w:rPr>
          <w:rFonts w:hint="eastAsia"/>
          <w:szCs w:val="21"/>
        </w:rPr>
        <w:t>(1)项目规划设计阶段</w:t>
      </w:r>
    </w:p>
    <w:p w14:paraId="17EC6808">
      <w:pPr>
        <w:rPr>
          <w:rFonts w:hint="eastAsia"/>
          <w:szCs w:val="21"/>
        </w:rPr>
      </w:pPr>
      <w:r>
        <w:rPr>
          <w:rFonts w:hint="eastAsia"/>
          <w:szCs w:val="21"/>
        </w:rPr>
        <w:t>本阶段主要完成项目有关业务、系统和需求的调研，形成总体设计方案，完成系统架构、数据库、基础资源、功能等详细设计。</w:t>
      </w:r>
    </w:p>
    <w:p w14:paraId="063A3CB2">
      <w:pPr>
        <w:rPr>
          <w:rFonts w:hint="eastAsia"/>
          <w:szCs w:val="21"/>
        </w:rPr>
      </w:pPr>
      <w:r>
        <w:rPr>
          <w:rFonts w:hint="eastAsia"/>
          <w:szCs w:val="21"/>
        </w:rPr>
        <w:t>本阶段周期为1个月。</w:t>
      </w:r>
    </w:p>
    <w:p w14:paraId="3684CC5B">
      <w:pPr>
        <w:rPr>
          <w:rFonts w:hint="eastAsia"/>
          <w:szCs w:val="21"/>
        </w:rPr>
      </w:pPr>
      <w:r>
        <w:rPr>
          <w:rFonts w:hint="eastAsia"/>
          <w:szCs w:val="21"/>
        </w:rPr>
        <w:t>(2)项目开发测试阶段</w:t>
      </w:r>
    </w:p>
    <w:p w14:paraId="7985408B">
      <w:pPr>
        <w:rPr>
          <w:rFonts w:hint="eastAsia"/>
          <w:szCs w:val="21"/>
        </w:rPr>
      </w:pPr>
      <w:r>
        <w:rPr>
          <w:rFonts w:hint="eastAsia"/>
          <w:szCs w:val="21"/>
        </w:rPr>
        <w:t>本阶段主要进行完成软硬件设备采购、系统设计、开发和部署实施。</w:t>
      </w:r>
    </w:p>
    <w:p w14:paraId="6487177C">
      <w:pPr>
        <w:rPr>
          <w:rFonts w:hint="eastAsia"/>
          <w:szCs w:val="21"/>
        </w:rPr>
      </w:pPr>
      <w:r>
        <w:rPr>
          <w:rFonts w:hint="eastAsia"/>
          <w:szCs w:val="21"/>
        </w:rPr>
        <w:t>本阶段周期为8个月。</w:t>
      </w:r>
    </w:p>
    <w:p w14:paraId="7F7F9363">
      <w:pPr>
        <w:rPr>
          <w:rFonts w:hint="eastAsia"/>
          <w:szCs w:val="21"/>
        </w:rPr>
      </w:pPr>
      <w:r>
        <w:rPr>
          <w:rFonts w:hint="eastAsia"/>
          <w:szCs w:val="21"/>
        </w:rPr>
        <w:t>(3)项目试运行和迭代开发阶段</w:t>
      </w:r>
    </w:p>
    <w:p w14:paraId="02BA1082">
      <w:pPr>
        <w:rPr>
          <w:rFonts w:hint="eastAsia"/>
          <w:szCs w:val="21"/>
        </w:rPr>
      </w:pPr>
      <w:r>
        <w:rPr>
          <w:rFonts w:hint="eastAsia"/>
          <w:szCs w:val="21"/>
        </w:rPr>
        <w:t>本阶段主要进行项目功能试运行，修正各模块联调中出现的问题，完成系统完善和功能迭代，直至发布正式运行版本。</w:t>
      </w:r>
    </w:p>
    <w:p w14:paraId="38A146F0">
      <w:pPr>
        <w:rPr>
          <w:rFonts w:hint="eastAsia"/>
          <w:szCs w:val="21"/>
        </w:rPr>
      </w:pPr>
      <w:r>
        <w:rPr>
          <w:rFonts w:hint="eastAsia"/>
          <w:szCs w:val="21"/>
        </w:rPr>
        <w:t>本阶段周期为2个月。</w:t>
      </w:r>
    </w:p>
    <w:p w14:paraId="0BD59F06">
      <w:pPr>
        <w:rPr>
          <w:rFonts w:hint="eastAsia"/>
          <w:szCs w:val="21"/>
        </w:rPr>
      </w:pPr>
      <w:r>
        <w:rPr>
          <w:rFonts w:hint="eastAsia"/>
          <w:szCs w:val="21"/>
        </w:rPr>
        <w:t>(4)项目验收阶段</w:t>
      </w:r>
    </w:p>
    <w:p w14:paraId="19CB2116">
      <w:pPr>
        <w:rPr>
          <w:rFonts w:hint="eastAsia"/>
          <w:szCs w:val="21"/>
        </w:rPr>
      </w:pPr>
      <w:r>
        <w:rPr>
          <w:rFonts w:hint="eastAsia"/>
          <w:szCs w:val="21"/>
        </w:rPr>
        <w:t>本阶段主要实施项目验收并启动项目的正式运行，根据项目运行情况和验收要求开展项目测评、功能优化和绩效评价等工作。</w:t>
      </w:r>
    </w:p>
    <w:p w14:paraId="7358082C">
      <w:pPr>
        <w:rPr>
          <w:rFonts w:hint="eastAsia"/>
          <w:szCs w:val="21"/>
        </w:rPr>
      </w:pPr>
      <w:r>
        <w:rPr>
          <w:rFonts w:hint="eastAsia"/>
          <w:szCs w:val="21"/>
        </w:rPr>
        <w:t>本阶段周期为1个月。</w:t>
      </w:r>
    </w:p>
    <w:p w14:paraId="7188AF6C">
      <w:pPr>
        <w:pStyle w:val="3"/>
        <w:rPr>
          <w:rFonts w:hint="eastAsia"/>
        </w:rPr>
      </w:pPr>
      <w:bookmarkStart w:id="27" w:name="_Toc63785510"/>
      <w:r>
        <w:rPr>
          <w:rFonts w:hint="eastAsia"/>
        </w:rPr>
        <w:t>项目团队及驻场人员要求</w:t>
      </w:r>
      <w:bookmarkEnd w:id="27"/>
    </w:p>
    <w:p w14:paraId="6249CD37">
      <w:pPr>
        <w:rPr>
          <w:rFonts w:hint="eastAsia"/>
        </w:rPr>
      </w:pPr>
      <w:r>
        <w:t>1）</w:t>
      </w:r>
      <w:r>
        <w:rPr>
          <w:rFonts w:hint="eastAsia"/>
        </w:rPr>
        <w:t>投标人应当熟悉平台的技术架构、安全体系，具有稳定的在职技术保障力量，能够提供及时的技术支援或服务，应针对本项目提供不少于147人的项目服务团队（包括</w:t>
      </w:r>
      <w:r>
        <w:rPr>
          <w:rFonts w:hint="eastAsia"/>
          <w:lang w:eastAsia="zh-CN"/>
        </w:rPr>
        <w:t>项目负责人</w:t>
      </w:r>
      <w:r>
        <w:rPr>
          <w:rFonts w:hint="eastAsia"/>
        </w:rPr>
        <w:t>、技术负责人、安全工程师、研发工程师、数据工程师等，含分包人员），驻场人员不少于45人。本项目重要程度高，且时间紧、任务重，需要具有丰富的低空或政务信息化项目经验和技术经验的团队参与建设，且团队中需具有地理信息相关专业经验的专业人员，以满足本项目专业性要求</w:t>
      </w:r>
      <w:r>
        <w:t>。</w:t>
      </w:r>
    </w:p>
    <w:p w14:paraId="31DEE5DE">
      <w:pPr>
        <w:rPr>
          <w:rFonts w:hint="eastAsia"/>
        </w:rPr>
      </w:pPr>
      <w:r>
        <w:rPr>
          <w:rFonts w:hint="eastAsia"/>
        </w:rPr>
        <w:t>2）投标单位的相关服务人员需具备相应的服务能力，具体人员要求详见下表，需提供相关证明（</w:t>
      </w:r>
      <w:r>
        <w:rPr>
          <w:rFonts w:hint="eastAsia"/>
          <w:lang w:eastAsia="zh-CN"/>
        </w:rPr>
        <w:t>开标前三个月内</w:t>
      </w:r>
      <w:r>
        <w:rPr>
          <w:rFonts w:hint="eastAsia"/>
        </w:rPr>
        <w:t>任意一个月依法缴纳社保的证明）。</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701"/>
        <w:gridCol w:w="1417"/>
        <w:gridCol w:w="2552"/>
        <w:gridCol w:w="1332"/>
      </w:tblGrid>
      <w:tr w14:paraId="52D4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26" w:type="dxa"/>
            <w:noWrap/>
            <w:vAlign w:val="center"/>
          </w:tcPr>
          <w:p w14:paraId="1483DE5D">
            <w:pPr>
              <w:keepNext w:val="0"/>
              <w:keepLines w:val="0"/>
              <w:widowControl/>
              <w:suppressLineNumbers w:val="0"/>
              <w:spacing w:before="0" w:beforeAutospacing="0" w:after="0" w:afterAutospacing="0" w:line="240" w:lineRule="auto"/>
              <w:ind w:left="0" w:right="0" w:firstLine="0" w:firstLineChars="0"/>
              <w:jc w:val="center"/>
              <w:rPr>
                <w:rFonts w:hint="eastAsia"/>
                <w:b/>
              </w:rPr>
            </w:pPr>
            <w:r>
              <w:rPr>
                <w:rFonts w:hint="eastAsia"/>
                <w:b/>
              </w:rPr>
              <w:t>角色</w:t>
            </w:r>
          </w:p>
        </w:tc>
        <w:tc>
          <w:tcPr>
            <w:tcW w:w="1701" w:type="dxa"/>
            <w:noWrap/>
            <w:vAlign w:val="center"/>
          </w:tcPr>
          <w:p w14:paraId="4812FC5F">
            <w:pPr>
              <w:keepNext w:val="0"/>
              <w:keepLines w:val="0"/>
              <w:widowControl/>
              <w:suppressLineNumbers w:val="0"/>
              <w:spacing w:before="0" w:beforeAutospacing="0" w:after="0" w:afterAutospacing="0" w:line="240" w:lineRule="auto"/>
              <w:ind w:left="0" w:right="0" w:firstLine="0" w:firstLineChars="0"/>
              <w:jc w:val="center"/>
              <w:rPr>
                <w:rFonts w:hint="eastAsia"/>
                <w:b/>
              </w:rPr>
            </w:pPr>
            <w:r>
              <w:rPr>
                <w:rFonts w:hint="eastAsia"/>
                <w:b/>
              </w:rPr>
              <w:t>主要职责</w:t>
            </w:r>
          </w:p>
        </w:tc>
        <w:tc>
          <w:tcPr>
            <w:tcW w:w="1417" w:type="dxa"/>
            <w:noWrap/>
            <w:vAlign w:val="center"/>
          </w:tcPr>
          <w:p w14:paraId="08E05D88">
            <w:pPr>
              <w:keepNext w:val="0"/>
              <w:keepLines w:val="0"/>
              <w:widowControl/>
              <w:suppressLineNumbers w:val="0"/>
              <w:spacing w:before="0" w:beforeAutospacing="0" w:after="0" w:afterAutospacing="0" w:line="240" w:lineRule="auto"/>
              <w:ind w:left="0" w:right="0" w:firstLine="0" w:firstLineChars="0"/>
              <w:jc w:val="center"/>
              <w:rPr>
                <w:rFonts w:hint="eastAsia"/>
                <w:b/>
              </w:rPr>
            </w:pPr>
            <w:r>
              <w:rPr>
                <w:rFonts w:hint="eastAsia"/>
                <w:b/>
              </w:rPr>
              <w:t>人员数量</w:t>
            </w:r>
          </w:p>
        </w:tc>
        <w:tc>
          <w:tcPr>
            <w:tcW w:w="2552" w:type="dxa"/>
            <w:vAlign w:val="center"/>
          </w:tcPr>
          <w:p w14:paraId="4E406FEC">
            <w:pPr>
              <w:keepNext w:val="0"/>
              <w:keepLines w:val="0"/>
              <w:widowControl/>
              <w:suppressLineNumbers w:val="0"/>
              <w:spacing w:before="0" w:beforeAutospacing="0" w:after="0" w:afterAutospacing="0" w:line="240" w:lineRule="auto"/>
              <w:ind w:left="0" w:right="0" w:firstLine="0" w:firstLineChars="0"/>
              <w:jc w:val="center"/>
              <w:rPr>
                <w:rFonts w:hint="eastAsia"/>
                <w:b/>
              </w:rPr>
            </w:pPr>
            <w:r>
              <w:rPr>
                <w:rFonts w:hint="eastAsia"/>
                <w:b/>
              </w:rPr>
              <w:t>人员要求</w:t>
            </w:r>
          </w:p>
        </w:tc>
        <w:tc>
          <w:tcPr>
            <w:tcW w:w="1332" w:type="dxa"/>
            <w:noWrap/>
            <w:vAlign w:val="center"/>
          </w:tcPr>
          <w:p w14:paraId="14C3BD0E">
            <w:pPr>
              <w:keepNext w:val="0"/>
              <w:keepLines w:val="0"/>
              <w:widowControl/>
              <w:suppressLineNumbers w:val="0"/>
              <w:spacing w:before="0" w:beforeAutospacing="0" w:after="0" w:afterAutospacing="0" w:line="240" w:lineRule="auto"/>
              <w:ind w:left="0" w:right="0" w:firstLine="0" w:firstLineChars="0"/>
              <w:jc w:val="center"/>
              <w:rPr>
                <w:rFonts w:hint="eastAsia"/>
                <w:b/>
              </w:rPr>
            </w:pPr>
            <w:r>
              <w:rPr>
                <w:rFonts w:hint="eastAsia"/>
                <w:b/>
              </w:rPr>
              <w:t>驻场要求</w:t>
            </w:r>
          </w:p>
        </w:tc>
      </w:tr>
      <w:tr w14:paraId="6EF6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26" w:type="dxa"/>
            <w:noWrap/>
            <w:vAlign w:val="center"/>
          </w:tcPr>
          <w:p w14:paraId="3CE7924A">
            <w:pPr>
              <w:keepNext w:val="0"/>
              <w:keepLines w:val="0"/>
              <w:widowControl/>
              <w:suppressLineNumbers w:val="0"/>
              <w:spacing w:before="0" w:beforeAutospacing="0" w:after="0" w:afterAutospacing="0" w:line="240" w:lineRule="auto"/>
              <w:ind w:left="0" w:right="0" w:firstLine="0" w:firstLineChars="0"/>
              <w:jc w:val="center"/>
              <w:rPr>
                <w:rFonts w:hint="eastAsia" w:eastAsia="宋体"/>
                <w:lang w:eastAsia="zh-CN"/>
              </w:rPr>
            </w:pPr>
            <w:r>
              <w:rPr>
                <w:rFonts w:hint="eastAsia"/>
                <w:lang w:eastAsia="zh-CN"/>
              </w:rPr>
              <w:t>项目负责人</w:t>
            </w:r>
          </w:p>
        </w:tc>
        <w:tc>
          <w:tcPr>
            <w:tcW w:w="1701" w:type="dxa"/>
            <w:vAlign w:val="center"/>
          </w:tcPr>
          <w:p w14:paraId="669055B3">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负责项目质量和进度控制</w:t>
            </w:r>
          </w:p>
        </w:tc>
        <w:tc>
          <w:tcPr>
            <w:tcW w:w="1417" w:type="dxa"/>
            <w:noWrap/>
            <w:vAlign w:val="center"/>
          </w:tcPr>
          <w:p w14:paraId="120597A8">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1人</w:t>
            </w:r>
          </w:p>
        </w:tc>
        <w:tc>
          <w:tcPr>
            <w:tcW w:w="2552" w:type="dxa"/>
            <w:vAlign w:val="center"/>
          </w:tcPr>
          <w:p w14:paraId="2DB8CD54">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本科及以上学历，具有低空或政务信息化项目经验，具备信息系统项目管理师或计算机类/信息技术类高级工程师证书。</w:t>
            </w:r>
          </w:p>
        </w:tc>
        <w:tc>
          <w:tcPr>
            <w:tcW w:w="1332" w:type="dxa"/>
            <w:noWrap/>
            <w:vAlign w:val="center"/>
          </w:tcPr>
          <w:p w14:paraId="5AD67A0C">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驻场</w:t>
            </w:r>
          </w:p>
        </w:tc>
      </w:tr>
      <w:tr w14:paraId="479F7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26" w:type="dxa"/>
            <w:noWrap/>
            <w:vAlign w:val="center"/>
          </w:tcPr>
          <w:p w14:paraId="5431B815">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软件开发技术负责人</w:t>
            </w:r>
          </w:p>
        </w:tc>
        <w:tc>
          <w:tcPr>
            <w:tcW w:w="1701" w:type="dxa"/>
            <w:vAlign w:val="center"/>
          </w:tcPr>
          <w:p w14:paraId="2612C86A">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负责项目技术架构路线</w:t>
            </w:r>
          </w:p>
        </w:tc>
        <w:tc>
          <w:tcPr>
            <w:tcW w:w="1417" w:type="dxa"/>
            <w:noWrap/>
            <w:vAlign w:val="center"/>
          </w:tcPr>
          <w:p w14:paraId="546A69A6">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1人</w:t>
            </w:r>
          </w:p>
        </w:tc>
        <w:tc>
          <w:tcPr>
            <w:tcW w:w="2552" w:type="dxa"/>
            <w:vAlign w:val="center"/>
          </w:tcPr>
          <w:p w14:paraId="796DA1FF">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本科及以上学历，具有低空或政务信息化项目经验，具备信息系统项目管理师或计算机类/信息技术类高级工程师证书。</w:t>
            </w:r>
          </w:p>
        </w:tc>
        <w:tc>
          <w:tcPr>
            <w:tcW w:w="1332" w:type="dxa"/>
            <w:noWrap/>
            <w:vAlign w:val="center"/>
          </w:tcPr>
          <w:p w14:paraId="12C4A39E">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驻场</w:t>
            </w:r>
          </w:p>
        </w:tc>
      </w:tr>
      <w:tr w14:paraId="54D99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26" w:type="dxa"/>
            <w:noWrap/>
            <w:vAlign w:val="center"/>
          </w:tcPr>
          <w:p w14:paraId="14DC1A00">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系统集成技术负责人</w:t>
            </w:r>
          </w:p>
        </w:tc>
        <w:tc>
          <w:tcPr>
            <w:tcW w:w="1701" w:type="dxa"/>
            <w:vAlign w:val="center"/>
          </w:tcPr>
          <w:p w14:paraId="72957554">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负责保障软硬件产品集成实施工作</w:t>
            </w:r>
          </w:p>
        </w:tc>
        <w:tc>
          <w:tcPr>
            <w:tcW w:w="1417" w:type="dxa"/>
            <w:noWrap/>
            <w:vAlign w:val="center"/>
          </w:tcPr>
          <w:p w14:paraId="4BC7BFB7">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1人</w:t>
            </w:r>
          </w:p>
        </w:tc>
        <w:tc>
          <w:tcPr>
            <w:tcW w:w="2552" w:type="dxa"/>
            <w:vAlign w:val="center"/>
          </w:tcPr>
          <w:p w14:paraId="3A67EA5B">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本科及以上学历，具有低空或政务信息化项目经验，具备信息系统项目管理师或计算机类/信息技术类高级工程师证书。</w:t>
            </w:r>
          </w:p>
        </w:tc>
        <w:tc>
          <w:tcPr>
            <w:tcW w:w="1332" w:type="dxa"/>
            <w:noWrap/>
            <w:vAlign w:val="center"/>
          </w:tcPr>
          <w:p w14:paraId="31DF5293">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驻场</w:t>
            </w:r>
          </w:p>
        </w:tc>
      </w:tr>
      <w:tr w14:paraId="5845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26" w:type="dxa"/>
            <w:noWrap/>
            <w:vAlign w:val="center"/>
          </w:tcPr>
          <w:p w14:paraId="7C14DD93">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研发工程师</w:t>
            </w:r>
          </w:p>
        </w:tc>
        <w:tc>
          <w:tcPr>
            <w:tcW w:w="1701" w:type="dxa"/>
            <w:noWrap/>
            <w:vAlign w:val="center"/>
          </w:tcPr>
          <w:p w14:paraId="444A3CE0">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负责项目具体开发与实施</w:t>
            </w:r>
          </w:p>
        </w:tc>
        <w:tc>
          <w:tcPr>
            <w:tcW w:w="1417" w:type="dxa"/>
            <w:noWrap/>
            <w:vAlign w:val="center"/>
          </w:tcPr>
          <w:p w14:paraId="7AD980D1">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118人</w:t>
            </w:r>
          </w:p>
        </w:tc>
        <w:tc>
          <w:tcPr>
            <w:tcW w:w="2552" w:type="dxa"/>
            <w:vAlign w:val="center"/>
          </w:tcPr>
          <w:p w14:paraId="3FEE6AD2">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本科及以上学历，具有低空或政务信息化项目研发工作经历。</w:t>
            </w:r>
          </w:p>
          <w:p w14:paraId="2A6482F5">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部分人员需具备系统架构设计师</w:t>
            </w:r>
            <w:r>
              <w:rPr>
                <w:rFonts w:hint="eastAsia"/>
                <w:lang w:eastAsia="zh-CN"/>
              </w:rPr>
              <w:t>或</w:t>
            </w:r>
            <w:r>
              <w:rPr>
                <w:rFonts w:hint="eastAsia"/>
              </w:rPr>
              <w:t>网络工程师</w:t>
            </w:r>
            <w:r>
              <w:rPr>
                <w:rFonts w:hint="eastAsia"/>
                <w:lang w:eastAsia="zh-CN"/>
              </w:rPr>
              <w:t>或</w:t>
            </w:r>
            <w:r>
              <w:rPr>
                <w:rFonts w:hint="eastAsia"/>
              </w:rPr>
              <w:t>计算机类中级工程师职称。</w:t>
            </w:r>
          </w:p>
        </w:tc>
        <w:tc>
          <w:tcPr>
            <w:tcW w:w="1332" w:type="dxa"/>
            <w:noWrap/>
            <w:vAlign w:val="center"/>
          </w:tcPr>
          <w:p w14:paraId="2DCF7F29">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至少35人驻场</w:t>
            </w:r>
          </w:p>
        </w:tc>
      </w:tr>
      <w:tr w14:paraId="1563C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26" w:type="dxa"/>
            <w:noWrap/>
            <w:vAlign w:val="center"/>
          </w:tcPr>
          <w:p w14:paraId="6C37A608">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数据工程师</w:t>
            </w:r>
          </w:p>
        </w:tc>
        <w:tc>
          <w:tcPr>
            <w:tcW w:w="1701" w:type="dxa"/>
            <w:noWrap/>
            <w:vAlign w:val="center"/>
          </w:tcPr>
          <w:p w14:paraId="6C31C14F">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负责项目数据归集与治理</w:t>
            </w:r>
          </w:p>
        </w:tc>
        <w:tc>
          <w:tcPr>
            <w:tcW w:w="1417" w:type="dxa"/>
            <w:noWrap/>
            <w:vAlign w:val="center"/>
          </w:tcPr>
          <w:p w14:paraId="1AD51755">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20人</w:t>
            </w:r>
          </w:p>
        </w:tc>
        <w:tc>
          <w:tcPr>
            <w:tcW w:w="2552" w:type="dxa"/>
            <w:vAlign w:val="center"/>
          </w:tcPr>
          <w:p w14:paraId="42B5D0E9">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本科及以上学历，具有低空或政务信息化项目工作经历。</w:t>
            </w:r>
          </w:p>
          <w:p w14:paraId="7B6B5802">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部分人员需具备大数据分析师（高级）</w:t>
            </w:r>
            <w:r>
              <w:rPr>
                <w:rFonts w:hint="eastAsia"/>
                <w:lang w:eastAsia="zh-CN"/>
              </w:rPr>
              <w:t>或</w:t>
            </w:r>
            <w:r>
              <w:rPr>
                <w:rFonts w:hint="eastAsia"/>
              </w:rPr>
              <w:t>大数据应用工程师</w:t>
            </w:r>
            <w:r>
              <w:rPr>
                <w:rFonts w:hint="eastAsia"/>
                <w:lang w:eastAsia="zh-CN"/>
              </w:rPr>
              <w:t>（</w:t>
            </w:r>
            <w:r>
              <w:rPr>
                <w:rFonts w:hint="eastAsia"/>
              </w:rPr>
              <w:t>高级</w:t>
            </w:r>
            <w:r>
              <w:rPr>
                <w:rFonts w:hint="eastAsia"/>
                <w:lang w:eastAsia="zh-CN"/>
              </w:rPr>
              <w:t>）</w:t>
            </w:r>
            <w:r>
              <w:rPr>
                <w:rFonts w:hint="eastAsia"/>
              </w:rPr>
              <w:t>资格证书</w:t>
            </w:r>
          </w:p>
        </w:tc>
        <w:tc>
          <w:tcPr>
            <w:tcW w:w="1332" w:type="dxa"/>
            <w:noWrap/>
            <w:vAlign w:val="center"/>
          </w:tcPr>
          <w:p w14:paraId="137D3607">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至少6人驻场</w:t>
            </w:r>
          </w:p>
        </w:tc>
      </w:tr>
      <w:tr w14:paraId="1A172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26" w:type="dxa"/>
            <w:noWrap/>
            <w:vAlign w:val="center"/>
          </w:tcPr>
          <w:p w14:paraId="2E22F3E9">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硬件实施工程师</w:t>
            </w:r>
          </w:p>
        </w:tc>
        <w:tc>
          <w:tcPr>
            <w:tcW w:w="1701" w:type="dxa"/>
            <w:noWrap/>
            <w:vAlign w:val="center"/>
          </w:tcPr>
          <w:p w14:paraId="3202D1A4">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负责硬件产品的集成与调试</w:t>
            </w:r>
          </w:p>
        </w:tc>
        <w:tc>
          <w:tcPr>
            <w:tcW w:w="1417" w:type="dxa"/>
            <w:noWrap/>
            <w:vAlign w:val="center"/>
          </w:tcPr>
          <w:p w14:paraId="7A03E8CA">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2人</w:t>
            </w:r>
          </w:p>
        </w:tc>
        <w:tc>
          <w:tcPr>
            <w:tcW w:w="2552" w:type="dxa"/>
            <w:vAlign w:val="center"/>
          </w:tcPr>
          <w:p w14:paraId="5484B7ED">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本科及以上学历，具有低空或政务信息化项目工作经历。</w:t>
            </w:r>
          </w:p>
        </w:tc>
        <w:tc>
          <w:tcPr>
            <w:tcW w:w="1332" w:type="dxa"/>
            <w:noWrap/>
            <w:vAlign w:val="center"/>
          </w:tcPr>
          <w:p w14:paraId="5C32F19E">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至少1人驻场</w:t>
            </w:r>
          </w:p>
        </w:tc>
      </w:tr>
      <w:tr w14:paraId="7000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26" w:type="dxa"/>
            <w:noWrap/>
            <w:vAlign w:val="center"/>
          </w:tcPr>
          <w:p w14:paraId="7A3F62D5">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安全工程师</w:t>
            </w:r>
          </w:p>
        </w:tc>
        <w:tc>
          <w:tcPr>
            <w:tcW w:w="1701" w:type="dxa"/>
            <w:noWrap/>
            <w:vAlign w:val="center"/>
          </w:tcPr>
          <w:p w14:paraId="1404E091">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负责项目各系统安全管理</w:t>
            </w:r>
          </w:p>
        </w:tc>
        <w:tc>
          <w:tcPr>
            <w:tcW w:w="1417" w:type="dxa"/>
            <w:noWrap/>
            <w:vAlign w:val="center"/>
          </w:tcPr>
          <w:p w14:paraId="35B366B5">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4人</w:t>
            </w:r>
          </w:p>
        </w:tc>
        <w:tc>
          <w:tcPr>
            <w:tcW w:w="2552" w:type="dxa"/>
            <w:vAlign w:val="center"/>
          </w:tcPr>
          <w:p w14:paraId="4691DB3E">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本科及以上学历，具有低空或政务信息化项目工作经历。</w:t>
            </w:r>
          </w:p>
          <w:p w14:paraId="016FEAF2">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部分人员需具备注册信息安全专业人员（CISP）</w:t>
            </w:r>
            <w:r>
              <w:rPr>
                <w:rFonts w:hint="eastAsia"/>
                <w:lang w:eastAsia="zh-CN"/>
              </w:rPr>
              <w:t>或</w:t>
            </w:r>
            <w:r>
              <w:rPr>
                <w:rFonts w:hint="eastAsia"/>
              </w:rPr>
              <w:t>信息安全保障人员认证（CISAW）资格证书</w:t>
            </w:r>
          </w:p>
        </w:tc>
        <w:tc>
          <w:tcPr>
            <w:tcW w:w="1332" w:type="dxa"/>
            <w:noWrap/>
            <w:vAlign w:val="center"/>
          </w:tcPr>
          <w:p w14:paraId="7723E840">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不驻场</w:t>
            </w:r>
          </w:p>
        </w:tc>
      </w:tr>
    </w:tbl>
    <w:p w14:paraId="7DA6DD48">
      <w:pPr>
        <w:rPr>
          <w:rFonts w:hint="eastAsia"/>
        </w:rPr>
      </w:pPr>
      <w:r>
        <w:rPr>
          <w:rFonts w:hint="eastAsia"/>
        </w:rPr>
        <w:t>3</w:t>
      </w:r>
      <w:r>
        <w:t>）投标人应针对本项目提供不少于</w:t>
      </w:r>
      <w:r>
        <w:rPr>
          <w:rFonts w:hint="eastAsia"/>
        </w:rPr>
        <w:t>15人的质保期间支撑团队，承诺驻场不少于5人；投标人的相关服务人员需具备相应的服务能力，需提供相关证明（</w:t>
      </w:r>
      <w:r>
        <w:rPr>
          <w:rFonts w:hint="eastAsia"/>
          <w:lang w:eastAsia="zh-CN"/>
        </w:rPr>
        <w:t>开标前三个月内</w:t>
      </w:r>
      <w:r>
        <w:rPr>
          <w:rFonts w:hint="eastAsia"/>
        </w:rPr>
        <w:t>任意一个月依法缴纳社保费的证明）</w:t>
      </w:r>
      <w:r>
        <w:t>。</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6"/>
        <w:gridCol w:w="1669"/>
        <w:gridCol w:w="1276"/>
        <w:gridCol w:w="2631"/>
        <w:gridCol w:w="1302"/>
      </w:tblGrid>
      <w:tr w14:paraId="75C90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noWrap/>
            <w:vAlign w:val="center"/>
          </w:tcPr>
          <w:p w14:paraId="0D0BB10F">
            <w:pPr>
              <w:keepNext w:val="0"/>
              <w:keepLines w:val="0"/>
              <w:widowControl/>
              <w:suppressLineNumbers w:val="0"/>
              <w:spacing w:before="0" w:beforeAutospacing="0" w:after="0" w:afterAutospacing="0" w:line="240" w:lineRule="auto"/>
              <w:ind w:left="0" w:right="0" w:firstLine="0" w:firstLineChars="0"/>
              <w:jc w:val="center"/>
              <w:rPr>
                <w:rFonts w:hint="eastAsia"/>
                <w:b/>
              </w:rPr>
            </w:pPr>
            <w:r>
              <w:rPr>
                <w:rFonts w:hint="eastAsia"/>
                <w:b/>
              </w:rPr>
              <w:t>角色</w:t>
            </w:r>
          </w:p>
        </w:tc>
        <w:tc>
          <w:tcPr>
            <w:tcW w:w="1669" w:type="dxa"/>
            <w:noWrap/>
            <w:vAlign w:val="center"/>
          </w:tcPr>
          <w:p w14:paraId="44797AC5">
            <w:pPr>
              <w:keepNext w:val="0"/>
              <w:keepLines w:val="0"/>
              <w:widowControl/>
              <w:suppressLineNumbers w:val="0"/>
              <w:spacing w:before="0" w:beforeAutospacing="0" w:after="0" w:afterAutospacing="0" w:line="240" w:lineRule="auto"/>
              <w:ind w:left="0" w:right="0" w:firstLine="0" w:firstLineChars="0"/>
              <w:jc w:val="center"/>
              <w:rPr>
                <w:rFonts w:hint="eastAsia"/>
                <w:b/>
              </w:rPr>
            </w:pPr>
            <w:r>
              <w:rPr>
                <w:rFonts w:hint="eastAsia"/>
                <w:b/>
              </w:rPr>
              <w:t>主要职责</w:t>
            </w:r>
          </w:p>
        </w:tc>
        <w:tc>
          <w:tcPr>
            <w:tcW w:w="1276" w:type="dxa"/>
            <w:noWrap/>
            <w:vAlign w:val="center"/>
          </w:tcPr>
          <w:p w14:paraId="40914792">
            <w:pPr>
              <w:keepNext w:val="0"/>
              <w:keepLines w:val="0"/>
              <w:widowControl/>
              <w:suppressLineNumbers w:val="0"/>
              <w:spacing w:before="0" w:beforeAutospacing="0" w:after="0" w:afterAutospacing="0" w:line="240" w:lineRule="auto"/>
              <w:ind w:left="0" w:right="0" w:firstLine="0" w:firstLineChars="0"/>
              <w:jc w:val="center"/>
              <w:rPr>
                <w:rFonts w:hint="eastAsia"/>
                <w:b/>
              </w:rPr>
            </w:pPr>
            <w:r>
              <w:rPr>
                <w:rFonts w:hint="eastAsia"/>
                <w:b/>
              </w:rPr>
              <w:t>人员数量</w:t>
            </w:r>
          </w:p>
        </w:tc>
        <w:tc>
          <w:tcPr>
            <w:tcW w:w="2631" w:type="dxa"/>
            <w:vAlign w:val="center"/>
          </w:tcPr>
          <w:p w14:paraId="646B69D2">
            <w:pPr>
              <w:keepNext w:val="0"/>
              <w:keepLines w:val="0"/>
              <w:widowControl/>
              <w:suppressLineNumbers w:val="0"/>
              <w:spacing w:before="0" w:beforeAutospacing="0" w:after="0" w:afterAutospacing="0" w:line="240" w:lineRule="auto"/>
              <w:ind w:left="0" w:right="0" w:firstLine="0" w:firstLineChars="0"/>
              <w:jc w:val="center"/>
              <w:rPr>
                <w:rFonts w:hint="eastAsia"/>
                <w:b/>
              </w:rPr>
            </w:pPr>
            <w:r>
              <w:rPr>
                <w:rFonts w:hint="eastAsia"/>
                <w:b/>
              </w:rPr>
              <w:t>人员要求</w:t>
            </w:r>
          </w:p>
        </w:tc>
        <w:tc>
          <w:tcPr>
            <w:tcW w:w="1302" w:type="dxa"/>
            <w:noWrap/>
            <w:vAlign w:val="center"/>
          </w:tcPr>
          <w:p w14:paraId="459D5816">
            <w:pPr>
              <w:keepNext w:val="0"/>
              <w:keepLines w:val="0"/>
              <w:widowControl/>
              <w:suppressLineNumbers w:val="0"/>
              <w:spacing w:before="0" w:beforeAutospacing="0" w:after="0" w:afterAutospacing="0" w:line="240" w:lineRule="auto"/>
              <w:ind w:left="0" w:right="0" w:firstLine="0" w:firstLineChars="0"/>
              <w:jc w:val="center"/>
              <w:rPr>
                <w:rFonts w:hint="eastAsia"/>
                <w:b/>
              </w:rPr>
            </w:pPr>
            <w:r>
              <w:rPr>
                <w:rFonts w:hint="eastAsia"/>
                <w:b/>
              </w:rPr>
              <w:t>驻场要求</w:t>
            </w:r>
          </w:p>
        </w:tc>
      </w:tr>
      <w:tr w14:paraId="1474F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4EF474D5">
            <w:pPr>
              <w:keepNext w:val="0"/>
              <w:keepLines w:val="0"/>
              <w:widowControl/>
              <w:suppressLineNumbers w:val="0"/>
              <w:spacing w:before="0" w:beforeAutospacing="0" w:after="0" w:afterAutospacing="0" w:line="240" w:lineRule="auto"/>
              <w:ind w:left="0" w:right="0" w:firstLine="0" w:firstLineChars="0"/>
              <w:jc w:val="center"/>
              <w:rPr>
                <w:rFonts w:hint="eastAsia" w:eastAsia="宋体"/>
                <w:lang w:eastAsia="zh-CN"/>
              </w:rPr>
            </w:pPr>
            <w:r>
              <w:rPr>
                <w:rFonts w:hint="eastAsia"/>
                <w:lang w:eastAsia="zh-CN"/>
              </w:rPr>
              <w:t>项目负责人</w:t>
            </w:r>
          </w:p>
        </w:tc>
        <w:tc>
          <w:tcPr>
            <w:tcW w:w="1669" w:type="dxa"/>
            <w:vAlign w:val="center"/>
          </w:tcPr>
          <w:p w14:paraId="3969C630">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负责项目质量和进度控制</w:t>
            </w:r>
          </w:p>
        </w:tc>
        <w:tc>
          <w:tcPr>
            <w:tcW w:w="1276" w:type="dxa"/>
            <w:noWrap/>
            <w:vAlign w:val="center"/>
          </w:tcPr>
          <w:p w14:paraId="5A144D07">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1人</w:t>
            </w:r>
          </w:p>
        </w:tc>
        <w:tc>
          <w:tcPr>
            <w:tcW w:w="2631" w:type="dxa"/>
            <w:vAlign w:val="center"/>
          </w:tcPr>
          <w:p w14:paraId="4203592F">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本科及以上学历，具有低空或政务信息化项目经验，具备信息系统项目管理师或高级工程师证书</w:t>
            </w:r>
          </w:p>
        </w:tc>
        <w:tc>
          <w:tcPr>
            <w:tcW w:w="1302" w:type="dxa"/>
            <w:noWrap/>
            <w:vAlign w:val="center"/>
          </w:tcPr>
          <w:p w14:paraId="40139ED1">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驻场</w:t>
            </w:r>
          </w:p>
        </w:tc>
      </w:tr>
      <w:tr w14:paraId="6874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4D550838">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技术负责人</w:t>
            </w:r>
          </w:p>
        </w:tc>
        <w:tc>
          <w:tcPr>
            <w:tcW w:w="1669" w:type="dxa"/>
            <w:vAlign w:val="center"/>
          </w:tcPr>
          <w:p w14:paraId="4C4AC5D1">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负责项目技术架构路线</w:t>
            </w:r>
          </w:p>
        </w:tc>
        <w:tc>
          <w:tcPr>
            <w:tcW w:w="1276" w:type="dxa"/>
            <w:noWrap/>
            <w:vAlign w:val="center"/>
          </w:tcPr>
          <w:p w14:paraId="7D263672">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1人</w:t>
            </w:r>
          </w:p>
        </w:tc>
        <w:tc>
          <w:tcPr>
            <w:tcW w:w="2631" w:type="dxa"/>
            <w:vAlign w:val="center"/>
          </w:tcPr>
          <w:p w14:paraId="007CD543">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本科及以上学历，具有低空或政务信息化项目经验，具备信息系统项目管理师或高级工程师证书</w:t>
            </w:r>
          </w:p>
        </w:tc>
        <w:tc>
          <w:tcPr>
            <w:tcW w:w="1302" w:type="dxa"/>
            <w:noWrap/>
            <w:vAlign w:val="center"/>
          </w:tcPr>
          <w:p w14:paraId="3EADF05C">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驻场</w:t>
            </w:r>
          </w:p>
        </w:tc>
      </w:tr>
      <w:tr w14:paraId="209A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514A099E">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技术工程师</w:t>
            </w:r>
          </w:p>
        </w:tc>
        <w:tc>
          <w:tcPr>
            <w:tcW w:w="1669" w:type="dxa"/>
            <w:noWrap/>
            <w:vAlign w:val="center"/>
          </w:tcPr>
          <w:p w14:paraId="2C79018F">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负责项目运行维护</w:t>
            </w:r>
          </w:p>
        </w:tc>
        <w:tc>
          <w:tcPr>
            <w:tcW w:w="1276" w:type="dxa"/>
            <w:noWrap/>
            <w:vAlign w:val="center"/>
          </w:tcPr>
          <w:p w14:paraId="0700F821">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13人</w:t>
            </w:r>
          </w:p>
        </w:tc>
        <w:tc>
          <w:tcPr>
            <w:tcW w:w="2631" w:type="dxa"/>
            <w:vAlign w:val="center"/>
          </w:tcPr>
          <w:p w14:paraId="5E5BD26A">
            <w:pPr>
              <w:keepNext w:val="0"/>
              <w:keepLines w:val="0"/>
              <w:widowControl/>
              <w:suppressLineNumbers w:val="0"/>
              <w:spacing w:before="0" w:beforeAutospacing="0" w:after="0" w:afterAutospacing="0" w:line="240" w:lineRule="auto"/>
              <w:ind w:left="0" w:right="0" w:firstLine="0" w:firstLineChars="0"/>
              <w:rPr>
                <w:rFonts w:hint="eastAsia"/>
              </w:rPr>
            </w:pPr>
            <w:r>
              <w:rPr>
                <w:rFonts w:hint="eastAsia"/>
              </w:rPr>
              <w:t>本科及以上学历，具有低空或政务信息化项目工作经历</w:t>
            </w:r>
          </w:p>
        </w:tc>
        <w:tc>
          <w:tcPr>
            <w:tcW w:w="1302" w:type="dxa"/>
            <w:noWrap/>
            <w:vAlign w:val="center"/>
          </w:tcPr>
          <w:p w14:paraId="615F1393">
            <w:pPr>
              <w:keepNext w:val="0"/>
              <w:keepLines w:val="0"/>
              <w:widowControl/>
              <w:suppressLineNumbers w:val="0"/>
              <w:spacing w:before="0" w:beforeAutospacing="0" w:after="0" w:afterAutospacing="0" w:line="240" w:lineRule="auto"/>
              <w:ind w:left="0" w:right="0" w:firstLine="0" w:firstLineChars="0"/>
              <w:jc w:val="center"/>
              <w:rPr>
                <w:rFonts w:hint="eastAsia"/>
              </w:rPr>
            </w:pPr>
            <w:r>
              <w:rPr>
                <w:rFonts w:hint="eastAsia"/>
              </w:rPr>
              <w:t>至少3人驻场</w:t>
            </w:r>
          </w:p>
        </w:tc>
      </w:tr>
    </w:tbl>
    <w:p w14:paraId="40372C2C">
      <w:pPr>
        <w:pStyle w:val="3"/>
        <w:rPr>
          <w:rFonts w:hint="eastAsia"/>
        </w:rPr>
      </w:pPr>
      <w:bookmarkStart w:id="28" w:name="_Toc63785511"/>
      <w:r>
        <w:t>等级保护要求</w:t>
      </w:r>
      <w:bookmarkEnd w:id="28"/>
    </w:p>
    <w:p w14:paraId="0016AD3A">
      <w:pPr>
        <w:rPr>
          <w:rFonts w:hint="eastAsia" w:cs="宋体"/>
          <w:color w:val="000000"/>
          <w:kern w:val="0"/>
        </w:rPr>
      </w:pPr>
      <w:r>
        <w:rPr>
          <w:rFonts w:hint="eastAsia" w:cs="宋体"/>
        </w:rPr>
        <w:t>本项目等级保护要求：参照等保三级要求建设。</w:t>
      </w:r>
    </w:p>
    <w:p w14:paraId="1218A0E8">
      <w:pPr>
        <w:pStyle w:val="3"/>
        <w:rPr>
          <w:rFonts w:hint="eastAsia"/>
        </w:rPr>
      </w:pPr>
      <w:r>
        <w:rPr>
          <w:rFonts w:hint="eastAsia"/>
        </w:rPr>
        <w:t>商用密码应用需求</w:t>
      </w:r>
    </w:p>
    <w:p w14:paraId="40135383">
      <w:pPr>
        <w:rPr>
          <w:rFonts w:hint="eastAsia" w:cs="宋体"/>
        </w:rPr>
      </w:pPr>
      <w:bookmarkStart w:id="29" w:name="_Toc63785512"/>
      <w:r>
        <w:rPr>
          <w:rFonts w:hint="eastAsia" w:cs="宋体"/>
        </w:rPr>
        <w:t>依据GB/T39786-2021《信息安全技术信息系统密码应用基本要求》，结合本系统风险控制需求分析结果，本系统的主要密码应用需求包括：</w:t>
      </w:r>
    </w:p>
    <w:tbl>
      <w:tblPr>
        <w:tblStyle w:val="35"/>
        <w:tblW w:w="4998" w:type="pct"/>
        <w:tblInd w:w="0" w:type="dxa"/>
        <w:tblLayout w:type="autofit"/>
        <w:tblCellMar>
          <w:top w:w="0" w:type="dxa"/>
          <w:left w:w="108" w:type="dxa"/>
          <w:bottom w:w="0" w:type="dxa"/>
          <w:right w:w="108" w:type="dxa"/>
        </w:tblCellMar>
      </w:tblPr>
      <w:tblGrid>
        <w:gridCol w:w="1526"/>
        <w:gridCol w:w="2551"/>
        <w:gridCol w:w="4448"/>
      </w:tblGrid>
      <w:tr w14:paraId="2132882E">
        <w:tblPrEx>
          <w:tblCellMar>
            <w:top w:w="0" w:type="dxa"/>
            <w:left w:w="108" w:type="dxa"/>
            <w:bottom w:w="0" w:type="dxa"/>
            <w:right w:w="108" w:type="dxa"/>
          </w:tblCellMar>
        </w:tblPrEx>
        <w:trPr>
          <w:trHeight w:val="567" w:hRule="atLeast"/>
          <w:tblHeader/>
        </w:trPr>
        <w:tc>
          <w:tcPr>
            <w:tcW w:w="895" w:type="pct"/>
            <w:tcBorders>
              <w:top w:val="single" w:color="auto" w:sz="4" w:space="0"/>
              <w:left w:val="single" w:color="auto" w:sz="4" w:space="0"/>
              <w:bottom w:val="single" w:color="auto" w:sz="4" w:space="0"/>
              <w:right w:val="single" w:color="auto" w:sz="4" w:space="0"/>
            </w:tcBorders>
            <w:shd w:val="clear" w:color="000000" w:fill="FFFFFF"/>
            <w:vAlign w:val="center"/>
          </w:tcPr>
          <w:p w14:paraId="5C5E6985">
            <w:pPr>
              <w:keepNext w:val="0"/>
              <w:keepLines w:val="0"/>
              <w:suppressLineNumbers w:val="0"/>
              <w:spacing w:before="0" w:beforeAutospacing="0" w:after="0" w:afterAutospacing="0" w:line="240" w:lineRule="auto"/>
              <w:ind w:left="0" w:right="0" w:firstLine="0" w:firstLineChars="0"/>
              <w:jc w:val="center"/>
              <w:rPr>
                <w:rFonts w:hint="eastAsia" w:cstheme="majorBidi"/>
                <w:b/>
                <w:bCs/>
                <w:color w:val="000000" w:themeColor="text1"/>
                <w14:textFill>
                  <w14:solidFill>
                    <w14:schemeClr w14:val="tx1"/>
                  </w14:solidFill>
                </w14:textFill>
              </w:rPr>
            </w:pPr>
            <w:r>
              <w:rPr>
                <w:rFonts w:hint="default" w:cstheme="majorBidi"/>
                <w:b/>
                <w:bCs/>
                <w:color w:val="000000" w:themeColor="text1"/>
                <w14:textFill>
                  <w14:solidFill>
                    <w14:schemeClr w14:val="tx1"/>
                  </w14:solidFill>
                </w14:textFill>
              </w:rPr>
              <w:t>指标要求</w:t>
            </w:r>
          </w:p>
        </w:tc>
        <w:tc>
          <w:tcPr>
            <w:tcW w:w="1496" w:type="pct"/>
            <w:tcBorders>
              <w:top w:val="single" w:color="auto" w:sz="4" w:space="0"/>
              <w:left w:val="nil"/>
              <w:bottom w:val="single" w:color="auto" w:sz="4" w:space="0"/>
              <w:right w:val="single" w:color="auto" w:sz="4" w:space="0"/>
            </w:tcBorders>
            <w:shd w:val="clear" w:color="000000" w:fill="FFFFFF"/>
            <w:vAlign w:val="center"/>
          </w:tcPr>
          <w:p w14:paraId="77728C01">
            <w:pPr>
              <w:keepNext w:val="0"/>
              <w:keepLines w:val="0"/>
              <w:suppressLineNumbers w:val="0"/>
              <w:spacing w:before="0" w:beforeAutospacing="0" w:after="0" w:afterAutospacing="0" w:line="240" w:lineRule="auto"/>
              <w:ind w:left="0" w:right="0" w:firstLine="0" w:firstLineChars="0"/>
              <w:jc w:val="center"/>
              <w:rPr>
                <w:rFonts w:hint="eastAsia" w:cstheme="majorBidi"/>
                <w:b/>
                <w:bCs/>
                <w:color w:val="000000" w:themeColor="text1"/>
                <w14:textFill>
                  <w14:solidFill>
                    <w14:schemeClr w14:val="tx1"/>
                  </w14:solidFill>
                </w14:textFill>
              </w:rPr>
            </w:pPr>
            <w:r>
              <w:rPr>
                <w:rFonts w:hint="default" w:cstheme="majorBidi"/>
                <w:b/>
                <w:bCs/>
                <w:color w:val="000000" w:themeColor="text1"/>
                <w14:textFill>
                  <w14:solidFill>
                    <w14:schemeClr w14:val="tx1"/>
                  </w14:solidFill>
                </w14:textFill>
              </w:rPr>
              <w:t>密码技术应用点</w:t>
            </w:r>
          </w:p>
        </w:tc>
        <w:tc>
          <w:tcPr>
            <w:tcW w:w="2609" w:type="pct"/>
            <w:tcBorders>
              <w:top w:val="single" w:color="auto" w:sz="4" w:space="0"/>
              <w:left w:val="nil"/>
              <w:bottom w:val="single" w:color="auto" w:sz="4" w:space="0"/>
              <w:right w:val="single" w:color="auto" w:sz="4" w:space="0"/>
            </w:tcBorders>
            <w:shd w:val="clear" w:color="000000" w:fill="FFFFFF"/>
            <w:vAlign w:val="center"/>
          </w:tcPr>
          <w:p w14:paraId="18077640">
            <w:pPr>
              <w:keepNext w:val="0"/>
              <w:keepLines w:val="0"/>
              <w:suppressLineNumbers w:val="0"/>
              <w:spacing w:before="0" w:beforeAutospacing="0" w:after="0" w:afterAutospacing="0" w:line="240" w:lineRule="auto"/>
              <w:ind w:left="0" w:right="0" w:firstLine="0" w:firstLineChars="0"/>
              <w:jc w:val="center"/>
              <w:rPr>
                <w:rFonts w:hint="eastAsia" w:cstheme="majorBidi"/>
                <w:b/>
                <w:bCs/>
                <w:color w:val="000000" w:themeColor="text1"/>
                <w14:textFill>
                  <w14:solidFill>
                    <w14:schemeClr w14:val="tx1"/>
                  </w14:solidFill>
                </w14:textFill>
              </w:rPr>
            </w:pPr>
            <w:r>
              <w:rPr>
                <w:rFonts w:hint="default" w:cstheme="majorBidi"/>
                <w:b/>
                <w:bCs/>
                <w:color w:val="000000" w:themeColor="text1"/>
                <w14:textFill>
                  <w14:solidFill>
                    <w14:schemeClr w14:val="tx1"/>
                  </w14:solidFill>
                </w14:textFill>
              </w:rPr>
              <w:t>密码应用需求</w:t>
            </w:r>
          </w:p>
        </w:tc>
      </w:tr>
      <w:tr w14:paraId="472890F5">
        <w:tblPrEx>
          <w:tblCellMar>
            <w:top w:w="0" w:type="dxa"/>
            <w:left w:w="108" w:type="dxa"/>
            <w:bottom w:w="0" w:type="dxa"/>
            <w:right w:w="108" w:type="dxa"/>
          </w:tblCellMar>
        </w:tblPrEx>
        <w:trPr>
          <w:trHeight w:val="567" w:hRule="atLeast"/>
        </w:trPr>
        <w:tc>
          <w:tcPr>
            <w:tcW w:w="895" w:type="pct"/>
            <w:vMerge w:val="restart"/>
            <w:tcBorders>
              <w:top w:val="nil"/>
              <w:left w:val="single" w:color="auto" w:sz="4" w:space="0"/>
              <w:bottom w:val="single" w:color="000000" w:sz="4" w:space="0"/>
              <w:right w:val="single" w:color="auto" w:sz="4" w:space="0"/>
            </w:tcBorders>
            <w:shd w:val="clear" w:color="000000" w:fill="FFFFFF"/>
            <w:vAlign w:val="center"/>
          </w:tcPr>
          <w:p w14:paraId="7DA161F1">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网络和通信安全</w:t>
            </w:r>
          </w:p>
        </w:tc>
        <w:tc>
          <w:tcPr>
            <w:tcW w:w="1496" w:type="pct"/>
            <w:tcBorders>
              <w:top w:val="nil"/>
              <w:left w:val="nil"/>
              <w:bottom w:val="single" w:color="auto" w:sz="4" w:space="0"/>
              <w:right w:val="single" w:color="auto" w:sz="4" w:space="0"/>
            </w:tcBorders>
            <w:shd w:val="clear" w:color="000000" w:fill="FFFFFF"/>
            <w:vAlign w:val="center"/>
          </w:tcPr>
          <w:p w14:paraId="28C4B3F6">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身份鉴别</w:t>
            </w:r>
          </w:p>
        </w:tc>
        <w:tc>
          <w:tcPr>
            <w:tcW w:w="2609" w:type="pct"/>
            <w:tcBorders>
              <w:top w:val="nil"/>
              <w:left w:val="nil"/>
              <w:bottom w:val="single" w:color="auto" w:sz="4" w:space="0"/>
              <w:right w:val="single" w:color="auto" w:sz="4" w:space="0"/>
            </w:tcBorders>
            <w:shd w:val="clear" w:color="000000" w:fill="FFFFFF"/>
            <w:vAlign w:val="center"/>
          </w:tcPr>
          <w:p w14:paraId="7A99E0DE">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确认管理员用户的身份真实性，防止与假冒实体进行通信</w:t>
            </w:r>
          </w:p>
        </w:tc>
      </w:tr>
      <w:tr w14:paraId="37F51321">
        <w:tblPrEx>
          <w:tblCellMar>
            <w:top w:w="0" w:type="dxa"/>
            <w:left w:w="108" w:type="dxa"/>
            <w:bottom w:w="0" w:type="dxa"/>
            <w:right w:w="108" w:type="dxa"/>
          </w:tblCellMar>
        </w:tblPrEx>
        <w:trPr>
          <w:trHeight w:val="567" w:hRule="atLeast"/>
        </w:trPr>
        <w:tc>
          <w:tcPr>
            <w:tcW w:w="895" w:type="pct"/>
            <w:vMerge w:val="continue"/>
            <w:tcBorders>
              <w:top w:val="nil"/>
              <w:left w:val="single" w:color="auto" w:sz="4" w:space="0"/>
              <w:bottom w:val="single" w:color="000000" w:sz="4" w:space="0"/>
              <w:right w:val="single" w:color="auto" w:sz="4" w:space="0"/>
            </w:tcBorders>
            <w:shd w:val="clear" w:color="000000" w:fill="FFFFFF"/>
            <w:vAlign w:val="center"/>
          </w:tcPr>
          <w:p w14:paraId="7D2324FA">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p>
        </w:tc>
        <w:tc>
          <w:tcPr>
            <w:tcW w:w="1496" w:type="pct"/>
            <w:tcBorders>
              <w:top w:val="nil"/>
              <w:left w:val="nil"/>
              <w:bottom w:val="single" w:color="auto" w:sz="4" w:space="0"/>
              <w:right w:val="single" w:color="auto" w:sz="4" w:space="0"/>
            </w:tcBorders>
            <w:shd w:val="clear" w:color="000000" w:fill="FFFFFF"/>
            <w:vAlign w:val="center"/>
          </w:tcPr>
          <w:p w14:paraId="2F7682B8">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通信数据完整性</w:t>
            </w:r>
          </w:p>
        </w:tc>
        <w:tc>
          <w:tcPr>
            <w:tcW w:w="2609" w:type="pct"/>
            <w:tcBorders>
              <w:top w:val="nil"/>
              <w:left w:val="nil"/>
              <w:bottom w:val="single" w:color="auto" w:sz="4" w:space="0"/>
              <w:right w:val="single" w:color="auto" w:sz="4" w:space="0"/>
            </w:tcBorders>
            <w:shd w:val="clear" w:color="000000" w:fill="FFFFFF"/>
            <w:vAlign w:val="center"/>
          </w:tcPr>
          <w:p w14:paraId="45D67E38">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防止管理员身份鉴别信息等重要数据在传输过程中被非法篡改</w:t>
            </w:r>
          </w:p>
        </w:tc>
      </w:tr>
      <w:tr w14:paraId="4008F91D">
        <w:tblPrEx>
          <w:tblCellMar>
            <w:top w:w="0" w:type="dxa"/>
            <w:left w:w="108" w:type="dxa"/>
            <w:bottom w:w="0" w:type="dxa"/>
            <w:right w:w="108" w:type="dxa"/>
          </w:tblCellMar>
        </w:tblPrEx>
        <w:trPr>
          <w:trHeight w:val="567" w:hRule="atLeast"/>
        </w:trPr>
        <w:tc>
          <w:tcPr>
            <w:tcW w:w="895" w:type="pct"/>
            <w:vMerge w:val="continue"/>
            <w:tcBorders>
              <w:top w:val="nil"/>
              <w:left w:val="single" w:color="auto" w:sz="4" w:space="0"/>
              <w:bottom w:val="single" w:color="000000" w:sz="4" w:space="0"/>
              <w:right w:val="single" w:color="auto" w:sz="4" w:space="0"/>
            </w:tcBorders>
            <w:shd w:val="clear" w:color="000000" w:fill="FFFFFF"/>
            <w:vAlign w:val="center"/>
          </w:tcPr>
          <w:p w14:paraId="0D872619">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p>
        </w:tc>
        <w:tc>
          <w:tcPr>
            <w:tcW w:w="1496" w:type="pct"/>
            <w:tcBorders>
              <w:top w:val="nil"/>
              <w:left w:val="nil"/>
              <w:bottom w:val="single" w:color="auto" w:sz="4" w:space="0"/>
              <w:right w:val="single" w:color="auto" w:sz="4" w:space="0"/>
            </w:tcBorders>
            <w:shd w:val="clear" w:color="000000" w:fill="FFFFFF"/>
            <w:vAlign w:val="center"/>
          </w:tcPr>
          <w:p w14:paraId="6C9F0B70">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通信过程中重要数据的机密性</w:t>
            </w:r>
          </w:p>
        </w:tc>
        <w:tc>
          <w:tcPr>
            <w:tcW w:w="2609" w:type="pct"/>
            <w:tcBorders>
              <w:top w:val="nil"/>
              <w:left w:val="nil"/>
              <w:bottom w:val="single" w:color="auto" w:sz="4" w:space="0"/>
              <w:right w:val="single" w:color="auto" w:sz="4" w:space="0"/>
            </w:tcBorders>
            <w:shd w:val="clear" w:color="000000" w:fill="FFFFFF"/>
            <w:vAlign w:val="center"/>
          </w:tcPr>
          <w:p w14:paraId="1D9D14DE">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防止管理员身份鉴别信息等重要数据在传输过程中被非法窃取</w:t>
            </w:r>
          </w:p>
        </w:tc>
      </w:tr>
      <w:tr w14:paraId="41F3A234">
        <w:tblPrEx>
          <w:tblCellMar>
            <w:top w:w="0" w:type="dxa"/>
            <w:left w:w="108" w:type="dxa"/>
            <w:bottom w:w="0" w:type="dxa"/>
            <w:right w:w="108" w:type="dxa"/>
          </w:tblCellMar>
        </w:tblPrEx>
        <w:trPr>
          <w:trHeight w:val="567" w:hRule="atLeast"/>
        </w:trPr>
        <w:tc>
          <w:tcPr>
            <w:tcW w:w="895" w:type="pct"/>
            <w:vMerge w:val="continue"/>
            <w:tcBorders>
              <w:top w:val="nil"/>
              <w:left w:val="single" w:color="auto" w:sz="4" w:space="0"/>
              <w:bottom w:val="single" w:color="000000" w:sz="4" w:space="0"/>
              <w:right w:val="single" w:color="auto" w:sz="4" w:space="0"/>
            </w:tcBorders>
            <w:shd w:val="clear" w:color="000000" w:fill="FFFFFF"/>
            <w:vAlign w:val="center"/>
          </w:tcPr>
          <w:p w14:paraId="03DA52DD">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p>
        </w:tc>
        <w:tc>
          <w:tcPr>
            <w:tcW w:w="1496" w:type="pct"/>
            <w:tcBorders>
              <w:top w:val="nil"/>
              <w:left w:val="nil"/>
              <w:bottom w:val="single" w:color="auto" w:sz="4" w:space="0"/>
              <w:right w:val="single" w:color="auto" w:sz="4" w:space="0"/>
            </w:tcBorders>
            <w:shd w:val="clear" w:color="000000" w:fill="FFFFFF"/>
            <w:vAlign w:val="center"/>
          </w:tcPr>
          <w:p w14:paraId="0940C6D4">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网络边界访问控制信息的完整性</w:t>
            </w:r>
          </w:p>
        </w:tc>
        <w:tc>
          <w:tcPr>
            <w:tcW w:w="2609" w:type="pct"/>
            <w:tcBorders>
              <w:top w:val="nil"/>
              <w:left w:val="nil"/>
              <w:bottom w:val="single" w:color="auto" w:sz="4" w:space="0"/>
              <w:right w:val="single" w:color="auto" w:sz="4" w:space="0"/>
            </w:tcBorders>
            <w:shd w:val="clear" w:color="000000" w:fill="FFFFFF"/>
            <w:vAlign w:val="center"/>
          </w:tcPr>
          <w:p w14:paraId="604E5828">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保护网络边界访问控制信息免受非法篡改</w:t>
            </w:r>
          </w:p>
        </w:tc>
      </w:tr>
      <w:tr w14:paraId="135B47DB">
        <w:tblPrEx>
          <w:tblCellMar>
            <w:top w:w="0" w:type="dxa"/>
            <w:left w:w="108" w:type="dxa"/>
            <w:bottom w:w="0" w:type="dxa"/>
            <w:right w:w="108" w:type="dxa"/>
          </w:tblCellMar>
        </w:tblPrEx>
        <w:trPr>
          <w:trHeight w:val="567" w:hRule="atLeast"/>
        </w:trPr>
        <w:tc>
          <w:tcPr>
            <w:tcW w:w="895" w:type="pct"/>
            <w:vMerge w:val="restart"/>
            <w:tcBorders>
              <w:top w:val="nil"/>
              <w:left w:val="single" w:color="auto" w:sz="4" w:space="0"/>
              <w:bottom w:val="single" w:color="000000" w:sz="4" w:space="0"/>
              <w:right w:val="single" w:color="auto" w:sz="4" w:space="0"/>
            </w:tcBorders>
            <w:shd w:val="clear" w:color="000000" w:fill="FFFFFF"/>
            <w:vAlign w:val="center"/>
          </w:tcPr>
          <w:p w14:paraId="361B6679">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设备和计算安全</w:t>
            </w:r>
          </w:p>
        </w:tc>
        <w:tc>
          <w:tcPr>
            <w:tcW w:w="1496" w:type="pct"/>
            <w:tcBorders>
              <w:top w:val="nil"/>
              <w:left w:val="nil"/>
              <w:bottom w:val="single" w:color="auto" w:sz="4" w:space="0"/>
              <w:right w:val="single" w:color="auto" w:sz="4" w:space="0"/>
            </w:tcBorders>
            <w:shd w:val="clear" w:color="000000" w:fill="FFFFFF"/>
            <w:vAlign w:val="center"/>
          </w:tcPr>
          <w:p w14:paraId="00C741B1">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身份鉴别</w:t>
            </w:r>
          </w:p>
        </w:tc>
        <w:tc>
          <w:tcPr>
            <w:tcW w:w="2609" w:type="pct"/>
            <w:tcBorders>
              <w:top w:val="nil"/>
              <w:left w:val="nil"/>
              <w:bottom w:val="single" w:color="auto" w:sz="4" w:space="0"/>
              <w:right w:val="single" w:color="auto" w:sz="4" w:space="0"/>
            </w:tcBorders>
            <w:shd w:val="clear" w:color="000000" w:fill="FFFFFF"/>
            <w:vAlign w:val="center"/>
          </w:tcPr>
          <w:p w14:paraId="7D309CA7">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对远程登录设备的用户身份真实性进行鉴别，防止假冒用户登录</w:t>
            </w:r>
          </w:p>
        </w:tc>
      </w:tr>
      <w:tr w14:paraId="53C7AB8F">
        <w:tblPrEx>
          <w:tblCellMar>
            <w:top w:w="0" w:type="dxa"/>
            <w:left w:w="108" w:type="dxa"/>
            <w:bottom w:w="0" w:type="dxa"/>
            <w:right w:w="108" w:type="dxa"/>
          </w:tblCellMar>
        </w:tblPrEx>
        <w:trPr>
          <w:trHeight w:val="567" w:hRule="atLeast"/>
        </w:trPr>
        <w:tc>
          <w:tcPr>
            <w:tcW w:w="895" w:type="pct"/>
            <w:vMerge w:val="continue"/>
            <w:tcBorders>
              <w:top w:val="nil"/>
              <w:left w:val="single" w:color="auto" w:sz="4" w:space="0"/>
              <w:bottom w:val="single" w:color="000000" w:sz="4" w:space="0"/>
              <w:right w:val="single" w:color="auto" w:sz="4" w:space="0"/>
            </w:tcBorders>
            <w:shd w:val="clear" w:color="000000" w:fill="FFFFFF"/>
            <w:vAlign w:val="center"/>
          </w:tcPr>
          <w:p w14:paraId="47CD9BD8">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p>
        </w:tc>
        <w:tc>
          <w:tcPr>
            <w:tcW w:w="1496" w:type="pct"/>
            <w:tcBorders>
              <w:top w:val="nil"/>
              <w:left w:val="nil"/>
              <w:bottom w:val="single" w:color="auto" w:sz="4" w:space="0"/>
              <w:right w:val="single" w:color="auto" w:sz="4" w:space="0"/>
            </w:tcBorders>
            <w:shd w:val="clear" w:color="000000" w:fill="FFFFFF"/>
            <w:vAlign w:val="center"/>
          </w:tcPr>
          <w:p w14:paraId="2ABDF7B9">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远程管理通道安全</w:t>
            </w:r>
          </w:p>
        </w:tc>
        <w:tc>
          <w:tcPr>
            <w:tcW w:w="2609" w:type="pct"/>
            <w:tcBorders>
              <w:top w:val="nil"/>
              <w:left w:val="nil"/>
              <w:bottom w:val="single" w:color="auto" w:sz="4" w:space="0"/>
              <w:right w:val="single" w:color="auto" w:sz="4" w:space="0"/>
            </w:tcBorders>
            <w:shd w:val="clear" w:color="000000" w:fill="FFFFFF"/>
            <w:vAlign w:val="center"/>
          </w:tcPr>
          <w:p w14:paraId="69829DAB">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远程管理时保护管理员身份鉴别信息等重要数据被非法窃取或非法篡改</w:t>
            </w:r>
          </w:p>
        </w:tc>
      </w:tr>
      <w:tr w14:paraId="15DD6175">
        <w:tblPrEx>
          <w:tblCellMar>
            <w:top w:w="0" w:type="dxa"/>
            <w:left w:w="108" w:type="dxa"/>
            <w:bottom w:w="0" w:type="dxa"/>
            <w:right w:w="108" w:type="dxa"/>
          </w:tblCellMar>
        </w:tblPrEx>
        <w:trPr>
          <w:trHeight w:val="567" w:hRule="atLeast"/>
        </w:trPr>
        <w:tc>
          <w:tcPr>
            <w:tcW w:w="895" w:type="pct"/>
            <w:vMerge w:val="continue"/>
            <w:tcBorders>
              <w:top w:val="nil"/>
              <w:left w:val="single" w:color="auto" w:sz="4" w:space="0"/>
              <w:bottom w:val="single" w:color="000000" w:sz="4" w:space="0"/>
              <w:right w:val="single" w:color="auto" w:sz="4" w:space="0"/>
            </w:tcBorders>
            <w:shd w:val="clear" w:color="000000" w:fill="FFFFFF"/>
            <w:vAlign w:val="center"/>
          </w:tcPr>
          <w:p w14:paraId="08BF16D0">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p>
        </w:tc>
        <w:tc>
          <w:tcPr>
            <w:tcW w:w="1496" w:type="pct"/>
            <w:tcBorders>
              <w:top w:val="nil"/>
              <w:left w:val="nil"/>
              <w:bottom w:val="single" w:color="auto" w:sz="4" w:space="0"/>
              <w:right w:val="single" w:color="auto" w:sz="4" w:space="0"/>
            </w:tcBorders>
            <w:shd w:val="clear" w:color="000000" w:fill="FFFFFF"/>
            <w:vAlign w:val="center"/>
          </w:tcPr>
          <w:p w14:paraId="17ABA9E8">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系统资源访问控制信息完整性</w:t>
            </w:r>
          </w:p>
        </w:tc>
        <w:tc>
          <w:tcPr>
            <w:tcW w:w="2609" w:type="pct"/>
            <w:tcBorders>
              <w:top w:val="nil"/>
              <w:left w:val="nil"/>
              <w:bottom w:val="single" w:color="auto" w:sz="4" w:space="0"/>
              <w:right w:val="single" w:color="auto" w:sz="4" w:space="0"/>
            </w:tcBorders>
            <w:shd w:val="clear" w:color="000000" w:fill="FFFFFF"/>
            <w:vAlign w:val="center"/>
          </w:tcPr>
          <w:p w14:paraId="3465CB32">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保护系统资源访问控制信息免受非法篡改</w:t>
            </w:r>
          </w:p>
        </w:tc>
      </w:tr>
      <w:tr w14:paraId="028D9F04">
        <w:tblPrEx>
          <w:tblCellMar>
            <w:top w:w="0" w:type="dxa"/>
            <w:left w:w="108" w:type="dxa"/>
            <w:bottom w:w="0" w:type="dxa"/>
            <w:right w:w="108" w:type="dxa"/>
          </w:tblCellMar>
        </w:tblPrEx>
        <w:trPr>
          <w:trHeight w:val="567" w:hRule="atLeast"/>
        </w:trPr>
        <w:tc>
          <w:tcPr>
            <w:tcW w:w="895" w:type="pct"/>
            <w:vMerge w:val="continue"/>
            <w:tcBorders>
              <w:top w:val="nil"/>
              <w:left w:val="single" w:color="auto" w:sz="4" w:space="0"/>
              <w:bottom w:val="single" w:color="000000" w:sz="4" w:space="0"/>
              <w:right w:val="single" w:color="auto" w:sz="4" w:space="0"/>
            </w:tcBorders>
            <w:shd w:val="clear" w:color="000000" w:fill="FFFFFF"/>
            <w:vAlign w:val="center"/>
          </w:tcPr>
          <w:p w14:paraId="09BF2271">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p>
        </w:tc>
        <w:tc>
          <w:tcPr>
            <w:tcW w:w="1496" w:type="pct"/>
            <w:tcBorders>
              <w:top w:val="nil"/>
              <w:left w:val="nil"/>
              <w:bottom w:val="single" w:color="auto" w:sz="4" w:space="0"/>
              <w:right w:val="single" w:color="auto" w:sz="4" w:space="0"/>
            </w:tcBorders>
            <w:shd w:val="clear" w:color="000000" w:fill="FFFFFF"/>
            <w:vAlign w:val="center"/>
          </w:tcPr>
          <w:p w14:paraId="246DC6B0">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日志记录完整性</w:t>
            </w:r>
          </w:p>
        </w:tc>
        <w:tc>
          <w:tcPr>
            <w:tcW w:w="2609" w:type="pct"/>
            <w:tcBorders>
              <w:top w:val="nil"/>
              <w:left w:val="nil"/>
              <w:bottom w:val="single" w:color="auto" w:sz="4" w:space="0"/>
              <w:right w:val="single" w:color="auto" w:sz="4" w:space="0"/>
            </w:tcBorders>
            <w:shd w:val="clear" w:color="000000" w:fill="FFFFFF"/>
            <w:vAlign w:val="center"/>
          </w:tcPr>
          <w:p w14:paraId="6828344B">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保护重要日志记录信息免受非法篡改</w:t>
            </w:r>
          </w:p>
        </w:tc>
      </w:tr>
      <w:tr w14:paraId="2E0491BC">
        <w:tblPrEx>
          <w:tblCellMar>
            <w:top w:w="0" w:type="dxa"/>
            <w:left w:w="108" w:type="dxa"/>
            <w:bottom w:w="0" w:type="dxa"/>
            <w:right w:w="108" w:type="dxa"/>
          </w:tblCellMar>
        </w:tblPrEx>
        <w:trPr>
          <w:trHeight w:val="567" w:hRule="atLeast"/>
        </w:trPr>
        <w:tc>
          <w:tcPr>
            <w:tcW w:w="895" w:type="pct"/>
            <w:vMerge w:val="continue"/>
            <w:tcBorders>
              <w:top w:val="nil"/>
              <w:left w:val="single" w:color="auto" w:sz="4" w:space="0"/>
              <w:bottom w:val="single" w:color="000000" w:sz="4" w:space="0"/>
              <w:right w:val="single" w:color="auto" w:sz="4" w:space="0"/>
            </w:tcBorders>
            <w:shd w:val="clear" w:color="000000" w:fill="FFFFFF"/>
            <w:vAlign w:val="center"/>
          </w:tcPr>
          <w:p w14:paraId="5F2945C3">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p>
        </w:tc>
        <w:tc>
          <w:tcPr>
            <w:tcW w:w="1496" w:type="pct"/>
            <w:tcBorders>
              <w:top w:val="nil"/>
              <w:left w:val="nil"/>
              <w:bottom w:val="single" w:color="auto" w:sz="4" w:space="0"/>
              <w:right w:val="single" w:color="auto" w:sz="4" w:space="0"/>
            </w:tcBorders>
            <w:shd w:val="clear" w:color="000000" w:fill="FFFFFF"/>
            <w:vAlign w:val="center"/>
          </w:tcPr>
          <w:p w14:paraId="4C22411C">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重要可执行程序完整性、来源真实性</w:t>
            </w:r>
          </w:p>
        </w:tc>
        <w:tc>
          <w:tcPr>
            <w:tcW w:w="2609" w:type="pct"/>
            <w:tcBorders>
              <w:top w:val="nil"/>
              <w:left w:val="nil"/>
              <w:bottom w:val="single" w:color="auto" w:sz="4" w:space="0"/>
              <w:right w:val="single" w:color="auto" w:sz="4" w:space="0"/>
            </w:tcBorders>
            <w:shd w:val="clear" w:color="000000" w:fill="FFFFFF"/>
            <w:vAlign w:val="center"/>
          </w:tcPr>
          <w:p w14:paraId="60719F9A">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保护重要可执行程序免受非法篡改</w:t>
            </w:r>
          </w:p>
        </w:tc>
      </w:tr>
      <w:tr w14:paraId="7E10A77B">
        <w:tblPrEx>
          <w:tblCellMar>
            <w:top w:w="0" w:type="dxa"/>
            <w:left w:w="108" w:type="dxa"/>
            <w:bottom w:w="0" w:type="dxa"/>
            <w:right w:w="108" w:type="dxa"/>
          </w:tblCellMar>
        </w:tblPrEx>
        <w:trPr>
          <w:trHeight w:val="567" w:hRule="atLeast"/>
        </w:trPr>
        <w:tc>
          <w:tcPr>
            <w:tcW w:w="895" w:type="pct"/>
            <w:vMerge w:val="restart"/>
            <w:tcBorders>
              <w:top w:val="nil"/>
              <w:left w:val="single" w:color="auto" w:sz="4" w:space="0"/>
              <w:bottom w:val="single" w:color="000000" w:sz="4" w:space="0"/>
              <w:right w:val="single" w:color="auto" w:sz="4" w:space="0"/>
            </w:tcBorders>
            <w:shd w:val="clear" w:color="000000" w:fill="FFFFFF"/>
            <w:vAlign w:val="center"/>
          </w:tcPr>
          <w:p w14:paraId="5D3263B4">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应用和数据安全</w:t>
            </w:r>
          </w:p>
        </w:tc>
        <w:tc>
          <w:tcPr>
            <w:tcW w:w="1496" w:type="pct"/>
            <w:tcBorders>
              <w:top w:val="nil"/>
              <w:left w:val="nil"/>
              <w:bottom w:val="single" w:color="auto" w:sz="4" w:space="0"/>
              <w:right w:val="single" w:color="auto" w:sz="4" w:space="0"/>
            </w:tcBorders>
            <w:shd w:val="clear" w:color="000000" w:fill="FFFFFF"/>
            <w:vAlign w:val="center"/>
          </w:tcPr>
          <w:p w14:paraId="7133E84F">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身份鉴别</w:t>
            </w:r>
          </w:p>
        </w:tc>
        <w:tc>
          <w:tcPr>
            <w:tcW w:w="2609" w:type="pct"/>
            <w:tcBorders>
              <w:top w:val="nil"/>
              <w:left w:val="nil"/>
              <w:bottom w:val="single" w:color="auto" w:sz="4" w:space="0"/>
              <w:right w:val="single" w:color="auto" w:sz="4" w:space="0"/>
            </w:tcBorders>
            <w:shd w:val="clear" w:color="000000" w:fill="FFFFFF"/>
            <w:vAlign w:val="center"/>
          </w:tcPr>
          <w:p w14:paraId="6332E142">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保护执行关键操作或访问重要数据的用户身份真实性，防止假冒用户访问</w:t>
            </w:r>
          </w:p>
        </w:tc>
      </w:tr>
      <w:tr w14:paraId="5230351C">
        <w:tblPrEx>
          <w:tblCellMar>
            <w:top w:w="0" w:type="dxa"/>
            <w:left w:w="108" w:type="dxa"/>
            <w:bottom w:w="0" w:type="dxa"/>
            <w:right w:w="108" w:type="dxa"/>
          </w:tblCellMar>
        </w:tblPrEx>
        <w:trPr>
          <w:trHeight w:val="567" w:hRule="atLeast"/>
        </w:trPr>
        <w:tc>
          <w:tcPr>
            <w:tcW w:w="895" w:type="pct"/>
            <w:vMerge w:val="continue"/>
            <w:tcBorders>
              <w:top w:val="nil"/>
              <w:left w:val="single" w:color="auto" w:sz="4" w:space="0"/>
              <w:bottom w:val="single" w:color="000000" w:sz="4" w:space="0"/>
              <w:right w:val="single" w:color="auto" w:sz="4" w:space="0"/>
            </w:tcBorders>
            <w:shd w:val="clear" w:color="000000" w:fill="FFFFFF"/>
            <w:vAlign w:val="center"/>
          </w:tcPr>
          <w:p w14:paraId="7A215D4B">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p>
        </w:tc>
        <w:tc>
          <w:tcPr>
            <w:tcW w:w="1496" w:type="pct"/>
            <w:tcBorders>
              <w:top w:val="nil"/>
              <w:left w:val="nil"/>
              <w:bottom w:val="single" w:color="auto" w:sz="4" w:space="0"/>
              <w:right w:val="single" w:color="auto" w:sz="4" w:space="0"/>
            </w:tcBorders>
            <w:shd w:val="clear" w:color="000000" w:fill="FFFFFF"/>
            <w:vAlign w:val="center"/>
          </w:tcPr>
          <w:p w14:paraId="750C8E18">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访问控制信息完整性</w:t>
            </w:r>
          </w:p>
        </w:tc>
        <w:tc>
          <w:tcPr>
            <w:tcW w:w="2609" w:type="pct"/>
            <w:tcBorders>
              <w:top w:val="nil"/>
              <w:left w:val="nil"/>
              <w:bottom w:val="single" w:color="auto" w:sz="4" w:space="0"/>
              <w:right w:val="single" w:color="auto" w:sz="4" w:space="0"/>
            </w:tcBorders>
            <w:shd w:val="clear" w:color="000000" w:fill="FFFFFF"/>
            <w:vAlign w:val="center"/>
          </w:tcPr>
          <w:p w14:paraId="4D5722C0">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保护应用系统的访问控制信息免受非法篡改</w:t>
            </w:r>
          </w:p>
        </w:tc>
      </w:tr>
      <w:tr w14:paraId="366CCC40">
        <w:tblPrEx>
          <w:tblCellMar>
            <w:top w:w="0" w:type="dxa"/>
            <w:left w:w="108" w:type="dxa"/>
            <w:bottom w:w="0" w:type="dxa"/>
            <w:right w:w="108" w:type="dxa"/>
          </w:tblCellMar>
        </w:tblPrEx>
        <w:trPr>
          <w:trHeight w:val="567" w:hRule="atLeast"/>
        </w:trPr>
        <w:tc>
          <w:tcPr>
            <w:tcW w:w="895" w:type="pct"/>
            <w:vMerge w:val="continue"/>
            <w:tcBorders>
              <w:top w:val="nil"/>
              <w:left w:val="single" w:color="auto" w:sz="4" w:space="0"/>
              <w:bottom w:val="single" w:color="000000" w:sz="4" w:space="0"/>
              <w:right w:val="single" w:color="auto" w:sz="4" w:space="0"/>
            </w:tcBorders>
            <w:shd w:val="clear" w:color="000000" w:fill="FFFFFF"/>
            <w:vAlign w:val="center"/>
          </w:tcPr>
          <w:p w14:paraId="5BC9F99D">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p>
        </w:tc>
        <w:tc>
          <w:tcPr>
            <w:tcW w:w="1496" w:type="pct"/>
            <w:tcBorders>
              <w:top w:val="nil"/>
              <w:left w:val="nil"/>
              <w:bottom w:val="single" w:color="auto" w:sz="4" w:space="0"/>
              <w:right w:val="single" w:color="auto" w:sz="4" w:space="0"/>
            </w:tcBorders>
            <w:shd w:val="clear" w:color="000000" w:fill="FFFFFF"/>
            <w:vAlign w:val="center"/>
          </w:tcPr>
          <w:p w14:paraId="664B180F">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重要信息资源安全标记完整性</w:t>
            </w:r>
          </w:p>
        </w:tc>
        <w:tc>
          <w:tcPr>
            <w:tcW w:w="2609" w:type="pct"/>
            <w:tcBorders>
              <w:top w:val="nil"/>
              <w:left w:val="nil"/>
              <w:bottom w:val="single" w:color="auto" w:sz="4" w:space="0"/>
              <w:right w:val="single" w:color="auto" w:sz="4" w:space="0"/>
            </w:tcBorders>
            <w:shd w:val="clear" w:color="000000" w:fill="FFFFFF"/>
            <w:vAlign w:val="center"/>
          </w:tcPr>
          <w:p w14:paraId="6F962B1F">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保护应用系统的重要信息资源安全标记免受非法篡改</w:t>
            </w:r>
          </w:p>
        </w:tc>
      </w:tr>
      <w:tr w14:paraId="0A71E570">
        <w:tblPrEx>
          <w:tblCellMar>
            <w:top w:w="0" w:type="dxa"/>
            <w:left w:w="108" w:type="dxa"/>
            <w:bottom w:w="0" w:type="dxa"/>
            <w:right w:w="108" w:type="dxa"/>
          </w:tblCellMar>
        </w:tblPrEx>
        <w:trPr>
          <w:trHeight w:val="567" w:hRule="atLeast"/>
        </w:trPr>
        <w:tc>
          <w:tcPr>
            <w:tcW w:w="895" w:type="pct"/>
            <w:vMerge w:val="continue"/>
            <w:tcBorders>
              <w:top w:val="nil"/>
              <w:left w:val="single" w:color="auto" w:sz="4" w:space="0"/>
              <w:bottom w:val="single" w:color="000000" w:sz="4" w:space="0"/>
              <w:right w:val="single" w:color="auto" w:sz="4" w:space="0"/>
            </w:tcBorders>
            <w:shd w:val="clear" w:color="000000" w:fill="FFFFFF"/>
            <w:vAlign w:val="center"/>
          </w:tcPr>
          <w:p w14:paraId="45A2FB2A">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p>
        </w:tc>
        <w:tc>
          <w:tcPr>
            <w:tcW w:w="1496" w:type="pct"/>
            <w:tcBorders>
              <w:top w:val="nil"/>
              <w:left w:val="nil"/>
              <w:bottom w:val="single" w:color="auto" w:sz="4" w:space="0"/>
              <w:right w:val="single" w:color="auto" w:sz="4" w:space="0"/>
            </w:tcBorders>
            <w:shd w:val="clear" w:color="000000" w:fill="FFFFFF"/>
            <w:vAlign w:val="center"/>
          </w:tcPr>
          <w:p w14:paraId="7E5AB8BF">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重要数据传输机密性</w:t>
            </w:r>
          </w:p>
        </w:tc>
        <w:tc>
          <w:tcPr>
            <w:tcW w:w="2609" w:type="pct"/>
            <w:tcBorders>
              <w:top w:val="nil"/>
              <w:left w:val="nil"/>
              <w:bottom w:val="single" w:color="auto" w:sz="4" w:space="0"/>
              <w:right w:val="single" w:color="auto" w:sz="4" w:space="0"/>
            </w:tcBorders>
            <w:shd w:val="clear" w:color="000000" w:fill="FFFFFF"/>
            <w:vAlign w:val="center"/>
          </w:tcPr>
          <w:p w14:paraId="77C6CDBA">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保护用户鉴别信息等重要数据传输的机密性</w:t>
            </w:r>
          </w:p>
        </w:tc>
      </w:tr>
      <w:tr w14:paraId="5E4F370E">
        <w:tblPrEx>
          <w:tblCellMar>
            <w:top w:w="0" w:type="dxa"/>
            <w:left w:w="108" w:type="dxa"/>
            <w:bottom w:w="0" w:type="dxa"/>
            <w:right w:w="108" w:type="dxa"/>
          </w:tblCellMar>
        </w:tblPrEx>
        <w:trPr>
          <w:trHeight w:val="567" w:hRule="atLeast"/>
        </w:trPr>
        <w:tc>
          <w:tcPr>
            <w:tcW w:w="895" w:type="pct"/>
            <w:vMerge w:val="continue"/>
            <w:tcBorders>
              <w:top w:val="nil"/>
              <w:left w:val="single" w:color="auto" w:sz="4" w:space="0"/>
              <w:bottom w:val="single" w:color="000000" w:sz="4" w:space="0"/>
              <w:right w:val="single" w:color="auto" w:sz="4" w:space="0"/>
            </w:tcBorders>
            <w:shd w:val="clear" w:color="000000" w:fill="FFFFFF"/>
            <w:vAlign w:val="center"/>
          </w:tcPr>
          <w:p w14:paraId="7FE3B83D">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p>
        </w:tc>
        <w:tc>
          <w:tcPr>
            <w:tcW w:w="1496" w:type="pct"/>
            <w:tcBorders>
              <w:top w:val="nil"/>
              <w:left w:val="nil"/>
              <w:bottom w:val="single" w:color="auto" w:sz="4" w:space="0"/>
              <w:right w:val="single" w:color="auto" w:sz="4" w:space="0"/>
            </w:tcBorders>
            <w:shd w:val="clear" w:color="000000" w:fill="FFFFFF"/>
            <w:vAlign w:val="center"/>
          </w:tcPr>
          <w:p w14:paraId="30926A28">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重要数据存储机密性</w:t>
            </w:r>
          </w:p>
        </w:tc>
        <w:tc>
          <w:tcPr>
            <w:tcW w:w="2609" w:type="pct"/>
            <w:tcBorders>
              <w:top w:val="nil"/>
              <w:left w:val="nil"/>
              <w:bottom w:val="single" w:color="auto" w:sz="4" w:space="0"/>
              <w:right w:val="single" w:color="auto" w:sz="4" w:space="0"/>
            </w:tcBorders>
            <w:shd w:val="clear" w:color="000000" w:fill="FFFFFF"/>
            <w:vAlign w:val="center"/>
          </w:tcPr>
          <w:p w14:paraId="096C5E3C">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保护用户鉴别信息等重要数据存储的机密性</w:t>
            </w:r>
          </w:p>
        </w:tc>
      </w:tr>
      <w:tr w14:paraId="1BC2DF92">
        <w:tblPrEx>
          <w:tblCellMar>
            <w:top w:w="0" w:type="dxa"/>
            <w:left w:w="108" w:type="dxa"/>
            <w:bottom w:w="0" w:type="dxa"/>
            <w:right w:w="108" w:type="dxa"/>
          </w:tblCellMar>
        </w:tblPrEx>
        <w:trPr>
          <w:trHeight w:val="567" w:hRule="atLeast"/>
        </w:trPr>
        <w:tc>
          <w:tcPr>
            <w:tcW w:w="895" w:type="pct"/>
            <w:vMerge w:val="continue"/>
            <w:tcBorders>
              <w:top w:val="nil"/>
              <w:left w:val="single" w:color="auto" w:sz="4" w:space="0"/>
              <w:bottom w:val="single" w:color="000000" w:sz="4" w:space="0"/>
              <w:right w:val="single" w:color="auto" w:sz="4" w:space="0"/>
            </w:tcBorders>
            <w:shd w:val="clear" w:color="000000" w:fill="FFFFFF"/>
            <w:vAlign w:val="center"/>
          </w:tcPr>
          <w:p w14:paraId="13DF2D3E">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p>
        </w:tc>
        <w:tc>
          <w:tcPr>
            <w:tcW w:w="1496" w:type="pct"/>
            <w:tcBorders>
              <w:top w:val="nil"/>
              <w:left w:val="nil"/>
              <w:bottom w:val="single" w:color="auto" w:sz="4" w:space="0"/>
              <w:right w:val="single" w:color="auto" w:sz="4" w:space="0"/>
            </w:tcBorders>
            <w:shd w:val="clear" w:color="000000" w:fill="FFFFFF"/>
            <w:vAlign w:val="center"/>
          </w:tcPr>
          <w:p w14:paraId="3D6D1976">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重要数据传输完整性</w:t>
            </w:r>
          </w:p>
        </w:tc>
        <w:tc>
          <w:tcPr>
            <w:tcW w:w="2609" w:type="pct"/>
            <w:tcBorders>
              <w:top w:val="nil"/>
              <w:left w:val="nil"/>
              <w:bottom w:val="single" w:color="auto" w:sz="4" w:space="0"/>
              <w:right w:val="single" w:color="auto" w:sz="4" w:space="0"/>
            </w:tcBorders>
            <w:shd w:val="clear" w:color="000000" w:fill="FFFFFF"/>
            <w:vAlign w:val="center"/>
          </w:tcPr>
          <w:p w14:paraId="793593F8">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保护用户鉴别信息等重要数据传输的完整性</w:t>
            </w:r>
          </w:p>
        </w:tc>
      </w:tr>
      <w:tr w14:paraId="60CA7623">
        <w:tblPrEx>
          <w:tblCellMar>
            <w:top w:w="0" w:type="dxa"/>
            <w:left w:w="108" w:type="dxa"/>
            <w:bottom w:w="0" w:type="dxa"/>
            <w:right w:w="108" w:type="dxa"/>
          </w:tblCellMar>
        </w:tblPrEx>
        <w:trPr>
          <w:trHeight w:val="567" w:hRule="atLeast"/>
        </w:trPr>
        <w:tc>
          <w:tcPr>
            <w:tcW w:w="895" w:type="pct"/>
            <w:vMerge w:val="continue"/>
            <w:tcBorders>
              <w:top w:val="nil"/>
              <w:left w:val="single" w:color="auto" w:sz="4" w:space="0"/>
              <w:bottom w:val="single" w:color="000000" w:sz="4" w:space="0"/>
              <w:right w:val="single" w:color="auto" w:sz="4" w:space="0"/>
            </w:tcBorders>
            <w:shd w:val="clear" w:color="000000" w:fill="FFFFFF"/>
            <w:vAlign w:val="center"/>
          </w:tcPr>
          <w:p w14:paraId="52050D0F">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p>
        </w:tc>
        <w:tc>
          <w:tcPr>
            <w:tcW w:w="1496" w:type="pct"/>
            <w:tcBorders>
              <w:top w:val="nil"/>
              <w:left w:val="nil"/>
              <w:bottom w:val="single" w:color="auto" w:sz="4" w:space="0"/>
              <w:right w:val="single" w:color="auto" w:sz="4" w:space="0"/>
            </w:tcBorders>
            <w:shd w:val="clear" w:color="000000" w:fill="FFFFFF"/>
            <w:vAlign w:val="center"/>
          </w:tcPr>
          <w:p w14:paraId="3925571D">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重要数据存储完整性</w:t>
            </w:r>
          </w:p>
        </w:tc>
        <w:tc>
          <w:tcPr>
            <w:tcW w:w="2609" w:type="pct"/>
            <w:tcBorders>
              <w:top w:val="nil"/>
              <w:left w:val="nil"/>
              <w:bottom w:val="single" w:color="auto" w:sz="4" w:space="0"/>
              <w:right w:val="single" w:color="auto" w:sz="4" w:space="0"/>
            </w:tcBorders>
            <w:shd w:val="clear" w:color="000000" w:fill="FFFFFF"/>
            <w:vAlign w:val="center"/>
          </w:tcPr>
          <w:p w14:paraId="4590DF21">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保护用户鉴别信息等重要数据存储的完整性</w:t>
            </w:r>
          </w:p>
        </w:tc>
      </w:tr>
      <w:tr w14:paraId="5E0FCCDE">
        <w:tblPrEx>
          <w:tblCellMar>
            <w:top w:w="0" w:type="dxa"/>
            <w:left w:w="108" w:type="dxa"/>
            <w:bottom w:w="0" w:type="dxa"/>
            <w:right w:w="108" w:type="dxa"/>
          </w:tblCellMar>
        </w:tblPrEx>
        <w:trPr>
          <w:trHeight w:val="567" w:hRule="atLeast"/>
        </w:trPr>
        <w:tc>
          <w:tcPr>
            <w:tcW w:w="895" w:type="pct"/>
            <w:vMerge w:val="continue"/>
            <w:tcBorders>
              <w:top w:val="nil"/>
              <w:left w:val="single" w:color="auto" w:sz="4" w:space="0"/>
              <w:bottom w:val="single" w:color="000000" w:sz="4" w:space="0"/>
              <w:right w:val="single" w:color="auto" w:sz="4" w:space="0"/>
            </w:tcBorders>
            <w:shd w:val="clear" w:color="000000" w:fill="FFFFFF"/>
            <w:vAlign w:val="center"/>
          </w:tcPr>
          <w:p w14:paraId="58642095">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p>
        </w:tc>
        <w:tc>
          <w:tcPr>
            <w:tcW w:w="1496" w:type="pct"/>
            <w:tcBorders>
              <w:top w:val="nil"/>
              <w:left w:val="nil"/>
              <w:bottom w:val="single" w:color="auto" w:sz="4" w:space="0"/>
              <w:right w:val="single" w:color="auto" w:sz="4" w:space="0"/>
            </w:tcBorders>
            <w:shd w:val="clear" w:color="000000" w:fill="FFFFFF"/>
            <w:vAlign w:val="center"/>
          </w:tcPr>
          <w:p w14:paraId="3FEC7AB0">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不可否认性</w:t>
            </w:r>
          </w:p>
        </w:tc>
        <w:tc>
          <w:tcPr>
            <w:tcW w:w="2609" w:type="pct"/>
            <w:tcBorders>
              <w:top w:val="nil"/>
              <w:left w:val="nil"/>
              <w:bottom w:val="single" w:color="auto" w:sz="4" w:space="0"/>
              <w:right w:val="single" w:color="auto" w:sz="4" w:space="0"/>
            </w:tcBorders>
            <w:shd w:val="clear" w:color="000000" w:fill="FFFFFF"/>
            <w:vAlign w:val="center"/>
          </w:tcPr>
          <w:p w14:paraId="7ED74708">
            <w:pPr>
              <w:keepNext w:val="0"/>
              <w:keepLines w:val="0"/>
              <w:suppressLineNumbers w:val="0"/>
              <w:spacing w:before="0" w:beforeAutospacing="0" w:after="0" w:afterAutospacing="0" w:line="240" w:lineRule="auto"/>
              <w:ind w:left="0" w:right="0" w:firstLine="0" w:firstLineChars="0"/>
              <w:rPr>
                <w:rFonts w:hint="eastAsia" w:cstheme="majorBidi"/>
                <w:color w:val="000000" w:themeColor="text1"/>
                <w14:textFill>
                  <w14:solidFill>
                    <w14:schemeClr w14:val="tx1"/>
                  </w14:solidFill>
                </w14:textFill>
              </w:rPr>
            </w:pPr>
            <w:r>
              <w:rPr>
                <w:rFonts w:hint="default" w:cstheme="majorBidi"/>
                <w:color w:val="000000" w:themeColor="text1"/>
                <w14:textFill>
                  <w14:solidFill>
                    <w14:schemeClr w14:val="tx1"/>
                  </w14:solidFill>
                </w14:textFill>
              </w:rPr>
              <w:t>保证用户执行关键操作的不可否认性</w:t>
            </w:r>
          </w:p>
        </w:tc>
      </w:tr>
    </w:tbl>
    <w:p w14:paraId="08835768">
      <w:pPr>
        <w:rPr>
          <w:rFonts w:hint="eastAsia" w:cs="宋体"/>
        </w:rPr>
      </w:pPr>
    </w:p>
    <w:p w14:paraId="2E97CC7A">
      <w:pPr>
        <w:pStyle w:val="3"/>
        <w:rPr>
          <w:rFonts w:hint="eastAsia"/>
        </w:rPr>
      </w:pPr>
      <w:r>
        <w:rPr>
          <w:rFonts w:hint="eastAsia"/>
        </w:rPr>
        <w:t>技术文件要求</w:t>
      </w:r>
    </w:p>
    <w:p w14:paraId="34EBE33D">
      <w:pPr>
        <w:rPr>
          <w:rFonts w:hint="eastAsia"/>
        </w:rPr>
      </w:pPr>
      <w:r>
        <w:rPr>
          <w:rFonts w:hint="eastAsia"/>
        </w:rPr>
        <w:t>投标人提供的书面技术资料应能确保系统正常运行所需的管理、运营及维护有关的全套文件。技术文件应该全面、完整、详细。投标人提供的技术文件至少应包括：</w:t>
      </w:r>
    </w:p>
    <w:p w14:paraId="438998B2">
      <w:pPr>
        <w:rPr>
          <w:rFonts w:hint="eastAsia"/>
        </w:rPr>
      </w:pPr>
      <w:r>
        <w:rPr>
          <w:rFonts w:hint="eastAsia"/>
        </w:rPr>
        <w:t>－</w:t>
      </w:r>
      <w:r>
        <w:t>系统说明文件；</w:t>
      </w:r>
    </w:p>
    <w:p w14:paraId="2EC70012">
      <w:pPr>
        <w:rPr>
          <w:rFonts w:hint="eastAsia"/>
        </w:rPr>
      </w:pPr>
      <w:r>
        <w:rPr>
          <w:rFonts w:hint="eastAsia"/>
        </w:rPr>
        <w:t>－</w:t>
      </w:r>
      <w:r>
        <w:t>技术手册(安装、测试、操作、维护、故障排除等)；</w:t>
      </w:r>
    </w:p>
    <w:p w14:paraId="78E3CD12">
      <w:pPr>
        <w:rPr>
          <w:rFonts w:hint="eastAsia"/>
        </w:rPr>
      </w:pPr>
      <w:r>
        <w:rPr>
          <w:rFonts w:hint="eastAsia"/>
        </w:rPr>
        <w:t>－</w:t>
      </w:r>
      <w:r>
        <w:t>项目文档，应该包括：</w:t>
      </w:r>
    </w:p>
    <w:p w14:paraId="005785B3">
      <w:pPr>
        <w:ind w:left="360"/>
        <w:rPr>
          <w:rFonts w:hint="eastAsia"/>
        </w:rPr>
      </w:pPr>
      <w:r>
        <w:t>(1)软件需求说明书</w:t>
      </w:r>
    </w:p>
    <w:p w14:paraId="7734C3D4">
      <w:pPr>
        <w:ind w:left="360"/>
        <w:rPr>
          <w:rFonts w:hint="eastAsia"/>
        </w:rPr>
      </w:pPr>
      <w:r>
        <w:t>(2)系统总体设计说明书</w:t>
      </w:r>
    </w:p>
    <w:p w14:paraId="0E1E7146">
      <w:pPr>
        <w:ind w:left="360"/>
        <w:rPr>
          <w:rFonts w:hint="eastAsia"/>
        </w:rPr>
      </w:pPr>
      <w:r>
        <w:t>(3)应用软件功能清单</w:t>
      </w:r>
    </w:p>
    <w:p w14:paraId="6B45528E">
      <w:pPr>
        <w:rPr>
          <w:rFonts w:hint="eastAsia"/>
        </w:rPr>
      </w:pPr>
      <w:r>
        <w:rPr>
          <w:rFonts w:hint="eastAsia"/>
        </w:rPr>
        <w:t>提供全套技术文件纸介质</w:t>
      </w:r>
      <w:r>
        <w:t>3套以及电子文件1套。</w:t>
      </w:r>
    </w:p>
    <w:p w14:paraId="68FED892">
      <w:pPr>
        <w:pStyle w:val="2"/>
        <w:rPr>
          <w:rFonts w:hint="eastAsia"/>
        </w:rPr>
      </w:pPr>
      <w:r>
        <w:rPr>
          <w:rFonts w:hint="eastAsia"/>
        </w:rPr>
        <w:t>供应商管理要求</w:t>
      </w:r>
      <w:bookmarkEnd w:id="29"/>
    </w:p>
    <w:p w14:paraId="29EF8664">
      <w:pPr>
        <w:pStyle w:val="82"/>
        <w:ind w:firstLine="480"/>
        <w:rPr>
          <w:rFonts w:hint="eastAsia"/>
          <w:sz w:val="24"/>
          <w:szCs w:val="24"/>
        </w:rPr>
      </w:pPr>
      <w:r>
        <w:rPr>
          <w:rFonts w:hint="eastAsia"/>
          <w:sz w:val="24"/>
          <w:szCs w:val="24"/>
        </w:rPr>
        <w:t>1、本系统面向本市众多相关单位，对信息安全有较高要求，中标人应具有完善的安全保密管理制度。</w:t>
      </w:r>
    </w:p>
    <w:p w14:paraId="5D1003E4">
      <w:pPr>
        <w:pStyle w:val="82"/>
        <w:ind w:firstLine="480"/>
        <w:rPr>
          <w:rFonts w:hint="eastAsia"/>
          <w:sz w:val="24"/>
          <w:szCs w:val="24"/>
        </w:rPr>
      </w:pPr>
      <w:r>
        <w:rPr>
          <w:rFonts w:hint="eastAsia"/>
          <w:sz w:val="24"/>
          <w:szCs w:val="24"/>
        </w:rPr>
        <w:t>2、中标人应具备优秀的项目管理能力和质量保障能力。</w:t>
      </w:r>
    </w:p>
    <w:p w14:paraId="287A5A29">
      <w:pPr>
        <w:pStyle w:val="82"/>
        <w:ind w:firstLine="480"/>
        <w:rPr>
          <w:rFonts w:hint="eastAsia"/>
          <w:sz w:val="24"/>
          <w:szCs w:val="24"/>
        </w:rPr>
      </w:pPr>
      <w:r>
        <w:rPr>
          <w:rFonts w:hint="eastAsia"/>
          <w:sz w:val="24"/>
          <w:szCs w:val="24"/>
        </w:rPr>
        <w:t>3、在项目实施期间，中标人应严格执行国家、地方、行业有关本项目业务管理和安全作业的法律、法规和制度并按规定承担相应的费用。中标人因违反规定等原因造成的一切损失和责任由中标人自行承担。</w:t>
      </w:r>
    </w:p>
    <w:p w14:paraId="27BFDE75">
      <w:pPr>
        <w:pStyle w:val="82"/>
        <w:ind w:firstLine="480"/>
        <w:rPr>
          <w:rFonts w:hint="eastAsia"/>
          <w:sz w:val="24"/>
          <w:szCs w:val="24"/>
        </w:rPr>
      </w:pPr>
      <w:r>
        <w:rPr>
          <w:rFonts w:hint="eastAsia"/>
          <w:sz w:val="24"/>
          <w:szCs w:val="24"/>
        </w:rPr>
        <w:t>4、中标人在投标书中承诺并经招标人认定的项目负责人及专业技术人员必须是本单位职工（在本单位缴纳社会保障金）和该项目实施现场的实际操作者，应具有类似本项目的实施经验，并应在软件应用调研、安装、试运行等期间常驻项目现场。未经采购人同意，中标人不得调换或撤离上述人员。如采购人认为有必要，可要求中标人对上述人员中的部分人员作出更好的调整。</w:t>
      </w:r>
    </w:p>
    <w:p w14:paraId="78033E09">
      <w:pPr>
        <w:pStyle w:val="82"/>
        <w:ind w:firstLine="480"/>
        <w:rPr>
          <w:rFonts w:hint="eastAsia"/>
          <w:sz w:val="24"/>
          <w:szCs w:val="24"/>
        </w:rPr>
      </w:pPr>
      <w:r>
        <w:rPr>
          <w:rFonts w:hint="eastAsia"/>
          <w:sz w:val="24"/>
          <w:szCs w:val="24"/>
        </w:rPr>
        <w:t>5、中标人在项目实施期间，应按项目实际进度与环节落实所对应项目整体及各环节管理工作，按照规范做好项目实施期间相关管理与实施记录。</w:t>
      </w:r>
    </w:p>
    <w:p w14:paraId="2E2B87CF">
      <w:pPr>
        <w:pStyle w:val="82"/>
        <w:ind w:firstLine="480"/>
        <w:rPr>
          <w:rFonts w:hint="eastAsia"/>
          <w:sz w:val="24"/>
          <w:szCs w:val="24"/>
        </w:rPr>
      </w:pPr>
      <w:r>
        <w:rPr>
          <w:rFonts w:hint="eastAsia"/>
          <w:sz w:val="24"/>
          <w:szCs w:val="24"/>
        </w:rPr>
        <w:t>6、参与本项目的工作人员应严格遵循采购人的安全制度，保障采购人资料和设备的安全。中标方如需进入采购人机房工作，只能在采购人规定的工作区域内对项目涉及的设备进行操作，严禁触动与项目无关的任何设备（包括任何操作行为），如需跨区操作必须得到采购人项目联系人确认。</w:t>
      </w:r>
    </w:p>
    <w:p w14:paraId="7C81AB93">
      <w:pPr>
        <w:pStyle w:val="82"/>
        <w:ind w:firstLine="480"/>
        <w:rPr>
          <w:rFonts w:hint="eastAsia"/>
          <w:sz w:val="24"/>
          <w:szCs w:val="24"/>
        </w:rPr>
      </w:pPr>
      <w:r>
        <w:rPr>
          <w:rFonts w:hint="eastAsia"/>
          <w:sz w:val="24"/>
          <w:szCs w:val="24"/>
        </w:rPr>
        <w:t>7、中标人在项目实施期间必须遵守采购人的规章制度并提供实施人员名单。</w:t>
      </w:r>
    </w:p>
    <w:p w14:paraId="6236E5C4">
      <w:pPr>
        <w:pStyle w:val="82"/>
        <w:ind w:firstLine="480"/>
        <w:rPr>
          <w:rFonts w:hint="eastAsia"/>
          <w:sz w:val="24"/>
          <w:szCs w:val="24"/>
        </w:rPr>
      </w:pPr>
      <w:r>
        <w:rPr>
          <w:rFonts w:hint="eastAsia"/>
          <w:sz w:val="24"/>
          <w:szCs w:val="24"/>
        </w:rPr>
        <w:t>8、各投标人在投标文件中要结合本项目的特点和采购人上述的具体要求制定相应的管理措施，并在报价中列支相应的费用清单，投标人报价中未列支上述费用清单的，上述费用视为已包含在投标人的投标总报价中。</w:t>
      </w:r>
    </w:p>
    <w:p w14:paraId="5115B9DC">
      <w:pPr>
        <w:pStyle w:val="82"/>
        <w:ind w:firstLine="480"/>
        <w:rPr>
          <w:rFonts w:hint="eastAsia"/>
          <w:sz w:val="24"/>
          <w:szCs w:val="24"/>
        </w:rPr>
      </w:pPr>
      <w:r>
        <w:rPr>
          <w:rFonts w:hint="eastAsia"/>
          <w:sz w:val="24"/>
          <w:szCs w:val="24"/>
        </w:rPr>
        <w:t>9、本项目软件开发及调试将纳入采购人的管理范围，中标人在此过程中须服从上述单位的管理协调。</w:t>
      </w:r>
    </w:p>
    <w:p w14:paraId="2BF0B1DC">
      <w:pPr>
        <w:pStyle w:val="2"/>
        <w:rPr>
          <w:rFonts w:hint="eastAsia"/>
        </w:rPr>
      </w:pPr>
      <w:r>
        <w:rPr>
          <w:rFonts w:hint="eastAsia"/>
        </w:rPr>
        <w:t>供应商综合能力要求</w:t>
      </w:r>
    </w:p>
    <w:p w14:paraId="1AACDF90">
      <w:pPr>
        <w:numPr>
          <w:ilvl w:val="255"/>
          <w:numId w:val="0"/>
        </w:numPr>
        <w:ind w:firstLine="420"/>
        <w:rPr>
          <w:rFonts w:hint="eastAsia"/>
        </w:rPr>
      </w:pPr>
      <w:r>
        <w:rPr>
          <w:rFonts w:hint="eastAsia"/>
        </w:rPr>
        <w:t>供应商应当具备优秀的综合实力，其中具备以下能力的供应商会优先考虑：</w:t>
      </w:r>
    </w:p>
    <w:p w14:paraId="2C6A997E">
      <w:pPr>
        <w:numPr>
          <w:ilvl w:val="0"/>
          <w:numId w:val="4"/>
        </w:numPr>
        <w:rPr>
          <w:rFonts w:hint="eastAsia"/>
        </w:rPr>
      </w:pPr>
      <w:r>
        <w:rPr>
          <w:rFonts w:hint="eastAsia"/>
        </w:rPr>
        <w:t>具有CCRC信息安全服务资质；</w:t>
      </w:r>
    </w:p>
    <w:p w14:paraId="6160F807">
      <w:pPr>
        <w:rPr>
          <w:rFonts w:hint="eastAsia"/>
        </w:rPr>
      </w:pPr>
      <w:r>
        <w:rPr>
          <w:rFonts w:hint="eastAsia"/>
        </w:rPr>
        <w:t>2.供应商具有低空、航空或时空信息领域相关技术成果（发明专利、软件著作权）；</w:t>
      </w:r>
    </w:p>
    <w:p w14:paraId="7A2AD238">
      <w:pPr>
        <w:rPr>
          <w:rFonts w:hint="eastAsia"/>
        </w:rPr>
      </w:pPr>
      <w:r>
        <w:rPr>
          <w:rFonts w:hint="eastAsia"/>
        </w:rPr>
        <w:t>3.自2023年1月1日起至今承接过政务信息系统开发、集成的类似项目业绩的。</w:t>
      </w:r>
    </w:p>
    <w:p w14:paraId="281B0640">
      <w:pPr>
        <w:pStyle w:val="82"/>
        <w:ind w:firstLine="420"/>
        <w:rPr>
          <w:rFonts w:hint="eastAsia"/>
        </w:rPr>
      </w:pPr>
    </w:p>
    <w:p w14:paraId="1EC3A76E">
      <w:pPr>
        <w:pStyle w:val="2"/>
        <w:rPr>
          <w:rFonts w:hint="eastAsia"/>
        </w:rPr>
      </w:pPr>
      <w:bookmarkStart w:id="30" w:name="_Toc63785513"/>
      <w:r>
        <w:rPr>
          <w:rFonts w:hint="eastAsia"/>
        </w:rPr>
        <w:t>关于转让和分包的规定</w:t>
      </w:r>
    </w:p>
    <w:p w14:paraId="52D6F872">
      <w:pPr>
        <w:rPr>
          <w:rFonts w:hint="eastAsia"/>
        </w:rPr>
      </w:pPr>
      <w:r>
        <w:rPr>
          <w:rFonts w:hint="eastAsia"/>
        </w:rPr>
        <w:t>1、本项目不得转让、项目主体不得分包。</w:t>
      </w:r>
    </w:p>
    <w:p w14:paraId="1186E476">
      <w:pPr>
        <w:rPr>
          <w:rFonts w:hint="eastAsia"/>
        </w:rPr>
      </w:pPr>
      <w:r>
        <w:rPr>
          <w:rFonts w:hint="eastAsia"/>
        </w:rPr>
        <w:t>2、本次采购以下非主体部分，可分包履行（投标价不得高于对应模块金额）：</w:t>
      </w:r>
    </w:p>
    <w:tbl>
      <w:tblPr>
        <w:tblStyle w:val="35"/>
        <w:tblW w:w="0" w:type="auto"/>
        <w:tblInd w:w="113" w:type="dxa"/>
        <w:tblLayout w:type="fixed"/>
        <w:tblCellMar>
          <w:top w:w="0" w:type="dxa"/>
          <w:left w:w="108" w:type="dxa"/>
          <w:bottom w:w="0" w:type="dxa"/>
          <w:right w:w="108" w:type="dxa"/>
        </w:tblCellMar>
      </w:tblPr>
      <w:tblGrid>
        <w:gridCol w:w="687"/>
        <w:gridCol w:w="3561"/>
        <w:gridCol w:w="1701"/>
        <w:gridCol w:w="1276"/>
        <w:gridCol w:w="1190"/>
      </w:tblGrid>
      <w:tr w14:paraId="2D913A6D">
        <w:tblPrEx>
          <w:tblCellMar>
            <w:top w:w="0" w:type="dxa"/>
            <w:left w:w="108" w:type="dxa"/>
            <w:bottom w:w="0" w:type="dxa"/>
            <w:right w:w="108" w:type="dxa"/>
          </w:tblCellMar>
        </w:tblPrEx>
        <w:trPr>
          <w:trHeight w:val="285" w:hRule="atLeast"/>
        </w:trPr>
        <w:tc>
          <w:tcPr>
            <w:tcW w:w="687" w:type="dxa"/>
            <w:tcBorders>
              <w:top w:val="single" w:color="auto" w:sz="4" w:space="0"/>
              <w:left w:val="single" w:color="auto" w:sz="4" w:space="0"/>
              <w:bottom w:val="single" w:color="auto" w:sz="4" w:space="0"/>
              <w:right w:val="single" w:color="auto" w:sz="4" w:space="0"/>
            </w:tcBorders>
            <w:noWrap/>
            <w:vAlign w:val="center"/>
          </w:tcPr>
          <w:p w14:paraId="0131EECE">
            <w:pPr>
              <w:keepNext w:val="0"/>
              <w:keepLines w:val="0"/>
              <w:widowControl/>
              <w:suppressLineNumbers w:val="0"/>
              <w:spacing w:before="0" w:beforeAutospacing="0" w:after="0" w:afterAutospacing="0" w:line="240" w:lineRule="auto"/>
              <w:ind w:left="0" w:right="0" w:firstLine="0" w:firstLineChars="0"/>
              <w:jc w:val="center"/>
              <w:rPr>
                <w:rFonts w:hint="eastAsia" w:cs="宋体"/>
                <w:b/>
                <w:bCs/>
                <w:color w:val="000000"/>
                <w:kern w:val="0"/>
              </w:rPr>
            </w:pPr>
            <w:r>
              <w:rPr>
                <w:rFonts w:hint="eastAsia" w:cs="宋体"/>
                <w:b/>
                <w:bCs/>
                <w:color w:val="000000"/>
                <w:kern w:val="0"/>
              </w:rPr>
              <w:t>序号</w:t>
            </w:r>
          </w:p>
        </w:tc>
        <w:tc>
          <w:tcPr>
            <w:tcW w:w="3561" w:type="dxa"/>
            <w:tcBorders>
              <w:top w:val="single" w:color="auto" w:sz="4" w:space="0"/>
              <w:left w:val="nil"/>
              <w:bottom w:val="single" w:color="auto" w:sz="4" w:space="0"/>
              <w:right w:val="single" w:color="auto" w:sz="4" w:space="0"/>
            </w:tcBorders>
            <w:noWrap/>
            <w:vAlign w:val="center"/>
          </w:tcPr>
          <w:p w14:paraId="1BB70170">
            <w:pPr>
              <w:keepNext w:val="0"/>
              <w:keepLines w:val="0"/>
              <w:widowControl/>
              <w:suppressLineNumbers w:val="0"/>
              <w:spacing w:before="0" w:beforeAutospacing="0" w:after="0" w:afterAutospacing="0" w:line="240" w:lineRule="auto"/>
              <w:ind w:left="0" w:right="0" w:firstLine="0" w:firstLineChars="0"/>
              <w:jc w:val="center"/>
              <w:rPr>
                <w:rFonts w:hint="eastAsia" w:cs="宋体"/>
                <w:b/>
                <w:bCs/>
                <w:color w:val="000000"/>
                <w:kern w:val="0"/>
              </w:rPr>
            </w:pPr>
            <w:r>
              <w:rPr>
                <w:rFonts w:hint="eastAsia" w:cs="宋体"/>
                <w:b/>
                <w:bCs/>
                <w:color w:val="000000"/>
                <w:kern w:val="0"/>
              </w:rPr>
              <w:t>模块名称</w:t>
            </w:r>
          </w:p>
        </w:tc>
        <w:tc>
          <w:tcPr>
            <w:tcW w:w="1701" w:type="dxa"/>
            <w:tcBorders>
              <w:top w:val="single" w:color="auto" w:sz="4" w:space="0"/>
              <w:left w:val="nil"/>
              <w:bottom w:val="single" w:color="auto" w:sz="4" w:space="0"/>
              <w:right w:val="single" w:color="auto" w:sz="4" w:space="0"/>
            </w:tcBorders>
            <w:noWrap/>
            <w:vAlign w:val="center"/>
          </w:tcPr>
          <w:p w14:paraId="0A989611">
            <w:pPr>
              <w:keepNext w:val="0"/>
              <w:keepLines w:val="0"/>
              <w:widowControl/>
              <w:suppressLineNumbers w:val="0"/>
              <w:spacing w:before="0" w:beforeAutospacing="0" w:after="0" w:afterAutospacing="0" w:line="240" w:lineRule="auto"/>
              <w:ind w:left="0" w:right="0" w:firstLine="0" w:firstLineChars="0"/>
              <w:jc w:val="center"/>
              <w:rPr>
                <w:rFonts w:hint="eastAsia" w:cs="宋体"/>
                <w:b/>
                <w:bCs/>
                <w:color w:val="000000"/>
                <w:kern w:val="0"/>
              </w:rPr>
            </w:pPr>
            <w:r>
              <w:rPr>
                <w:rFonts w:hint="eastAsia" w:cs="宋体"/>
                <w:b/>
                <w:bCs/>
                <w:color w:val="000000"/>
                <w:kern w:val="0"/>
              </w:rPr>
              <w:t>模块金额（元）</w:t>
            </w:r>
          </w:p>
        </w:tc>
        <w:tc>
          <w:tcPr>
            <w:tcW w:w="1276" w:type="dxa"/>
            <w:tcBorders>
              <w:top w:val="single" w:color="auto" w:sz="4" w:space="0"/>
              <w:left w:val="nil"/>
              <w:bottom w:val="single" w:color="auto" w:sz="4" w:space="0"/>
              <w:right w:val="single" w:color="auto" w:sz="4" w:space="0"/>
            </w:tcBorders>
            <w:noWrap/>
            <w:vAlign w:val="center"/>
          </w:tcPr>
          <w:p w14:paraId="7FC88946">
            <w:pPr>
              <w:keepNext w:val="0"/>
              <w:keepLines w:val="0"/>
              <w:widowControl/>
              <w:suppressLineNumbers w:val="0"/>
              <w:spacing w:before="0" w:beforeAutospacing="0" w:after="0" w:afterAutospacing="0" w:line="240" w:lineRule="auto"/>
              <w:ind w:left="0" w:right="0" w:firstLine="0" w:firstLineChars="0"/>
              <w:jc w:val="center"/>
              <w:rPr>
                <w:rFonts w:hint="eastAsia" w:cs="宋体"/>
                <w:b/>
                <w:bCs/>
                <w:color w:val="000000"/>
                <w:kern w:val="0"/>
              </w:rPr>
            </w:pPr>
            <w:r>
              <w:rPr>
                <w:rFonts w:hint="eastAsia" w:cs="宋体"/>
                <w:b/>
                <w:bCs/>
                <w:color w:val="000000"/>
                <w:kern w:val="0"/>
              </w:rPr>
              <w:t>开发期人员要求</w:t>
            </w:r>
          </w:p>
        </w:tc>
        <w:tc>
          <w:tcPr>
            <w:tcW w:w="1190" w:type="dxa"/>
            <w:tcBorders>
              <w:top w:val="single" w:color="auto" w:sz="4" w:space="0"/>
              <w:left w:val="nil"/>
              <w:bottom w:val="single" w:color="auto" w:sz="4" w:space="0"/>
              <w:right w:val="single" w:color="auto" w:sz="4" w:space="0"/>
            </w:tcBorders>
            <w:vAlign w:val="center"/>
          </w:tcPr>
          <w:p w14:paraId="0656238C">
            <w:pPr>
              <w:keepNext w:val="0"/>
              <w:keepLines w:val="0"/>
              <w:widowControl/>
              <w:suppressLineNumbers w:val="0"/>
              <w:spacing w:before="0" w:beforeAutospacing="0" w:after="0" w:afterAutospacing="0" w:line="240" w:lineRule="auto"/>
              <w:ind w:left="0" w:right="0" w:firstLine="0" w:firstLineChars="0"/>
              <w:jc w:val="center"/>
              <w:rPr>
                <w:rFonts w:hint="eastAsia" w:cs="宋体"/>
                <w:b/>
                <w:bCs/>
                <w:color w:val="000000"/>
                <w:kern w:val="0"/>
              </w:rPr>
            </w:pPr>
            <w:r>
              <w:rPr>
                <w:rFonts w:hint="eastAsia" w:cs="宋体"/>
                <w:b/>
                <w:bCs/>
                <w:color w:val="000000"/>
                <w:kern w:val="0"/>
              </w:rPr>
              <w:t>质保期人员要求</w:t>
            </w:r>
          </w:p>
        </w:tc>
      </w:tr>
      <w:tr w14:paraId="7F0F185E">
        <w:trPr>
          <w:trHeight w:val="570" w:hRule="atLeast"/>
        </w:trPr>
        <w:tc>
          <w:tcPr>
            <w:tcW w:w="687" w:type="dxa"/>
            <w:tcBorders>
              <w:top w:val="nil"/>
              <w:left w:val="single" w:color="auto" w:sz="4" w:space="0"/>
              <w:bottom w:val="single" w:color="auto" w:sz="4" w:space="0"/>
              <w:right w:val="single" w:color="auto" w:sz="4" w:space="0"/>
            </w:tcBorders>
            <w:noWrap/>
            <w:vAlign w:val="center"/>
          </w:tcPr>
          <w:p w14:paraId="68116B5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w:t>
            </w:r>
          </w:p>
        </w:tc>
        <w:tc>
          <w:tcPr>
            <w:tcW w:w="3561" w:type="dxa"/>
            <w:tcBorders>
              <w:top w:val="nil"/>
              <w:left w:val="nil"/>
              <w:bottom w:val="single" w:color="auto" w:sz="4" w:space="0"/>
              <w:right w:val="single" w:color="auto" w:sz="4" w:space="0"/>
            </w:tcBorders>
            <w:vAlign w:val="center"/>
          </w:tcPr>
          <w:p w14:paraId="5FADB483">
            <w:pPr>
              <w:keepNext w:val="0"/>
              <w:keepLines w:val="0"/>
              <w:widowControl/>
              <w:suppressLineNumbers w:val="0"/>
              <w:spacing w:before="0" w:beforeAutospacing="0" w:after="0" w:afterAutospacing="0" w:line="240" w:lineRule="auto"/>
              <w:ind w:left="0" w:right="0" w:firstLine="0" w:firstLineChars="0"/>
              <w:rPr>
                <w:rFonts w:hint="eastAsia" w:cs="宋体"/>
                <w:color w:val="000000"/>
                <w:kern w:val="0"/>
              </w:rPr>
            </w:pPr>
            <w:r>
              <w:rPr>
                <w:rFonts w:hint="eastAsia" w:cs="宋体"/>
                <w:color w:val="000000"/>
                <w:kern w:val="0"/>
              </w:rPr>
              <w:t>警务政务无人机飞行和民用无人机安全管控平台-民用无人机飞行管控数据中枢与算法引擎</w:t>
            </w:r>
          </w:p>
        </w:tc>
        <w:tc>
          <w:tcPr>
            <w:tcW w:w="1701" w:type="dxa"/>
            <w:tcBorders>
              <w:top w:val="nil"/>
              <w:left w:val="nil"/>
              <w:bottom w:val="single" w:color="auto" w:sz="4" w:space="0"/>
              <w:right w:val="single" w:color="auto" w:sz="4" w:space="0"/>
            </w:tcBorders>
            <w:vAlign w:val="center"/>
          </w:tcPr>
          <w:p w14:paraId="5BF1133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1,200,000</w:t>
            </w:r>
          </w:p>
        </w:tc>
        <w:tc>
          <w:tcPr>
            <w:tcW w:w="1276" w:type="dxa"/>
            <w:tcBorders>
              <w:top w:val="nil"/>
              <w:left w:val="nil"/>
              <w:bottom w:val="single" w:color="auto" w:sz="4" w:space="0"/>
              <w:right w:val="single" w:color="auto" w:sz="4" w:space="0"/>
            </w:tcBorders>
            <w:noWrap/>
            <w:vAlign w:val="center"/>
          </w:tcPr>
          <w:p w14:paraId="52FFF50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4人（驻场1人）</w:t>
            </w:r>
          </w:p>
        </w:tc>
        <w:tc>
          <w:tcPr>
            <w:tcW w:w="1190" w:type="dxa"/>
            <w:tcBorders>
              <w:top w:val="nil"/>
              <w:left w:val="nil"/>
              <w:bottom w:val="single" w:color="auto" w:sz="4" w:space="0"/>
              <w:right w:val="single" w:color="auto" w:sz="4" w:space="0"/>
            </w:tcBorders>
            <w:vAlign w:val="center"/>
          </w:tcPr>
          <w:p w14:paraId="5F95E4B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1人</w:t>
            </w:r>
          </w:p>
        </w:tc>
      </w:tr>
      <w:tr w14:paraId="074CA6DB">
        <w:tblPrEx>
          <w:tblCellMar>
            <w:top w:w="0" w:type="dxa"/>
            <w:left w:w="108" w:type="dxa"/>
            <w:bottom w:w="0" w:type="dxa"/>
            <w:right w:w="108" w:type="dxa"/>
          </w:tblCellMar>
        </w:tblPrEx>
        <w:trPr>
          <w:trHeight w:val="570" w:hRule="atLeast"/>
        </w:trPr>
        <w:tc>
          <w:tcPr>
            <w:tcW w:w="687" w:type="dxa"/>
            <w:tcBorders>
              <w:top w:val="nil"/>
              <w:left w:val="single" w:color="auto" w:sz="4" w:space="0"/>
              <w:bottom w:val="single" w:color="auto" w:sz="4" w:space="0"/>
              <w:right w:val="single" w:color="auto" w:sz="4" w:space="0"/>
            </w:tcBorders>
            <w:noWrap/>
            <w:vAlign w:val="center"/>
          </w:tcPr>
          <w:p w14:paraId="462F9FC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w:t>
            </w:r>
          </w:p>
        </w:tc>
        <w:tc>
          <w:tcPr>
            <w:tcW w:w="3561" w:type="dxa"/>
            <w:tcBorders>
              <w:top w:val="nil"/>
              <w:left w:val="nil"/>
              <w:bottom w:val="single" w:color="auto" w:sz="4" w:space="0"/>
              <w:right w:val="single" w:color="auto" w:sz="4" w:space="0"/>
            </w:tcBorders>
            <w:vAlign w:val="center"/>
          </w:tcPr>
          <w:p w14:paraId="6F159E87">
            <w:pPr>
              <w:keepNext w:val="0"/>
              <w:keepLines w:val="0"/>
              <w:widowControl/>
              <w:suppressLineNumbers w:val="0"/>
              <w:spacing w:before="0" w:beforeAutospacing="0" w:after="0" w:afterAutospacing="0" w:line="240" w:lineRule="auto"/>
              <w:ind w:left="0" w:right="0" w:firstLine="0" w:firstLineChars="0"/>
              <w:rPr>
                <w:rFonts w:hint="eastAsia" w:cs="宋体"/>
                <w:color w:val="000000"/>
                <w:kern w:val="0"/>
              </w:rPr>
            </w:pPr>
            <w:r>
              <w:rPr>
                <w:rFonts w:hint="eastAsia" w:cs="宋体"/>
                <w:color w:val="000000"/>
                <w:kern w:val="0"/>
              </w:rPr>
              <w:t>警务政务无人机飞行和民用无人机安全管控平台-民用无人机飞行管控运行保障与安全防护</w:t>
            </w:r>
          </w:p>
        </w:tc>
        <w:tc>
          <w:tcPr>
            <w:tcW w:w="1701" w:type="dxa"/>
            <w:tcBorders>
              <w:top w:val="nil"/>
              <w:left w:val="nil"/>
              <w:bottom w:val="single" w:color="auto" w:sz="4" w:space="0"/>
              <w:right w:val="single" w:color="auto" w:sz="4" w:space="0"/>
            </w:tcBorders>
            <w:vAlign w:val="center"/>
          </w:tcPr>
          <w:p w14:paraId="340D115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450,000</w:t>
            </w:r>
          </w:p>
        </w:tc>
        <w:tc>
          <w:tcPr>
            <w:tcW w:w="1276" w:type="dxa"/>
            <w:tcBorders>
              <w:top w:val="nil"/>
              <w:left w:val="nil"/>
              <w:bottom w:val="single" w:color="auto" w:sz="4" w:space="0"/>
              <w:right w:val="single" w:color="auto" w:sz="4" w:space="0"/>
            </w:tcBorders>
            <w:noWrap/>
            <w:vAlign w:val="center"/>
          </w:tcPr>
          <w:p w14:paraId="3D24C61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2人（驻场1人）</w:t>
            </w:r>
          </w:p>
        </w:tc>
        <w:tc>
          <w:tcPr>
            <w:tcW w:w="1190" w:type="dxa"/>
            <w:tcBorders>
              <w:top w:val="nil"/>
              <w:left w:val="nil"/>
              <w:bottom w:val="single" w:color="auto" w:sz="4" w:space="0"/>
              <w:right w:val="single" w:color="auto" w:sz="4" w:space="0"/>
            </w:tcBorders>
            <w:vAlign w:val="center"/>
          </w:tcPr>
          <w:p w14:paraId="5A779C7E">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1人</w:t>
            </w:r>
          </w:p>
        </w:tc>
      </w:tr>
      <w:tr w14:paraId="4D093154">
        <w:trPr>
          <w:trHeight w:val="570" w:hRule="atLeast"/>
        </w:trPr>
        <w:tc>
          <w:tcPr>
            <w:tcW w:w="687" w:type="dxa"/>
            <w:tcBorders>
              <w:top w:val="nil"/>
              <w:left w:val="single" w:color="auto" w:sz="4" w:space="0"/>
              <w:bottom w:val="single" w:color="auto" w:sz="4" w:space="0"/>
              <w:right w:val="single" w:color="auto" w:sz="4" w:space="0"/>
            </w:tcBorders>
            <w:noWrap/>
            <w:vAlign w:val="center"/>
          </w:tcPr>
          <w:p w14:paraId="51FC6FA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3</w:t>
            </w:r>
          </w:p>
        </w:tc>
        <w:tc>
          <w:tcPr>
            <w:tcW w:w="3561" w:type="dxa"/>
            <w:tcBorders>
              <w:top w:val="nil"/>
              <w:left w:val="nil"/>
              <w:bottom w:val="single" w:color="auto" w:sz="4" w:space="0"/>
              <w:right w:val="single" w:color="auto" w:sz="4" w:space="0"/>
            </w:tcBorders>
            <w:vAlign w:val="center"/>
          </w:tcPr>
          <w:p w14:paraId="10B2DC70">
            <w:pPr>
              <w:keepNext w:val="0"/>
              <w:keepLines w:val="0"/>
              <w:widowControl/>
              <w:suppressLineNumbers w:val="0"/>
              <w:spacing w:before="0" w:beforeAutospacing="0" w:after="0" w:afterAutospacing="0" w:line="240" w:lineRule="auto"/>
              <w:ind w:left="0" w:right="0" w:firstLine="0" w:firstLineChars="0"/>
              <w:rPr>
                <w:rFonts w:hint="eastAsia" w:cs="宋体"/>
                <w:color w:val="000000"/>
                <w:kern w:val="0"/>
              </w:rPr>
            </w:pPr>
            <w:r>
              <w:rPr>
                <w:rFonts w:hint="eastAsia" w:cs="宋体"/>
                <w:color w:val="000000"/>
                <w:kern w:val="0"/>
              </w:rPr>
              <w:t>警务政务无人机飞行和民用无人机安全管控平台-民用无人机飞行安全监管</w:t>
            </w:r>
          </w:p>
        </w:tc>
        <w:tc>
          <w:tcPr>
            <w:tcW w:w="1701" w:type="dxa"/>
            <w:tcBorders>
              <w:top w:val="nil"/>
              <w:left w:val="nil"/>
              <w:bottom w:val="single" w:color="auto" w:sz="4" w:space="0"/>
              <w:right w:val="single" w:color="auto" w:sz="4" w:space="0"/>
            </w:tcBorders>
            <w:vAlign w:val="center"/>
          </w:tcPr>
          <w:p w14:paraId="6E97B7EA">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2,000,000</w:t>
            </w:r>
          </w:p>
        </w:tc>
        <w:tc>
          <w:tcPr>
            <w:tcW w:w="1276" w:type="dxa"/>
            <w:tcBorders>
              <w:top w:val="nil"/>
              <w:left w:val="nil"/>
              <w:bottom w:val="single" w:color="auto" w:sz="4" w:space="0"/>
              <w:right w:val="single" w:color="auto" w:sz="4" w:space="0"/>
            </w:tcBorders>
            <w:noWrap/>
            <w:vAlign w:val="center"/>
          </w:tcPr>
          <w:p w14:paraId="7B221FE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7人（驻场1人）</w:t>
            </w:r>
          </w:p>
        </w:tc>
        <w:tc>
          <w:tcPr>
            <w:tcW w:w="1190" w:type="dxa"/>
            <w:tcBorders>
              <w:top w:val="nil"/>
              <w:left w:val="nil"/>
              <w:bottom w:val="single" w:color="auto" w:sz="4" w:space="0"/>
              <w:right w:val="single" w:color="auto" w:sz="4" w:space="0"/>
            </w:tcBorders>
            <w:vAlign w:val="center"/>
          </w:tcPr>
          <w:p w14:paraId="71432FEE">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1人</w:t>
            </w:r>
          </w:p>
        </w:tc>
      </w:tr>
      <w:tr w14:paraId="2CA66325">
        <w:tblPrEx>
          <w:tblCellMar>
            <w:top w:w="0" w:type="dxa"/>
            <w:left w:w="108" w:type="dxa"/>
            <w:bottom w:w="0" w:type="dxa"/>
            <w:right w:w="108" w:type="dxa"/>
          </w:tblCellMar>
        </w:tblPrEx>
        <w:trPr>
          <w:trHeight w:val="570" w:hRule="atLeast"/>
        </w:trPr>
        <w:tc>
          <w:tcPr>
            <w:tcW w:w="687" w:type="dxa"/>
            <w:tcBorders>
              <w:top w:val="nil"/>
              <w:left w:val="single" w:color="auto" w:sz="4" w:space="0"/>
              <w:bottom w:val="single" w:color="auto" w:sz="4" w:space="0"/>
              <w:right w:val="single" w:color="auto" w:sz="4" w:space="0"/>
            </w:tcBorders>
            <w:noWrap/>
            <w:vAlign w:val="center"/>
          </w:tcPr>
          <w:p w14:paraId="24D675A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4</w:t>
            </w:r>
          </w:p>
        </w:tc>
        <w:tc>
          <w:tcPr>
            <w:tcW w:w="3561" w:type="dxa"/>
            <w:tcBorders>
              <w:top w:val="nil"/>
              <w:left w:val="nil"/>
              <w:bottom w:val="single" w:color="auto" w:sz="4" w:space="0"/>
              <w:right w:val="single" w:color="auto" w:sz="4" w:space="0"/>
            </w:tcBorders>
            <w:vAlign w:val="center"/>
          </w:tcPr>
          <w:p w14:paraId="1CAC2355">
            <w:pPr>
              <w:keepNext w:val="0"/>
              <w:keepLines w:val="0"/>
              <w:widowControl/>
              <w:suppressLineNumbers w:val="0"/>
              <w:spacing w:before="0" w:beforeAutospacing="0" w:after="0" w:afterAutospacing="0" w:line="240" w:lineRule="auto"/>
              <w:ind w:left="0" w:right="0" w:firstLine="0" w:firstLineChars="0"/>
              <w:rPr>
                <w:rFonts w:hint="eastAsia" w:cs="宋体"/>
                <w:color w:val="000000"/>
                <w:kern w:val="0"/>
              </w:rPr>
            </w:pPr>
            <w:r>
              <w:rPr>
                <w:rFonts w:hint="eastAsia" w:cs="宋体"/>
                <w:color w:val="000000"/>
                <w:kern w:val="0"/>
              </w:rPr>
              <w:t>警务政务无人机飞行和民用无人机安全管控平台-民用无人机飞行飞行管控全景驾驶舱和专题分析</w:t>
            </w:r>
          </w:p>
        </w:tc>
        <w:tc>
          <w:tcPr>
            <w:tcW w:w="1701" w:type="dxa"/>
            <w:tcBorders>
              <w:top w:val="nil"/>
              <w:left w:val="nil"/>
              <w:bottom w:val="single" w:color="auto" w:sz="4" w:space="0"/>
              <w:right w:val="single" w:color="auto" w:sz="4" w:space="0"/>
            </w:tcBorders>
            <w:vAlign w:val="center"/>
          </w:tcPr>
          <w:p w14:paraId="3073CA9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2,350,000</w:t>
            </w:r>
          </w:p>
        </w:tc>
        <w:tc>
          <w:tcPr>
            <w:tcW w:w="1276" w:type="dxa"/>
            <w:tcBorders>
              <w:top w:val="nil"/>
              <w:left w:val="nil"/>
              <w:bottom w:val="single" w:color="auto" w:sz="4" w:space="0"/>
              <w:right w:val="single" w:color="auto" w:sz="4" w:space="0"/>
            </w:tcBorders>
            <w:noWrap/>
            <w:vAlign w:val="center"/>
          </w:tcPr>
          <w:p w14:paraId="7F35C8FE">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8人（驻场1人）</w:t>
            </w:r>
          </w:p>
        </w:tc>
        <w:tc>
          <w:tcPr>
            <w:tcW w:w="1190" w:type="dxa"/>
            <w:tcBorders>
              <w:top w:val="nil"/>
              <w:left w:val="nil"/>
              <w:bottom w:val="single" w:color="auto" w:sz="4" w:space="0"/>
              <w:right w:val="single" w:color="auto" w:sz="4" w:space="0"/>
            </w:tcBorders>
            <w:vAlign w:val="center"/>
          </w:tcPr>
          <w:p w14:paraId="68DBA47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1人（驻场）</w:t>
            </w:r>
          </w:p>
        </w:tc>
      </w:tr>
      <w:tr w14:paraId="17BB42B8">
        <w:trPr>
          <w:trHeight w:val="285" w:hRule="atLeast"/>
        </w:trPr>
        <w:tc>
          <w:tcPr>
            <w:tcW w:w="687" w:type="dxa"/>
            <w:tcBorders>
              <w:top w:val="nil"/>
              <w:left w:val="single" w:color="auto" w:sz="4" w:space="0"/>
              <w:bottom w:val="single" w:color="auto" w:sz="4" w:space="0"/>
              <w:right w:val="single" w:color="auto" w:sz="4" w:space="0"/>
            </w:tcBorders>
            <w:noWrap/>
            <w:vAlign w:val="center"/>
          </w:tcPr>
          <w:p w14:paraId="6FD6B97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5</w:t>
            </w:r>
          </w:p>
        </w:tc>
        <w:tc>
          <w:tcPr>
            <w:tcW w:w="3561" w:type="dxa"/>
            <w:tcBorders>
              <w:top w:val="nil"/>
              <w:left w:val="nil"/>
              <w:bottom w:val="single" w:color="auto" w:sz="4" w:space="0"/>
              <w:right w:val="single" w:color="auto" w:sz="4" w:space="0"/>
            </w:tcBorders>
            <w:vAlign w:val="center"/>
          </w:tcPr>
          <w:p w14:paraId="39FC71B5">
            <w:pPr>
              <w:keepNext w:val="0"/>
              <w:keepLines w:val="0"/>
              <w:widowControl/>
              <w:suppressLineNumbers w:val="0"/>
              <w:spacing w:before="0" w:beforeAutospacing="0" w:after="0" w:afterAutospacing="0" w:line="240" w:lineRule="auto"/>
              <w:ind w:left="0" w:right="0" w:firstLine="0" w:firstLineChars="0"/>
              <w:rPr>
                <w:rFonts w:hint="eastAsia" w:cs="宋体"/>
                <w:color w:val="000000"/>
                <w:kern w:val="0"/>
              </w:rPr>
            </w:pPr>
            <w:r>
              <w:rPr>
                <w:rFonts w:hint="eastAsia" w:cs="宋体"/>
                <w:color w:val="000000"/>
                <w:kern w:val="0"/>
              </w:rPr>
              <w:t>上海市低空飞行综合监管服务平台-应急联动</w:t>
            </w:r>
          </w:p>
        </w:tc>
        <w:tc>
          <w:tcPr>
            <w:tcW w:w="1701" w:type="dxa"/>
            <w:tcBorders>
              <w:top w:val="nil"/>
              <w:left w:val="nil"/>
              <w:bottom w:val="single" w:color="auto" w:sz="4" w:space="0"/>
              <w:right w:val="single" w:color="auto" w:sz="4" w:space="0"/>
            </w:tcBorders>
            <w:vAlign w:val="center"/>
          </w:tcPr>
          <w:p w14:paraId="03E1499A">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500,000</w:t>
            </w:r>
          </w:p>
        </w:tc>
        <w:tc>
          <w:tcPr>
            <w:tcW w:w="1276" w:type="dxa"/>
            <w:tcBorders>
              <w:top w:val="nil"/>
              <w:left w:val="nil"/>
              <w:bottom w:val="single" w:color="auto" w:sz="4" w:space="0"/>
              <w:right w:val="single" w:color="auto" w:sz="4" w:space="0"/>
            </w:tcBorders>
            <w:noWrap/>
            <w:vAlign w:val="center"/>
          </w:tcPr>
          <w:p w14:paraId="0A9AF84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2人（驻场1人）</w:t>
            </w:r>
          </w:p>
        </w:tc>
        <w:tc>
          <w:tcPr>
            <w:tcW w:w="1190" w:type="dxa"/>
            <w:tcBorders>
              <w:top w:val="nil"/>
              <w:left w:val="nil"/>
              <w:bottom w:val="single" w:color="auto" w:sz="4" w:space="0"/>
              <w:right w:val="single" w:color="auto" w:sz="4" w:space="0"/>
            </w:tcBorders>
            <w:vAlign w:val="center"/>
          </w:tcPr>
          <w:p w14:paraId="680B1532">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1人</w:t>
            </w:r>
          </w:p>
        </w:tc>
      </w:tr>
      <w:tr w14:paraId="69E7D6E1">
        <w:tblPrEx>
          <w:tblCellMar>
            <w:top w:w="0" w:type="dxa"/>
            <w:left w:w="108" w:type="dxa"/>
            <w:bottom w:w="0" w:type="dxa"/>
            <w:right w:w="108" w:type="dxa"/>
          </w:tblCellMar>
        </w:tblPrEx>
        <w:trPr>
          <w:trHeight w:val="570" w:hRule="atLeast"/>
        </w:trPr>
        <w:tc>
          <w:tcPr>
            <w:tcW w:w="687" w:type="dxa"/>
            <w:tcBorders>
              <w:top w:val="nil"/>
              <w:left w:val="single" w:color="auto" w:sz="4" w:space="0"/>
              <w:bottom w:val="single" w:color="auto" w:sz="4" w:space="0"/>
              <w:right w:val="single" w:color="auto" w:sz="4" w:space="0"/>
            </w:tcBorders>
            <w:noWrap/>
            <w:vAlign w:val="center"/>
          </w:tcPr>
          <w:p w14:paraId="716F415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6</w:t>
            </w:r>
          </w:p>
        </w:tc>
        <w:tc>
          <w:tcPr>
            <w:tcW w:w="3561" w:type="dxa"/>
            <w:tcBorders>
              <w:top w:val="nil"/>
              <w:left w:val="nil"/>
              <w:bottom w:val="single" w:color="auto" w:sz="4" w:space="0"/>
              <w:right w:val="single" w:color="auto" w:sz="4" w:space="0"/>
            </w:tcBorders>
            <w:vAlign w:val="center"/>
          </w:tcPr>
          <w:p w14:paraId="6592C35F">
            <w:pPr>
              <w:keepNext w:val="0"/>
              <w:keepLines w:val="0"/>
              <w:widowControl/>
              <w:suppressLineNumbers w:val="0"/>
              <w:spacing w:before="0" w:beforeAutospacing="0" w:after="0" w:afterAutospacing="0" w:line="240" w:lineRule="auto"/>
              <w:ind w:left="0" w:right="0" w:firstLine="0" w:firstLineChars="0"/>
              <w:rPr>
                <w:rFonts w:hint="eastAsia" w:cs="宋体"/>
                <w:color w:val="000000"/>
                <w:kern w:val="0"/>
              </w:rPr>
            </w:pPr>
            <w:r>
              <w:rPr>
                <w:rFonts w:hint="eastAsia" w:cs="宋体"/>
                <w:color w:val="000000"/>
                <w:kern w:val="0"/>
              </w:rPr>
              <w:t>上海市低空飞行综合监管服务平台-长三角飞行协同监管和服务专题</w:t>
            </w:r>
          </w:p>
        </w:tc>
        <w:tc>
          <w:tcPr>
            <w:tcW w:w="1701" w:type="dxa"/>
            <w:tcBorders>
              <w:top w:val="nil"/>
              <w:left w:val="nil"/>
              <w:bottom w:val="single" w:color="auto" w:sz="4" w:space="0"/>
              <w:right w:val="single" w:color="auto" w:sz="4" w:space="0"/>
            </w:tcBorders>
            <w:vAlign w:val="center"/>
          </w:tcPr>
          <w:p w14:paraId="3092553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825,000</w:t>
            </w:r>
          </w:p>
        </w:tc>
        <w:tc>
          <w:tcPr>
            <w:tcW w:w="1276" w:type="dxa"/>
            <w:tcBorders>
              <w:top w:val="nil"/>
              <w:left w:val="nil"/>
              <w:bottom w:val="single" w:color="auto" w:sz="4" w:space="0"/>
              <w:right w:val="single" w:color="auto" w:sz="4" w:space="0"/>
            </w:tcBorders>
            <w:noWrap/>
            <w:vAlign w:val="center"/>
          </w:tcPr>
          <w:p w14:paraId="2855C28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3人（驻场1人）</w:t>
            </w:r>
          </w:p>
        </w:tc>
        <w:tc>
          <w:tcPr>
            <w:tcW w:w="1190" w:type="dxa"/>
            <w:tcBorders>
              <w:top w:val="nil"/>
              <w:left w:val="nil"/>
              <w:bottom w:val="single" w:color="auto" w:sz="4" w:space="0"/>
              <w:right w:val="single" w:color="auto" w:sz="4" w:space="0"/>
            </w:tcBorders>
            <w:vAlign w:val="center"/>
          </w:tcPr>
          <w:p w14:paraId="06C2398D">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1人</w:t>
            </w:r>
          </w:p>
        </w:tc>
      </w:tr>
      <w:tr w14:paraId="68C5FE30">
        <w:trPr>
          <w:trHeight w:val="285" w:hRule="atLeast"/>
        </w:trPr>
        <w:tc>
          <w:tcPr>
            <w:tcW w:w="687" w:type="dxa"/>
            <w:tcBorders>
              <w:top w:val="nil"/>
              <w:left w:val="single" w:color="auto" w:sz="4" w:space="0"/>
              <w:bottom w:val="single" w:color="auto" w:sz="4" w:space="0"/>
              <w:right w:val="single" w:color="auto" w:sz="4" w:space="0"/>
            </w:tcBorders>
            <w:noWrap/>
            <w:vAlign w:val="center"/>
          </w:tcPr>
          <w:p w14:paraId="7C0BF7E2">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7</w:t>
            </w:r>
          </w:p>
        </w:tc>
        <w:tc>
          <w:tcPr>
            <w:tcW w:w="3561" w:type="dxa"/>
            <w:tcBorders>
              <w:top w:val="nil"/>
              <w:left w:val="nil"/>
              <w:bottom w:val="single" w:color="auto" w:sz="4" w:space="0"/>
              <w:right w:val="single" w:color="auto" w:sz="4" w:space="0"/>
            </w:tcBorders>
            <w:vAlign w:val="center"/>
          </w:tcPr>
          <w:p w14:paraId="0579195B">
            <w:pPr>
              <w:keepNext w:val="0"/>
              <w:keepLines w:val="0"/>
              <w:widowControl/>
              <w:suppressLineNumbers w:val="0"/>
              <w:spacing w:before="0" w:beforeAutospacing="0" w:after="0" w:afterAutospacing="0" w:line="240" w:lineRule="auto"/>
              <w:ind w:left="0" w:right="0" w:firstLine="0" w:firstLineChars="0"/>
              <w:rPr>
                <w:rFonts w:hint="eastAsia" w:cs="宋体"/>
                <w:color w:val="000000"/>
                <w:kern w:val="0"/>
              </w:rPr>
            </w:pPr>
            <w:r>
              <w:rPr>
                <w:rFonts w:hint="eastAsia" w:cs="宋体"/>
                <w:color w:val="000000"/>
                <w:kern w:val="0"/>
              </w:rPr>
              <w:t>上海市低空飞行综合监管服务平台-示范应用专题</w:t>
            </w:r>
          </w:p>
        </w:tc>
        <w:tc>
          <w:tcPr>
            <w:tcW w:w="1701" w:type="dxa"/>
            <w:tcBorders>
              <w:top w:val="nil"/>
              <w:left w:val="nil"/>
              <w:bottom w:val="single" w:color="auto" w:sz="4" w:space="0"/>
              <w:right w:val="single" w:color="auto" w:sz="4" w:space="0"/>
            </w:tcBorders>
            <w:vAlign w:val="center"/>
          </w:tcPr>
          <w:p w14:paraId="3A28006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450,000</w:t>
            </w:r>
          </w:p>
        </w:tc>
        <w:tc>
          <w:tcPr>
            <w:tcW w:w="1276" w:type="dxa"/>
            <w:tcBorders>
              <w:top w:val="nil"/>
              <w:left w:val="nil"/>
              <w:bottom w:val="single" w:color="auto" w:sz="4" w:space="0"/>
              <w:right w:val="single" w:color="auto" w:sz="4" w:space="0"/>
            </w:tcBorders>
            <w:noWrap/>
            <w:vAlign w:val="center"/>
          </w:tcPr>
          <w:p w14:paraId="61B6D5D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2人（驻场1人）</w:t>
            </w:r>
          </w:p>
        </w:tc>
        <w:tc>
          <w:tcPr>
            <w:tcW w:w="1190" w:type="dxa"/>
            <w:tcBorders>
              <w:top w:val="nil"/>
              <w:left w:val="nil"/>
              <w:bottom w:val="single" w:color="auto" w:sz="4" w:space="0"/>
              <w:right w:val="single" w:color="auto" w:sz="4" w:space="0"/>
            </w:tcBorders>
            <w:vAlign w:val="center"/>
          </w:tcPr>
          <w:p w14:paraId="60CC040E">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1人</w:t>
            </w:r>
          </w:p>
        </w:tc>
      </w:tr>
      <w:tr w14:paraId="5D8BDC0B">
        <w:tblPrEx>
          <w:tblCellMar>
            <w:top w:w="0" w:type="dxa"/>
            <w:left w:w="108" w:type="dxa"/>
            <w:bottom w:w="0" w:type="dxa"/>
            <w:right w:w="108" w:type="dxa"/>
          </w:tblCellMar>
        </w:tblPrEx>
        <w:trPr>
          <w:trHeight w:val="285" w:hRule="atLeast"/>
        </w:trPr>
        <w:tc>
          <w:tcPr>
            <w:tcW w:w="687" w:type="dxa"/>
            <w:tcBorders>
              <w:top w:val="nil"/>
              <w:left w:val="single" w:color="auto" w:sz="4" w:space="0"/>
              <w:bottom w:val="single" w:color="auto" w:sz="4" w:space="0"/>
              <w:right w:val="single" w:color="auto" w:sz="4" w:space="0"/>
            </w:tcBorders>
            <w:noWrap/>
            <w:vAlign w:val="center"/>
          </w:tcPr>
          <w:p w14:paraId="068CC75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8</w:t>
            </w:r>
          </w:p>
        </w:tc>
        <w:tc>
          <w:tcPr>
            <w:tcW w:w="3561" w:type="dxa"/>
            <w:tcBorders>
              <w:top w:val="nil"/>
              <w:left w:val="nil"/>
              <w:bottom w:val="single" w:color="auto" w:sz="4" w:space="0"/>
              <w:right w:val="single" w:color="auto" w:sz="4" w:space="0"/>
            </w:tcBorders>
            <w:vAlign w:val="center"/>
          </w:tcPr>
          <w:p w14:paraId="239ADF60">
            <w:pPr>
              <w:keepNext w:val="0"/>
              <w:keepLines w:val="0"/>
              <w:widowControl/>
              <w:suppressLineNumbers w:val="0"/>
              <w:spacing w:before="0" w:beforeAutospacing="0" w:after="0" w:afterAutospacing="0" w:line="240" w:lineRule="auto"/>
              <w:ind w:left="0" w:right="0" w:firstLine="0" w:firstLineChars="0"/>
              <w:rPr>
                <w:rFonts w:hint="eastAsia" w:cs="宋体"/>
                <w:color w:val="000000"/>
                <w:kern w:val="0"/>
              </w:rPr>
            </w:pPr>
            <w:r>
              <w:rPr>
                <w:rFonts w:hint="eastAsia" w:cs="宋体"/>
                <w:color w:val="000000"/>
                <w:kern w:val="0"/>
              </w:rPr>
              <w:t>数据底座-AI支撑</w:t>
            </w:r>
          </w:p>
        </w:tc>
        <w:tc>
          <w:tcPr>
            <w:tcW w:w="1701" w:type="dxa"/>
            <w:tcBorders>
              <w:top w:val="nil"/>
              <w:left w:val="nil"/>
              <w:bottom w:val="single" w:color="auto" w:sz="4" w:space="0"/>
              <w:right w:val="single" w:color="auto" w:sz="4" w:space="0"/>
            </w:tcBorders>
            <w:vAlign w:val="center"/>
          </w:tcPr>
          <w:p w14:paraId="6088145A">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1,950,000</w:t>
            </w:r>
          </w:p>
        </w:tc>
        <w:tc>
          <w:tcPr>
            <w:tcW w:w="1276" w:type="dxa"/>
            <w:tcBorders>
              <w:top w:val="nil"/>
              <w:left w:val="nil"/>
              <w:bottom w:val="single" w:color="auto" w:sz="4" w:space="0"/>
              <w:right w:val="single" w:color="auto" w:sz="4" w:space="0"/>
            </w:tcBorders>
            <w:noWrap/>
            <w:vAlign w:val="center"/>
          </w:tcPr>
          <w:p w14:paraId="09EB961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7人（驻场1人）</w:t>
            </w:r>
          </w:p>
        </w:tc>
        <w:tc>
          <w:tcPr>
            <w:tcW w:w="1190" w:type="dxa"/>
            <w:tcBorders>
              <w:top w:val="nil"/>
              <w:left w:val="nil"/>
              <w:bottom w:val="single" w:color="auto" w:sz="4" w:space="0"/>
              <w:right w:val="single" w:color="auto" w:sz="4" w:space="0"/>
            </w:tcBorders>
            <w:vAlign w:val="center"/>
          </w:tcPr>
          <w:p w14:paraId="4E4DEE6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1人</w:t>
            </w:r>
          </w:p>
        </w:tc>
      </w:tr>
      <w:tr w14:paraId="4009491B">
        <w:trPr>
          <w:trHeight w:val="285" w:hRule="atLeast"/>
        </w:trPr>
        <w:tc>
          <w:tcPr>
            <w:tcW w:w="687" w:type="dxa"/>
            <w:tcBorders>
              <w:top w:val="nil"/>
              <w:left w:val="single" w:color="auto" w:sz="4" w:space="0"/>
              <w:bottom w:val="single" w:color="auto" w:sz="4" w:space="0"/>
              <w:right w:val="single" w:color="auto" w:sz="4" w:space="0"/>
            </w:tcBorders>
            <w:noWrap/>
            <w:vAlign w:val="center"/>
          </w:tcPr>
          <w:p w14:paraId="4FAB29ED">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9</w:t>
            </w:r>
          </w:p>
        </w:tc>
        <w:tc>
          <w:tcPr>
            <w:tcW w:w="3561" w:type="dxa"/>
            <w:tcBorders>
              <w:top w:val="nil"/>
              <w:left w:val="nil"/>
              <w:bottom w:val="single" w:color="auto" w:sz="4" w:space="0"/>
              <w:right w:val="single" w:color="auto" w:sz="4" w:space="0"/>
            </w:tcBorders>
            <w:vAlign w:val="center"/>
          </w:tcPr>
          <w:p w14:paraId="176762AE">
            <w:pPr>
              <w:keepNext w:val="0"/>
              <w:keepLines w:val="0"/>
              <w:widowControl/>
              <w:suppressLineNumbers w:val="0"/>
              <w:spacing w:before="0" w:beforeAutospacing="0" w:after="0" w:afterAutospacing="0" w:line="240" w:lineRule="auto"/>
              <w:ind w:left="0" w:right="0" w:firstLine="0" w:firstLineChars="0"/>
              <w:rPr>
                <w:rFonts w:hint="eastAsia" w:cs="宋体"/>
                <w:color w:val="000000"/>
                <w:kern w:val="0"/>
              </w:rPr>
            </w:pPr>
            <w:r>
              <w:rPr>
                <w:rFonts w:hint="eastAsia" w:cs="宋体"/>
                <w:color w:val="000000"/>
                <w:kern w:val="0"/>
              </w:rPr>
              <w:t>数据底座-信息融合支撑</w:t>
            </w:r>
          </w:p>
        </w:tc>
        <w:tc>
          <w:tcPr>
            <w:tcW w:w="1701" w:type="dxa"/>
            <w:tcBorders>
              <w:top w:val="nil"/>
              <w:left w:val="nil"/>
              <w:bottom w:val="single" w:color="auto" w:sz="4" w:space="0"/>
              <w:right w:val="single" w:color="auto" w:sz="4" w:space="0"/>
            </w:tcBorders>
            <w:vAlign w:val="center"/>
          </w:tcPr>
          <w:p w14:paraId="7EF26BD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2,025,000</w:t>
            </w:r>
          </w:p>
        </w:tc>
        <w:tc>
          <w:tcPr>
            <w:tcW w:w="1276" w:type="dxa"/>
            <w:tcBorders>
              <w:top w:val="nil"/>
              <w:left w:val="nil"/>
              <w:bottom w:val="single" w:color="auto" w:sz="4" w:space="0"/>
              <w:right w:val="single" w:color="auto" w:sz="4" w:space="0"/>
            </w:tcBorders>
            <w:noWrap/>
            <w:vAlign w:val="center"/>
          </w:tcPr>
          <w:p w14:paraId="15A4E20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7人（驻场1人）</w:t>
            </w:r>
          </w:p>
        </w:tc>
        <w:tc>
          <w:tcPr>
            <w:tcW w:w="1190" w:type="dxa"/>
            <w:tcBorders>
              <w:top w:val="nil"/>
              <w:left w:val="nil"/>
              <w:bottom w:val="single" w:color="auto" w:sz="4" w:space="0"/>
              <w:right w:val="single" w:color="auto" w:sz="4" w:space="0"/>
            </w:tcBorders>
            <w:vAlign w:val="center"/>
          </w:tcPr>
          <w:p w14:paraId="45257F2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1人</w:t>
            </w:r>
          </w:p>
        </w:tc>
      </w:tr>
      <w:tr w14:paraId="5B6F42E0">
        <w:tblPrEx>
          <w:tblCellMar>
            <w:top w:w="0" w:type="dxa"/>
            <w:left w:w="108" w:type="dxa"/>
            <w:bottom w:w="0" w:type="dxa"/>
            <w:right w:w="108" w:type="dxa"/>
          </w:tblCellMar>
        </w:tblPrEx>
        <w:trPr>
          <w:trHeight w:val="285" w:hRule="atLeast"/>
        </w:trPr>
        <w:tc>
          <w:tcPr>
            <w:tcW w:w="687" w:type="dxa"/>
            <w:tcBorders>
              <w:top w:val="nil"/>
              <w:left w:val="single" w:color="auto" w:sz="4" w:space="0"/>
              <w:bottom w:val="single" w:color="auto" w:sz="4" w:space="0"/>
              <w:right w:val="single" w:color="auto" w:sz="4" w:space="0"/>
            </w:tcBorders>
            <w:noWrap/>
            <w:vAlign w:val="center"/>
          </w:tcPr>
          <w:p w14:paraId="5033FFD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10</w:t>
            </w:r>
          </w:p>
        </w:tc>
        <w:tc>
          <w:tcPr>
            <w:tcW w:w="3561" w:type="dxa"/>
            <w:tcBorders>
              <w:top w:val="nil"/>
              <w:left w:val="nil"/>
              <w:bottom w:val="single" w:color="auto" w:sz="4" w:space="0"/>
              <w:right w:val="single" w:color="auto" w:sz="4" w:space="0"/>
            </w:tcBorders>
            <w:noWrap/>
            <w:vAlign w:val="center"/>
          </w:tcPr>
          <w:p w14:paraId="2C92E44A">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数据底座-低空网格数据治理</w:t>
            </w:r>
          </w:p>
        </w:tc>
        <w:tc>
          <w:tcPr>
            <w:tcW w:w="1701" w:type="dxa"/>
            <w:tcBorders>
              <w:top w:val="nil"/>
              <w:left w:val="nil"/>
              <w:bottom w:val="single" w:color="auto" w:sz="4" w:space="0"/>
              <w:right w:val="single" w:color="auto" w:sz="4" w:space="0"/>
            </w:tcBorders>
            <w:noWrap/>
            <w:vAlign w:val="center"/>
          </w:tcPr>
          <w:p w14:paraId="5F2B87A8">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1,000,000</w:t>
            </w:r>
          </w:p>
        </w:tc>
        <w:tc>
          <w:tcPr>
            <w:tcW w:w="1276" w:type="dxa"/>
            <w:tcBorders>
              <w:top w:val="nil"/>
              <w:left w:val="nil"/>
              <w:bottom w:val="single" w:color="auto" w:sz="4" w:space="0"/>
              <w:right w:val="single" w:color="auto" w:sz="4" w:space="0"/>
            </w:tcBorders>
            <w:noWrap/>
            <w:vAlign w:val="center"/>
          </w:tcPr>
          <w:p w14:paraId="34F33FF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4人（驻场1人）</w:t>
            </w:r>
          </w:p>
        </w:tc>
        <w:tc>
          <w:tcPr>
            <w:tcW w:w="1190" w:type="dxa"/>
            <w:tcBorders>
              <w:top w:val="nil"/>
              <w:left w:val="nil"/>
              <w:bottom w:val="single" w:color="auto" w:sz="4" w:space="0"/>
              <w:right w:val="single" w:color="auto" w:sz="4" w:space="0"/>
            </w:tcBorders>
            <w:vAlign w:val="center"/>
          </w:tcPr>
          <w:p w14:paraId="79FD888C">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1人</w:t>
            </w:r>
          </w:p>
        </w:tc>
      </w:tr>
      <w:tr w14:paraId="1EBD77BF">
        <w:trPr>
          <w:trHeight w:val="285" w:hRule="atLeast"/>
        </w:trPr>
        <w:tc>
          <w:tcPr>
            <w:tcW w:w="687" w:type="dxa"/>
            <w:tcBorders>
              <w:top w:val="nil"/>
              <w:left w:val="single" w:color="auto" w:sz="4" w:space="0"/>
              <w:bottom w:val="single" w:color="auto" w:sz="4" w:space="0"/>
              <w:right w:val="single" w:color="auto" w:sz="4" w:space="0"/>
            </w:tcBorders>
            <w:noWrap/>
            <w:vAlign w:val="center"/>
          </w:tcPr>
          <w:p w14:paraId="72F5424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11</w:t>
            </w:r>
          </w:p>
        </w:tc>
        <w:tc>
          <w:tcPr>
            <w:tcW w:w="3561" w:type="dxa"/>
            <w:tcBorders>
              <w:top w:val="nil"/>
              <w:left w:val="nil"/>
              <w:bottom w:val="single" w:color="auto" w:sz="4" w:space="0"/>
              <w:right w:val="single" w:color="auto" w:sz="4" w:space="0"/>
            </w:tcBorders>
            <w:vAlign w:val="center"/>
          </w:tcPr>
          <w:p w14:paraId="6D086F79">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数据底座-低空网格编码体系</w:t>
            </w:r>
          </w:p>
        </w:tc>
        <w:tc>
          <w:tcPr>
            <w:tcW w:w="1701" w:type="dxa"/>
            <w:tcBorders>
              <w:top w:val="nil"/>
              <w:left w:val="nil"/>
              <w:bottom w:val="single" w:color="auto" w:sz="4" w:space="0"/>
              <w:right w:val="single" w:color="auto" w:sz="4" w:space="0"/>
            </w:tcBorders>
            <w:vAlign w:val="center"/>
          </w:tcPr>
          <w:p w14:paraId="35459B0D">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500,000</w:t>
            </w:r>
          </w:p>
        </w:tc>
        <w:tc>
          <w:tcPr>
            <w:tcW w:w="1276" w:type="dxa"/>
            <w:tcBorders>
              <w:top w:val="nil"/>
              <w:left w:val="nil"/>
              <w:bottom w:val="single" w:color="auto" w:sz="4" w:space="0"/>
              <w:right w:val="single" w:color="auto" w:sz="4" w:space="0"/>
            </w:tcBorders>
            <w:noWrap/>
            <w:vAlign w:val="center"/>
          </w:tcPr>
          <w:p w14:paraId="0FFE8AA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2人（驻场1人）</w:t>
            </w:r>
          </w:p>
        </w:tc>
        <w:tc>
          <w:tcPr>
            <w:tcW w:w="1190" w:type="dxa"/>
            <w:tcBorders>
              <w:top w:val="nil"/>
              <w:left w:val="nil"/>
              <w:bottom w:val="single" w:color="auto" w:sz="4" w:space="0"/>
              <w:right w:val="single" w:color="auto" w:sz="4" w:space="0"/>
            </w:tcBorders>
            <w:vAlign w:val="center"/>
          </w:tcPr>
          <w:p w14:paraId="2C38A53B">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1人</w:t>
            </w:r>
          </w:p>
        </w:tc>
      </w:tr>
      <w:tr w14:paraId="388CFFCA">
        <w:tblPrEx>
          <w:tblCellMar>
            <w:top w:w="0" w:type="dxa"/>
            <w:left w:w="108" w:type="dxa"/>
            <w:bottom w:w="0" w:type="dxa"/>
            <w:right w:w="108" w:type="dxa"/>
          </w:tblCellMar>
        </w:tblPrEx>
        <w:trPr>
          <w:trHeight w:val="285" w:hRule="atLeast"/>
        </w:trPr>
        <w:tc>
          <w:tcPr>
            <w:tcW w:w="687" w:type="dxa"/>
            <w:tcBorders>
              <w:top w:val="nil"/>
              <w:left w:val="single" w:color="auto" w:sz="4" w:space="0"/>
              <w:bottom w:val="single" w:color="auto" w:sz="4" w:space="0"/>
              <w:right w:val="single" w:color="auto" w:sz="4" w:space="0"/>
            </w:tcBorders>
            <w:noWrap/>
            <w:vAlign w:val="center"/>
          </w:tcPr>
          <w:p w14:paraId="56B45EE9">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12</w:t>
            </w:r>
          </w:p>
        </w:tc>
        <w:tc>
          <w:tcPr>
            <w:tcW w:w="3561" w:type="dxa"/>
            <w:tcBorders>
              <w:top w:val="nil"/>
              <w:left w:val="nil"/>
              <w:bottom w:val="single" w:color="auto" w:sz="4" w:space="0"/>
              <w:right w:val="single" w:color="auto" w:sz="4" w:space="0"/>
            </w:tcBorders>
            <w:vAlign w:val="center"/>
          </w:tcPr>
          <w:p w14:paraId="2CDC6DD2">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数据底座-时空二维数据底座</w:t>
            </w:r>
          </w:p>
        </w:tc>
        <w:tc>
          <w:tcPr>
            <w:tcW w:w="1701" w:type="dxa"/>
            <w:tcBorders>
              <w:top w:val="nil"/>
              <w:left w:val="nil"/>
              <w:bottom w:val="single" w:color="auto" w:sz="4" w:space="0"/>
              <w:right w:val="single" w:color="auto" w:sz="4" w:space="0"/>
            </w:tcBorders>
            <w:vAlign w:val="center"/>
          </w:tcPr>
          <w:p w14:paraId="542D3DD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1,525,000</w:t>
            </w:r>
          </w:p>
        </w:tc>
        <w:tc>
          <w:tcPr>
            <w:tcW w:w="1276" w:type="dxa"/>
            <w:tcBorders>
              <w:top w:val="nil"/>
              <w:left w:val="nil"/>
              <w:bottom w:val="single" w:color="auto" w:sz="4" w:space="0"/>
              <w:right w:val="single" w:color="auto" w:sz="4" w:space="0"/>
            </w:tcBorders>
            <w:noWrap/>
            <w:vAlign w:val="center"/>
          </w:tcPr>
          <w:p w14:paraId="57FB956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5人（驻场1人）</w:t>
            </w:r>
          </w:p>
        </w:tc>
        <w:tc>
          <w:tcPr>
            <w:tcW w:w="1190" w:type="dxa"/>
            <w:tcBorders>
              <w:top w:val="nil"/>
              <w:left w:val="nil"/>
              <w:bottom w:val="single" w:color="auto" w:sz="4" w:space="0"/>
              <w:right w:val="single" w:color="auto" w:sz="4" w:space="0"/>
            </w:tcBorders>
            <w:vAlign w:val="center"/>
          </w:tcPr>
          <w:p w14:paraId="123B5B71">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1人（驻场）</w:t>
            </w:r>
          </w:p>
        </w:tc>
      </w:tr>
      <w:tr w14:paraId="320191F5">
        <w:trPr>
          <w:trHeight w:val="285" w:hRule="atLeast"/>
        </w:trPr>
        <w:tc>
          <w:tcPr>
            <w:tcW w:w="687" w:type="dxa"/>
            <w:tcBorders>
              <w:top w:val="nil"/>
              <w:left w:val="single" w:color="auto" w:sz="4" w:space="0"/>
              <w:bottom w:val="single" w:color="auto" w:sz="4" w:space="0"/>
              <w:right w:val="single" w:color="auto" w:sz="4" w:space="0"/>
            </w:tcBorders>
            <w:noWrap/>
            <w:vAlign w:val="center"/>
          </w:tcPr>
          <w:p w14:paraId="307E44C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13</w:t>
            </w:r>
          </w:p>
        </w:tc>
        <w:tc>
          <w:tcPr>
            <w:tcW w:w="3561" w:type="dxa"/>
            <w:tcBorders>
              <w:top w:val="nil"/>
              <w:left w:val="nil"/>
              <w:bottom w:val="single" w:color="auto" w:sz="4" w:space="0"/>
              <w:right w:val="single" w:color="auto" w:sz="4" w:space="0"/>
            </w:tcBorders>
            <w:vAlign w:val="center"/>
          </w:tcPr>
          <w:p w14:paraId="6EBCCC43">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数据底座-时空三维数据底座</w:t>
            </w:r>
          </w:p>
        </w:tc>
        <w:tc>
          <w:tcPr>
            <w:tcW w:w="1701" w:type="dxa"/>
            <w:tcBorders>
              <w:top w:val="nil"/>
              <w:left w:val="nil"/>
              <w:bottom w:val="single" w:color="auto" w:sz="4" w:space="0"/>
              <w:right w:val="single" w:color="auto" w:sz="4" w:space="0"/>
            </w:tcBorders>
            <w:vAlign w:val="center"/>
          </w:tcPr>
          <w:p w14:paraId="6B3E0D2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1,950,000</w:t>
            </w:r>
          </w:p>
        </w:tc>
        <w:tc>
          <w:tcPr>
            <w:tcW w:w="1276" w:type="dxa"/>
            <w:tcBorders>
              <w:top w:val="nil"/>
              <w:left w:val="nil"/>
              <w:bottom w:val="single" w:color="auto" w:sz="4" w:space="0"/>
              <w:right w:val="single" w:color="auto" w:sz="4" w:space="0"/>
            </w:tcBorders>
            <w:noWrap/>
            <w:vAlign w:val="center"/>
          </w:tcPr>
          <w:p w14:paraId="4530941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7人（驻场1人）</w:t>
            </w:r>
          </w:p>
        </w:tc>
        <w:tc>
          <w:tcPr>
            <w:tcW w:w="1190" w:type="dxa"/>
            <w:tcBorders>
              <w:top w:val="nil"/>
              <w:left w:val="nil"/>
              <w:bottom w:val="single" w:color="auto" w:sz="4" w:space="0"/>
              <w:right w:val="single" w:color="auto" w:sz="4" w:space="0"/>
            </w:tcBorders>
            <w:vAlign w:val="center"/>
          </w:tcPr>
          <w:p w14:paraId="04FEC113">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1人（驻场）</w:t>
            </w:r>
          </w:p>
        </w:tc>
      </w:tr>
      <w:tr w14:paraId="5A6B7103">
        <w:tblPrEx>
          <w:tblCellMar>
            <w:top w:w="0" w:type="dxa"/>
            <w:left w:w="108" w:type="dxa"/>
            <w:bottom w:w="0" w:type="dxa"/>
            <w:right w:w="108" w:type="dxa"/>
          </w:tblCellMar>
        </w:tblPrEx>
        <w:trPr>
          <w:trHeight w:val="285" w:hRule="atLeast"/>
        </w:trPr>
        <w:tc>
          <w:tcPr>
            <w:tcW w:w="687" w:type="dxa"/>
            <w:tcBorders>
              <w:top w:val="nil"/>
              <w:left w:val="single" w:color="auto" w:sz="4" w:space="0"/>
              <w:bottom w:val="single" w:color="auto" w:sz="4" w:space="0"/>
              <w:right w:val="single" w:color="auto" w:sz="4" w:space="0"/>
            </w:tcBorders>
            <w:noWrap/>
            <w:vAlign w:val="center"/>
          </w:tcPr>
          <w:p w14:paraId="28D4E975">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14</w:t>
            </w:r>
          </w:p>
        </w:tc>
        <w:tc>
          <w:tcPr>
            <w:tcW w:w="3561" w:type="dxa"/>
            <w:tcBorders>
              <w:top w:val="nil"/>
              <w:left w:val="nil"/>
              <w:bottom w:val="single" w:color="auto" w:sz="4" w:space="0"/>
              <w:right w:val="single" w:color="auto" w:sz="4" w:space="0"/>
            </w:tcBorders>
            <w:vAlign w:val="center"/>
          </w:tcPr>
          <w:p w14:paraId="4F59FEAE">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数据底座-低空多维可视化引擎</w:t>
            </w:r>
          </w:p>
        </w:tc>
        <w:tc>
          <w:tcPr>
            <w:tcW w:w="1701" w:type="dxa"/>
            <w:tcBorders>
              <w:top w:val="nil"/>
              <w:left w:val="nil"/>
              <w:bottom w:val="single" w:color="auto" w:sz="4" w:space="0"/>
              <w:right w:val="single" w:color="auto" w:sz="4" w:space="0"/>
            </w:tcBorders>
            <w:vAlign w:val="center"/>
          </w:tcPr>
          <w:p w14:paraId="7F77DB40">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1,600,000</w:t>
            </w:r>
          </w:p>
        </w:tc>
        <w:tc>
          <w:tcPr>
            <w:tcW w:w="1276" w:type="dxa"/>
            <w:tcBorders>
              <w:top w:val="nil"/>
              <w:left w:val="nil"/>
              <w:bottom w:val="single" w:color="auto" w:sz="4" w:space="0"/>
              <w:right w:val="single" w:color="auto" w:sz="4" w:space="0"/>
            </w:tcBorders>
            <w:noWrap/>
            <w:vAlign w:val="center"/>
          </w:tcPr>
          <w:p w14:paraId="7B236FC7">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6人（驻场1人）</w:t>
            </w:r>
          </w:p>
        </w:tc>
        <w:tc>
          <w:tcPr>
            <w:tcW w:w="1190" w:type="dxa"/>
            <w:tcBorders>
              <w:top w:val="nil"/>
              <w:left w:val="nil"/>
              <w:bottom w:val="single" w:color="auto" w:sz="4" w:space="0"/>
              <w:right w:val="single" w:color="auto" w:sz="4" w:space="0"/>
            </w:tcBorders>
            <w:vAlign w:val="center"/>
          </w:tcPr>
          <w:p w14:paraId="5C5FE7EA">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1人</w:t>
            </w:r>
          </w:p>
        </w:tc>
      </w:tr>
      <w:tr w14:paraId="3CB6751E">
        <w:trPr>
          <w:trHeight w:val="285" w:hRule="atLeast"/>
        </w:trPr>
        <w:tc>
          <w:tcPr>
            <w:tcW w:w="687" w:type="dxa"/>
            <w:tcBorders>
              <w:top w:val="nil"/>
              <w:left w:val="single" w:color="auto" w:sz="4" w:space="0"/>
              <w:bottom w:val="single" w:color="auto" w:sz="4" w:space="0"/>
              <w:right w:val="single" w:color="auto" w:sz="4" w:space="0"/>
            </w:tcBorders>
            <w:noWrap/>
            <w:vAlign w:val="center"/>
          </w:tcPr>
          <w:p w14:paraId="5AFC0914">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15</w:t>
            </w:r>
          </w:p>
        </w:tc>
        <w:tc>
          <w:tcPr>
            <w:tcW w:w="3561" w:type="dxa"/>
            <w:tcBorders>
              <w:top w:val="nil"/>
              <w:left w:val="nil"/>
              <w:bottom w:val="single" w:color="auto" w:sz="4" w:space="0"/>
              <w:right w:val="single" w:color="auto" w:sz="4" w:space="0"/>
            </w:tcBorders>
            <w:vAlign w:val="center"/>
          </w:tcPr>
          <w:p w14:paraId="5CF7B3F4">
            <w:pPr>
              <w:keepNext w:val="0"/>
              <w:keepLines w:val="0"/>
              <w:widowControl/>
              <w:suppressLineNumbers w:val="0"/>
              <w:spacing w:before="0" w:beforeAutospacing="0" w:after="0" w:afterAutospacing="0" w:line="240" w:lineRule="auto"/>
              <w:ind w:left="0" w:right="0" w:firstLine="0" w:firstLineChars="0"/>
              <w:jc w:val="left"/>
              <w:rPr>
                <w:rFonts w:hint="eastAsia" w:cs="宋体"/>
                <w:color w:val="000000"/>
                <w:kern w:val="0"/>
              </w:rPr>
            </w:pPr>
            <w:r>
              <w:rPr>
                <w:rFonts w:hint="eastAsia" w:cs="宋体"/>
                <w:color w:val="000000"/>
                <w:kern w:val="0"/>
              </w:rPr>
              <w:t>数据底座-高精度定位网</w:t>
            </w:r>
          </w:p>
        </w:tc>
        <w:tc>
          <w:tcPr>
            <w:tcW w:w="1701" w:type="dxa"/>
            <w:tcBorders>
              <w:top w:val="nil"/>
              <w:left w:val="nil"/>
              <w:bottom w:val="single" w:color="auto" w:sz="4" w:space="0"/>
              <w:right w:val="single" w:color="auto" w:sz="4" w:space="0"/>
            </w:tcBorders>
            <w:vAlign w:val="center"/>
          </w:tcPr>
          <w:p w14:paraId="02B33D36">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1,175,000</w:t>
            </w:r>
          </w:p>
        </w:tc>
        <w:tc>
          <w:tcPr>
            <w:tcW w:w="1276" w:type="dxa"/>
            <w:tcBorders>
              <w:top w:val="nil"/>
              <w:left w:val="nil"/>
              <w:bottom w:val="single" w:color="auto" w:sz="4" w:space="0"/>
              <w:right w:val="single" w:color="auto" w:sz="4" w:space="0"/>
            </w:tcBorders>
            <w:noWrap/>
            <w:vAlign w:val="center"/>
          </w:tcPr>
          <w:p w14:paraId="032C412F">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4人（驻场1人）</w:t>
            </w:r>
          </w:p>
        </w:tc>
        <w:tc>
          <w:tcPr>
            <w:tcW w:w="1190" w:type="dxa"/>
            <w:tcBorders>
              <w:top w:val="nil"/>
              <w:left w:val="nil"/>
              <w:bottom w:val="single" w:color="auto" w:sz="4" w:space="0"/>
              <w:right w:val="single" w:color="auto" w:sz="4" w:space="0"/>
            </w:tcBorders>
            <w:vAlign w:val="center"/>
          </w:tcPr>
          <w:p w14:paraId="7870E202">
            <w:pPr>
              <w:keepNext w:val="0"/>
              <w:keepLines w:val="0"/>
              <w:widowControl/>
              <w:suppressLineNumbers w:val="0"/>
              <w:spacing w:before="0" w:beforeAutospacing="0" w:after="0" w:afterAutospacing="0" w:line="240" w:lineRule="auto"/>
              <w:ind w:left="0" w:right="0" w:firstLine="0" w:firstLineChars="0"/>
              <w:jc w:val="center"/>
              <w:rPr>
                <w:rFonts w:hint="eastAsia" w:cs="宋体"/>
                <w:color w:val="000000"/>
                <w:kern w:val="0"/>
              </w:rPr>
            </w:pPr>
            <w:r>
              <w:rPr>
                <w:rFonts w:hint="eastAsia" w:cs="宋体"/>
                <w:color w:val="000000"/>
                <w:kern w:val="0"/>
              </w:rPr>
              <w:t>1人</w:t>
            </w:r>
          </w:p>
        </w:tc>
      </w:tr>
      <w:bookmarkEnd w:id="30"/>
    </w:tbl>
    <w:p w14:paraId="2FCEF6FC">
      <w:pPr>
        <w:pStyle w:val="67"/>
        <w:ind w:firstLine="0" w:firstLineChars="0"/>
        <w:rPr>
          <w:rFonts w:hint="eastAsia" w:ascii="宋体" w:hAnsi="宋体"/>
          <w:kern w:val="2"/>
          <w:lang w:bidi="ar-SA"/>
        </w:rPr>
      </w:pPr>
    </w:p>
    <w:p w14:paraId="222D9A90">
      <w:pPr>
        <w:pStyle w:val="2"/>
        <w:rPr>
          <w:rFonts w:hint="eastAsia"/>
        </w:rPr>
      </w:pPr>
      <w:bookmarkStart w:id="31" w:name="_Toc68798863"/>
      <w:r>
        <w:rPr>
          <w:rFonts w:hint="eastAsia"/>
        </w:rPr>
        <w:t>附录</w:t>
      </w:r>
      <w:bookmarkEnd w:id="31"/>
    </w:p>
    <w:p w14:paraId="2F2B8ED4">
      <w:pPr>
        <w:ind w:firstLine="0" w:firstLineChars="0"/>
        <w:rPr>
          <w:rFonts w:hint="eastAsia"/>
        </w:rPr>
      </w:pPr>
      <w:r>
        <w:rPr>
          <w:rFonts w:hint="eastAsia"/>
        </w:rPr>
        <w:t>1、</w:t>
      </w:r>
      <w:r>
        <w:t>《政务网络安全监测平台总体技术要求》</w:t>
      </w:r>
    </w:p>
    <w:p w14:paraId="6C659414">
      <w:pPr>
        <w:ind w:firstLine="0" w:firstLineChars="0"/>
        <w:rPr>
          <w:rFonts w:hint="eastAsia"/>
        </w:rPr>
      </w:pPr>
      <w:r>
        <w:object>
          <v:shape id="_x0000_i1025" o:spt="75" type="#_x0000_t75" style="height:54.75pt;width:76.5pt;" o:ole="t" filled="f" o:preferrelative="t" stroked="f" coordsize="21600,21600">
            <v:path/>
            <v:fill on="f" focussize="0,0"/>
            <v:stroke on="f" joinstyle="miter"/>
            <v:imagedata r:id="rId14" o:title=""/>
            <o:lock v:ext="edit" aspectratio="t"/>
            <w10:wrap type="none"/>
            <w10:anchorlock/>
          </v:shape>
          <o:OLEObject Type="Embed" ProgID="Package" ShapeID="_x0000_i1025" DrawAspect="Icon" ObjectID="_1468075725" r:id="rId13">
            <o:LockedField>false</o:LockedField>
          </o:OLEObject>
        </w:object>
      </w:r>
    </w:p>
    <w:p w14:paraId="0AA2D36A">
      <w:pPr>
        <w:ind w:firstLine="0" w:firstLineChars="0"/>
        <w:rPr>
          <w:rFonts w:hint="eastAsia"/>
        </w:rPr>
      </w:pPr>
    </w:p>
    <w:p w14:paraId="53073A0B">
      <w:pPr>
        <w:ind w:firstLine="0" w:firstLineChars="0"/>
        <w:jc w:val="left"/>
        <w:rPr>
          <w:rFonts w:hint="eastAsia"/>
        </w:rPr>
      </w:pPr>
      <w:r>
        <w:rPr>
          <w:rFonts w:hint="eastAsia"/>
        </w:rPr>
        <w:t>2、《上海市电子政务外网建设和运行管理指南（试行）》</w:t>
      </w:r>
    </w:p>
    <w:p w14:paraId="35DB47D5">
      <w:pPr>
        <w:ind w:firstLine="0" w:firstLineChars="0"/>
        <w:jc w:val="left"/>
        <w:rPr>
          <w:rFonts w:hint="eastAsia"/>
        </w:rPr>
      </w:pPr>
      <w:r>
        <w:object>
          <v:shape id="_x0000_i1026" o:spt="75" type="#_x0000_t75" style="height:54.75pt;width:76.5pt;" o:ole="t" filled="f" o:preferrelative="t" stroked="f" coordsize="21600,21600">
            <v:path/>
            <v:fill on="f" focussize="0,0"/>
            <v:stroke on="f" joinstyle="miter"/>
            <v:imagedata r:id="rId16" o:title=""/>
            <o:lock v:ext="edit" aspectratio="t"/>
            <w10:wrap type="none"/>
            <w10:anchorlock/>
          </v:shape>
          <o:OLEObject Type="Embed" ProgID="Package" ShapeID="_x0000_i1026" DrawAspect="Icon" ObjectID="_1468075726" r:id="rId15">
            <o:LockedField>false</o:LockedField>
          </o:OLEObject>
        </w:object>
      </w:r>
      <w:bookmarkStart w:id="32" w:name="_GoBack"/>
      <w:bookmarkEnd w:id="32"/>
    </w:p>
    <w:sectPr>
      <w:footerReference r:id="rId11" w:type="first"/>
      <w:pgSz w:w="11906" w:h="16838"/>
      <w:pgMar w:top="1134" w:right="1797" w:bottom="1135" w:left="1797" w:header="340" w:footer="7" w:gutter="0"/>
      <w:pgNumType w:start="1"/>
      <w:cols w:space="720" w:num="1"/>
      <w:titlePg/>
      <w:docGrid w:type="linesAndChar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09F" w:csb1="0000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83" w:usb1="2BDF3C10" w:usb2="00000016" w:usb3="00000000" w:csb0="602E0107" w:csb1="00000000"/>
  </w:font>
  <w:font w:name="仿宋">
    <w:panose1 w:val="02010609060101010101"/>
    <w:charset w:val="86"/>
    <w:family w:val="modern"/>
    <w:pitch w:val="default"/>
    <w:sig w:usb0="800002BF" w:usb1="38CF7CFA" w:usb2="00000016" w:usb3="00000000" w:csb0="00040001" w:csb1="00000000"/>
  </w:font>
  <w:font w:name="Calibri Light">
    <w:altName w:val="Century Gothic"/>
    <w:panose1 w:val="020F0302020204030204"/>
    <w:charset w:val="00"/>
    <w:family w:val="swiss"/>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Arial Unicode MS">
    <w:panose1 w:val="020B0604020202020204"/>
    <w:charset w:val="86"/>
    <w:family w:val="auto"/>
    <w:pitch w:val="default"/>
    <w:sig w:usb0="FFFFFFFF" w:usb1="E9FFFFFF" w:usb2="0000003F" w:usb3="00000000" w:csb0="601F00FF" w:csb1="FFFF0000"/>
  </w:font>
  <w:font w:name="等线 Light">
    <w:altName w:val="宋体"/>
    <w:panose1 w:val="02010600030101010101"/>
    <w:charset w:val="86"/>
    <w:family w:val="auto"/>
    <w:pitch w:val="default"/>
    <w:sig w:usb0="00000000" w:usb1="00000000" w:usb2="00000016" w:usb3="00000000" w:csb0="0004000F" w:csb1="00000000"/>
  </w:font>
  <w:font w:name="time">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Microsoft YaHei UI">
    <w:altName w:val="微软雅黑"/>
    <w:panose1 w:val="020B0503020204020204"/>
    <w:charset w:val="86"/>
    <w:family w:val="swiss"/>
    <w:pitch w:val="default"/>
    <w:sig w:usb0="00000000" w:usb1="00000000" w:usb2="00000016" w:usb3="00000000" w:csb0="0004001F" w:csb1="00000000"/>
  </w:font>
  <w:font w:name="微软雅黑">
    <w:panose1 w:val="020B0503020204020204"/>
    <w:charset w:val="86"/>
    <w:family w:val="auto"/>
    <w:pitch w:val="default"/>
    <w:sig w:usb0="80000287" w:usb1="2A0F3C52" w:usb2="00000016" w:usb3="00000000" w:csb0="0004001F" w:csb1="00000000"/>
  </w:font>
  <w:font w:name="Microsoft Sans Serif">
    <w:panose1 w:val="020B0604020202020204"/>
    <w:charset w:val="00"/>
    <w:family w:val="swiss"/>
    <w:pitch w:val="default"/>
    <w:sig w:usb0="61007BDF" w:usb1="80000000" w:usb2="00000008" w:usb3="00000000" w:csb0="200101FF" w:csb1="2028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5645F">
    <w:pPr>
      <w:ind w:firstLine="0" w:firstLineChars="0"/>
      <w:jc w:val="center"/>
      <w:rPr>
        <w:rFonts w:hint="eastAsia"/>
      </w:rPr>
    </w:pPr>
    <w:r>
      <w:fldChar w:fldCharType="begin"/>
    </w:r>
    <w:r>
      <w:instrText xml:space="preserve">PAGE   \* MERGEFORMAT</w:instrText>
    </w:r>
    <w:r>
      <w:fldChar w:fldCharType="separate"/>
    </w:r>
    <w:r>
      <w:rPr>
        <w:lang w:val="zh-CN"/>
      </w:rPr>
      <w:t>11</w:t>
    </w:r>
    <w:r>
      <w:rPr>
        <w:lang w:val="zh-CN"/>
      </w:rPr>
      <w:fldChar w:fldCharType="end"/>
    </w:r>
  </w:p>
  <w:p w14:paraId="5355B58A">
    <w:pP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B721D">
    <w:pPr>
      <w:rPr>
        <w:rFonts w:hint="eastAsia"/>
      </w:rPr>
    </w:pPr>
  </w:p>
  <w:p w14:paraId="0C979D7C">
    <w:pP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495D3">
    <w:pPr>
      <w:ind w:firstLine="0" w:firstLineChars="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CB57C">
    <w:pPr>
      <w:ind w:firstLine="0" w:firstLineChars="0"/>
      <w:jc w:val="center"/>
      <w:rPr>
        <w:rFonts w:hint="eastAsia"/>
        <w:lang w:val="zh-CN"/>
      </w:rPr>
    </w:pPr>
    <w:r>
      <w:rPr>
        <w:lang w:val="zh-CN"/>
      </w:rPr>
      <w:fldChar w:fldCharType="begin"/>
    </w:r>
    <w:r>
      <w:rPr>
        <w:lang w:val="zh-CN"/>
      </w:rPr>
      <w:instrText xml:space="preserve">PAGE   \* MERGEFORMAT</w:instrText>
    </w:r>
    <w:r>
      <w:rPr>
        <w:lang w:val="zh-CN"/>
      </w:rPr>
      <w:fldChar w:fldCharType="separate"/>
    </w:r>
    <w:r>
      <w:rPr>
        <w:lang w:val="zh-CN"/>
      </w:rPr>
      <w:t>1</w:t>
    </w:r>
    <w:r>
      <w:rPr>
        <w:lang w:val="zh-CN"/>
      </w:rPr>
      <w:fldChar w:fldCharType="end"/>
    </w:r>
  </w:p>
  <w:p w14:paraId="7209B361">
    <w:pP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A5F17">
    <w:pPr>
      <w:pStyle w:val="25"/>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5ADCA">
    <w:pPr>
      <w:rPr>
        <w:rFonts w:hint="eastAsia"/>
      </w:rPr>
    </w:pPr>
  </w:p>
  <w:p w14:paraId="028999CC">
    <w:pP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40234">
    <w:pPr>
      <w:pStyle w:val="25"/>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F6EB65"/>
    <w:multiLevelType w:val="singleLevel"/>
    <w:tmpl w:val="AEF6EB65"/>
    <w:lvl w:ilvl="0" w:tentative="0">
      <w:start w:val="1"/>
      <w:numFmt w:val="decimal"/>
      <w:suff w:val="nothing"/>
      <w:lvlText w:val="%1、"/>
      <w:lvlJc w:val="left"/>
    </w:lvl>
  </w:abstractNum>
  <w:abstractNum w:abstractNumId="1">
    <w:nsid w:val="2EFD57A5"/>
    <w:multiLevelType w:val="multilevel"/>
    <w:tmpl w:val="2EFD57A5"/>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6350366A"/>
    <w:multiLevelType w:val="multilevel"/>
    <w:tmpl w:val="6350366A"/>
    <w:lvl w:ilvl="0" w:tentative="0">
      <w:start w:val="1"/>
      <w:numFmt w:val="none"/>
      <w:pStyle w:val="112"/>
      <w:lvlText w:val="%1●　"/>
      <w:lvlJc w:val="left"/>
      <w:pPr>
        <w:tabs>
          <w:tab w:val="left" w:pos="760"/>
        </w:tabs>
        <w:ind w:left="717" w:hanging="317"/>
      </w:pPr>
      <w:rPr>
        <w:rFonts w:hint="eastAsia" w:ascii="宋体" w:hAnsi="Times New Roman" w:eastAsia="宋体"/>
        <w:b w:val="0"/>
        <w:i w:val="0"/>
        <w:position w:val="4"/>
        <w:sz w:val="13"/>
      </w:rPr>
    </w:lvl>
    <w:lvl w:ilvl="1" w:tentative="0">
      <w:start w:val="1"/>
      <w:numFmt w:val="lowerLetter"/>
      <w:lvlText w:val="%2)"/>
      <w:lvlJc w:val="left"/>
      <w:pPr>
        <w:tabs>
          <w:tab w:val="left" w:pos="780"/>
        </w:tabs>
        <w:ind w:left="780" w:hanging="36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A2F4AB3"/>
    <w:multiLevelType w:val="multilevel"/>
    <w:tmpl w:val="6A2F4AB3"/>
    <w:lvl w:ilvl="0" w:tentative="0">
      <w:start w:val="1"/>
      <w:numFmt w:val="chineseCountingThousand"/>
      <w:pStyle w:val="2"/>
      <w:suff w:val="nothing"/>
      <w:lvlText w:val="%1、"/>
      <w:lvlJc w:val="left"/>
      <w:pPr>
        <w:ind w:left="425" w:hanging="425"/>
      </w:pPr>
      <w:rPr>
        <w:rFonts w:hint="eastAsia"/>
        <w:sz w:val="32"/>
        <w:szCs w:val="32"/>
      </w:rPr>
    </w:lvl>
    <w:lvl w:ilvl="1" w:tentative="0">
      <w:start w:val="1"/>
      <w:numFmt w:val="decimal"/>
      <w:pStyle w:val="3"/>
      <w:isLgl/>
      <w:suff w:val="nothing"/>
      <w:lvlText w:val="%1.%2、"/>
      <w:lvlJc w:val="left"/>
      <w:pPr>
        <w:ind w:left="1135" w:hanging="567"/>
      </w:pPr>
    </w:lvl>
    <w:lvl w:ilvl="2" w:tentative="0">
      <w:start w:val="1"/>
      <w:numFmt w:val="decimal"/>
      <w:pStyle w:val="4"/>
      <w:isLgl/>
      <w:suff w:val="nothing"/>
      <w:lvlText w:val="%1.%2.%3、"/>
      <w:lvlJc w:val="left"/>
      <w:pPr>
        <w:ind w:left="1069" w:hanging="1069"/>
      </w:pPr>
      <w:rPr>
        <w:rFonts w:hint="default" w:ascii="宋体" w:hAnsi="宋体" w:eastAsia="宋体" w:cs="Arial"/>
      </w:rPr>
    </w:lvl>
    <w:lvl w:ilvl="3" w:tentative="0">
      <w:start w:val="1"/>
      <w:numFmt w:val="decimal"/>
      <w:pStyle w:val="5"/>
      <w:isLgl/>
      <w:suff w:val="nothing"/>
      <w:lvlText w:val="%1.%2.%3.%4、"/>
      <w:lvlJc w:val="left"/>
      <w:pPr>
        <w:ind w:left="3403" w:hanging="851"/>
      </w:pPr>
    </w:lvl>
    <w:lvl w:ilvl="4" w:tentative="0">
      <w:start w:val="1"/>
      <w:numFmt w:val="decimal"/>
      <w:pStyle w:val="6"/>
      <w:isLgl/>
      <w:suff w:val="nothing"/>
      <w:lvlText w:val="%1.%2.%3.%4.%5、"/>
      <w:lvlJc w:val="left"/>
      <w:pPr>
        <w:ind w:left="3544" w:hanging="992"/>
      </w:pPr>
      <w:rPr>
        <w:rFonts w:hint="eastAsia"/>
      </w:rPr>
    </w:lvl>
    <w:lvl w:ilvl="5" w:tentative="0">
      <w:start w:val="1"/>
      <w:numFmt w:val="decimal"/>
      <w:pStyle w:val="7"/>
      <w:isLgl/>
      <w:suff w:val="nothing"/>
      <w:lvlText w:val="%1.%2.%3.%4.%5.%6、"/>
      <w:lvlJc w:val="left"/>
      <w:pPr>
        <w:ind w:left="1134" w:hanging="1134"/>
      </w:pPr>
      <w:rPr>
        <w:rFonts w:hint="eastAsia"/>
      </w:rPr>
    </w:lvl>
    <w:lvl w:ilvl="6" w:tentative="0">
      <w:start w:val="1"/>
      <w:numFmt w:val="decimal"/>
      <w:isLgl/>
      <w:lvlText w:val="%1.%2.%3.%4.%5.%6.%7"/>
      <w:lvlJc w:val="left"/>
      <w:pPr>
        <w:tabs>
          <w:tab w:val="left" w:pos="1800"/>
        </w:tabs>
        <w:ind w:left="1276" w:hanging="1276"/>
      </w:pPr>
      <w:rPr>
        <w:rFonts w:hint="eastAsia"/>
      </w:rPr>
    </w:lvl>
    <w:lvl w:ilvl="7" w:tentative="0">
      <w:start w:val="1"/>
      <w:numFmt w:val="decimal"/>
      <w:isLgl/>
      <w:lvlText w:val="%1.%2.%3.%4.%5.%6.%7.%8"/>
      <w:lvlJc w:val="left"/>
      <w:pPr>
        <w:tabs>
          <w:tab w:val="left" w:pos="1800"/>
        </w:tabs>
        <w:ind w:left="1418" w:hanging="1418"/>
      </w:pPr>
      <w:rPr>
        <w:rFonts w:hint="eastAsia"/>
      </w:rPr>
    </w:lvl>
    <w:lvl w:ilvl="8" w:tentative="0">
      <w:start w:val="1"/>
      <w:numFmt w:val="decimal"/>
      <w:isLgl/>
      <w:lvlText w:val="%1.%2.%3.%4.%5.%6.%7.%8.%9"/>
      <w:lvlJc w:val="left"/>
      <w:pPr>
        <w:tabs>
          <w:tab w:val="left" w:pos="2160"/>
        </w:tabs>
        <w:ind w:left="1559" w:hanging="1559"/>
      </w:pPr>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0C0"/>
    <w:rsid w:val="0000005A"/>
    <w:rsid w:val="00000AED"/>
    <w:rsid w:val="00002DBA"/>
    <w:rsid w:val="00003516"/>
    <w:rsid w:val="0000380E"/>
    <w:rsid w:val="00005AFD"/>
    <w:rsid w:val="00006563"/>
    <w:rsid w:val="000074F1"/>
    <w:rsid w:val="00007A41"/>
    <w:rsid w:val="00007DA7"/>
    <w:rsid w:val="00011DB9"/>
    <w:rsid w:val="00012DDD"/>
    <w:rsid w:val="00012EF0"/>
    <w:rsid w:val="00014537"/>
    <w:rsid w:val="000156DE"/>
    <w:rsid w:val="000165AD"/>
    <w:rsid w:val="000179E9"/>
    <w:rsid w:val="00020C18"/>
    <w:rsid w:val="00021EE6"/>
    <w:rsid w:val="0002280E"/>
    <w:rsid w:val="00022C74"/>
    <w:rsid w:val="00023B99"/>
    <w:rsid w:val="00025122"/>
    <w:rsid w:val="000252D5"/>
    <w:rsid w:val="000265D3"/>
    <w:rsid w:val="00026997"/>
    <w:rsid w:val="000273A9"/>
    <w:rsid w:val="00027A64"/>
    <w:rsid w:val="0003073C"/>
    <w:rsid w:val="00032D27"/>
    <w:rsid w:val="0003319E"/>
    <w:rsid w:val="000341D3"/>
    <w:rsid w:val="00035325"/>
    <w:rsid w:val="00035D5B"/>
    <w:rsid w:val="000378D0"/>
    <w:rsid w:val="00037F2C"/>
    <w:rsid w:val="000417CE"/>
    <w:rsid w:val="00042C2A"/>
    <w:rsid w:val="00042F24"/>
    <w:rsid w:val="000430EC"/>
    <w:rsid w:val="000447CB"/>
    <w:rsid w:val="00047915"/>
    <w:rsid w:val="00047D06"/>
    <w:rsid w:val="00050351"/>
    <w:rsid w:val="00050FBD"/>
    <w:rsid w:val="0005107A"/>
    <w:rsid w:val="0005192C"/>
    <w:rsid w:val="00052929"/>
    <w:rsid w:val="0005299F"/>
    <w:rsid w:val="000541D7"/>
    <w:rsid w:val="000545C0"/>
    <w:rsid w:val="0005586D"/>
    <w:rsid w:val="00055EEF"/>
    <w:rsid w:val="00056C0E"/>
    <w:rsid w:val="000574A8"/>
    <w:rsid w:val="000574F8"/>
    <w:rsid w:val="00057A49"/>
    <w:rsid w:val="00061CBF"/>
    <w:rsid w:val="0006231F"/>
    <w:rsid w:val="00062A05"/>
    <w:rsid w:val="00062EE6"/>
    <w:rsid w:val="0006344E"/>
    <w:rsid w:val="000649E6"/>
    <w:rsid w:val="00066627"/>
    <w:rsid w:val="0006794B"/>
    <w:rsid w:val="00067DCA"/>
    <w:rsid w:val="00070063"/>
    <w:rsid w:val="0007087A"/>
    <w:rsid w:val="000710EC"/>
    <w:rsid w:val="00072237"/>
    <w:rsid w:val="00072ABE"/>
    <w:rsid w:val="000734A4"/>
    <w:rsid w:val="00080B39"/>
    <w:rsid w:val="00081F0B"/>
    <w:rsid w:val="000834A8"/>
    <w:rsid w:val="00083950"/>
    <w:rsid w:val="0008452F"/>
    <w:rsid w:val="00084E8E"/>
    <w:rsid w:val="00085A68"/>
    <w:rsid w:val="00085E5F"/>
    <w:rsid w:val="0008719E"/>
    <w:rsid w:val="00090625"/>
    <w:rsid w:val="00090948"/>
    <w:rsid w:val="00091CD1"/>
    <w:rsid w:val="00092D6B"/>
    <w:rsid w:val="00092E8B"/>
    <w:rsid w:val="00093238"/>
    <w:rsid w:val="0009460E"/>
    <w:rsid w:val="000951D4"/>
    <w:rsid w:val="00096BF4"/>
    <w:rsid w:val="000A2146"/>
    <w:rsid w:val="000A2930"/>
    <w:rsid w:val="000A3276"/>
    <w:rsid w:val="000A3C35"/>
    <w:rsid w:val="000A3E30"/>
    <w:rsid w:val="000A5876"/>
    <w:rsid w:val="000A61D0"/>
    <w:rsid w:val="000A6C67"/>
    <w:rsid w:val="000A6DB8"/>
    <w:rsid w:val="000A7596"/>
    <w:rsid w:val="000B090F"/>
    <w:rsid w:val="000B11A8"/>
    <w:rsid w:val="000B1959"/>
    <w:rsid w:val="000B2E1C"/>
    <w:rsid w:val="000B4459"/>
    <w:rsid w:val="000B4B46"/>
    <w:rsid w:val="000B5363"/>
    <w:rsid w:val="000B53BA"/>
    <w:rsid w:val="000B642F"/>
    <w:rsid w:val="000B6C99"/>
    <w:rsid w:val="000C3F3C"/>
    <w:rsid w:val="000C5A75"/>
    <w:rsid w:val="000C5B21"/>
    <w:rsid w:val="000C75E9"/>
    <w:rsid w:val="000C75F7"/>
    <w:rsid w:val="000C766C"/>
    <w:rsid w:val="000D0AB2"/>
    <w:rsid w:val="000D225C"/>
    <w:rsid w:val="000D307E"/>
    <w:rsid w:val="000D36F2"/>
    <w:rsid w:val="000D4B26"/>
    <w:rsid w:val="000D4CC0"/>
    <w:rsid w:val="000D74DB"/>
    <w:rsid w:val="000E24D6"/>
    <w:rsid w:val="000E6072"/>
    <w:rsid w:val="000E6D61"/>
    <w:rsid w:val="000E7A23"/>
    <w:rsid w:val="000E7DFF"/>
    <w:rsid w:val="000F1C29"/>
    <w:rsid w:val="000F1E9E"/>
    <w:rsid w:val="000F2B10"/>
    <w:rsid w:val="000F3F72"/>
    <w:rsid w:val="000F7955"/>
    <w:rsid w:val="00103EBA"/>
    <w:rsid w:val="001055B2"/>
    <w:rsid w:val="001068F0"/>
    <w:rsid w:val="00106AB8"/>
    <w:rsid w:val="00106C9E"/>
    <w:rsid w:val="00106E16"/>
    <w:rsid w:val="0010768B"/>
    <w:rsid w:val="001109F6"/>
    <w:rsid w:val="00111701"/>
    <w:rsid w:val="00112A29"/>
    <w:rsid w:val="00114B2E"/>
    <w:rsid w:val="001167F6"/>
    <w:rsid w:val="00116C86"/>
    <w:rsid w:val="0012174C"/>
    <w:rsid w:val="00121ACF"/>
    <w:rsid w:val="00121D8F"/>
    <w:rsid w:val="00122037"/>
    <w:rsid w:val="0012210C"/>
    <w:rsid w:val="00122A7F"/>
    <w:rsid w:val="00122BDE"/>
    <w:rsid w:val="00123523"/>
    <w:rsid w:val="00123916"/>
    <w:rsid w:val="00123B75"/>
    <w:rsid w:val="00123F98"/>
    <w:rsid w:val="001242A5"/>
    <w:rsid w:val="00124531"/>
    <w:rsid w:val="00126EDF"/>
    <w:rsid w:val="00127BBE"/>
    <w:rsid w:val="00131D52"/>
    <w:rsid w:val="001329C1"/>
    <w:rsid w:val="00132C16"/>
    <w:rsid w:val="00132E00"/>
    <w:rsid w:val="00135921"/>
    <w:rsid w:val="00136320"/>
    <w:rsid w:val="00136FFA"/>
    <w:rsid w:val="00137AC6"/>
    <w:rsid w:val="00145512"/>
    <w:rsid w:val="001465BD"/>
    <w:rsid w:val="00147B45"/>
    <w:rsid w:val="00150803"/>
    <w:rsid w:val="00151D83"/>
    <w:rsid w:val="00153A30"/>
    <w:rsid w:val="001546C9"/>
    <w:rsid w:val="00154FAE"/>
    <w:rsid w:val="00155E77"/>
    <w:rsid w:val="00156A70"/>
    <w:rsid w:val="00157F2C"/>
    <w:rsid w:val="00160A61"/>
    <w:rsid w:val="00160FC0"/>
    <w:rsid w:val="0016429B"/>
    <w:rsid w:val="00164525"/>
    <w:rsid w:val="00164C50"/>
    <w:rsid w:val="001655C4"/>
    <w:rsid w:val="00165CB2"/>
    <w:rsid w:val="00166203"/>
    <w:rsid w:val="00166767"/>
    <w:rsid w:val="001707CB"/>
    <w:rsid w:val="00170C54"/>
    <w:rsid w:val="00171477"/>
    <w:rsid w:val="00172417"/>
    <w:rsid w:val="00172A1A"/>
    <w:rsid w:val="00173251"/>
    <w:rsid w:val="00176BED"/>
    <w:rsid w:val="0017759D"/>
    <w:rsid w:val="001804A5"/>
    <w:rsid w:val="00181C94"/>
    <w:rsid w:val="00182797"/>
    <w:rsid w:val="00182C84"/>
    <w:rsid w:val="001835A0"/>
    <w:rsid w:val="0018381F"/>
    <w:rsid w:val="00187031"/>
    <w:rsid w:val="001912C5"/>
    <w:rsid w:val="0019160A"/>
    <w:rsid w:val="00191EA4"/>
    <w:rsid w:val="00192B6C"/>
    <w:rsid w:val="00192C30"/>
    <w:rsid w:val="0019381E"/>
    <w:rsid w:val="00193D6F"/>
    <w:rsid w:val="001940B4"/>
    <w:rsid w:val="00194CF5"/>
    <w:rsid w:val="0019503C"/>
    <w:rsid w:val="00195D94"/>
    <w:rsid w:val="00196F7B"/>
    <w:rsid w:val="001971CB"/>
    <w:rsid w:val="0019795C"/>
    <w:rsid w:val="001A053A"/>
    <w:rsid w:val="001A05B1"/>
    <w:rsid w:val="001A22A2"/>
    <w:rsid w:val="001A2971"/>
    <w:rsid w:val="001A3D52"/>
    <w:rsid w:val="001A460A"/>
    <w:rsid w:val="001A4A4C"/>
    <w:rsid w:val="001A60AB"/>
    <w:rsid w:val="001B0230"/>
    <w:rsid w:val="001B13AB"/>
    <w:rsid w:val="001B31C4"/>
    <w:rsid w:val="001B3907"/>
    <w:rsid w:val="001B3B49"/>
    <w:rsid w:val="001B4907"/>
    <w:rsid w:val="001B4DC5"/>
    <w:rsid w:val="001B5505"/>
    <w:rsid w:val="001B5649"/>
    <w:rsid w:val="001B6CB1"/>
    <w:rsid w:val="001C2180"/>
    <w:rsid w:val="001C29CC"/>
    <w:rsid w:val="001C3217"/>
    <w:rsid w:val="001C3B98"/>
    <w:rsid w:val="001C4004"/>
    <w:rsid w:val="001C52F9"/>
    <w:rsid w:val="001C6028"/>
    <w:rsid w:val="001C6365"/>
    <w:rsid w:val="001C7F57"/>
    <w:rsid w:val="001D0E79"/>
    <w:rsid w:val="001D6049"/>
    <w:rsid w:val="001D7339"/>
    <w:rsid w:val="001D75E5"/>
    <w:rsid w:val="001E2750"/>
    <w:rsid w:val="001E339F"/>
    <w:rsid w:val="001E34C0"/>
    <w:rsid w:val="001E4343"/>
    <w:rsid w:val="001E52BB"/>
    <w:rsid w:val="001E5D3E"/>
    <w:rsid w:val="001E660A"/>
    <w:rsid w:val="001F05D6"/>
    <w:rsid w:val="001F167F"/>
    <w:rsid w:val="001F20EC"/>
    <w:rsid w:val="001F5B0A"/>
    <w:rsid w:val="001F61B3"/>
    <w:rsid w:val="001F640F"/>
    <w:rsid w:val="001F6794"/>
    <w:rsid w:val="001F6F65"/>
    <w:rsid w:val="001F76BC"/>
    <w:rsid w:val="001F774C"/>
    <w:rsid w:val="002002DF"/>
    <w:rsid w:val="00201EB5"/>
    <w:rsid w:val="00203A6F"/>
    <w:rsid w:val="00205646"/>
    <w:rsid w:val="002063F7"/>
    <w:rsid w:val="002115BB"/>
    <w:rsid w:val="002129E5"/>
    <w:rsid w:val="00212AA4"/>
    <w:rsid w:val="00212C80"/>
    <w:rsid w:val="00212E13"/>
    <w:rsid w:val="002163C8"/>
    <w:rsid w:val="002179FE"/>
    <w:rsid w:val="00217FED"/>
    <w:rsid w:val="00220CC0"/>
    <w:rsid w:val="00221A36"/>
    <w:rsid w:val="00223296"/>
    <w:rsid w:val="0022329B"/>
    <w:rsid w:val="00223705"/>
    <w:rsid w:val="002240F7"/>
    <w:rsid w:val="0022486F"/>
    <w:rsid w:val="002249AC"/>
    <w:rsid w:val="00225314"/>
    <w:rsid w:val="002256F9"/>
    <w:rsid w:val="00225DF4"/>
    <w:rsid w:val="00226C70"/>
    <w:rsid w:val="002272F7"/>
    <w:rsid w:val="002308E3"/>
    <w:rsid w:val="00230C8A"/>
    <w:rsid w:val="00231F98"/>
    <w:rsid w:val="002324F8"/>
    <w:rsid w:val="002342DA"/>
    <w:rsid w:val="002348B0"/>
    <w:rsid w:val="00235CDC"/>
    <w:rsid w:val="00237E76"/>
    <w:rsid w:val="00240BBE"/>
    <w:rsid w:val="00241525"/>
    <w:rsid w:val="00241D87"/>
    <w:rsid w:val="00243C55"/>
    <w:rsid w:val="00243D5E"/>
    <w:rsid w:val="0024428F"/>
    <w:rsid w:val="002451EC"/>
    <w:rsid w:val="00245ED4"/>
    <w:rsid w:val="00246B41"/>
    <w:rsid w:val="0025002B"/>
    <w:rsid w:val="002500DE"/>
    <w:rsid w:val="00252457"/>
    <w:rsid w:val="00252581"/>
    <w:rsid w:val="002535B5"/>
    <w:rsid w:val="002538CB"/>
    <w:rsid w:val="002542BD"/>
    <w:rsid w:val="00256195"/>
    <w:rsid w:val="00257052"/>
    <w:rsid w:val="0025716C"/>
    <w:rsid w:val="002574A4"/>
    <w:rsid w:val="0025774E"/>
    <w:rsid w:val="00257D64"/>
    <w:rsid w:val="0026340A"/>
    <w:rsid w:val="00263B8F"/>
    <w:rsid w:val="002654EA"/>
    <w:rsid w:val="00267589"/>
    <w:rsid w:val="002704EA"/>
    <w:rsid w:val="0027061A"/>
    <w:rsid w:val="002719CC"/>
    <w:rsid w:val="002730C5"/>
    <w:rsid w:val="0027337C"/>
    <w:rsid w:val="0027602B"/>
    <w:rsid w:val="002764DD"/>
    <w:rsid w:val="00276C2B"/>
    <w:rsid w:val="0027748B"/>
    <w:rsid w:val="00277F5E"/>
    <w:rsid w:val="00280084"/>
    <w:rsid w:val="00280490"/>
    <w:rsid w:val="002820FD"/>
    <w:rsid w:val="002848D2"/>
    <w:rsid w:val="0028531C"/>
    <w:rsid w:val="002860B8"/>
    <w:rsid w:val="0029206E"/>
    <w:rsid w:val="00293382"/>
    <w:rsid w:val="00294F51"/>
    <w:rsid w:val="002A2342"/>
    <w:rsid w:val="002A279E"/>
    <w:rsid w:val="002A490A"/>
    <w:rsid w:val="002A4CDD"/>
    <w:rsid w:val="002A4FA3"/>
    <w:rsid w:val="002A5092"/>
    <w:rsid w:val="002B1D8C"/>
    <w:rsid w:val="002B3606"/>
    <w:rsid w:val="002B3D80"/>
    <w:rsid w:val="002B4402"/>
    <w:rsid w:val="002B4946"/>
    <w:rsid w:val="002B4C41"/>
    <w:rsid w:val="002B4EFC"/>
    <w:rsid w:val="002B588D"/>
    <w:rsid w:val="002C0499"/>
    <w:rsid w:val="002C1839"/>
    <w:rsid w:val="002C214A"/>
    <w:rsid w:val="002C28E8"/>
    <w:rsid w:val="002C3027"/>
    <w:rsid w:val="002C3434"/>
    <w:rsid w:val="002C674D"/>
    <w:rsid w:val="002C7648"/>
    <w:rsid w:val="002C7DC4"/>
    <w:rsid w:val="002D0821"/>
    <w:rsid w:val="002D1929"/>
    <w:rsid w:val="002D1B73"/>
    <w:rsid w:val="002D38CA"/>
    <w:rsid w:val="002D3CB0"/>
    <w:rsid w:val="002D4800"/>
    <w:rsid w:val="002D5B21"/>
    <w:rsid w:val="002D6F6D"/>
    <w:rsid w:val="002E1FE6"/>
    <w:rsid w:val="002E2EA7"/>
    <w:rsid w:val="002E36D2"/>
    <w:rsid w:val="002E748B"/>
    <w:rsid w:val="002F0C44"/>
    <w:rsid w:val="002F2002"/>
    <w:rsid w:val="002F335D"/>
    <w:rsid w:val="002F4E32"/>
    <w:rsid w:val="002F503F"/>
    <w:rsid w:val="002F51DD"/>
    <w:rsid w:val="002F5D08"/>
    <w:rsid w:val="002F61CC"/>
    <w:rsid w:val="002F65DA"/>
    <w:rsid w:val="002F6895"/>
    <w:rsid w:val="002F6D13"/>
    <w:rsid w:val="003008E1"/>
    <w:rsid w:val="00302544"/>
    <w:rsid w:val="003038D3"/>
    <w:rsid w:val="00303DBA"/>
    <w:rsid w:val="00303FC3"/>
    <w:rsid w:val="003049C7"/>
    <w:rsid w:val="00305F0E"/>
    <w:rsid w:val="0030667A"/>
    <w:rsid w:val="003106DE"/>
    <w:rsid w:val="00311530"/>
    <w:rsid w:val="00312D31"/>
    <w:rsid w:val="00313E5B"/>
    <w:rsid w:val="00314121"/>
    <w:rsid w:val="00314A74"/>
    <w:rsid w:val="00315216"/>
    <w:rsid w:val="0031691C"/>
    <w:rsid w:val="00317AEF"/>
    <w:rsid w:val="00317F49"/>
    <w:rsid w:val="00320037"/>
    <w:rsid w:val="0032089B"/>
    <w:rsid w:val="00323450"/>
    <w:rsid w:val="00323D93"/>
    <w:rsid w:val="0032489B"/>
    <w:rsid w:val="0032525B"/>
    <w:rsid w:val="00326A7A"/>
    <w:rsid w:val="00326FEE"/>
    <w:rsid w:val="003315D7"/>
    <w:rsid w:val="00333264"/>
    <w:rsid w:val="00334DE6"/>
    <w:rsid w:val="0033536D"/>
    <w:rsid w:val="003353FF"/>
    <w:rsid w:val="003366D2"/>
    <w:rsid w:val="003370D9"/>
    <w:rsid w:val="00337C79"/>
    <w:rsid w:val="00337FEF"/>
    <w:rsid w:val="0034084C"/>
    <w:rsid w:val="00340D5E"/>
    <w:rsid w:val="003420B5"/>
    <w:rsid w:val="00343646"/>
    <w:rsid w:val="00344CCB"/>
    <w:rsid w:val="00344DDF"/>
    <w:rsid w:val="00345897"/>
    <w:rsid w:val="00347963"/>
    <w:rsid w:val="00351BFC"/>
    <w:rsid w:val="0035575E"/>
    <w:rsid w:val="003565B4"/>
    <w:rsid w:val="00362348"/>
    <w:rsid w:val="00362E75"/>
    <w:rsid w:val="003630DE"/>
    <w:rsid w:val="003631AA"/>
    <w:rsid w:val="003632D5"/>
    <w:rsid w:val="00363575"/>
    <w:rsid w:val="00364EF9"/>
    <w:rsid w:val="00367579"/>
    <w:rsid w:val="0036795B"/>
    <w:rsid w:val="00367B0E"/>
    <w:rsid w:val="00370A29"/>
    <w:rsid w:val="003722F9"/>
    <w:rsid w:val="00372349"/>
    <w:rsid w:val="00372CBC"/>
    <w:rsid w:val="00373A61"/>
    <w:rsid w:val="00374BDE"/>
    <w:rsid w:val="00376B39"/>
    <w:rsid w:val="003772C0"/>
    <w:rsid w:val="0037739A"/>
    <w:rsid w:val="00377BAC"/>
    <w:rsid w:val="00380142"/>
    <w:rsid w:val="00380558"/>
    <w:rsid w:val="00381D3C"/>
    <w:rsid w:val="0038223E"/>
    <w:rsid w:val="00382A0F"/>
    <w:rsid w:val="00382D92"/>
    <w:rsid w:val="00385AEF"/>
    <w:rsid w:val="003860EA"/>
    <w:rsid w:val="00386A21"/>
    <w:rsid w:val="0038781A"/>
    <w:rsid w:val="00387C8B"/>
    <w:rsid w:val="0039080B"/>
    <w:rsid w:val="0039326E"/>
    <w:rsid w:val="00394E22"/>
    <w:rsid w:val="003967A4"/>
    <w:rsid w:val="00396CB3"/>
    <w:rsid w:val="00397FA3"/>
    <w:rsid w:val="003A1596"/>
    <w:rsid w:val="003A1BC4"/>
    <w:rsid w:val="003A317E"/>
    <w:rsid w:val="003A345B"/>
    <w:rsid w:val="003A49EE"/>
    <w:rsid w:val="003A674D"/>
    <w:rsid w:val="003A7123"/>
    <w:rsid w:val="003B102E"/>
    <w:rsid w:val="003B1443"/>
    <w:rsid w:val="003B2167"/>
    <w:rsid w:val="003B5F5D"/>
    <w:rsid w:val="003B62C8"/>
    <w:rsid w:val="003C0C62"/>
    <w:rsid w:val="003C12DC"/>
    <w:rsid w:val="003C2CDA"/>
    <w:rsid w:val="003C5E7D"/>
    <w:rsid w:val="003C7F27"/>
    <w:rsid w:val="003D000A"/>
    <w:rsid w:val="003D31E9"/>
    <w:rsid w:val="003D33DA"/>
    <w:rsid w:val="003D49BE"/>
    <w:rsid w:val="003D544E"/>
    <w:rsid w:val="003D5980"/>
    <w:rsid w:val="003D6BA3"/>
    <w:rsid w:val="003E0842"/>
    <w:rsid w:val="003E13B0"/>
    <w:rsid w:val="003E2401"/>
    <w:rsid w:val="003E2580"/>
    <w:rsid w:val="003E3DEE"/>
    <w:rsid w:val="003E3EBB"/>
    <w:rsid w:val="003E4A4C"/>
    <w:rsid w:val="003E4CBA"/>
    <w:rsid w:val="003E4D2F"/>
    <w:rsid w:val="003E4EDC"/>
    <w:rsid w:val="003E504D"/>
    <w:rsid w:val="003E599D"/>
    <w:rsid w:val="003E5C81"/>
    <w:rsid w:val="003E5EAD"/>
    <w:rsid w:val="003E61BA"/>
    <w:rsid w:val="003E659B"/>
    <w:rsid w:val="003E6965"/>
    <w:rsid w:val="003F00E8"/>
    <w:rsid w:val="003F1936"/>
    <w:rsid w:val="003F1BDD"/>
    <w:rsid w:val="003F3BA3"/>
    <w:rsid w:val="003F3BD5"/>
    <w:rsid w:val="003F400E"/>
    <w:rsid w:val="003F65A2"/>
    <w:rsid w:val="003F6F35"/>
    <w:rsid w:val="003F7768"/>
    <w:rsid w:val="00400E8C"/>
    <w:rsid w:val="004017DC"/>
    <w:rsid w:val="00401B53"/>
    <w:rsid w:val="00402668"/>
    <w:rsid w:val="00404FEC"/>
    <w:rsid w:val="0040534D"/>
    <w:rsid w:val="00405FAD"/>
    <w:rsid w:val="004117AB"/>
    <w:rsid w:val="00412B2F"/>
    <w:rsid w:val="00414DA1"/>
    <w:rsid w:val="00415281"/>
    <w:rsid w:val="00415716"/>
    <w:rsid w:val="0041604D"/>
    <w:rsid w:val="00417842"/>
    <w:rsid w:val="00417A6E"/>
    <w:rsid w:val="004205B8"/>
    <w:rsid w:val="0042094C"/>
    <w:rsid w:val="00420B6F"/>
    <w:rsid w:val="00420CDF"/>
    <w:rsid w:val="0042285D"/>
    <w:rsid w:val="004246FA"/>
    <w:rsid w:val="00427D2B"/>
    <w:rsid w:val="00430B13"/>
    <w:rsid w:val="00430CE5"/>
    <w:rsid w:val="0043153C"/>
    <w:rsid w:val="00431D0F"/>
    <w:rsid w:val="0043481C"/>
    <w:rsid w:val="00444307"/>
    <w:rsid w:val="0044436F"/>
    <w:rsid w:val="004443EB"/>
    <w:rsid w:val="00444432"/>
    <w:rsid w:val="00444673"/>
    <w:rsid w:val="0044621E"/>
    <w:rsid w:val="00447BF1"/>
    <w:rsid w:val="00450BA4"/>
    <w:rsid w:val="004511FC"/>
    <w:rsid w:val="00451C0B"/>
    <w:rsid w:val="00451EF3"/>
    <w:rsid w:val="00454208"/>
    <w:rsid w:val="004555A4"/>
    <w:rsid w:val="004560C4"/>
    <w:rsid w:val="00456378"/>
    <w:rsid w:val="00456784"/>
    <w:rsid w:val="00456DCA"/>
    <w:rsid w:val="0046068A"/>
    <w:rsid w:val="00461140"/>
    <w:rsid w:val="004611DB"/>
    <w:rsid w:val="004621E4"/>
    <w:rsid w:val="004658B0"/>
    <w:rsid w:val="004659AC"/>
    <w:rsid w:val="0046614B"/>
    <w:rsid w:val="00467FD7"/>
    <w:rsid w:val="00470073"/>
    <w:rsid w:val="004707F5"/>
    <w:rsid w:val="00471681"/>
    <w:rsid w:val="004730F8"/>
    <w:rsid w:val="0047349B"/>
    <w:rsid w:val="00474353"/>
    <w:rsid w:val="00474555"/>
    <w:rsid w:val="004750F4"/>
    <w:rsid w:val="00476AD3"/>
    <w:rsid w:val="00476CA5"/>
    <w:rsid w:val="00476CB1"/>
    <w:rsid w:val="0047710D"/>
    <w:rsid w:val="00480A48"/>
    <w:rsid w:val="00482501"/>
    <w:rsid w:val="00482E7D"/>
    <w:rsid w:val="00484395"/>
    <w:rsid w:val="004865FB"/>
    <w:rsid w:val="00486C03"/>
    <w:rsid w:val="00491AB3"/>
    <w:rsid w:val="0049428B"/>
    <w:rsid w:val="004951DD"/>
    <w:rsid w:val="00497A33"/>
    <w:rsid w:val="004A01A1"/>
    <w:rsid w:val="004A0734"/>
    <w:rsid w:val="004A1112"/>
    <w:rsid w:val="004A1AD5"/>
    <w:rsid w:val="004A1DA0"/>
    <w:rsid w:val="004A1F20"/>
    <w:rsid w:val="004A2393"/>
    <w:rsid w:val="004A3569"/>
    <w:rsid w:val="004A452A"/>
    <w:rsid w:val="004A5F2C"/>
    <w:rsid w:val="004A6426"/>
    <w:rsid w:val="004A6E4F"/>
    <w:rsid w:val="004A720D"/>
    <w:rsid w:val="004A7844"/>
    <w:rsid w:val="004B00D0"/>
    <w:rsid w:val="004B399E"/>
    <w:rsid w:val="004B6084"/>
    <w:rsid w:val="004B7AE0"/>
    <w:rsid w:val="004C0BC4"/>
    <w:rsid w:val="004C0C91"/>
    <w:rsid w:val="004C0DB5"/>
    <w:rsid w:val="004C260D"/>
    <w:rsid w:val="004C2D47"/>
    <w:rsid w:val="004C3C84"/>
    <w:rsid w:val="004C4357"/>
    <w:rsid w:val="004C4477"/>
    <w:rsid w:val="004C4B68"/>
    <w:rsid w:val="004C5730"/>
    <w:rsid w:val="004C6397"/>
    <w:rsid w:val="004C668F"/>
    <w:rsid w:val="004C682B"/>
    <w:rsid w:val="004D0E20"/>
    <w:rsid w:val="004D142C"/>
    <w:rsid w:val="004D29F7"/>
    <w:rsid w:val="004D36D8"/>
    <w:rsid w:val="004D4C5C"/>
    <w:rsid w:val="004D5AB0"/>
    <w:rsid w:val="004D5EAE"/>
    <w:rsid w:val="004D7A0E"/>
    <w:rsid w:val="004E06E7"/>
    <w:rsid w:val="004E0AE3"/>
    <w:rsid w:val="004E1229"/>
    <w:rsid w:val="004E20D3"/>
    <w:rsid w:val="004E2C82"/>
    <w:rsid w:val="004E3064"/>
    <w:rsid w:val="004E3608"/>
    <w:rsid w:val="004E4FAE"/>
    <w:rsid w:val="004E62C7"/>
    <w:rsid w:val="004E68FF"/>
    <w:rsid w:val="004E7A1B"/>
    <w:rsid w:val="004F01F8"/>
    <w:rsid w:val="004F0314"/>
    <w:rsid w:val="004F0B7F"/>
    <w:rsid w:val="004F1193"/>
    <w:rsid w:val="004F11DC"/>
    <w:rsid w:val="004F2124"/>
    <w:rsid w:val="004F271B"/>
    <w:rsid w:val="004F2889"/>
    <w:rsid w:val="004F3A52"/>
    <w:rsid w:val="004F449F"/>
    <w:rsid w:val="004F4DF7"/>
    <w:rsid w:val="004F4E7E"/>
    <w:rsid w:val="004F63AB"/>
    <w:rsid w:val="004F6B76"/>
    <w:rsid w:val="004F6C7C"/>
    <w:rsid w:val="004F7F1A"/>
    <w:rsid w:val="004F7FBB"/>
    <w:rsid w:val="0050066B"/>
    <w:rsid w:val="00503F9D"/>
    <w:rsid w:val="005042B3"/>
    <w:rsid w:val="005045AB"/>
    <w:rsid w:val="00504A44"/>
    <w:rsid w:val="00507D43"/>
    <w:rsid w:val="005103F2"/>
    <w:rsid w:val="00510B56"/>
    <w:rsid w:val="00510E2C"/>
    <w:rsid w:val="00511FDC"/>
    <w:rsid w:val="0051239D"/>
    <w:rsid w:val="005124C6"/>
    <w:rsid w:val="00513EBC"/>
    <w:rsid w:val="00514CE1"/>
    <w:rsid w:val="00517155"/>
    <w:rsid w:val="00517DB3"/>
    <w:rsid w:val="005200DC"/>
    <w:rsid w:val="005200F2"/>
    <w:rsid w:val="00522FEE"/>
    <w:rsid w:val="0052369D"/>
    <w:rsid w:val="00524336"/>
    <w:rsid w:val="0052555D"/>
    <w:rsid w:val="005271DB"/>
    <w:rsid w:val="00530D2F"/>
    <w:rsid w:val="005316E8"/>
    <w:rsid w:val="0053487C"/>
    <w:rsid w:val="00535578"/>
    <w:rsid w:val="005356E1"/>
    <w:rsid w:val="00536A8B"/>
    <w:rsid w:val="0053729F"/>
    <w:rsid w:val="00540418"/>
    <w:rsid w:val="00541A96"/>
    <w:rsid w:val="00541C6A"/>
    <w:rsid w:val="00542C54"/>
    <w:rsid w:val="00545376"/>
    <w:rsid w:val="00546A43"/>
    <w:rsid w:val="00546C70"/>
    <w:rsid w:val="00547258"/>
    <w:rsid w:val="00550CF0"/>
    <w:rsid w:val="00551BCD"/>
    <w:rsid w:val="005559FE"/>
    <w:rsid w:val="005560D6"/>
    <w:rsid w:val="00556D07"/>
    <w:rsid w:val="00556DD4"/>
    <w:rsid w:val="005611F2"/>
    <w:rsid w:val="00561734"/>
    <w:rsid w:val="00561952"/>
    <w:rsid w:val="00564B9A"/>
    <w:rsid w:val="00565694"/>
    <w:rsid w:val="00566DD6"/>
    <w:rsid w:val="00567780"/>
    <w:rsid w:val="005714EF"/>
    <w:rsid w:val="005717D9"/>
    <w:rsid w:val="00571CEC"/>
    <w:rsid w:val="0057245D"/>
    <w:rsid w:val="00572FCE"/>
    <w:rsid w:val="005750DB"/>
    <w:rsid w:val="005759FC"/>
    <w:rsid w:val="00575B85"/>
    <w:rsid w:val="00576DB9"/>
    <w:rsid w:val="0057738F"/>
    <w:rsid w:val="005805E4"/>
    <w:rsid w:val="0058202F"/>
    <w:rsid w:val="00584221"/>
    <w:rsid w:val="00584EB6"/>
    <w:rsid w:val="0058687C"/>
    <w:rsid w:val="00586B68"/>
    <w:rsid w:val="0058774E"/>
    <w:rsid w:val="005878CF"/>
    <w:rsid w:val="00590CA0"/>
    <w:rsid w:val="005916AA"/>
    <w:rsid w:val="00592642"/>
    <w:rsid w:val="00592CEE"/>
    <w:rsid w:val="00595B01"/>
    <w:rsid w:val="0059614C"/>
    <w:rsid w:val="00596D98"/>
    <w:rsid w:val="005979A5"/>
    <w:rsid w:val="005A0021"/>
    <w:rsid w:val="005A017B"/>
    <w:rsid w:val="005A2AEC"/>
    <w:rsid w:val="005A2B42"/>
    <w:rsid w:val="005A412D"/>
    <w:rsid w:val="005A5212"/>
    <w:rsid w:val="005B002D"/>
    <w:rsid w:val="005B0FFF"/>
    <w:rsid w:val="005B115A"/>
    <w:rsid w:val="005B19AF"/>
    <w:rsid w:val="005B258C"/>
    <w:rsid w:val="005B2E43"/>
    <w:rsid w:val="005B61DD"/>
    <w:rsid w:val="005B6735"/>
    <w:rsid w:val="005B68CE"/>
    <w:rsid w:val="005B7831"/>
    <w:rsid w:val="005C0CD6"/>
    <w:rsid w:val="005C12D9"/>
    <w:rsid w:val="005C2146"/>
    <w:rsid w:val="005C2D80"/>
    <w:rsid w:val="005C309D"/>
    <w:rsid w:val="005C544B"/>
    <w:rsid w:val="005C5916"/>
    <w:rsid w:val="005C5AEE"/>
    <w:rsid w:val="005C774A"/>
    <w:rsid w:val="005D0868"/>
    <w:rsid w:val="005D2A08"/>
    <w:rsid w:val="005D2A26"/>
    <w:rsid w:val="005D32F3"/>
    <w:rsid w:val="005D3734"/>
    <w:rsid w:val="005D4F16"/>
    <w:rsid w:val="005D5A53"/>
    <w:rsid w:val="005D5DA0"/>
    <w:rsid w:val="005D5DA8"/>
    <w:rsid w:val="005D7FBD"/>
    <w:rsid w:val="005E19B4"/>
    <w:rsid w:val="005E1D6B"/>
    <w:rsid w:val="005E227A"/>
    <w:rsid w:val="005E2CF8"/>
    <w:rsid w:val="005E3126"/>
    <w:rsid w:val="005E6C75"/>
    <w:rsid w:val="005E7075"/>
    <w:rsid w:val="005E75A7"/>
    <w:rsid w:val="005F38E2"/>
    <w:rsid w:val="005F3EE6"/>
    <w:rsid w:val="005F4745"/>
    <w:rsid w:val="005F644A"/>
    <w:rsid w:val="005F6736"/>
    <w:rsid w:val="005F6E2B"/>
    <w:rsid w:val="005F77F0"/>
    <w:rsid w:val="00601A62"/>
    <w:rsid w:val="006024B0"/>
    <w:rsid w:val="00602C10"/>
    <w:rsid w:val="00602EBD"/>
    <w:rsid w:val="00604CF2"/>
    <w:rsid w:val="006055C9"/>
    <w:rsid w:val="00606DFF"/>
    <w:rsid w:val="00606FB7"/>
    <w:rsid w:val="00610533"/>
    <w:rsid w:val="00610F11"/>
    <w:rsid w:val="006110F6"/>
    <w:rsid w:val="00611FA1"/>
    <w:rsid w:val="00612522"/>
    <w:rsid w:val="00612DA6"/>
    <w:rsid w:val="0061365B"/>
    <w:rsid w:val="006138B6"/>
    <w:rsid w:val="00614BC6"/>
    <w:rsid w:val="00614E33"/>
    <w:rsid w:val="006158B8"/>
    <w:rsid w:val="0061706D"/>
    <w:rsid w:val="006173DA"/>
    <w:rsid w:val="00617EF9"/>
    <w:rsid w:val="00620295"/>
    <w:rsid w:val="00621F88"/>
    <w:rsid w:val="00622F8E"/>
    <w:rsid w:val="006244D4"/>
    <w:rsid w:val="0062569A"/>
    <w:rsid w:val="00626AC8"/>
    <w:rsid w:val="00627912"/>
    <w:rsid w:val="00631346"/>
    <w:rsid w:val="0063195F"/>
    <w:rsid w:val="006346D5"/>
    <w:rsid w:val="006368FD"/>
    <w:rsid w:val="00636C0A"/>
    <w:rsid w:val="00637EC6"/>
    <w:rsid w:val="0064240C"/>
    <w:rsid w:val="00642A53"/>
    <w:rsid w:val="00642FF5"/>
    <w:rsid w:val="006430FB"/>
    <w:rsid w:val="00643992"/>
    <w:rsid w:val="00644DBC"/>
    <w:rsid w:val="00646FE6"/>
    <w:rsid w:val="00647405"/>
    <w:rsid w:val="006474CD"/>
    <w:rsid w:val="00647744"/>
    <w:rsid w:val="006479A0"/>
    <w:rsid w:val="006500D9"/>
    <w:rsid w:val="00653B54"/>
    <w:rsid w:val="006541A3"/>
    <w:rsid w:val="00654FAD"/>
    <w:rsid w:val="00655C9F"/>
    <w:rsid w:val="006567FF"/>
    <w:rsid w:val="00656867"/>
    <w:rsid w:val="0066109F"/>
    <w:rsid w:val="00663D6B"/>
    <w:rsid w:val="006644B2"/>
    <w:rsid w:val="00664B26"/>
    <w:rsid w:val="0066596B"/>
    <w:rsid w:val="00666E49"/>
    <w:rsid w:val="00670295"/>
    <w:rsid w:val="006704F5"/>
    <w:rsid w:val="00670EA8"/>
    <w:rsid w:val="00672894"/>
    <w:rsid w:val="00674B47"/>
    <w:rsid w:val="0067609E"/>
    <w:rsid w:val="00676BE1"/>
    <w:rsid w:val="00677749"/>
    <w:rsid w:val="00677FBA"/>
    <w:rsid w:val="00680E07"/>
    <w:rsid w:val="00682B9D"/>
    <w:rsid w:val="00683806"/>
    <w:rsid w:val="006869B5"/>
    <w:rsid w:val="00686AF9"/>
    <w:rsid w:val="006910C0"/>
    <w:rsid w:val="00691954"/>
    <w:rsid w:val="0069320E"/>
    <w:rsid w:val="00693D13"/>
    <w:rsid w:val="00694F58"/>
    <w:rsid w:val="006955BC"/>
    <w:rsid w:val="006959E2"/>
    <w:rsid w:val="00696920"/>
    <w:rsid w:val="00697A54"/>
    <w:rsid w:val="00697EB9"/>
    <w:rsid w:val="006A0712"/>
    <w:rsid w:val="006A0970"/>
    <w:rsid w:val="006A20D4"/>
    <w:rsid w:val="006A268D"/>
    <w:rsid w:val="006A350F"/>
    <w:rsid w:val="006A3957"/>
    <w:rsid w:val="006A39A4"/>
    <w:rsid w:val="006A41D6"/>
    <w:rsid w:val="006A669D"/>
    <w:rsid w:val="006A6E41"/>
    <w:rsid w:val="006B012F"/>
    <w:rsid w:val="006B27CF"/>
    <w:rsid w:val="006B41BD"/>
    <w:rsid w:val="006B5678"/>
    <w:rsid w:val="006B62B2"/>
    <w:rsid w:val="006B6825"/>
    <w:rsid w:val="006B7293"/>
    <w:rsid w:val="006C1C57"/>
    <w:rsid w:val="006C3246"/>
    <w:rsid w:val="006C5760"/>
    <w:rsid w:val="006C6D6F"/>
    <w:rsid w:val="006D0D78"/>
    <w:rsid w:val="006D1128"/>
    <w:rsid w:val="006D22D6"/>
    <w:rsid w:val="006D2848"/>
    <w:rsid w:val="006D30E0"/>
    <w:rsid w:val="006D5521"/>
    <w:rsid w:val="006D5FE9"/>
    <w:rsid w:val="006D6CBB"/>
    <w:rsid w:val="006D76A9"/>
    <w:rsid w:val="006D77F4"/>
    <w:rsid w:val="006E0898"/>
    <w:rsid w:val="006E200F"/>
    <w:rsid w:val="006E2569"/>
    <w:rsid w:val="006E26D5"/>
    <w:rsid w:val="006E3AED"/>
    <w:rsid w:val="006E41CD"/>
    <w:rsid w:val="006E7129"/>
    <w:rsid w:val="006E769C"/>
    <w:rsid w:val="006F3502"/>
    <w:rsid w:val="006F39E8"/>
    <w:rsid w:val="006F3BEC"/>
    <w:rsid w:val="006F4804"/>
    <w:rsid w:val="00701846"/>
    <w:rsid w:val="00701F7D"/>
    <w:rsid w:val="00702710"/>
    <w:rsid w:val="00703C00"/>
    <w:rsid w:val="00703EF3"/>
    <w:rsid w:val="007057CC"/>
    <w:rsid w:val="007066F2"/>
    <w:rsid w:val="00706AE5"/>
    <w:rsid w:val="0070740A"/>
    <w:rsid w:val="00710BE7"/>
    <w:rsid w:val="00710F1B"/>
    <w:rsid w:val="00711F45"/>
    <w:rsid w:val="00711F93"/>
    <w:rsid w:val="00712940"/>
    <w:rsid w:val="007141CF"/>
    <w:rsid w:val="0071428C"/>
    <w:rsid w:val="00715A16"/>
    <w:rsid w:val="007164B0"/>
    <w:rsid w:val="007166FF"/>
    <w:rsid w:val="00721B3D"/>
    <w:rsid w:val="007260CC"/>
    <w:rsid w:val="00726543"/>
    <w:rsid w:val="00726FF9"/>
    <w:rsid w:val="00730AEF"/>
    <w:rsid w:val="0073353E"/>
    <w:rsid w:val="007343F8"/>
    <w:rsid w:val="00736633"/>
    <w:rsid w:val="00741EE7"/>
    <w:rsid w:val="00743A79"/>
    <w:rsid w:val="007444D4"/>
    <w:rsid w:val="0074594D"/>
    <w:rsid w:val="007459F3"/>
    <w:rsid w:val="00745C77"/>
    <w:rsid w:val="00746E35"/>
    <w:rsid w:val="007470E2"/>
    <w:rsid w:val="0075232F"/>
    <w:rsid w:val="00753132"/>
    <w:rsid w:val="007550B3"/>
    <w:rsid w:val="0075691C"/>
    <w:rsid w:val="00756CB8"/>
    <w:rsid w:val="00760451"/>
    <w:rsid w:val="00763B2A"/>
    <w:rsid w:val="007640BB"/>
    <w:rsid w:val="00767589"/>
    <w:rsid w:val="0077156C"/>
    <w:rsid w:val="0077182A"/>
    <w:rsid w:val="00771913"/>
    <w:rsid w:val="00772275"/>
    <w:rsid w:val="00772718"/>
    <w:rsid w:val="00775BCF"/>
    <w:rsid w:val="007767AD"/>
    <w:rsid w:val="00776D33"/>
    <w:rsid w:val="007818AA"/>
    <w:rsid w:val="00782184"/>
    <w:rsid w:val="00783140"/>
    <w:rsid w:val="007838B6"/>
    <w:rsid w:val="00783E77"/>
    <w:rsid w:val="0078425F"/>
    <w:rsid w:val="0078522B"/>
    <w:rsid w:val="007906F1"/>
    <w:rsid w:val="007914E1"/>
    <w:rsid w:val="0079243D"/>
    <w:rsid w:val="00794A9B"/>
    <w:rsid w:val="0079583B"/>
    <w:rsid w:val="00796602"/>
    <w:rsid w:val="00796A05"/>
    <w:rsid w:val="00797185"/>
    <w:rsid w:val="007976B7"/>
    <w:rsid w:val="00797A7E"/>
    <w:rsid w:val="00797D6F"/>
    <w:rsid w:val="007A09C0"/>
    <w:rsid w:val="007A5FD5"/>
    <w:rsid w:val="007B014B"/>
    <w:rsid w:val="007B0D88"/>
    <w:rsid w:val="007B306F"/>
    <w:rsid w:val="007B4714"/>
    <w:rsid w:val="007B4E82"/>
    <w:rsid w:val="007B5976"/>
    <w:rsid w:val="007B7BFA"/>
    <w:rsid w:val="007C1996"/>
    <w:rsid w:val="007C34C0"/>
    <w:rsid w:val="007C3773"/>
    <w:rsid w:val="007C3F1F"/>
    <w:rsid w:val="007C5574"/>
    <w:rsid w:val="007C725D"/>
    <w:rsid w:val="007D2D0D"/>
    <w:rsid w:val="007D3325"/>
    <w:rsid w:val="007D3818"/>
    <w:rsid w:val="007D4D2A"/>
    <w:rsid w:val="007D5527"/>
    <w:rsid w:val="007D5788"/>
    <w:rsid w:val="007D6DC5"/>
    <w:rsid w:val="007D7425"/>
    <w:rsid w:val="007E0734"/>
    <w:rsid w:val="007E130D"/>
    <w:rsid w:val="007E320E"/>
    <w:rsid w:val="007E3280"/>
    <w:rsid w:val="007E4A02"/>
    <w:rsid w:val="007E595C"/>
    <w:rsid w:val="007E59A5"/>
    <w:rsid w:val="007F0A2D"/>
    <w:rsid w:val="007F3B8C"/>
    <w:rsid w:val="007F3D6F"/>
    <w:rsid w:val="007F41D0"/>
    <w:rsid w:val="007F4B8B"/>
    <w:rsid w:val="007F5957"/>
    <w:rsid w:val="007F6723"/>
    <w:rsid w:val="007F7003"/>
    <w:rsid w:val="007F70B6"/>
    <w:rsid w:val="007F74CA"/>
    <w:rsid w:val="00800F1E"/>
    <w:rsid w:val="0080195A"/>
    <w:rsid w:val="0080239C"/>
    <w:rsid w:val="00802841"/>
    <w:rsid w:val="008037D5"/>
    <w:rsid w:val="00805447"/>
    <w:rsid w:val="008054FA"/>
    <w:rsid w:val="00806F17"/>
    <w:rsid w:val="0080717A"/>
    <w:rsid w:val="00807DFA"/>
    <w:rsid w:val="0081009F"/>
    <w:rsid w:val="00810152"/>
    <w:rsid w:val="008115AB"/>
    <w:rsid w:val="00811755"/>
    <w:rsid w:val="00812D2C"/>
    <w:rsid w:val="0081380C"/>
    <w:rsid w:val="0081594E"/>
    <w:rsid w:val="008159F4"/>
    <w:rsid w:val="00815CC9"/>
    <w:rsid w:val="008167C1"/>
    <w:rsid w:val="008167C6"/>
    <w:rsid w:val="00816B8F"/>
    <w:rsid w:val="00816BB5"/>
    <w:rsid w:val="00820331"/>
    <w:rsid w:val="00820BF5"/>
    <w:rsid w:val="008212B1"/>
    <w:rsid w:val="00821427"/>
    <w:rsid w:val="0082155A"/>
    <w:rsid w:val="00821928"/>
    <w:rsid w:val="0082209F"/>
    <w:rsid w:val="008223C2"/>
    <w:rsid w:val="00822515"/>
    <w:rsid w:val="0082386A"/>
    <w:rsid w:val="008250A2"/>
    <w:rsid w:val="00825D64"/>
    <w:rsid w:val="0082650B"/>
    <w:rsid w:val="008301CE"/>
    <w:rsid w:val="008312E3"/>
    <w:rsid w:val="00831489"/>
    <w:rsid w:val="00831D5B"/>
    <w:rsid w:val="008325C3"/>
    <w:rsid w:val="00832DD6"/>
    <w:rsid w:val="00832F0C"/>
    <w:rsid w:val="008336F2"/>
    <w:rsid w:val="008345D9"/>
    <w:rsid w:val="008347CB"/>
    <w:rsid w:val="00835647"/>
    <w:rsid w:val="00836F07"/>
    <w:rsid w:val="00837A2E"/>
    <w:rsid w:val="008407CF"/>
    <w:rsid w:val="00841558"/>
    <w:rsid w:val="00842073"/>
    <w:rsid w:val="00842A68"/>
    <w:rsid w:val="008435BA"/>
    <w:rsid w:val="0084528A"/>
    <w:rsid w:val="0084558B"/>
    <w:rsid w:val="0084654A"/>
    <w:rsid w:val="00847654"/>
    <w:rsid w:val="00851064"/>
    <w:rsid w:val="008524D9"/>
    <w:rsid w:val="00855543"/>
    <w:rsid w:val="008566B3"/>
    <w:rsid w:val="008576B7"/>
    <w:rsid w:val="00857F7B"/>
    <w:rsid w:val="00863DA1"/>
    <w:rsid w:val="008654A6"/>
    <w:rsid w:val="00865D86"/>
    <w:rsid w:val="008665EC"/>
    <w:rsid w:val="00866BCE"/>
    <w:rsid w:val="00867183"/>
    <w:rsid w:val="00870495"/>
    <w:rsid w:val="008708D1"/>
    <w:rsid w:val="00870EA1"/>
    <w:rsid w:val="008710C5"/>
    <w:rsid w:val="00874438"/>
    <w:rsid w:val="00874E75"/>
    <w:rsid w:val="008757F9"/>
    <w:rsid w:val="008767F3"/>
    <w:rsid w:val="00876CEF"/>
    <w:rsid w:val="00877342"/>
    <w:rsid w:val="008776EA"/>
    <w:rsid w:val="008803C3"/>
    <w:rsid w:val="00881450"/>
    <w:rsid w:val="008815E2"/>
    <w:rsid w:val="008817C7"/>
    <w:rsid w:val="00881875"/>
    <w:rsid w:val="008848A3"/>
    <w:rsid w:val="00884AF1"/>
    <w:rsid w:val="0088578A"/>
    <w:rsid w:val="00885F7A"/>
    <w:rsid w:val="00890712"/>
    <w:rsid w:val="0089076F"/>
    <w:rsid w:val="00890D81"/>
    <w:rsid w:val="00892955"/>
    <w:rsid w:val="00893628"/>
    <w:rsid w:val="008941EB"/>
    <w:rsid w:val="00894D40"/>
    <w:rsid w:val="0089545A"/>
    <w:rsid w:val="00895A02"/>
    <w:rsid w:val="008A01EE"/>
    <w:rsid w:val="008A0DAC"/>
    <w:rsid w:val="008A3B78"/>
    <w:rsid w:val="008A4166"/>
    <w:rsid w:val="008A6702"/>
    <w:rsid w:val="008A7DBF"/>
    <w:rsid w:val="008B136C"/>
    <w:rsid w:val="008B1716"/>
    <w:rsid w:val="008B418C"/>
    <w:rsid w:val="008B55EF"/>
    <w:rsid w:val="008B6910"/>
    <w:rsid w:val="008C05AC"/>
    <w:rsid w:val="008C068F"/>
    <w:rsid w:val="008C0B5C"/>
    <w:rsid w:val="008C1343"/>
    <w:rsid w:val="008C3912"/>
    <w:rsid w:val="008C3A3D"/>
    <w:rsid w:val="008C5598"/>
    <w:rsid w:val="008C69EA"/>
    <w:rsid w:val="008C6F8B"/>
    <w:rsid w:val="008C7043"/>
    <w:rsid w:val="008C7AB7"/>
    <w:rsid w:val="008C7F7C"/>
    <w:rsid w:val="008C7FB4"/>
    <w:rsid w:val="008D1BF9"/>
    <w:rsid w:val="008D2C8C"/>
    <w:rsid w:val="008D3040"/>
    <w:rsid w:val="008D3ECD"/>
    <w:rsid w:val="008D58F6"/>
    <w:rsid w:val="008D5C03"/>
    <w:rsid w:val="008D7580"/>
    <w:rsid w:val="008D7772"/>
    <w:rsid w:val="008D7C35"/>
    <w:rsid w:val="008E043C"/>
    <w:rsid w:val="008E2400"/>
    <w:rsid w:val="008E5698"/>
    <w:rsid w:val="008E5733"/>
    <w:rsid w:val="008E77D2"/>
    <w:rsid w:val="008E78FD"/>
    <w:rsid w:val="008F199D"/>
    <w:rsid w:val="008F38A0"/>
    <w:rsid w:val="008F39C9"/>
    <w:rsid w:val="008F5EB5"/>
    <w:rsid w:val="008F6727"/>
    <w:rsid w:val="008F678C"/>
    <w:rsid w:val="008F75A7"/>
    <w:rsid w:val="008F7E5A"/>
    <w:rsid w:val="00900A7F"/>
    <w:rsid w:val="009036EE"/>
    <w:rsid w:val="00905815"/>
    <w:rsid w:val="00905D1D"/>
    <w:rsid w:val="0091016D"/>
    <w:rsid w:val="009108A7"/>
    <w:rsid w:val="00910C98"/>
    <w:rsid w:val="00911910"/>
    <w:rsid w:val="00912A58"/>
    <w:rsid w:val="00913908"/>
    <w:rsid w:val="00913D26"/>
    <w:rsid w:val="0091438B"/>
    <w:rsid w:val="009147E3"/>
    <w:rsid w:val="00917B23"/>
    <w:rsid w:val="00920BD8"/>
    <w:rsid w:val="00920FD2"/>
    <w:rsid w:val="009237B1"/>
    <w:rsid w:val="00923A43"/>
    <w:rsid w:val="0092439C"/>
    <w:rsid w:val="0092498E"/>
    <w:rsid w:val="00925B91"/>
    <w:rsid w:val="009321BF"/>
    <w:rsid w:val="00934461"/>
    <w:rsid w:val="00934F7E"/>
    <w:rsid w:val="00936A1C"/>
    <w:rsid w:val="00937726"/>
    <w:rsid w:val="009402C2"/>
    <w:rsid w:val="00940681"/>
    <w:rsid w:val="00943E35"/>
    <w:rsid w:val="0094419A"/>
    <w:rsid w:val="00945278"/>
    <w:rsid w:val="0094658D"/>
    <w:rsid w:val="00947678"/>
    <w:rsid w:val="00947878"/>
    <w:rsid w:val="009504C2"/>
    <w:rsid w:val="009509DA"/>
    <w:rsid w:val="0095254A"/>
    <w:rsid w:val="0095273B"/>
    <w:rsid w:val="009559E1"/>
    <w:rsid w:val="009568D5"/>
    <w:rsid w:val="00957CD3"/>
    <w:rsid w:val="0096269B"/>
    <w:rsid w:val="00963353"/>
    <w:rsid w:val="00963963"/>
    <w:rsid w:val="00963FB0"/>
    <w:rsid w:val="00964C86"/>
    <w:rsid w:val="00965966"/>
    <w:rsid w:val="00965E82"/>
    <w:rsid w:val="009664BB"/>
    <w:rsid w:val="009669F8"/>
    <w:rsid w:val="00966F89"/>
    <w:rsid w:val="0097090D"/>
    <w:rsid w:val="00971FDE"/>
    <w:rsid w:val="00973337"/>
    <w:rsid w:val="00973B5D"/>
    <w:rsid w:val="0097755E"/>
    <w:rsid w:val="009805E7"/>
    <w:rsid w:val="00980AF8"/>
    <w:rsid w:val="00981467"/>
    <w:rsid w:val="00981C24"/>
    <w:rsid w:val="009852F6"/>
    <w:rsid w:val="00985DE5"/>
    <w:rsid w:val="00986254"/>
    <w:rsid w:val="0098729E"/>
    <w:rsid w:val="00990067"/>
    <w:rsid w:val="00992450"/>
    <w:rsid w:val="00992977"/>
    <w:rsid w:val="009937D4"/>
    <w:rsid w:val="00993C78"/>
    <w:rsid w:val="009948C7"/>
    <w:rsid w:val="00995850"/>
    <w:rsid w:val="0099796C"/>
    <w:rsid w:val="009A194E"/>
    <w:rsid w:val="009A1EA2"/>
    <w:rsid w:val="009A209E"/>
    <w:rsid w:val="009A3FD7"/>
    <w:rsid w:val="009A4532"/>
    <w:rsid w:val="009A6652"/>
    <w:rsid w:val="009A74FD"/>
    <w:rsid w:val="009B108A"/>
    <w:rsid w:val="009B25D8"/>
    <w:rsid w:val="009B42E3"/>
    <w:rsid w:val="009B5859"/>
    <w:rsid w:val="009B7315"/>
    <w:rsid w:val="009C53C1"/>
    <w:rsid w:val="009C6D07"/>
    <w:rsid w:val="009C7CEC"/>
    <w:rsid w:val="009D154D"/>
    <w:rsid w:val="009D18EF"/>
    <w:rsid w:val="009D3BE8"/>
    <w:rsid w:val="009D43C6"/>
    <w:rsid w:val="009D44E0"/>
    <w:rsid w:val="009D573B"/>
    <w:rsid w:val="009D59A0"/>
    <w:rsid w:val="009D716A"/>
    <w:rsid w:val="009E06E3"/>
    <w:rsid w:val="009E1AC4"/>
    <w:rsid w:val="009E2031"/>
    <w:rsid w:val="009E20B8"/>
    <w:rsid w:val="009E29A0"/>
    <w:rsid w:val="009E41B5"/>
    <w:rsid w:val="009E4F85"/>
    <w:rsid w:val="009E55D7"/>
    <w:rsid w:val="009E627C"/>
    <w:rsid w:val="009F110B"/>
    <w:rsid w:val="009F1192"/>
    <w:rsid w:val="009F1498"/>
    <w:rsid w:val="009F1E5D"/>
    <w:rsid w:val="009F1E9F"/>
    <w:rsid w:val="009F3793"/>
    <w:rsid w:val="009F4B25"/>
    <w:rsid w:val="009F54F2"/>
    <w:rsid w:val="009F5F75"/>
    <w:rsid w:val="00A0056B"/>
    <w:rsid w:val="00A01657"/>
    <w:rsid w:val="00A01C65"/>
    <w:rsid w:val="00A01F84"/>
    <w:rsid w:val="00A0213D"/>
    <w:rsid w:val="00A04C73"/>
    <w:rsid w:val="00A0679A"/>
    <w:rsid w:val="00A06947"/>
    <w:rsid w:val="00A07A2B"/>
    <w:rsid w:val="00A12375"/>
    <w:rsid w:val="00A125B8"/>
    <w:rsid w:val="00A13124"/>
    <w:rsid w:val="00A141FA"/>
    <w:rsid w:val="00A15370"/>
    <w:rsid w:val="00A156AB"/>
    <w:rsid w:val="00A15C7F"/>
    <w:rsid w:val="00A16B8D"/>
    <w:rsid w:val="00A20CA9"/>
    <w:rsid w:val="00A21293"/>
    <w:rsid w:val="00A2134B"/>
    <w:rsid w:val="00A21623"/>
    <w:rsid w:val="00A220EB"/>
    <w:rsid w:val="00A22302"/>
    <w:rsid w:val="00A23090"/>
    <w:rsid w:val="00A238A0"/>
    <w:rsid w:val="00A23DCD"/>
    <w:rsid w:val="00A25F1B"/>
    <w:rsid w:val="00A325F3"/>
    <w:rsid w:val="00A33103"/>
    <w:rsid w:val="00A33294"/>
    <w:rsid w:val="00A332CA"/>
    <w:rsid w:val="00A3352C"/>
    <w:rsid w:val="00A357BC"/>
    <w:rsid w:val="00A35DCB"/>
    <w:rsid w:val="00A3690E"/>
    <w:rsid w:val="00A37751"/>
    <w:rsid w:val="00A406B1"/>
    <w:rsid w:val="00A4113E"/>
    <w:rsid w:val="00A42435"/>
    <w:rsid w:val="00A438BA"/>
    <w:rsid w:val="00A446FD"/>
    <w:rsid w:val="00A46F46"/>
    <w:rsid w:val="00A50F90"/>
    <w:rsid w:val="00A52CB6"/>
    <w:rsid w:val="00A52F99"/>
    <w:rsid w:val="00A538BB"/>
    <w:rsid w:val="00A53907"/>
    <w:rsid w:val="00A54164"/>
    <w:rsid w:val="00A54B7F"/>
    <w:rsid w:val="00A553CD"/>
    <w:rsid w:val="00A55F3C"/>
    <w:rsid w:val="00A56737"/>
    <w:rsid w:val="00A60002"/>
    <w:rsid w:val="00A603D8"/>
    <w:rsid w:val="00A60AE2"/>
    <w:rsid w:val="00A61834"/>
    <w:rsid w:val="00A618B0"/>
    <w:rsid w:val="00A62790"/>
    <w:rsid w:val="00A6291F"/>
    <w:rsid w:val="00A62F16"/>
    <w:rsid w:val="00A636AA"/>
    <w:rsid w:val="00A63F53"/>
    <w:rsid w:val="00A67A00"/>
    <w:rsid w:val="00A7111E"/>
    <w:rsid w:val="00A722E1"/>
    <w:rsid w:val="00A74234"/>
    <w:rsid w:val="00A755B6"/>
    <w:rsid w:val="00A75B1A"/>
    <w:rsid w:val="00A80ED4"/>
    <w:rsid w:val="00A816C4"/>
    <w:rsid w:val="00A82981"/>
    <w:rsid w:val="00A857A3"/>
    <w:rsid w:val="00A86F10"/>
    <w:rsid w:val="00A8717A"/>
    <w:rsid w:val="00A87AF2"/>
    <w:rsid w:val="00A90B23"/>
    <w:rsid w:val="00A93193"/>
    <w:rsid w:val="00A93C2B"/>
    <w:rsid w:val="00A94556"/>
    <w:rsid w:val="00A95738"/>
    <w:rsid w:val="00A974CB"/>
    <w:rsid w:val="00AA1EAC"/>
    <w:rsid w:val="00AA2399"/>
    <w:rsid w:val="00AA45E2"/>
    <w:rsid w:val="00AA7AC1"/>
    <w:rsid w:val="00AB143C"/>
    <w:rsid w:val="00AB3C22"/>
    <w:rsid w:val="00AB6327"/>
    <w:rsid w:val="00AB6B8F"/>
    <w:rsid w:val="00AC0C65"/>
    <w:rsid w:val="00AC0FB2"/>
    <w:rsid w:val="00AC3721"/>
    <w:rsid w:val="00AC41C6"/>
    <w:rsid w:val="00AC68E9"/>
    <w:rsid w:val="00AC70C7"/>
    <w:rsid w:val="00AC76B7"/>
    <w:rsid w:val="00AD0223"/>
    <w:rsid w:val="00AD123A"/>
    <w:rsid w:val="00AD15FF"/>
    <w:rsid w:val="00AD1AA5"/>
    <w:rsid w:val="00AD2153"/>
    <w:rsid w:val="00AD2920"/>
    <w:rsid w:val="00AD2CD5"/>
    <w:rsid w:val="00AD2DFC"/>
    <w:rsid w:val="00AD38C4"/>
    <w:rsid w:val="00AD3B0B"/>
    <w:rsid w:val="00AD4EDD"/>
    <w:rsid w:val="00AD5A4A"/>
    <w:rsid w:val="00AD60EE"/>
    <w:rsid w:val="00AD6A2B"/>
    <w:rsid w:val="00AD73D4"/>
    <w:rsid w:val="00AE05D0"/>
    <w:rsid w:val="00AE1EA2"/>
    <w:rsid w:val="00AE2874"/>
    <w:rsid w:val="00AE2BA2"/>
    <w:rsid w:val="00AE2F98"/>
    <w:rsid w:val="00AE3602"/>
    <w:rsid w:val="00AE5342"/>
    <w:rsid w:val="00AE58CC"/>
    <w:rsid w:val="00AE5987"/>
    <w:rsid w:val="00AE5CC1"/>
    <w:rsid w:val="00AE5D9C"/>
    <w:rsid w:val="00AE6472"/>
    <w:rsid w:val="00AE668E"/>
    <w:rsid w:val="00AF1345"/>
    <w:rsid w:val="00AF38A8"/>
    <w:rsid w:val="00AF63EB"/>
    <w:rsid w:val="00B016D2"/>
    <w:rsid w:val="00B018EC"/>
    <w:rsid w:val="00B060C7"/>
    <w:rsid w:val="00B11AB7"/>
    <w:rsid w:val="00B12213"/>
    <w:rsid w:val="00B13710"/>
    <w:rsid w:val="00B16472"/>
    <w:rsid w:val="00B20DBA"/>
    <w:rsid w:val="00B22881"/>
    <w:rsid w:val="00B23EFC"/>
    <w:rsid w:val="00B24B72"/>
    <w:rsid w:val="00B25DB8"/>
    <w:rsid w:val="00B2656C"/>
    <w:rsid w:val="00B266E6"/>
    <w:rsid w:val="00B3094D"/>
    <w:rsid w:val="00B30B04"/>
    <w:rsid w:val="00B311BC"/>
    <w:rsid w:val="00B31810"/>
    <w:rsid w:val="00B31C10"/>
    <w:rsid w:val="00B3446D"/>
    <w:rsid w:val="00B34652"/>
    <w:rsid w:val="00B34F89"/>
    <w:rsid w:val="00B35764"/>
    <w:rsid w:val="00B358C8"/>
    <w:rsid w:val="00B36185"/>
    <w:rsid w:val="00B3662F"/>
    <w:rsid w:val="00B36757"/>
    <w:rsid w:val="00B373CD"/>
    <w:rsid w:val="00B377C8"/>
    <w:rsid w:val="00B400B8"/>
    <w:rsid w:val="00B404DE"/>
    <w:rsid w:val="00B40765"/>
    <w:rsid w:val="00B4232D"/>
    <w:rsid w:val="00B42682"/>
    <w:rsid w:val="00B42E79"/>
    <w:rsid w:val="00B43065"/>
    <w:rsid w:val="00B44784"/>
    <w:rsid w:val="00B449D0"/>
    <w:rsid w:val="00B456AB"/>
    <w:rsid w:val="00B460E0"/>
    <w:rsid w:val="00B46C2A"/>
    <w:rsid w:val="00B47E8B"/>
    <w:rsid w:val="00B51C67"/>
    <w:rsid w:val="00B53F86"/>
    <w:rsid w:val="00B53FDC"/>
    <w:rsid w:val="00B55431"/>
    <w:rsid w:val="00B55CAE"/>
    <w:rsid w:val="00B576C6"/>
    <w:rsid w:val="00B615F2"/>
    <w:rsid w:val="00B61A28"/>
    <w:rsid w:val="00B61B3C"/>
    <w:rsid w:val="00B62BE7"/>
    <w:rsid w:val="00B63BA4"/>
    <w:rsid w:val="00B65C6D"/>
    <w:rsid w:val="00B66B06"/>
    <w:rsid w:val="00B67862"/>
    <w:rsid w:val="00B70634"/>
    <w:rsid w:val="00B70BE4"/>
    <w:rsid w:val="00B73880"/>
    <w:rsid w:val="00B73CF1"/>
    <w:rsid w:val="00B745B3"/>
    <w:rsid w:val="00B75772"/>
    <w:rsid w:val="00B7599D"/>
    <w:rsid w:val="00B761B6"/>
    <w:rsid w:val="00B7648F"/>
    <w:rsid w:val="00B76E13"/>
    <w:rsid w:val="00B771EE"/>
    <w:rsid w:val="00B7765B"/>
    <w:rsid w:val="00B77B4B"/>
    <w:rsid w:val="00B77F6C"/>
    <w:rsid w:val="00B8049F"/>
    <w:rsid w:val="00B80ABC"/>
    <w:rsid w:val="00B814C2"/>
    <w:rsid w:val="00B87ACA"/>
    <w:rsid w:val="00B900FE"/>
    <w:rsid w:val="00B9064C"/>
    <w:rsid w:val="00B92C72"/>
    <w:rsid w:val="00B97435"/>
    <w:rsid w:val="00B97524"/>
    <w:rsid w:val="00BA0A14"/>
    <w:rsid w:val="00BA228D"/>
    <w:rsid w:val="00BA2850"/>
    <w:rsid w:val="00BA398D"/>
    <w:rsid w:val="00BA39D3"/>
    <w:rsid w:val="00BA3D76"/>
    <w:rsid w:val="00BA4B20"/>
    <w:rsid w:val="00BA5C56"/>
    <w:rsid w:val="00BA776F"/>
    <w:rsid w:val="00BB03D9"/>
    <w:rsid w:val="00BB0C0D"/>
    <w:rsid w:val="00BB0D69"/>
    <w:rsid w:val="00BB366E"/>
    <w:rsid w:val="00BB3AF0"/>
    <w:rsid w:val="00BB3C8F"/>
    <w:rsid w:val="00BB3F21"/>
    <w:rsid w:val="00BB4E2A"/>
    <w:rsid w:val="00BB4F70"/>
    <w:rsid w:val="00BB67FF"/>
    <w:rsid w:val="00BC11B9"/>
    <w:rsid w:val="00BC138C"/>
    <w:rsid w:val="00BC14CF"/>
    <w:rsid w:val="00BC1659"/>
    <w:rsid w:val="00BC2C91"/>
    <w:rsid w:val="00BC3A9C"/>
    <w:rsid w:val="00BC5288"/>
    <w:rsid w:val="00BC6A71"/>
    <w:rsid w:val="00BC6B2F"/>
    <w:rsid w:val="00BD0637"/>
    <w:rsid w:val="00BD08A8"/>
    <w:rsid w:val="00BD1BAC"/>
    <w:rsid w:val="00BD1FA8"/>
    <w:rsid w:val="00BD25A6"/>
    <w:rsid w:val="00BD3366"/>
    <w:rsid w:val="00BD4C95"/>
    <w:rsid w:val="00BD65FC"/>
    <w:rsid w:val="00BD7660"/>
    <w:rsid w:val="00BD7FAE"/>
    <w:rsid w:val="00BE0666"/>
    <w:rsid w:val="00BE24B9"/>
    <w:rsid w:val="00BE2AE8"/>
    <w:rsid w:val="00BE2D55"/>
    <w:rsid w:val="00BE38DD"/>
    <w:rsid w:val="00BE4AB1"/>
    <w:rsid w:val="00BE4E41"/>
    <w:rsid w:val="00BE5FBE"/>
    <w:rsid w:val="00BF16C3"/>
    <w:rsid w:val="00BF38E0"/>
    <w:rsid w:val="00BF44FA"/>
    <w:rsid w:val="00BF4C6D"/>
    <w:rsid w:val="00BF57E1"/>
    <w:rsid w:val="00C003B4"/>
    <w:rsid w:val="00C00A5F"/>
    <w:rsid w:val="00C037D8"/>
    <w:rsid w:val="00C041CF"/>
    <w:rsid w:val="00C042E0"/>
    <w:rsid w:val="00C051D9"/>
    <w:rsid w:val="00C06333"/>
    <w:rsid w:val="00C06F68"/>
    <w:rsid w:val="00C075BA"/>
    <w:rsid w:val="00C07880"/>
    <w:rsid w:val="00C10A3A"/>
    <w:rsid w:val="00C11E20"/>
    <w:rsid w:val="00C15D16"/>
    <w:rsid w:val="00C20015"/>
    <w:rsid w:val="00C247DD"/>
    <w:rsid w:val="00C25B43"/>
    <w:rsid w:val="00C26A54"/>
    <w:rsid w:val="00C3261C"/>
    <w:rsid w:val="00C3318B"/>
    <w:rsid w:val="00C33C20"/>
    <w:rsid w:val="00C35362"/>
    <w:rsid w:val="00C357EA"/>
    <w:rsid w:val="00C35ECA"/>
    <w:rsid w:val="00C379F8"/>
    <w:rsid w:val="00C37A1C"/>
    <w:rsid w:val="00C42323"/>
    <w:rsid w:val="00C4316E"/>
    <w:rsid w:val="00C44718"/>
    <w:rsid w:val="00C453A9"/>
    <w:rsid w:val="00C465D5"/>
    <w:rsid w:val="00C4756A"/>
    <w:rsid w:val="00C47C39"/>
    <w:rsid w:val="00C50649"/>
    <w:rsid w:val="00C50E1F"/>
    <w:rsid w:val="00C51C09"/>
    <w:rsid w:val="00C52BB6"/>
    <w:rsid w:val="00C53471"/>
    <w:rsid w:val="00C55143"/>
    <w:rsid w:val="00C55CD6"/>
    <w:rsid w:val="00C5611B"/>
    <w:rsid w:val="00C5695E"/>
    <w:rsid w:val="00C61528"/>
    <w:rsid w:val="00C632BD"/>
    <w:rsid w:val="00C63457"/>
    <w:rsid w:val="00C64964"/>
    <w:rsid w:val="00C6631E"/>
    <w:rsid w:val="00C67473"/>
    <w:rsid w:val="00C6786A"/>
    <w:rsid w:val="00C67AA4"/>
    <w:rsid w:val="00C7148C"/>
    <w:rsid w:val="00C715AC"/>
    <w:rsid w:val="00C72192"/>
    <w:rsid w:val="00C72361"/>
    <w:rsid w:val="00C732E5"/>
    <w:rsid w:val="00C73D0B"/>
    <w:rsid w:val="00C75017"/>
    <w:rsid w:val="00C765B4"/>
    <w:rsid w:val="00C767A0"/>
    <w:rsid w:val="00C813EA"/>
    <w:rsid w:val="00C81496"/>
    <w:rsid w:val="00C82CE6"/>
    <w:rsid w:val="00C82E22"/>
    <w:rsid w:val="00C85144"/>
    <w:rsid w:val="00C86738"/>
    <w:rsid w:val="00C86A27"/>
    <w:rsid w:val="00C9111F"/>
    <w:rsid w:val="00C91517"/>
    <w:rsid w:val="00C929BD"/>
    <w:rsid w:val="00C931A2"/>
    <w:rsid w:val="00C94224"/>
    <w:rsid w:val="00C943B5"/>
    <w:rsid w:val="00CA02E1"/>
    <w:rsid w:val="00CA15DA"/>
    <w:rsid w:val="00CA224E"/>
    <w:rsid w:val="00CA41C5"/>
    <w:rsid w:val="00CA42B7"/>
    <w:rsid w:val="00CA4A53"/>
    <w:rsid w:val="00CA4F60"/>
    <w:rsid w:val="00CA51F5"/>
    <w:rsid w:val="00CB218A"/>
    <w:rsid w:val="00CB225A"/>
    <w:rsid w:val="00CB311D"/>
    <w:rsid w:val="00CB62E4"/>
    <w:rsid w:val="00CB69E6"/>
    <w:rsid w:val="00CB761B"/>
    <w:rsid w:val="00CB7E33"/>
    <w:rsid w:val="00CC13DF"/>
    <w:rsid w:val="00CC1D36"/>
    <w:rsid w:val="00CC1EEE"/>
    <w:rsid w:val="00CC562B"/>
    <w:rsid w:val="00CC6C15"/>
    <w:rsid w:val="00CC7FCF"/>
    <w:rsid w:val="00CD2749"/>
    <w:rsid w:val="00CD2A60"/>
    <w:rsid w:val="00CD2A62"/>
    <w:rsid w:val="00CD306F"/>
    <w:rsid w:val="00CD3971"/>
    <w:rsid w:val="00CD3DAB"/>
    <w:rsid w:val="00CD7E14"/>
    <w:rsid w:val="00CE0DF1"/>
    <w:rsid w:val="00CE3786"/>
    <w:rsid w:val="00CE4027"/>
    <w:rsid w:val="00CE47CC"/>
    <w:rsid w:val="00CE68F6"/>
    <w:rsid w:val="00CE7E27"/>
    <w:rsid w:val="00CF12E4"/>
    <w:rsid w:val="00CF22AC"/>
    <w:rsid w:val="00CF2F0A"/>
    <w:rsid w:val="00CF3FE1"/>
    <w:rsid w:val="00CF4997"/>
    <w:rsid w:val="00CF79E8"/>
    <w:rsid w:val="00D015AA"/>
    <w:rsid w:val="00D021B8"/>
    <w:rsid w:val="00D03D90"/>
    <w:rsid w:val="00D04024"/>
    <w:rsid w:val="00D043EB"/>
    <w:rsid w:val="00D054D1"/>
    <w:rsid w:val="00D06705"/>
    <w:rsid w:val="00D06A9B"/>
    <w:rsid w:val="00D0750D"/>
    <w:rsid w:val="00D07DD8"/>
    <w:rsid w:val="00D1038F"/>
    <w:rsid w:val="00D10BF7"/>
    <w:rsid w:val="00D10FEB"/>
    <w:rsid w:val="00D120DB"/>
    <w:rsid w:val="00D129E4"/>
    <w:rsid w:val="00D140A0"/>
    <w:rsid w:val="00D16642"/>
    <w:rsid w:val="00D17A0D"/>
    <w:rsid w:val="00D203D1"/>
    <w:rsid w:val="00D2057A"/>
    <w:rsid w:val="00D20E75"/>
    <w:rsid w:val="00D21192"/>
    <w:rsid w:val="00D21D98"/>
    <w:rsid w:val="00D2317F"/>
    <w:rsid w:val="00D231A9"/>
    <w:rsid w:val="00D24391"/>
    <w:rsid w:val="00D2472B"/>
    <w:rsid w:val="00D253DD"/>
    <w:rsid w:val="00D26FFA"/>
    <w:rsid w:val="00D30160"/>
    <w:rsid w:val="00D3215D"/>
    <w:rsid w:val="00D33352"/>
    <w:rsid w:val="00D347D9"/>
    <w:rsid w:val="00D35565"/>
    <w:rsid w:val="00D35E22"/>
    <w:rsid w:val="00D36A19"/>
    <w:rsid w:val="00D40DCF"/>
    <w:rsid w:val="00D41075"/>
    <w:rsid w:val="00D41C76"/>
    <w:rsid w:val="00D41DD8"/>
    <w:rsid w:val="00D4222C"/>
    <w:rsid w:val="00D425CE"/>
    <w:rsid w:val="00D429CA"/>
    <w:rsid w:val="00D42F40"/>
    <w:rsid w:val="00D4396C"/>
    <w:rsid w:val="00D4446F"/>
    <w:rsid w:val="00D44B55"/>
    <w:rsid w:val="00D45490"/>
    <w:rsid w:val="00D457B8"/>
    <w:rsid w:val="00D457E1"/>
    <w:rsid w:val="00D46B7D"/>
    <w:rsid w:val="00D46BA6"/>
    <w:rsid w:val="00D47BEB"/>
    <w:rsid w:val="00D50487"/>
    <w:rsid w:val="00D50563"/>
    <w:rsid w:val="00D50EAD"/>
    <w:rsid w:val="00D50F50"/>
    <w:rsid w:val="00D5235F"/>
    <w:rsid w:val="00D529AB"/>
    <w:rsid w:val="00D52F50"/>
    <w:rsid w:val="00D55A98"/>
    <w:rsid w:val="00D56B49"/>
    <w:rsid w:val="00D6053F"/>
    <w:rsid w:val="00D6073D"/>
    <w:rsid w:val="00D618D6"/>
    <w:rsid w:val="00D62426"/>
    <w:rsid w:val="00D62804"/>
    <w:rsid w:val="00D63DC5"/>
    <w:rsid w:val="00D70F55"/>
    <w:rsid w:val="00D70FA5"/>
    <w:rsid w:val="00D7293C"/>
    <w:rsid w:val="00D74171"/>
    <w:rsid w:val="00D7474C"/>
    <w:rsid w:val="00D7639F"/>
    <w:rsid w:val="00D8032C"/>
    <w:rsid w:val="00D80CE2"/>
    <w:rsid w:val="00D81079"/>
    <w:rsid w:val="00D8177B"/>
    <w:rsid w:val="00D83080"/>
    <w:rsid w:val="00D83E66"/>
    <w:rsid w:val="00D84D5F"/>
    <w:rsid w:val="00D851E2"/>
    <w:rsid w:val="00D85DCA"/>
    <w:rsid w:val="00D87D8D"/>
    <w:rsid w:val="00D87FFA"/>
    <w:rsid w:val="00D91419"/>
    <w:rsid w:val="00D92A09"/>
    <w:rsid w:val="00D92D2A"/>
    <w:rsid w:val="00D92EEC"/>
    <w:rsid w:val="00D93470"/>
    <w:rsid w:val="00D9395F"/>
    <w:rsid w:val="00D93D55"/>
    <w:rsid w:val="00D93F01"/>
    <w:rsid w:val="00D941FA"/>
    <w:rsid w:val="00D94B59"/>
    <w:rsid w:val="00D95315"/>
    <w:rsid w:val="00D95EAB"/>
    <w:rsid w:val="00D95EFD"/>
    <w:rsid w:val="00DA0B39"/>
    <w:rsid w:val="00DA1203"/>
    <w:rsid w:val="00DA2316"/>
    <w:rsid w:val="00DA2462"/>
    <w:rsid w:val="00DA25E0"/>
    <w:rsid w:val="00DA2700"/>
    <w:rsid w:val="00DA3001"/>
    <w:rsid w:val="00DA3C5D"/>
    <w:rsid w:val="00DA3EFF"/>
    <w:rsid w:val="00DA489D"/>
    <w:rsid w:val="00DA7769"/>
    <w:rsid w:val="00DB08C6"/>
    <w:rsid w:val="00DB10CE"/>
    <w:rsid w:val="00DB1145"/>
    <w:rsid w:val="00DB1BC2"/>
    <w:rsid w:val="00DB1CBB"/>
    <w:rsid w:val="00DB31ED"/>
    <w:rsid w:val="00DB4124"/>
    <w:rsid w:val="00DB4511"/>
    <w:rsid w:val="00DB4F0C"/>
    <w:rsid w:val="00DB5871"/>
    <w:rsid w:val="00DB7EEE"/>
    <w:rsid w:val="00DC0176"/>
    <w:rsid w:val="00DC043F"/>
    <w:rsid w:val="00DC093E"/>
    <w:rsid w:val="00DC0E29"/>
    <w:rsid w:val="00DC0E7A"/>
    <w:rsid w:val="00DC2A65"/>
    <w:rsid w:val="00DC2A86"/>
    <w:rsid w:val="00DC3061"/>
    <w:rsid w:val="00DC3631"/>
    <w:rsid w:val="00DC37F7"/>
    <w:rsid w:val="00DC54FB"/>
    <w:rsid w:val="00DC6F54"/>
    <w:rsid w:val="00DC7BF6"/>
    <w:rsid w:val="00DD0C00"/>
    <w:rsid w:val="00DD0F8C"/>
    <w:rsid w:val="00DD116C"/>
    <w:rsid w:val="00DD23D5"/>
    <w:rsid w:val="00DD2AF1"/>
    <w:rsid w:val="00DD2F4E"/>
    <w:rsid w:val="00DD46DA"/>
    <w:rsid w:val="00DD4C59"/>
    <w:rsid w:val="00DD4C7E"/>
    <w:rsid w:val="00DD6072"/>
    <w:rsid w:val="00DD62BE"/>
    <w:rsid w:val="00DD6733"/>
    <w:rsid w:val="00DD77D9"/>
    <w:rsid w:val="00DD7CA4"/>
    <w:rsid w:val="00DE0759"/>
    <w:rsid w:val="00DE1660"/>
    <w:rsid w:val="00DE167C"/>
    <w:rsid w:val="00DE3B70"/>
    <w:rsid w:val="00DE5813"/>
    <w:rsid w:val="00DF10B1"/>
    <w:rsid w:val="00DF1D67"/>
    <w:rsid w:val="00DF1FDA"/>
    <w:rsid w:val="00DF3DD0"/>
    <w:rsid w:val="00DF4D50"/>
    <w:rsid w:val="00DF538C"/>
    <w:rsid w:val="00E021C2"/>
    <w:rsid w:val="00E024A3"/>
    <w:rsid w:val="00E034A5"/>
    <w:rsid w:val="00E0423D"/>
    <w:rsid w:val="00E057B5"/>
    <w:rsid w:val="00E0581E"/>
    <w:rsid w:val="00E079C5"/>
    <w:rsid w:val="00E07CBD"/>
    <w:rsid w:val="00E07F56"/>
    <w:rsid w:val="00E10A16"/>
    <w:rsid w:val="00E1112F"/>
    <w:rsid w:val="00E12658"/>
    <w:rsid w:val="00E12B60"/>
    <w:rsid w:val="00E1318F"/>
    <w:rsid w:val="00E13B3B"/>
    <w:rsid w:val="00E13E29"/>
    <w:rsid w:val="00E14E2A"/>
    <w:rsid w:val="00E15726"/>
    <w:rsid w:val="00E16857"/>
    <w:rsid w:val="00E16C3A"/>
    <w:rsid w:val="00E20651"/>
    <w:rsid w:val="00E209BD"/>
    <w:rsid w:val="00E2107C"/>
    <w:rsid w:val="00E21E70"/>
    <w:rsid w:val="00E224DE"/>
    <w:rsid w:val="00E23DCE"/>
    <w:rsid w:val="00E26363"/>
    <w:rsid w:val="00E272A4"/>
    <w:rsid w:val="00E305F9"/>
    <w:rsid w:val="00E306AC"/>
    <w:rsid w:val="00E32877"/>
    <w:rsid w:val="00E34446"/>
    <w:rsid w:val="00E3633B"/>
    <w:rsid w:val="00E36870"/>
    <w:rsid w:val="00E374E1"/>
    <w:rsid w:val="00E417AB"/>
    <w:rsid w:val="00E421D7"/>
    <w:rsid w:val="00E43D48"/>
    <w:rsid w:val="00E442D9"/>
    <w:rsid w:val="00E4542D"/>
    <w:rsid w:val="00E45BE0"/>
    <w:rsid w:val="00E4669B"/>
    <w:rsid w:val="00E46CAD"/>
    <w:rsid w:val="00E47521"/>
    <w:rsid w:val="00E4760C"/>
    <w:rsid w:val="00E507A6"/>
    <w:rsid w:val="00E5375C"/>
    <w:rsid w:val="00E561AD"/>
    <w:rsid w:val="00E566E8"/>
    <w:rsid w:val="00E570B4"/>
    <w:rsid w:val="00E571F0"/>
    <w:rsid w:val="00E57FAF"/>
    <w:rsid w:val="00E60BA9"/>
    <w:rsid w:val="00E6259E"/>
    <w:rsid w:val="00E63510"/>
    <w:rsid w:val="00E635EA"/>
    <w:rsid w:val="00E647B7"/>
    <w:rsid w:val="00E655E5"/>
    <w:rsid w:val="00E65F4E"/>
    <w:rsid w:val="00E662E0"/>
    <w:rsid w:val="00E67D5D"/>
    <w:rsid w:val="00E71C7A"/>
    <w:rsid w:val="00E73119"/>
    <w:rsid w:val="00E73E1E"/>
    <w:rsid w:val="00E767FF"/>
    <w:rsid w:val="00E83580"/>
    <w:rsid w:val="00E8480C"/>
    <w:rsid w:val="00E84C91"/>
    <w:rsid w:val="00E84E60"/>
    <w:rsid w:val="00E8556E"/>
    <w:rsid w:val="00E86B2D"/>
    <w:rsid w:val="00E86F4D"/>
    <w:rsid w:val="00E87D08"/>
    <w:rsid w:val="00E90D0E"/>
    <w:rsid w:val="00E91A65"/>
    <w:rsid w:val="00E91B2D"/>
    <w:rsid w:val="00E92FCA"/>
    <w:rsid w:val="00E93A49"/>
    <w:rsid w:val="00E95CAA"/>
    <w:rsid w:val="00EA0A39"/>
    <w:rsid w:val="00EA0EB2"/>
    <w:rsid w:val="00EA1979"/>
    <w:rsid w:val="00EA236F"/>
    <w:rsid w:val="00EA3023"/>
    <w:rsid w:val="00EA3E49"/>
    <w:rsid w:val="00EA3FC8"/>
    <w:rsid w:val="00EA576D"/>
    <w:rsid w:val="00EA5B8C"/>
    <w:rsid w:val="00EB0DC9"/>
    <w:rsid w:val="00EB1383"/>
    <w:rsid w:val="00EB252D"/>
    <w:rsid w:val="00EB29FA"/>
    <w:rsid w:val="00EB2CCE"/>
    <w:rsid w:val="00EB3822"/>
    <w:rsid w:val="00EB385F"/>
    <w:rsid w:val="00EB3E49"/>
    <w:rsid w:val="00EB5FC3"/>
    <w:rsid w:val="00EB673B"/>
    <w:rsid w:val="00EB6DA9"/>
    <w:rsid w:val="00EC1561"/>
    <w:rsid w:val="00EC205D"/>
    <w:rsid w:val="00EC462E"/>
    <w:rsid w:val="00EC6CD8"/>
    <w:rsid w:val="00EC786F"/>
    <w:rsid w:val="00ED0825"/>
    <w:rsid w:val="00ED1866"/>
    <w:rsid w:val="00ED3134"/>
    <w:rsid w:val="00ED38E2"/>
    <w:rsid w:val="00ED5C44"/>
    <w:rsid w:val="00ED635B"/>
    <w:rsid w:val="00EE742D"/>
    <w:rsid w:val="00EE7B3D"/>
    <w:rsid w:val="00EF0A22"/>
    <w:rsid w:val="00EF1267"/>
    <w:rsid w:val="00EF180C"/>
    <w:rsid w:val="00EF3B6B"/>
    <w:rsid w:val="00EF4B43"/>
    <w:rsid w:val="00EF6750"/>
    <w:rsid w:val="00EF770B"/>
    <w:rsid w:val="00F02836"/>
    <w:rsid w:val="00F02FB5"/>
    <w:rsid w:val="00F0534E"/>
    <w:rsid w:val="00F05C30"/>
    <w:rsid w:val="00F071F3"/>
    <w:rsid w:val="00F071F8"/>
    <w:rsid w:val="00F10F1B"/>
    <w:rsid w:val="00F14179"/>
    <w:rsid w:val="00F15786"/>
    <w:rsid w:val="00F167C5"/>
    <w:rsid w:val="00F209D8"/>
    <w:rsid w:val="00F20B5A"/>
    <w:rsid w:val="00F21F0B"/>
    <w:rsid w:val="00F236AB"/>
    <w:rsid w:val="00F24EA4"/>
    <w:rsid w:val="00F2634C"/>
    <w:rsid w:val="00F27087"/>
    <w:rsid w:val="00F271DB"/>
    <w:rsid w:val="00F2773C"/>
    <w:rsid w:val="00F3006D"/>
    <w:rsid w:val="00F300B3"/>
    <w:rsid w:val="00F30DB9"/>
    <w:rsid w:val="00F30FB8"/>
    <w:rsid w:val="00F31D68"/>
    <w:rsid w:val="00F33152"/>
    <w:rsid w:val="00F338F2"/>
    <w:rsid w:val="00F349D3"/>
    <w:rsid w:val="00F3533E"/>
    <w:rsid w:val="00F35B84"/>
    <w:rsid w:val="00F402B5"/>
    <w:rsid w:val="00F4072F"/>
    <w:rsid w:val="00F40C40"/>
    <w:rsid w:val="00F42839"/>
    <w:rsid w:val="00F44CC0"/>
    <w:rsid w:val="00F450BA"/>
    <w:rsid w:val="00F463EC"/>
    <w:rsid w:val="00F4684B"/>
    <w:rsid w:val="00F46BE9"/>
    <w:rsid w:val="00F472D9"/>
    <w:rsid w:val="00F47C3B"/>
    <w:rsid w:val="00F506CA"/>
    <w:rsid w:val="00F5319E"/>
    <w:rsid w:val="00F53A7A"/>
    <w:rsid w:val="00F54FCD"/>
    <w:rsid w:val="00F5785C"/>
    <w:rsid w:val="00F6065A"/>
    <w:rsid w:val="00F65E3C"/>
    <w:rsid w:val="00F67076"/>
    <w:rsid w:val="00F677FA"/>
    <w:rsid w:val="00F7115A"/>
    <w:rsid w:val="00F717AA"/>
    <w:rsid w:val="00F72714"/>
    <w:rsid w:val="00F744C3"/>
    <w:rsid w:val="00F75EE2"/>
    <w:rsid w:val="00F75F69"/>
    <w:rsid w:val="00F76014"/>
    <w:rsid w:val="00F77FC9"/>
    <w:rsid w:val="00F802D3"/>
    <w:rsid w:val="00F80F94"/>
    <w:rsid w:val="00F81BA2"/>
    <w:rsid w:val="00F823A4"/>
    <w:rsid w:val="00F8412F"/>
    <w:rsid w:val="00F84791"/>
    <w:rsid w:val="00F85882"/>
    <w:rsid w:val="00F85995"/>
    <w:rsid w:val="00F85FC5"/>
    <w:rsid w:val="00F86118"/>
    <w:rsid w:val="00F86C22"/>
    <w:rsid w:val="00F86CBB"/>
    <w:rsid w:val="00F90A33"/>
    <w:rsid w:val="00F90CB3"/>
    <w:rsid w:val="00F912A2"/>
    <w:rsid w:val="00F913A3"/>
    <w:rsid w:val="00F925C3"/>
    <w:rsid w:val="00F92C79"/>
    <w:rsid w:val="00F96496"/>
    <w:rsid w:val="00FA0109"/>
    <w:rsid w:val="00FA2CFB"/>
    <w:rsid w:val="00FA4312"/>
    <w:rsid w:val="00FA458B"/>
    <w:rsid w:val="00FA4654"/>
    <w:rsid w:val="00FA5EC5"/>
    <w:rsid w:val="00FA7016"/>
    <w:rsid w:val="00FA7174"/>
    <w:rsid w:val="00FA793D"/>
    <w:rsid w:val="00FB020E"/>
    <w:rsid w:val="00FB02CA"/>
    <w:rsid w:val="00FB0F17"/>
    <w:rsid w:val="00FB4B9D"/>
    <w:rsid w:val="00FB4F08"/>
    <w:rsid w:val="00FB50ED"/>
    <w:rsid w:val="00FB6E18"/>
    <w:rsid w:val="00FC00E4"/>
    <w:rsid w:val="00FC0173"/>
    <w:rsid w:val="00FC144B"/>
    <w:rsid w:val="00FC2169"/>
    <w:rsid w:val="00FC28E2"/>
    <w:rsid w:val="00FC320B"/>
    <w:rsid w:val="00FC34C9"/>
    <w:rsid w:val="00FC3BF6"/>
    <w:rsid w:val="00FC3D22"/>
    <w:rsid w:val="00FC4C72"/>
    <w:rsid w:val="00FC5938"/>
    <w:rsid w:val="00FC6FE1"/>
    <w:rsid w:val="00FD012E"/>
    <w:rsid w:val="00FD0C3D"/>
    <w:rsid w:val="00FD0E50"/>
    <w:rsid w:val="00FD2F6B"/>
    <w:rsid w:val="00FD3468"/>
    <w:rsid w:val="00FD51B4"/>
    <w:rsid w:val="00FD7858"/>
    <w:rsid w:val="00FD7AC0"/>
    <w:rsid w:val="00FD7C05"/>
    <w:rsid w:val="00FE04A1"/>
    <w:rsid w:val="00FE064A"/>
    <w:rsid w:val="00FE0AD1"/>
    <w:rsid w:val="00FE0B55"/>
    <w:rsid w:val="00FE1E98"/>
    <w:rsid w:val="00FE2452"/>
    <w:rsid w:val="00FE5469"/>
    <w:rsid w:val="00FE66C2"/>
    <w:rsid w:val="00FE684A"/>
    <w:rsid w:val="00FE6F23"/>
    <w:rsid w:val="00FF0F8C"/>
    <w:rsid w:val="00FF1421"/>
    <w:rsid w:val="00FF408B"/>
    <w:rsid w:val="00FF43E1"/>
    <w:rsid w:val="00FF4BA5"/>
    <w:rsid w:val="01D45B44"/>
    <w:rsid w:val="03430854"/>
    <w:rsid w:val="039F5FA6"/>
    <w:rsid w:val="065B15E4"/>
    <w:rsid w:val="070F385B"/>
    <w:rsid w:val="09305ADA"/>
    <w:rsid w:val="0BB68A9E"/>
    <w:rsid w:val="0E8013B7"/>
    <w:rsid w:val="10016849"/>
    <w:rsid w:val="10D604C6"/>
    <w:rsid w:val="11603F53"/>
    <w:rsid w:val="11B515E0"/>
    <w:rsid w:val="13A53267"/>
    <w:rsid w:val="13F970D2"/>
    <w:rsid w:val="14AA4136"/>
    <w:rsid w:val="1572463D"/>
    <w:rsid w:val="163A420B"/>
    <w:rsid w:val="1832236F"/>
    <w:rsid w:val="19413B26"/>
    <w:rsid w:val="1C6D3688"/>
    <w:rsid w:val="1C974DF7"/>
    <w:rsid w:val="1CC63D0A"/>
    <w:rsid w:val="1DC2081A"/>
    <w:rsid w:val="1DD94266"/>
    <w:rsid w:val="1F9D0947"/>
    <w:rsid w:val="1FFB29C6"/>
    <w:rsid w:val="205F65C0"/>
    <w:rsid w:val="20970BD1"/>
    <w:rsid w:val="213F3F39"/>
    <w:rsid w:val="22AF3620"/>
    <w:rsid w:val="22E70AD4"/>
    <w:rsid w:val="23B853F0"/>
    <w:rsid w:val="24F1508D"/>
    <w:rsid w:val="2519595E"/>
    <w:rsid w:val="266F634F"/>
    <w:rsid w:val="291059EA"/>
    <w:rsid w:val="2BBF12EC"/>
    <w:rsid w:val="2BC649D9"/>
    <w:rsid w:val="2DF276A8"/>
    <w:rsid w:val="2E200CCA"/>
    <w:rsid w:val="2ED55B28"/>
    <w:rsid w:val="3515160D"/>
    <w:rsid w:val="36934F7F"/>
    <w:rsid w:val="37763C62"/>
    <w:rsid w:val="3867686C"/>
    <w:rsid w:val="39055318"/>
    <w:rsid w:val="3B7807FE"/>
    <w:rsid w:val="3BFEFEF9"/>
    <w:rsid w:val="3C7D00D8"/>
    <w:rsid w:val="3CA06C0C"/>
    <w:rsid w:val="3DDF0789"/>
    <w:rsid w:val="3EA25851"/>
    <w:rsid w:val="3F6C3757"/>
    <w:rsid w:val="405D6A10"/>
    <w:rsid w:val="41DA6594"/>
    <w:rsid w:val="41F23423"/>
    <w:rsid w:val="444C1A75"/>
    <w:rsid w:val="44A3526F"/>
    <w:rsid w:val="44B032F4"/>
    <w:rsid w:val="45462E84"/>
    <w:rsid w:val="457D25F7"/>
    <w:rsid w:val="45943BEF"/>
    <w:rsid w:val="460A3EB2"/>
    <w:rsid w:val="468341CD"/>
    <w:rsid w:val="472A746E"/>
    <w:rsid w:val="472C2589"/>
    <w:rsid w:val="48164D90"/>
    <w:rsid w:val="4A760AEB"/>
    <w:rsid w:val="4D602AFE"/>
    <w:rsid w:val="4EB55A72"/>
    <w:rsid w:val="4F3162CA"/>
    <w:rsid w:val="4F421045"/>
    <w:rsid w:val="50D95873"/>
    <w:rsid w:val="512A5408"/>
    <w:rsid w:val="5241740A"/>
    <w:rsid w:val="526102AF"/>
    <w:rsid w:val="528444DA"/>
    <w:rsid w:val="537745D5"/>
    <w:rsid w:val="552306F6"/>
    <w:rsid w:val="55DC6F81"/>
    <w:rsid w:val="56357322"/>
    <w:rsid w:val="56E352D5"/>
    <w:rsid w:val="573A49B9"/>
    <w:rsid w:val="57E435FE"/>
    <w:rsid w:val="582D0655"/>
    <w:rsid w:val="5951205C"/>
    <w:rsid w:val="59D079E8"/>
    <w:rsid w:val="59D40847"/>
    <w:rsid w:val="5AE37F25"/>
    <w:rsid w:val="5CB23D47"/>
    <w:rsid w:val="5CF9216B"/>
    <w:rsid w:val="5DFD93CC"/>
    <w:rsid w:val="5E112F6F"/>
    <w:rsid w:val="5FAF09C4"/>
    <w:rsid w:val="5FEF38E5"/>
    <w:rsid w:val="608C4642"/>
    <w:rsid w:val="61DB0E4B"/>
    <w:rsid w:val="61EB1FBC"/>
    <w:rsid w:val="62795572"/>
    <w:rsid w:val="64DD6417"/>
    <w:rsid w:val="65E759CD"/>
    <w:rsid w:val="65F7CCF4"/>
    <w:rsid w:val="66004745"/>
    <w:rsid w:val="661E2182"/>
    <w:rsid w:val="67FF7AF5"/>
    <w:rsid w:val="6A567F20"/>
    <w:rsid w:val="6CD97953"/>
    <w:rsid w:val="6E460EFB"/>
    <w:rsid w:val="6ED30FD7"/>
    <w:rsid w:val="6F6B34E8"/>
    <w:rsid w:val="6FC68BB1"/>
    <w:rsid w:val="6FD3EEE6"/>
    <w:rsid w:val="6FFF7BD7"/>
    <w:rsid w:val="727D78FD"/>
    <w:rsid w:val="73CC655F"/>
    <w:rsid w:val="73FA8648"/>
    <w:rsid w:val="75957445"/>
    <w:rsid w:val="75D01AE1"/>
    <w:rsid w:val="77524363"/>
    <w:rsid w:val="77B917B5"/>
    <w:rsid w:val="77C44C0A"/>
    <w:rsid w:val="77F75380"/>
    <w:rsid w:val="78703975"/>
    <w:rsid w:val="7A971C1F"/>
    <w:rsid w:val="7B3825E8"/>
    <w:rsid w:val="7BAD4080"/>
    <w:rsid w:val="7BCB1D31"/>
    <w:rsid w:val="7BDC08A0"/>
    <w:rsid w:val="7BE01F8F"/>
    <w:rsid w:val="7BE420FD"/>
    <w:rsid w:val="7D0D296B"/>
    <w:rsid w:val="7D4E0B54"/>
    <w:rsid w:val="7D503E78"/>
    <w:rsid w:val="7E0160D4"/>
    <w:rsid w:val="7FBF781E"/>
    <w:rsid w:val="B79A69B2"/>
    <w:rsid w:val="B7CF8A5B"/>
    <w:rsid w:val="BBBD1D93"/>
    <w:rsid w:val="C2FF8A47"/>
    <w:rsid w:val="DE97D059"/>
    <w:rsid w:val="E5CB36D0"/>
    <w:rsid w:val="ED7DC756"/>
    <w:rsid w:val="F67B9143"/>
    <w:rsid w:val="F74AFEB2"/>
    <w:rsid w:val="F957E3C3"/>
    <w:rsid w:val="FE1FE6E1"/>
    <w:rsid w:val="FFED92A6"/>
    <w:rsid w:val="FFEE03A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宋体" w:hAnsi="宋体" w:eastAsia="宋体" w:cs="Times New Roman"/>
      <w:kern w:val="2"/>
      <w:sz w:val="24"/>
      <w:szCs w:val="24"/>
      <w:lang w:val="en-US" w:eastAsia="zh-CN" w:bidi="ar-SA"/>
    </w:rPr>
  </w:style>
  <w:style w:type="paragraph" w:styleId="2">
    <w:name w:val="heading 1"/>
    <w:basedOn w:val="1"/>
    <w:next w:val="1"/>
    <w:link w:val="45"/>
    <w:qFormat/>
    <w:uiPriority w:val="0"/>
    <w:pPr>
      <w:keepNext/>
      <w:keepLines/>
      <w:numPr>
        <w:ilvl w:val="0"/>
        <w:numId w:val="1"/>
      </w:numPr>
      <w:spacing w:before="120" w:after="120"/>
      <w:ind w:left="0" w:firstLine="0" w:firstLineChars="0"/>
      <w:outlineLvl w:val="0"/>
    </w:pPr>
    <w:rPr>
      <w:rFonts w:eastAsia="黑体"/>
      <w:b/>
      <w:bCs/>
      <w:kern w:val="44"/>
      <w:sz w:val="32"/>
      <w:szCs w:val="28"/>
    </w:rPr>
  </w:style>
  <w:style w:type="paragraph" w:styleId="3">
    <w:name w:val="heading 2"/>
    <w:basedOn w:val="1"/>
    <w:next w:val="1"/>
    <w:link w:val="44"/>
    <w:qFormat/>
    <w:uiPriority w:val="9"/>
    <w:pPr>
      <w:keepNext/>
      <w:keepLines/>
      <w:numPr>
        <w:ilvl w:val="1"/>
        <w:numId w:val="1"/>
      </w:numPr>
      <w:spacing w:before="120" w:after="120"/>
      <w:ind w:left="0" w:firstLine="0" w:firstLineChars="0"/>
      <w:outlineLvl w:val="1"/>
    </w:pPr>
    <w:rPr>
      <w:b/>
      <w:bCs/>
      <w:sz w:val="30"/>
      <w:szCs w:val="32"/>
    </w:rPr>
  </w:style>
  <w:style w:type="paragraph" w:styleId="4">
    <w:name w:val="heading 3"/>
    <w:basedOn w:val="1"/>
    <w:next w:val="1"/>
    <w:link w:val="83"/>
    <w:qFormat/>
    <w:uiPriority w:val="0"/>
    <w:pPr>
      <w:keepNext/>
      <w:keepLines/>
      <w:numPr>
        <w:ilvl w:val="2"/>
        <w:numId w:val="1"/>
      </w:numPr>
      <w:spacing w:before="120" w:after="120"/>
      <w:ind w:firstLine="0" w:firstLineChars="0"/>
      <w:outlineLvl w:val="2"/>
    </w:pPr>
    <w:rPr>
      <w:b/>
      <w:bCs/>
      <w:sz w:val="28"/>
      <w:szCs w:val="28"/>
    </w:rPr>
  </w:style>
  <w:style w:type="paragraph" w:styleId="5">
    <w:name w:val="heading 4"/>
    <w:basedOn w:val="1"/>
    <w:next w:val="1"/>
    <w:link w:val="61"/>
    <w:qFormat/>
    <w:uiPriority w:val="0"/>
    <w:pPr>
      <w:keepNext/>
      <w:keepLines/>
      <w:numPr>
        <w:ilvl w:val="3"/>
        <w:numId w:val="1"/>
      </w:numPr>
      <w:spacing w:before="120" w:after="120"/>
      <w:ind w:left="851" w:firstLine="0" w:firstLineChars="0"/>
      <w:outlineLvl w:val="3"/>
    </w:pPr>
    <w:rPr>
      <w:b/>
      <w:bCs/>
      <w:sz w:val="30"/>
      <w:szCs w:val="30"/>
    </w:rPr>
  </w:style>
  <w:style w:type="paragraph" w:styleId="6">
    <w:name w:val="heading 5"/>
    <w:basedOn w:val="1"/>
    <w:next w:val="1"/>
    <w:link w:val="87"/>
    <w:qFormat/>
    <w:uiPriority w:val="0"/>
    <w:pPr>
      <w:keepNext/>
      <w:keepLines/>
      <w:numPr>
        <w:ilvl w:val="4"/>
        <w:numId w:val="1"/>
      </w:numPr>
      <w:spacing w:before="120" w:after="120"/>
      <w:ind w:left="0" w:firstLine="0" w:firstLineChars="0"/>
      <w:outlineLvl w:val="4"/>
    </w:pPr>
    <w:rPr>
      <w:b/>
      <w:bCs/>
      <w:szCs w:val="28"/>
    </w:rPr>
  </w:style>
  <w:style w:type="paragraph" w:styleId="7">
    <w:name w:val="heading 6"/>
    <w:basedOn w:val="1"/>
    <w:next w:val="1"/>
    <w:link w:val="99"/>
    <w:qFormat/>
    <w:uiPriority w:val="0"/>
    <w:pPr>
      <w:keepNext/>
      <w:keepLines/>
      <w:numPr>
        <w:ilvl w:val="5"/>
        <w:numId w:val="1"/>
      </w:numPr>
      <w:spacing w:before="120" w:after="120"/>
      <w:ind w:firstLine="0" w:firstLineChars="0"/>
      <w:outlineLvl w:val="5"/>
    </w:pPr>
    <w:rPr>
      <w:rFonts w:ascii="Cambria" w:hAnsi="Cambria"/>
      <w:b/>
      <w:bCs/>
    </w:rPr>
  </w:style>
  <w:style w:type="paragraph" w:styleId="8">
    <w:name w:val="heading 7"/>
    <w:basedOn w:val="1"/>
    <w:next w:val="1"/>
    <w:link w:val="75"/>
    <w:qFormat/>
    <w:uiPriority w:val="9"/>
    <w:pPr>
      <w:keepNext/>
      <w:keepLines/>
      <w:spacing w:before="240" w:after="64" w:line="319" w:lineRule="auto"/>
      <w:ind w:firstLine="0" w:firstLineChars="0"/>
      <w:outlineLvl w:val="6"/>
    </w:pPr>
    <w:rPr>
      <w:rFonts w:ascii="Times New Roman" w:hAnsi="Times New Roman"/>
      <w:b/>
      <w:bCs/>
      <w:sz w:val="21"/>
    </w:rPr>
  </w:style>
  <w:style w:type="paragraph" w:styleId="9">
    <w:name w:val="heading 8"/>
    <w:basedOn w:val="1"/>
    <w:next w:val="1"/>
    <w:link w:val="98"/>
    <w:qFormat/>
    <w:uiPriority w:val="9"/>
    <w:pPr>
      <w:keepNext/>
      <w:keepLines/>
      <w:spacing w:before="240" w:after="64" w:line="319" w:lineRule="auto"/>
      <w:ind w:firstLine="0" w:firstLineChars="0"/>
      <w:outlineLvl w:val="7"/>
    </w:pPr>
    <w:rPr>
      <w:rFonts w:ascii="Cambria" w:hAnsi="Cambria"/>
      <w:sz w:val="21"/>
    </w:rPr>
  </w:style>
  <w:style w:type="paragraph" w:styleId="10">
    <w:name w:val="heading 9"/>
    <w:basedOn w:val="1"/>
    <w:next w:val="1"/>
    <w:link w:val="52"/>
    <w:qFormat/>
    <w:uiPriority w:val="9"/>
    <w:pPr>
      <w:keepNext/>
      <w:keepLines/>
      <w:spacing w:before="240" w:after="64" w:line="319" w:lineRule="auto"/>
      <w:ind w:firstLine="0" w:firstLineChars="0"/>
      <w:outlineLvl w:val="8"/>
    </w:pPr>
    <w:rPr>
      <w:rFonts w:ascii="Cambria" w:hAnsi="Cambria"/>
      <w:sz w:val="21"/>
      <w:szCs w:val="21"/>
    </w:rPr>
  </w:style>
  <w:style w:type="character" w:default="1" w:styleId="37">
    <w:name w:val="Default Paragraph Font"/>
    <w:semiHidden/>
    <w:unhideWhenUsed/>
    <w:qFormat/>
    <w:uiPriority w:val="1"/>
  </w:style>
  <w:style w:type="table" w:default="1" w:styleId="3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rPr>
      <w:rFonts w:ascii="等线" w:hAnsi="等线" w:eastAsia="等线"/>
      <w:szCs w:val="22"/>
    </w:rPr>
  </w:style>
  <w:style w:type="paragraph" w:styleId="12">
    <w:name w:val="Normal Indent"/>
    <w:basedOn w:val="1"/>
    <w:unhideWhenUsed/>
    <w:qFormat/>
    <w:uiPriority w:val="99"/>
    <w:pPr>
      <w:spacing w:line="240" w:lineRule="auto"/>
      <w:ind w:firstLine="420"/>
    </w:pPr>
    <w:rPr>
      <w:rFonts w:ascii="Calibri" w:hAnsi="Calibri"/>
      <w:sz w:val="21"/>
    </w:rPr>
  </w:style>
  <w:style w:type="paragraph" w:styleId="13">
    <w:name w:val="caption"/>
    <w:basedOn w:val="1"/>
    <w:next w:val="1"/>
    <w:link w:val="57"/>
    <w:qFormat/>
    <w:uiPriority w:val="0"/>
    <w:pPr>
      <w:spacing w:afterLines="50"/>
      <w:ind w:firstLine="200"/>
    </w:pPr>
    <w:rPr>
      <w:rFonts w:ascii="Arial" w:hAnsi="Arial" w:eastAsia="黑体"/>
      <w:sz w:val="20"/>
      <w:szCs w:val="20"/>
    </w:rPr>
  </w:style>
  <w:style w:type="paragraph" w:styleId="14">
    <w:name w:val="Document Map"/>
    <w:basedOn w:val="1"/>
    <w:link w:val="91"/>
    <w:qFormat/>
    <w:uiPriority w:val="0"/>
    <w:rPr>
      <w:rFonts w:hAnsi="Times New Roman"/>
      <w:sz w:val="18"/>
      <w:szCs w:val="18"/>
    </w:rPr>
  </w:style>
  <w:style w:type="paragraph" w:styleId="15">
    <w:name w:val="annotation text"/>
    <w:basedOn w:val="1"/>
    <w:link w:val="49"/>
    <w:qFormat/>
    <w:uiPriority w:val="99"/>
    <w:pPr>
      <w:jc w:val="left"/>
    </w:pPr>
    <w:rPr>
      <w:rFonts w:ascii="Times New Roman" w:hAnsi="Times New Roman" w:eastAsia="仿宋"/>
      <w:sz w:val="28"/>
    </w:rPr>
  </w:style>
  <w:style w:type="paragraph" w:styleId="16">
    <w:name w:val="Body Text"/>
    <w:basedOn w:val="1"/>
    <w:link w:val="62"/>
    <w:unhideWhenUsed/>
    <w:qFormat/>
    <w:uiPriority w:val="0"/>
    <w:pPr>
      <w:spacing w:after="120" w:line="240" w:lineRule="auto"/>
      <w:ind w:firstLine="0" w:firstLineChars="0"/>
    </w:pPr>
    <w:rPr>
      <w:rFonts w:ascii="Times New Roman" w:hAnsi="Times New Roman"/>
      <w:sz w:val="21"/>
    </w:rPr>
  </w:style>
  <w:style w:type="paragraph" w:styleId="17">
    <w:name w:val="Body Text Indent"/>
    <w:basedOn w:val="1"/>
    <w:link w:val="86"/>
    <w:qFormat/>
    <w:uiPriority w:val="0"/>
    <w:pPr>
      <w:spacing w:after="120"/>
      <w:ind w:firstLine="200"/>
    </w:pPr>
    <w:rPr>
      <w:rFonts w:ascii="Times New Roman" w:hAnsi="Times New Roman"/>
      <w:sz w:val="21"/>
      <w:szCs w:val="20"/>
    </w:rPr>
  </w:style>
  <w:style w:type="paragraph" w:styleId="18">
    <w:name w:val="toc 5"/>
    <w:basedOn w:val="1"/>
    <w:next w:val="1"/>
    <w:unhideWhenUsed/>
    <w:qFormat/>
    <w:uiPriority w:val="39"/>
    <w:pPr>
      <w:ind w:left="1680" w:leftChars="800"/>
    </w:pPr>
    <w:rPr>
      <w:rFonts w:ascii="等线" w:hAnsi="等线" w:eastAsia="等线"/>
      <w:szCs w:val="22"/>
    </w:rPr>
  </w:style>
  <w:style w:type="paragraph" w:styleId="19">
    <w:name w:val="toc 3"/>
    <w:basedOn w:val="1"/>
    <w:next w:val="1"/>
    <w:qFormat/>
    <w:uiPriority w:val="39"/>
    <w:pPr>
      <w:tabs>
        <w:tab w:val="right" w:leader="dot" w:pos="8302"/>
      </w:tabs>
      <w:ind w:left="840" w:leftChars="400"/>
    </w:pPr>
  </w:style>
  <w:style w:type="paragraph" w:styleId="20">
    <w:name w:val="Plain Text"/>
    <w:basedOn w:val="1"/>
    <w:link w:val="69"/>
    <w:qFormat/>
    <w:uiPriority w:val="0"/>
    <w:pPr>
      <w:spacing w:line="240" w:lineRule="auto"/>
      <w:ind w:firstLine="0" w:firstLineChars="0"/>
    </w:pPr>
    <w:rPr>
      <w:rFonts w:hAnsi="Courier New"/>
      <w:sz w:val="21"/>
      <w:szCs w:val="20"/>
    </w:rPr>
  </w:style>
  <w:style w:type="paragraph" w:styleId="21">
    <w:name w:val="toc 8"/>
    <w:basedOn w:val="1"/>
    <w:next w:val="1"/>
    <w:unhideWhenUsed/>
    <w:qFormat/>
    <w:uiPriority w:val="39"/>
    <w:pPr>
      <w:ind w:left="2940" w:leftChars="1400"/>
    </w:pPr>
    <w:rPr>
      <w:rFonts w:ascii="等线" w:hAnsi="等线" w:eastAsia="等线"/>
      <w:szCs w:val="22"/>
    </w:rPr>
  </w:style>
  <w:style w:type="paragraph" w:styleId="22">
    <w:name w:val="Date"/>
    <w:basedOn w:val="1"/>
    <w:next w:val="1"/>
    <w:link w:val="51"/>
    <w:qFormat/>
    <w:uiPriority w:val="0"/>
    <w:pPr>
      <w:ind w:left="100" w:leftChars="2500"/>
    </w:pPr>
    <w:rPr>
      <w:rFonts w:ascii="Times New Roman" w:hAnsi="Times New Roman"/>
      <w:sz w:val="21"/>
    </w:rPr>
  </w:style>
  <w:style w:type="paragraph" w:styleId="23">
    <w:name w:val="Balloon Text"/>
    <w:basedOn w:val="1"/>
    <w:link w:val="96"/>
    <w:qFormat/>
    <w:uiPriority w:val="0"/>
    <w:rPr>
      <w:rFonts w:ascii="Times New Roman" w:hAnsi="Times New Roman"/>
      <w:sz w:val="18"/>
      <w:szCs w:val="18"/>
    </w:rPr>
  </w:style>
  <w:style w:type="paragraph" w:styleId="24">
    <w:name w:val="footer"/>
    <w:basedOn w:val="1"/>
    <w:link w:val="89"/>
    <w:qFormat/>
    <w:uiPriority w:val="99"/>
    <w:pPr>
      <w:tabs>
        <w:tab w:val="center" w:pos="4153"/>
        <w:tab w:val="right" w:pos="8306"/>
      </w:tabs>
      <w:snapToGrid w:val="0"/>
      <w:jc w:val="center"/>
    </w:pPr>
    <w:rPr>
      <w:rFonts w:ascii="Times New Roman" w:hAnsi="Times New Roman"/>
      <w:sz w:val="18"/>
      <w:szCs w:val="18"/>
    </w:rPr>
  </w:style>
  <w:style w:type="paragraph" w:styleId="25">
    <w:name w:val="header"/>
    <w:basedOn w:val="1"/>
    <w:link w:val="97"/>
    <w:qFormat/>
    <w:uiPriority w:val="99"/>
    <w:pPr>
      <w:pBdr>
        <w:bottom w:val="single" w:color="auto" w:sz="4" w:space="0"/>
      </w:pBdr>
      <w:tabs>
        <w:tab w:val="center" w:pos="4153"/>
        <w:tab w:val="right" w:pos="8306"/>
      </w:tabs>
      <w:snapToGrid w:val="0"/>
      <w:jc w:val="center"/>
    </w:pPr>
    <w:rPr>
      <w:rFonts w:ascii="Times New Roman" w:hAnsi="Times New Roman"/>
      <w:sz w:val="18"/>
      <w:szCs w:val="18"/>
    </w:rPr>
  </w:style>
  <w:style w:type="paragraph" w:styleId="26">
    <w:name w:val="toc 1"/>
    <w:basedOn w:val="1"/>
    <w:next w:val="1"/>
    <w:qFormat/>
    <w:uiPriority w:val="39"/>
  </w:style>
  <w:style w:type="paragraph" w:styleId="27">
    <w:name w:val="toc 4"/>
    <w:basedOn w:val="1"/>
    <w:next w:val="1"/>
    <w:unhideWhenUsed/>
    <w:qFormat/>
    <w:uiPriority w:val="39"/>
    <w:pPr>
      <w:ind w:left="1260" w:leftChars="600"/>
    </w:pPr>
    <w:rPr>
      <w:rFonts w:ascii="等线" w:hAnsi="等线" w:eastAsia="等线"/>
      <w:szCs w:val="22"/>
    </w:rPr>
  </w:style>
  <w:style w:type="paragraph" w:styleId="28">
    <w:name w:val="Subtitle"/>
    <w:basedOn w:val="1"/>
    <w:next w:val="1"/>
    <w:link w:val="88"/>
    <w:qFormat/>
    <w:uiPriority w:val="0"/>
    <w:pPr>
      <w:spacing w:before="240" w:after="60" w:line="312" w:lineRule="auto"/>
      <w:jc w:val="center"/>
      <w:outlineLvl w:val="1"/>
    </w:pPr>
    <w:rPr>
      <w:rFonts w:ascii="Calibri Light" w:hAnsi="Calibri Light"/>
      <w:b/>
      <w:bCs/>
      <w:kern w:val="28"/>
      <w:sz w:val="32"/>
      <w:szCs w:val="32"/>
    </w:rPr>
  </w:style>
  <w:style w:type="paragraph" w:styleId="29">
    <w:name w:val="toc 6"/>
    <w:basedOn w:val="1"/>
    <w:next w:val="1"/>
    <w:unhideWhenUsed/>
    <w:qFormat/>
    <w:uiPriority w:val="39"/>
    <w:pPr>
      <w:ind w:left="2100" w:leftChars="1000"/>
    </w:pPr>
    <w:rPr>
      <w:rFonts w:ascii="等线" w:hAnsi="等线" w:eastAsia="等线"/>
      <w:szCs w:val="22"/>
    </w:rPr>
  </w:style>
  <w:style w:type="paragraph" w:styleId="30">
    <w:name w:val="toc 2"/>
    <w:basedOn w:val="1"/>
    <w:next w:val="1"/>
    <w:qFormat/>
    <w:uiPriority w:val="39"/>
    <w:pPr>
      <w:tabs>
        <w:tab w:val="right" w:leader="dot" w:pos="8302"/>
      </w:tabs>
      <w:ind w:left="420" w:leftChars="200"/>
    </w:pPr>
  </w:style>
  <w:style w:type="paragraph" w:styleId="31">
    <w:name w:val="toc 9"/>
    <w:basedOn w:val="1"/>
    <w:next w:val="1"/>
    <w:unhideWhenUsed/>
    <w:qFormat/>
    <w:uiPriority w:val="39"/>
    <w:pPr>
      <w:ind w:left="3360" w:leftChars="1600"/>
    </w:pPr>
    <w:rPr>
      <w:rFonts w:ascii="等线" w:hAnsi="等线" w:eastAsia="等线"/>
      <w:szCs w:val="22"/>
    </w:rPr>
  </w:style>
  <w:style w:type="paragraph" w:styleId="32">
    <w:name w:val="Normal (Web)"/>
    <w:basedOn w:val="1"/>
    <w:qFormat/>
    <w:uiPriority w:val="99"/>
    <w:pPr>
      <w:widowControl/>
      <w:spacing w:before="100" w:after="100"/>
      <w:jc w:val="left"/>
    </w:pPr>
    <w:rPr>
      <w:rFonts w:hint="eastAsia" w:ascii="Arial Unicode MS" w:hAnsi="Arial Unicode MS" w:eastAsia="Arial Unicode MS"/>
      <w:kern w:val="0"/>
    </w:rPr>
  </w:style>
  <w:style w:type="paragraph" w:styleId="33">
    <w:name w:val="Title"/>
    <w:basedOn w:val="1"/>
    <w:next w:val="1"/>
    <w:link w:val="95"/>
    <w:qFormat/>
    <w:uiPriority w:val="0"/>
    <w:pPr>
      <w:spacing w:before="240" w:after="60" w:line="960" w:lineRule="auto"/>
      <w:jc w:val="center"/>
    </w:pPr>
    <w:rPr>
      <w:rFonts w:ascii="Cambria" w:hAnsi="Cambria" w:eastAsia="黑体"/>
      <w:b/>
      <w:bCs/>
      <w:sz w:val="52"/>
      <w:szCs w:val="32"/>
    </w:rPr>
  </w:style>
  <w:style w:type="paragraph" w:styleId="34">
    <w:name w:val="annotation subject"/>
    <w:basedOn w:val="15"/>
    <w:next w:val="15"/>
    <w:link w:val="84"/>
    <w:qFormat/>
    <w:uiPriority w:val="0"/>
    <w:rPr>
      <w:b/>
      <w:bCs/>
      <w:sz w:val="21"/>
    </w:rPr>
  </w:style>
  <w:style w:type="table" w:styleId="36">
    <w:name w:val="Table Grid"/>
    <w:basedOn w:val="35"/>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page number"/>
    <w:basedOn w:val="37"/>
    <w:qFormat/>
    <w:uiPriority w:val="0"/>
  </w:style>
  <w:style w:type="character" w:styleId="39">
    <w:name w:val="FollowedHyperlink"/>
    <w:unhideWhenUsed/>
    <w:qFormat/>
    <w:uiPriority w:val="99"/>
    <w:rPr>
      <w:color w:val="954F72"/>
      <w:u w:val="single"/>
    </w:rPr>
  </w:style>
  <w:style w:type="character" w:styleId="40">
    <w:name w:val="Hyperlink"/>
    <w:qFormat/>
    <w:uiPriority w:val="99"/>
    <w:rPr>
      <w:color w:val="0000FF"/>
      <w:u w:val="single"/>
    </w:rPr>
  </w:style>
  <w:style w:type="character" w:styleId="41">
    <w:name w:val="annotation reference"/>
    <w:basedOn w:val="37"/>
    <w:qFormat/>
    <w:uiPriority w:val="99"/>
    <w:rPr>
      <w:sz w:val="21"/>
      <w:szCs w:val="21"/>
    </w:rPr>
  </w:style>
  <w:style w:type="character" w:customStyle="1" w:styleId="42">
    <w:name w:val="标题 4 字符"/>
    <w:semiHidden/>
    <w:qFormat/>
    <w:uiPriority w:val="9"/>
    <w:rPr>
      <w:rFonts w:ascii="等线 Light" w:hAnsi="等线 Light" w:eastAsia="等线 Light" w:cs="Times New Roman"/>
      <w:b/>
      <w:bCs/>
      <w:kern w:val="2"/>
      <w:sz w:val="28"/>
      <w:szCs w:val="28"/>
    </w:rPr>
  </w:style>
  <w:style w:type="character" w:customStyle="1" w:styleId="43">
    <w:name w:val="标题 3 字符"/>
    <w:semiHidden/>
    <w:qFormat/>
    <w:uiPriority w:val="9"/>
    <w:rPr>
      <w:rFonts w:ascii="宋体" w:hAnsi="宋体"/>
      <w:b/>
      <w:bCs/>
      <w:kern w:val="2"/>
      <w:sz w:val="32"/>
      <w:szCs w:val="32"/>
    </w:rPr>
  </w:style>
  <w:style w:type="character" w:customStyle="1" w:styleId="44">
    <w:name w:val="标题 2 字符1"/>
    <w:link w:val="3"/>
    <w:qFormat/>
    <w:uiPriority w:val="9"/>
    <w:rPr>
      <w:rFonts w:ascii="宋体" w:hAnsi="宋体" w:eastAsia="宋体"/>
      <w:b/>
      <w:bCs/>
      <w:kern w:val="2"/>
      <w:sz w:val="30"/>
      <w:szCs w:val="32"/>
    </w:rPr>
  </w:style>
  <w:style w:type="character" w:customStyle="1" w:styleId="45">
    <w:name w:val="标题 1 字符1"/>
    <w:link w:val="2"/>
    <w:qFormat/>
    <w:uiPriority w:val="0"/>
    <w:rPr>
      <w:rFonts w:ascii="宋体" w:hAnsi="宋体" w:eastAsia="黑体"/>
      <w:b/>
      <w:bCs/>
      <w:kern w:val="44"/>
      <w:sz w:val="32"/>
      <w:szCs w:val="28"/>
    </w:rPr>
  </w:style>
  <w:style w:type="character" w:customStyle="1" w:styleId="46">
    <w:name w:val="标题 3 字符1"/>
    <w:qFormat/>
    <w:uiPriority w:val="0"/>
    <w:rPr>
      <w:rFonts w:ascii="宋体" w:hAnsi="宋体"/>
      <w:b/>
      <w:bCs/>
      <w:kern w:val="2"/>
      <w:sz w:val="28"/>
      <w:szCs w:val="28"/>
    </w:rPr>
  </w:style>
  <w:style w:type="character" w:customStyle="1" w:styleId="47">
    <w:name w:val="首行缩进正文 Char"/>
    <w:link w:val="48"/>
    <w:qFormat/>
    <w:uiPriority w:val="0"/>
    <w:rPr>
      <w:kern w:val="2"/>
      <w:sz w:val="24"/>
    </w:rPr>
  </w:style>
  <w:style w:type="paragraph" w:customStyle="1" w:styleId="48">
    <w:name w:val="首行缩进正文"/>
    <w:basedOn w:val="1"/>
    <w:link w:val="47"/>
    <w:qFormat/>
    <w:uiPriority w:val="0"/>
    <w:pPr>
      <w:widowControl/>
      <w:adjustRightInd w:val="0"/>
      <w:snapToGrid w:val="0"/>
      <w:spacing w:afterLines="50" w:line="276" w:lineRule="auto"/>
      <w:ind w:firstLine="420" w:firstLineChars="0"/>
      <w:jc w:val="left"/>
    </w:pPr>
    <w:rPr>
      <w:rFonts w:ascii="Times New Roman" w:hAnsi="Times New Roman"/>
      <w:szCs w:val="20"/>
    </w:rPr>
  </w:style>
  <w:style w:type="character" w:customStyle="1" w:styleId="49">
    <w:name w:val="批注文字 字符1"/>
    <w:link w:val="15"/>
    <w:qFormat/>
    <w:uiPriority w:val="99"/>
    <w:rPr>
      <w:rFonts w:eastAsia="仿宋"/>
      <w:kern w:val="2"/>
      <w:sz w:val="28"/>
      <w:szCs w:val="24"/>
    </w:rPr>
  </w:style>
  <w:style w:type="character" w:customStyle="1" w:styleId="50">
    <w:name w:val="日期 字符"/>
    <w:semiHidden/>
    <w:qFormat/>
    <w:uiPriority w:val="99"/>
    <w:rPr>
      <w:rFonts w:ascii="宋体" w:hAnsi="宋体"/>
      <w:kern w:val="2"/>
      <w:sz w:val="24"/>
      <w:szCs w:val="24"/>
    </w:rPr>
  </w:style>
  <w:style w:type="character" w:customStyle="1" w:styleId="51">
    <w:name w:val="日期 字符1"/>
    <w:link w:val="22"/>
    <w:qFormat/>
    <w:uiPriority w:val="0"/>
    <w:rPr>
      <w:kern w:val="2"/>
      <w:sz w:val="21"/>
      <w:szCs w:val="24"/>
    </w:rPr>
  </w:style>
  <w:style w:type="character" w:customStyle="1" w:styleId="52">
    <w:name w:val="标题 9 字符"/>
    <w:link w:val="10"/>
    <w:qFormat/>
    <w:uiPriority w:val="9"/>
    <w:rPr>
      <w:rFonts w:ascii="Cambria" w:hAnsi="Cambria"/>
      <w:kern w:val="2"/>
      <w:sz w:val="21"/>
      <w:szCs w:val="21"/>
    </w:rPr>
  </w:style>
  <w:style w:type="character" w:customStyle="1" w:styleId="53">
    <w:name w:val="未处理的提及1"/>
    <w:unhideWhenUsed/>
    <w:qFormat/>
    <w:uiPriority w:val="99"/>
    <w:rPr>
      <w:color w:val="605E5C"/>
      <w:shd w:val="clear" w:color="auto" w:fill="E1DFDD"/>
    </w:rPr>
  </w:style>
  <w:style w:type="character" w:customStyle="1" w:styleId="54">
    <w:name w:val="标题 1 字符"/>
    <w:qFormat/>
    <w:uiPriority w:val="9"/>
    <w:rPr>
      <w:rFonts w:ascii="宋体" w:hAnsi="宋体"/>
      <w:b/>
      <w:bCs/>
      <w:kern w:val="44"/>
      <w:sz w:val="44"/>
      <w:szCs w:val="44"/>
    </w:rPr>
  </w:style>
  <w:style w:type="character" w:customStyle="1" w:styleId="55">
    <w:name w:val="页脚 字符"/>
    <w:qFormat/>
    <w:uiPriority w:val="99"/>
  </w:style>
  <w:style w:type="character" w:customStyle="1" w:styleId="56">
    <w:name w:val="标题 5 字符"/>
    <w:semiHidden/>
    <w:qFormat/>
    <w:uiPriority w:val="9"/>
    <w:rPr>
      <w:rFonts w:ascii="宋体" w:hAnsi="宋体"/>
      <w:b/>
      <w:bCs/>
      <w:kern w:val="2"/>
      <w:sz w:val="28"/>
      <w:szCs w:val="28"/>
    </w:rPr>
  </w:style>
  <w:style w:type="character" w:customStyle="1" w:styleId="57">
    <w:name w:val="题注 字符"/>
    <w:link w:val="13"/>
    <w:qFormat/>
    <w:locked/>
    <w:uiPriority w:val="0"/>
    <w:rPr>
      <w:rFonts w:ascii="Arial" w:hAnsi="Arial" w:eastAsia="黑体"/>
      <w:kern w:val="2"/>
    </w:rPr>
  </w:style>
  <w:style w:type="character" w:customStyle="1" w:styleId="58">
    <w:name w:val="标题 2 字符"/>
    <w:semiHidden/>
    <w:qFormat/>
    <w:uiPriority w:val="9"/>
    <w:rPr>
      <w:rFonts w:ascii="等线 Light" w:hAnsi="等线 Light" w:eastAsia="等线 Light" w:cs="Times New Roman"/>
      <w:b/>
      <w:bCs/>
      <w:kern w:val="2"/>
      <w:sz w:val="32"/>
      <w:szCs w:val="32"/>
    </w:rPr>
  </w:style>
  <w:style w:type="character" w:customStyle="1" w:styleId="59">
    <w:name w:val="纯文本 字符"/>
    <w:qFormat/>
    <w:uiPriority w:val="0"/>
    <w:rPr>
      <w:rFonts w:ascii="宋体" w:hAnsi="Courier New" w:cs="Courier New"/>
      <w:kern w:val="2"/>
      <w:sz w:val="21"/>
      <w:szCs w:val="21"/>
    </w:rPr>
  </w:style>
  <w:style w:type="character" w:customStyle="1" w:styleId="60">
    <w:name w:val="列表段落 字符"/>
    <w:qFormat/>
    <w:uiPriority w:val="34"/>
    <w:rPr>
      <w:kern w:val="2"/>
      <w:sz w:val="21"/>
      <w:szCs w:val="22"/>
    </w:rPr>
  </w:style>
  <w:style w:type="character" w:customStyle="1" w:styleId="61">
    <w:name w:val="标题 4 字符1"/>
    <w:link w:val="5"/>
    <w:qFormat/>
    <w:uiPriority w:val="0"/>
    <w:rPr>
      <w:rFonts w:ascii="宋体" w:hAnsi="宋体"/>
      <w:b/>
      <w:bCs/>
      <w:kern w:val="2"/>
      <w:sz w:val="30"/>
      <w:szCs w:val="30"/>
    </w:rPr>
  </w:style>
  <w:style w:type="character" w:customStyle="1" w:styleId="62">
    <w:name w:val="正文文本 字符"/>
    <w:link w:val="16"/>
    <w:qFormat/>
    <w:uiPriority w:val="0"/>
    <w:rPr>
      <w:kern w:val="2"/>
      <w:sz w:val="21"/>
      <w:szCs w:val="24"/>
    </w:rPr>
  </w:style>
  <w:style w:type="character" w:customStyle="1" w:styleId="63">
    <w:name w:val="列表段落 字符1"/>
    <w:link w:val="64"/>
    <w:qFormat/>
    <w:uiPriority w:val="34"/>
    <w:rPr>
      <w:kern w:val="2"/>
      <w:sz w:val="21"/>
      <w:szCs w:val="24"/>
    </w:rPr>
  </w:style>
  <w:style w:type="paragraph" w:styleId="64">
    <w:name w:val="List Paragraph"/>
    <w:basedOn w:val="1"/>
    <w:link w:val="63"/>
    <w:qFormat/>
    <w:uiPriority w:val="34"/>
    <w:pPr>
      <w:ind w:firstLine="420"/>
    </w:pPr>
    <w:rPr>
      <w:rFonts w:ascii="Times New Roman" w:hAnsi="Times New Roman"/>
      <w:sz w:val="21"/>
    </w:rPr>
  </w:style>
  <w:style w:type="character" w:customStyle="1" w:styleId="65">
    <w:name w:val="font21"/>
    <w:qFormat/>
    <w:uiPriority w:val="0"/>
    <w:rPr>
      <w:rFonts w:ascii="Calibri" w:hAnsi="Calibri" w:cs="Calibri"/>
      <w:color w:val="000000"/>
      <w:sz w:val="21"/>
      <w:szCs w:val="21"/>
      <w:u w:val="none"/>
    </w:rPr>
  </w:style>
  <w:style w:type="character" w:customStyle="1" w:styleId="66">
    <w:name w:val="*正文 Char"/>
    <w:link w:val="67"/>
    <w:qFormat/>
    <w:uiPriority w:val="0"/>
    <w:rPr>
      <w:rFonts w:ascii="time" w:hAnsi="time"/>
      <w:sz w:val="24"/>
      <w:szCs w:val="24"/>
      <w:lang w:bidi="en-US"/>
    </w:rPr>
  </w:style>
  <w:style w:type="paragraph" w:customStyle="1" w:styleId="67">
    <w:name w:val="*正文"/>
    <w:basedOn w:val="1"/>
    <w:link w:val="66"/>
    <w:qFormat/>
    <w:uiPriority w:val="0"/>
    <w:pPr>
      <w:widowControl/>
      <w:ind w:firstLine="200"/>
      <w:contextualSpacing/>
    </w:pPr>
    <w:rPr>
      <w:rFonts w:ascii="time" w:hAnsi="time"/>
      <w:kern w:val="0"/>
      <w:lang w:bidi="en-US"/>
    </w:rPr>
  </w:style>
  <w:style w:type="character" w:customStyle="1" w:styleId="68">
    <w:name w:val="正文文本缩进 字符"/>
    <w:semiHidden/>
    <w:qFormat/>
    <w:uiPriority w:val="99"/>
    <w:rPr>
      <w:rFonts w:ascii="宋体" w:hAnsi="宋体"/>
      <w:kern w:val="2"/>
      <w:sz w:val="24"/>
      <w:szCs w:val="24"/>
    </w:rPr>
  </w:style>
  <w:style w:type="character" w:customStyle="1" w:styleId="69">
    <w:name w:val="纯文本 字符1"/>
    <w:link w:val="20"/>
    <w:qFormat/>
    <w:locked/>
    <w:uiPriority w:val="0"/>
    <w:rPr>
      <w:rFonts w:ascii="宋体" w:hAnsi="Courier New"/>
      <w:kern w:val="2"/>
      <w:sz w:val="21"/>
    </w:rPr>
  </w:style>
  <w:style w:type="character" w:customStyle="1" w:styleId="70">
    <w:name w:val="my正文 Char"/>
    <w:link w:val="71"/>
    <w:qFormat/>
    <w:uiPriority w:val="0"/>
    <w:rPr>
      <w:kern w:val="2"/>
      <w:sz w:val="21"/>
      <w:szCs w:val="24"/>
    </w:rPr>
  </w:style>
  <w:style w:type="paragraph" w:customStyle="1" w:styleId="71">
    <w:name w:val="my正文"/>
    <w:basedOn w:val="1"/>
    <w:link w:val="70"/>
    <w:qFormat/>
    <w:uiPriority w:val="0"/>
    <w:pPr>
      <w:spacing w:line="240" w:lineRule="auto"/>
      <w:ind w:firstLine="0" w:firstLineChars="0"/>
    </w:pPr>
    <w:rPr>
      <w:rFonts w:ascii="Times New Roman" w:hAnsi="Times New Roman"/>
      <w:sz w:val="21"/>
    </w:rPr>
  </w:style>
  <w:style w:type="character" w:customStyle="1" w:styleId="72">
    <w:name w:val="正文2 字符"/>
    <w:link w:val="73"/>
    <w:qFormat/>
    <w:uiPriority w:val="0"/>
    <w:rPr>
      <w:kern w:val="2"/>
      <w:sz w:val="21"/>
      <w:szCs w:val="24"/>
    </w:rPr>
  </w:style>
  <w:style w:type="paragraph" w:customStyle="1" w:styleId="73">
    <w:name w:val="正文2"/>
    <w:basedOn w:val="1"/>
    <w:link w:val="72"/>
    <w:qFormat/>
    <w:uiPriority w:val="0"/>
    <w:pPr>
      <w:ind w:firstLine="420"/>
    </w:pPr>
    <w:rPr>
      <w:rFonts w:ascii="Times New Roman" w:hAnsi="Times New Roman"/>
      <w:sz w:val="21"/>
    </w:rPr>
  </w:style>
  <w:style w:type="character" w:customStyle="1" w:styleId="74">
    <w:name w:val="font41"/>
    <w:qFormat/>
    <w:uiPriority w:val="0"/>
    <w:rPr>
      <w:rFonts w:hint="eastAsia" w:ascii="宋体" w:hAnsi="宋体" w:eastAsia="宋体" w:cs="宋体"/>
      <w:color w:val="000000"/>
      <w:sz w:val="21"/>
      <w:szCs w:val="21"/>
      <w:u w:val="none"/>
    </w:rPr>
  </w:style>
  <w:style w:type="character" w:customStyle="1" w:styleId="75">
    <w:name w:val="标题 7 字符"/>
    <w:link w:val="8"/>
    <w:qFormat/>
    <w:uiPriority w:val="9"/>
    <w:rPr>
      <w:b/>
      <w:bCs/>
      <w:kern w:val="2"/>
      <w:sz w:val="21"/>
      <w:szCs w:val="24"/>
    </w:rPr>
  </w:style>
  <w:style w:type="character" w:customStyle="1" w:styleId="76">
    <w:name w:val="批注框文本 字符"/>
    <w:semiHidden/>
    <w:qFormat/>
    <w:uiPriority w:val="99"/>
    <w:rPr>
      <w:rFonts w:ascii="宋体" w:hAnsi="宋体"/>
      <w:kern w:val="2"/>
      <w:sz w:val="18"/>
      <w:szCs w:val="18"/>
    </w:rPr>
  </w:style>
  <w:style w:type="character" w:customStyle="1" w:styleId="77">
    <w:name w:val="副标题 Char1"/>
    <w:qFormat/>
    <w:uiPriority w:val="0"/>
    <w:rPr>
      <w:rFonts w:ascii="Calibri Light" w:hAnsi="Calibri Light" w:cs="Times New Roman"/>
      <w:b/>
      <w:bCs/>
      <w:kern w:val="28"/>
      <w:sz w:val="32"/>
      <w:szCs w:val="32"/>
    </w:rPr>
  </w:style>
  <w:style w:type="character" w:customStyle="1" w:styleId="78">
    <w:name w:val="批注文字 字符"/>
    <w:qFormat/>
    <w:uiPriority w:val="99"/>
    <w:rPr>
      <w:rFonts w:ascii="宋体" w:hAnsi="宋体"/>
      <w:kern w:val="2"/>
      <w:sz w:val="24"/>
      <w:szCs w:val="24"/>
    </w:rPr>
  </w:style>
  <w:style w:type="character" w:customStyle="1" w:styleId="79">
    <w:name w:val="文档结构图 字符"/>
    <w:semiHidden/>
    <w:qFormat/>
    <w:uiPriority w:val="99"/>
    <w:rPr>
      <w:rFonts w:ascii="Microsoft YaHei UI" w:hAnsi="宋体" w:eastAsia="Microsoft YaHei UI"/>
      <w:kern w:val="2"/>
      <w:sz w:val="18"/>
      <w:szCs w:val="18"/>
    </w:rPr>
  </w:style>
  <w:style w:type="character" w:customStyle="1" w:styleId="80">
    <w:name w:val="标题 6 字符"/>
    <w:semiHidden/>
    <w:qFormat/>
    <w:uiPriority w:val="9"/>
    <w:rPr>
      <w:rFonts w:ascii="等线 Light" w:hAnsi="等线 Light" w:eastAsia="等线 Light" w:cs="Times New Roman"/>
      <w:b/>
      <w:bCs/>
      <w:kern w:val="2"/>
      <w:sz w:val="24"/>
      <w:szCs w:val="24"/>
    </w:rPr>
  </w:style>
  <w:style w:type="character" w:customStyle="1" w:styleId="81">
    <w:name w:val="正文正文2 Char"/>
    <w:link w:val="82"/>
    <w:qFormat/>
    <w:uiPriority w:val="0"/>
    <w:rPr>
      <w:rFonts w:ascii="宋体" w:hAnsi="宋体"/>
      <w:kern w:val="2"/>
      <w:sz w:val="21"/>
      <w:szCs w:val="21"/>
    </w:rPr>
  </w:style>
  <w:style w:type="paragraph" w:customStyle="1" w:styleId="82">
    <w:name w:val="正文正文2"/>
    <w:basedOn w:val="1"/>
    <w:link w:val="81"/>
    <w:qFormat/>
    <w:uiPriority w:val="0"/>
    <w:pPr>
      <w:ind w:firstLine="460"/>
    </w:pPr>
    <w:rPr>
      <w:sz w:val="21"/>
      <w:szCs w:val="21"/>
    </w:rPr>
  </w:style>
  <w:style w:type="character" w:customStyle="1" w:styleId="83">
    <w:name w:val="标题 3 字符2"/>
    <w:link w:val="4"/>
    <w:qFormat/>
    <w:uiPriority w:val="0"/>
    <w:rPr>
      <w:rFonts w:ascii="宋体" w:hAnsi="宋体"/>
      <w:b/>
      <w:bCs/>
      <w:kern w:val="2"/>
      <w:sz w:val="28"/>
      <w:szCs w:val="28"/>
    </w:rPr>
  </w:style>
  <w:style w:type="character" w:customStyle="1" w:styleId="84">
    <w:name w:val="批注主题 字符1"/>
    <w:link w:val="34"/>
    <w:qFormat/>
    <w:uiPriority w:val="0"/>
    <w:rPr>
      <w:rFonts w:eastAsia="仿宋"/>
      <w:b/>
      <w:bCs/>
      <w:kern w:val="2"/>
      <w:sz w:val="21"/>
      <w:szCs w:val="24"/>
    </w:rPr>
  </w:style>
  <w:style w:type="character" w:customStyle="1" w:styleId="85">
    <w:name w:val="页眉 字符"/>
    <w:semiHidden/>
    <w:qFormat/>
    <w:uiPriority w:val="99"/>
    <w:rPr>
      <w:rFonts w:ascii="宋体" w:hAnsi="宋体"/>
      <w:kern w:val="2"/>
      <w:sz w:val="18"/>
      <w:szCs w:val="18"/>
    </w:rPr>
  </w:style>
  <w:style w:type="character" w:customStyle="1" w:styleId="86">
    <w:name w:val="正文文本缩进 字符1"/>
    <w:link w:val="17"/>
    <w:qFormat/>
    <w:uiPriority w:val="0"/>
    <w:rPr>
      <w:kern w:val="2"/>
      <w:sz w:val="21"/>
    </w:rPr>
  </w:style>
  <w:style w:type="character" w:customStyle="1" w:styleId="87">
    <w:name w:val="标题 5 字符1"/>
    <w:link w:val="6"/>
    <w:qFormat/>
    <w:uiPriority w:val="0"/>
    <w:rPr>
      <w:rFonts w:ascii="宋体" w:hAnsi="宋体"/>
      <w:b/>
      <w:bCs/>
      <w:kern w:val="2"/>
      <w:sz w:val="24"/>
      <w:szCs w:val="28"/>
    </w:rPr>
  </w:style>
  <w:style w:type="character" w:customStyle="1" w:styleId="88">
    <w:name w:val="副标题 字符1"/>
    <w:link w:val="28"/>
    <w:qFormat/>
    <w:uiPriority w:val="0"/>
    <w:rPr>
      <w:rFonts w:ascii="Calibri Light" w:hAnsi="Calibri Light"/>
      <w:b/>
      <w:bCs/>
      <w:kern w:val="28"/>
      <w:sz w:val="32"/>
      <w:szCs w:val="32"/>
    </w:rPr>
  </w:style>
  <w:style w:type="character" w:customStyle="1" w:styleId="89">
    <w:name w:val="页脚 字符1"/>
    <w:link w:val="24"/>
    <w:qFormat/>
    <w:uiPriority w:val="99"/>
    <w:rPr>
      <w:kern w:val="2"/>
      <w:sz w:val="18"/>
      <w:szCs w:val="18"/>
    </w:rPr>
  </w:style>
  <w:style w:type="character" w:customStyle="1" w:styleId="90">
    <w:name w:val="批注主题 字符"/>
    <w:semiHidden/>
    <w:qFormat/>
    <w:uiPriority w:val="99"/>
    <w:rPr>
      <w:rFonts w:ascii="宋体" w:hAnsi="宋体"/>
      <w:b/>
      <w:bCs/>
      <w:kern w:val="2"/>
      <w:sz w:val="24"/>
      <w:szCs w:val="24"/>
    </w:rPr>
  </w:style>
  <w:style w:type="character" w:customStyle="1" w:styleId="91">
    <w:name w:val="文档结构图 字符1"/>
    <w:link w:val="14"/>
    <w:qFormat/>
    <w:uiPriority w:val="0"/>
    <w:rPr>
      <w:rFonts w:ascii="宋体"/>
      <w:kern w:val="2"/>
      <w:sz w:val="18"/>
      <w:szCs w:val="18"/>
    </w:rPr>
  </w:style>
  <w:style w:type="character" w:customStyle="1" w:styleId="92">
    <w:name w:val="font31"/>
    <w:qFormat/>
    <w:uiPriority w:val="0"/>
    <w:rPr>
      <w:rFonts w:hint="eastAsia" w:ascii="宋体" w:hAnsi="宋体" w:eastAsia="宋体" w:cs="宋体"/>
      <w:color w:val="000000"/>
      <w:sz w:val="21"/>
      <w:szCs w:val="21"/>
      <w:u w:val="none"/>
    </w:rPr>
  </w:style>
  <w:style w:type="character" w:customStyle="1" w:styleId="93">
    <w:name w:val="标准正文 Char"/>
    <w:link w:val="94"/>
    <w:qFormat/>
    <w:uiPriority w:val="0"/>
    <w:rPr>
      <w:rFonts w:ascii="Arial" w:hAnsi="Arial"/>
      <w:kern w:val="2"/>
      <w:sz w:val="24"/>
    </w:rPr>
  </w:style>
  <w:style w:type="paragraph" w:customStyle="1" w:styleId="94">
    <w:name w:val="标准正文"/>
    <w:basedOn w:val="17"/>
    <w:link w:val="93"/>
    <w:qFormat/>
    <w:uiPriority w:val="0"/>
    <w:pPr>
      <w:spacing w:before="60" w:after="60"/>
      <w:ind w:firstLine="482" w:firstLineChars="0"/>
    </w:pPr>
    <w:rPr>
      <w:rFonts w:ascii="Arial" w:hAnsi="Arial"/>
      <w:sz w:val="24"/>
    </w:rPr>
  </w:style>
  <w:style w:type="character" w:customStyle="1" w:styleId="95">
    <w:name w:val="标题 字符1"/>
    <w:link w:val="33"/>
    <w:qFormat/>
    <w:uiPriority w:val="0"/>
    <w:rPr>
      <w:rFonts w:ascii="Cambria" w:hAnsi="Cambria" w:eastAsia="黑体"/>
      <w:b/>
      <w:bCs/>
      <w:kern w:val="2"/>
      <w:sz w:val="52"/>
      <w:szCs w:val="32"/>
    </w:rPr>
  </w:style>
  <w:style w:type="character" w:customStyle="1" w:styleId="96">
    <w:name w:val="批注框文本 字符1"/>
    <w:link w:val="23"/>
    <w:qFormat/>
    <w:uiPriority w:val="0"/>
    <w:rPr>
      <w:kern w:val="2"/>
      <w:sz w:val="18"/>
      <w:szCs w:val="18"/>
    </w:rPr>
  </w:style>
  <w:style w:type="character" w:customStyle="1" w:styleId="97">
    <w:name w:val="页眉 字符1"/>
    <w:link w:val="25"/>
    <w:qFormat/>
    <w:uiPriority w:val="99"/>
    <w:rPr>
      <w:kern w:val="2"/>
      <w:sz w:val="18"/>
      <w:szCs w:val="18"/>
    </w:rPr>
  </w:style>
  <w:style w:type="character" w:customStyle="1" w:styleId="98">
    <w:name w:val="标题 8 字符"/>
    <w:link w:val="9"/>
    <w:qFormat/>
    <w:uiPriority w:val="9"/>
    <w:rPr>
      <w:rFonts w:ascii="Cambria" w:hAnsi="Cambria"/>
      <w:kern w:val="2"/>
      <w:sz w:val="21"/>
      <w:szCs w:val="24"/>
    </w:rPr>
  </w:style>
  <w:style w:type="character" w:customStyle="1" w:styleId="99">
    <w:name w:val="标题 6 字符1"/>
    <w:link w:val="7"/>
    <w:qFormat/>
    <w:uiPriority w:val="0"/>
    <w:rPr>
      <w:rFonts w:ascii="Cambria" w:hAnsi="Cambria"/>
      <w:b/>
      <w:bCs/>
      <w:kern w:val="2"/>
      <w:sz w:val="24"/>
      <w:szCs w:val="24"/>
    </w:rPr>
  </w:style>
  <w:style w:type="character" w:customStyle="1" w:styleId="100">
    <w:name w:val="标题 字符"/>
    <w:qFormat/>
    <w:uiPriority w:val="10"/>
    <w:rPr>
      <w:rFonts w:ascii="等线 Light" w:hAnsi="等线 Light" w:eastAsia="等线 Light" w:cs="Times New Roman"/>
      <w:b/>
      <w:bCs/>
      <w:kern w:val="2"/>
      <w:sz w:val="32"/>
      <w:szCs w:val="32"/>
    </w:rPr>
  </w:style>
  <w:style w:type="character" w:customStyle="1" w:styleId="101">
    <w:name w:val="副标题 字符"/>
    <w:qFormat/>
    <w:uiPriority w:val="11"/>
    <w:rPr>
      <w:rFonts w:ascii="等线" w:hAnsi="等线" w:eastAsia="等线" w:cs="Times New Roman"/>
      <w:b/>
      <w:bCs/>
      <w:kern w:val="28"/>
      <w:sz w:val="32"/>
      <w:szCs w:val="32"/>
    </w:rPr>
  </w:style>
  <w:style w:type="paragraph" w:customStyle="1" w:styleId="102">
    <w:name w:val="xl72"/>
    <w:basedOn w:val="1"/>
    <w:qFormat/>
    <w:uiPriority w:val="0"/>
    <w:pPr>
      <w:widowControl/>
      <w:spacing w:before="100" w:beforeAutospacing="1" w:after="100" w:afterAutospacing="1" w:line="240" w:lineRule="auto"/>
      <w:ind w:firstLine="0" w:firstLineChars="0"/>
      <w:jc w:val="center"/>
    </w:pPr>
    <w:rPr>
      <w:rFonts w:cs="宋体"/>
      <w:kern w:val="0"/>
    </w:rPr>
  </w:style>
  <w:style w:type="paragraph" w:customStyle="1" w:styleId="103">
    <w:name w:val="正文（深信服）"/>
    <w:qFormat/>
    <w:uiPriority w:val="0"/>
    <w:pPr>
      <w:spacing w:line="360" w:lineRule="auto"/>
      <w:ind w:firstLine="420"/>
    </w:pPr>
    <w:rPr>
      <w:rFonts w:ascii="Arial" w:hAnsi="Arial" w:eastAsia="宋体" w:cs="Times New Roman"/>
      <w:sz w:val="24"/>
      <w:szCs w:val="21"/>
      <w:shd w:val="clear" w:color="auto" w:fill="FFFFFF"/>
      <w:lang w:val="en-US" w:eastAsia="zh-CN" w:bidi="ar-SA"/>
    </w:rPr>
  </w:style>
  <w:style w:type="paragraph" w:customStyle="1" w:styleId="104">
    <w:name w:val="xl70"/>
    <w:basedOn w:val="1"/>
    <w:qFormat/>
    <w:uiPriority w:val="0"/>
    <w:pPr>
      <w:widowControl/>
      <w:pBdr>
        <w:bottom w:val="single" w:color="auto" w:sz="4" w:space="0"/>
        <w:right w:val="single" w:color="auto" w:sz="4" w:space="0"/>
      </w:pBdr>
      <w:spacing w:before="100" w:beforeAutospacing="1" w:after="100" w:afterAutospacing="1" w:line="240" w:lineRule="auto"/>
      <w:ind w:firstLine="0" w:firstLineChars="0"/>
      <w:jc w:val="right"/>
      <w:textAlignment w:val="center"/>
    </w:pPr>
    <w:rPr>
      <w:rFonts w:ascii="Microsoft Sans Serif" w:hAnsi="Microsoft Sans Serif" w:cs="Microsoft Sans Serif"/>
      <w:kern w:val="0"/>
      <w:sz w:val="18"/>
      <w:szCs w:val="18"/>
    </w:rPr>
  </w:style>
  <w:style w:type="paragraph" w:customStyle="1" w:styleId="105">
    <w:name w:val="_Style 2"/>
    <w:basedOn w:val="2"/>
    <w:next w:val="1"/>
    <w:qFormat/>
    <w:uiPriority w:val="39"/>
    <w:pPr>
      <w:widowControl/>
      <w:numPr>
        <w:numId w:val="0"/>
      </w:numPr>
      <w:spacing w:before="480" w:after="0" w:line="276" w:lineRule="auto"/>
      <w:jc w:val="left"/>
      <w:outlineLvl w:val="9"/>
    </w:pPr>
    <w:rPr>
      <w:rFonts w:ascii="Cambria" w:hAnsi="Cambria" w:eastAsia="宋体"/>
      <w:color w:val="365F91"/>
      <w:kern w:val="0"/>
      <w:sz w:val="28"/>
    </w:rPr>
  </w:style>
  <w:style w:type="paragraph" w:customStyle="1" w:styleId="106">
    <w:name w:val="正文缩进1"/>
    <w:basedOn w:val="1"/>
    <w:qFormat/>
    <w:uiPriority w:val="0"/>
    <w:pPr>
      <w:spacing w:line="240" w:lineRule="auto"/>
      <w:ind w:firstLine="420"/>
    </w:pPr>
    <w:rPr>
      <w:rFonts w:ascii="Times New Roman" w:hAnsi="Times New Roman"/>
      <w:sz w:val="21"/>
      <w:szCs w:val="20"/>
    </w:rPr>
  </w:style>
  <w:style w:type="paragraph" w:customStyle="1" w:styleId="107">
    <w:name w:val="xl68"/>
    <w:basedOn w:val="1"/>
    <w:qFormat/>
    <w:uiPriority w:val="0"/>
    <w:pPr>
      <w:widowControl/>
      <w:pBdr>
        <w:bottom w:val="single" w:color="auto" w:sz="4" w:space="0"/>
        <w:right w:val="single" w:color="auto" w:sz="4" w:space="0"/>
      </w:pBdr>
      <w:spacing w:before="100" w:beforeAutospacing="1" w:after="100" w:afterAutospacing="1" w:line="240" w:lineRule="auto"/>
      <w:ind w:firstLine="0" w:firstLineChars="0"/>
      <w:jc w:val="left"/>
      <w:textAlignment w:val="center"/>
    </w:pPr>
    <w:rPr>
      <w:rFonts w:ascii="Microsoft Sans Serif" w:hAnsi="Microsoft Sans Serif" w:cs="Microsoft Sans Serif"/>
      <w:kern w:val="0"/>
      <w:sz w:val="18"/>
      <w:szCs w:val="18"/>
    </w:rPr>
  </w:style>
  <w:style w:type="paragraph" w:customStyle="1" w:styleId="108">
    <w:name w:val="前言、引言标题"/>
    <w:next w:val="1"/>
    <w:qFormat/>
    <w:uiPriority w:val="99"/>
    <w:pPr>
      <w:shd w:val="clear" w:color="FFFFFF" w:fill="FFFFFF"/>
      <w:tabs>
        <w:tab w:val="left" w:pos="425"/>
      </w:tabs>
      <w:spacing w:before="640" w:after="560"/>
      <w:jc w:val="center"/>
      <w:outlineLvl w:val="0"/>
    </w:pPr>
    <w:rPr>
      <w:rFonts w:ascii="黑体" w:hAnsi="Times New Roman" w:eastAsia="黑体" w:cs="Times New Roman"/>
      <w:sz w:val="32"/>
      <w:lang w:val="en-US" w:eastAsia="zh-CN" w:bidi="ar-SA"/>
    </w:rPr>
  </w:style>
  <w:style w:type="paragraph" w:customStyle="1" w:styleId="109">
    <w:name w:val="Indent Normal"/>
    <w:basedOn w:val="1"/>
    <w:qFormat/>
    <w:uiPriority w:val="0"/>
    <w:pPr>
      <w:ind w:firstLine="150" w:firstLineChars="150"/>
    </w:pPr>
  </w:style>
  <w:style w:type="paragraph" w:customStyle="1" w:styleId="110">
    <w:name w:val="msonormal"/>
    <w:basedOn w:val="1"/>
    <w:qFormat/>
    <w:uiPriority w:val="0"/>
    <w:pPr>
      <w:widowControl/>
      <w:spacing w:before="100" w:beforeAutospacing="1" w:after="100" w:afterAutospacing="1" w:line="240" w:lineRule="auto"/>
      <w:ind w:firstLine="0" w:firstLineChars="0"/>
      <w:jc w:val="left"/>
    </w:pPr>
    <w:rPr>
      <w:rFonts w:cs="宋体"/>
      <w:kern w:val="0"/>
    </w:rPr>
  </w:style>
  <w:style w:type="paragraph" w:customStyle="1" w:styleId="111">
    <w:name w:val="正文 缩进2字符"/>
    <w:basedOn w:val="1"/>
    <w:qFormat/>
    <w:uiPriority w:val="0"/>
    <w:pPr>
      <w:spacing w:afterLines="50" w:line="240" w:lineRule="auto"/>
      <w:ind w:firstLine="0" w:firstLineChars="0"/>
    </w:pPr>
    <w:rPr>
      <w:rFonts w:ascii="Times New Roman" w:hAnsi="Times New Roman" w:cs="宋体"/>
      <w:sz w:val="21"/>
      <w:szCs w:val="20"/>
    </w:rPr>
  </w:style>
  <w:style w:type="paragraph" w:customStyle="1" w:styleId="112">
    <w:name w:val="列项●（二级）"/>
    <w:qFormat/>
    <w:uiPriority w:val="0"/>
    <w:pPr>
      <w:numPr>
        <w:ilvl w:val="0"/>
        <w:numId w:val="2"/>
      </w:numPr>
      <w:tabs>
        <w:tab w:val="left" w:pos="840"/>
      </w:tabs>
      <w:ind w:left="600" w:leftChars="400" w:hanging="200" w:hangingChars="200"/>
      <w:jc w:val="both"/>
    </w:pPr>
    <w:rPr>
      <w:rFonts w:ascii="宋体" w:hAnsi="Times New Roman" w:eastAsia="宋体" w:cs="Times New Roman"/>
      <w:sz w:val="21"/>
      <w:lang w:val="en-US" w:eastAsia="zh-CN" w:bidi="ar-SA"/>
    </w:rPr>
  </w:style>
  <w:style w:type="paragraph" w:customStyle="1" w:styleId="113">
    <w:name w:val="助手文本"/>
    <w:basedOn w:val="1"/>
    <w:qFormat/>
    <w:uiPriority w:val="0"/>
    <w:pPr>
      <w:autoSpaceDE w:val="0"/>
      <w:autoSpaceDN w:val="0"/>
      <w:adjustRightInd w:val="0"/>
      <w:spacing w:beforeLines="50" w:afterLines="50"/>
      <w:ind w:left="14" w:firstLine="434"/>
      <w:textAlignment w:val="baseline"/>
    </w:pPr>
    <w:rPr>
      <w:rFonts w:ascii="楷体_GB2312" w:eastAsia="楷体_GB2312"/>
      <w:kern w:val="0"/>
      <w:szCs w:val="20"/>
      <w:u w:val="single"/>
    </w:rPr>
  </w:style>
  <w:style w:type="paragraph" w:customStyle="1" w:styleId="114">
    <w:name w:val="xl67"/>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Microsoft Sans Serif" w:hAnsi="Microsoft Sans Serif" w:cs="Microsoft Sans Serif"/>
      <w:b/>
      <w:bCs/>
      <w:kern w:val="0"/>
      <w:sz w:val="18"/>
      <w:szCs w:val="18"/>
    </w:rPr>
  </w:style>
  <w:style w:type="paragraph" w:customStyle="1" w:styleId="115">
    <w:name w:val="段"/>
    <w:link w:val="139"/>
    <w:qFormat/>
    <w:uiPriority w:val="0"/>
    <w:pPr>
      <w:autoSpaceDE w:val="0"/>
      <w:autoSpaceDN w:val="0"/>
      <w:ind w:firstLine="200" w:firstLineChars="200"/>
      <w:jc w:val="both"/>
    </w:pPr>
    <w:rPr>
      <w:rFonts w:ascii="宋体" w:hAnsi="Times New Roman" w:eastAsia="宋体" w:cs="Calibri"/>
      <w:sz w:val="21"/>
      <w:lang w:val="en-US" w:eastAsia="zh-CN" w:bidi="ar-SA"/>
    </w:rPr>
  </w:style>
  <w:style w:type="paragraph" w:customStyle="1" w:styleId="116">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cs="宋体"/>
      <w:kern w:val="0"/>
    </w:rPr>
  </w:style>
  <w:style w:type="paragraph" w:customStyle="1" w:styleId="117">
    <w:name w:val="Char Char Char Char Char Char1 Char"/>
    <w:basedOn w:val="1"/>
    <w:qFormat/>
    <w:uiPriority w:val="0"/>
    <w:pPr>
      <w:widowControl/>
      <w:spacing w:after="160" w:line="240" w:lineRule="exact"/>
      <w:jc w:val="left"/>
    </w:pPr>
  </w:style>
  <w:style w:type="paragraph" w:customStyle="1" w:styleId="118">
    <w:name w:val="PM_Body"/>
    <w:basedOn w:val="1"/>
    <w:qFormat/>
    <w:locked/>
    <w:uiPriority w:val="0"/>
    <w:rPr>
      <w:szCs w:val="21"/>
    </w:rPr>
  </w:style>
  <w:style w:type="paragraph" w:customStyle="1" w:styleId="119">
    <w:name w:val="Char Char1"/>
    <w:basedOn w:val="1"/>
    <w:qFormat/>
    <w:uiPriority w:val="0"/>
    <w:pPr>
      <w:widowControl/>
      <w:spacing w:before="120" w:after="120"/>
    </w:pPr>
    <w:rPr>
      <w:rFonts w:ascii="Times New Roman" w:hAnsi="Times New Roman" w:cs="宋体"/>
    </w:rPr>
  </w:style>
  <w:style w:type="paragraph" w:customStyle="1" w:styleId="120">
    <w:name w:val="xl71"/>
    <w:basedOn w:val="1"/>
    <w:qFormat/>
    <w:uiPriority w:val="0"/>
    <w:pPr>
      <w:widowControl/>
      <w:spacing w:before="100" w:beforeAutospacing="1" w:after="100" w:afterAutospacing="1" w:line="240" w:lineRule="auto"/>
      <w:ind w:firstLine="0" w:firstLineChars="0"/>
      <w:jc w:val="right"/>
      <w:textAlignment w:val="center"/>
    </w:pPr>
    <w:rPr>
      <w:rFonts w:ascii="Microsoft Sans Serif" w:hAnsi="Microsoft Sans Serif" w:cs="Microsoft Sans Serif"/>
      <w:kern w:val="0"/>
      <w:sz w:val="18"/>
      <w:szCs w:val="18"/>
    </w:rPr>
  </w:style>
  <w:style w:type="paragraph" w:customStyle="1" w:styleId="121">
    <w:name w:val="修订1"/>
    <w:unhideWhenUsed/>
    <w:qFormat/>
    <w:uiPriority w:val="99"/>
    <w:rPr>
      <w:rFonts w:ascii="宋体" w:hAnsi="宋体" w:eastAsia="宋体" w:cs="Times New Roman"/>
      <w:kern w:val="2"/>
      <w:sz w:val="24"/>
      <w:szCs w:val="24"/>
      <w:lang w:val="en-US" w:eastAsia="zh-CN" w:bidi="ar-SA"/>
    </w:rPr>
  </w:style>
  <w:style w:type="paragraph" w:customStyle="1" w:styleId="122">
    <w:name w:val="列出段落2"/>
    <w:basedOn w:val="1"/>
    <w:qFormat/>
    <w:uiPriority w:val="0"/>
    <w:pPr>
      <w:spacing w:line="240" w:lineRule="auto"/>
      <w:ind w:firstLine="420"/>
    </w:pPr>
    <w:rPr>
      <w:rFonts w:ascii="等线" w:hAnsi="等线" w:eastAsia="等线" w:cs="等线"/>
      <w:sz w:val="21"/>
      <w:szCs w:val="21"/>
    </w:rPr>
  </w:style>
  <w:style w:type="paragraph" w:customStyle="1" w:styleId="123">
    <w:name w:val="xl69"/>
    <w:basedOn w:val="1"/>
    <w:qFormat/>
    <w:uiPriority w:val="0"/>
    <w:pPr>
      <w:widowControl/>
      <w:pBdr>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Microsoft Sans Serif" w:hAnsi="Microsoft Sans Serif" w:cs="Microsoft Sans Serif"/>
      <w:kern w:val="0"/>
      <w:sz w:val="18"/>
      <w:szCs w:val="18"/>
    </w:rPr>
  </w:style>
  <w:style w:type="paragraph" w:customStyle="1" w:styleId="12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Microsoft Sans Serif" w:hAnsi="Microsoft Sans Serif" w:cs="Microsoft Sans Serif"/>
      <w:b/>
      <w:bCs/>
      <w:kern w:val="0"/>
      <w:sz w:val="18"/>
      <w:szCs w:val="18"/>
    </w:rPr>
  </w:style>
  <w:style w:type="paragraph" w:customStyle="1" w:styleId="125">
    <w:name w:val="文档正文文本（中安网脉）"/>
    <w:basedOn w:val="1"/>
    <w:qFormat/>
    <w:uiPriority w:val="0"/>
    <w:pPr>
      <w:ind w:firstLine="200"/>
    </w:pPr>
    <w:rPr>
      <w:rFonts w:ascii="Times New Roman" w:hAnsi="Times New Roman" w:eastAsia="仿宋_GB2312"/>
      <w:color w:val="000000"/>
      <w:szCs w:val="28"/>
    </w:rPr>
  </w:style>
  <w:style w:type="paragraph" w:customStyle="1" w:styleId="126">
    <w:name w:val="xl65"/>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center"/>
    </w:pPr>
    <w:rPr>
      <w:rFonts w:ascii="Microsoft Sans Serif" w:hAnsi="Microsoft Sans Serif" w:cs="Microsoft Sans Serif"/>
      <w:kern w:val="0"/>
      <w:sz w:val="18"/>
      <w:szCs w:val="18"/>
    </w:rPr>
  </w:style>
  <w:style w:type="paragraph" w:customStyle="1" w:styleId="127">
    <w:name w:val="正文样式"/>
    <w:unhideWhenUsed/>
    <w:qFormat/>
    <w:uiPriority w:val="0"/>
    <w:pPr>
      <w:widowControl w:val="0"/>
      <w:adjustRightInd w:val="0"/>
      <w:snapToGrid w:val="0"/>
      <w:spacing w:line="360" w:lineRule="auto"/>
      <w:ind w:firstLine="200" w:firstLineChars="200"/>
      <w:jc w:val="both"/>
    </w:pPr>
    <w:rPr>
      <w:rFonts w:ascii="Times New Roman" w:hAnsi="Times New Roman" w:eastAsia="宋体" w:cs="Times New Roman"/>
      <w:bCs/>
      <w:snapToGrid w:val="0"/>
      <w:sz w:val="24"/>
      <w:szCs w:val="44"/>
      <w:lang w:val="en-US" w:eastAsia="zh-CN" w:bidi="ar-SA"/>
    </w:rPr>
  </w:style>
  <w:style w:type="paragraph" w:customStyle="1" w:styleId="128">
    <w:name w:val="样式 行距: 1.5 倍行距 首行缩进:  2 字符"/>
    <w:basedOn w:val="1"/>
    <w:qFormat/>
    <w:uiPriority w:val="0"/>
    <w:pPr>
      <w:ind w:firstLine="560"/>
      <w:jc w:val="left"/>
    </w:pPr>
    <w:rPr>
      <w:rFonts w:ascii="仿宋" w:hAnsi="仿宋" w:eastAsia="仿宋" w:cs="宋体"/>
      <w:sz w:val="28"/>
      <w:szCs w:val="20"/>
    </w:rPr>
  </w:style>
  <w:style w:type="paragraph" w:customStyle="1" w:styleId="129">
    <w:name w:val="TOC 标题1"/>
    <w:basedOn w:val="2"/>
    <w:next w:val="1"/>
    <w:qFormat/>
    <w:uiPriority w:val="39"/>
    <w:pPr>
      <w:widowControl/>
      <w:numPr>
        <w:numId w:val="0"/>
      </w:numPr>
      <w:spacing w:before="480" w:after="0" w:line="276" w:lineRule="auto"/>
      <w:jc w:val="left"/>
      <w:outlineLvl w:val="9"/>
    </w:pPr>
    <w:rPr>
      <w:rFonts w:ascii="Cambria" w:hAnsi="Cambria" w:eastAsia="宋体"/>
      <w:color w:val="365F91"/>
      <w:kern w:val="0"/>
      <w:sz w:val="28"/>
    </w:rPr>
  </w:style>
  <w:style w:type="table" w:customStyle="1" w:styleId="130">
    <w:name w:val="!我的表格1"/>
    <w:basedOn w:val="3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
    <w:name w:val="网格型1"/>
    <w:basedOn w:val="35"/>
    <w:unhideWhenUsed/>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2">
    <w:name w:val="标题 1 Char"/>
    <w:qFormat/>
    <w:uiPriority w:val="0"/>
    <w:rPr>
      <w:rFonts w:ascii="宋体" w:hAnsi="宋体" w:eastAsia="黑体"/>
      <w:b/>
      <w:bCs/>
      <w:kern w:val="44"/>
      <w:sz w:val="32"/>
      <w:szCs w:val="28"/>
    </w:rPr>
  </w:style>
  <w:style w:type="character" w:customStyle="1" w:styleId="133">
    <w:name w:val="纯文本 Char2"/>
    <w:qFormat/>
    <w:uiPriority w:val="0"/>
    <w:rPr>
      <w:rFonts w:ascii="宋体" w:hAnsi="宋体" w:eastAsia="宋体" w:cs="Times New Roman"/>
      <w:color w:val="000000"/>
      <w:kern w:val="0"/>
      <w:sz w:val="24"/>
      <w:szCs w:val="24"/>
    </w:rPr>
  </w:style>
  <w:style w:type="paragraph" w:customStyle="1" w:styleId="134">
    <w:name w:val="列出段落1"/>
    <w:basedOn w:val="1"/>
    <w:qFormat/>
    <w:uiPriority w:val="34"/>
    <w:pPr>
      <w:spacing w:line="240" w:lineRule="auto"/>
      <w:ind w:firstLine="420"/>
    </w:pPr>
    <w:rPr>
      <w:rFonts w:ascii="Calibri" w:hAnsi="Calibri"/>
      <w:sz w:val="21"/>
      <w:szCs w:val="22"/>
    </w:rPr>
  </w:style>
  <w:style w:type="table" w:customStyle="1" w:styleId="135">
    <w:name w:val="Table Normal"/>
    <w:basedOn w:val="35"/>
    <w:semiHidden/>
    <w:unhideWhenUsed/>
    <w:qFormat/>
    <w:uiPriority w:val="0"/>
    <w:tblPr>
      <w:tblCellMar>
        <w:left w:w="0" w:type="dxa"/>
        <w:right w:w="0" w:type="dxa"/>
      </w:tblCellMar>
    </w:tblPr>
  </w:style>
  <w:style w:type="paragraph" w:customStyle="1" w:styleId="136">
    <w:name w:val="Table Text"/>
    <w:basedOn w:val="1"/>
    <w:semiHidden/>
    <w:qFormat/>
    <w:uiPriority w:val="0"/>
    <w:rPr>
      <w:rFonts w:cs="宋体"/>
    </w:rPr>
  </w:style>
  <w:style w:type="paragraph" w:customStyle="1" w:styleId="137">
    <w:name w:val="可研正文"/>
    <w:basedOn w:val="1"/>
    <w:link w:val="138"/>
    <w:qFormat/>
    <w:uiPriority w:val="0"/>
    <w:pPr>
      <w:ind w:firstLine="200"/>
    </w:pPr>
    <w:rPr>
      <w:rFonts w:ascii="仿宋" w:hAnsi="仿宋" w:eastAsia="仿宋" w:cstheme="minorBidi"/>
      <w:sz w:val="28"/>
      <w:szCs w:val="28"/>
    </w:rPr>
  </w:style>
  <w:style w:type="character" w:customStyle="1" w:styleId="138">
    <w:name w:val="可研正文 Char"/>
    <w:link w:val="137"/>
    <w:qFormat/>
    <w:uiPriority w:val="0"/>
    <w:rPr>
      <w:rFonts w:ascii="仿宋" w:hAnsi="仿宋" w:eastAsia="仿宋" w:cstheme="minorBidi"/>
      <w:kern w:val="2"/>
      <w:sz w:val="28"/>
      <w:szCs w:val="28"/>
    </w:rPr>
  </w:style>
  <w:style w:type="character" w:customStyle="1" w:styleId="139">
    <w:name w:val="段 Char"/>
    <w:link w:val="115"/>
    <w:qFormat/>
    <w:uiPriority w:val="0"/>
    <w:rPr>
      <w:rFonts w:ascii="宋体" w:cs="Calibri"/>
      <w:sz w:val="21"/>
    </w:rPr>
  </w:style>
  <w:style w:type="paragraph" w:customStyle="1" w:styleId="140">
    <w:name w:val="Revision"/>
    <w:hidden/>
    <w:unhideWhenUsed/>
    <w:qFormat/>
    <w:uiPriority w:val="99"/>
    <w:rPr>
      <w:rFonts w:ascii="宋体" w:hAnsi="宋体"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image" Target="media/image2.emf"/><Relationship Id="rId15" Type="http://schemas.openxmlformats.org/officeDocument/2006/relationships/oleObject" Target="embeddings/oleObject2.bin"/><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1D9AD641-0B16-48B9-B81A-C11DF304B1BF}">
  <ds:schemaRefs/>
</ds:datastoreItem>
</file>

<file path=docProps/app.xml><?xml version="1.0" encoding="utf-8"?>
<Properties xmlns="http://schemas.openxmlformats.org/officeDocument/2006/extended-properties" xmlns:vt="http://schemas.openxmlformats.org/officeDocument/2006/docPropsVTypes">
  <Template>Normal.dotm</Template>
  <Pages>40</Pages>
  <Words>2365</Words>
  <Characters>2448</Characters>
  <Lines>280</Lines>
  <Paragraphs>78</Paragraphs>
  <TotalTime>22</TotalTime>
  <ScaleCrop>false</ScaleCrop>
  <LinksUpToDate>false</LinksUpToDate>
  <CharactersWithSpaces>2450</CharactersWithSpaces>
  <Application>WPS Office_12.1.2.29183_F1E327BC-269C-435d-A152-05C5408002CA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2022-12-28T17:54:00Z</dcterms:created>
  <dc:creator>gtig_tzb</dc:creator>
  <cp:lastModifiedBy>高际航</cp:lastModifiedBy>
  <cp:lastPrinted>2020-08-12T04:08:00Z</cp:lastPrinted>
  <dcterms:modified xsi:type="dcterms:W3CDTF">2026-10-27T16:23:08Z</dcterms:modified>
  <cp:revision>497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2052-12.1.2.29183</vt:lpwstr>
  </property>
  <property fmtid="{D5CDD505-2E9C-101B-9397-08002B2CF9AE}" pid="3" name="ICV">
    <vt:lpwstr>35A3DFB4DB36F80D6C16DF6AF483C228_43</vt:lpwstr>
  </property>
  <property fmtid="{D5CDD505-2E9C-101B-9397-08002B2CF9AE}" pid="4" name="KSOTemplateDocerSaveRecord">
    <vt:lpwstr>eyJoZGlkIjoiNjkwOTgwMGQ0MTY1MzJlYjc0YzUwYWFlMGI1OWFmNDIiLCJ1c2VySWQiOiIxNjg4MTY2OTgxIn0=</vt:lpwstr>
  </property>
</Properties>
</file>