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r>
        <w:rPr>
          <w:rFonts w:hint="eastAsia" w:ascii="黑体" w:hAnsi="黑体" w:eastAsia="黑体"/>
          <w:sz w:val="52"/>
          <w:szCs w:val="52"/>
        </w:rPr>
        <w:t>上海市交通委员会政务服务系统</w:t>
      </w:r>
    </w:p>
    <w:p>
      <w:pPr>
        <w:ind w:firstLine="0" w:firstLineChars="0"/>
        <w:jc w:val="center"/>
        <w:rPr>
          <w:rFonts w:ascii="黑体" w:hAnsi="黑体" w:eastAsia="黑体"/>
          <w:sz w:val="52"/>
          <w:szCs w:val="52"/>
        </w:rPr>
      </w:pPr>
      <w:r>
        <w:rPr>
          <w:rFonts w:hint="eastAsia" w:ascii="黑体" w:hAnsi="黑体" w:eastAsia="黑体"/>
          <w:sz w:val="52"/>
          <w:szCs w:val="52"/>
        </w:rPr>
        <w:t>建设项目(2026年升级改造)采购需求</w:t>
      </w:r>
    </w:p>
    <w:p>
      <w:pPr>
        <w:ind w:firstLine="0" w:firstLineChars="0"/>
        <w:jc w:val="center"/>
        <w:rPr>
          <w:rFonts w:ascii="黑体" w:hAnsi="黑体" w:eastAsia="黑体"/>
          <w:sz w:val="72"/>
          <w:szCs w:val="72"/>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p>
    <w:p>
      <w:pPr>
        <w:ind w:firstLine="1040"/>
        <w:rPr>
          <w:rFonts w:ascii="黑体" w:hAnsi="黑体" w:eastAsia="黑体"/>
          <w:sz w:val="52"/>
          <w:szCs w:val="52"/>
        </w:rPr>
      </w:pPr>
    </w:p>
    <w:p/>
    <w:p/>
    <w:p/>
    <w:p/>
    <w:p>
      <w:pPr>
        <w:ind w:firstLine="0" w:firstLineChars="0"/>
        <w:rPr>
          <w:rFonts w:ascii="黑体" w:hAnsi="黑体" w:eastAsia="黑体"/>
          <w:sz w:val="52"/>
          <w:szCs w:val="52"/>
        </w:rPr>
      </w:pP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pPr>
      <w:bookmarkStart w:id="0" w:name="_Toc63785461"/>
      <w:r>
        <w:rPr>
          <w:rFonts w:hint="eastAsia"/>
        </w:rPr>
        <w:t>项目概况</w:t>
      </w:r>
      <w:bookmarkEnd w:id="0"/>
    </w:p>
    <w:p>
      <w:pPr>
        <w:spacing w:line="560" w:lineRule="exact"/>
      </w:pPr>
      <w:r>
        <w:rPr>
          <w:rFonts w:hint="eastAsia"/>
        </w:rPr>
        <w:t>项目背景&amp;现状：</w:t>
      </w:r>
    </w:p>
    <w:p>
      <w:pPr>
        <w:spacing w:line="560" w:lineRule="exact"/>
      </w:pPr>
      <w:r>
        <w:rPr>
          <w:rFonts w:hint="eastAsia"/>
        </w:rPr>
        <w:t>贯彻党中央、国务院和市委、市政府关于深刻转变政府职能，深化行政审批制度改革和优化营商环境工作部署，深化行政审批制度改革和优化营商环境工作部署，落实上海市推进政府职能转变和行政审批制度改革工作要求，更好的服务上海经济的发展。</w:t>
      </w:r>
    </w:p>
    <w:p>
      <w:pPr>
        <w:spacing w:line="560" w:lineRule="exact"/>
      </w:pPr>
      <w:r>
        <w:rPr>
          <w:rFonts w:hint="eastAsia"/>
        </w:rPr>
        <w:t>落实《上海市加快“人工智能+政务服务”改革推动“高效办成一件事”实施方案》工作内容，在工作开展过程中需要深化政务服务模式创新，推进关联事项集成办，政策服务免申办，容缺事项承诺办；加强政务服务渠道建设，建设线上“千人千面”数字空间，拓展掌上“好办易办”；进一步优化惠企政策全流程服务，分类梳理惠企政策，精准标注惠企政策，提升惠企政策服务；不断强化政务服务数智赋能，推动人工智能深度融入业务流程，聚焦“520高频事项”，全面推行部门收件（受理）退回意见“精准告知、一次告知”，实现线上线下“799”服务效能，深化电子证照归集和应用。</w:t>
      </w:r>
    </w:p>
    <w:p>
      <w:pPr>
        <w:spacing w:line="560" w:lineRule="exact"/>
      </w:pPr>
      <w:r>
        <w:rPr>
          <w:rFonts w:hint="eastAsia"/>
        </w:rPr>
        <w:t>建设期限：自合同签订之日起至2026年11月30日</w:t>
      </w:r>
    </w:p>
    <w:p>
      <w:pPr>
        <w:spacing w:line="560" w:lineRule="exact"/>
      </w:pPr>
      <w:r>
        <w:rPr>
          <w:rFonts w:hint="eastAsia"/>
        </w:rPr>
        <w:t>建设地点：上海市交通委</w:t>
      </w:r>
    </w:p>
    <w:p>
      <w:pPr>
        <w:spacing w:line="560" w:lineRule="exact"/>
      </w:pPr>
      <w:r>
        <w:rPr>
          <w:rFonts w:hint="eastAsia"/>
        </w:rPr>
        <w:t>预算金额：2,150,000元</w:t>
      </w:r>
    </w:p>
    <w:p>
      <w:pPr>
        <w:spacing w:line="560" w:lineRule="exact"/>
      </w:pPr>
      <w:r>
        <w:rPr>
          <w:rFonts w:hint="eastAsia"/>
        </w:rPr>
        <w:t>当年度预算金额：2,150,000元</w:t>
      </w:r>
    </w:p>
    <w:p>
      <w:pPr>
        <w:spacing w:line="560" w:lineRule="exact"/>
      </w:pPr>
      <w:r>
        <w:rPr>
          <w:rFonts w:hint="eastAsia"/>
        </w:rPr>
        <w:t>采购金额（最高限价）：2,150,000元</w:t>
      </w:r>
    </w:p>
    <w:p>
      <w:pPr>
        <w:spacing w:line="560" w:lineRule="exact"/>
      </w:pPr>
      <w:r>
        <w:rPr>
          <w:rFonts w:hint="eastAsia"/>
        </w:rPr>
        <w:t>组织形式：集中采购</w:t>
      </w:r>
    </w:p>
    <w:p>
      <w:pPr>
        <w:spacing w:line="560" w:lineRule="exact"/>
      </w:pPr>
      <w:r>
        <w:rPr>
          <w:rFonts w:hint="eastAsia"/>
        </w:rPr>
        <w:t>采购方式：竞争性磋商</w:t>
      </w:r>
    </w:p>
    <w:p>
      <w:pPr>
        <w:spacing w:line="560" w:lineRule="exact"/>
      </w:pPr>
      <w:r>
        <w:rPr>
          <w:rFonts w:hint="eastAsia"/>
        </w:rPr>
        <w:t>是否接受联合体投标：否</w:t>
      </w:r>
    </w:p>
    <w:p>
      <w:pPr>
        <w:spacing w:line="560" w:lineRule="exact"/>
      </w:pPr>
      <w:r>
        <w:t>是否按</w:t>
      </w:r>
      <w:r>
        <w:rPr>
          <w:rFonts w:hint="eastAsia"/>
          <w:lang w:eastAsia="zh-CN"/>
        </w:rPr>
        <w:t>XC</w:t>
      </w:r>
      <w:r>
        <w:t>要求建设：是</w:t>
      </w:r>
    </w:p>
    <w:p>
      <w:pPr>
        <w:spacing w:line="560" w:lineRule="exact"/>
      </w:pPr>
      <w:r>
        <w:rPr>
          <w:rFonts w:hint="eastAsia"/>
        </w:rPr>
        <w:t>是否采用低代码建设：否</w:t>
      </w:r>
    </w:p>
    <w:p>
      <w:pPr>
        <w:spacing w:line="560" w:lineRule="exact"/>
      </w:pPr>
      <w:r>
        <w:rPr>
          <w:rFonts w:hint="eastAsia"/>
        </w:rPr>
        <w:t>运维后所属大系统：交通综合业务平台</w:t>
      </w:r>
    </w:p>
    <w:p>
      <w:pPr>
        <w:pStyle w:val="2"/>
      </w:pPr>
      <w:bookmarkStart w:id="1" w:name="_Toc47537134"/>
      <w:bookmarkEnd w:id="1"/>
      <w:bookmarkStart w:id="2" w:name="_Toc47532891"/>
      <w:bookmarkEnd w:id="2"/>
      <w:bookmarkStart w:id="3" w:name="_Toc47531634"/>
      <w:bookmarkEnd w:id="3"/>
      <w:bookmarkStart w:id="4" w:name="_Toc47536272"/>
      <w:bookmarkEnd w:id="4"/>
      <w:bookmarkStart w:id="5" w:name="_Toc47532255"/>
      <w:bookmarkEnd w:id="5"/>
      <w:bookmarkStart w:id="6" w:name="_Toc47536644"/>
      <w:bookmarkEnd w:id="6"/>
      <w:bookmarkStart w:id="7" w:name="_Toc47533256"/>
      <w:bookmarkEnd w:id="7"/>
      <w:bookmarkStart w:id="8" w:name="_Toc47539070"/>
      <w:bookmarkEnd w:id="8"/>
      <w:bookmarkStart w:id="9" w:name="_Toc63785463"/>
      <w:bookmarkStart w:id="10" w:name="_Toc48223882"/>
      <w:r>
        <w:rPr>
          <w:rFonts w:hint="eastAsia"/>
        </w:rPr>
        <w:t>建设目标</w:t>
      </w:r>
      <w:bookmarkEnd w:id="9"/>
      <w:bookmarkEnd w:id="10"/>
    </w:p>
    <w:p>
      <w:pPr>
        <w:pStyle w:val="3"/>
        <w:ind w:left="0"/>
      </w:pPr>
      <w:r>
        <w:rPr>
          <w:rFonts w:hint="eastAsia"/>
        </w:rPr>
        <w:t>项目建设目标</w:t>
      </w:r>
    </w:p>
    <w:p>
      <w:r>
        <w:rPr>
          <w:rFonts w:hint="eastAsia"/>
        </w:rPr>
        <w:t>1 打造可感、可及、可预期的惠企政策服务</w:t>
      </w:r>
    </w:p>
    <w:p>
      <w:r>
        <w:rPr>
          <w:rFonts w:hint="eastAsia"/>
        </w:rPr>
        <w:t>打造港航行业惠企一体化服务。新增老旧船舶报废更新事项，就航运行业建设重点企业“服务包”，打造“政策计算器”，根据企业画像和个性化需求提供精准送达、智能推荐、申报提醒等服务，实现政策精准送达全覆盖；</w:t>
      </w:r>
    </w:p>
    <w:p>
      <w:r>
        <w:rPr>
          <w:rFonts w:hint="eastAsia"/>
        </w:rPr>
        <w:t>调整办事指南。根据企业需求和政策要求调整小微型客车租赁经营服务备案7个业务情形；新增办事指南，根据企业需求和政策要求新增5个办事指南和相应业务功能，拓展服务范围，包括新增新建国家重点公路建设项目施工图设计文件审批、新增“道路运输车辆卫星定位平台服务商备案”事项新增企业投资的港口工程竣工验收备案、公路工程交工验收向交通主管部门备案区级办理流程和水路运输企业外资股份比例变更。</w:t>
      </w:r>
    </w:p>
    <w:p>
      <w:r>
        <w:rPr>
          <w:rFonts w:hint="eastAsia"/>
        </w:rPr>
        <w:t>2 深化集成办、免申办、承诺办、跨越办模式创新</w:t>
      </w:r>
    </w:p>
    <w:p>
      <w:r>
        <w:rPr>
          <w:rFonts w:hint="eastAsia"/>
        </w:rPr>
        <w:t>推进关联事项集成办。新增上海市老旧营运船舶报废更新补贴“一件事”、道路货物运输企业歇业“一件事”、国内船舶管理证照变更“一件事”、驾培机构法定代表人变更“一件事”、大件运输“一件事”（部级）等5个“一件事”服务。</w:t>
      </w:r>
    </w:p>
    <w:p>
      <w:r>
        <w:rPr>
          <w:rFonts w:hint="eastAsia"/>
        </w:rPr>
        <w:t>推进政策服务免申办。新增道路货物运输经营（集装箱、冷藏保鲜、罐式容器和大件运输）许可证延续“免申即享”、道路货物运输车辆（集装箱、冷藏保鲜、罐式容器和大件运输）年度审验“免申即享”、道路清障施救牵引营运车辆年度审验“免申即享”、公路工程监理企业资质许可“免申即享”、经营性客运驾驶员从业资格认定“免申即享”、国内水路运输经营许可“免申即享”、对因市政公用施工临时占用城市道路免缴临时占路费“免申即享”等6项“免申即享”服务，全市范围拓展P+R优惠补贴“免申即享”服务。</w:t>
      </w:r>
    </w:p>
    <w:p>
      <w:r>
        <w:rPr>
          <w:rFonts w:hint="eastAsia"/>
        </w:rPr>
        <w:t>3 人工智能赋能“智慧好办4.0版”</w:t>
      </w:r>
    </w:p>
    <w:p>
      <w:r>
        <w:rPr>
          <w:rFonts w:hint="eastAsia"/>
        </w:rPr>
        <w:t>推动人工智能深度融入业务流程。聚焦“520高频事项”，全面推行部门收件（受理）退回意见“精准告知、一次告知”，实现线上线下“799”服务效能。新增经营性客运驾驶员从业资格认定等18个事项纳入“智慧好办”。</w:t>
      </w:r>
    </w:p>
    <w:p>
      <w:r>
        <w:rPr>
          <w:rFonts w:hint="eastAsia"/>
        </w:rPr>
        <w:t>拓展掌上“好办易办”。做优交通主题服务，提升掌办能力，推进出租驾驶员一件事，出租驾驶员新增、换发、注销，客货运人员新增、换发、注销、转籍，客货危服务单位变更，三类安管人员新增、延续、注销、变更等8个事项37个情形接入随申办APP、一网通办微信小程序、一网通办支付宝小程序。</w:t>
      </w:r>
    </w:p>
    <w:p>
      <w:r>
        <w:rPr>
          <w:rFonts w:hint="eastAsia"/>
        </w:rPr>
        <w:t>持续做好“无人干预自动办理”改革。对2024年上线无人工干预自动办理事项做好跟踪优化，做好办理流程指南和改革成效宣传，同时新增水路运输辅助业备案“无人干预自动办理”。</w:t>
      </w:r>
    </w:p>
    <w:p>
      <w:r>
        <w:rPr>
          <w:rFonts w:hint="eastAsia"/>
        </w:rPr>
        <w:t>4 优化线上线下精准服务体验</w:t>
      </w:r>
    </w:p>
    <w:p>
      <w:r>
        <w:rPr>
          <w:rFonts w:hint="eastAsia"/>
        </w:rPr>
        <w:t>建设线上“千人千面”，精准服务企业。围绕交通出行、企业全经营周期，以场景应用驱动服务供给。打造交通行业企业专属“数字空间”，涵盖航运行业、小微型客车出租租赁行业和交通建设行业，建设服务中心“双公示”大屏看板，完善个性、精准、主动、智能服务生态体系。</w:t>
      </w:r>
    </w:p>
    <w:p>
      <w:r>
        <w:rPr>
          <w:rFonts w:hint="eastAsia"/>
        </w:rPr>
        <w:t>推进办事窗口好差评（pad端）功能，强化政务服务“好差评”以评促改。完成线下窗口“好差评”PAD精准评价改造。强化对“好差评”反映问题分析和通报机制，建立“好差评”反映问题多方协办机制，通过“解决一个诉求”带动“优化一类服务”。</w:t>
      </w:r>
    </w:p>
    <w:p>
      <w:pPr>
        <w:pStyle w:val="3"/>
      </w:pPr>
      <w:r>
        <w:rPr>
          <w:rFonts w:hint="eastAsia"/>
        </w:rPr>
        <w:t>应用指标</w:t>
      </w:r>
      <w:r>
        <w:t>考核目标</w:t>
      </w:r>
    </w:p>
    <w:tbl>
      <w:tblPr>
        <w:tblStyle w:val="35"/>
        <w:tblW w:w="8296" w:type="dxa"/>
        <w:tblInd w:w="0" w:type="dxa"/>
        <w:tblLayout w:type="autofit"/>
        <w:tblCellMar>
          <w:top w:w="15" w:type="dxa"/>
          <w:left w:w="15" w:type="dxa"/>
          <w:bottom w:w="15" w:type="dxa"/>
          <w:right w:w="15" w:type="dxa"/>
        </w:tblCellMar>
      </w:tblPr>
      <w:tblGrid>
        <w:gridCol w:w="1084"/>
        <w:gridCol w:w="1979"/>
        <w:gridCol w:w="1638"/>
        <w:gridCol w:w="1712"/>
        <w:gridCol w:w="1883"/>
      </w:tblGrid>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序号</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一级指标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二级指标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三级指标</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指标值</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1</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通用指标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性验收合格率</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100%</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2</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通用指标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项目建设周期</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7</w:t>
            </w:r>
            <w:r>
              <w:rPr>
                <w:rFonts w:cs="宋体"/>
                <w:color w:val="000000"/>
                <w:kern w:val="0"/>
                <w:sz w:val="20"/>
                <w:szCs w:val="20"/>
              </w:rPr>
              <w:t xml:space="preserve"> 个月</w:t>
            </w:r>
          </w:p>
        </w:tc>
      </w:tr>
      <w:tr>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3</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通用指标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应用系统</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系统用户量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约</w:t>
            </w:r>
            <w:r>
              <w:rPr>
                <w:rFonts w:cs="宋体"/>
                <w:color w:val="000000"/>
                <w:kern w:val="0"/>
                <w:sz w:val="20"/>
                <w:szCs w:val="20"/>
              </w:rPr>
              <w:t>4000</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4</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通用指标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应用系统</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数据准确率</w:t>
            </w:r>
          </w:p>
        </w:tc>
        <w:tc>
          <w:tcPr>
            <w:tcW w:w="1883" w:type="dxa"/>
            <w:tcBorders>
              <w:top w:val="single" w:color="000000" w:sz="4" w:space="0"/>
              <w:left w:val="single" w:color="000000" w:sz="4" w:space="0"/>
              <w:bottom w:val="single" w:color="000000" w:sz="4" w:space="0"/>
              <w:right w:val="single" w:color="000000" w:sz="4" w:space="0"/>
            </w:tcBorders>
            <w:noWrap/>
            <w:vAlign w:val="bottom"/>
          </w:tcPr>
          <w:p>
            <w:pPr>
              <w:widowControl/>
              <w:ind w:firstLine="0" w:firstLineChars="0"/>
              <w:jc w:val="center"/>
              <w:rPr>
                <w:rFonts w:cs="宋体"/>
                <w:color w:val="000000"/>
                <w:kern w:val="0"/>
                <w:sz w:val="20"/>
                <w:szCs w:val="20"/>
              </w:rPr>
            </w:pPr>
            <w:r>
              <w:rPr>
                <w:rFonts w:cs="宋体"/>
                <w:color w:val="000000"/>
                <w:kern w:val="0"/>
                <w:sz w:val="20"/>
                <w:szCs w:val="20"/>
              </w:rPr>
              <w:t>99%</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5</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通用指标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应用系统</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基础数据采集覆盖率</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100%</w:t>
            </w:r>
          </w:p>
        </w:tc>
      </w:tr>
    </w:tbl>
    <w:p/>
    <w:p>
      <w:pPr>
        <w:pStyle w:val="3"/>
      </w:pPr>
      <w:bookmarkStart w:id="11" w:name="_Toc172710992"/>
      <w:r>
        <w:t>业务绩效考核目标</w:t>
      </w:r>
      <w:bookmarkEnd w:id="11"/>
    </w:p>
    <w:tbl>
      <w:tblPr>
        <w:tblStyle w:val="35"/>
        <w:tblW w:w="8296" w:type="dxa"/>
        <w:tblInd w:w="0" w:type="dxa"/>
        <w:tblLayout w:type="autofit"/>
        <w:tblCellMar>
          <w:top w:w="15" w:type="dxa"/>
          <w:left w:w="15" w:type="dxa"/>
          <w:bottom w:w="15" w:type="dxa"/>
          <w:right w:w="15" w:type="dxa"/>
        </w:tblCellMar>
      </w:tblPr>
      <w:tblGrid>
        <w:gridCol w:w="1084"/>
        <w:gridCol w:w="1979"/>
        <w:gridCol w:w="1638"/>
        <w:gridCol w:w="1712"/>
        <w:gridCol w:w="1883"/>
      </w:tblGrid>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序号</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一级指标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二级指标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三级指标</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指标值</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1</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hint="eastAsia" w:cs="宋体"/>
                <w:color w:val="000000"/>
                <w:kern w:val="0"/>
                <w:sz w:val="20"/>
                <w:szCs w:val="20"/>
              </w:rPr>
              <w:t>货物</w:t>
            </w:r>
            <w:r>
              <w:rPr>
                <w:rFonts w:cs="宋体"/>
                <w:color w:val="000000"/>
                <w:kern w:val="0"/>
                <w:sz w:val="20"/>
                <w:szCs w:val="20"/>
              </w:rPr>
              <w:t>运输行业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覆盖企业数量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约2.1</w:t>
            </w:r>
            <w:r>
              <w:rPr>
                <w:rFonts w:hint="eastAsia" w:cs="宋体"/>
                <w:color w:val="000000"/>
                <w:kern w:val="0"/>
                <w:sz w:val="20"/>
                <w:szCs w:val="20"/>
              </w:rPr>
              <w:t>万</w:t>
            </w:r>
            <w:r>
              <w:rPr>
                <w:rFonts w:cs="宋体"/>
                <w:color w:val="000000"/>
                <w:kern w:val="0"/>
                <w:sz w:val="20"/>
                <w:szCs w:val="20"/>
              </w:rPr>
              <w:t>家</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2</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hint="eastAsia" w:cs="宋体"/>
                <w:color w:val="000000"/>
                <w:kern w:val="0"/>
                <w:sz w:val="20"/>
                <w:szCs w:val="20"/>
              </w:rPr>
              <w:t>货物</w:t>
            </w:r>
            <w:r>
              <w:rPr>
                <w:rFonts w:cs="宋体"/>
                <w:color w:val="000000"/>
                <w:kern w:val="0"/>
                <w:sz w:val="20"/>
                <w:szCs w:val="20"/>
              </w:rPr>
              <w:t>运输行业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覆盖运输车辆数量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约22</w:t>
            </w:r>
            <w:r>
              <w:rPr>
                <w:rFonts w:hint="eastAsia" w:cs="宋体"/>
                <w:color w:val="000000"/>
                <w:kern w:val="0"/>
                <w:sz w:val="20"/>
                <w:szCs w:val="20"/>
              </w:rPr>
              <w:t>万</w:t>
            </w:r>
            <w:r>
              <w:rPr>
                <w:rFonts w:cs="宋体"/>
                <w:color w:val="000000"/>
                <w:kern w:val="0"/>
                <w:sz w:val="20"/>
                <w:szCs w:val="20"/>
              </w:rPr>
              <w:t>辆</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3</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hint="eastAsia" w:cs="宋体"/>
                <w:color w:val="000000"/>
                <w:kern w:val="0"/>
                <w:sz w:val="20"/>
                <w:szCs w:val="20"/>
              </w:rPr>
              <w:t>货物</w:t>
            </w:r>
            <w:r>
              <w:rPr>
                <w:rFonts w:cs="宋体"/>
                <w:color w:val="000000"/>
                <w:kern w:val="0"/>
                <w:sz w:val="20"/>
                <w:szCs w:val="20"/>
              </w:rPr>
              <w:t>运输行业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覆盖从业人员数量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约1</w:t>
            </w:r>
            <w:r>
              <w:rPr>
                <w:rFonts w:cs="宋体"/>
                <w:color w:val="000000"/>
                <w:kern w:val="0"/>
                <w:sz w:val="20"/>
                <w:szCs w:val="20"/>
              </w:rPr>
              <w:t>8</w:t>
            </w:r>
            <w:r>
              <w:rPr>
                <w:rFonts w:hint="eastAsia" w:cs="宋体"/>
                <w:color w:val="000000"/>
                <w:kern w:val="0"/>
                <w:sz w:val="20"/>
                <w:szCs w:val="20"/>
              </w:rPr>
              <w:t>万人</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4</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水路运输行业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覆盖港口经营企业数量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约</w:t>
            </w:r>
            <w:r>
              <w:rPr>
                <w:rFonts w:cs="宋体"/>
                <w:color w:val="000000"/>
                <w:kern w:val="0"/>
                <w:sz w:val="20"/>
                <w:szCs w:val="20"/>
              </w:rPr>
              <w:t>400家</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5</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水路运输行业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覆盖船舶数量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约</w:t>
            </w:r>
            <w:r>
              <w:rPr>
                <w:rFonts w:cs="宋体"/>
                <w:color w:val="000000"/>
                <w:kern w:val="0"/>
                <w:sz w:val="20"/>
                <w:szCs w:val="20"/>
              </w:rPr>
              <w:t>1100艘</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6</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水路运输行业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覆盖水路运输企业数量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约</w:t>
            </w:r>
            <w:r>
              <w:rPr>
                <w:rFonts w:cs="宋体"/>
                <w:color w:val="000000"/>
                <w:kern w:val="0"/>
                <w:sz w:val="20"/>
                <w:szCs w:val="20"/>
              </w:rPr>
              <w:t>200家</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7</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交通建设行业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覆盖企业数量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约1000</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8</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交通建设行业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覆盖工程合同数量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约</w:t>
            </w:r>
            <w:r>
              <w:rPr>
                <w:rFonts w:cs="宋体"/>
                <w:color w:val="000000"/>
                <w:kern w:val="0"/>
                <w:sz w:val="20"/>
                <w:szCs w:val="20"/>
              </w:rPr>
              <w:t>9300</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9</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业务指标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交通建设行业</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覆盖劳务人员数量</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cs="宋体"/>
                <w:color w:val="000000"/>
                <w:kern w:val="0"/>
                <w:sz w:val="20"/>
                <w:szCs w:val="20"/>
              </w:rPr>
              <w:t>约30000</w:t>
            </w:r>
          </w:p>
        </w:tc>
      </w:tr>
    </w:tbl>
    <w:p/>
    <w:p>
      <w:pPr>
        <w:pStyle w:val="3"/>
      </w:pPr>
      <w:bookmarkStart w:id="12" w:name="_Toc172710993"/>
      <w:r>
        <w:t>技术绩效考核目标</w:t>
      </w:r>
      <w:bookmarkEnd w:id="12"/>
    </w:p>
    <w:tbl>
      <w:tblPr>
        <w:tblStyle w:val="35"/>
        <w:tblW w:w="8296" w:type="dxa"/>
        <w:tblInd w:w="0" w:type="dxa"/>
        <w:tblLayout w:type="autofit"/>
        <w:tblCellMar>
          <w:top w:w="15" w:type="dxa"/>
          <w:left w:w="15" w:type="dxa"/>
          <w:bottom w:w="15" w:type="dxa"/>
          <w:right w:w="15" w:type="dxa"/>
        </w:tblCellMar>
      </w:tblPr>
      <w:tblGrid>
        <w:gridCol w:w="1084"/>
        <w:gridCol w:w="1979"/>
        <w:gridCol w:w="1638"/>
        <w:gridCol w:w="1712"/>
        <w:gridCol w:w="1883"/>
      </w:tblGrid>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序号</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一级指标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二级指标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三级指标</w:t>
            </w:r>
          </w:p>
        </w:tc>
        <w:tc>
          <w:tcPr>
            <w:tcW w:w="1883"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b/>
                <w:color w:val="000000"/>
                <w:kern w:val="0"/>
                <w:sz w:val="20"/>
                <w:szCs w:val="20"/>
              </w:rPr>
            </w:pPr>
            <w:r>
              <w:rPr>
                <w:rFonts w:cs="宋体"/>
                <w:b/>
                <w:color w:val="000000"/>
                <w:kern w:val="0"/>
                <w:sz w:val="20"/>
                <w:szCs w:val="20"/>
              </w:rPr>
              <w:t>指标值</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1</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hint="eastAsia" w:cs="宋体"/>
                <w:color w:val="000000"/>
                <w:kern w:val="0"/>
                <w:sz w:val="20"/>
                <w:szCs w:val="20"/>
              </w:rPr>
              <w:t>技术指标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软件开发完成率</w:t>
            </w:r>
          </w:p>
        </w:tc>
        <w:tc>
          <w:tcPr>
            <w:tcW w:w="1883" w:type="dxa"/>
            <w:tcBorders>
              <w:top w:val="single" w:color="000000" w:sz="4" w:space="0"/>
              <w:left w:val="single" w:color="000000" w:sz="4" w:space="0"/>
              <w:bottom w:val="single" w:color="000000" w:sz="4" w:space="0"/>
              <w:right w:val="single" w:color="000000" w:sz="4" w:space="0"/>
            </w:tcBorders>
            <w:noWrap/>
            <w:vAlign w:val="bottom"/>
          </w:tcPr>
          <w:p>
            <w:pPr>
              <w:widowControl/>
              <w:ind w:firstLine="0" w:firstLineChars="0"/>
              <w:jc w:val="center"/>
              <w:rPr>
                <w:rFonts w:cs="宋体"/>
                <w:color w:val="000000"/>
                <w:kern w:val="0"/>
                <w:sz w:val="20"/>
                <w:szCs w:val="20"/>
              </w:rPr>
            </w:pPr>
            <w:r>
              <w:rPr>
                <w:rFonts w:cs="宋体"/>
                <w:color w:val="000000"/>
                <w:kern w:val="0"/>
                <w:sz w:val="20"/>
                <w:szCs w:val="20"/>
              </w:rPr>
              <w:t>100%</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2</w:t>
            </w:r>
          </w:p>
        </w:tc>
        <w:tc>
          <w:tcPr>
            <w:tcW w:w="1979" w:type="dxa"/>
            <w:tcBorders>
              <w:top w:val="single" w:color="000000" w:sz="4" w:space="0"/>
              <w:left w:val="single" w:color="000000" w:sz="4" w:space="0"/>
              <w:bottom w:val="single" w:color="000000" w:sz="4" w:space="0"/>
              <w:right w:val="single" w:color="000000" w:sz="4" w:space="0"/>
            </w:tcBorders>
            <w:noWrap/>
          </w:tcPr>
          <w:p>
            <w:pPr>
              <w:widowControl/>
              <w:ind w:firstLine="0" w:firstLineChars="0"/>
              <w:jc w:val="left"/>
              <w:rPr>
                <w:rFonts w:cs="宋体"/>
                <w:color w:val="000000"/>
                <w:kern w:val="0"/>
                <w:sz w:val="20"/>
                <w:szCs w:val="20"/>
              </w:rPr>
            </w:pPr>
            <w:r>
              <w:rPr>
                <w:rFonts w:hint="eastAsia" w:cs="宋体"/>
                <w:color w:val="000000"/>
                <w:kern w:val="0"/>
                <w:sz w:val="20"/>
                <w:szCs w:val="20"/>
              </w:rPr>
              <w:t>技术指标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系统可靠性</w:t>
            </w:r>
          </w:p>
        </w:tc>
        <w:tc>
          <w:tcPr>
            <w:tcW w:w="1883" w:type="dxa"/>
            <w:tcBorders>
              <w:top w:val="single" w:color="000000" w:sz="4" w:space="0"/>
              <w:left w:val="single" w:color="000000" w:sz="4" w:space="0"/>
              <w:bottom w:val="single" w:color="000000" w:sz="4" w:space="0"/>
              <w:right w:val="single" w:color="000000" w:sz="4" w:space="0"/>
            </w:tcBorders>
            <w:noWrap/>
            <w:vAlign w:val="bottom"/>
          </w:tcPr>
          <w:p>
            <w:pPr>
              <w:widowControl/>
              <w:ind w:firstLine="0" w:firstLineChars="0"/>
              <w:jc w:val="center"/>
              <w:rPr>
                <w:rFonts w:cs="宋体"/>
                <w:color w:val="000000"/>
                <w:kern w:val="0"/>
                <w:sz w:val="20"/>
                <w:szCs w:val="20"/>
              </w:rPr>
            </w:pPr>
            <w:r>
              <w:rPr>
                <w:rFonts w:cs="宋体"/>
                <w:color w:val="000000"/>
                <w:kern w:val="0"/>
                <w:sz w:val="20"/>
                <w:szCs w:val="20"/>
              </w:rPr>
              <w:t>99%</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3</w:t>
            </w:r>
          </w:p>
        </w:tc>
        <w:tc>
          <w:tcPr>
            <w:tcW w:w="1979" w:type="dxa"/>
            <w:tcBorders>
              <w:top w:val="single" w:color="000000" w:sz="4" w:space="0"/>
              <w:left w:val="single" w:color="000000" w:sz="4" w:space="0"/>
              <w:bottom w:val="single" w:color="000000" w:sz="4" w:space="0"/>
              <w:right w:val="single" w:color="000000" w:sz="4" w:space="0"/>
            </w:tcBorders>
            <w:noWrap/>
          </w:tcPr>
          <w:p>
            <w:pPr>
              <w:widowControl/>
              <w:ind w:firstLine="0" w:firstLineChars="0"/>
              <w:jc w:val="left"/>
              <w:rPr>
                <w:rFonts w:cs="宋体"/>
                <w:color w:val="000000"/>
                <w:kern w:val="0"/>
                <w:sz w:val="20"/>
                <w:szCs w:val="20"/>
              </w:rPr>
            </w:pPr>
            <w:r>
              <w:rPr>
                <w:rFonts w:hint="eastAsia" w:cs="宋体"/>
                <w:color w:val="000000"/>
                <w:kern w:val="0"/>
                <w:sz w:val="20"/>
                <w:szCs w:val="20"/>
              </w:rPr>
              <w:t>技术指标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软件测试</w:t>
            </w:r>
          </w:p>
        </w:tc>
        <w:tc>
          <w:tcPr>
            <w:tcW w:w="1883" w:type="dxa"/>
            <w:tcBorders>
              <w:top w:val="single" w:color="000000" w:sz="4" w:space="0"/>
              <w:left w:val="single" w:color="000000" w:sz="4" w:space="0"/>
              <w:bottom w:val="single" w:color="000000" w:sz="4" w:space="0"/>
              <w:right w:val="single" w:color="000000" w:sz="4" w:space="0"/>
            </w:tcBorders>
            <w:noWrap/>
            <w:vAlign w:val="bottom"/>
          </w:tcPr>
          <w:p>
            <w:pPr>
              <w:widowControl/>
              <w:ind w:firstLine="0" w:firstLineChars="0"/>
              <w:jc w:val="center"/>
              <w:rPr>
                <w:rFonts w:cs="宋体"/>
                <w:color w:val="000000"/>
                <w:kern w:val="0"/>
                <w:sz w:val="20"/>
                <w:szCs w:val="20"/>
              </w:rPr>
            </w:pPr>
            <w:r>
              <w:rPr>
                <w:rFonts w:cs="宋体"/>
                <w:color w:val="000000"/>
                <w:kern w:val="0"/>
                <w:sz w:val="20"/>
                <w:szCs w:val="20"/>
              </w:rPr>
              <w:t>达标</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4</w:t>
            </w:r>
          </w:p>
        </w:tc>
        <w:tc>
          <w:tcPr>
            <w:tcW w:w="1979" w:type="dxa"/>
            <w:tcBorders>
              <w:top w:val="single" w:color="000000" w:sz="4" w:space="0"/>
              <w:left w:val="single" w:color="000000" w:sz="4" w:space="0"/>
              <w:bottom w:val="single" w:color="000000" w:sz="4" w:space="0"/>
              <w:right w:val="single" w:color="000000" w:sz="4" w:space="0"/>
            </w:tcBorders>
            <w:noWrap/>
          </w:tcPr>
          <w:p>
            <w:pPr>
              <w:widowControl/>
              <w:ind w:firstLine="0" w:firstLineChars="0"/>
              <w:jc w:val="left"/>
              <w:rPr>
                <w:rFonts w:cs="宋体"/>
                <w:color w:val="000000"/>
                <w:kern w:val="0"/>
                <w:sz w:val="20"/>
                <w:szCs w:val="20"/>
              </w:rPr>
            </w:pPr>
            <w:r>
              <w:rPr>
                <w:rFonts w:hint="eastAsia" w:cs="宋体"/>
                <w:color w:val="000000"/>
                <w:kern w:val="0"/>
                <w:sz w:val="20"/>
                <w:szCs w:val="20"/>
              </w:rPr>
              <w:t>技术指标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密码测试</w:t>
            </w:r>
          </w:p>
        </w:tc>
        <w:tc>
          <w:tcPr>
            <w:tcW w:w="1883" w:type="dxa"/>
            <w:tcBorders>
              <w:top w:val="single" w:color="000000" w:sz="4" w:space="0"/>
              <w:left w:val="single" w:color="000000" w:sz="4" w:space="0"/>
              <w:bottom w:val="single" w:color="000000" w:sz="4" w:space="0"/>
              <w:right w:val="single" w:color="000000" w:sz="4" w:space="0"/>
            </w:tcBorders>
            <w:noWrap/>
            <w:vAlign w:val="bottom"/>
          </w:tcPr>
          <w:p>
            <w:pPr>
              <w:widowControl/>
              <w:ind w:firstLine="0" w:firstLineChars="0"/>
              <w:jc w:val="center"/>
              <w:rPr>
                <w:rFonts w:cs="宋体"/>
                <w:color w:val="000000"/>
                <w:kern w:val="0"/>
                <w:sz w:val="20"/>
                <w:szCs w:val="20"/>
              </w:rPr>
            </w:pPr>
            <w:r>
              <w:rPr>
                <w:rFonts w:cs="宋体"/>
                <w:color w:val="000000"/>
                <w:kern w:val="0"/>
                <w:sz w:val="20"/>
                <w:szCs w:val="20"/>
              </w:rPr>
              <w:t>达标</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5</w:t>
            </w:r>
          </w:p>
        </w:tc>
        <w:tc>
          <w:tcPr>
            <w:tcW w:w="1979" w:type="dxa"/>
            <w:tcBorders>
              <w:top w:val="single" w:color="000000" w:sz="4" w:space="0"/>
              <w:left w:val="single" w:color="000000" w:sz="4" w:space="0"/>
              <w:bottom w:val="single" w:color="000000" w:sz="4" w:space="0"/>
              <w:right w:val="single" w:color="000000" w:sz="4" w:space="0"/>
            </w:tcBorders>
            <w:noWrap/>
          </w:tcPr>
          <w:p>
            <w:pPr>
              <w:widowControl/>
              <w:ind w:firstLine="0" w:firstLineChars="0"/>
              <w:jc w:val="left"/>
              <w:rPr>
                <w:rFonts w:cs="宋体"/>
                <w:color w:val="000000"/>
                <w:kern w:val="0"/>
                <w:sz w:val="20"/>
                <w:szCs w:val="20"/>
              </w:rPr>
            </w:pPr>
            <w:r>
              <w:rPr>
                <w:rFonts w:hint="eastAsia" w:cs="宋体"/>
                <w:color w:val="000000"/>
                <w:kern w:val="0"/>
                <w:sz w:val="20"/>
                <w:szCs w:val="20"/>
              </w:rPr>
              <w:t>技术指标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安全测试</w:t>
            </w:r>
          </w:p>
        </w:tc>
        <w:tc>
          <w:tcPr>
            <w:tcW w:w="1883" w:type="dxa"/>
            <w:tcBorders>
              <w:top w:val="single" w:color="000000" w:sz="4" w:space="0"/>
              <w:left w:val="single" w:color="000000" w:sz="4" w:space="0"/>
              <w:bottom w:val="single" w:color="000000" w:sz="4" w:space="0"/>
              <w:right w:val="single" w:color="000000" w:sz="4" w:space="0"/>
            </w:tcBorders>
            <w:noWrap/>
            <w:vAlign w:val="bottom"/>
          </w:tcPr>
          <w:p>
            <w:pPr>
              <w:widowControl/>
              <w:ind w:firstLine="0" w:firstLineChars="0"/>
              <w:jc w:val="center"/>
              <w:rPr>
                <w:rFonts w:cs="宋体"/>
                <w:color w:val="000000"/>
                <w:kern w:val="0"/>
                <w:sz w:val="20"/>
                <w:szCs w:val="20"/>
              </w:rPr>
            </w:pPr>
            <w:r>
              <w:rPr>
                <w:rFonts w:cs="宋体"/>
                <w:color w:val="000000"/>
                <w:kern w:val="0"/>
                <w:sz w:val="20"/>
                <w:szCs w:val="20"/>
              </w:rPr>
              <w:t>达标</w:t>
            </w:r>
          </w:p>
        </w:tc>
      </w:tr>
      <w:tr>
        <w:tblPrEx>
          <w:tblCellMar>
            <w:top w:w="15" w:type="dxa"/>
            <w:left w:w="15" w:type="dxa"/>
            <w:bottom w:w="15" w:type="dxa"/>
            <w:right w:w="15" w:type="dxa"/>
          </w:tblCellMar>
        </w:tblPrEx>
        <w:trPr>
          <w:trHeight w:val="360"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rPr>
                <w:rFonts w:cs="宋体"/>
                <w:color w:val="000000"/>
                <w:kern w:val="0"/>
                <w:sz w:val="20"/>
                <w:szCs w:val="20"/>
              </w:rPr>
            </w:pPr>
            <w:r>
              <w:rPr>
                <w:rFonts w:hint="eastAsia" w:cs="宋体"/>
                <w:color w:val="000000"/>
                <w:kern w:val="0"/>
                <w:sz w:val="20"/>
                <w:szCs w:val="20"/>
              </w:rPr>
              <w:t>6</w:t>
            </w:r>
          </w:p>
        </w:tc>
        <w:tc>
          <w:tcPr>
            <w:tcW w:w="1979" w:type="dxa"/>
            <w:tcBorders>
              <w:top w:val="single" w:color="000000" w:sz="4" w:space="0"/>
              <w:left w:val="single" w:color="000000" w:sz="4" w:space="0"/>
              <w:bottom w:val="single" w:color="000000" w:sz="4" w:space="0"/>
              <w:right w:val="single" w:color="000000" w:sz="4" w:space="0"/>
            </w:tcBorders>
            <w:noWrap/>
          </w:tcPr>
          <w:p>
            <w:pPr>
              <w:widowControl/>
              <w:ind w:firstLine="0" w:firstLineChars="0"/>
              <w:jc w:val="left"/>
              <w:rPr>
                <w:rFonts w:cs="宋体"/>
                <w:color w:val="000000"/>
                <w:kern w:val="0"/>
                <w:sz w:val="20"/>
                <w:szCs w:val="20"/>
              </w:rPr>
            </w:pPr>
            <w:r>
              <w:rPr>
                <w:rFonts w:hint="eastAsia" w:cs="宋体"/>
                <w:color w:val="000000"/>
                <w:kern w:val="0"/>
                <w:sz w:val="20"/>
                <w:szCs w:val="20"/>
              </w:rPr>
              <w:t>技术指标</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产出指标</w:t>
            </w:r>
          </w:p>
        </w:tc>
        <w:tc>
          <w:tcPr>
            <w:tcW w:w="1712" w:type="dxa"/>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rPr>
                <w:rFonts w:cs="宋体"/>
                <w:color w:val="000000"/>
                <w:kern w:val="0"/>
                <w:sz w:val="20"/>
                <w:szCs w:val="20"/>
              </w:rPr>
            </w:pPr>
            <w:r>
              <w:rPr>
                <w:rFonts w:cs="宋体"/>
                <w:color w:val="000000"/>
                <w:kern w:val="0"/>
                <w:sz w:val="20"/>
                <w:szCs w:val="20"/>
              </w:rPr>
              <w:t>网络安全等级</w:t>
            </w:r>
          </w:p>
        </w:tc>
        <w:tc>
          <w:tcPr>
            <w:tcW w:w="1883" w:type="dxa"/>
            <w:tcBorders>
              <w:top w:val="single" w:color="000000" w:sz="4" w:space="0"/>
              <w:left w:val="single" w:color="000000" w:sz="4" w:space="0"/>
              <w:bottom w:val="single" w:color="000000" w:sz="4" w:space="0"/>
              <w:right w:val="single" w:color="000000" w:sz="4" w:space="0"/>
            </w:tcBorders>
            <w:noWrap/>
            <w:vAlign w:val="bottom"/>
          </w:tcPr>
          <w:p>
            <w:pPr>
              <w:widowControl/>
              <w:ind w:firstLine="0" w:firstLineChars="0"/>
              <w:jc w:val="center"/>
              <w:rPr>
                <w:rFonts w:cs="宋体"/>
                <w:color w:val="000000"/>
                <w:kern w:val="0"/>
                <w:sz w:val="20"/>
                <w:szCs w:val="20"/>
              </w:rPr>
            </w:pPr>
            <w:r>
              <w:rPr>
                <w:rFonts w:cs="宋体"/>
                <w:color w:val="000000"/>
                <w:kern w:val="0"/>
                <w:sz w:val="20"/>
                <w:szCs w:val="20"/>
              </w:rPr>
              <w:t>三级</w:t>
            </w:r>
          </w:p>
        </w:tc>
      </w:tr>
    </w:tbl>
    <w:p/>
    <w:p>
      <w:pPr>
        <w:pStyle w:val="2"/>
      </w:pPr>
      <w:bookmarkStart w:id="13" w:name="_Toc47537166"/>
      <w:bookmarkEnd w:id="13"/>
      <w:bookmarkStart w:id="14" w:name="_Toc47536304"/>
      <w:bookmarkEnd w:id="14"/>
      <w:bookmarkStart w:id="15" w:name="_Toc47532923"/>
      <w:bookmarkEnd w:id="15"/>
      <w:bookmarkStart w:id="16" w:name="_Toc47536676"/>
      <w:bookmarkEnd w:id="16"/>
      <w:bookmarkStart w:id="17" w:name="_Toc47539102"/>
      <w:bookmarkEnd w:id="17"/>
      <w:bookmarkStart w:id="18" w:name="_Toc47533288"/>
      <w:bookmarkEnd w:id="18"/>
      <w:r>
        <w:rPr>
          <w:rFonts w:hint="eastAsia"/>
        </w:rPr>
        <w:t>项目建设内容</w:t>
      </w:r>
    </w:p>
    <w:p>
      <w:pPr>
        <w:pStyle w:val="3"/>
      </w:pPr>
      <w:r>
        <w:rPr>
          <w:rFonts w:hint="eastAsia"/>
        </w:rPr>
        <w:t>主要建设内容</w:t>
      </w:r>
    </w:p>
    <w:p>
      <w:pPr>
        <w:ind w:firstLineChars="0"/>
      </w:pPr>
      <w:r>
        <w:rPr>
          <w:rFonts w:hint="eastAsia"/>
        </w:rPr>
        <w:t>一、政务服务事项功能建设</w:t>
      </w:r>
    </w:p>
    <w:p>
      <w:pPr>
        <w:ind w:firstLineChars="0"/>
      </w:pPr>
      <w:r>
        <w:rPr>
          <w:rFonts w:hint="eastAsia"/>
        </w:rPr>
        <w:t>1、交通建设监管：国家重点公路建设项目施工图设计文件审批-企业申请端功能，国家重点公路建设项目施工图设计文件审批-管理部门审核端功能，国家重点公路建设项目施工图设计文件审批-电子文书与证照功能，公路工程交工验收向交通主管部门备案-企业申请端功能，公路工程交工验收向交通主管部门备案-管理部门审核端功能，企业投资的港口工程竣工验收备案-企业申请端功能，企业投资的港口工程竣工验收备案-管理部门审核端功能。</w:t>
      </w:r>
    </w:p>
    <w:p>
      <w:pPr>
        <w:ind w:firstLineChars="0"/>
      </w:pPr>
      <w:r>
        <w:rPr>
          <w:rFonts w:hint="eastAsia"/>
        </w:rPr>
        <w:t>2、道路运输审批：道路运输车辆卫星定位平台服务商备案--企业申请端功能，道路运输车辆卫星定位平台服务商备案--管理部门审批端功能，小微型客车租赁经营服务备案-车辆核验二手车业务功能，小微型客车租赁经营服务备案-车辆核验在用车业务，小微型客车租赁经营服务备案-车辆核验重点信息OCR识别，小微型客车租赁经营服务备案-企业备案业务类型，小微型客车租赁经营服务备案-车辆备案业务流程变更，小微型客车租赁经营服务备案-个性化查询统计功能。</w:t>
      </w:r>
    </w:p>
    <w:p>
      <w:pPr>
        <w:ind w:firstLineChars="0"/>
      </w:pPr>
      <w:r>
        <w:rPr>
          <w:rFonts w:hint="eastAsia"/>
        </w:rPr>
        <w:t>3、路政设施审批：市政设施建设类事项国办合并-企业申请端功能，市政设施建设类事项国办合并-管理部门审批端功能，涉路施工许可事项国办合并-企业申请端功能，涉路施工许可事项国办合并-管理部门审批端功能，涉路施工许可事项国办合并-电子文书与证照功能，掘路计划模块-“跟进计划”功能。</w:t>
      </w:r>
    </w:p>
    <w:p>
      <w:pPr>
        <w:ind w:firstLineChars="0"/>
      </w:pPr>
      <w:r>
        <w:rPr>
          <w:rFonts w:hint="eastAsia"/>
        </w:rPr>
        <w:t>4、水路运输审批：水路运输企业外资股份比例变更功能-企业申请端功能，水路运输企业外资股份比例变更功能-业务部门审批功能，水路运输辅助业备案无人干预功能。</w:t>
      </w:r>
    </w:p>
    <w:p>
      <w:pPr>
        <w:ind w:firstLineChars="0"/>
      </w:pPr>
      <w:r>
        <w:rPr>
          <w:rFonts w:hint="eastAsia"/>
        </w:rPr>
        <w:t>二、老旧运输工具更新补贴申报</w:t>
      </w:r>
    </w:p>
    <w:p>
      <w:pPr>
        <w:ind w:firstLineChars="0"/>
      </w:pPr>
      <w:r>
        <w:rPr>
          <w:rFonts w:hint="eastAsia"/>
        </w:rPr>
        <w:t>1、老旧船舶报废更新专题服务：船舶补贴政策公告及计算器，船舶补贴资金自助查询及申请，企业船舶补贴申报提醒及进度概况，企业项目备案信息管理，船舶拆解补贴资金计算校验规则。</w:t>
      </w:r>
    </w:p>
    <w:p>
      <w:pPr>
        <w:ind w:firstLineChars="0"/>
      </w:pPr>
      <w:r>
        <w:rPr>
          <w:rFonts w:hint="eastAsia"/>
        </w:rPr>
        <w:t>2、上海市老旧营运船舶报废更新补贴“一件事</w:t>
      </w:r>
      <w:r>
        <w:rPr>
          <w:rFonts w:hint="eastAsia"/>
          <w:lang w:eastAsia="zh-CN"/>
        </w:rPr>
        <w:t>”</w:t>
      </w:r>
      <w:r>
        <w:rPr>
          <w:rFonts w:hint="eastAsia"/>
        </w:rPr>
        <w:t>：上海市老旧营运船舶报废更新一件事申请功能，上海市老旧营运船舶报废更新一件事审批功能，上海市老旧营运船舶报废更新补贴规则校验，船舶拆解监管，部系统对接。</w:t>
      </w:r>
    </w:p>
    <w:p>
      <w:pPr>
        <w:ind w:firstLineChars="0"/>
      </w:pPr>
      <w:r>
        <w:rPr>
          <w:rFonts w:hint="eastAsia"/>
        </w:rPr>
        <w:t>3、上海市老旧营运货车报废更新补贴：上海市老旧营运货车报废更新补贴申请功能，上海市老旧营运货车报废更新补贴审批功能，上海市老旧营运货车报废更新补贴清册，上海市老旧营运货车报废更新补贴-电子文书送达，上海市老旧营运货车报废更新补贴规则校验-提前报废老旧营运货车，上海市老旧营运货车报废更新补贴规则校验-提前报废老旧营运货车，并新购营运货车，上海市老旧营运货车报废更新补贴规则校验-仅新购新能源城市冷链配送货车。</w:t>
      </w:r>
    </w:p>
    <w:p>
      <w:pPr>
        <w:ind w:firstLineChars="0"/>
      </w:pPr>
      <w:r>
        <w:rPr>
          <w:rFonts w:hint="eastAsia"/>
        </w:rPr>
        <w:t>4、老旧运输更新补贴辅助决策：老旧营运运输工具更新补贴未来发放测算工具，补贴汇总赋能调控功能，补贴发放跟踪及绩效评估。</w:t>
      </w:r>
    </w:p>
    <w:p>
      <w:pPr>
        <w:ind w:firstLineChars="0"/>
      </w:pPr>
      <w:r>
        <w:rPr>
          <w:rFonts w:hint="eastAsia"/>
        </w:rPr>
        <w:t>三、一件事功能建设</w:t>
      </w:r>
    </w:p>
    <w:p>
      <w:pPr>
        <w:ind w:firstLineChars="0"/>
      </w:pPr>
      <w:r>
        <w:rPr>
          <w:rFonts w:hint="eastAsia"/>
        </w:rPr>
        <w:t>1、企业经营类一件事：道路货物运输企业歇业“一件事”-企业申请端功能，道路货物运输企业歇业“一件事”-审批端，道路货物运输企业歇业“一件事”-电子文书与证照功能，国内船舶管理证照变更“一件事”-自动检测功能，国内船舶管理证照变更“一件事”-自动更新证照功能，驾培机构法定代表人变更“一件事”-数据核验功能，驾培机构法定代表人变更“一件事”-业务办件生成。</w:t>
      </w:r>
    </w:p>
    <w:p>
      <w:pPr>
        <w:ind w:firstLineChars="0"/>
      </w:pPr>
      <w:r>
        <w:rPr>
          <w:rFonts w:hint="eastAsia"/>
        </w:rPr>
        <w:t>2、大件运输“一件事”（部级）：大件运输“一件事”（部级）基础管理，大件运输快速通道设计，大件运输“一件事”（部级）申请，大件运输“一件事”（部级）审批，大件运输“一件事”（部级）办件智能组装，跨省申请审批，通行证-跨省申请，核查管理，省内申请，“特殊车辆在城市道路上行驶（包括经过城市桥梁）审批”事项审批流程处理。</w:t>
      </w:r>
    </w:p>
    <w:p>
      <w:pPr>
        <w:ind w:firstLineChars="0"/>
      </w:pPr>
      <w:r>
        <w:rPr>
          <w:rFonts w:hint="eastAsia"/>
        </w:rPr>
        <w:t>四、智慧好办快办</w:t>
      </w:r>
    </w:p>
    <w:p>
      <w:pPr>
        <w:ind w:firstLineChars="0"/>
      </w:pPr>
      <w:r>
        <w:rPr>
          <w:rFonts w:hint="eastAsia"/>
        </w:rPr>
        <w:t>1、道路货物运输经营（集装箱、冷藏保鲜、罐式容器和大件运输）许可证延续“免申即享”：道路货物运输经营（集装箱、冷藏保鲜、罐式容器和大件运输）许可证延续“免申即享”。</w:t>
      </w:r>
    </w:p>
    <w:p>
      <w:pPr>
        <w:ind w:firstLineChars="0"/>
      </w:pPr>
      <w:r>
        <w:rPr>
          <w:rFonts w:hint="eastAsia"/>
        </w:rPr>
        <w:t>2、道路货物运输车辆（集装箱、冷藏保鲜、罐式容器和大件运输）年度审验“免申即享”：道路货物运输车辆（集装箱、冷藏保鲜、罐式容器和大件运输）年度审验“免申即享”。</w:t>
      </w:r>
    </w:p>
    <w:p>
      <w:pPr>
        <w:ind w:firstLineChars="0"/>
      </w:pPr>
      <w:r>
        <w:rPr>
          <w:rFonts w:hint="eastAsia"/>
        </w:rPr>
        <w:t>3、道路清障施救牵引营运车辆年度审验“免申即享”：道路清障施救牵引营运车辆年度审验“免申即享”。</w:t>
      </w:r>
    </w:p>
    <w:p>
      <w:pPr>
        <w:ind w:firstLineChars="0"/>
      </w:pPr>
      <w:r>
        <w:rPr>
          <w:rFonts w:hint="eastAsia"/>
        </w:rPr>
        <w:t>4、公路工程监理企业资质许可“免申即享”：公路工程监理企业资质许可“免申即享”。</w:t>
      </w:r>
    </w:p>
    <w:p>
      <w:pPr>
        <w:ind w:firstLineChars="0"/>
      </w:pPr>
      <w:r>
        <w:rPr>
          <w:rFonts w:hint="eastAsia"/>
        </w:rPr>
        <w:t>5、国内水路运输经营许可“免申即享”：国内水路运输经营许可“免申即享”。</w:t>
      </w:r>
    </w:p>
    <w:p>
      <w:pPr>
        <w:ind w:firstLineChars="0"/>
      </w:pPr>
      <w:r>
        <w:rPr>
          <w:rFonts w:hint="eastAsia"/>
        </w:rPr>
        <w:t>6、对因市政公用施工临时占用城市道路免缴临时占路费“免申即享”：对因市政公用施工临时占用城市道路免缴临时占路费“免申即享”。</w:t>
      </w:r>
    </w:p>
    <w:p>
      <w:pPr>
        <w:ind w:firstLineChars="0"/>
      </w:pPr>
      <w:r>
        <w:rPr>
          <w:rFonts w:hint="eastAsia"/>
        </w:rPr>
        <w:t>7、18个业务情形“智慧好办”升级：申报页面智能预填功能（18个事项）、申报信息智能预审功能（18个事项）、业务数据标准化处理与分析功能、数据服务共享接入与处理、事项业务数据访问控制与隐私保护功能、申报信息自动审批功能（18个事项）。</w:t>
      </w:r>
    </w:p>
    <w:p>
      <w:pPr>
        <w:ind w:firstLineChars="0"/>
      </w:pPr>
      <w:r>
        <w:rPr>
          <w:rFonts w:hint="eastAsia"/>
        </w:rPr>
        <w:t>8、人员类事项移动轻应用：随申办和小程序单点登陆功能及原生能力功能，出租驾驶员一件事移动端，移动端文件上传及电子证照亮证功能，网络预约、巡游出租驾驶员从业资格事项移动端功能适配，道路运输行业客货危从业资格事项移动端功能适配，公路水运施工单位三管人员安全生产考核事项移动端适配。</w:t>
      </w:r>
    </w:p>
    <w:p>
      <w:pPr>
        <w:ind w:firstLineChars="0"/>
      </w:pPr>
      <w:r>
        <w:rPr>
          <w:rFonts w:hint="eastAsia"/>
        </w:rPr>
        <w:t>五、行业企业精准服务空间建设</w:t>
      </w:r>
    </w:p>
    <w:p>
      <w:pPr>
        <w:ind w:firstLineChars="0"/>
      </w:pPr>
      <w:r>
        <w:rPr>
          <w:rFonts w:hint="eastAsia"/>
        </w:rPr>
        <w:t>1、交通行业企业：企业经营状态一览、企业服务与到期提醒、政策公开、出租租赁运营企业画像、企业安全与合规画像、交通建设项目画像。</w:t>
      </w:r>
    </w:p>
    <w:p>
      <w:pPr>
        <w:ind w:firstLineChars="0"/>
      </w:pPr>
      <w:r>
        <w:rPr>
          <w:rFonts w:hint="eastAsia"/>
        </w:rPr>
        <w:t>2、行政服务中心服务“双公示”：窗口服务双公示。</w:t>
      </w:r>
    </w:p>
    <w:p>
      <w:pPr>
        <w:ind w:firstLineChars="0"/>
      </w:pPr>
      <w:r>
        <w:rPr>
          <w:rFonts w:hint="eastAsia"/>
        </w:rPr>
        <w:t>3、办事窗口好差评（pad端）功能：窗口服务双公示，窗口申请人评价功能。</w:t>
      </w:r>
    </w:p>
    <w:p>
      <w:pPr>
        <w:pStyle w:val="3"/>
      </w:pPr>
      <w:r>
        <w:rPr>
          <w:rFonts w:hint="eastAsia"/>
        </w:rPr>
        <w:t>系统整体架构</w:t>
      </w:r>
    </w:p>
    <w:p>
      <w:r>
        <w:rPr>
          <w:rFonts w:hint="eastAsia"/>
        </w:rPr>
        <w:t>本项目开发采用三层技术架构设计。三层结构是将整个业务应用划分为展示层、控制层、数据访问层。通过分解业务细节，将不同的功能代码归入不同的层中进行管理和维护，更有利于系统稳定和高效的运行，同时为可能的变更提供了更小的功能单元，有利于系统的维护和扩展。本次建设是在平台总体框架，在原有综合业务中升级改造相关功能。</w:t>
      </w:r>
    </w:p>
    <w:p>
      <w:pPr>
        <w:pStyle w:val="135"/>
        <w:ind w:firstLine="0" w:firstLineChars="0"/>
        <w:jc w:val="center"/>
        <w:rPr>
          <w:szCs w:val="32"/>
        </w:rPr>
      </w:pPr>
      <w:r>
        <w:rPr>
          <w:rFonts w:hint="eastAsia"/>
        </w:rPr>
        <w:drawing>
          <wp:inline distT="0" distB="0" distL="114300" distR="114300">
            <wp:extent cx="5278120" cy="3919220"/>
            <wp:effectExtent l="0" t="0" r="0" b="5080"/>
            <wp:docPr id="12" name="图片 12" descr="d659feb99a7e9dbbcfda652a6f71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659feb99a7e9dbbcfda652a6f71ba8"/>
                    <pic:cNvPicPr>
                      <a:picLocks noChangeAspect="1"/>
                    </pic:cNvPicPr>
                  </pic:nvPicPr>
                  <pic:blipFill>
                    <a:blip r:embed="rId13"/>
                    <a:stretch>
                      <a:fillRect/>
                    </a:stretch>
                  </pic:blipFill>
                  <pic:spPr>
                    <a:xfrm>
                      <a:off x="0" y="0"/>
                      <a:ext cx="5278120" cy="3919306"/>
                    </a:xfrm>
                    <a:prstGeom prst="rect">
                      <a:avLst/>
                    </a:prstGeom>
                  </pic:spPr>
                </pic:pic>
              </a:graphicData>
            </a:graphic>
          </wp:inline>
        </w:drawing>
      </w:r>
    </w:p>
    <w:p>
      <w:pPr>
        <w:pStyle w:val="3"/>
        <w:ind w:firstLine="0"/>
      </w:pPr>
      <w:r>
        <w:rPr>
          <w:rFonts w:hint="eastAsia"/>
        </w:rPr>
        <w:t>技术路线</w:t>
      </w:r>
    </w:p>
    <w:p>
      <w:r>
        <w:rPr>
          <w:rFonts w:hint="eastAsia"/>
        </w:rPr>
        <w:t>本项目系统部署在市电子政务云上。投标方需针对电子政务云资源需求，制定适合本项目的集成方案，系统架构设计，能够满足系统的完备性和可扩展性要求，完成应用软件部署、配置和联调，并负责应用系统的售后维护工作。</w:t>
      </w:r>
    </w:p>
    <w:p>
      <w:r>
        <w:rPr>
          <w:rFonts w:hint="eastAsia"/>
        </w:rPr>
        <w:t>本项目应满足对于</w:t>
      </w:r>
      <w:r>
        <w:rPr>
          <w:rFonts w:hint="eastAsia"/>
          <w:lang w:eastAsia="zh-CN"/>
        </w:rPr>
        <w:t>XC</w:t>
      </w:r>
      <w:r>
        <w:rPr>
          <w:rFonts w:hint="eastAsia"/>
        </w:rPr>
        <w:t>环境支持的基本要求。</w:t>
      </w:r>
      <w:r>
        <w:rPr>
          <w:rFonts w:hint="eastAsia"/>
          <w:lang w:eastAsia="zh-CN"/>
        </w:rPr>
        <w:t>XC</w:t>
      </w:r>
      <w:r>
        <w:rPr>
          <w:rFonts w:hint="eastAsia"/>
        </w:rPr>
        <w:t>环境支持包括：国产数据库、国产操作系统、国产服务器、国产计算机、国产办公软件、国产外设设备以及相关国产化中间件软件、浏览器、插件等。本系统建成后，部署在上海市电子政务云环境上，并完全适配安全可靠终端的使用。</w:t>
      </w:r>
    </w:p>
    <w:p/>
    <w:p>
      <w:pPr>
        <w:pStyle w:val="3"/>
        <w:ind w:firstLine="0"/>
      </w:pPr>
      <w:r>
        <w:rPr>
          <w:rFonts w:hint="eastAsia"/>
        </w:rPr>
        <w:t>软件开发清单</w:t>
      </w:r>
    </w:p>
    <w:tbl>
      <w:tblPr>
        <w:tblStyle w:val="35"/>
        <w:tblW w:w="5000" w:type="pct"/>
        <w:tblInd w:w="0" w:type="dxa"/>
        <w:tblLayout w:type="autofit"/>
        <w:tblCellMar>
          <w:top w:w="0" w:type="dxa"/>
          <w:left w:w="108" w:type="dxa"/>
          <w:bottom w:w="0" w:type="dxa"/>
          <w:right w:w="108" w:type="dxa"/>
        </w:tblCellMar>
      </w:tblPr>
      <w:tblGrid>
        <w:gridCol w:w="948"/>
        <w:gridCol w:w="948"/>
        <w:gridCol w:w="1895"/>
        <w:gridCol w:w="4737"/>
      </w:tblGrid>
      <w:tr>
        <w:tblPrEx>
          <w:tblCellMar>
            <w:top w:w="0" w:type="dxa"/>
            <w:left w:w="108" w:type="dxa"/>
            <w:bottom w:w="0" w:type="dxa"/>
            <w:right w:w="108" w:type="dxa"/>
          </w:tblCellMar>
        </w:tblPrEx>
        <w:trPr>
          <w:trHeight w:val="560" w:hRule="atLeast"/>
        </w:trPr>
        <w:tc>
          <w:tcPr>
            <w:tcW w:w="55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556"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应用系统名称</w:t>
            </w: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功能名称</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功能描述</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556" w:type="pct"/>
            <w:vMerge w:val="restar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政务服务事项功能建设</w:t>
            </w: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交通建设监管-国家重点公路建设项目施工图设计文件审批</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国家重点公路建设项目施工图设计文件审批，包括企业申请端功能、管理部门审核端功能、电子文书与证照功能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交通建设监管-公路工程交工验收向交通主管部门备案</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公路工程交工验收向交通主管部门备案，包括企业申请端功能、管理部门审核端功能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交通建设监管-企业投资的港口工程竣工验收备案</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企业投资的港口工程竣工验收备案，包括企业申请端功能、管理部门审核端功能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道路运输审批-道路运输车辆卫星定位平台服务商备案</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道路运输车辆卫星定位平台服务商备案，包括企业申请端功能、管理部门审核端功能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道路运输审批-小微型客车租赁经营服务备案</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小微型客车租赁经营服务备案，包括车辆核验二手车业务功能、车辆核验在用车业务、车辆核验重点信息OCR识别、企业备案业务类型、车辆备案业务流程变更、个性化查询统计功能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路政设施审批-市政设施建设类事项国办合并</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市政设施建设类事项国办合并，包括企业申请端功能、管理部门审核端功能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路政设施审批-涉路施工许可事项国办合并</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涉路施工许可事项国办合并，包括企业申请端功能、管理部门审核端功能、电子文书与证照功能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路政设施审批-掘路计划模块-“跟进计划”功能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申报模块：新增“跟进计划”模块，进入填写页面，先弹出本年度所有的年度计划列表，查询条件为项目名称、子计划编号、路名、操作列为“确定跟进”按钮。确认后填写可填写跟进计划的相关项目施工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2.信息核验：智能判断跟进计划的申报信息是否与选择的年度计划有直接关联，如不符合要求，不能进行申请跟进。</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3.审核流程配置：按照跟进计划的业务信息，系统智能分配到对应道路管理部门进行审核。</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4.计划编号自动分配：与所跟进的年度计划关联为综合计划，计划编号根据所跟进的年度计划自动分配对应的计划编号和子计划编号。</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水路运输审批-水路运输企业外资股份比例变更功能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水路运输企业外资股份比例变更功能，包括企业申请端功能、业务部门审批功能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水路运输审批-水路运输辅助业备案无人干预功能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1、船、旅、货代备案自动审批功能:企业申请完成后，流程从受理后当场办结变更为自动审批完成。</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2、船、旅、货代备案自动推送功能:自动审批完成后将对应的结果文书自动推送大数据中心，企业可自行查看。</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3、船、旅、货代备企业电子签章签署功能：生成申请表后，通过登陆的法人一证通获取企业电子签章，供申请人在申请表上加盖电子签章。</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4、船、旅、货代备案短信提醒功能:结果文书自动推送大数据中心的同时，短信提醒企业审批完成，告知结果文书电子送达情况。</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w:t>
            </w:r>
          </w:p>
        </w:tc>
        <w:tc>
          <w:tcPr>
            <w:tcW w:w="556" w:type="pct"/>
            <w:vMerge w:val="restar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老旧运输工具更新补贴申报</w:t>
            </w: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老旧船舶报废更新专题服务-船舶补贴政策公告及计算器</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行业企业补贴办事信息一体化统计与展现:系统从补贴办事的发起情况、进度状态以及审批结果等方面进行分类汇总统计，已概览的形式展现给企业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船舶补贴政策推送与展示:将交通运输部或交通委发布的相关补贴政策以通知和文件的形式推送给复合条件的企业，企业在政策专栏可接收通知，查看政策文件。</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老旧船舶拆解补贴资金估算计算器:在船舶拆解补贴资金业务中将补贴参数设定为计算因子，将船舶拆解补贴资金业务规则作为计算限制条件，将补贴计算公式作为计算逻辑，补贴金额自动计算出来，整体以计算器的形式供企业使用。</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船舶补贴资金估算计算器:在新建船舶补贴资金业务中将补贴参数设定为计算因子，将新建船舶补贴资金业务规则作为计算限制条件，将补贴计算公式作为计算逻辑，补贴金额自动计算出来，整体以计算器的形式供企业使用。</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老旧船舶报废更新专题服务-船舶补贴资金自助查询及申请</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企业可查询所有已经发起的船舶补贴申请的审批进展情况和办理结果；</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企业船舶补贴政策符合性校验：依据补贴政策，将约束条件包括船龄、营运证有效期、船舶类型、船舶种类等转化为校验规则，系统自动检测企业名下船舶是否符合补贴政策，并给予提示。</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船舶补贴申请结果个性化查询统计：根据企业需求，将企业关注的关键字段设为查询统计条件包括日期、船名、申请业务类型、审批结果，进行查询统计，展示汇总统计结果。</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企业补贴资金项目待备案信息查询与展示：根据业务部门的管理需求和补贴资金跨委办申请的要求，从项目的维度将初步审批通过的资金申请备案参数推给企业，并向企业提供待备案信息查询查看的方式</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企业补贴资金批复信息查询统计：将补贴申请第二阶段的审批结果汇总以列表的形式展示给企业，企业可根据日期、状态等条件进行查询和统计。</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老旧船舶报废更新专题服务-企业船舶补贴申报进度概况</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1、企业可从时间、项目批次等条件查询所有已经发起的船舶补贴申请的审批进展情况和办理结果；</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2、将企业关注的关键字段设为查询统计条件包括日期、船名、申请业务类型、审批结果，进行查询统计，展示汇总统计结果。</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14</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老旧船舶报废更新专题服务-企业项目备案信息管理</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1、根据业务部门的管理需求和补贴资金跨委办申请的要求，从项目的维度将初步审批通过的资金申请备案参数推给企业，并向企业提供待备案信息查询查看的方式；</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2、通过发改委备案接口获取具体备案信息，并共享预备案信息。</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老旧船舶报废更新专题服务-船舶拆解补贴资金计算校验规则</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老旧船舶拆解补贴资金-业务规则:根据船舶拆解补贴标准政策，将船龄、船舶种类、船舶类型、补贴标准等关键业务因素开发拆解业务规则，基于此规则对企业填报的待拆解船舶参数进行自动判断，自动填写资金补贴计算因子。</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船舶补贴资金--业务规则:根据新建船舶补贴标准政策，将燃料类型、船舶种类、船舶类型、补贴标准等关键业务因素开发新建业务规则，基于此规则对企业填报的新建船舶参数进行自动判断，自动填写资金补贴计算因子。</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上海市老旧营运船舶报废更新补贴“一件事-上海市老旧营运船舶报废更新一件事申请功能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1、网申端-补贴申请智能引导页面功能:将企业必须满足的申请条件，以题目问答的形式引导企业进行选择或填写，根据企业的选择填写的内容，对企业待申报的内容进行预校验，筛选掉不符合条件的企业。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2、网申端-补贴申请业户信息页面功能:新增业户信息页面，收集申请人的基本信息。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网申端-补贴申请业务信息页面功能:新增业务信息页面，根据输入船舶名称先进行库内匹配，如匹配到，将相应的信息预填，并再次校验是否符合补贴条件。未匹配到的船舶，在申报人员填写对应信息后，校验船舶是否符合申请条件；若选择的是拆解业务，根据填写的船舶类型、船舶种类、船龄、总吨，基于船舶拆解资金补贴业务规则，并自动计算补贴金额；若选择的是新建业务，基于新建船舶资金补贴业务规则，自动计算补贴金额。</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4、网申端-企业电子签章签署功能：生成申请表后，通过登陆的法人一证通获取企业电子签章，供申请人在申请表上加盖电子签章。</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5、网申端-补贴申请材料页面功能:根据申请人填写的内容自动申请申请表，并提供企业下载签章后上传，根据办事指南开发上传材料目录，支持材料在线上传、查看和删除。</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6、短信提醒功能: 办件进度推进时，以短信方式告知申请人办理详情。</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17</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上海市老旧营运船舶报废更新补贴“一件事-上海市老旧营运船舶报废更新一件事审批功能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1、审批端-补贴申请审批页面功能:带入企业申请信息和审查材料，进行流转审批，记录审批意见和审批节点信息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审批端-补贴申请立项信息查询与统计:根据业务部门要求，设定检索条件，可查询、统计并展示企业或个人提交的所有办件信息，审核状态。</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2、审批端-船舶监管状态设置及校验:在监管页面对船舶设置监管是否开始状态，是否可以开始监管流程。可通过对应按钮设定监管流程的开始与结束。</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3、审批端-船舶监管关键信息记录:业务部门可分次录入监管过程中的关键信息，监管过程材料包括多次的监管时间、报告编号、证书注销等内容。</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4、审批端-船舶监管过程材料上传与查看:根据监管需求开发上传材料目录，点击相应的上传按钮进行上传，可点击查看已上传内容。</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5、审批端-补贴项目信息编辑、查询与统计:根据业务部门要求，从项目的维度分类回收企业申报信息，并按照部系统上传的信息要求，对项目信息进行维护，并可进行统计查看。</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审批端-补贴项目信息导出模版定制:按照业务部门的要求开发项目信息导出模版，可通过导出按钮一键按模版导出所需信息；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6、审批端-项目补贴资金发放审批流转:系统根据设定的校验条件自动筛选出符合第二阶段发放资金申请条件的船舶，业务部门根据管理需求，按项目分批发起申请，按照设定的审批环节进行流转审批；</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7、审批端-项目补贴资金发放申请记录及结果查询与统计:根据业务部门管理要求，设定查询条件，从不同维度查询统计项目补贴资金发放申请记录及结果。</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8、业务审批流程配置与管理：根据业务部门最新的审批流程要求，优化各个审批节点的审批功能，配置流程节点，系统自动记录审批信息和流转信息。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9、企业电子签章签署功能：生成申请表后，通过登陆的法人一证通获取企业电子签章，供申请人在申请表上加盖电子签章。</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10、企业端办件补正功能：审核中对于申请人少提交材料或错提交材料进行退回补正。</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11、对接大数据中心“一件事”专题库，获取一件事办件编码，推送“一件事”办件详情和办件结果。</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12、办件进度推进时，以短信方式告知申请人办理详情。</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上海市老旧营运船舶报废更新补贴“一件事-上海市老旧营运船舶报废更新补贴规则校验</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部系统项目补贴信息结构调整对接:按照交通运输部要求与部级设备更新动态监测系统对接，开发项目补贴信息接口，按照部项目信息结构组织汇总数据，按照要求进行数据对接。</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部系统船舶补贴明细信息结构调整与对接:按照交通运输部要求与部级设备更新动态监测系统对接，开发船舶补贴明细信息接口，按照部船舶补贴明细信息结构组织汇总数据，按照要求进行数据对接。</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19</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上海市老旧营运船舶报废更新补贴“一件事-船舶拆解监管</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1、在监管页面对船舶设置监管是否开始状态，是否可以开始监管流程。可通过对应按钮设定监管流程的开始与结束。</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2、业务部门可分次录入监管过程中的关键信息，监管过程材料包括多次的监管时间、报告编号、证书注销等内容。</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3、根据监管需求开发上传材料目录，点击相应的上传按钮进行上传，可点击查看已上传内容。</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4、记录现场监管信息人员及时间内容；</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上海市老旧营运船舶报废更新补贴“一件事-部系统对接</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按照交通运输部要求与部级设备更新动态监测系统对接，开发老旧船舶报废更新项目补贴信息接口和船舶补贴明细信息接口，按照部系统信息对接内容要求，对补贴项目信息、船舶补贴明细信息内容进行梳理汇总调整，按照要求进行数据调试、核对和上传。</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上海市老旧营运货车报废更新补贴-上海市老旧营运货车报废更新补贴申请功能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1.货车报废、更新补贴信息填报界面:依据办事指南申请表内容，开发相关填报界面，并按照要求，接入行驶证信息、报废信息、道路运输证等信息，实现智能预填、预审。</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2.货车报废、更新补贴智能引导界面:设置引导问题，引导运输企业根据自身业务情况选择对应选项，根据选项对申请页面需要填写的要素，进行行智能校验和展示。</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3.系统对接-报废车辆信息对接核验:接入全国报废车辆信息数据，验证车辆实际已经完成拆解报废，预审车辆是否满足补贴要求。</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4.《老旧营运货车报废更新资金申请表》自动生成并签署电子签章：基于用户填报的老旧营运货车报废及新购信息，自动生成规范化的《老旧营运货车报废更新资金申请表》，并完成电子签章签署。</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货车报废、更新补贴申请信息、材料的补正功能：受理中心在受理环节，对于材料与办事指南不符的办件，可发起[补正]操作，并填写补正原因，线上打印补正通知书，并反馈至申请人，申请人在网申端，可按照服务中心的补正要求，对办件材料进行补充。</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上海市老旧营运货车报废更新补贴-上海市老旧营运货车报废更新补贴审批功能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货车报废、更新补贴审批页面功能：开发设计该事项的审批界面，按照业务要求设计受理、审核、决定、送达等先审批流程节点，并在对应节点设置对应的操作功能及流程记录。并按照审核要点对企业填写的申报信息进行核验</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2.货车报废、更新补贴情况统计汇总和导出页面：</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补贴批次明细的查看功能，支持按照单位名称、车辆情况、状态等多条件查询、配置导出、汇总统计等功能</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3.系统对接-本市货运经营许可证、车辆道路运输数据对接核验:对接本市货运企业、车辆基础数据调用接口，验证企业、车辆信息的准确性和真实性。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23</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上海市老旧营运货车报废更新补贴-上海市老旧营运货车报废更新补贴清册</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1.按照部级字段标准上传补贴信息并记录功能:按照部级方案要求，整理三个业务情形的申报数据，按照部级要求格式上传至部交换共享平台。</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货车报废、更新补贴部级校验信息结果对账信息表获取:一个批次业务数据传输完成后，进行批次对账。对帐信息表以独立数据文件与对应批次的业务数据同时传输。对应业务表(包括共享交换表、校验结果表)的内容生成后，将批次信息、表代码、本批次业务表的记录数信息写入对帐表。</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24</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上海市老旧营运货车报废更新补贴-上海市老旧营运货车报废更新补贴-电子文书送达</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1.货车报废、更新补贴电子文书制作与送达：业务部门审核通过后，在相关文书中，加盖办理机构的电子印章。并通过线上电子送法的方式送达给申请人。</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25</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上海市老旧营运货车报废更新补贴-上海市老旧营运货车报废更新补贴规则校验-提前报废老旧营运货车</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1.货车报废、更新补贴计算器设计:构建一套系统化的补贴计算模型，依据老旧营运货车报废情况、新车购置标准等多维条件，精准计算差异化补贴金额。</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提前报废老旧营运货车补贴金额算法及信息校验规则设置:依据老旧营运货车车辆类型（中型货车、重型货车）与提前报废时间（满1年（含）不足2年、满2年（含）不足4年、满4年（含）以上）进行组合匹配，确定对应的补贴标准。</w:t>
            </w:r>
          </w:p>
          <w:p>
            <w:pPr>
              <w:widowControl/>
              <w:spacing w:line="240" w:lineRule="auto"/>
              <w:ind w:firstLine="0" w:firstLineChars="0"/>
              <w:jc w:val="center"/>
              <w:rPr>
                <w:rFonts w:hint="eastAsia" w:ascii="等线" w:hAnsi="等线" w:eastAsia="等线" w:cs="宋体"/>
                <w:color w:val="000000"/>
                <w:kern w:val="0"/>
                <w:sz w:val="22"/>
                <w:szCs w:val="22"/>
                <w:lang w:eastAsia="zh-CN"/>
              </w:rPr>
            </w:pP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5.货车报废、更新补贴部级校验结果信息表获取:对接部级下发的核验数据，获取本市数据上传结果。便于对上传失败或者成功情况进行掌握</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26</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上海市老旧营运货车报废更新补贴-上海市老旧营运货车报废更新补贴规则校验-提前报废老旧营运货车，并新购营运货车</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1.货车报废、更新补贴计算器设计:构建一套系统化的补贴计算模型，依据老旧营运货车报废情况、新车购置标准等多维条件，精准计算差异化补贴金额。</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2.提前报废老旧营运货车，并新购营运货车补贴金额算法及信息校验规则设置:根据报废车辆类型（中型、重型）、新购营运货车轴数（重型货车区分 2 轴、3 轴、4 轴及以上，中型货车不区分轴数）以及新购车辆排放标准（国六排放标准、新能源），组合匹配对应补贴标准</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27</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上海市老旧营运货车报废更新补贴-上海市老旧营运货车报废更新补贴规则校验-仅新购新能源城市冷链配送货车</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1.货车报废、更新补贴计算器设计:构建一套系统化的补贴计算模型，依据老旧营运货车报废情况、新车购置标准等多维条件，精准计算差异化补贴金额。</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2.仅新购新能源城市冷链配送货车补贴金额算法及信息校验规则设置:系统获取用户输入的 “仅新购新能源城市冷链配送货车” 相关信息后，自动调用预设的固定补</w:t>
            </w:r>
            <w:r>
              <w:rPr>
                <w:rFonts w:ascii="Times New Roman" w:hAnsi="Times New Roman" w:eastAsia="等线"/>
                <w:color w:val="000000"/>
                <w:kern w:val="0"/>
                <w:sz w:val="22"/>
                <w:szCs w:val="22"/>
              </w:rPr>
              <w:t>​</w:t>
            </w:r>
            <w:r>
              <w:rPr>
                <w:rFonts w:hint="eastAsia" w:ascii="等线" w:hAnsi="等线" w:eastAsia="等线" w:cs="等线"/>
                <w:color w:val="000000"/>
                <w:kern w:val="0"/>
                <w:sz w:val="22"/>
                <w:szCs w:val="22"/>
              </w:rPr>
              <w:t>贴标准</w:t>
            </w:r>
            <w:r>
              <w:rPr>
                <w:rFonts w:hint="eastAsia" w:ascii="等线" w:hAnsi="等线" w:eastAsia="等线" w:cs="宋体"/>
                <w:color w:val="000000"/>
                <w:kern w:val="0"/>
                <w:sz w:val="22"/>
                <w:szCs w:val="22"/>
              </w:rPr>
              <w:t>3.5万元/辆，实现快速、精准的补贴计算。</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老旧运输更新补贴辅助决策-老旧营运运输工具更新补贴未来发放测算工具</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通过整合历史补贴发放数据、在册车辆年龄结构、报废政策规则、补贴标准库等关键信息，构建预测模型，量化测算未来1-3年老旧运输工具（如营运货车、客车、公交、出租车、船舶）的年度补贴申请量、资金需求峰值及发放时间分布。支持调整政策参数（如补贴额度、车型范围）进行多场景模拟，输出可视化报表，为年度预算编制、财政资源调配提供数据支撑，提升资金管理的前瞻性和精准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29</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老旧运输更新补贴辅助决策-补贴汇总赋能调控功能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企业经营行为数据（如货运里程、客运车次、出租车接单量等）与企业属性（类型/规模/经营时长），构建补贴申请与发放的全景数据库。通过时期、地区、行业领域等多维度穿透分析，量化评估补贴发放金额的合理性，识别异常发放模式，并生成政策优化建议报告（如调整补贴标准/对象范围），为后续政策修订提供数据决策依据。</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30</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老旧运输更新补贴辅助决策-补贴发放跟踪及绩效评估</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1、对于审核通过的补贴申请，业务部门在系统中记录资金拨付状态、拨付金额，拨付日期等信息。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2、资金拨付实时跟踪</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定期记录并更新资金拨付状态、金额、日期等关键信息，确保数据实时性与准确性。</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支持多维度查询（如按部门、项目、时间段），生成可视化拨付进度报表。</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3、资金全周期动态分析</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全景展示资金流转各阶段规模，包括：</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申请规模：申报阶段的资金需求总量</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审批规模：通过审核的拟拨付金额</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下达规模：实际批复的预算额度</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发放规模：最终兑付至受益对象的金额</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4、通过对比分析功能，快速定位资金滞留环节。</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5、拨付计划智能管理</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支持季度、半年度、年度资金计划的制定与调整，关联历史数据辅助决策。</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6、自动预警计划偏差，提示超支或结余风险</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w:t>
            </w:r>
          </w:p>
        </w:tc>
        <w:tc>
          <w:tcPr>
            <w:tcW w:w="556" w:type="pct"/>
            <w:vMerge w:val="restar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一件事功能建设</w:t>
            </w: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企业经营类一件事-道路货物运输企业歇业“一件事”</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道路货物运输企业歇业“一件事”，包括企业申请端功能、审批端功能、电子文书与证照功能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企业经营类一件事-国内船舶管理证照变更“一件事”</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国内船舶管理证照变更“一件事”，自动检测功能、自动更新证照功能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企业经营类一件事-驾培机构法定代表人变更“一件事”</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驾培机构法定代表人变更“一件事”，数据核验功能、业务办件生成</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34</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大件运输“一件事”（部级）-大件运输“一件事”（部级）基础管理</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1.企业管理-货运源头企业列表:普通货运、重点货运的车辆信息列表获取和展示</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2.企业管理-企业信息审核列表:企业信息列表获取、审核</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3.企业管理-常用车辆列表:车辆列表获取和展示</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4.企业管理-经办人列表:经办人列表获取和展示</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35</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大件运输“一件事”（部级）-大件运输快速通道设计</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数据整理与汇总：定期从审批系统数据库中提取历年审批通过的线路数据，包含线路起止点、途经区域、申请企业、审批时间等信息。对数据进行清洗，去除重复线路、无效数据（如测试数据、未完成审批线路）和异常数据（如起止点不完整线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高频线路库构建：设定统计周期（如按年、季度），统计各线路出现的频次。根据线路起止点、途经关键节点等信息，对相似线路进行聚类合并，计算每条线路的使用频率，按频率高低排序，筛选出高频线路（如前 20% 使用频次的线路）。将筛选出的高频线路存储在独立的数据库表或数据文件中，形成高频线路库。每条线路记录包含唯一标识、起止点详细信息、途经主要区域、使用频次、关联审批事项类型等字段。</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3.申请人端功能集成：在申请页面设置 “高频线路推荐” 搜索框，申请人输入起止点关键词时，系统从高频线路库中进行模糊匹配，实时展示匹配的高频线路列表，列表中显示线路起止点、使用频次等信息。申请人可点击选择合适线路，系统自动填充线路相关信息至申请表单对应字段，减少手动输入。</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4.审批人员端功能集成：审批页面增加 “高频线路参考” 模块，自动显示当前申请线路在高频线路库中的匹配情况及使用频次。若申请线路为高频线路，且申请人填写信息与高频线路库中信息高度匹配，审批人员可快速确认，简化审批流程，提高审批效率。</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5.线路库动态更新：设置定时任务，定期（如每月）重新计算线路使用频次，更新高频线路库。当有新的审批通过线路数据时，及时纳入计算范围，确保高频线路库的时效性和准确性。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36</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大件运输“一件事”（部级）-大件运输“一件事”（部级）</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大件运输“一件事”（部级）申请、审批、办件智能组装</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37</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大件运输“一件事”（部级）-跨省申请审批</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1.跨省申请受理结果上传（起运省）；跨省申请并联审批、发起协调、许可决定；跨省申请恢复（终止）审批操作上传；</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2起运省份办件提供终止许可、恢复审批功能。在并联许可过程中，起运省份可以操作对应功能，将操作结果传输部级系统，控制办件是否继续并联审批。</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3.跨省申请验算操作</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38</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大件运输“一件事”（部级）-通行证-跨省申请</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1.通行证管理-跨省申请发证结果:上传发证结果，包括证件上结构化字段等相关信息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2.通行证管理-跨省申请电子证照更新:本地生成电子证照后，将文件上传至交通部。</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3.通行证管理-跨省申请注销通行证:X04 起运省注销许可证---（证照注销）--起运省操作</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4.通行证使用情况查询:X01 证照激活--申请人操作激活（待激活——已激活）</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大件运输“一件事”（部级）-核查管理</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1.跨省申请标记核查操作上传</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2.跨省申请获取现场核查申请列表</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3.跨省申请现场核查信息上传</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40</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大件运输“一件事”（部级）-省内申请</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"1.省内申请:信息提交、省内申请信息更新、受理结果上传、审批结果上传、告知补正</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2.省内申请终止审批、许可决定操作上传;</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3.省内申请现场核查;</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4.省内申请电子证照:发证结果上传、取消电子证照、电子证照上传交通部、许可激活校验、激活挂起、注销通行证操作</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5.大件运输车辆途中检查结果上传;大件运输车辆治超执法处罚信息上传;"</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41</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大件运输“一件事”（部级）-“特殊车辆在城市道路上行驶（包括经过城市桥梁）审批”事项审批流程处理</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涉及城市道路，生成的办件与“公路超限运输许可”形成关联办件，按照“超限公路运输许可”业务的受理、许可、发证三个节点，同步推进“特殊车辆在城市道路上行驶审批”的审批节点，无需业务部门在单独对城市道路的业务进行审批。</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w:t>
            </w:r>
          </w:p>
        </w:tc>
        <w:tc>
          <w:tcPr>
            <w:tcW w:w="556" w:type="pct"/>
            <w:vMerge w:val="restar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智慧好办快办</w:t>
            </w: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道路货物运输经营许可（集装箱、冷藏保鲜、罐式容器和大件运输）“免申即享”-</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1、道路运输企业延续定时核验功能:校验范围新增道路货物专用运输（集装箱）、道路货物专用运输（冷藏保鲜）、道路货物专用运输（罐式容器）和道路大型物件运输。</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2、对接工商管理局核验企业资质:对接工商管理局的营业执照信息，对企业的经营资质、有效期限、基本信息等在业务系统中进行校验和应用。</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3、短信精准告知功能：对享受企业名称变更“免申即享”的企业发送短信告知企业。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4、自动更新证照：在企业确认后，对免申即享件流程进行更新，自动审批完成并更新其证照有效期。</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5、推送电子证照：审批完成后自动推送新的证照数据给大数据中心，生成对应的企业电子证照。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道路货物运输车辆（集装箱、冷藏保鲜、罐式容器和大件运输）年度审验“免申即享”-</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1、车辆年度免申即享定时核验功能:校验范围新增道路货物专用运输（集装箱）、道路货物专用运输（冷藏保鲜）、道路货物专用运输（罐式容器）和道路大型物件运输.</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2、免申即享事项管理功能:增加“免申即享”事项管理页面。市区两级管理部门可以通过这个列表，查询本管理机构企业“一键兑付”的情况。是否符合一键兑付的要求，是否发起一键兑付等展示。</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3、短信精准告知功能：对享受企业名称变更“免申即享”的企业发送短信告知企业。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4、自动更新证照：在企业确认后，对免申即享件流程进行更新，自动审批完成并更新其证照有效期。</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5、推送电子证照：审批完成后自动推送新的证照数据给大数据中心，生成对应的企业电子证照。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44</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道路清障施救牵引营运车辆年度审验“免申即享”-</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车辆年度免申即享定时核验功能:设计车辆年度审验免申即享定时任务程序，借助信用系统、执法系统、年审系统等平台，实现数据的实时交互与共享，对符合条件的车辆进行轮询核验，核验企业和车辆的资质，首先当企业满足非严重失信、非待注销、非总队处罚、企业许可证未超期、安全员两证在有效期内、业户信息核实并通过审核等条件时，再进行核验车辆的情况，包括车辆等评有效期、卫星定位在情况、公安年检情况等条件。核验通过的车辆，按照“直接兑付”的方式，更新电子版的车辆道路运输证，未通过系统智能核验的企业和车辆，系统做好履历的保存和记录。</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智能预审和提示:为更好推进车辆年度审验免申即享任务，对现有年审系统的申报及审批页面，增加提示精准告知申请人员和审批人员当前车辆是否符合免申即享要求。在年审申请页面对符合免申即享的车辆，提示申请人可以不用进行申请，符合条件后系统将直接兑付.审批端对符合免申即享的车辆进行标识，在数据统计页面可查询分析免申即享与正常流转办理的分布情况。</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3、短信精准告知功能：对享受企业名称变更“免申即享”的企业发送短信告知企业。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4、自动更新证照：在企业确认后，对免申即享件流程进行更新，自动审批完成并更新其证照有效期。</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5、推送电子证照：审批完成后自动推送新的证照数据给大数据中心，生成对应的企业电子证照。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45</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公路工程监理企业资质许可“免申即享”-</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1、法人库信息共享:与工商管理局，获取公路工程监理企业的法人库数据对接数据交互。</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2、智能数据规则校验:将法人库信息与系统内基础数据进行比对，筛选出公路工程监理企业名称发生变更的数据。</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3、企业名称自动调整功能:对于发生企业名称变更的公路工监理企业在平台进行基础数据调整。</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4、短信精准告知功能：对享受企业名称变更“免申即享”的企业发送短信告知企业。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5、自动更新证照：在企业确认后，对免申即享件流程进行更新，自动审批完成并更新其证照有效期。</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6、推送电子证照：审批完成后自动推送新的证照数据给大数据中心，生成对应的企业电子证照。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46</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国内水路运输经营许可“免申即享”-</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1、水路证免申即享同步数据:通过固定同步程序从城地获取对应企业信息、信用评级、年审信息等需要检测校验的数据。</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2、检测对应企业证照:设计校验程序，对符合条件且临近证照有效期止的证照进行检测。</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3、短信精准告知功能：对享受企业名称变更“免申即享”的企业发送短信告知企业。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4、自动更新证照：在企业确认后，对免申即享件流程进行更新，自动审批完成并更新其证照有效期。</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5、推送电子证照：审批完成后自动推送新的证照数据给大数据中心，生成对应的企业电子证照。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47</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对因市政公用施工临时占用城市道路免缴临时占路费“免申即享”-</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1、临时占用道路事项新增“免缴占路费”管理模块:在审核界面中，新增“免缴占路费”的管理模块供操作人填写确认，主要内容包括免收金额、项目名称、对应建设单位、免收时间、电子材料等信息。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2、占路费免申即享情况查询:统计本市免申即享的占路业务情况，主要包括大概数据，涉及金额等信息，支持导出、多条件查询等功能。</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3、短信精准告知功能：对享受企业名称变更“免申即享”的企业发送短信告知企业。</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4、自动更新证照：在企业确认后，对免申即享件流程进行更新，自动审批完成并更新其证照有效期。</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5、推送电子证照：审批完成后自动推送新的证照数据给大数据中心，生成对应的企业电子证照。</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48</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18个业务情形“智慧好办”-申报页面智能预填功能（18个事项）</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建设企业用户申请页面，调用智能数据服务模型接口，实现9个高频服务事项页面的200字段的智能预填报功能；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49</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18个业务情形“智慧好办”-申报信息智能预审功能（18个事项）</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通过新增9个业务情形后台校验规则内容，调用只能数据服务模型接口，实现9个高频服务事项页面，共计27个字段的智能校验功能。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18个业务情形“智慧好办”-业务数据标准化处理与分析功能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根据数据共享要求，对事项业务数据按照交通行业标准进行建立数据处理流程，包括数据清洗、转换、集成等环节，同时设计数据分析的方法，以提炼数据中的有价值信息。</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51</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18个业务情形“智慧好办”-数据服务共享接入与处理</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基于大数据中心智能数据服务模型，扩展开发数据集成范围，针对新增情况接入数据共享接口，以便应用能够快速便捷的获取所需数据</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52</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18个业务情形“智慧好办”-事项业务数据访问控制与隐私保护功能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基于智能数据服务模型，开发业务数据访问控制规则，保护数据的安全和隐私</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53</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18个业务情形“智慧好办”-申报信息自动审批功能（18个事项）</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申请人可通过登录“一网通办”录入相关信息后，由后台系统通过调用智能数据服务模型，获取有价值信息实时比对核验申请信息，自动完成事项办理，并将办理结果告知申请人。</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54</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人员类事项移动轻应用-随申办和小程序单点登陆功能及原生能力功能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通过对接随申办app、微信小程序、支付宝小程序单点登陆功能,实现申请人在进入事项的时候，进行无感授权登陆。</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对接原生js能力token接口，对接随申办原生js能力（标题修改、原生相机调用、获取图库、保存照片到手机等）。</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55</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人员类事项移动轻应用-出租驾驶员一件事移动端</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设计并开发移动端出租驾驶员一件事专题页面，网约和巡游驾驶员背景审查的办事告知、结果证照的示例展示，并可以直接跳转到网约或巡游的主题页。</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网络预约、巡游出租驾驶员背景审查-申请界面、申请功能：适配申请人点击网络预约、巡游出租驾驶员背景审查主题页点击背景审查按钮，校验申请人的实有人口信息、居住证、居住登记凭证信息、违章信息、是否有行业协会限制、是否有申请中背审信息等，进入申请界面，通过亮证、接口调用等手段预填沪籍、驾驶证等信息、申请人填报剩余信息，上传材料，完成验证码校验并提交申请。</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网络预约、巡游出租驾驶员背景审查-考试报名界面、报名功能：申请人点击网络预约、巡游出租驾驶员背景审查主题页点击报名考试按钮，校验申请人是否有有效的背审信息，进入报名考试界面，通过亮证、接口调用等手段预填人员背审信息、申请人填报剩余信息，完成验证码校验并提交申请。</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56</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人员类事项移动轻应用-移动端文件上传及电子证照亮证功能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针对背景审查中的1寸照片和身份证两类材料，使用实时拍照获取功能，并通过增加取景框限制功能，提高材料的质量，完成验证码校验并提交申请。</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申请人可以在移动端进行上传功能，通过原生js能力对接，将申请人手机中的材料上传到系统中，并有预览，删除等功能。</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通过对接大数据中心适配移动端的亮证、用证接口，获取申请人证照信息，并作为材料进行上传</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57</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人员类事项移动轻应用-网络预约、巡游出租驾驶员从业资格事项移动端功能适配</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网络预约、巡游出租驾驶员换证、补正、注销三个情形移动端适配:设计开发移动端网络预约、巡游出租驾驶员换证、补正、注销三个情形，包含申请信息的填写、业务信息资格证选择，申请材料页面材料上传，现有资格证的选择，驾驶证信息的预填、申请表的自动生成等功能，填写完毕校验通过之后，和资格中心接口进行对接传输。</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58</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人员类事项移动轻应用-道路运输行业客货危从业资格事项移动端功能适配</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客货危服务单位变更确认功能移动端适配:危险货物道路运输驾驶人员、押运员、装卸管理员从业资格认定，经营性客运驾驶员从业资格认定，经营性货运驾驶员从业资格认定（除使用4500千克及以下普通货运车辆的驾驶人员外）认定五个事项的服务单位变更情形移动入职确认功能开发，从业人员针对企业发起的人员录入进行确认或驳回。</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危险货物道路运输驾驶人员、押运员、装卸管理员从业资格认定发证情形移动端适配:设计开发移动端危险货物道路运输驾驶人员、押运员、装卸管理员从业资格认定发证情形，包含申请信息、业务信息的填写，申请材料页面材料上传，驾驶证信息的预填、申请表的自动生成等功能，填写完毕校验通过之后，和资格中心接口进行对接传输。</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危险货物道路运输驾驶人员、押运员换证、补正、注销等三个事项九个情形移动端适配：设计开发移动端危险货物道路运输驾驶人员、押运员、装卸管理员从业资格认定换证、补正、注销等三个事项九个情形，包含申请信息的填写、业务信息资格证选择，申请材料页面材料上传，驾驶证信息的预填、申请表的自动生成等功能，填写完毕校验通过之后，和资格中心接口进行对接传输。</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危险货物道路运输驾驶人员、押运员、装卸管理员从业资格认定转籍情形移动端适配。</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经营性客运、货运驾驶员从业资格认定发证情形移动端适配。</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经营性客运驾驶员、营性货运驾驶员从业资格认定（除使用4500千克及以下普通货运车辆的驾驶人员外）从业资格认定换证、补正、注销三个情形移动端适配。</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59</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人员类事项移动轻应用-公路水运施工单位三管人员安全生产考核事项移动端适配</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设计开发移动端三类安管人员个人新增情形，包含申请信息、业务信息的填写，受聘单位信息选择、申请材料页面材料上传，现有资格证的选择，驾驶证信息的预填、申请表的自动生成等功能，填写完毕校验通过之后，和资格中心接口进行对接传输。</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延续、变更、注销情形移动端适配：设计开发移动端三类安管人员个人延续、变更、注销情形，包含申请信息、已有证件选择，申请材料页面材料上传，现有资格证的选择，驾驶证信息的预填、申请表的自动生成等功能，填写完毕校验通过之后，和资格中心接口进行对接传输。</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60</w:t>
            </w:r>
          </w:p>
        </w:tc>
        <w:tc>
          <w:tcPr>
            <w:tcW w:w="556" w:type="pct"/>
            <w:vMerge w:val="restar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行业企业精准服务空间建设</w:t>
            </w: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交通行业企业-企业经营状态一览</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整体信息展示功能:该功能为本市航运行业的企业更便利、高效的开展行政审批、经营备案、船舶管理，打造企业专属空间，展示企业的基础信息：许可证号、营运证号、开业时间、经营范围、文书签注、备案信息等。并支持企业负责人、负责人电话、经营地址、经营区县、经营地邮编等修改功能</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企业资质资产信息查询展示页面:企业可以查看名下所有岸线、港口、水路运输和船舶等相关资质资产信息，对资质资产基本信息进行管理。</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证照查询展示页面:企业名下证照查看列表，支持多条件查询，可根据项目代码、报建编号、许可证号等关键信息进行查询电子证照，可查看电子证照的生成时间、有效时间等，对即将到期的证照提前预警告知。</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企业办件进度查询展示页面:企业可查看他们提交所有业务办件的进度和状态。并可按照一件事、单事项、免申即享等多维度进行查询和统计，办理结果文书电子送达，企业可在线预览和下载。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61</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交通行业企业-企业服务与到期提醒</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交通工程农民工工资发放预警：根据交通工程建设项目农民工工资管理要求，对接人社局的工资发放预警数据，主动、精准推送给企业，督促企业尽快发放，以免影响企业信用。</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企业证照查询及预警:企业名下证照查看列表，支持多条件查询，可根据名称、证书类别、许可证号等关键信息进行查询电子证照，可查看电子证照的生成时间、有效时间等，对即将到期的证照提前预警告知。</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企业从业人员信息管理:驾驶员的驾驶证信息进行核验，包括驾驶证有效期、准驾车型等，确保驾驶员具备合法驾驶资格。</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企业办件进度查询展示页面:企业可查看他们提交所有业务办件的进度和状态。并可按照一件事、单事项、免申即享等多维度进行查询和统计，办理结果文书电子送达，企业可在线预览和下载。</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62</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交通行业企业-政策公开</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行业许可公告功能:平台帮助企业及时获取政策信息，展示市级/区级管理部门最新的行业要求，提供事项办理的操作手册下载。</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 xml:space="preserve">航运行业动态信息：推送航运行业重要资讯和政策变化，帮助企业及时调整经营策略，把握市场机遇。 </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交通建设行业政策公开：政策法规、项目动态、技术标准、施工进度通报、安全警示等信息。</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63</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交通行业企业-出租租赁运营企业画像</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出租租赁运营企业画像:基于企业车辆运输证、许可证申请数据、日常业务报备数据等，进行行业运营规模分析、违规行为分布分析等。通过可视化展示行业关键指标，如企业运营车辆数量、车辆违规率等。</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运营车辆画像：对企业下属车辆根据车辆类型、使用年限、运营资质有效期等进行车辆画像。建立每辆小微型客车的电子档案，详细记录车辆品牌、型号、车牌号、购置时间、发动机号、车架号等基础信息，方便企业全面掌握车辆情况。</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64</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交通行业企业-企业安全与合规画像</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企业三类安管人员情况:展示企业安管人员职业分布合理性，并可具体展示企业名下的项目负责人、监理工程师、试验检测人员等相关岗位的人员情况，包括手机号、身份证、证件编号、证件有效期等主要信息。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企业安全措施画像：包括企业安全措施费落实情况，安全设施规范使用分析。</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安全公告功能:个性化推送企业的行政处罚信息、典型案例等内容，提高公众对行业的认知和监督意识。</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驾驶员安全画像:驾驶员的驾驶证信息进行核验，包括驾驶证有效期、准驾车型等，确保驾驶员具备合法驾驶资格。</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65</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交通行业企业-交通建设项目画像</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根据企业、人员、项目三类基础信息，刻画交通建设项目（公路、铁路、机场、港口、轨道交通），项目的关键特征、建设要素、影响范围及实施动态，形成可视化、可量化的 “数字标签”。</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项目基础画像：包括项目基础信息、建设主体（建设单位、设计单位、施工单位、监理单位名称及资质）、技术与建设内容（工程结构、斜拉桥 / 悬索桥、隧道施工方法、路基处理工艺）等。</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项目进度画像：分项进度、资源调配画像（如材料、人力）、施工难点（地质复杂、生态敏感区）、延误因素（天气、征地拆迁）、安全事故记录</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项目智慧化数字化画像：碳排放强度、可再生能源使用率（如光伏路灯、电动工程机械）、物联网监测、大数据进度管理等。</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66</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行政服务中心服务“双公示”-窗口服务双公示</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中心业务办理概况实时展示页面:动态汇总展示服务中心可受理的28个行政许可事项，观联展示相应的宣传视频和线上操作视频；实时动态展示中心各窗口业务开展情况，包括窗口排班、排队，业务受理数等内容；动态公示中心近60天业务事项办理情况</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企业或个人证照遗失声明管理功能:业务人员根据中心受理的遗失补办申请情况，手动添加遗失声明内容，系统根据受理号自动关联遗失的证照号码、名称以及日期，统过遗失声明文件上传功能关联文书；可从日期、受理号、证照号、证书类型、声明人等多个维度进行查询统计。</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企业或个人证照遗失声明展示页面:动态展示近60天内中心受理的证照遗失补办事项对应的遗失证照的证照编号、证照名称、声明日期，关联相应的遗失声明文件，并可即时查看；</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67</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办事窗口好差评（pad端）功能-服务信息展示管理功能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好差评（pad端）登陆功能:基于安卓的pad端好差评登陆功能、登录成功之后与现有的平台账户监理socket链接，通过后台消息发送.</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好差评（pad端）主页功能:服务人员登陆成功之后，展示当前窗口的服务人员照片、姓名、评价等级等信息，并通过轮播图行驶播放一些设定好的服务信息</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好差评（pad）人员管理功能:对服务人员进行管理，可以进行信息编辑、服务人员照片上传，用于主页展示</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好差评（pad）轮播图管理功能:对好差评pad端主页的轮播图进行管理，可以进行轮播图的增加、删除等操作，并记录操作人。</w:t>
            </w:r>
          </w:p>
        </w:tc>
      </w:tr>
      <w:tr>
        <w:tblPrEx>
          <w:tblCellMar>
            <w:top w:w="0" w:type="dxa"/>
            <w:left w:w="108" w:type="dxa"/>
            <w:bottom w:w="0" w:type="dxa"/>
            <w:right w:w="108" w:type="dxa"/>
          </w:tblCellMar>
        </w:tblPrEx>
        <w:trPr>
          <w:trHeight w:val="280" w:hRule="atLeast"/>
        </w:trPr>
        <w:tc>
          <w:tcPr>
            <w:tcW w:w="556" w:type="pct"/>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68</w:t>
            </w:r>
          </w:p>
        </w:tc>
        <w:tc>
          <w:tcPr>
            <w:tcW w:w="556" w:type="pct"/>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ascii="等线" w:hAnsi="等线" w:eastAsia="等线" w:cs="宋体"/>
                <w:color w:val="000000"/>
                <w:kern w:val="0"/>
                <w:sz w:val="22"/>
                <w:szCs w:val="22"/>
              </w:rPr>
            </w:pPr>
          </w:p>
        </w:tc>
        <w:tc>
          <w:tcPr>
            <w:tcW w:w="1111"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办事窗口好差评（pad端）功能-窗口申请人评价功能</w:t>
            </w:r>
          </w:p>
        </w:tc>
        <w:tc>
          <w:tcPr>
            <w:tcW w:w="2777" w:type="pct"/>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评价页面模式对接:好差评Ipad通过调用线下三对应统一评价页面跳转接口打开评价页面，用户评价完成之后，通过对接的关闭功能，返回到好差评主页。</w:t>
            </w:r>
          </w:p>
          <w:p>
            <w:pPr>
              <w:widowControl/>
              <w:spacing w:line="240" w:lineRule="auto"/>
              <w:ind w:firstLine="0" w:firstLineChars="0"/>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接口模式评价页面功能:设计开发用于接口模式对接的评价页面，用于申请人在申请完成之后，可以在窗口好差评机器进行评价</w:t>
            </w:r>
          </w:p>
          <w:p>
            <w:pPr>
              <w:widowControl/>
              <w:spacing w:line="240" w:lineRule="auto"/>
              <w:ind w:firstLine="0" w:firstLineChars="0"/>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接口模式接口对接:通过对接大数据中好差评接口，将申请人评价结果绑定办件并推送大数据中心。同时增加了后端评价结果补传机制。</w:t>
            </w:r>
          </w:p>
        </w:tc>
      </w:tr>
    </w:tbl>
    <w:p>
      <w:pPr>
        <w:pStyle w:val="2"/>
        <w:ind w:left="-2" w:leftChars="-1" w:firstLine="1"/>
      </w:pPr>
      <w:r>
        <w:rPr>
          <w:rFonts w:hint="eastAsia"/>
        </w:rPr>
        <w:t>低代码建设要求</w:t>
      </w:r>
    </w:p>
    <w:p>
      <w:r>
        <w:rPr>
          <w:rFonts w:hint="eastAsia"/>
        </w:rPr>
        <w:t>本项目不采用低代码建设，故不涉及相关要求。</w:t>
      </w:r>
    </w:p>
    <w:p>
      <w:pPr>
        <w:pStyle w:val="2"/>
      </w:pPr>
      <w:bookmarkStart w:id="19" w:name="_Toc63785503"/>
      <w:r>
        <w:rPr>
          <w:rFonts w:hint="eastAsia"/>
        </w:rPr>
        <w:t>其他工作要求</w:t>
      </w:r>
      <w:bookmarkEnd w:id="19"/>
    </w:p>
    <w:p>
      <w:pPr>
        <w:pStyle w:val="3"/>
      </w:pPr>
      <w:bookmarkStart w:id="20" w:name="_Toc63785505"/>
      <w:r>
        <w:rPr>
          <w:rFonts w:hint="eastAsia"/>
        </w:rPr>
        <w:t>售后服务要求</w:t>
      </w:r>
      <w:bookmarkEnd w:id="20"/>
    </w:p>
    <w:p>
      <w:pPr>
        <w:pStyle w:val="106"/>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应用软件功能维护（修正错误、完善功能、业务开通）、日常维护（包括但不限于：现场值班工作需求、应用监控需求、客户端维护需求、电话支持需求、现场技术支持需求）、应用系统优化（包括但不限于：业务需求变更需求、新系统设计与实施需求）、数据库维护、业务培训和业务咨询及协作配合等。</w:t>
      </w:r>
    </w:p>
    <w:p>
      <w:pPr>
        <w:pStyle w:val="3"/>
      </w:pPr>
      <w:r>
        <w:rPr>
          <w:rFonts w:hint="eastAsia"/>
        </w:rPr>
        <w:t>应急响应要求</w:t>
      </w:r>
    </w:p>
    <w:p>
      <w:pPr>
        <w:pStyle w:val="106"/>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供应商对系统故障应能够实时响应，若系统发生故障，接到通知后30分钟之内响应，专业工程师2小时内到达现场。特殊故障与采购人沟通协商后，按照协商的方式制定解决方案并进行处理。</w:t>
      </w:r>
    </w:p>
    <w:p>
      <w:pPr>
        <w:pStyle w:val="106"/>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pPr>
        <w:pStyle w:val="106"/>
        <w:snapToGrid w:val="0"/>
        <w:spacing w:line="360" w:lineRule="auto"/>
        <w:ind w:firstLine="480"/>
        <w:rPr>
          <w:rFonts w:ascii="宋体" w:hAnsi="宋体"/>
          <w:sz w:val="24"/>
          <w:szCs w:val="24"/>
        </w:rPr>
      </w:pPr>
      <w:r>
        <w:rPr>
          <w:rFonts w:hint="eastAsia" w:ascii="宋体" w:hAnsi="宋体"/>
          <w:sz w:val="24"/>
          <w:szCs w:val="24"/>
        </w:rPr>
        <w:t>一级故障：在1小时内确诊，总故障解决时间不超过4小时。</w:t>
      </w:r>
    </w:p>
    <w:p>
      <w:pPr>
        <w:pStyle w:val="106"/>
        <w:snapToGrid w:val="0"/>
        <w:spacing w:line="360" w:lineRule="auto"/>
        <w:ind w:firstLine="480"/>
        <w:rPr>
          <w:rFonts w:ascii="宋体" w:hAnsi="宋体"/>
          <w:sz w:val="24"/>
          <w:szCs w:val="24"/>
        </w:rPr>
      </w:pPr>
      <w:r>
        <w:rPr>
          <w:rFonts w:hint="eastAsia" w:ascii="宋体" w:hAnsi="宋体"/>
          <w:sz w:val="24"/>
          <w:szCs w:val="24"/>
        </w:rPr>
        <w:t>二级故障：在2小时内确诊，并在4小时内由专家到达现场确诊并解决，总故障解决时间不超过8小时；</w:t>
      </w:r>
    </w:p>
    <w:p>
      <w:pPr>
        <w:pStyle w:val="106"/>
        <w:snapToGrid w:val="0"/>
        <w:spacing w:line="360" w:lineRule="auto"/>
        <w:ind w:firstLine="480"/>
        <w:rPr>
          <w:rFonts w:ascii="宋体" w:hAnsi="宋体"/>
          <w:sz w:val="24"/>
          <w:szCs w:val="24"/>
        </w:rPr>
      </w:pPr>
      <w:r>
        <w:rPr>
          <w:rFonts w:hint="eastAsia" w:ascii="宋体" w:hAnsi="宋体"/>
          <w:sz w:val="24"/>
          <w:szCs w:val="24"/>
        </w:rPr>
        <w:t>三、四级故障：在4小时内确诊故障，总故障解决时间不超过16小时。</w:t>
      </w:r>
    </w:p>
    <w:p>
      <w:pPr>
        <w:pStyle w:val="106"/>
        <w:snapToGrid w:val="0"/>
        <w:spacing w:line="360" w:lineRule="auto"/>
        <w:ind w:firstLine="480"/>
        <w:rPr>
          <w:rFonts w:ascii="宋体" w:hAnsi="宋体"/>
          <w:sz w:val="24"/>
          <w:szCs w:val="24"/>
        </w:rPr>
      </w:pPr>
      <w:r>
        <w:rPr>
          <w:rFonts w:hint="eastAsia" w:ascii="宋体" w:hAnsi="宋体"/>
          <w:sz w:val="24"/>
          <w:szCs w:val="24"/>
        </w:rPr>
        <w:t>依据故障时间及故障范围划分故障级别，故障级别分为四级，依次为Ⅰ级（紧急）、Ⅱ级（严重）、Ⅲ级（较大）和Ⅳ级（一般），分别定义如下：</w:t>
      </w:r>
    </w:p>
    <w:p>
      <w:pPr>
        <w:pStyle w:val="106"/>
        <w:snapToGrid w:val="0"/>
        <w:spacing w:line="360" w:lineRule="auto"/>
        <w:ind w:firstLine="480"/>
        <w:rPr>
          <w:rFonts w:ascii="宋体" w:hAnsi="宋体"/>
          <w:sz w:val="24"/>
          <w:szCs w:val="24"/>
        </w:rPr>
      </w:pPr>
      <w:r>
        <w:rPr>
          <w:rFonts w:hint="eastAsia" w:ascii="宋体" w:hAnsi="宋体"/>
          <w:sz w:val="24"/>
          <w:szCs w:val="24"/>
        </w:rPr>
        <w:t>Ⅰ级（紧急）故障为工作时间段（8:30——17:30）内大范围故障；</w:t>
      </w:r>
    </w:p>
    <w:p>
      <w:pPr>
        <w:pStyle w:val="106"/>
        <w:snapToGrid w:val="0"/>
        <w:spacing w:line="360" w:lineRule="auto"/>
        <w:ind w:firstLine="480"/>
        <w:rPr>
          <w:rFonts w:ascii="宋体" w:hAnsi="宋体"/>
          <w:sz w:val="24"/>
          <w:szCs w:val="24"/>
        </w:rPr>
      </w:pPr>
      <w:r>
        <w:rPr>
          <w:rFonts w:hint="eastAsia" w:ascii="宋体" w:hAnsi="宋体"/>
          <w:sz w:val="24"/>
          <w:szCs w:val="24"/>
        </w:rPr>
        <w:t>Ⅱ级（严重）故障为非工作时间段（17:30——次日8:30）内大范围故障；</w:t>
      </w:r>
    </w:p>
    <w:p>
      <w:pPr>
        <w:pStyle w:val="106"/>
        <w:snapToGrid w:val="0"/>
        <w:spacing w:line="360" w:lineRule="auto"/>
        <w:ind w:firstLine="480"/>
        <w:rPr>
          <w:rFonts w:ascii="宋体" w:hAnsi="宋体"/>
          <w:sz w:val="24"/>
          <w:szCs w:val="24"/>
        </w:rPr>
      </w:pPr>
      <w:r>
        <w:rPr>
          <w:rFonts w:hint="eastAsia" w:ascii="宋体" w:hAnsi="宋体"/>
          <w:sz w:val="24"/>
          <w:szCs w:val="24"/>
        </w:rPr>
        <w:t>Ⅲ级（较大）故障为工作时间段（8:30——17:30）内小范围故障；</w:t>
      </w:r>
    </w:p>
    <w:p>
      <w:pPr>
        <w:pStyle w:val="106"/>
        <w:snapToGrid w:val="0"/>
        <w:spacing w:line="360" w:lineRule="auto"/>
        <w:ind w:firstLine="480"/>
        <w:rPr>
          <w:rFonts w:ascii="宋体" w:hAnsi="宋体"/>
          <w:sz w:val="24"/>
          <w:szCs w:val="24"/>
        </w:rPr>
      </w:pPr>
      <w:r>
        <w:rPr>
          <w:rFonts w:hint="eastAsia" w:ascii="宋体" w:hAnsi="宋体"/>
          <w:sz w:val="24"/>
          <w:szCs w:val="24"/>
        </w:rPr>
        <w:t>Ⅳ级（一般）故障为非工作时间段（17:30——次日8:30）内小范围故障；</w:t>
      </w:r>
    </w:p>
    <w:p>
      <w:pPr>
        <w:pStyle w:val="3"/>
      </w:pPr>
      <w:r>
        <w:rPr>
          <w:rFonts w:hint="eastAsia"/>
        </w:rPr>
        <w:t>网络与数据安全</w:t>
      </w:r>
    </w:p>
    <w:p>
      <w:pPr>
        <w:pStyle w:val="106"/>
        <w:snapToGrid w:val="0"/>
        <w:spacing w:line="360" w:lineRule="auto"/>
        <w:ind w:firstLine="480"/>
        <w:rPr>
          <w:rFonts w:ascii="宋体" w:hAnsi="宋体"/>
          <w:sz w:val="24"/>
          <w:szCs w:val="24"/>
        </w:rPr>
      </w:pPr>
      <w:r>
        <w:rPr>
          <w:rFonts w:hint="eastAsia" w:ascii="宋体" w:hAnsi="宋体"/>
          <w:sz w:val="24"/>
          <w:szCs w:val="24"/>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pPr>
        <w:pStyle w:val="106"/>
        <w:snapToGrid w:val="0"/>
        <w:spacing w:line="360" w:lineRule="auto"/>
        <w:ind w:firstLine="480"/>
        <w:rPr>
          <w:rFonts w:ascii="宋体" w:hAnsi="宋体"/>
          <w:sz w:val="24"/>
          <w:szCs w:val="24"/>
        </w:rPr>
      </w:pPr>
      <w:r>
        <w:rPr>
          <w:rFonts w:hint="eastAsia" w:ascii="宋体" w:hAnsi="宋体"/>
          <w:sz w:val="24"/>
          <w:szCs w:val="24"/>
        </w:rPr>
        <w:t>(2)供应商应配合采购人开展相关安全制度和规范的制定，并根据项目实际，制定项目实施过程安全管理方案。</w:t>
      </w:r>
    </w:p>
    <w:p>
      <w:pPr>
        <w:pStyle w:val="106"/>
        <w:snapToGrid w:val="0"/>
        <w:spacing w:line="360" w:lineRule="auto"/>
        <w:ind w:firstLine="480"/>
        <w:rPr>
          <w:rFonts w:ascii="宋体" w:hAnsi="宋体"/>
          <w:sz w:val="24"/>
          <w:szCs w:val="24"/>
        </w:rPr>
      </w:pPr>
      <w:r>
        <w:rPr>
          <w:rFonts w:hint="eastAsia" w:ascii="宋体" w:hAnsi="宋体"/>
          <w:sz w:val="24"/>
          <w:szCs w:val="24"/>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pPr>
        <w:pStyle w:val="106"/>
        <w:snapToGrid w:val="0"/>
        <w:spacing w:line="360" w:lineRule="auto"/>
        <w:ind w:firstLine="480"/>
        <w:rPr>
          <w:rFonts w:ascii="宋体" w:hAnsi="宋体"/>
          <w:sz w:val="24"/>
          <w:szCs w:val="24"/>
        </w:rPr>
      </w:pPr>
      <w:r>
        <w:rPr>
          <w:rFonts w:hint="eastAsia" w:ascii="宋体" w:hAnsi="宋体"/>
          <w:sz w:val="24"/>
          <w:szCs w:val="24"/>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pPr>
        <w:pStyle w:val="106"/>
        <w:snapToGrid w:val="0"/>
        <w:spacing w:line="360" w:lineRule="auto"/>
        <w:ind w:firstLine="480"/>
        <w:rPr>
          <w:rFonts w:ascii="宋体" w:hAnsi="宋体"/>
          <w:sz w:val="24"/>
          <w:szCs w:val="24"/>
        </w:rPr>
      </w:pPr>
      <w:r>
        <w:rPr>
          <w:rFonts w:hint="eastAsia" w:ascii="宋体" w:hAnsi="宋体"/>
          <w:sz w:val="24"/>
          <w:szCs w:val="24"/>
        </w:rPr>
        <w:t>(5)供应商应在项目实施过程中，按照数据差异化安全防护策略，根据系统需要采取数据加密、数据访问控制、日志记录、流转监测等防护能力及相关管理流程，切实保障数据安全。</w:t>
      </w:r>
    </w:p>
    <w:p>
      <w:pPr>
        <w:pStyle w:val="106"/>
        <w:snapToGrid w:val="0"/>
        <w:spacing w:line="360" w:lineRule="auto"/>
        <w:ind w:firstLine="480"/>
        <w:rPr>
          <w:rFonts w:ascii="宋体" w:hAnsi="宋体"/>
          <w:sz w:val="24"/>
          <w:szCs w:val="24"/>
        </w:rPr>
      </w:pPr>
      <w:r>
        <w:rPr>
          <w:rFonts w:hint="eastAsia" w:ascii="宋体" w:hAnsi="宋体"/>
          <w:sz w:val="24"/>
          <w:szCs w:val="24"/>
        </w:rPr>
        <w:t>(6)供应商应按照采购人场地及人员安全管理制度，加强人员管理，配合采购人落实人员背调、入离场、终端管理、网络限制、数据权限最小化等管控措施。</w:t>
      </w:r>
    </w:p>
    <w:p>
      <w:pPr>
        <w:pStyle w:val="106"/>
        <w:snapToGrid w:val="0"/>
        <w:spacing w:line="360" w:lineRule="auto"/>
        <w:ind w:firstLine="480"/>
        <w:rPr>
          <w:rFonts w:ascii="宋体" w:hAnsi="宋体"/>
          <w:sz w:val="24"/>
          <w:szCs w:val="24"/>
        </w:rPr>
      </w:pPr>
      <w:r>
        <w:rPr>
          <w:rFonts w:hint="eastAsia" w:ascii="宋体" w:hAnsi="宋体"/>
          <w:sz w:val="24"/>
          <w:szCs w:val="24"/>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pPr>
        <w:pStyle w:val="106"/>
        <w:snapToGrid w:val="0"/>
        <w:spacing w:line="360" w:lineRule="auto"/>
        <w:ind w:firstLine="480"/>
        <w:rPr>
          <w:rFonts w:ascii="宋体" w:hAnsi="宋体"/>
          <w:sz w:val="24"/>
          <w:szCs w:val="24"/>
        </w:rPr>
      </w:pPr>
      <w:r>
        <w:rPr>
          <w:rFonts w:hint="eastAsia" w:ascii="宋体" w:hAnsi="宋体"/>
          <w:sz w:val="24"/>
          <w:szCs w:val="24"/>
        </w:rPr>
        <w:t>(8)供应商应在系统免维期内承担系统安全运维管理责任，落实安全管理保障措施，包括但不限于制度修订、风险排查、应急响应、漏洞修复、重保等工作。</w:t>
      </w:r>
    </w:p>
    <w:p>
      <w:pPr>
        <w:pStyle w:val="106"/>
        <w:snapToGrid w:val="0"/>
        <w:spacing w:line="360" w:lineRule="auto"/>
        <w:ind w:firstLine="480"/>
        <w:rPr>
          <w:rFonts w:ascii="宋体" w:hAnsi="宋体"/>
          <w:sz w:val="24"/>
          <w:szCs w:val="24"/>
        </w:rPr>
      </w:pPr>
    </w:p>
    <w:p>
      <w:pPr>
        <w:pStyle w:val="3"/>
      </w:pPr>
      <w:bookmarkStart w:id="21" w:name="_Toc63785507"/>
      <w:r>
        <w:rPr>
          <w:rFonts w:hint="eastAsia"/>
        </w:rPr>
        <w:t>培训要求</w:t>
      </w:r>
      <w:bookmarkEnd w:id="21"/>
    </w:p>
    <w:p>
      <w:r>
        <w:rPr>
          <w:rFonts w:hint="eastAsia"/>
        </w:rPr>
        <w:t>对系统使用单位提供业务操作培训，应提供详细培训方案。</w:t>
      </w:r>
    </w:p>
    <w:p>
      <w:r>
        <w:rPr>
          <w:rFonts w:hint="eastAsia"/>
        </w:rPr>
        <w:t>(1)在12个月的质量保证期内，提供2次与项目相关的必要培训。</w:t>
      </w:r>
    </w:p>
    <w:p>
      <w:r>
        <w:rPr>
          <w:rFonts w:hint="eastAsia"/>
        </w:rPr>
        <w:t>(2)供应商需要开展分层次的人员培训工作，每次培训后应对参加培训人员进行测试，评估培训成果。培训应具有培训教材、培训环境和高水平的培训讲师。</w:t>
      </w:r>
    </w:p>
    <w:p>
      <w:r>
        <w:rPr>
          <w:rFonts w:hint="eastAsia"/>
        </w:rPr>
        <w:t>(3)供应商应提供一般用户的基础操作培训和部门信息管理员的日常应用维护的培训，确保用户对象能够掌握对应的操作技能。</w:t>
      </w:r>
    </w:p>
    <w:p>
      <w:pPr>
        <w:pStyle w:val="3"/>
      </w:pPr>
      <w:r>
        <w:rPr>
          <w:rFonts w:hint="eastAsia"/>
        </w:rPr>
        <w:t>验收要求</w:t>
      </w:r>
    </w:p>
    <w:p>
      <w:pPr>
        <w:rPr>
          <w:szCs w:val="21"/>
        </w:rPr>
      </w:pPr>
      <w:r>
        <w:rPr>
          <w:rFonts w:hint="eastAsia"/>
          <w:szCs w:val="21"/>
        </w:rPr>
        <w:t>本项目按下述方式开展验收。</w:t>
      </w:r>
    </w:p>
    <w:p>
      <w:pPr>
        <w:rPr>
          <w:szCs w:val="21"/>
        </w:rPr>
      </w:pPr>
      <w:r>
        <w:rPr>
          <w:rFonts w:hint="eastAsia"/>
          <w:szCs w:val="21"/>
        </w:rPr>
        <w:t>（1）验收分初验和终验。</w:t>
      </w:r>
    </w:p>
    <w:p>
      <w:pPr>
        <w:rPr>
          <w:szCs w:val="21"/>
        </w:rPr>
      </w:pPr>
      <w:r>
        <w:rPr>
          <w:rFonts w:hint="eastAsia"/>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szCs w:val="21"/>
        </w:rPr>
      </w:pPr>
      <w:r>
        <w:rPr>
          <w:rFonts w:hint="eastAsia"/>
          <w:szCs w:val="21"/>
        </w:rPr>
        <w:t>（3）初验时，供应商须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szCs w:val="21"/>
        </w:rPr>
      </w:pPr>
      <w:r>
        <w:rPr>
          <w:rFonts w:hint="eastAsia"/>
          <w:szCs w:val="21"/>
        </w:rPr>
        <w:t>（4）自初验通过之日起，招标方享有供应商免费提供的xx天的信息系统试运行现场驻场服务期。该期间内，供应商应当按照招标方的要求提供现场技术支持服务，解决信息系统试运行期间可能出现的各类问题，或进一步提高与完善信息系统运行水平。</w:t>
      </w:r>
    </w:p>
    <w:p>
      <w:pPr>
        <w:rPr>
          <w:szCs w:val="21"/>
        </w:rPr>
      </w:pPr>
      <w:r>
        <w:rPr>
          <w:rFonts w:hint="eastAsia"/>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x个工作日内发起组织专家验收会。</w:t>
      </w:r>
    </w:p>
    <w:p>
      <w:pPr>
        <w:rPr>
          <w:szCs w:val="21"/>
        </w:rPr>
      </w:pPr>
      <w:r>
        <w:rPr>
          <w:rFonts w:hint="eastAsia"/>
          <w:szCs w:val="21"/>
        </w:rPr>
        <w:t>（6）如果属于供应商原因致使本项目未能通过终验，供应商应当排除缺陷，直至本项目完全符合验收标准，由上述情形而产生的相关费用应由供应商自行承担。</w:t>
      </w:r>
    </w:p>
    <w:p>
      <w:pPr>
        <w:rPr>
          <w:szCs w:val="21"/>
        </w:rPr>
      </w:pPr>
      <w:r>
        <w:rPr>
          <w:rFonts w:hint="eastAsia"/>
          <w:szCs w:val="21"/>
        </w:rPr>
        <w:t>（7）如果由于招标方原因导致本项目在终验通过前出现故障或问题，供应商应及时配合排除该方面的故障或问题。</w:t>
      </w:r>
    </w:p>
    <w:p>
      <w:pPr>
        <w:rPr>
          <w:szCs w:val="21"/>
        </w:rPr>
      </w:pPr>
      <w:r>
        <w:rPr>
          <w:rFonts w:hint="eastAsia"/>
          <w:szCs w:val="21"/>
        </w:rPr>
        <w:t>（8）如本项目连续3次验收未通过（含初验未通过或终验未通过），招标方有权解除项目，并有权依照本项目约定的违约条款追究供应商的违约责任。</w:t>
      </w:r>
    </w:p>
    <w:p/>
    <w:p>
      <w:pPr>
        <w:pStyle w:val="3"/>
      </w:pPr>
      <w:bookmarkStart w:id="22" w:name="_Toc63785509"/>
      <w:r>
        <w:rPr>
          <w:rFonts w:hint="eastAsia"/>
        </w:rPr>
        <w:t>进度要求</w:t>
      </w:r>
      <w:bookmarkEnd w:id="22"/>
    </w:p>
    <w:p>
      <w:r>
        <w:rPr>
          <w:rFonts w:hint="eastAsia"/>
        </w:rPr>
        <w:t>投标人应根据建设内容，分阶段制定合理的时间进度，并且应根据招标方要求进行调整和细化。</w:t>
      </w:r>
    </w:p>
    <w:p>
      <w:r>
        <w:rPr>
          <w:rFonts w:hint="eastAsia"/>
        </w:rPr>
        <w:t>总建设</w:t>
      </w:r>
      <w:r>
        <w:t>4个阶段。</w:t>
      </w:r>
    </w:p>
    <w:p>
      <w:r>
        <w:rPr>
          <w:rFonts w:hint="eastAsia"/>
        </w:rPr>
        <w:t>第一阶段，</w:t>
      </w:r>
      <w:r>
        <w:t>完成系统架构、基础资源、功能等详细设计。</w:t>
      </w:r>
    </w:p>
    <w:p>
      <w:r>
        <w:rPr>
          <w:rFonts w:hint="eastAsia"/>
        </w:rPr>
        <w:t>第二阶段</w:t>
      </w:r>
      <w:r>
        <w:t>，完成各功能模块的开发。</w:t>
      </w:r>
    </w:p>
    <w:p>
      <w:r>
        <w:rPr>
          <w:rFonts w:hint="eastAsia"/>
        </w:rPr>
        <w:t>第三阶段</w:t>
      </w:r>
      <w:r>
        <w:t>，进行项目功能试运行，完成系统完善和功能迭代。</w:t>
      </w:r>
    </w:p>
    <w:p>
      <w:r>
        <w:rPr>
          <w:rFonts w:hint="eastAsia"/>
        </w:rPr>
        <w:t>第三阶段</w:t>
      </w:r>
      <w:r>
        <w:t>，开展项目测评，完成项目验收。</w:t>
      </w:r>
    </w:p>
    <w:p>
      <w:pPr>
        <w:pStyle w:val="3"/>
      </w:pPr>
      <w:bookmarkStart w:id="23" w:name="_Toc63785510"/>
      <w:r>
        <w:rPr>
          <w:rFonts w:hint="eastAsia"/>
        </w:rPr>
        <w:t>项目团队及驻场人员要求</w:t>
      </w:r>
      <w:bookmarkEnd w:id="23"/>
    </w:p>
    <w:p>
      <w:r>
        <w:t>1）投标人具有稳定的在职技术保障力量，能够提供及时的技术支援或服务，应针对本项目提供不少于</w:t>
      </w:r>
      <w:r>
        <w:rPr>
          <w:rFonts w:hint="eastAsia"/>
        </w:rPr>
        <w:t>11</w:t>
      </w:r>
      <w:r>
        <w:t>人的项目服务团队</w:t>
      </w:r>
      <w:r>
        <w:rPr>
          <w:rFonts w:hint="eastAsia"/>
        </w:rPr>
        <w:t>，</w:t>
      </w:r>
      <w:r>
        <w:t>服务团队</w:t>
      </w:r>
      <w:r>
        <w:rPr>
          <w:rFonts w:hint="eastAsia"/>
        </w:rPr>
        <w:t>至少5人驻场，</w:t>
      </w:r>
      <w:r>
        <w:t>包括项目经理、产品经理、技术负责人、</w:t>
      </w:r>
      <w:r>
        <w:rPr>
          <w:rFonts w:hint="eastAsia"/>
        </w:rPr>
        <w:t>软件工程师</w:t>
      </w:r>
      <w:r>
        <w:t>等，投标单位的相关服务人员需具备相应的服务能力，需提供相关证明（最近一个季度依法缴纳社保费的证明）。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33"/>
        <w:gridCol w:w="1180"/>
        <w:gridCol w:w="1843"/>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0" w:type="auto"/>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项目经理</w:t>
            </w:r>
          </w:p>
        </w:tc>
        <w:tc>
          <w:tcPr>
            <w:tcW w:w="0" w:type="auto"/>
            <w:vAlign w:val="center"/>
          </w:tcPr>
          <w:p>
            <w:pPr>
              <w:widowControl/>
              <w:spacing w:line="240" w:lineRule="auto"/>
              <w:ind w:firstLine="0" w:firstLineChars="0"/>
              <w:jc w:val="center"/>
            </w:pPr>
            <w:r>
              <w:rPr>
                <w:rFonts w:hint="eastAsia"/>
              </w:rPr>
              <w:t>负责项目质量和进度控制</w:t>
            </w:r>
          </w:p>
        </w:tc>
        <w:tc>
          <w:tcPr>
            <w:tcW w:w="0" w:type="auto"/>
            <w:noWrap/>
            <w:vAlign w:val="center"/>
          </w:tcPr>
          <w:p>
            <w:pPr>
              <w:widowControl/>
              <w:spacing w:line="240" w:lineRule="auto"/>
              <w:ind w:firstLine="0" w:firstLineChars="0"/>
              <w:jc w:val="center"/>
            </w:pPr>
            <w:r>
              <w:t>1</w:t>
            </w:r>
            <w:r>
              <w:rPr>
                <w:rFonts w:hint="eastAsia"/>
              </w:rPr>
              <w:t>人</w:t>
            </w:r>
          </w:p>
        </w:tc>
        <w:tc>
          <w:tcPr>
            <w:tcW w:w="0" w:type="auto"/>
            <w:vAlign w:val="center"/>
          </w:tcPr>
          <w:p>
            <w:pPr>
              <w:widowControl/>
              <w:spacing w:line="240" w:lineRule="auto"/>
              <w:ind w:firstLine="0" w:firstLineChars="0"/>
              <w:jc w:val="center"/>
            </w:pPr>
            <w:r>
              <w:rPr>
                <w:rFonts w:hint="eastAsia"/>
              </w:rPr>
              <w:t>本科以上学历，</w:t>
            </w:r>
            <w:r>
              <w:t>5年以上软件开发/实施/服务经验</w:t>
            </w:r>
            <w:bookmarkStart w:id="27" w:name="_GoBack"/>
            <w:bookmarkEnd w:id="27"/>
          </w:p>
        </w:tc>
        <w:tc>
          <w:tcPr>
            <w:tcW w:w="0" w:type="auto"/>
            <w:noWrap/>
            <w:vAlign w:val="center"/>
          </w:tcPr>
          <w:p>
            <w:pPr>
              <w:widowControl/>
              <w:spacing w:line="240" w:lineRule="auto"/>
              <w:ind w:firstLine="0" w:firstLineChars="0"/>
              <w:jc w:val="cente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技术负责人</w:t>
            </w:r>
          </w:p>
        </w:tc>
        <w:tc>
          <w:tcPr>
            <w:tcW w:w="0" w:type="auto"/>
            <w:vAlign w:val="center"/>
          </w:tcPr>
          <w:p>
            <w:pPr>
              <w:widowControl/>
              <w:spacing w:line="240" w:lineRule="auto"/>
              <w:ind w:firstLine="0" w:firstLineChars="0"/>
              <w:jc w:val="center"/>
            </w:pPr>
            <w:r>
              <w:rPr>
                <w:rFonts w:hint="eastAsia"/>
              </w:rPr>
              <w:t>负责项目整体技术设计及审核</w:t>
            </w:r>
          </w:p>
        </w:tc>
        <w:tc>
          <w:tcPr>
            <w:tcW w:w="0" w:type="auto"/>
            <w:noWrap/>
            <w:vAlign w:val="center"/>
          </w:tcPr>
          <w:p>
            <w:pPr>
              <w:widowControl/>
              <w:spacing w:line="240" w:lineRule="auto"/>
              <w:ind w:firstLine="0" w:firstLineChars="0"/>
              <w:jc w:val="center"/>
            </w:pPr>
            <w:r>
              <w:rPr>
                <w:rFonts w:hint="eastAsia"/>
              </w:rPr>
              <w:t>1人</w:t>
            </w:r>
          </w:p>
        </w:tc>
        <w:tc>
          <w:tcPr>
            <w:tcW w:w="0" w:type="auto"/>
            <w:vAlign w:val="center"/>
          </w:tcPr>
          <w:p>
            <w:pPr>
              <w:widowControl/>
              <w:spacing w:line="240" w:lineRule="auto"/>
              <w:ind w:firstLine="0" w:firstLineChars="0"/>
              <w:jc w:val="center"/>
            </w:pPr>
            <w:r>
              <w:rPr>
                <w:rFonts w:hint="eastAsia"/>
              </w:rPr>
              <w:t>本科以上学历，</w:t>
            </w:r>
            <w:r>
              <w:t>5年以上软件开发/实施/服务经验</w:t>
            </w:r>
          </w:p>
        </w:tc>
        <w:tc>
          <w:tcPr>
            <w:tcW w:w="0" w:type="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产品经理</w:t>
            </w:r>
          </w:p>
        </w:tc>
        <w:tc>
          <w:tcPr>
            <w:tcW w:w="0" w:type="auto"/>
            <w:vAlign w:val="center"/>
          </w:tcPr>
          <w:p>
            <w:pPr>
              <w:widowControl/>
              <w:spacing w:line="240" w:lineRule="auto"/>
              <w:ind w:firstLine="0" w:firstLineChars="0"/>
              <w:jc w:val="center"/>
            </w:pPr>
            <w:r>
              <w:rPr>
                <w:rFonts w:hint="eastAsia"/>
              </w:rPr>
              <w:t>负责项目需求评估与产品设计</w:t>
            </w:r>
          </w:p>
        </w:tc>
        <w:tc>
          <w:tcPr>
            <w:tcW w:w="0" w:type="auto"/>
            <w:noWrap/>
            <w:vAlign w:val="center"/>
          </w:tcPr>
          <w:p>
            <w:pPr>
              <w:widowControl/>
              <w:spacing w:line="240" w:lineRule="auto"/>
              <w:ind w:firstLine="0" w:firstLineChars="0"/>
              <w:jc w:val="center"/>
            </w:pPr>
            <w:r>
              <w:rPr>
                <w:rFonts w:hint="eastAsia"/>
              </w:rPr>
              <w:t>1人</w:t>
            </w:r>
          </w:p>
        </w:tc>
        <w:tc>
          <w:tcPr>
            <w:tcW w:w="0" w:type="auto"/>
            <w:vAlign w:val="center"/>
          </w:tcPr>
          <w:p>
            <w:pPr>
              <w:widowControl/>
              <w:spacing w:line="240" w:lineRule="auto"/>
              <w:ind w:firstLine="0" w:firstLineChars="0"/>
              <w:jc w:val="center"/>
            </w:pPr>
            <w:r>
              <w:rPr>
                <w:rFonts w:hint="eastAsia"/>
              </w:rPr>
              <w:t>本科以上学历，</w:t>
            </w:r>
            <w:r>
              <w:t>5年以上软件开发/实施/服务经验</w:t>
            </w:r>
          </w:p>
        </w:tc>
        <w:tc>
          <w:tcPr>
            <w:tcW w:w="0" w:type="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软件工程师</w:t>
            </w:r>
          </w:p>
        </w:tc>
        <w:tc>
          <w:tcPr>
            <w:tcW w:w="0" w:type="auto"/>
            <w:noWrap/>
            <w:vAlign w:val="center"/>
          </w:tcPr>
          <w:p>
            <w:pPr>
              <w:widowControl/>
              <w:spacing w:line="240" w:lineRule="auto"/>
              <w:ind w:firstLine="0" w:firstLineChars="0"/>
              <w:jc w:val="center"/>
            </w:pPr>
            <w:r>
              <w:rPr>
                <w:rFonts w:hint="eastAsia"/>
              </w:rPr>
              <w:t>负责项目具体开发</w:t>
            </w:r>
          </w:p>
        </w:tc>
        <w:tc>
          <w:tcPr>
            <w:tcW w:w="0" w:type="auto"/>
            <w:noWrap/>
            <w:vAlign w:val="center"/>
          </w:tcPr>
          <w:p>
            <w:pPr>
              <w:widowControl/>
              <w:spacing w:line="240" w:lineRule="auto"/>
              <w:ind w:firstLine="0" w:firstLineChars="0"/>
              <w:jc w:val="center"/>
            </w:pPr>
            <w:r>
              <w:rPr>
                <w:rFonts w:hint="eastAsia"/>
              </w:rPr>
              <w:t>8人</w:t>
            </w:r>
          </w:p>
        </w:tc>
        <w:tc>
          <w:tcPr>
            <w:tcW w:w="0" w:type="auto"/>
            <w:vAlign w:val="center"/>
          </w:tcPr>
          <w:p>
            <w:pPr>
              <w:widowControl/>
              <w:spacing w:line="240" w:lineRule="auto"/>
              <w:ind w:firstLine="0" w:firstLineChars="0"/>
              <w:jc w:val="center"/>
            </w:pPr>
            <w:r>
              <w:rPr>
                <w:rFonts w:hint="eastAsia"/>
              </w:rPr>
              <w:t>本科以上学历，</w:t>
            </w:r>
            <w:r>
              <w:t>2年以上软件开发/实施/服务经验</w:t>
            </w:r>
          </w:p>
        </w:tc>
        <w:tc>
          <w:tcPr>
            <w:tcW w:w="0" w:type="auto"/>
            <w:noWrap/>
            <w:vAlign w:val="center"/>
          </w:tcPr>
          <w:p>
            <w:pPr>
              <w:widowControl/>
              <w:spacing w:line="240" w:lineRule="auto"/>
              <w:ind w:firstLine="0" w:firstLineChars="0"/>
              <w:jc w:val="center"/>
            </w:pPr>
            <w:r>
              <w:rPr>
                <w:rFonts w:hint="eastAsia"/>
              </w:rPr>
              <w:t>至少4人驻场</w:t>
            </w:r>
          </w:p>
        </w:tc>
      </w:tr>
    </w:tbl>
    <w:p/>
    <w:p>
      <w:r>
        <w:t>2）投标人应针对本项目提供不少于</w:t>
      </w:r>
      <w:r>
        <w:rPr>
          <w:rFonts w:hint="eastAsia"/>
        </w:rPr>
        <w:t>4</w:t>
      </w:r>
      <w:r>
        <w:t>人的质保期间支撑团队（其中技术经理1人，产品经理1人，技术工程师不少于</w:t>
      </w:r>
      <w:r>
        <w:rPr>
          <w:rFonts w:hint="eastAsia"/>
        </w:rPr>
        <w:t>2</w:t>
      </w:r>
      <w:r>
        <w:t>人）；投标人的相关服务人员需具备相应的服务能力，需提供相关证明（最近一个季度依法缴纳社保费的证明）。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97"/>
        <w:gridCol w:w="1180"/>
        <w:gridCol w:w="1779"/>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0" w:type="auto"/>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项目经理</w:t>
            </w:r>
          </w:p>
        </w:tc>
        <w:tc>
          <w:tcPr>
            <w:tcW w:w="0" w:type="auto"/>
            <w:vAlign w:val="center"/>
          </w:tcPr>
          <w:p>
            <w:pPr>
              <w:widowControl/>
              <w:spacing w:line="240" w:lineRule="auto"/>
              <w:ind w:firstLine="0" w:firstLineChars="0"/>
              <w:jc w:val="center"/>
            </w:pPr>
            <w:r>
              <w:rPr>
                <w:rFonts w:hint="eastAsia"/>
              </w:rPr>
              <w:t>负责项目质量和进度控制</w:t>
            </w:r>
          </w:p>
        </w:tc>
        <w:tc>
          <w:tcPr>
            <w:tcW w:w="0" w:type="auto"/>
            <w:noWrap/>
            <w:vAlign w:val="center"/>
          </w:tcPr>
          <w:p>
            <w:pPr>
              <w:widowControl/>
              <w:spacing w:line="240" w:lineRule="auto"/>
              <w:ind w:firstLine="0" w:firstLineChars="0"/>
              <w:jc w:val="center"/>
            </w:pPr>
            <w:r>
              <w:t>1</w:t>
            </w:r>
            <w:r>
              <w:rPr>
                <w:rFonts w:hint="eastAsia"/>
              </w:rPr>
              <w:t>人</w:t>
            </w:r>
          </w:p>
        </w:tc>
        <w:tc>
          <w:tcPr>
            <w:tcW w:w="0" w:type="auto"/>
            <w:vAlign w:val="center"/>
          </w:tcPr>
          <w:p>
            <w:pPr>
              <w:widowControl/>
              <w:spacing w:line="240" w:lineRule="auto"/>
              <w:ind w:firstLine="0" w:firstLineChars="0"/>
              <w:jc w:val="center"/>
            </w:pPr>
            <w:r>
              <w:rPr>
                <w:rFonts w:hint="eastAsia"/>
              </w:rPr>
              <w:t>本科以上学历，具备项目经理资质证书</w:t>
            </w:r>
          </w:p>
        </w:tc>
        <w:tc>
          <w:tcPr>
            <w:tcW w:w="0" w:type="auto"/>
            <w:noWrap/>
            <w:vAlign w:val="center"/>
          </w:tcPr>
          <w:p>
            <w:pPr>
              <w:widowControl/>
              <w:spacing w:line="240" w:lineRule="auto"/>
              <w:ind w:firstLine="0" w:firstLineChars="0"/>
              <w:jc w:val="center"/>
            </w:pPr>
            <w:r>
              <w:rPr>
                <w:rFonts w:hint="eastAsia"/>
                <w:color w:val="000000"/>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产品经理</w:t>
            </w:r>
          </w:p>
        </w:tc>
        <w:tc>
          <w:tcPr>
            <w:tcW w:w="0" w:type="auto"/>
            <w:vAlign w:val="center"/>
          </w:tcPr>
          <w:p>
            <w:pPr>
              <w:widowControl/>
              <w:spacing w:line="240" w:lineRule="auto"/>
              <w:ind w:firstLine="0" w:firstLineChars="0"/>
              <w:jc w:val="center"/>
            </w:pPr>
            <w:r>
              <w:rPr>
                <w:rFonts w:hint="eastAsia"/>
              </w:rPr>
              <w:t>负责项目需求评估与产品设计</w:t>
            </w:r>
          </w:p>
        </w:tc>
        <w:tc>
          <w:tcPr>
            <w:tcW w:w="0" w:type="auto"/>
            <w:noWrap/>
            <w:vAlign w:val="center"/>
          </w:tcPr>
          <w:p>
            <w:pPr>
              <w:widowControl/>
              <w:spacing w:line="240" w:lineRule="auto"/>
              <w:ind w:firstLine="0" w:firstLineChars="0"/>
              <w:jc w:val="center"/>
            </w:pPr>
            <w:r>
              <w:t>1</w:t>
            </w:r>
            <w:r>
              <w:rPr>
                <w:rFonts w:hint="eastAsia"/>
              </w:rPr>
              <w:t>人</w:t>
            </w:r>
          </w:p>
        </w:tc>
        <w:tc>
          <w:tcPr>
            <w:tcW w:w="0" w:type="auto"/>
            <w:vAlign w:val="center"/>
          </w:tcPr>
          <w:p>
            <w:pPr>
              <w:widowControl/>
              <w:spacing w:line="240" w:lineRule="auto"/>
              <w:ind w:firstLine="0" w:firstLineChars="0"/>
              <w:jc w:val="center"/>
            </w:pPr>
            <w:r>
              <w:rPr>
                <w:rFonts w:hint="eastAsia"/>
              </w:rPr>
              <w:t>本科以上学历</w:t>
            </w:r>
          </w:p>
        </w:tc>
        <w:tc>
          <w:tcPr>
            <w:tcW w:w="0" w:type="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技术工程师</w:t>
            </w:r>
          </w:p>
        </w:tc>
        <w:tc>
          <w:tcPr>
            <w:tcW w:w="0" w:type="auto"/>
            <w:noWrap/>
            <w:vAlign w:val="center"/>
          </w:tcPr>
          <w:p>
            <w:pPr>
              <w:widowControl/>
              <w:spacing w:line="240" w:lineRule="auto"/>
              <w:ind w:firstLine="0" w:firstLineChars="0"/>
              <w:jc w:val="center"/>
            </w:pPr>
            <w:r>
              <w:rPr>
                <w:rFonts w:hint="eastAsia"/>
              </w:rPr>
              <w:t>负责项目运行维护</w:t>
            </w:r>
          </w:p>
        </w:tc>
        <w:tc>
          <w:tcPr>
            <w:tcW w:w="0" w:type="auto"/>
            <w:noWrap/>
            <w:vAlign w:val="center"/>
          </w:tcPr>
          <w:p>
            <w:pPr>
              <w:widowControl/>
              <w:spacing w:line="240" w:lineRule="auto"/>
              <w:ind w:firstLine="0" w:firstLineChars="0"/>
              <w:jc w:val="center"/>
            </w:pPr>
            <w:r>
              <w:rPr>
                <w:rFonts w:hint="eastAsia"/>
              </w:rPr>
              <w:t>2人</w:t>
            </w:r>
          </w:p>
        </w:tc>
        <w:tc>
          <w:tcPr>
            <w:tcW w:w="0" w:type="auto"/>
            <w:vAlign w:val="center"/>
          </w:tcPr>
          <w:p>
            <w:pPr>
              <w:widowControl/>
              <w:spacing w:line="240" w:lineRule="auto"/>
              <w:ind w:firstLine="0" w:firstLineChars="0"/>
              <w:jc w:val="center"/>
            </w:pPr>
            <w:r>
              <w:rPr>
                <w:rFonts w:hint="eastAsia"/>
              </w:rPr>
              <w:t>本科以上学历</w:t>
            </w:r>
          </w:p>
        </w:tc>
        <w:tc>
          <w:tcPr>
            <w:tcW w:w="0" w:type="auto"/>
            <w:noWrap/>
            <w:vAlign w:val="center"/>
          </w:tcPr>
          <w:p>
            <w:pPr>
              <w:widowControl/>
              <w:spacing w:line="240" w:lineRule="auto"/>
              <w:ind w:firstLine="0" w:firstLineChars="0"/>
              <w:jc w:val="center"/>
            </w:pPr>
            <w:r>
              <w:rPr>
                <w:rFonts w:hint="eastAsia"/>
              </w:rPr>
              <w:t>至少2人驻场</w:t>
            </w:r>
          </w:p>
        </w:tc>
      </w:tr>
    </w:tbl>
    <w:p>
      <w:pPr>
        <w:widowControl/>
        <w:spacing w:line="240" w:lineRule="auto"/>
        <w:jc w:val="both"/>
        <w:rPr>
          <w:rFonts w:hint="eastAsia" w:eastAsia="宋体"/>
          <w:lang w:eastAsia="zh-CN"/>
        </w:rPr>
      </w:pPr>
      <w:bookmarkStart w:id="24" w:name="_Toc63785511"/>
      <w:r>
        <w:rPr>
          <w:rFonts w:hint="eastAsia"/>
        </w:rPr>
        <w:t>投标人具备CCRC 信息安全服务资质认证证书的</w:t>
      </w:r>
      <w:r>
        <w:rPr>
          <w:rFonts w:hint="eastAsia"/>
          <w:lang w:eastAsia="zh-CN"/>
        </w:rPr>
        <w:t>优先</w:t>
      </w:r>
    </w:p>
    <w:p>
      <w:pPr>
        <w:pStyle w:val="3"/>
      </w:pPr>
      <w:r>
        <w:t>等级保护要求</w:t>
      </w:r>
      <w:bookmarkEnd w:id="24"/>
    </w:p>
    <w:p>
      <w:r>
        <w:rPr>
          <w:rFonts w:hint="eastAsia"/>
        </w:rPr>
        <w:t>本项目等级保护要求：参照等保三级要求建设。</w:t>
      </w:r>
    </w:p>
    <w:p>
      <w:pPr>
        <w:pStyle w:val="3"/>
      </w:pPr>
      <w:r>
        <w:rPr>
          <w:rFonts w:hint="eastAsia"/>
        </w:rPr>
        <w:t>商业密码应用需求</w:t>
      </w:r>
    </w:p>
    <w:p>
      <w:r>
        <w:rPr>
          <w:rFonts w:hint="eastAsia"/>
        </w:rPr>
        <w:t>依据</w:t>
      </w:r>
      <w:r>
        <w:t>GB/T39786—2021《信息安全技术信息系统密码应用基本要求》，结合本系统风险控制需求分析结果，本系统的主要密码应用需求包括。</w:t>
      </w:r>
    </w:p>
    <w:tbl>
      <w:tblPr>
        <w:tblStyle w:val="35"/>
        <w:tblW w:w="5000" w:type="pct"/>
        <w:jc w:val="center"/>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900"/>
        <w:gridCol w:w="3225"/>
        <w:gridCol w:w="1921"/>
      </w:tblGrid>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69" w:type="pct"/>
            <w:shd w:val="clear" w:color="auto" w:fill="D9D9D9"/>
            <w:vAlign w:val="center"/>
          </w:tcPr>
          <w:p>
            <w:pPr>
              <w:widowControl/>
              <w:ind w:firstLine="0" w:firstLineChars="0"/>
              <w:jc w:val="center"/>
              <w:rPr>
                <w:b/>
                <w:bCs/>
                <w:kern w:val="0"/>
                <w:sz w:val="18"/>
                <w:szCs w:val="18"/>
              </w:rPr>
            </w:pPr>
            <w:r>
              <w:rPr>
                <w:b/>
                <w:bCs/>
                <w:kern w:val="0"/>
                <w:sz w:val="18"/>
                <w:szCs w:val="18"/>
              </w:rPr>
              <w:t>指标要求</w:t>
            </w:r>
          </w:p>
        </w:tc>
        <w:tc>
          <w:tcPr>
            <w:tcW w:w="1114" w:type="pct"/>
            <w:shd w:val="clear" w:color="auto" w:fill="D9D9D9"/>
            <w:vAlign w:val="center"/>
          </w:tcPr>
          <w:p>
            <w:pPr>
              <w:widowControl/>
              <w:ind w:firstLine="0" w:firstLineChars="0"/>
              <w:jc w:val="center"/>
              <w:rPr>
                <w:b/>
                <w:bCs/>
                <w:kern w:val="0"/>
                <w:sz w:val="18"/>
                <w:szCs w:val="18"/>
              </w:rPr>
            </w:pPr>
            <w:r>
              <w:rPr>
                <w:b/>
                <w:bCs/>
                <w:kern w:val="0"/>
                <w:sz w:val="18"/>
                <w:szCs w:val="18"/>
              </w:rPr>
              <w:t>密码技术应用点</w:t>
            </w:r>
          </w:p>
        </w:tc>
        <w:tc>
          <w:tcPr>
            <w:tcW w:w="1891" w:type="pct"/>
            <w:shd w:val="clear" w:color="auto" w:fill="D9D9D9"/>
            <w:vAlign w:val="center"/>
          </w:tcPr>
          <w:p>
            <w:pPr>
              <w:widowControl/>
              <w:ind w:firstLine="0" w:firstLineChars="0"/>
              <w:jc w:val="center"/>
              <w:rPr>
                <w:b/>
                <w:bCs/>
                <w:kern w:val="0"/>
                <w:sz w:val="18"/>
                <w:szCs w:val="18"/>
              </w:rPr>
            </w:pPr>
            <w:r>
              <w:rPr>
                <w:rFonts w:hint="eastAsia"/>
                <w:b/>
                <w:bCs/>
                <w:kern w:val="0"/>
                <w:sz w:val="18"/>
                <w:szCs w:val="18"/>
              </w:rPr>
              <w:t>密码应用需求</w:t>
            </w:r>
          </w:p>
        </w:tc>
        <w:tc>
          <w:tcPr>
            <w:tcW w:w="1126" w:type="pct"/>
            <w:shd w:val="clear" w:color="auto" w:fill="D9D9D9"/>
            <w:vAlign w:val="center"/>
          </w:tcPr>
          <w:p>
            <w:pPr>
              <w:widowControl/>
              <w:ind w:firstLine="0" w:firstLineChars="0"/>
              <w:jc w:val="center"/>
              <w:rPr>
                <w:b/>
                <w:bCs/>
                <w:kern w:val="0"/>
                <w:sz w:val="18"/>
                <w:szCs w:val="18"/>
              </w:rPr>
            </w:pPr>
            <w:r>
              <w:rPr>
                <w:b/>
                <w:bCs/>
                <w:kern w:val="0"/>
                <w:sz w:val="18"/>
                <w:szCs w:val="18"/>
              </w:rPr>
              <w:t>说明</w:t>
            </w: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pPr>
              <w:widowControl/>
              <w:ind w:firstLine="0" w:firstLineChars="0"/>
              <w:jc w:val="center"/>
              <w:rPr>
                <w:kern w:val="0"/>
                <w:sz w:val="18"/>
                <w:szCs w:val="18"/>
              </w:rPr>
            </w:pPr>
            <w:r>
              <w:rPr>
                <w:kern w:val="0"/>
                <w:sz w:val="18"/>
                <w:szCs w:val="18"/>
              </w:rPr>
              <w:t>物理和环境安全</w:t>
            </w:r>
          </w:p>
        </w:tc>
        <w:tc>
          <w:tcPr>
            <w:tcW w:w="1114" w:type="pct"/>
            <w:vAlign w:val="center"/>
          </w:tcPr>
          <w:p>
            <w:pPr>
              <w:pStyle w:val="115"/>
              <w:ind w:firstLine="0" w:firstLineChars="0"/>
              <w:rPr>
                <w:rFonts w:hAnsi="宋体"/>
                <w:sz w:val="18"/>
                <w:szCs w:val="18"/>
              </w:rPr>
            </w:pPr>
            <w:r>
              <w:rPr>
                <w:rFonts w:hint="eastAsia" w:hAnsi="宋体"/>
                <w:sz w:val="18"/>
                <w:szCs w:val="18"/>
              </w:rPr>
              <w:t>身份鉴别</w:t>
            </w:r>
          </w:p>
        </w:tc>
        <w:tc>
          <w:tcPr>
            <w:tcW w:w="1891" w:type="pct"/>
            <w:vMerge w:val="restart"/>
            <w:vAlign w:val="center"/>
          </w:tcPr>
          <w:p>
            <w:pPr>
              <w:widowControl/>
              <w:ind w:firstLine="0" w:firstLineChars="0"/>
              <w:jc w:val="center"/>
              <w:rPr>
                <w:kern w:val="0"/>
                <w:sz w:val="18"/>
                <w:szCs w:val="18"/>
              </w:rPr>
            </w:pPr>
            <w:r>
              <w:rPr>
                <w:rFonts w:hint="eastAsia"/>
                <w:kern w:val="0"/>
                <w:sz w:val="18"/>
                <w:szCs w:val="18"/>
              </w:rPr>
              <w:t>系统的物理和环境安全由云平台提供安全保障，不适用。</w:t>
            </w:r>
          </w:p>
        </w:tc>
        <w:tc>
          <w:tcPr>
            <w:tcW w:w="1126" w:type="pct"/>
            <w:vMerge w:val="restart"/>
            <w:vAlign w:val="center"/>
          </w:tcPr>
          <w:p>
            <w:pPr>
              <w:widowControl/>
              <w:ind w:firstLine="0" w:firstLineChars="0"/>
              <w:jc w:val="center"/>
              <w:rPr>
                <w:kern w:val="0"/>
                <w:sz w:val="18"/>
                <w:szCs w:val="18"/>
              </w:rPr>
            </w:pPr>
            <w:r>
              <w:rPr>
                <w:rFonts w:hint="eastAsia"/>
                <w:kern w:val="0"/>
                <w:sz w:val="18"/>
                <w:szCs w:val="18"/>
              </w:rPr>
              <w:t>云平台通过密评，已被完全评估</w:t>
            </w: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电子门禁记录数据完整性</w:t>
            </w:r>
          </w:p>
        </w:tc>
        <w:tc>
          <w:tcPr>
            <w:tcW w:w="1891" w:type="pct"/>
            <w:vMerge w:val="continue"/>
            <w:vAlign w:val="center"/>
          </w:tcPr>
          <w:p>
            <w:pPr>
              <w:ind w:firstLine="0" w:firstLineChars="0"/>
              <w:jc w:val="center"/>
              <w:rPr>
                <w:kern w:val="0"/>
                <w:sz w:val="18"/>
                <w:szCs w:val="18"/>
              </w:rPr>
            </w:pPr>
          </w:p>
        </w:tc>
        <w:tc>
          <w:tcPr>
            <w:tcW w:w="1126" w:type="pct"/>
            <w:vMerge w:val="continue"/>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视频监控记录数据完整性</w:t>
            </w:r>
          </w:p>
        </w:tc>
        <w:tc>
          <w:tcPr>
            <w:tcW w:w="1891" w:type="pct"/>
            <w:vMerge w:val="continue"/>
            <w:vAlign w:val="center"/>
          </w:tcPr>
          <w:p>
            <w:pPr>
              <w:widowControl/>
              <w:ind w:firstLine="0" w:firstLineChars="0"/>
              <w:jc w:val="center"/>
              <w:rPr>
                <w:kern w:val="0"/>
                <w:sz w:val="18"/>
                <w:szCs w:val="18"/>
              </w:rPr>
            </w:pPr>
          </w:p>
        </w:tc>
        <w:tc>
          <w:tcPr>
            <w:tcW w:w="1126" w:type="pct"/>
            <w:vMerge w:val="continue"/>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密码服务</w:t>
            </w:r>
          </w:p>
        </w:tc>
        <w:tc>
          <w:tcPr>
            <w:tcW w:w="1891" w:type="pct"/>
            <w:vMerge w:val="continue"/>
            <w:vAlign w:val="center"/>
          </w:tcPr>
          <w:p>
            <w:pPr>
              <w:widowControl/>
              <w:ind w:firstLine="0" w:firstLineChars="0"/>
              <w:jc w:val="center"/>
              <w:rPr>
                <w:kern w:val="0"/>
                <w:sz w:val="18"/>
                <w:szCs w:val="18"/>
              </w:rPr>
            </w:pPr>
          </w:p>
        </w:tc>
        <w:tc>
          <w:tcPr>
            <w:tcW w:w="1126" w:type="pct"/>
            <w:vMerge w:val="continue"/>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密码产品</w:t>
            </w:r>
          </w:p>
        </w:tc>
        <w:tc>
          <w:tcPr>
            <w:tcW w:w="1891" w:type="pct"/>
            <w:vMerge w:val="continue"/>
            <w:vAlign w:val="center"/>
          </w:tcPr>
          <w:p>
            <w:pPr>
              <w:widowControl/>
              <w:ind w:firstLine="0" w:firstLineChars="0"/>
              <w:jc w:val="center"/>
              <w:rPr>
                <w:kern w:val="0"/>
                <w:sz w:val="18"/>
                <w:szCs w:val="18"/>
              </w:rPr>
            </w:pPr>
          </w:p>
        </w:tc>
        <w:tc>
          <w:tcPr>
            <w:tcW w:w="1126" w:type="pct"/>
            <w:vMerge w:val="continue"/>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pPr>
              <w:widowControl/>
              <w:ind w:firstLine="0" w:firstLineChars="0"/>
              <w:jc w:val="center"/>
              <w:rPr>
                <w:kern w:val="0"/>
                <w:sz w:val="18"/>
                <w:szCs w:val="18"/>
              </w:rPr>
            </w:pPr>
            <w:r>
              <w:rPr>
                <w:kern w:val="0"/>
                <w:sz w:val="18"/>
                <w:szCs w:val="18"/>
              </w:rPr>
              <w:t>网络和通信安全</w:t>
            </w:r>
          </w:p>
        </w:tc>
        <w:tc>
          <w:tcPr>
            <w:tcW w:w="1114" w:type="pct"/>
            <w:vMerge w:val="restart"/>
            <w:vAlign w:val="center"/>
          </w:tcPr>
          <w:p>
            <w:pPr>
              <w:pStyle w:val="115"/>
              <w:ind w:firstLine="0" w:firstLineChars="0"/>
              <w:rPr>
                <w:rFonts w:hAnsi="宋体"/>
                <w:sz w:val="18"/>
                <w:szCs w:val="18"/>
              </w:rPr>
            </w:pPr>
            <w:r>
              <w:rPr>
                <w:rFonts w:hint="eastAsia" w:hAnsi="宋体"/>
                <w:sz w:val="18"/>
                <w:szCs w:val="18"/>
              </w:rPr>
              <w:t>身份鉴别</w:t>
            </w:r>
          </w:p>
        </w:tc>
        <w:tc>
          <w:tcPr>
            <w:tcW w:w="1891" w:type="pct"/>
            <w:vAlign w:val="center"/>
          </w:tcPr>
          <w:p>
            <w:pPr>
              <w:widowControl/>
              <w:ind w:firstLine="0" w:firstLineChars="0"/>
              <w:jc w:val="center"/>
              <w:rPr>
                <w:kern w:val="0"/>
                <w:sz w:val="18"/>
                <w:szCs w:val="18"/>
              </w:rPr>
            </w:pPr>
            <w:r>
              <w:rPr>
                <w:rFonts w:hint="eastAsia"/>
                <w:kern w:val="0"/>
                <w:sz w:val="18"/>
                <w:szCs w:val="18"/>
              </w:rPr>
              <w:t>确保PC终端和服务端通信实体身份的真实性，防止与假冒实体进行通信</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center"/>
              <w:rPr>
                <w:kern w:val="0"/>
                <w:sz w:val="18"/>
                <w:szCs w:val="18"/>
              </w:rPr>
            </w:pPr>
          </w:p>
        </w:tc>
        <w:tc>
          <w:tcPr>
            <w:tcW w:w="1114" w:type="pct"/>
            <w:vMerge w:val="continue"/>
            <w:vAlign w:val="center"/>
          </w:tcPr>
          <w:p>
            <w:pPr>
              <w:pStyle w:val="115"/>
              <w:ind w:firstLine="0" w:firstLineChars="0"/>
              <w:rPr>
                <w:rFonts w:hAnsi="宋体"/>
                <w:sz w:val="18"/>
                <w:szCs w:val="18"/>
              </w:rPr>
            </w:pPr>
          </w:p>
        </w:tc>
        <w:tc>
          <w:tcPr>
            <w:tcW w:w="1891" w:type="pct"/>
            <w:vAlign w:val="center"/>
          </w:tcPr>
          <w:p>
            <w:pPr>
              <w:widowControl/>
              <w:ind w:firstLine="0" w:firstLineChars="0"/>
              <w:jc w:val="center"/>
              <w:rPr>
                <w:kern w:val="0"/>
                <w:sz w:val="18"/>
                <w:szCs w:val="18"/>
              </w:rPr>
            </w:pPr>
            <w:r>
              <w:rPr>
                <w:rFonts w:hint="eastAsia"/>
                <w:kern w:val="0"/>
                <w:sz w:val="18"/>
                <w:szCs w:val="18"/>
              </w:rPr>
              <w:t>管理端的身份鉴别由云平台提供安全保障。</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Merge w:val="restart"/>
            <w:vAlign w:val="center"/>
          </w:tcPr>
          <w:p>
            <w:pPr>
              <w:pStyle w:val="115"/>
              <w:ind w:firstLine="0" w:firstLineChars="0"/>
              <w:rPr>
                <w:rFonts w:hAnsi="宋体"/>
                <w:sz w:val="18"/>
                <w:szCs w:val="18"/>
              </w:rPr>
            </w:pPr>
            <w:r>
              <w:rPr>
                <w:rFonts w:hint="eastAsia" w:hAnsi="宋体"/>
                <w:sz w:val="18"/>
                <w:szCs w:val="18"/>
              </w:rPr>
              <w:t>通信数据完整性</w:t>
            </w:r>
          </w:p>
        </w:tc>
        <w:tc>
          <w:tcPr>
            <w:tcW w:w="1891" w:type="pct"/>
            <w:vAlign w:val="center"/>
          </w:tcPr>
          <w:p>
            <w:pPr>
              <w:widowControl/>
              <w:ind w:firstLine="0" w:firstLineChars="0"/>
              <w:jc w:val="center"/>
              <w:rPr>
                <w:kern w:val="0"/>
                <w:sz w:val="18"/>
                <w:szCs w:val="18"/>
              </w:rPr>
            </w:pPr>
            <w:r>
              <w:rPr>
                <w:rFonts w:hint="eastAsia"/>
                <w:kern w:val="0"/>
                <w:sz w:val="18"/>
                <w:szCs w:val="18"/>
              </w:rPr>
              <w:t>保护终端和服务端通信过程中业务数据的完整性，防止数据被非授权篡改</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Merge w:val="continue"/>
            <w:vAlign w:val="center"/>
          </w:tcPr>
          <w:p>
            <w:pPr>
              <w:pStyle w:val="115"/>
              <w:ind w:firstLine="0" w:firstLineChars="0"/>
              <w:rPr>
                <w:rFonts w:hAnsi="宋体"/>
                <w:sz w:val="18"/>
                <w:szCs w:val="18"/>
              </w:rPr>
            </w:pPr>
          </w:p>
        </w:tc>
        <w:tc>
          <w:tcPr>
            <w:tcW w:w="1891" w:type="pct"/>
            <w:vAlign w:val="center"/>
          </w:tcPr>
          <w:p>
            <w:pPr>
              <w:widowControl/>
              <w:ind w:firstLine="0" w:firstLineChars="0"/>
              <w:jc w:val="center"/>
              <w:rPr>
                <w:kern w:val="0"/>
                <w:sz w:val="18"/>
                <w:szCs w:val="18"/>
              </w:rPr>
            </w:pPr>
            <w:r>
              <w:rPr>
                <w:rFonts w:hint="eastAsia"/>
                <w:kern w:val="0"/>
                <w:sz w:val="18"/>
                <w:szCs w:val="18"/>
              </w:rPr>
              <w:t>管理端进行远程运维管理时的运维通信数据完整性由云平台提供安全保障</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Merge w:val="restart"/>
            <w:vAlign w:val="center"/>
          </w:tcPr>
          <w:p>
            <w:pPr>
              <w:pStyle w:val="115"/>
              <w:ind w:firstLine="0" w:firstLineChars="0"/>
              <w:rPr>
                <w:rFonts w:hAnsi="宋体"/>
                <w:sz w:val="18"/>
                <w:szCs w:val="18"/>
              </w:rPr>
            </w:pPr>
            <w:r>
              <w:rPr>
                <w:rFonts w:hint="eastAsia" w:hAnsi="宋体"/>
                <w:sz w:val="18"/>
                <w:szCs w:val="18"/>
              </w:rPr>
              <w:t>通信过程中重要数据的机密性</w:t>
            </w:r>
          </w:p>
        </w:tc>
        <w:tc>
          <w:tcPr>
            <w:tcW w:w="1891" w:type="pct"/>
            <w:vAlign w:val="center"/>
          </w:tcPr>
          <w:p>
            <w:pPr>
              <w:widowControl/>
              <w:ind w:firstLine="0" w:firstLineChars="0"/>
              <w:jc w:val="center"/>
              <w:rPr>
                <w:kern w:val="0"/>
                <w:sz w:val="18"/>
                <w:szCs w:val="18"/>
              </w:rPr>
            </w:pPr>
            <w:r>
              <w:rPr>
                <w:rFonts w:hint="eastAsia"/>
                <w:kern w:val="0"/>
                <w:sz w:val="18"/>
                <w:szCs w:val="18"/>
              </w:rPr>
              <w:t>保护PC终端和服务端通信过程中业务数据的机密性，防止重要数据泄露。</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Merge w:val="continue"/>
            <w:vAlign w:val="center"/>
          </w:tcPr>
          <w:p>
            <w:pPr>
              <w:pStyle w:val="115"/>
              <w:ind w:firstLine="0" w:firstLineChars="0"/>
              <w:rPr>
                <w:rFonts w:hAnsi="宋体"/>
                <w:sz w:val="18"/>
                <w:szCs w:val="18"/>
              </w:rPr>
            </w:pPr>
          </w:p>
        </w:tc>
        <w:tc>
          <w:tcPr>
            <w:tcW w:w="1891" w:type="pct"/>
            <w:vAlign w:val="center"/>
          </w:tcPr>
          <w:p>
            <w:pPr>
              <w:widowControl/>
              <w:ind w:firstLine="0" w:firstLineChars="0"/>
              <w:jc w:val="center"/>
              <w:rPr>
                <w:kern w:val="0"/>
                <w:sz w:val="18"/>
                <w:szCs w:val="18"/>
              </w:rPr>
            </w:pPr>
            <w:r>
              <w:rPr>
                <w:rFonts w:hint="eastAsia"/>
                <w:kern w:val="0"/>
                <w:sz w:val="18"/>
                <w:szCs w:val="18"/>
              </w:rPr>
              <w:t>管理端进行远程运维管理时的运维通信数据机密性由云平台提供安全保障</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网络边界访问控制信息的完整性</w:t>
            </w:r>
          </w:p>
        </w:tc>
        <w:tc>
          <w:tcPr>
            <w:tcW w:w="1891" w:type="pct"/>
            <w:vAlign w:val="center"/>
          </w:tcPr>
          <w:p>
            <w:pPr>
              <w:widowControl/>
              <w:ind w:firstLine="0" w:firstLineChars="0"/>
              <w:jc w:val="center"/>
              <w:rPr>
                <w:kern w:val="0"/>
                <w:sz w:val="18"/>
                <w:szCs w:val="18"/>
              </w:rPr>
            </w:pPr>
            <w:r>
              <w:rPr>
                <w:rFonts w:hint="eastAsia"/>
                <w:kern w:val="0"/>
                <w:sz w:val="18"/>
                <w:szCs w:val="18"/>
              </w:rPr>
              <w:t>系统网络拓扑中不同区域网络边界需确保访问控制信息的完整性</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安全接入认证</w:t>
            </w:r>
          </w:p>
        </w:tc>
        <w:tc>
          <w:tcPr>
            <w:tcW w:w="1891" w:type="pct"/>
            <w:vAlign w:val="center"/>
          </w:tcPr>
          <w:p>
            <w:pPr>
              <w:widowControl/>
              <w:ind w:firstLine="0" w:firstLineChars="0"/>
              <w:jc w:val="center"/>
              <w:rPr>
                <w:kern w:val="0"/>
                <w:sz w:val="18"/>
                <w:szCs w:val="18"/>
              </w:rPr>
            </w:pPr>
            <w:r>
              <w:rPr>
                <w:rFonts w:hint="eastAsia"/>
                <w:kern w:val="0"/>
                <w:sz w:val="18"/>
                <w:szCs w:val="18"/>
              </w:rPr>
              <w:t>不适用</w:t>
            </w:r>
          </w:p>
        </w:tc>
        <w:tc>
          <w:tcPr>
            <w:tcW w:w="1126" w:type="pct"/>
            <w:vAlign w:val="center"/>
          </w:tcPr>
          <w:p>
            <w:pPr>
              <w:widowControl/>
              <w:ind w:firstLine="0" w:firstLineChars="0"/>
              <w:jc w:val="center"/>
              <w:rPr>
                <w:kern w:val="0"/>
                <w:sz w:val="18"/>
                <w:szCs w:val="18"/>
              </w:rPr>
            </w:pPr>
            <w:r>
              <w:rPr>
                <w:rFonts w:hint="eastAsia"/>
                <w:kern w:val="0"/>
                <w:sz w:val="18"/>
                <w:szCs w:val="18"/>
              </w:rPr>
              <w:t>无外部接入设备</w:t>
            </w: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密码服务</w:t>
            </w:r>
          </w:p>
        </w:tc>
        <w:tc>
          <w:tcPr>
            <w:tcW w:w="1891" w:type="pct"/>
            <w:vAlign w:val="center"/>
          </w:tcPr>
          <w:p>
            <w:pPr>
              <w:widowControl/>
              <w:ind w:firstLine="0" w:firstLineChars="0"/>
              <w:jc w:val="center"/>
              <w:rPr>
                <w:kern w:val="0"/>
                <w:sz w:val="18"/>
                <w:szCs w:val="18"/>
              </w:rPr>
            </w:pPr>
            <w:r>
              <w:rPr>
                <w:rFonts w:hint="eastAsia"/>
                <w:kern w:val="0"/>
                <w:sz w:val="18"/>
                <w:szCs w:val="18"/>
              </w:rPr>
              <w:t>采用的数字证书由具备资质的电子认证服务机构签发</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密码产品</w:t>
            </w:r>
          </w:p>
        </w:tc>
        <w:tc>
          <w:tcPr>
            <w:tcW w:w="1891" w:type="pct"/>
            <w:vAlign w:val="center"/>
          </w:tcPr>
          <w:p>
            <w:pPr>
              <w:widowControl/>
              <w:ind w:firstLine="0" w:firstLineChars="0"/>
              <w:jc w:val="center"/>
              <w:rPr>
                <w:kern w:val="0"/>
                <w:sz w:val="18"/>
                <w:szCs w:val="18"/>
              </w:rPr>
            </w:pPr>
            <w:r>
              <w:rPr>
                <w:rFonts w:hint="eastAsia"/>
                <w:kern w:val="0"/>
                <w:sz w:val="18"/>
                <w:szCs w:val="18"/>
              </w:rPr>
              <w:t>服务端相关的密码服务由云平台提供</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pPr>
              <w:widowControl/>
              <w:ind w:firstLine="0" w:firstLineChars="0"/>
              <w:jc w:val="center"/>
              <w:rPr>
                <w:kern w:val="0"/>
                <w:sz w:val="18"/>
                <w:szCs w:val="18"/>
              </w:rPr>
            </w:pPr>
            <w:r>
              <w:rPr>
                <w:kern w:val="0"/>
                <w:sz w:val="18"/>
                <w:szCs w:val="18"/>
              </w:rPr>
              <w:t>设备和计算安全</w:t>
            </w:r>
          </w:p>
        </w:tc>
        <w:tc>
          <w:tcPr>
            <w:tcW w:w="1114" w:type="pct"/>
            <w:vAlign w:val="center"/>
          </w:tcPr>
          <w:p>
            <w:pPr>
              <w:pStyle w:val="115"/>
              <w:ind w:firstLine="0" w:firstLineChars="0"/>
              <w:rPr>
                <w:rFonts w:hAnsi="宋体"/>
                <w:sz w:val="18"/>
                <w:szCs w:val="18"/>
              </w:rPr>
            </w:pPr>
            <w:r>
              <w:rPr>
                <w:rFonts w:hint="eastAsia" w:hAnsi="宋体"/>
                <w:sz w:val="18"/>
                <w:szCs w:val="18"/>
              </w:rPr>
              <w:t>身份鉴别</w:t>
            </w:r>
          </w:p>
        </w:tc>
        <w:tc>
          <w:tcPr>
            <w:tcW w:w="1891" w:type="pct"/>
            <w:vAlign w:val="center"/>
          </w:tcPr>
          <w:p>
            <w:pPr>
              <w:widowControl/>
              <w:ind w:firstLine="0" w:firstLineChars="0"/>
              <w:jc w:val="center"/>
              <w:rPr>
                <w:kern w:val="0"/>
                <w:sz w:val="18"/>
                <w:szCs w:val="18"/>
              </w:rPr>
            </w:pPr>
            <w:r>
              <w:rPr>
                <w:rFonts w:hint="eastAsia"/>
                <w:kern w:val="0"/>
                <w:sz w:val="18"/>
                <w:szCs w:val="18"/>
              </w:rPr>
              <w:t>对远程登录设备的用户身份真实性进行鉴别，防止假冒用户登录</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远程管理通道安全</w:t>
            </w:r>
          </w:p>
        </w:tc>
        <w:tc>
          <w:tcPr>
            <w:tcW w:w="1891" w:type="pct"/>
            <w:vAlign w:val="center"/>
          </w:tcPr>
          <w:p>
            <w:pPr>
              <w:widowControl/>
              <w:ind w:firstLine="0" w:firstLineChars="0"/>
              <w:jc w:val="center"/>
              <w:rPr>
                <w:kern w:val="0"/>
                <w:sz w:val="18"/>
                <w:szCs w:val="18"/>
              </w:rPr>
            </w:pPr>
            <w:r>
              <w:rPr>
                <w:rFonts w:hint="eastAsia"/>
                <w:kern w:val="0"/>
                <w:sz w:val="18"/>
                <w:szCs w:val="18"/>
              </w:rPr>
              <w:t>远程管理时保护管理员身份鉴别信息等重要数据被非法窃取或非法篡改</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系统资源访问控制信息完整性</w:t>
            </w:r>
          </w:p>
        </w:tc>
        <w:tc>
          <w:tcPr>
            <w:tcW w:w="1891" w:type="pct"/>
            <w:vAlign w:val="center"/>
          </w:tcPr>
          <w:p>
            <w:pPr>
              <w:widowControl/>
              <w:ind w:firstLine="0" w:firstLineChars="0"/>
              <w:jc w:val="center"/>
              <w:rPr>
                <w:kern w:val="0"/>
                <w:sz w:val="18"/>
                <w:szCs w:val="18"/>
              </w:rPr>
            </w:pPr>
            <w:r>
              <w:rPr>
                <w:rFonts w:hint="eastAsia"/>
                <w:kern w:val="0"/>
                <w:sz w:val="18"/>
                <w:szCs w:val="18"/>
              </w:rPr>
              <w:t>保护系统资源访问控制信息免受非法篡改</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重要信息资源安全标记的完整性</w:t>
            </w:r>
          </w:p>
        </w:tc>
        <w:tc>
          <w:tcPr>
            <w:tcW w:w="1891" w:type="pct"/>
            <w:vAlign w:val="center"/>
          </w:tcPr>
          <w:p>
            <w:pPr>
              <w:widowControl/>
              <w:ind w:firstLine="0" w:firstLineChars="0"/>
              <w:jc w:val="center"/>
              <w:rPr>
                <w:kern w:val="0"/>
                <w:sz w:val="18"/>
                <w:szCs w:val="18"/>
              </w:rPr>
            </w:pPr>
            <w:r>
              <w:rPr>
                <w:rFonts w:hint="eastAsia"/>
                <w:kern w:val="0"/>
                <w:sz w:val="18"/>
                <w:szCs w:val="18"/>
              </w:rPr>
              <w:t>不适用</w:t>
            </w:r>
          </w:p>
        </w:tc>
        <w:tc>
          <w:tcPr>
            <w:tcW w:w="1126" w:type="pct"/>
            <w:vAlign w:val="center"/>
          </w:tcPr>
          <w:p>
            <w:pPr>
              <w:widowControl/>
              <w:ind w:firstLine="0" w:firstLineChars="0"/>
              <w:jc w:val="center"/>
              <w:rPr>
                <w:kern w:val="0"/>
                <w:sz w:val="18"/>
                <w:szCs w:val="18"/>
              </w:rPr>
            </w:pPr>
            <w:r>
              <w:rPr>
                <w:rFonts w:hint="eastAsia"/>
                <w:kern w:val="0"/>
                <w:sz w:val="18"/>
                <w:szCs w:val="18"/>
              </w:rPr>
              <w:t>无重要信息资源安全标记</w:t>
            </w: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日志记录完整性</w:t>
            </w:r>
          </w:p>
        </w:tc>
        <w:tc>
          <w:tcPr>
            <w:tcW w:w="1891" w:type="pct"/>
            <w:vAlign w:val="center"/>
          </w:tcPr>
          <w:p>
            <w:pPr>
              <w:widowControl/>
              <w:ind w:firstLine="0" w:firstLineChars="0"/>
              <w:jc w:val="center"/>
              <w:rPr>
                <w:kern w:val="0"/>
                <w:sz w:val="18"/>
                <w:szCs w:val="18"/>
              </w:rPr>
            </w:pPr>
            <w:r>
              <w:rPr>
                <w:rFonts w:hint="eastAsia"/>
                <w:kern w:val="0"/>
                <w:sz w:val="18"/>
                <w:szCs w:val="18"/>
              </w:rPr>
              <w:t>保护重要日志记录信息免受非法篡改</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重要可执行程序完整性、重要可执行程序来源真实性</w:t>
            </w:r>
          </w:p>
        </w:tc>
        <w:tc>
          <w:tcPr>
            <w:tcW w:w="1891" w:type="pct"/>
            <w:vAlign w:val="center"/>
          </w:tcPr>
          <w:p>
            <w:pPr>
              <w:widowControl/>
              <w:ind w:firstLine="0" w:firstLineChars="0"/>
              <w:jc w:val="center"/>
              <w:rPr>
                <w:kern w:val="0"/>
                <w:sz w:val="18"/>
                <w:szCs w:val="18"/>
              </w:rPr>
            </w:pPr>
            <w:r>
              <w:rPr>
                <w:rFonts w:hint="eastAsia"/>
                <w:kern w:val="0"/>
                <w:sz w:val="18"/>
                <w:szCs w:val="18"/>
              </w:rPr>
              <w:t>保护重要可执行程序免受非法篡改</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密码服务</w:t>
            </w:r>
          </w:p>
        </w:tc>
        <w:tc>
          <w:tcPr>
            <w:tcW w:w="1891" w:type="pct"/>
            <w:vAlign w:val="center"/>
          </w:tcPr>
          <w:p>
            <w:pPr>
              <w:widowControl/>
              <w:ind w:firstLine="0" w:firstLineChars="0"/>
              <w:jc w:val="center"/>
              <w:rPr>
                <w:kern w:val="0"/>
                <w:sz w:val="18"/>
                <w:szCs w:val="18"/>
              </w:rPr>
            </w:pPr>
            <w:r>
              <w:rPr>
                <w:rFonts w:hint="eastAsia"/>
                <w:kern w:val="0"/>
                <w:sz w:val="18"/>
                <w:szCs w:val="18"/>
              </w:rPr>
              <w:t>采用的数字证书由具备资质的电子认证服务机构签发</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密码产品</w:t>
            </w:r>
          </w:p>
        </w:tc>
        <w:tc>
          <w:tcPr>
            <w:tcW w:w="1891" w:type="pct"/>
            <w:vAlign w:val="center"/>
          </w:tcPr>
          <w:p>
            <w:pPr>
              <w:widowControl/>
              <w:ind w:firstLine="0" w:firstLineChars="0"/>
              <w:jc w:val="center"/>
              <w:rPr>
                <w:kern w:val="0"/>
                <w:sz w:val="18"/>
                <w:szCs w:val="18"/>
              </w:rPr>
            </w:pPr>
            <w:r>
              <w:rPr>
                <w:rFonts w:hint="eastAsia"/>
                <w:kern w:val="0"/>
                <w:sz w:val="18"/>
                <w:szCs w:val="18"/>
              </w:rPr>
              <w:t>服务端相关的密码服务由云平台提供安全保障</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pPr>
              <w:widowControl/>
              <w:ind w:firstLine="0" w:firstLineChars="0"/>
              <w:jc w:val="center"/>
              <w:rPr>
                <w:kern w:val="0"/>
                <w:sz w:val="18"/>
                <w:szCs w:val="18"/>
              </w:rPr>
            </w:pPr>
            <w:r>
              <w:rPr>
                <w:kern w:val="0"/>
                <w:sz w:val="18"/>
                <w:szCs w:val="18"/>
              </w:rPr>
              <w:t>应用和数据安全</w:t>
            </w:r>
          </w:p>
        </w:tc>
        <w:tc>
          <w:tcPr>
            <w:tcW w:w="1114" w:type="pct"/>
            <w:vAlign w:val="center"/>
          </w:tcPr>
          <w:p>
            <w:pPr>
              <w:pStyle w:val="115"/>
              <w:ind w:firstLine="0" w:firstLineChars="0"/>
              <w:rPr>
                <w:rFonts w:hAnsi="宋体"/>
                <w:sz w:val="18"/>
                <w:szCs w:val="18"/>
              </w:rPr>
            </w:pPr>
            <w:r>
              <w:rPr>
                <w:rFonts w:hint="eastAsia" w:hAnsi="宋体"/>
                <w:sz w:val="18"/>
                <w:szCs w:val="18"/>
              </w:rPr>
              <w:t>身份鉴别</w:t>
            </w:r>
          </w:p>
        </w:tc>
        <w:tc>
          <w:tcPr>
            <w:tcW w:w="1891" w:type="pct"/>
            <w:vAlign w:val="center"/>
          </w:tcPr>
          <w:p>
            <w:pPr>
              <w:widowControl/>
              <w:ind w:firstLine="0" w:firstLineChars="0"/>
              <w:jc w:val="center"/>
              <w:rPr>
                <w:kern w:val="0"/>
                <w:sz w:val="18"/>
                <w:szCs w:val="18"/>
              </w:rPr>
            </w:pPr>
            <w:r>
              <w:rPr>
                <w:rFonts w:hint="eastAsia"/>
                <w:kern w:val="0"/>
                <w:sz w:val="18"/>
                <w:szCs w:val="18"/>
              </w:rPr>
              <w:t>保护执行关键操作或访问重要数据的用户身份真实性，防止假冒用户访问</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访问控制信息完整性</w:t>
            </w:r>
          </w:p>
        </w:tc>
        <w:tc>
          <w:tcPr>
            <w:tcW w:w="1891" w:type="pct"/>
            <w:vAlign w:val="center"/>
          </w:tcPr>
          <w:p>
            <w:pPr>
              <w:widowControl/>
              <w:ind w:firstLine="0" w:firstLineChars="0"/>
              <w:jc w:val="center"/>
              <w:rPr>
                <w:kern w:val="0"/>
                <w:sz w:val="18"/>
                <w:szCs w:val="18"/>
              </w:rPr>
            </w:pPr>
            <w:r>
              <w:rPr>
                <w:rFonts w:hint="eastAsia"/>
                <w:kern w:val="0"/>
                <w:sz w:val="18"/>
                <w:szCs w:val="18"/>
              </w:rPr>
              <w:t>保护应用系统的访问控制信息免受非法篡改</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重要信息资源安全标记完整性</w:t>
            </w:r>
          </w:p>
        </w:tc>
        <w:tc>
          <w:tcPr>
            <w:tcW w:w="1891" w:type="pct"/>
            <w:vAlign w:val="center"/>
          </w:tcPr>
          <w:p>
            <w:pPr>
              <w:widowControl/>
              <w:ind w:firstLine="0" w:firstLineChars="0"/>
              <w:jc w:val="center"/>
              <w:rPr>
                <w:kern w:val="0"/>
                <w:sz w:val="18"/>
                <w:szCs w:val="18"/>
              </w:rPr>
            </w:pPr>
            <w:r>
              <w:rPr>
                <w:rFonts w:hint="eastAsia"/>
                <w:kern w:val="0"/>
                <w:sz w:val="18"/>
                <w:szCs w:val="18"/>
              </w:rPr>
              <w:t>不适用</w:t>
            </w:r>
          </w:p>
        </w:tc>
        <w:tc>
          <w:tcPr>
            <w:tcW w:w="1126" w:type="pct"/>
            <w:vAlign w:val="center"/>
          </w:tcPr>
          <w:p>
            <w:pPr>
              <w:widowControl/>
              <w:ind w:firstLine="0" w:firstLineChars="0"/>
              <w:jc w:val="center"/>
              <w:rPr>
                <w:kern w:val="0"/>
                <w:sz w:val="18"/>
                <w:szCs w:val="18"/>
              </w:rPr>
            </w:pPr>
            <w:r>
              <w:rPr>
                <w:rFonts w:hint="eastAsia"/>
                <w:kern w:val="0"/>
                <w:sz w:val="18"/>
                <w:szCs w:val="18"/>
              </w:rPr>
              <w:t>无重要信息资源安全标记</w:t>
            </w: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重要数据传输机密性</w:t>
            </w:r>
          </w:p>
        </w:tc>
        <w:tc>
          <w:tcPr>
            <w:tcW w:w="1891" w:type="pct"/>
            <w:vAlign w:val="center"/>
          </w:tcPr>
          <w:p>
            <w:pPr>
              <w:widowControl/>
              <w:ind w:firstLine="0" w:firstLineChars="0"/>
              <w:jc w:val="center"/>
              <w:rPr>
                <w:kern w:val="0"/>
                <w:sz w:val="18"/>
                <w:szCs w:val="18"/>
              </w:rPr>
            </w:pPr>
            <w:r>
              <w:rPr>
                <w:rFonts w:hint="eastAsia"/>
                <w:kern w:val="0"/>
                <w:sz w:val="18"/>
                <w:szCs w:val="18"/>
              </w:rPr>
              <w:t>保护用户鉴别信息等重要数据传输的机密性</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重要数据存储机密性</w:t>
            </w:r>
          </w:p>
        </w:tc>
        <w:tc>
          <w:tcPr>
            <w:tcW w:w="1891" w:type="pct"/>
            <w:vAlign w:val="center"/>
          </w:tcPr>
          <w:p>
            <w:pPr>
              <w:widowControl/>
              <w:ind w:firstLine="0" w:firstLineChars="0"/>
              <w:jc w:val="center"/>
              <w:rPr>
                <w:kern w:val="0"/>
                <w:sz w:val="18"/>
                <w:szCs w:val="18"/>
              </w:rPr>
            </w:pPr>
            <w:r>
              <w:rPr>
                <w:rFonts w:hint="eastAsia"/>
                <w:kern w:val="0"/>
                <w:sz w:val="18"/>
                <w:szCs w:val="18"/>
              </w:rPr>
              <w:t>保护用户鉴别信息等重要数据存储的机密性</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重要数据传输完整性</w:t>
            </w:r>
          </w:p>
        </w:tc>
        <w:tc>
          <w:tcPr>
            <w:tcW w:w="1891" w:type="pct"/>
            <w:vAlign w:val="center"/>
          </w:tcPr>
          <w:p>
            <w:pPr>
              <w:widowControl/>
              <w:ind w:firstLine="0" w:firstLineChars="0"/>
              <w:jc w:val="center"/>
              <w:rPr>
                <w:kern w:val="0"/>
                <w:sz w:val="18"/>
                <w:szCs w:val="18"/>
              </w:rPr>
            </w:pPr>
            <w:r>
              <w:rPr>
                <w:rFonts w:hint="eastAsia"/>
                <w:kern w:val="0"/>
                <w:sz w:val="18"/>
                <w:szCs w:val="18"/>
              </w:rPr>
              <w:t>保护用户鉴别信息等重要数据传输的完整性</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重要数据存储完整性</w:t>
            </w:r>
          </w:p>
        </w:tc>
        <w:tc>
          <w:tcPr>
            <w:tcW w:w="1891" w:type="pct"/>
            <w:vAlign w:val="center"/>
          </w:tcPr>
          <w:p>
            <w:pPr>
              <w:widowControl/>
              <w:ind w:firstLine="0" w:firstLineChars="0"/>
              <w:jc w:val="center"/>
              <w:rPr>
                <w:kern w:val="0"/>
                <w:sz w:val="18"/>
                <w:szCs w:val="18"/>
              </w:rPr>
            </w:pPr>
            <w:r>
              <w:rPr>
                <w:rFonts w:hint="eastAsia"/>
                <w:kern w:val="0"/>
                <w:sz w:val="18"/>
                <w:szCs w:val="18"/>
              </w:rPr>
              <w:t>保护用户鉴别信息等重要数据存储的完整性</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不可否认性</w:t>
            </w:r>
          </w:p>
        </w:tc>
        <w:tc>
          <w:tcPr>
            <w:tcW w:w="1891" w:type="pct"/>
            <w:vAlign w:val="center"/>
          </w:tcPr>
          <w:p>
            <w:pPr>
              <w:widowControl/>
              <w:ind w:firstLine="0" w:firstLineChars="0"/>
              <w:jc w:val="center"/>
              <w:rPr>
                <w:kern w:val="0"/>
                <w:sz w:val="18"/>
                <w:szCs w:val="18"/>
              </w:rPr>
            </w:pPr>
            <w:r>
              <w:rPr>
                <w:rFonts w:hint="eastAsia"/>
                <w:kern w:val="0"/>
                <w:sz w:val="18"/>
                <w:szCs w:val="18"/>
              </w:rPr>
              <w:t>保证用户执行关键操作的不可否认性</w:t>
            </w:r>
          </w:p>
        </w:tc>
        <w:tc>
          <w:tcPr>
            <w:tcW w:w="1126" w:type="pct"/>
            <w:vAlign w:val="center"/>
          </w:tcPr>
          <w:p>
            <w:pPr>
              <w:widowControl/>
              <w:ind w:firstLine="0" w:firstLineChars="0"/>
              <w:jc w:val="center"/>
              <w:rPr>
                <w:kern w:val="0"/>
                <w:sz w:val="18"/>
                <w:szCs w:val="18"/>
              </w:rPr>
            </w:pPr>
            <w:r>
              <w:rPr>
                <w:rFonts w:hint="eastAsia"/>
                <w:kern w:val="0"/>
                <w:sz w:val="18"/>
                <w:szCs w:val="18"/>
              </w:rPr>
              <w:t>不适用</w:t>
            </w: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密码服务</w:t>
            </w:r>
          </w:p>
        </w:tc>
        <w:tc>
          <w:tcPr>
            <w:tcW w:w="1891" w:type="pct"/>
            <w:vAlign w:val="center"/>
          </w:tcPr>
          <w:p>
            <w:pPr>
              <w:widowControl/>
              <w:ind w:firstLine="0" w:firstLineChars="0"/>
              <w:jc w:val="center"/>
              <w:rPr>
                <w:kern w:val="0"/>
                <w:sz w:val="18"/>
                <w:szCs w:val="18"/>
              </w:rPr>
            </w:pPr>
            <w:r>
              <w:rPr>
                <w:rFonts w:hint="eastAsia"/>
                <w:kern w:val="0"/>
                <w:sz w:val="18"/>
                <w:szCs w:val="18"/>
              </w:rPr>
              <w:t>采用的数字证书由具备资质的电子认证服务机构签发</w:t>
            </w:r>
          </w:p>
        </w:tc>
        <w:tc>
          <w:tcPr>
            <w:tcW w:w="1126" w:type="pct"/>
            <w:vAlign w:val="center"/>
          </w:tcPr>
          <w:p>
            <w:pPr>
              <w:widowControl/>
              <w:ind w:firstLine="0" w:firstLineChars="0"/>
              <w:jc w:val="center"/>
              <w:rPr>
                <w:kern w:val="0"/>
                <w:sz w:val="18"/>
                <w:szCs w:val="18"/>
              </w:rPr>
            </w:pPr>
          </w:p>
        </w:tc>
      </w:tr>
      <w:tr>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pPr>
              <w:widowControl/>
              <w:ind w:firstLine="0" w:firstLineChars="0"/>
              <w:jc w:val="left"/>
              <w:rPr>
                <w:kern w:val="0"/>
                <w:sz w:val="18"/>
                <w:szCs w:val="18"/>
              </w:rPr>
            </w:pPr>
          </w:p>
        </w:tc>
        <w:tc>
          <w:tcPr>
            <w:tcW w:w="1114" w:type="pct"/>
            <w:vAlign w:val="center"/>
          </w:tcPr>
          <w:p>
            <w:pPr>
              <w:pStyle w:val="115"/>
              <w:ind w:firstLine="0" w:firstLineChars="0"/>
              <w:rPr>
                <w:rFonts w:hAnsi="宋体"/>
                <w:sz w:val="18"/>
                <w:szCs w:val="18"/>
              </w:rPr>
            </w:pPr>
            <w:r>
              <w:rPr>
                <w:rFonts w:hint="eastAsia" w:hAnsi="宋体"/>
                <w:sz w:val="18"/>
                <w:szCs w:val="18"/>
              </w:rPr>
              <w:t>密码产品</w:t>
            </w:r>
          </w:p>
        </w:tc>
        <w:tc>
          <w:tcPr>
            <w:tcW w:w="1891" w:type="pct"/>
            <w:vAlign w:val="center"/>
          </w:tcPr>
          <w:p>
            <w:pPr>
              <w:widowControl/>
              <w:ind w:firstLine="0" w:firstLineChars="0"/>
              <w:jc w:val="center"/>
              <w:rPr>
                <w:kern w:val="0"/>
                <w:sz w:val="18"/>
                <w:szCs w:val="18"/>
              </w:rPr>
            </w:pPr>
            <w:r>
              <w:rPr>
                <w:rFonts w:hint="eastAsia"/>
                <w:kern w:val="0"/>
                <w:sz w:val="18"/>
                <w:szCs w:val="18"/>
              </w:rPr>
              <w:t>服务端相关的密码服务由云平台提供安全保障</w:t>
            </w:r>
          </w:p>
        </w:tc>
        <w:tc>
          <w:tcPr>
            <w:tcW w:w="1126" w:type="pct"/>
            <w:vAlign w:val="center"/>
          </w:tcPr>
          <w:p>
            <w:pPr>
              <w:widowControl/>
              <w:ind w:firstLine="0" w:firstLineChars="0"/>
              <w:jc w:val="center"/>
              <w:rPr>
                <w:kern w:val="0"/>
                <w:sz w:val="18"/>
                <w:szCs w:val="18"/>
              </w:rPr>
            </w:pPr>
          </w:p>
        </w:tc>
      </w:tr>
    </w:tbl>
    <w:p/>
    <w:p>
      <w:pPr>
        <w:pStyle w:val="3"/>
      </w:pPr>
      <w:bookmarkStart w:id="25" w:name="_Toc63785512"/>
      <w:r>
        <w:rPr>
          <w:rFonts w:hint="eastAsia"/>
        </w:rPr>
        <w:t>技术文件要求</w:t>
      </w:r>
    </w:p>
    <w:p>
      <w:r>
        <w:rPr>
          <w:rFonts w:hint="eastAsia"/>
        </w:rPr>
        <w:t>投标人提供的书面技术资料应能确保系统正常运行所需的管理、运营及维护有关的全套文件。技术文件应该全面、完整、详细。投标人提供的技术文件至少应包括：</w:t>
      </w:r>
    </w:p>
    <w:p>
      <w:r>
        <w:rPr>
          <w:rFonts w:hint="eastAsia"/>
        </w:rPr>
        <w:t>－</w:t>
      </w:r>
      <w:r>
        <w:t xml:space="preserve"> 系统说明文件； </w:t>
      </w:r>
    </w:p>
    <w:p>
      <w:r>
        <w:rPr>
          <w:rFonts w:hint="eastAsia"/>
        </w:rPr>
        <w:t>－</w:t>
      </w:r>
      <w:r>
        <w:t xml:space="preserve"> 技术手册(安装、测试、操作、维护、故障排除等)； </w:t>
      </w:r>
    </w:p>
    <w:p>
      <w:r>
        <w:rPr>
          <w:rFonts w:hint="eastAsia"/>
        </w:rPr>
        <w:t>－</w:t>
      </w:r>
      <w:r>
        <w:t xml:space="preserve"> 项目文档，应该包括：</w:t>
      </w:r>
    </w:p>
    <w:p>
      <w:pPr>
        <w:ind w:left="360"/>
      </w:pPr>
      <w:r>
        <w:t>(1)软件需求说明书</w:t>
      </w:r>
    </w:p>
    <w:p>
      <w:pPr>
        <w:ind w:left="360"/>
      </w:pPr>
      <w:r>
        <w:t>(2)</w:t>
      </w:r>
      <w:r>
        <w:tab/>
      </w:r>
      <w:r>
        <w:t>系统总体设计说明书</w:t>
      </w:r>
    </w:p>
    <w:p>
      <w:pPr>
        <w:ind w:left="360"/>
      </w:pPr>
      <w:r>
        <w:t>(3)</w:t>
      </w:r>
      <w:r>
        <w:tab/>
      </w:r>
      <w:r>
        <w:t>应用软件功能清单</w:t>
      </w:r>
    </w:p>
    <w:p>
      <w:r>
        <w:rPr>
          <w:rFonts w:hint="eastAsia"/>
        </w:rPr>
        <w:t>提供全套技术文件纸介质</w:t>
      </w:r>
      <w:r>
        <w:t>3套以及电子文件1套。</w:t>
      </w:r>
    </w:p>
    <w:p>
      <w:pPr>
        <w:pStyle w:val="2"/>
      </w:pPr>
      <w:r>
        <w:rPr>
          <w:rFonts w:hint="eastAsia"/>
        </w:rPr>
        <w:t>供应商管理要求</w:t>
      </w:r>
      <w:bookmarkEnd w:id="25"/>
    </w:p>
    <w:p>
      <w:pPr>
        <w:pStyle w:val="80"/>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80"/>
        <w:ind w:firstLine="480"/>
        <w:rPr>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80"/>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pPr>
        <w:pStyle w:val="80"/>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0"/>
        <w:ind w:firstLine="480"/>
        <w:rPr>
          <w:sz w:val="24"/>
          <w:szCs w:val="24"/>
        </w:rPr>
      </w:pPr>
      <w:r>
        <w:rPr>
          <w:rFonts w:hint="eastAsia"/>
          <w:sz w:val="24"/>
          <w:szCs w:val="24"/>
        </w:rPr>
        <w:t>5、中标人在项目实施期间必须遵守采购人的规章制度并提供实施人员名单。</w:t>
      </w:r>
    </w:p>
    <w:p>
      <w:pPr>
        <w:pStyle w:val="80"/>
        <w:ind w:firstLine="480"/>
        <w:rPr>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0"/>
        <w:ind w:firstLine="480"/>
      </w:pPr>
      <w:r>
        <w:rPr>
          <w:rFonts w:hint="eastAsia"/>
          <w:sz w:val="24"/>
          <w:szCs w:val="24"/>
        </w:rPr>
        <w:t>7、本项目软件开发及调试将纳入采购人的管理范围，中标人在此过程中须服从上述单位的管理协调。</w:t>
      </w:r>
    </w:p>
    <w:p>
      <w:pPr>
        <w:pStyle w:val="80"/>
        <w:ind w:firstLine="420"/>
      </w:pPr>
    </w:p>
    <w:p>
      <w:pPr>
        <w:pStyle w:val="2"/>
      </w:pPr>
      <w:bookmarkStart w:id="26" w:name="_Toc68798863"/>
      <w:r>
        <w:rPr>
          <w:rFonts w:hint="eastAsia"/>
        </w:rPr>
        <w:t>附录</w:t>
      </w:r>
      <w:bookmarkEnd w:id="26"/>
    </w:p>
    <w:p>
      <w:pPr>
        <w:ind w:firstLine="482"/>
        <w:rPr>
          <w:b/>
        </w:rPr>
      </w:pPr>
      <w:r>
        <w:rPr>
          <w:rFonts w:hint="eastAsia"/>
          <w:b/>
        </w:rPr>
        <w:t>若项目建设过程中需符合相关技术标准或规范文件的要求，请将相关文件作为附件列出。</w:t>
      </w:r>
    </w:p>
    <w:p>
      <w:pPr>
        <w:ind w:firstLine="482"/>
      </w:pPr>
      <w:r>
        <w:rPr>
          <w:rFonts w:hint="eastAsia"/>
          <w:b/>
        </w:rPr>
        <w:t>参考如下：</w:t>
      </w:r>
    </w:p>
    <w:p>
      <w:pPr>
        <w:ind w:firstLine="0" w:firstLineChars="0"/>
      </w:pPr>
      <w:r>
        <w:rPr>
          <w:rFonts w:hint="eastAsia"/>
        </w:rPr>
        <w:t>1、</w:t>
      </w:r>
      <w:r>
        <w:t>《政务网络安全监测平台总体技术要求》</w:t>
      </w:r>
    </w:p>
    <w:p>
      <w:pPr>
        <w:ind w:firstLine="0" w:firstLineChars="0"/>
      </w:pPr>
      <w:r>
        <w:object>
          <v:shape id="_x0000_i1025" o:spt="75" type="#_x0000_t75" style="height:55.35pt;width:76.3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5.35pt;width:76.3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pPr>
        <w:ind w:firstLine="0" w:firstLineChars="0"/>
        <w:jc w:val="left"/>
      </w:pPr>
      <w:r>
        <w:rPr>
          <w:rFonts w:hint="eastAsia"/>
        </w:rPr>
        <w:t>3、《低代码相关要求（试行）》</w:t>
      </w:r>
    </w:p>
    <w:p>
      <w:pPr>
        <w:ind w:firstLine="0" w:firstLineChars="0"/>
        <w:jc w:val="left"/>
      </w:pPr>
    </w:p>
    <w:p>
      <w:pPr>
        <w:ind w:firstLine="0" w:firstLineChars="0"/>
        <w:jc w:val="left"/>
      </w:pPr>
      <w:r>
        <w:rPr>
          <w:rFonts w:hint="eastAsia"/>
        </w:rPr>
        <w:t>4、其他标准</w:t>
      </w:r>
    </w:p>
    <w:p>
      <w:pPr>
        <w:ind w:firstLine="0" w:firstLineChars="0"/>
        <w:jc w:val="left"/>
        <w:rPr>
          <w:b/>
          <w:bCs/>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9</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hZTM4MDQ0MjE0NzZkMDgxNGZjMjYxNzEzNTkwZWIifQ=="/>
  </w:docVars>
  <w:rsids>
    <w:rsidRoot w:val="006910C0"/>
    <w:rsid w:val="0000005A"/>
    <w:rsid w:val="0000073C"/>
    <w:rsid w:val="00000AED"/>
    <w:rsid w:val="00002C3F"/>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3A46"/>
    <w:rsid w:val="00035325"/>
    <w:rsid w:val="00035D5B"/>
    <w:rsid w:val="000378D0"/>
    <w:rsid w:val="00037F2C"/>
    <w:rsid w:val="00040DE7"/>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4CFF"/>
    <w:rsid w:val="000C5A75"/>
    <w:rsid w:val="000C75F7"/>
    <w:rsid w:val="000D0AB2"/>
    <w:rsid w:val="000D225C"/>
    <w:rsid w:val="000D36F2"/>
    <w:rsid w:val="000D4B26"/>
    <w:rsid w:val="000D74DB"/>
    <w:rsid w:val="000E24D6"/>
    <w:rsid w:val="000E28AB"/>
    <w:rsid w:val="000E6072"/>
    <w:rsid w:val="000E6D61"/>
    <w:rsid w:val="000E7A23"/>
    <w:rsid w:val="000F1C29"/>
    <w:rsid w:val="000F1E9E"/>
    <w:rsid w:val="000F2B10"/>
    <w:rsid w:val="000F3F72"/>
    <w:rsid w:val="001055B2"/>
    <w:rsid w:val="00105E0E"/>
    <w:rsid w:val="00106714"/>
    <w:rsid w:val="001068F0"/>
    <w:rsid w:val="00106AB8"/>
    <w:rsid w:val="00106C9E"/>
    <w:rsid w:val="00106E16"/>
    <w:rsid w:val="0010768B"/>
    <w:rsid w:val="00111249"/>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09D5"/>
    <w:rsid w:val="0015133E"/>
    <w:rsid w:val="00151D83"/>
    <w:rsid w:val="001546C9"/>
    <w:rsid w:val="00154FAE"/>
    <w:rsid w:val="001552B2"/>
    <w:rsid w:val="00155E77"/>
    <w:rsid w:val="00156A70"/>
    <w:rsid w:val="00160A61"/>
    <w:rsid w:val="00160FC0"/>
    <w:rsid w:val="0016429B"/>
    <w:rsid w:val="00164525"/>
    <w:rsid w:val="00164C50"/>
    <w:rsid w:val="00165CB2"/>
    <w:rsid w:val="00166203"/>
    <w:rsid w:val="00166767"/>
    <w:rsid w:val="00167C0F"/>
    <w:rsid w:val="001707CB"/>
    <w:rsid w:val="00171477"/>
    <w:rsid w:val="00172A1A"/>
    <w:rsid w:val="00173251"/>
    <w:rsid w:val="00176BED"/>
    <w:rsid w:val="0017759D"/>
    <w:rsid w:val="001804A5"/>
    <w:rsid w:val="00181C94"/>
    <w:rsid w:val="00182C84"/>
    <w:rsid w:val="00187031"/>
    <w:rsid w:val="001914B8"/>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2D34"/>
    <w:rsid w:val="001F5B0A"/>
    <w:rsid w:val="001F640F"/>
    <w:rsid w:val="001F6794"/>
    <w:rsid w:val="001F6F65"/>
    <w:rsid w:val="002002DF"/>
    <w:rsid w:val="00203A6F"/>
    <w:rsid w:val="00205646"/>
    <w:rsid w:val="002063F7"/>
    <w:rsid w:val="002129E5"/>
    <w:rsid w:val="00212AA4"/>
    <w:rsid w:val="00212E13"/>
    <w:rsid w:val="00214C50"/>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668F"/>
    <w:rsid w:val="0025774E"/>
    <w:rsid w:val="00257D64"/>
    <w:rsid w:val="00260DD0"/>
    <w:rsid w:val="0026340A"/>
    <w:rsid w:val="0026461B"/>
    <w:rsid w:val="002654EA"/>
    <w:rsid w:val="002704EA"/>
    <w:rsid w:val="0027061A"/>
    <w:rsid w:val="002719CC"/>
    <w:rsid w:val="00272C74"/>
    <w:rsid w:val="002730C5"/>
    <w:rsid w:val="0027337C"/>
    <w:rsid w:val="002735E9"/>
    <w:rsid w:val="0027602B"/>
    <w:rsid w:val="00277F5E"/>
    <w:rsid w:val="00280084"/>
    <w:rsid w:val="00280490"/>
    <w:rsid w:val="002860B8"/>
    <w:rsid w:val="0029206E"/>
    <w:rsid w:val="00293382"/>
    <w:rsid w:val="00294F51"/>
    <w:rsid w:val="00296754"/>
    <w:rsid w:val="002A2342"/>
    <w:rsid w:val="002A279E"/>
    <w:rsid w:val="002A4FA3"/>
    <w:rsid w:val="002A630C"/>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0F5C"/>
    <w:rsid w:val="002F2002"/>
    <w:rsid w:val="002F335D"/>
    <w:rsid w:val="002F4E32"/>
    <w:rsid w:val="002F503F"/>
    <w:rsid w:val="002F51DD"/>
    <w:rsid w:val="002F5D08"/>
    <w:rsid w:val="002F6895"/>
    <w:rsid w:val="002F6D13"/>
    <w:rsid w:val="00300D50"/>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62E6"/>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01CD"/>
    <w:rsid w:val="004117AB"/>
    <w:rsid w:val="00412B2F"/>
    <w:rsid w:val="00415281"/>
    <w:rsid w:val="00415716"/>
    <w:rsid w:val="0041604D"/>
    <w:rsid w:val="00417842"/>
    <w:rsid w:val="00417A6E"/>
    <w:rsid w:val="0042285D"/>
    <w:rsid w:val="00427D2B"/>
    <w:rsid w:val="00430B13"/>
    <w:rsid w:val="00430CE5"/>
    <w:rsid w:val="0043153C"/>
    <w:rsid w:val="00431D0F"/>
    <w:rsid w:val="004328B3"/>
    <w:rsid w:val="0043481C"/>
    <w:rsid w:val="00436693"/>
    <w:rsid w:val="00444307"/>
    <w:rsid w:val="0044436F"/>
    <w:rsid w:val="004443EB"/>
    <w:rsid w:val="00444432"/>
    <w:rsid w:val="00444673"/>
    <w:rsid w:val="0044621E"/>
    <w:rsid w:val="00447BF1"/>
    <w:rsid w:val="00450BA4"/>
    <w:rsid w:val="004511FC"/>
    <w:rsid w:val="004537BF"/>
    <w:rsid w:val="00456784"/>
    <w:rsid w:val="00456DCA"/>
    <w:rsid w:val="00461140"/>
    <w:rsid w:val="004611DB"/>
    <w:rsid w:val="0046212E"/>
    <w:rsid w:val="004658B0"/>
    <w:rsid w:val="0046614B"/>
    <w:rsid w:val="00467B63"/>
    <w:rsid w:val="00467FD7"/>
    <w:rsid w:val="00470073"/>
    <w:rsid w:val="004730F8"/>
    <w:rsid w:val="00474353"/>
    <w:rsid w:val="00474555"/>
    <w:rsid w:val="004750F4"/>
    <w:rsid w:val="00476CB1"/>
    <w:rsid w:val="0048002F"/>
    <w:rsid w:val="00480A48"/>
    <w:rsid w:val="00482501"/>
    <w:rsid w:val="00482E7D"/>
    <w:rsid w:val="00484395"/>
    <w:rsid w:val="004865FB"/>
    <w:rsid w:val="00486C03"/>
    <w:rsid w:val="00491AB3"/>
    <w:rsid w:val="00495DDC"/>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0169"/>
    <w:rsid w:val="004D1414"/>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07D"/>
    <w:rsid w:val="00514CE1"/>
    <w:rsid w:val="00517155"/>
    <w:rsid w:val="00517DB3"/>
    <w:rsid w:val="005200DC"/>
    <w:rsid w:val="005200F2"/>
    <w:rsid w:val="0052369D"/>
    <w:rsid w:val="005271DB"/>
    <w:rsid w:val="00530B70"/>
    <w:rsid w:val="00530D2F"/>
    <w:rsid w:val="0053487C"/>
    <w:rsid w:val="005356E1"/>
    <w:rsid w:val="00536A8B"/>
    <w:rsid w:val="00540418"/>
    <w:rsid w:val="00541A96"/>
    <w:rsid w:val="00541C6A"/>
    <w:rsid w:val="00542695"/>
    <w:rsid w:val="00542C54"/>
    <w:rsid w:val="00546A43"/>
    <w:rsid w:val="00546C70"/>
    <w:rsid w:val="00547258"/>
    <w:rsid w:val="00550CF0"/>
    <w:rsid w:val="00552F51"/>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9E3"/>
    <w:rsid w:val="00584EB6"/>
    <w:rsid w:val="00586B68"/>
    <w:rsid w:val="0058774E"/>
    <w:rsid w:val="005878CF"/>
    <w:rsid w:val="00590CA0"/>
    <w:rsid w:val="00595B01"/>
    <w:rsid w:val="00596D98"/>
    <w:rsid w:val="005970E0"/>
    <w:rsid w:val="005979A5"/>
    <w:rsid w:val="005A0021"/>
    <w:rsid w:val="005A017B"/>
    <w:rsid w:val="005A1AFC"/>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65E"/>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3FD7"/>
    <w:rsid w:val="00604CF2"/>
    <w:rsid w:val="00606DFF"/>
    <w:rsid w:val="00606FB7"/>
    <w:rsid w:val="00610533"/>
    <w:rsid w:val="006110F6"/>
    <w:rsid w:val="00611FA1"/>
    <w:rsid w:val="00612522"/>
    <w:rsid w:val="00612DA6"/>
    <w:rsid w:val="0061365B"/>
    <w:rsid w:val="006138B6"/>
    <w:rsid w:val="00613D17"/>
    <w:rsid w:val="00614BC6"/>
    <w:rsid w:val="00614E33"/>
    <w:rsid w:val="006158B8"/>
    <w:rsid w:val="0061706D"/>
    <w:rsid w:val="006173DA"/>
    <w:rsid w:val="00617EF9"/>
    <w:rsid w:val="00620295"/>
    <w:rsid w:val="00622F8E"/>
    <w:rsid w:val="00626158"/>
    <w:rsid w:val="00626AC8"/>
    <w:rsid w:val="006275D2"/>
    <w:rsid w:val="00627912"/>
    <w:rsid w:val="0063195F"/>
    <w:rsid w:val="00636C0A"/>
    <w:rsid w:val="006375B3"/>
    <w:rsid w:val="00637EC6"/>
    <w:rsid w:val="00640FFC"/>
    <w:rsid w:val="00641DA7"/>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A8F"/>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E6CAB"/>
    <w:rsid w:val="006F3BEC"/>
    <w:rsid w:val="006F54CC"/>
    <w:rsid w:val="00703C00"/>
    <w:rsid w:val="007057CC"/>
    <w:rsid w:val="007066F2"/>
    <w:rsid w:val="00706AE5"/>
    <w:rsid w:val="0070740A"/>
    <w:rsid w:val="00711F93"/>
    <w:rsid w:val="00712940"/>
    <w:rsid w:val="0071428C"/>
    <w:rsid w:val="00715A16"/>
    <w:rsid w:val="007164B0"/>
    <w:rsid w:val="007166FF"/>
    <w:rsid w:val="00725104"/>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6588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97F47"/>
    <w:rsid w:val="007A202F"/>
    <w:rsid w:val="007B014B"/>
    <w:rsid w:val="007B0D88"/>
    <w:rsid w:val="007B306F"/>
    <w:rsid w:val="007B4714"/>
    <w:rsid w:val="007B4E82"/>
    <w:rsid w:val="007C1996"/>
    <w:rsid w:val="007C3773"/>
    <w:rsid w:val="007C3F1F"/>
    <w:rsid w:val="007D2D0D"/>
    <w:rsid w:val="007D3325"/>
    <w:rsid w:val="007D3818"/>
    <w:rsid w:val="007D38C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316C"/>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4EF"/>
    <w:rsid w:val="00847654"/>
    <w:rsid w:val="00851064"/>
    <w:rsid w:val="00855543"/>
    <w:rsid w:val="008566B3"/>
    <w:rsid w:val="008576B7"/>
    <w:rsid w:val="00857F7B"/>
    <w:rsid w:val="008636C5"/>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86E20"/>
    <w:rsid w:val="00890712"/>
    <w:rsid w:val="00890D81"/>
    <w:rsid w:val="00892955"/>
    <w:rsid w:val="00893628"/>
    <w:rsid w:val="008941EB"/>
    <w:rsid w:val="0089545A"/>
    <w:rsid w:val="00895A02"/>
    <w:rsid w:val="008A01EE"/>
    <w:rsid w:val="008A0DAC"/>
    <w:rsid w:val="008A3B78"/>
    <w:rsid w:val="008A4166"/>
    <w:rsid w:val="008A7DBF"/>
    <w:rsid w:val="008B0BC2"/>
    <w:rsid w:val="008B136C"/>
    <w:rsid w:val="008B55EF"/>
    <w:rsid w:val="008B6910"/>
    <w:rsid w:val="008C0B5C"/>
    <w:rsid w:val="008C1343"/>
    <w:rsid w:val="008C3912"/>
    <w:rsid w:val="008C5598"/>
    <w:rsid w:val="008C69EA"/>
    <w:rsid w:val="008C6F8B"/>
    <w:rsid w:val="008C7AB7"/>
    <w:rsid w:val="008C7FB4"/>
    <w:rsid w:val="008D1506"/>
    <w:rsid w:val="008D2C8C"/>
    <w:rsid w:val="008D3040"/>
    <w:rsid w:val="008D3ECD"/>
    <w:rsid w:val="008D56EF"/>
    <w:rsid w:val="008D5C03"/>
    <w:rsid w:val="008D732E"/>
    <w:rsid w:val="008D7580"/>
    <w:rsid w:val="008D7C35"/>
    <w:rsid w:val="008E4388"/>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3EEB"/>
    <w:rsid w:val="0091438B"/>
    <w:rsid w:val="009147E3"/>
    <w:rsid w:val="0092095B"/>
    <w:rsid w:val="00920FD2"/>
    <w:rsid w:val="00923A43"/>
    <w:rsid w:val="0092439C"/>
    <w:rsid w:val="0092498E"/>
    <w:rsid w:val="00925B85"/>
    <w:rsid w:val="00925B91"/>
    <w:rsid w:val="00934461"/>
    <w:rsid w:val="00934F7E"/>
    <w:rsid w:val="00936A1C"/>
    <w:rsid w:val="00941FDA"/>
    <w:rsid w:val="00943E35"/>
    <w:rsid w:val="00945278"/>
    <w:rsid w:val="009463E1"/>
    <w:rsid w:val="0094658D"/>
    <w:rsid w:val="00947659"/>
    <w:rsid w:val="00947678"/>
    <w:rsid w:val="00947878"/>
    <w:rsid w:val="009504C2"/>
    <w:rsid w:val="0095254A"/>
    <w:rsid w:val="0095273B"/>
    <w:rsid w:val="00954F72"/>
    <w:rsid w:val="009559E1"/>
    <w:rsid w:val="009568D5"/>
    <w:rsid w:val="00957CD3"/>
    <w:rsid w:val="0096269B"/>
    <w:rsid w:val="00963FB0"/>
    <w:rsid w:val="00964C86"/>
    <w:rsid w:val="00965E82"/>
    <w:rsid w:val="009664BB"/>
    <w:rsid w:val="009669F8"/>
    <w:rsid w:val="00966F89"/>
    <w:rsid w:val="00973B5D"/>
    <w:rsid w:val="009742B2"/>
    <w:rsid w:val="0097755E"/>
    <w:rsid w:val="00981467"/>
    <w:rsid w:val="00981C24"/>
    <w:rsid w:val="00982C02"/>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2D0C"/>
    <w:rsid w:val="009B42E3"/>
    <w:rsid w:val="009B4362"/>
    <w:rsid w:val="009B5859"/>
    <w:rsid w:val="009C40BB"/>
    <w:rsid w:val="009C445A"/>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0ACC"/>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1C7"/>
    <w:rsid w:val="00A80ED4"/>
    <w:rsid w:val="00A816C4"/>
    <w:rsid w:val="00A82981"/>
    <w:rsid w:val="00A86F10"/>
    <w:rsid w:val="00A87AF2"/>
    <w:rsid w:val="00A90B23"/>
    <w:rsid w:val="00A93049"/>
    <w:rsid w:val="00A93193"/>
    <w:rsid w:val="00A93C2B"/>
    <w:rsid w:val="00A94556"/>
    <w:rsid w:val="00A974CB"/>
    <w:rsid w:val="00AA1EAC"/>
    <w:rsid w:val="00AA3A69"/>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17B"/>
    <w:rsid w:val="00B3094D"/>
    <w:rsid w:val="00B30B04"/>
    <w:rsid w:val="00B311BC"/>
    <w:rsid w:val="00B31810"/>
    <w:rsid w:val="00B31C10"/>
    <w:rsid w:val="00B3446D"/>
    <w:rsid w:val="00B34652"/>
    <w:rsid w:val="00B34978"/>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E5DB4"/>
    <w:rsid w:val="00BF16C3"/>
    <w:rsid w:val="00BF3740"/>
    <w:rsid w:val="00BF38E0"/>
    <w:rsid w:val="00BF44FA"/>
    <w:rsid w:val="00BF57E1"/>
    <w:rsid w:val="00C003B4"/>
    <w:rsid w:val="00C00A5F"/>
    <w:rsid w:val="00C01AF8"/>
    <w:rsid w:val="00C042E0"/>
    <w:rsid w:val="00C051D9"/>
    <w:rsid w:val="00C06333"/>
    <w:rsid w:val="00C06F68"/>
    <w:rsid w:val="00C075BA"/>
    <w:rsid w:val="00C10A3A"/>
    <w:rsid w:val="00C11E20"/>
    <w:rsid w:val="00C1229A"/>
    <w:rsid w:val="00C15D16"/>
    <w:rsid w:val="00C20015"/>
    <w:rsid w:val="00C247DD"/>
    <w:rsid w:val="00C25B43"/>
    <w:rsid w:val="00C26A54"/>
    <w:rsid w:val="00C31C33"/>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41CE"/>
    <w:rsid w:val="00C55143"/>
    <w:rsid w:val="00C5611B"/>
    <w:rsid w:val="00C561B3"/>
    <w:rsid w:val="00C5695E"/>
    <w:rsid w:val="00C57D50"/>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938"/>
    <w:rsid w:val="00CC1EEE"/>
    <w:rsid w:val="00CC42CE"/>
    <w:rsid w:val="00CC562B"/>
    <w:rsid w:val="00CC6C15"/>
    <w:rsid w:val="00CC7FCF"/>
    <w:rsid w:val="00CD2749"/>
    <w:rsid w:val="00CD2A60"/>
    <w:rsid w:val="00CD306F"/>
    <w:rsid w:val="00CD3971"/>
    <w:rsid w:val="00CD3DAB"/>
    <w:rsid w:val="00CD7F4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66F"/>
    <w:rsid w:val="00D10BF7"/>
    <w:rsid w:val="00D10FEB"/>
    <w:rsid w:val="00D12B85"/>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C31"/>
    <w:rsid w:val="00D42F40"/>
    <w:rsid w:val="00D4396C"/>
    <w:rsid w:val="00D43E3F"/>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0A00"/>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45"/>
    <w:rsid w:val="00E21E70"/>
    <w:rsid w:val="00E224DE"/>
    <w:rsid w:val="00E23DCE"/>
    <w:rsid w:val="00E26363"/>
    <w:rsid w:val="00E272A4"/>
    <w:rsid w:val="00E305F9"/>
    <w:rsid w:val="00E306AC"/>
    <w:rsid w:val="00E33749"/>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6FC4"/>
    <w:rsid w:val="00E57FAF"/>
    <w:rsid w:val="00E60BA9"/>
    <w:rsid w:val="00E63510"/>
    <w:rsid w:val="00E635EA"/>
    <w:rsid w:val="00E648A3"/>
    <w:rsid w:val="00E655E5"/>
    <w:rsid w:val="00E65F4E"/>
    <w:rsid w:val="00E662E0"/>
    <w:rsid w:val="00E66DDB"/>
    <w:rsid w:val="00E67D5D"/>
    <w:rsid w:val="00E71C7A"/>
    <w:rsid w:val="00E73119"/>
    <w:rsid w:val="00E73E1E"/>
    <w:rsid w:val="00E767FF"/>
    <w:rsid w:val="00E76E91"/>
    <w:rsid w:val="00E8167B"/>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20C"/>
    <w:rsid w:val="00EB252D"/>
    <w:rsid w:val="00EB29FA"/>
    <w:rsid w:val="00EB2CCE"/>
    <w:rsid w:val="00EB385F"/>
    <w:rsid w:val="00EB3E49"/>
    <w:rsid w:val="00EB5FC3"/>
    <w:rsid w:val="00EB6DA9"/>
    <w:rsid w:val="00EC1561"/>
    <w:rsid w:val="00EC462E"/>
    <w:rsid w:val="00EC6CD8"/>
    <w:rsid w:val="00EC786F"/>
    <w:rsid w:val="00ED1866"/>
    <w:rsid w:val="00ED2694"/>
    <w:rsid w:val="00ED3134"/>
    <w:rsid w:val="00ED38E2"/>
    <w:rsid w:val="00ED5C44"/>
    <w:rsid w:val="00ED635B"/>
    <w:rsid w:val="00ED70EC"/>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51E"/>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92604"/>
    <w:rsid w:val="00F92C7B"/>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D5DE0"/>
    <w:rsid w:val="00FE064A"/>
    <w:rsid w:val="00FE0B55"/>
    <w:rsid w:val="00FE1E98"/>
    <w:rsid w:val="00FE2452"/>
    <w:rsid w:val="00FE5469"/>
    <w:rsid w:val="00FE66C2"/>
    <w:rsid w:val="00FE684A"/>
    <w:rsid w:val="00FE6F23"/>
    <w:rsid w:val="00FF0F8C"/>
    <w:rsid w:val="00FF408B"/>
    <w:rsid w:val="00FF43E1"/>
    <w:rsid w:val="03430854"/>
    <w:rsid w:val="039F5FA6"/>
    <w:rsid w:val="09305ADA"/>
    <w:rsid w:val="0E8013B7"/>
    <w:rsid w:val="10D604C6"/>
    <w:rsid w:val="11B515E0"/>
    <w:rsid w:val="13A53267"/>
    <w:rsid w:val="13F970D2"/>
    <w:rsid w:val="14AA4136"/>
    <w:rsid w:val="163A420B"/>
    <w:rsid w:val="19413B26"/>
    <w:rsid w:val="1C6D3688"/>
    <w:rsid w:val="1CC63D0A"/>
    <w:rsid w:val="1DC2081A"/>
    <w:rsid w:val="1DD94266"/>
    <w:rsid w:val="1F9D0947"/>
    <w:rsid w:val="1FFB29C6"/>
    <w:rsid w:val="22AF3620"/>
    <w:rsid w:val="22E70AD4"/>
    <w:rsid w:val="24F1508D"/>
    <w:rsid w:val="266F634F"/>
    <w:rsid w:val="291059EA"/>
    <w:rsid w:val="2BBF12EC"/>
    <w:rsid w:val="2BC649D9"/>
    <w:rsid w:val="3515160D"/>
    <w:rsid w:val="3C7D00D8"/>
    <w:rsid w:val="3CA06C0C"/>
    <w:rsid w:val="3CBDEA07"/>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AEE3E15"/>
    <w:rsid w:val="5CB23D47"/>
    <w:rsid w:val="5FAF09C4"/>
    <w:rsid w:val="608C4642"/>
    <w:rsid w:val="62795572"/>
    <w:rsid w:val="64DD6417"/>
    <w:rsid w:val="66004745"/>
    <w:rsid w:val="6A567F20"/>
    <w:rsid w:val="6CD97953"/>
    <w:rsid w:val="6ED30FD7"/>
    <w:rsid w:val="727D78FD"/>
    <w:rsid w:val="73CC655F"/>
    <w:rsid w:val="75957445"/>
    <w:rsid w:val="75D01AE1"/>
    <w:rsid w:val="77524363"/>
    <w:rsid w:val="77B917B5"/>
    <w:rsid w:val="78703975"/>
    <w:rsid w:val="7BE420FD"/>
    <w:rsid w:val="7D0D296B"/>
    <w:rsid w:val="7D4E0B54"/>
    <w:rsid w:val="7D503E78"/>
    <w:rsid w:val="7E0160D4"/>
    <w:rsid w:val="7F632FD3"/>
    <w:rsid w:val="BEAFB7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Chars="0"/>
      <w:outlineLvl w:val="1"/>
    </w:pPr>
    <w:rPr>
      <w:b/>
      <w:bCs/>
      <w:sz w:val="30"/>
      <w:szCs w:val="32"/>
    </w:rPr>
  </w:style>
  <w:style w:type="paragraph" w:styleId="4">
    <w:name w:val="heading 3"/>
    <w:basedOn w:val="1"/>
    <w:next w:val="1"/>
    <w:link w:val="81"/>
    <w:qFormat/>
    <w:uiPriority w:val="9"/>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35"/>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Char"/>
    <w:link w:val="13"/>
    <w:qFormat/>
    <w:locked/>
    <w:uiPriority w:val="35"/>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qFormat/>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宋体" w:hAnsi="宋体"/>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qFormat/>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link w:val="134"/>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Revision"/>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character" w:customStyle="1" w:styleId="134">
    <w:name w:val="段 Char"/>
    <w:basedOn w:val="37"/>
    <w:link w:val="115"/>
    <w:qFormat/>
    <w:uiPriority w:val="0"/>
    <w:rPr>
      <w:rFonts w:ascii="宋体" w:cs="Calibri"/>
      <w:sz w:val="21"/>
    </w:rPr>
  </w:style>
  <w:style w:type="paragraph" w:customStyle="1" w:styleId="135">
    <w:name w:val="可研正文"/>
    <w:basedOn w:val="1"/>
    <w:link w:val="136"/>
    <w:qFormat/>
    <w:uiPriority w:val="0"/>
    <w:pPr>
      <w:ind w:firstLine="200"/>
    </w:pPr>
    <w:rPr>
      <w:rFonts w:ascii="仿宋" w:hAnsi="仿宋" w:eastAsia="仿宋" w:cstheme="minorBidi"/>
      <w:sz w:val="28"/>
      <w:szCs w:val="28"/>
    </w:rPr>
  </w:style>
  <w:style w:type="character" w:customStyle="1" w:styleId="136">
    <w:name w:val="可研正文 Char"/>
    <w:link w:val="135"/>
    <w:qFormat/>
    <w:uiPriority w:val="0"/>
    <w:rPr>
      <w:rFonts w:ascii="仿宋" w:hAnsi="仿宋" w:eastAsia="仿宋" w:cstheme="minorBidi"/>
      <w:kern w:val="2"/>
      <w:sz w:val="28"/>
      <w:szCs w:val="28"/>
    </w:rPr>
  </w:style>
  <w:style w:type="paragraph" w:customStyle="1" w:styleId="137">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paragraph" w:customStyle="1" w:styleId="138">
    <w:name w:val="xl63"/>
    <w:basedOn w:val="1"/>
    <w:qFormat/>
    <w:uiPriority w:val="0"/>
    <w:pPr>
      <w:widowControl/>
      <w:pBdr>
        <w:top w:val="single" w:color="auto" w:sz="4" w:space="0"/>
        <w:left w:val="single" w:color="auto" w:sz="4" w:space="0"/>
        <w:bottom w:val="single" w:color="auto" w:sz="4" w:space="0"/>
        <w:right w:val="single" w:color="auto" w:sz="4" w:space="0"/>
      </w:pBdr>
      <w:shd w:val="clear" w:color="000000" w:fill="F3F8FC"/>
      <w:spacing w:before="100" w:beforeAutospacing="1" w:after="100" w:afterAutospacing="1" w:line="240" w:lineRule="auto"/>
      <w:ind w:firstLine="0" w:firstLineChars="0"/>
      <w:jc w:val="center"/>
    </w:pPr>
    <w:rPr>
      <w:rFonts w:cs="宋体"/>
      <w:color w:val="000000"/>
      <w:kern w:val="0"/>
    </w:rPr>
  </w:style>
  <w:style w:type="paragraph" w:customStyle="1" w:styleId="13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883E93A2-5CCF-4A4D-9D33-7DE0356A8CB0}">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4535</Words>
  <Characters>25856</Characters>
  <Lines>215</Lines>
  <Paragraphs>60</Paragraphs>
  <TotalTime>1416</TotalTime>
  <ScaleCrop>false</ScaleCrop>
  <LinksUpToDate>false</LinksUpToDate>
  <CharactersWithSpaces>30331</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2026-01-06T23:04:00Z</dcterms:created>
  <dc:creator>gtig_tzb</dc:creator>
  <cp:lastModifiedBy>user</cp:lastModifiedBy>
  <cp:lastPrinted>2020-08-07T04:08:00Z</cp:lastPrinted>
  <dcterms:modified xsi:type="dcterms:W3CDTF">2026-03-26T15:43:37Z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B6DFBC4A8CC24488816B4AFC27F4EDAB</vt:lpwstr>
  </property>
</Properties>
</file>