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0C944D8">
      <w:pPr>
        <w:shd w:val="clear" w:color="auto" w:fill="FFFFFF" w:themeFill="background1"/>
        <w:spacing w:line="600" w:lineRule="auto"/>
        <w:jc w:val="center"/>
        <w:rPr>
          <w:rFonts w:ascii="仿宋" w:hAnsi="仿宋" w:eastAsia="仿宋" w:cs="仿宋"/>
          <w:b/>
          <w:sz w:val="36"/>
          <w:szCs w:val="36"/>
        </w:rPr>
      </w:pPr>
    </w:p>
    <w:p w14:paraId="194A7DFA">
      <w:pPr>
        <w:shd w:val="clear" w:color="auto" w:fill="FFFFFF" w:themeFill="background1"/>
        <w:spacing w:line="600" w:lineRule="auto"/>
        <w:jc w:val="center"/>
        <w:rPr>
          <w:rFonts w:ascii="仿宋" w:hAnsi="仿宋" w:eastAsia="仿宋" w:cs="仿宋"/>
          <w:b/>
          <w:sz w:val="36"/>
          <w:szCs w:val="36"/>
        </w:rPr>
      </w:pPr>
    </w:p>
    <w:p w14:paraId="5503CBBF">
      <w:pPr>
        <w:shd w:val="clear" w:color="auto" w:fill="FFFFFF" w:themeFill="background1"/>
        <w:spacing w:line="600" w:lineRule="auto"/>
        <w:jc w:val="center"/>
        <w:rPr>
          <w:rFonts w:ascii="仿宋" w:hAnsi="仿宋" w:eastAsia="仿宋" w:cs="仿宋"/>
          <w:b/>
          <w:sz w:val="36"/>
          <w:szCs w:val="36"/>
        </w:rPr>
      </w:pPr>
    </w:p>
    <w:p w14:paraId="15404551">
      <w:pPr>
        <w:shd w:val="clear" w:color="auto" w:fill="FFFFFF" w:themeFill="background1"/>
        <w:tabs>
          <w:tab w:val="left" w:pos="7030"/>
        </w:tabs>
        <w:spacing w:line="600" w:lineRule="auto"/>
        <w:jc w:val="left"/>
        <w:rPr>
          <w:rFonts w:ascii="仿宋" w:hAnsi="仿宋" w:eastAsia="仿宋" w:cs="仿宋"/>
          <w:b/>
          <w:sz w:val="36"/>
          <w:szCs w:val="36"/>
        </w:rPr>
      </w:pPr>
      <w:r>
        <w:rPr>
          <w:rFonts w:ascii="仿宋" w:hAnsi="仿宋" w:eastAsia="仿宋" w:cs="仿宋"/>
          <w:b/>
          <w:sz w:val="36"/>
          <w:szCs w:val="36"/>
        </w:rPr>
        <w:tab/>
      </w:r>
    </w:p>
    <w:p w14:paraId="61C3A9F0">
      <w:pPr>
        <w:shd w:val="clear" w:color="auto" w:fill="FFFFFF" w:themeFill="background1"/>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一分中心运维保障监理服务</w:t>
      </w:r>
    </w:p>
    <w:p w14:paraId="2169B3F4">
      <w:pPr>
        <w:shd w:val="clear" w:color="auto" w:fill="FFFFFF" w:themeFill="background1"/>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202</w:t>
      </w:r>
      <w:r>
        <w:rPr>
          <w:rFonts w:hint="default" w:ascii="方正小标宋_GBK" w:hAnsi="仿宋" w:eastAsia="方正小标宋_GBK" w:cs="仿宋"/>
          <w:sz w:val="44"/>
          <w:szCs w:val="44"/>
          <w:lang w:val="en-US"/>
        </w:rPr>
        <w:t>6</w:t>
      </w:r>
      <w:r>
        <w:rPr>
          <w:rFonts w:hint="eastAsia" w:ascii="方正小标宋_GBK" w:hAnsi="仿宋" w:eastAsia="方正小标宋_GBK" w:cs="仿宋"/>
          <w:sz w:val="44"/>
          <w:szCs w:val="44"/>
        </w:rPr>
        <w:t>年度采购需求</w:t>
      </w:r>
    </w:p>
    <w:p w14:paraId="5F837124">
      <w:pPr>
        <w:shd w:val="clear" w:color="auto" w:fill="FFFFFF" w:themeFill="background1"/>
        <w:spacing w:line="600" w:lineRule="auto"/>
        <w:jc w:val="center"/>
        <w:rPr>
          <w:rFonts w:ascii="仿宋" w:hAnsi="仿宋" w:eastAsia="仿宋" w:cs="仿宋"/>
          <w:b/>
          <w:sz w:val="36"/>
          <w:szCs w:val="36"/>
        </w:rPr>
      </w:pPr>
    </w:p>
    <w:p w14:paraId="57ED7E03">
      <w:pPr>
        <w:shd w:val="clear" w:color="auto" w:fill="FFFFFF" w:themeFill="background1"/>
        <w:spacing w:line="600" w:lineRule="auto"/>
        <w:jc w:val="center"/>
        <w:rPr>
          <w:rFonts w:ascii="仿宋" w:hAnsi="仿宋" w:eastAsia="仿宋" w:cs="仿宋"/>
          <w:b/>
          <w:sz w:val="36"/>
          <w:szCs w:val="36"/>
        </w:rPr>
      </w:pPr>
    </w:p>
    <w:p w14:paraId="29604AC0">
      <w:pPr>
        <w:shd w:val="clear" w:color="auto" w:fill="FFFFFF" w:themeFill="background1"/>
        <w:spacing w:line="600" w:lineRule="auto"/>
        <w:jc w:val="center"/>
        <w:rPr>
          <w:rFonts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14:paraId="4E7DF691">
      <w:pPr>
        <w:pStyle w:val="5"/>
        <w:shd w:val="clear" w:color="auto" w:fill="FFFFFF" w:themeFill="background1"/>
        <w:ind w:left="0"/>
        <w:rPr>
          <w:rFonts w:ascii="仿宋" w:hAnsi="仿宋" w:eastAsia="仿宋" w:cs="仿宋"/>
        </w:rPr>
      </w:pPr>
      <w:bookmarkStart w:id="0" w:name="_Toc69194644"/>
      <w:r>
        <w:rPr>
          <w:rFonts w:hint="eastAsia" w:ascii="仿宋" w:hAnsi="仿宋" w:eastAsia="仿宋" w:cs="仿宋"/>
        </w:rPr>
        <w:t>项目概述</w:t>
      </w:r>
      <w:bookmarkEnd w:id="0"/>
    </w:p>
    <w:p w14:paraId="3D8B58CF">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为保障</w:t>
      </w:r>
      <w:r>
        <w:rPr>
          <w:rFonts w:hint="eastAsia" w:ascii="宋体" w:hAnsi="宋体" w:cs="宋体"/>
          <w:kern w:val="0"/>
          <w:sz w:val="24"/>
          <w:szCs w:val="28"/>
        </w:rPr>
        <w:t>采购人所辖</w:t>
      </w:r>
      <w:r>
        <w:rPr>
          <w:rFonts w:hint="eastAsia" w:ascii="宋体" w:hAnsi="宋体" w:cs="宋体"/>
          <w:kern w:val="0"/>
          <w:sz w:val="24"/>
          <w:szCs w:val="28"/>
          <w:lang w:val="zh-CN"/>
        </w:rPr>
        <w:t>运维项目</w:t>
      </w:r>
      <w:r>
        <w:rPr>
          <w:rFonts w:hint="eastAsia" w:ascii="宋体" w:hAnsi="宋体" w:cs="宋体"/>
          <w:kern w:val="0"/>
          <w:sz w:val="24"/>
          <w:szCs w:val="28"/>
        </w:rPr>
        <w:t>系统、</w:t>
      </w:r>
      <w:r>
        <w:rPr>
          <w:rFonts w:hint="eastAsia" w:asciiTheme="minorEastAsia" w:hAnsiTheme="minorEastAsia"/>
          <w:sz w:val="24"/>
          <w:szCs w:val="32"/>
        </w:rPr>
        <w:t>平台及应用安全、稳定、可靠运行，拟通过购买服务的方式，引入第三方监理服务公司对运维服务公司的运维服务进行第三方监管。在信息化系统运维工作中，引入项目绩效管理机制，利用信息系统监理工程师的运维项目管理专业化知识，发挥监督、控制、协调、管理等职能作用，积极协调、密切配合信息化运维工作，确保为各项工作提供可应用、可量化、可管理、可评估的“信息服务产品”。</w:t>
      </w:r>
    </w:p>
    <w:p w14:paraId="540EA443">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运维项目监理服务主要侧重做好以下工作：</w:t>
      </w:r>
    </w:p>
    <w:p w14:paraId="4671E6C3">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1.运维项目规范管理。要求运维项目管理，根据各项工作特点和运维管理工作目标，结合 ITSS 运维服务标准，以及采购人业务需求和工作规范、质量标准，对信息化运维服务工作进行监督、管理、跟踪和协调，充分保护采购人利益，提高信息化运维服务质量，规避信息系统运行风险，积极协助采购人监督协调运维公司工作，为各项工作提供优质高效地信息技术服务。</w:t>
      </w:r>
    </w:p>
    <w:p w14:paraId="108D34B0">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2.运维服务监督与检查。加强对信息化运维公司运维服务工作的督促和检查，对各公司提供的“信息服务产品”和完成工作情况进行审查、考核，不断促进和提高信息化运维工作的质量和服务水平。</w:t>
      </w:r>
    </w:p>
    <w:p w14:paraId="22C2C2B6">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监理期限：自合同签订之日起至202</w:t>
      </w:r>
      <w:r>
        <w:rPr>
          <w:rFonts w:hint="eastAsia" w:asciiTheme="minorEastAsia" w:hAnsiTheme="minorEastAsia"/>
          <w:sz w:val="24"/>
          <w:szCs w:val="32"/>
          <w:lang w:val="en-US" w:eastAsia="zh-CN"/>
        </w:rPr>
        <w:t>6</w:t>
      </w:r>
      <w:r>
        <w:rPr>
          <w:rFonts w:hint="eastAsia" w:asciiTheme="minorEastAsia" w:hAnsiTheme="minorEastAsia"/>
          <w:sz w:val="24"/>
          <w:szCs w:val="32"/>
        </w:rPr>
        <w:t>年12月31日</w:t>
      </w:r>
    </w:p>
    <w:p w14:paraId="6C7DD5E0">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监理项目地址：上海市黄浦区威海路4</w:t>
      </w:r>
      <w:r>
        <w:rPr>
          <w:rFonts w:asciiTheme="minorEastAsia" w:hAnsiTheme="minorEastAsia"/>
          <w:sz w:val="24"/>
          <w:szCs w:val="32"/>
        </w:rPr>
        <w:t>8</w:t>
      </w:r>
      <w:r>
        <w:rPr>
          <w:rFonts w:hint="eastAsia" w:asciiTheme="minorEastAsia" w:hAnsiTheme="minorEastAsia"/>
          <w:sz w:val="24"/>
          <w:szCs w:val="32"/>
        </w:rPr>
        <w:t>号</w:t>
      </w:r>
      <w:r>
        <w:rPr>
          <w:rFonts w:asciiTheme="minorEastAsia" w:hAnsiTheme="minorEastAsia"/>
          <w:sz w:val="24"/>
          <w:szCs w:val="32"/>
        </w:rPr>
        <w:t>4</w:t>
      </w:r>
      <w:r>
        <w:rPr>
          <w:rFonts w:hint="eastAsia" w:asciiTheme="minorEastAsia" w:hAnsiTheme="minorEastAsia"/>
          <w:sz w:val="24"/>
          <w:szCs w:val="32"/>
        </w:rPr>
        <w:t>楼</w:t>
      </w:r>
    </w:p>
    <w:p w14:paraId="74BAE585">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预算金额：</w:t>
      </w:r>
      <w:r>
        <w:rPr>
          <w:rFonts w:asciiTheme="minorEastAsia" w:hAnsiTheme="minorEastAsia"/>
          <w:sz w:val="24"/>
          <w:szCs w:val="32"/>
        </w:rPr>
        <w:t>1593167</w:t>
      </w:r>
      <w:r>
        <w:rPr>
          <w:rFonts w:hint="eastAsia" w:asciiTheme="minorEastAsia" w:hAnsiTheme="minorEastAsia"/>
          <w:sz w:val="24"/>
          <w:szCs w:val="32"/>
        </w:rPr>
        <w:t>元</w:t>
      </w:r>
    </w:p>
    <w:p w14:paraId="2D5827CD">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采购金额（最高限价）：</w:t>
      </w:r>
      <w:r>
        <w:rPr>
          <w:rFonts w:asciiTheme="minorEastAsia" w:hAnsiTheme="minorEastAsia"/>
          <w:sz w:val="24"/>
          <w:szCs w:val="32"/>
        </w:rPr>
        <w:t>1593167</w:t>
      </w:r>
      <w:r>
        <w:rPr>
          <w:rFonts w:hint="eastAsia" w:asciiTheme="minorEastAsia" w:hAnsiTheme="minorEastAsia"/>
          <w:sz w:val="24"/>
          <w:szCs w:val="32"/>
        </w:rPr>
        <w:t>元</w:t>
      </w:r>
    </w:p>
    <w:p w14:paraId="69A0BAEB">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组织形式：集中采购</w:t>
      </w:r>
    </w:p>
    <w:p w14:paraId="0EE7D7B4">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采购方式：竞争性磋商</w:t>
      </w:r>
    </w:p>
    <w:p w14:paraId="10491906">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面向企业类型：中小微</w:t>
      </w:r>
    </w:p>
    <w:p w14:paraId="02BE8F2D">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是否接受联合体投标：否</w:t>
      </w:r>
    </w:p>
    <w:p w14:paraId="13A4B8A6">
      <w:pPr>
        <w:shd w:val="clear" w:color="auto" w:fill="FFFFFF" w:themeFill="background1"/>
        <w:spacing w:line="560" w:lineRule="exact"/>
        <w:ind w:firstLine="480"/>
        <w:rPr>
          <w:rFonts w:asciiTheme="minorEastAsia" w:hAnsiTheme="minorEastAsia"/>
          <w:sz w:val="24"/>
          <w:szCs w:val="32"/>
        </w:rPr>
      </w:pPr>
    </w:p>
    <w:p w14:paraId="46F9E871">
      <w:pPr>
        <w:pStyle w:val="5"/>
        <w:shd w:val="clear" w:color="auto" w:fill="FFFFFF" w:themeFill="background1"/>
        <w:ind w:left="0"/>
        <w:rPr>
          <w:rFonts w:ascii="仿宋" w:hAnsi="仿宋" w:eastAsia="仿宋" w:cs="仿宋"/>
        </w:rPr>
      </w:pPr>
      <w:bookmarkStart w:id="1" w:name="_Toc69194645"/>
      <w:r>
        <w:rPr>
          <w:rFonts w:hint="eastAsia" w:ascii="仿宋" w:hAnsi="仿宋" w:eastAsia="仿宋" w:cs="仿宋"/>
        </w:rPr>
        <w:t>服务范围</w:t>
      </w:r>
      <w:bookmarkEnd w:id="1"/>
    </w:p>
    <w:p w14:paraId="1ECAB103">
      <w:pPr>
        <w:keepNext w:val="0"/>
        <w:keepLines w:val="0"/>
        <w:pageBreakBefore w:val="0"/>
        <w:widowControl w:val="0"/>
        <w:shd w:val="clear" w:color="auto" w:fill="FFFFFF" w:themeFill="background1"/>
        <w:kinsoku/>
        <w:wordWrap/>
        <w:overflowPunct/>
        <w:topLinePunct w:val="0"/>
        <w:autoSpaceDE/>
        <w:autoSpaceDN/>
        <w:bidi w:val="0"/>
        <w:adjustRightInd/>
        <w:snapToGrid w:val="0"/>
        <w:spacing w:line="360" w:lineRule="auto"/>
        <w:ind w:firstLine="482"/>
        <w:textAlignment w:val="auto"/>
        <w:rPr>
          <w:rFonts w:asciiTheme="minorEastAsia" w:hAnsiTheme="minorEastAsia"/>
          <w:sz w:val="24"/>
          <w:szCs w:val="32"/>
        </w:rPr>
      </w:pPr>
      <w:r>
        <w:rPr>
          <w:rFonts w:hint="eastAsia" w:asciiTheme="minorEastAsia" w:hAnsiTheme="minorEastAsia"/>
          <w:sz w:val="24"/>
          <w:szCs w:val="32"/>
        </w:rPr>
        <w:t>对上海市大数据中心信息化服务第一分中心运维服务项目进行统一管理，开展全过程运维监理服务，包括质量控制、成本控制、变更控制、安全管理、合同管理、文档管理和项目协调等全过程、全方位的监理服务。</w:t>
      </w:r>
    </w:p>
    <w:tbl>
      <w:tblPr>
        <w:tblStyle w:val="26"/>
        <w:tblW w:w="7225" w:type="dxa"/>
        <w:tblInd w:w="113" w:type="dxa"/>
        <w:tblLayout w:type="autofit"/>
        <w:tblCellMar>
          <w:top w:w="0" w:type="dxa"/>
          <w:left w:w="108" w:type="dxa"/>
          <w:bottom w:w="0" w:type="dxa"/>
          <w:right w:w="108" w:type="dxa"/>
        </w:tblCellMar>
      </w:tblPr>
      <w:tblGrid>
        <w:gridCol w:w="1413"/>
        <w:gridCol w:w="5812"/>
      </w:tblGrid>
      <w:tr w14:paraId="1A8E6C46">
        <w:tblPrEx>
          <w:tblCellMar>
            <w:top w:w="0" w:type="dxa"/>
            <w:left w:w="108" w:type="dxa"/>
            <w:bottom w:w="0" w:type="dxa"/>
            <w:right w:w="108" w:type="dxa"/>
          </w:tblCellMar>
        </w:tblPrEx>
        <w:trPr>
          <w:trHeight w:val="594" w:hRule="atLeast"/>
        </w:trPr>
        <w:tc>
          <w:tcPr>
            <w:tcW w:w="141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65467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812" w:type="dxa"/>
            <w:tcBorders>
              <w:top w:val="single" w:color="auto" w:sz="4" w:space="0"/>
              <w:left w:val="nil"/>
              <w:bottom w:val="single" w:color="auto" w:sz="4" w:space="0"/>
              <w:right w:val="single" w:color="auto" w:sz="4" w:space="0"/>
            </w:tcBorders>
            <w:shd w:val="clear" w:color="000000" w:fill="FFFFFF"/>
            <w:noWrap/>
            <w:vAlign w:val="center"/>
          </w:tcPr>
          <w:p w14:paraId="4EE54E5F">
            <w:pPr>
              <w:widowControl/>
              <w:jc w:val="center"/>
              <w:rPr>
                <w:rFonts w:ascii="宋体" w:hAnsi="宋体" w:eastAsia="宋体" w:cs="宋体"/>
                <w:b/>
                <w:bCs/>
                <w:color w:val="000000"/>
                <w:kern w:val="0"/>
                <w:sz w:val="24"/>
                <w:szCs w:val="24"/>
              </w:rPr>
            </w:pPr>
            <w:r>
              <w:rPr>
                <w:rFonts w:hint="eastAsia" w:asciiTheme="minorEastAsia" w:hAnsiTheme="minorEastAsia"/>
                <w:b/>
                <w:bCs/>
                <w:sz w:val="24"/>
                <w:szCs w:val="32"/>
              </w:rPr>
              <w:t>第一分中心运维服务项目</w:t>
            </w:r>
          </w:p>
        </w:tc>
      </w:tr>
      <w:tr w14:paraId="6A3831A2">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1D8D2AF1">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812" w:type="dxa"/>
            <w:tcBorders>
              <w:top w:val="nil"/>
              <w:left w:val="nil"/>
              <w:bottom w:val="single" w:color="auto" w:sz="4" w:space="0"/>
              <w:right w:val="single" w:color="auto" w:sz="4" w:space="0"/>
            </w:tcBorders>
            <w:shd w:val="clear" w:color="000000" w:fill="FFFFFF"/>
            <w:vAlign w:val="center"/>
          </w:tcPr>
          <w:p w14:paraId="28F2CD9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市财政局202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141F7BF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71EE28D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812" w:type="dxa"/>
            <w:tcBorders>
              <w:top w:val="nil"/>
              <w:left w:val="nil"/>
              <w:bottom w:val="single" w:color="auto" w:sz="4" w:space="0"/>
              <w:right w:val="single" w:color="auto" w:sz="4" w:space="0"/>
            </w:tcBorders>
            <w:shd w:val="clear" w:color="000000" w:fill="FFFFFF"/>
            <w:vAlign w:val="center"/>
          </w:tcPr>
          <w:p w14:paraId="5D2E5D2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市财政局202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年政府采购云平台运维</w:t>
            </w:r>
          </w:p>
        </w:tc>
      </w:tr>
      <w:tr w14:paraId="684F0C24">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18C0368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812" w:type="dxa"/>
            <w:tcBorders>
              <w:top w:val="nil"/>
              <w:left w:val="nil"/>
              <w:bottom w:val="single" w:color="auto" w:sz="4" w:space="0"/>
              <w:right w:val="single" w:color="auto" w:sz="4" w:space="0"/>
            </w:tcBorders>
            <w:shd w:val="clear" w:color="000000" w:fill="FFFFFF"/>
            <w:vAlign w:val="center"/>
          </w:tcPr>
          <w:p w14:paraId="6EB0AA9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市发改委202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656CA530">
        <w:tblPrEx>
          <w:tblCellMar>
            <w:top w:w="0" w:type="dxa"/>
            <w:left w:w="108" w:type="dxa"/>
            <w:bottom w:w="0" w:type="dxa"/>
            <w:right w:w="108" w:type="dxa"/>
          </w:tblCellMar>
        </w:tblPrEx>
        <w:trPr>
          <w:trHeight w:val="288"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417F0EB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812" w:type="dxa"/>
            <w:tcBorders>
              <w:top w:val="nil"/>
              <w:left w:val="nil"/>
              <w:bottom w:val="single" w:color="auto" w:sz="4" w:space="0"/>
              <w:right w:val="single" w:color="auto" w:sz="4" w:space="0"/>
            </w:tcBorders>
            <w:shd w:val="clear" w:color="000000" w:fill="FFFFFF"/>
            <w:vAlign w:val="center"/>
          </w:tcPr>
          <w:p w14:paraId="2759FDF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市粮食物资储备局202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5970697F">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782F270C">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812" w:type="dxa"/>
            <w:tcBorders>
              <w:top w:val="nil"/>
              <w:left w:val="nil"/>
              <w:bottom w:val="single" w:color="auto" w:sz="4" w:space="0"/>
              <w:right w:val="single" w:color="auto" w:sz="4" w:space="0"/>
            </w:tcBorders>
            <w:shd w:val="clear" w:color="000000" w:fill="FFFFFF"/>
            <w:vAlign w:val="center"/>
          </w:tcPr>
          <w:p w14:paraId="39DEB8E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市统计局202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019357BB">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301FB01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812" w:type="dxa"/>
            <w:tcBorders>
              <w:top w:val="nil"/>
              <w:left w:val="nil"/>
              <w:bottom w:val="single" w:color="auto" w:sz="4" w:space="0"/>
              <w:right w:val="single" w:color="auto" w:sz="4" w:space="0"/>
            </w:tcBorders>
            <w:shd w:val="clear" w:color="000000" w:fill="FFFFFF"/>
            <w:vAlign w:val="center"/>
          </w:tcPr>
          <w:p w14:paraId="1E7950C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市国资委202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68FC706D">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627BA149">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812" w:type="dxa"/>
            <w:tcBorders>
              <w:top w:val="nil"/>
              <w:left w:val="nil"/>
              <w:bottom w:val="single" w:color="auto" w:sz="4" w:space="0"/>
              <w:right w:val="single" w:color="auto" w:sz="4" w:space="0"/>
            </w:tcBorders>
            <w:shd w:val="clear" w:color="000000" w:fill="FFFFFF"/>
            <w:vAlign w:val="center"/>
          </w:tcPr>
          <w:p w14:paraId="3969560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市金融办202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40396750">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01C76DD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812" w:type="dxa"/>
            <w:tcBorders>
              <w:top w:val="nil"/>
              <w:left w:val="nil"/>
              <w:bottom w:val="single" w:color="auto" w:sz="4" w:space="0"/>
              <w:right w:val="single" w:color="auto" w:sz="4" w:space="0"/>
            </w:tcBorders>
            <w:shd w:val="clear" w:color="000000" w:fill="FFFFFF"/>
            <w:vAlign w:val="center"/>
          </w:tcPr>
          <w:p w14:paraId="68FC27B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市科委202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60BDD14E">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0E016E7D">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812" w:type="dxa"/>
            <w:tcBorders>
              <w:top w:val="nil"/>
              <w:left w:val="nil"/>
              <w:bottom w:val="single" w:color="auto" w:sz="4" w:space="0"/>
              <w:right w:val="single" w:color="auto" w:sz="4" w:space="0"/>
            </w:tcBorders>
            <w:shd w:val="clear" w:color="000000" w:fill="FFFFFF"/>
            <w:vAlign w:val="center"/>
          </w:tcPr>
          <w:p w14:paraId="27B2F7A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市经信委202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32DED068">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4E06DBE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812" w:type="dxa"/>
            <w:tcBorders>
              <w:top w:val="nil"/>
              <w:left w:val="nil"/>
              <w:bottom w:val="single" w:color="auto" w:sz="4" w:space="0"/>
              <w:right w:val="single" w:color="auto" w:sz="4" w:space="0"/>
            </w:tcBorders>
            <w:shd w:val="clear" w:color="000000" w:fill="FFFFFF"/>
            <w:vAlign w:val="center"/>
          </w:tcPr>
          <w:p w14:paraId="53A5B572">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市商务委202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5427AE2F">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061331A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812" w:type="dxa"/>
            <w:tcBorders>
              <w:top w:val="nil"/>
              <w:left w:val="nil"/>
              <w:bottom w:val="single" w:color="auto" w:sz="4" w:space="0"/>
              <w:right w:val="single" w:color="auto" w:sz="4" w:space="0"/>
            </w:tcBorders>
            <w:shd w:val="clear" w:color="000000" w:fill="FFFFFF"/>
            <w:vAlign w:val="center"/>
          </w:tcPr>
          <w:p w14:paraId="0AF72FAE">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市审计局202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57DC1F9A">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7533E00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812" w:type="dxa"/>
            <w:tcBorders>
              <w:top w:val="nil"/>
              <w:left w:val="nil"/>
              <w:bottom w:val="single" w:color="auto" w:sz="4" w:space="0"/>
              <w:right w:val="single" w:color="auto" w:sz="4" w:space="0"/>
            </w:tcBorders>
            <w:shd w:val="clear" w:color="000000" w:fill="FFFFFF"/>
            <w:vAlign w:val="center"/>
          </w:tcPr>
          <w:p w14:paraId="3C2690F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市知识产权局202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6E5DC7E9">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590284A4">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5812" w:type="dxa"/>
            <w:tcBorders>
              <w:top w:val="nil"/>
              <w:left w:val="nil"/>
              <w:bottom w:val="single" w:color="auto" w:sz="4" w:space="0"/>
              <w:right w:val="single" w:color="auto" w:sz="4" w:space="0"/>
            </w:tcBorders>
            <w:shd w:val="clear" w:color="000000" w:fill="FFFFFF"/>
            <w:vAlign w:val="center"/>
          </w:tcPr>
          <w:p w14:paraId="50E1D55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市市场监管局202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47B9EC6A">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3880536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5812" w:type="dxa"/>
            <w:tcBorders>
              <w:top w:val="nil"/>
              <w:left w:val="nil"/>
              <w:bottom w:val="single" w:color="auto" w:sz="4" w:space="0"/>
              <w:right w:val="single" w:color="auto" w:sz="4" w:space="0"/>
            </w:tcBorders>
            <w:shd w:val="clear" w:color="000000" w:fill="FFFFFF"/>
            <w:vAlign w:val="center"/>
          </w:tcPr>
          <w:p w14:paraId="29B1579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市药监局202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年数字化项目运维和综合保障</w:t>
            </w:r>
          </w:p>
        </w:tc>
      </w:tr>
      <w:tr w14:paraId="2F749027">
        <w:tblPrEx>
          <w:tblCellMar>
            <w:top w:w="0" w:type="dxa"/>
            <w:left w:w="108" w:type="dxa"/>
            <w:bottom w:w="0" w:type="dxa"/>
            <w:right w:w="108" w:type="dxa"/>
          </w:tblCellMar>
        </w:tblPrEx>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14:paraId="03815E7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812" w:type="dxa"/>
            <w:tcBorders>
              <w:top w:val="nil"/>
              <w:left w:val="nil"/>
              <w:bottom w:val="single" w:color="auto" w:sz="4" w:space="0"/>
              <w:right w:val="single" w:color="auto" w:sz="4" w:space="0"/>
            </w:tcBorders>
            <w:shd w:val="clear" w:color="000000" w:fill="FFFFFF"/>
            <w:vAlign w:val="center"/>
          </w:tcPr>
          <w:p w14:paraId="3DB36E0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一分中心202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年网络和数据安全服务</w:t>
            </w:r>
          </w:p>
        </w:tc>
      </w:tr>
    </w:tbl>
    <w:p w14:paraId="06748A74">
      <w:pPr>
        <w:pStyle w:val="5"/>
        <w:shd w:val="clear" w:color="auto" w:fill="FFFFFF" w:themeFill="background1"/>
        <w:ind w:left="0"/>
        <w:rPr>
          <w:rFonts w:ascii="仿宋" w:hAnsi="仿宋" w:eastAsia="仿宋" w:cs="仿宋"/>
        </w:rPr>
      </w:pPr>
      <w:bookmarkStart w:id="2" w:name="_Toc69194646"/>
      <w:r>
        <w:rPr>
          <w:rFonts w:hint="eastAsia" w:ascii="仿宋" w:hAnsi="仿宋" w:eastAsia="仿宋" w:cs="仿宋"/>
        </w:rPr>
        <w:t>监理服务需求</w:t>
      </w:r>
      <w:bookmarkEnd w:id="2"/>
    </w:p>
    <w:p w14:paraId="10D769B5">
      <w:pPr>
        <w:pStyle w:val="6"/>
        <w:shd w:val="clear" w:color="auto" w:fill="FFFFFF" w:themeFill="background1"/>
        <w:rPr>
          <w:rFonts w:ascii="仿宋" w:hAnsi="仿宋" w:cs="仿宋"/>
        </w:rPr>
      </w:pPr>
      <w:bookmarkStart w:id="3" w:name="_Toc416277417"/>
      <w:bookmarkStart w:id="4" w:name="_Toc69194647"/>
      <w:r>
        <w:rPr>
          <w:rFonts w:hint="eastAsia" w:ascii="仿宋" w:hAnsi="仿宋" w:cs="仿宋"/>
        </w:rPr>
        <w:t>总体要求</w:t>
      </w:r>
    </w:p>
    <w:p w14:paraId="66638F20">
      <w:pPr>
        <w:shd w:val="clear" w:color="auto" w:fill="FFFFFF" w:themeFill="background1"/>
        <w:spacing w:line="560" w:lineRule="exact"/>
        <w:ind w:left="0" w:leftChars="0" w:firstLine="420" w:firstLineChars="0"/>
        <w:rPr>
          <w:rFonts w:asciiTheme="minorEastAsia" w:hAnsiTheme="minorEastAsia"/>
          <w:sz w:val="24"/>
          <w:szCs w:val="32"/>
        </w:rPr>
      </w:pPr>
      <w:r>
        <w:rPr>
          <w:rFonts w:asciiTheme="minorEastAsia" w:hAnsiTheme="minorEastAsia"/>
          <w:sz w:val="24"/>
          <w:szCs w:val="32"/>
        </w:rPr>
        <w:t>信息化运维项目监理服务应按照运维项目</w:t>
      </w:r>
      <w:r>
        <w:rPr>
          <w:rFonts w:hint="eastAsia" w:asciiTheme="minorEastAsia" w:hAnsiTheme="minorEastAsia"/>
          <w:sz w:val="24"/>
          <w:szCs w:val="32"/>
        </w:rPr>
        <w:t>的</w:t>
      </w:r>
      <w:r>
        <w:rPr>
          <w:rFonts w:asciiTheme="minorEastAsia" w:hAnsiTheme="minorEastAsia"/>
          <w:sz w:val="24"/>
          <w:szCs w:val="32"/>
        </w:rPr>
        <w:t>目标和要求，遵循国家、</w:t>
      </w:r>
      <w:r>
        <w:rPr>
          <w:rFonts w:hint="eastAsia" w:asciiTheme="minorEastAsia" w:hAnsiTheme="minorEastAsia"/>
          <w:sz w:val="24"/>
          <w:szCs w:val="32"/>
        </w:rPr>
        <w:t>上海</w:t>
      </w:r>
      <w:r>
        <w:rPr>
          <w:rFonts w:asciiTheme="minorEastAsia" w:hAnsiTheme="minorEastAsia"/>
          <w:sz w:val="24"/>
          <w:szCs w:val="32"/>
        </w:rPr>
        <w:t>市信</w:t>
      </w:r>
      <w:r>
        <w:rPr>
          <w:rFonts w:hint="eastAsia" w:asciiTheme="minorEastAsia" w:hAnsiTheme="minorEastAsia"/>
          <w:sz w:val="24"/>
          <w:szCs w:val="32"/>
        </w:rPr>
        <w:t>息系统工程运维、监理的标准和规范，以及《上海市大数据中心数字化建设项目全过程文档审核工作指南（试行）》要求，依据项目运维合同和用户需求，利用运维项目监理专业化知识，应用现代的项目管理技巧及手段，发挥监督、控制、协调、管理、咨询等职能作用，实施信息化项目运维的全流程管理，进一步提升信息化运维项目管理的科学规范化水平，确保项目信息全面、完整、真实、可靠、规范。</w:t>
      </w:r>
    </w:p>
    <w:p w14:paraId="47ABE15D">
      <w:pPr>
        <w:pStyle w:val="6"/>
        <w:shd w:val="clear" w:color="auto" w:fill="FFFFFF" w:themeFill="background1"/>
      </w:pPr>
      <w:bookmarkStart w:id="5" w:name="_Toc10140"/>
      <w:bookmarkStart w:id="6" w:name="_Toc25031"/>
      <w:r>
        <w:rPr>
          <w:rFonts w:hint="eastAsia"/>
        </w:rPr>
        <w:t>服务准则</w:t>
      </w:r>
    </w:p>
    <w:p w14:paraId="2D2A7FF0">
      <w:pPr>
        <w:keepNext w:val="0"/>
        <w:keepLines w:val="0"/>
        <w:pageBreakBefore w:val="0"/>
        <w:widowControl/>
        <w:shd w:val="clear" w:color="auto" w:fill="FFFFFF" w:themeFill="background1"/>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sz w:val="24"/>
          <w:szCs w:val="24"/>
        </w:rPr>
      </w:pPr>
      <w:r>
        <w:rPr>
          <w:rFonts w:hint="eastAsia" w:ascii="宋体" w:hAnsi="宋体" w:eastAsia="宋体" w:cs="宋体"/>
          <w:kern w:val="0"/>
          <w:sz w:val="24"/>
          <w:szCs w:val="24"/>
        </w:rPr>
        <w:t>遵照国家和上海市相关标准，以及《上海市大数据中心数字化建设项目全过程文档审核工作指南（试行）》，以“守法、诚信、公正、科学”的准则执业，具体应做到：</w:t>
      </w:r>
    </w:p>
    <w:p w14:paraId="231CF664">
      <w:pPr>
        <w:keepNext w:val="0"/>
        <w:keepLines w:val="0"/>
        <w:pageBreakBefore w:val="0"/>
        <w:widowControl/>
        <w:numPr>
          <w:ilvl w:val="0"/>
          <w:numId w:val="2"/>
        </w:numPr>
        <w:shd w:val="clear" w:color="auto" w:fill="FFFFFF" w:themeFill="background1"/>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hint="eastAsia" w:ascii="宋体" w:hAnsi="宋体" w:eastAsia="宋体" w:cs="宋体"/>
          <w:kern w:val="0"/>
          <w:sz w:val="24"/>
          <w:szCs w:val="24"/>
        </w:rPr>
        <w:t>执行信息化工程相关的法律、法规、规范、标准和制度，履行合同规定的义务和职责。</w:t>
      </w:r>
    </w:p>
    <w:p w14:paraId="12C0FC80">
      <w:pPr>
        <w:keepNext w:val="0"/>
        <w:keepLines w:val="0"/>
        <w:pageBreakBefore w:val="0"/>
        <w:widowControl/>
        <w:numPr>
          <w:ilvl w:val="0"/>
          <w:numId w:val="2"/>
        </w:numPr>
        <w:shd w:val="clear" w:color="auto" w:fill="FFFFFF" w:themeFill="background1"/>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hint="eastAsia" w:ascii="宋体" w:hAnsi="宋体" w:eastAsia="宋体" w:cs="宋体"/>
          <w:kern w:val="0"/>
          <w:sz w:val="24"/>
          <w:szCs w:val="24"/>
        </w:rPr>
        <w:t>不得与承担项目的运维服务单位发生经济利益关系。不得利用所处地位通过上述单位直接或间接获得益处。</w:t>
      </w:r>
    </w:p>
    <w:p w14:paraId="4CF0D8E1">
      <w:pPr>
        <w:keepNext w:val="0"/>
        <w:keepLines w:val="0"/>
        <w:pageBreakBefore w:val="0"/>
        <w:widowControl/>
        <w:numPr>
          <w:ilvl w:val="0"/>
          <w:numId w:val="2"/>
        </w:numPr>
        <w:shd w:val="clear" w:color="auto" w:fill="FFFFFF" w:themeFill="background1"/>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hint="eastAsia" w:ascii="宋体" w:hAnsi="宋体" w:eastAsia="宋体" w:cs="宋体"/>
          <w:kern w:val="0"/>
          <w:sz w:val="24"/>
          <w:szCs w:val="24"/>
        </w:rPr>
        <w:t>不泄露项目各方认为需要保密的事项。</w:t>
      </w:r>
    </w:p>
    <w:p w14:paraId="4102F069">
      <w:pPr>
        <w:keepNext w:val="0"/>
        <w:keepLines w:val="0"/>
        <w:pageBreakBefore w:val="0"/>
        <w:widowControl/>
        <w:numPr>
          <w:ilvl w:val="0"/>
          <w:numId w:val="2"/>
        </w:numPr>
        <w:shd w:val="clear" w:color="auto" w:fill="FFFFFF" w:themeFill="background1"/>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hint="eastAsia" w:ascii="宋体" w:hAnsi="宋体" w:eastAsia="宋体" w:cs="宋体"/>
          <w:kern w:val="0"/>
          <w:sz w:val="24"/>
          <w:szCs w:val="24"/>
        </w:rPr>
        <w:t>遵守国家法律和政府有关条例、规定和办法等。</w:t>
      </w:r>
    </w:p>
    <w:p w14:paraId="3C877BC4">
      <w:pPr>
        <w:keepNext w:val="0"/>
        <w:keepLines w:val="0"/>
        <w:pageBreakBefore w:val="0"/>
        <w:widowControl/>
        <w:numPr>
          <w:ilvl w:val="0"/>
          <w:numId w:val="2"/>
        </w:numPr>
        <w:shd w:val="clear" w:color="auto" w:fill="FFFFFF" w:themeFill="background1"/>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hint="eastAsia" w:ascii="宋体" w:hAnsi="宋体" w:eastAsia="宋体" w:cs="宋体"/>
          <w:kern w:val="0"/>
          <w:sz w:val="24"/>
          <w:szCs w:val="24"/>
        </w:rPr>
        <w:t>坚持第三方立场，独立、公平、公正地处理有关各方的争议。</w:t>
      </w:r>
    </w:p>
    <w:p w14:paraId="725AC705">
      <w:pPr>
        <w:keepNext w:val="0"/>
        <w:keepLines w:val="0"/>
        <w:pageBreakBefore w:val="0"/>
        <w:widowControl/>
        <w:numPr>
          <w:ilvl w:val="0"/>
          <w:numId w:val="2"/>
        </w:numPr>
        <w:shd w:val="clear" w:color="auto" w:fill="FFFFFF" w:themeFill="background1"/>
        <w:kinsoku/>
        <w:wordWrap/>
        <w:overflowPunct/>
        <w:topLinePunct w:val="0"/>
        <w:autoSpaceDE/>
        <w:autoSpaceDN/>
        <w:bidi w:val="0"/>
        <w:adjustRightInd/>
        <w:snapToGrid w:val="0"/>
        <w:spacing w:line="360" w:lineRule="auto"/>
        <w:jc w:val="left"/>
        <w:textAlignment w:val="auto"/>
        <w:rPr>
          <w:rFonts w:ascii="宋体" w:hAnsi="宋体" w:eastAsia="宋体" w:cs="宋体"/>
          <w:sz w:val="24"/>
          <w:szCs w:val="24"/>
        </w:rPr>
      </w:pPr>
      <w:r>
        <w:rPr>
          <w:rFonts w:hint="eastAsia" w:ascii="宋体" w:hAnsi="宋体" w:eastAsia="宋体" w:cs="宋体"/>
          <w:kern w:val="0"/>
          <w:sz w:val="24"/>
          <w:szCs w:val="24"/>
        </w:rPr>
        <w:t>坚持科学的工作态度和实事求是的工作原则。</w:t>
      </w:r>
    </w:p>
    <w:p w14:paraId="7D5648A7">
      <w:pPr>
        <w:pStyle w:val="6"/>
        <w:pageBreakBefore w:val="0"/>
        <w:shd w:val="clear" w:color="auto" w:fill="FFFFFF" w:themeFill="background1"/>
        <w:kinsoku/>
        <w:wordWrap/>
        <w:overflowPunct/>
        <w:topLinePunct w:val="0"/>
        <w:autoSpaceDE/>
        <w:autoSpaceDN/>
        <w:bidi w:val="0"/>
        <w:adjustRightInd/>
        <w:snapToGrid w:val="0"/>
        <w:spacing w:line="360" w:lineRule="auto"/>
        <w:textAlignment w:val="auto"/>
      </w:pPr>
      <w:r>
        <w:rPr>
          <w:rFonts w:hint="eastAsia"/>
        </w:rPr>
        <w:t>服务依据</w:t>
      </w:r>
    </w:p>
    <w:p w14:paraId="5FCA85B8">
      <w:pPr>
        <w:pageBreakBefore w:val="0"/>
        <w:widowControl/>
        <w:shd w:val="clear" w:color="auto" w:fill="FFFFFF" w:themeFill="background1"/>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1、国家和上海市有关信息系统工程监理的法规和标准；</w:t>
      </w:r>
    </w:p>
    <w:p w14:paraId="7FF5CF2F">
      <w:pPr>
        <w:pageBreakBefore w:val="0"/>
        <w:widowControl/>
        <w:shd w:val="clear" w:color="auto" w:fill="FFFFFF" w:themeFill="background1"/>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2、采购人与运维服务单位签订的运维合同；</w:t>
      </w:r>
    </w:p>
    <w:p w14:paraId="3850B362">
      <w:pPr>
        <w:pageBreakBefore w:val="0"/>
        <w:widowControl/>
        <w:shd w:val="clear" w:color="auto" w:fill="FFFFFF" w:themeFill="background1"/>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3、采购人与监理单位签订的监理合同；</w:t>
      </w:r>
    </w:p>
    <w:p w14:paraId="22F4447B">
      <w:pPr>
        <w:pageBreakBefore w:val="0"/>
        <w:widowControl/>
        <w:shd w:val="clear" w:color="auto" w:fill="FFFFFF" w:themeFill="background1"/>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4、有关国家和行业的技术标准；</w:t>
      </w:r>
    </w:p>
    <w:p w14:paraId="7B2F0CFC">
      <w:pPr>
        <w:pageBreakBefore w:val="0"/>
        <w:widowControl/>
        <w:shd w:val="clear" w:color="auto" w:fill="FFFFFF" w:themeFill="background1"/>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5、《上海市大数据中心数字化建设项目全过程文档审核工作指南（试行）》</w:t>
      </w:r>
    </w:p>
    <w:p w14:paraId="78520266">
      <w:pPr>
        <w:pageBreakBefore w:val="0"/>
        <w:widowControl/>
        <w:shd w:val="clear" w:color="auto" w:fill="FFFFFF" w:themeFill="background1"/>
        <w:kinsoku/>
        <w:wordWrap/>
        <w:overflowPunct/>
        <w:topLinePunct w:val="0"/>
        <w:autoSpaceDE/>
        <w:autoSpaceDN/>
        <w:bidi w:val="0"/>
        <w:adjustRightInd/>
        <w:snapToGrid w:val="0"/>
        <w:spacing w:line="360" w:lineRule="auto"/>
        <w:ind w:firstLine="420"/>
        <w:jc w:val="left"/>
        <w:textAlignment w:val="auto"/>
        <w:rPr>
          <w:rFonts w:ascii="宋体" w:hAnsi="宋体" w:eastAsia="宋体" w:cs="宋体"/>
          <w:kern w:val="0"/>
          <w:sz w:val="24"/>
          <w:szCs w:val="24"/>
        </w:rPr>
      </w:pPr>
      <w:r>
        <w:rPr>
          <w:rFonts w:hint="eastAsia" w:ascii="宋体" w:hAnsi="宋体" w:eastAsia="宋体" w:cs="宋体"/>
          <w:kern w:val="0"/>
          <w:sz w:val="24"/>
          <w:szCs w:val="24"/>
        </w:rPr>
        <w:t>6、如有国家或行业标准，按该标准执行；如无国家或行业标准或现有标准已经落后于技术发展而新的标准又尚未出台，则根据技术发展状况及需求向采购人提出采用何种市场通行的或先进厂家标准的论证和建议，经采购人同意后作为监理服务的依据。以上标准供监理单位参考，如有遇国家颁布新的标准则必须采用新标准。</w:t>
      </w:r>
    </w:p>
    <w:p w14:paraId="5BEDCB66">
      <w:pPr>
        <w:pStyle w:val="6"/>
        <w:pageBreakBefore w:val="0"/>
        <w:widowControl w:val="0"/>
        <w:shd w:val="clear" w:color="auto" w:fill="FFFFFF" w:themeFill="background1"/>
        <w:kinsoku/>
        <w:wordWrap/>
        <w:overflowPunct/>
        <w:topLinePunct w:val="0"/>
        <w:autoSpaceDE/>
        <w:autoSpaceDN/>
        <w:bidi w:val="0"/>
        <w:snapToGrid w:val="0"/>
        <w:spacing w:line="360" w:lineRule="auto"/>
        <w:textAlignment w:val="auto"/>
      </w:pPr>
      <w:r>
        <w:rPr>
          <w:rFonts w:hint="eastAsia"/>
        </w:rPr>
        <w:t>运维监理内容及要点</w:t>
      </w:r>
      <w:bookmarkEnd w:id="5"/>
      <w:bookmarkEnd w:id="6"/>
    </w:p>
    <w:p w14:paraId="364B2F8C">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主要从质量控制、费用控制、安全控制三方面进行控制；从文档管理、合同管理进行管理；并统筹协调各方关系。</w:t>
      </w:r>
    </w:p>
    <w:p w14:paraId="414094C4">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7" w:name="_Toc2790"/>
      <w:bookmarkStart w:id="8" w:name="_Toc6149"/>
      <w:r>
        <w:rPr>
          <w:rFonts w:hint="eastAsia"/>
        </w:rPr>
        <w:t>质量控制</w:t>
      </w:r>
      <w:bookmarkEnd w:id="7"/>
      <w:bookmarkEnd w:id="8"/>
    </w:p>
    <w:p w14:paraId="14C850EB">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质量控制的内容及要点如下：</w:t>
      </w:r>
    </w:p>
    <w:p w14:paraId="26C35971">
      <w:pPr>
        <w:pStyle w:val="60"/>
        <w:pageBreakBefore w:val="0"/>
        <w:widowControl w:val="0"/>
        <w:numPr>
          <w:ilvl w:val="0"/>
          <w:numId w:val="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督导运维服务商建立运维质量保证体系，包括但不限于：</w:t>
      </w:r>
    </w:p>
    <w:p w14:paraId="390BAFB8">
      <w:pPr>
        <w:pStyle w:val="60"/>
        <w:pageBreakBefore w:val="0"/>
        <w:widowControl w:val="0"/>
        <w:numPr>
          <w:ilvl w:val="0"/>
          <w:numId w:val="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运维质量保证计划；</w:t>
      </w:r>
    </w:p>
    <w:p w14:paraId="22ECE9A9">
      <w:pPr>
        <w:pStyle w:val="60"/>
        <w:pageBreakBefore w:val="0"/>
        <w:widowControl w:val="0"/>
        <w:numPr>
          <w:ilvl w:val="0"/>
          <w:numId w:val="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运维质量控制活动及相关规范流程；</w:t>
      </w:r>
    </w:p>
    <w:p w14:paraId="4F0B5B08">
      <w:pPr>
        <w:pStyle w:val="60"/>
        <w:pageBreakBefore w:val="0"/>
        <w:widowControl w:val="0"/>
        <w:numPr>
          <w:ilvl w:val="0"/>
          <w:numId w:val="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运维质量控制机构及人员职责权限、工作衔接关系、协调措施等；</w:t>
      </w:r>
    </w:p>
    <w:p w14:paraId="07F94907">
      <w:pPr>
        <w:pStyle w:val="60"/>
        <w:pageBreakBefore w:val="0"/>
        <w:widowControl w:val="0"/>
        <w:numPr>
          <w:ilvl w:val="0"/>
          <w:numId w:val="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满足运维质量要求的资源条件，如运维实施工具及设备等；</w:t>
      </w:r>
    </w:p>
    <w:p w14:paraId="3C816E50">
      <w:pPr>
        <w:pStyle w:val="60"/>
        <w:pageBreakBefore w:val="0"/>
        <w:widowControl w:val="0"/>
        <w:numPr>
          <w:ilvl w:val="0"/>
          <w:numId w:val="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满足运维质量要求的人员条件，如人员资质、技能经验要求、所需的培训等；</w:t>
      </w:r>
    </w:p>
    <w:p w14:paraId="422B3033">
      <w:pPr>
        <w:pStyle w:val="60"/>
        <w:pageBreakBefore w:val="0"/>
        <w:widowControl w:val="0"/>
        <w:numPr>
          <w:ilvl w:val="0"/>
          <w:numId w:val="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运维质量信息的反馈机制。</w:t>
      </w:r>
    </w:p>
    <w:p w14:paraId="136B36B9">
      <w:pPr>
        <w:pStyle w:val="60"/>
        <w:pageBreakBefore w:val="0"/>
        <w:widowControl w:val="0"/>
        <w:numPr>
          <w:ilvl w:val="0"/>
          <w:numId w:val="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以运维合同、相关补充协议等为依据，监督运维质量保证体系的落实及其日常运行情况，包括但不限于：</w:t>
      </w:r>
    </w:p>
    <w:p w14:paraId="4E3AA654">
      <w:pPr>
        <w:pStyle w:val="60"/>
        <w:pageBreakBefore w:val="0"/>
        <w:widowControl w:val="0"/>
        <w:numPr>
          <w:ilvl w:val="0"/>
          <w:numId w:val="5"/>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运维服务流程执行情况的审查与控制；</w:t>
      </w:r>
    </w:p>
    <w:p w14:paraId="3F98CEA7">
      <w:pPr>
        <w:pStyle w:val="60"/>
        <w:pageBreakBefore w:val="0"/>
        <w:widowControl w:val="0"/>
        <w:numPr>
          <w:ilvl w:val="0"/>
          <w:numId w:val="5"/>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运维服务过程与运维质量保证计划相符性监督；</w:t>
      </w:r>
    </w:p>
    <w:p w14:paraId="3CFE6CDD">
      <w:pPr>
        <w:pStyle w:val="60"/>
        <w:pageBreakBefore w:val="0"/>
        <w:widowControl w:val="0"/>
        <w:numPr>
          <w:ilvl w:val="0"/>
          <w:numId w:val="5"/>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运维服务成果的评价及相关运维文档的审查；</w:t>
      </w:r>
    </w:p>
    <w:p w14:paraId="70B5A678">
      <w:pPr>
        <w:pStyle w:val="60"/>
        <w:pageBreakBefore w:val="0"/>
        <w:widowControl w:val="0"/>
        <w:numPr>
          <w:ilvl w:val="0"/>
          <w:numId w:val="5"/>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重大运维事件的处置过程；</w:t>
      </w:r>
    </w:p>
    <w:p w14:paraId="0FDB97E1">
      <w:pPr>
        <w:pStyle w:val="60"/>
        <w:pageBreakBefore w:val="0"/>
        <w:widowControl w:val="0"/>
        <w:numPr>
          <w:ilvl w:val="0"/>
          <w:numId w:val="5"/>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运维项目的验收过程。</w:t>
      </w:r>
    </w:p>
    <w:p w14:paraId="73947B86">
      <w:pPr>
        <w:pStyle w:val="60"/>
        <w:pageBreakBefore w:val="0"/>
        <w:widowControl w:val="0"/>
        <w:numPr>
          <w:ilvl w:val="0"/>
          <w:numId w:val="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针对运维过程中的关键事件进行重点控制，包括但不限于：</w:t>
      </w:r>
    </w:p>
    <w:p w14:paraId="31AA75F3">
      <w:pPr>
        <w:pStyle w:val="60"/>
        <w:pageBreakBefore w:val="0"/>
        <w:widowControl w:val="0"/>
        <w:numPr>
          <w:ilvl w:val="0"/>
          <w:numId w:val="6"/>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由总监理工程师审核并组织相关专家进行论证；</w:t>
      </w:r>
    </w:p>
    <w:p w14:paraId="6B5CC5E3">
      <w:pPr>
        <w:pStyle w:val="60"/>
        <w:pageBreakBefore w:val="0"/>
        <w:widowControl w:val="0"/>
        <w:numPr>
          <w:ilvl w:val="0"/>
          <w:numId w:val="6"/>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跟踪关键操作和事件解决过程，发现质量问题并及时纠正，消除质量隐患。</w:t>
      </w:r>
    </w:p>
    <w:p w14:paraId="7EBACF51">
      <w:pPr>
        <w:pStyle w:val="60"/>
        <w:pageBreakBefore w:val="0"/>
        <w:widowControl w:val="0"/>
        <w:numPr>
          <w:ilvl w:val="0"/>
          <w:numId w:val="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督导运维服务商巡检执行情况，包括但不限于：</w:t>
      </w:r>
    </w:p>
    <w:p w14:paraId="43299E69">
      <w:pPr>
        <w:pStyle w:val="60"/>
        <w:pageBreakBefore w:val="0"/>
        <w:widowControl w:val="0"/>
        <w:numPr>
          <w:ilvl w:val="0"/>
          <w:numId w:val="7"/>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日常巡检安排及落实情况；</w:t>
      </w:r>
    </w:p>
    <w:p w14:paraId="729F364B">
      <w:pPr>
        <w:pStyle w:val="60"/>
        <w:pageBreakBefore w:val="0"/>
        <w:widowControl w:val="0"/>
        <w:numPr>
          <w:ilvl w:val="0"/>
          <w:numId w:val="7"/>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业务高峰期和特殊业务保障时期巡检安排及落实情况、人力保障到位情况等；</w:t>
      </w:r>
    </w:p>
    <w:p w14:paraId="541A3221">
      <w:pPr>
        <w:pStyle w:val="60"/>
        <w:pageBreakBefore w:val="0"/>
        <w:widowControl w:val="0"/>
        <w:numPr>
          <w:ilvl w:val="0"/>
          <w:numId w:val="7"/>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运维服务商巡检报告，故障报告、故障日志等信息。</w:t>
      </w:r>
    </w:p>
    <w:p w14:paraId="0256E9C7">
      <w:pPr>
        <w:pStyle w:val="60"/>
        <w:pageBreakBefore w:val="0"/>
        <w:widowControl w:val="0"/>
        <w:numPr>
          <w:ilvl w:val="0"/>
          <w:numId w:val="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对运维过程中的测试实施质量审查，包括但不限于：</w:t>
      </w:r>
    </w:p>
    <w:p w14:paraId="68AB9C15">
      <w:pPr>
        <w:pStyle w:val="60"/>
        <w:pageBreakBefore w:val="0"/>
        <w:widowControl w:val="0"/>
        <w:numPr>
          <w:ilvl w:val="0"/>
          <w:numId w:val="8"/>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监督评审运维服务商的测试计划、测试方案、测试实施过程及测试结果；</w:t>
      </w:r>
    </w:p>
    <w:p w14:paraId="39AC25B2">
      <w:pPr>
        <w:pStyle w:val="60"/>
        <w:pageBreakBefore w:val="0"/>
        <w:widowControl w:val="0"/>
        <w:numPr>
          <w:ilvl w:val="0"/>
          <w:numId w:val="8"/>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执行重要环节的监理测试。</w:t>
      </w:r>
    </w:p>
    <w:p w14:paraId="14C44BAD">
      <w:pPr>
        <w:pStyle w:val="60"/>
        <w:pageBreakBefore w:val="0"/>
        <w:widowControl w:val="0"/>
        <w:numPr>
          <w:ilvl w:val="0"/>
          <w:numId w:val="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实施运维质量评审，包括但不限于：</w:t>
      </w:r>
    </w:p>
    <w:p w14:paraId="5300ACEE">
      <w:pPr>
        <w:pStyle w:val="60"/>
        <w:pageBreakBefore w:val="0"/>
        <w:widowControl w:val="0"/>
        <w:numPr>
          <w:ilvl w:val="0"/>
          <w:numId w:val="9"/>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运维需求分析与运维服务商实施方案；</w:t>
      </w:r>
    </w:p>
    <w:p w14:paraId="68742665">
      <w:pPr>
        <w:pStyle w:val="60"/>
        <w:pageBreakBefore w:val="0"/>
        <w:widowControl w:val="0"/>
        <w:numPr>
          <w:ilvl w:val="0"/>
          <w:numId w:val="9"/>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运维服务商质量保证体系落实情况；</w:t>
      </w:r>
    </w:p>
    <w:p w14:paraId="7E82D97A">
      <w:pPr>
        <w:pStyle w:val="60"/>
        <w:pageBreakBefore w:val="0"/>
        <w:widowControl w:val="0"/>
        <w:numPr>
          <w:ilvl w:val="0"/>
          <w:numId w:val="9"/>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运维服务商运维过程文档；</w:t>
      </w:r>
    </w:p>
    <w:p w14:paraId="049AFF91">
      <w:pPr>
        <w:pStyle w:val="60"/>
        <w:pageBreakBefore w:val="0"/>
        <w:widowControl w:val="0"/>
        <w:numPr>
          <w:ilvl w:val="0"/>
          <w:numId w:val="9"/>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运维验收方案；</w:t>
      </w:r>
    </w:p>
    <w:p w14:paraId="7909B253">
      <w:pPr>
        <w:pStyle w:val="60"/>
        <w:pageBreakBefore w:val="0"/>
        <w:widowControl w:val="0"/>
        <w:numPr>
          <w:ilvl w:val="0"/>
          <w:numId w:val="9"/>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其他需要会审的重要方案。</w:t>
      </w:r>
    </w:p>
    <w:p w14:paraId="5EC4A75B">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9" w:name="_Toc9007"/>
      <w:bookmarkStart w:id="10" w:name="_Toc697"/>
      <w:r>
        <w:rPr>
          <w:rFonts w:hint="eastAsia"/>
        </w:rPr>
        <w:t>费用控制</w:t>
      </w:r>
      <w:bookmarkEnd w:id="9"/>
      <w:bookmarkEnd w:id="10"/>
    </w:p>
    <w:p w14:paraId="71108D5C">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费用控制的内容及要点如下：</w:t>
      </w:r>
    </w:p>
    <w:p w14:paraId="4DA84B4D">
      <w:pPr>
        <w:pStyle w:val="60"/>
        <w:pageBreakBefore w:val="0"/>
        <w:widowControl w:val="0"/>
        <w:numPr>
          <w:ilvl w:val="0"/>
          <w:numId w:val="1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掌握招投标文件、合同文件及相关补充协议中有关运维费用相关奖惩条例的条款；</w:t>
      </w:r>
    </w:p>
    <w:p w14:paraId="7F758CD4">
      <w:pPr>
        <w:pStyle w:val="60"/>
        <w:pageBreakBefore w:val="0"/>
        <w:widowControl w:val="0"/>
        <w:numPr>
          <w:ilvl w:val="0"/>
          <w:numId w:val="1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核定运维服务商的实际工作量，审核各阶段的各类运维项目付款执行单据；</w:t>
      </w:r>
    </w:p>
    <w:p w14:paraId="25C8A2D9">
      <w:pPr>
        <w:pStyle w:val="60"/>
        <w:pageBreakBefore w:val="0"/>
        <w:widowControl w:val="0"/>
        <w:numPr>
          <w:ilvl w:val="0"/>
          <w:numId w:val="1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跟踪运维总集商对分包商的款项支付情况；</w:t>
      </w:r>
    </w:p>
    <w:p w14:paraId="370DB22F">
      <w:pPr>
        <w:pStyle w:val="60"/>
        <w:pageBreakBefore w:val="0"/>
        <w:widowControl w:val="0"/>
        <w:numPr>
          <w:ilvl w:val="0"/>
          <w:numId w:val="1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针对运维过程中的索赔事项，审核各项索赔金额；</w:t>
      </w:r>
    </w:p>
    <w:p w14:paraId="40DCA39E">
      <w:pPr>
        <w:pStyle w:val="60"/>
        <w:pageBreakBefore w:val="0"/>
        <w:widowControl w:val="0"/>
        <w:numPr>
          <w:ilvl w:val="0"/>
          <w:numId w:val="1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督导运维各阶段付款流程，包括但不限于：</w:t>
      </w:r>
    </w:p>
    <w:p w14:paraId="4E3895D4">
      <w:pPr>
        <w:pStyle w:val="60"/>
        <w:pageBreakBefore w:val="0"/>
        <w:widowControl w:val="0"/>
        <w:numPr>
          <w:ilvl w:val="0"/>
          <w:numId w:val="11"/>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由总监理工程师依据运维合同及相关补充协议，审核运维服务商提交的阶段性运维总结报告，满足付款条件时，报送采购人。</w:t>
      </w:r>
    </w:p>
    <w:p w14:paraId="5C17625C">
      <w:pPr>
        <w:pStyle w:val="60"/>
        <w:pageBreakBefore w:val="0"/>
        <w:widowControl w:val="0"/>
        <w:numPr>
          <w:ilvl w:val="0"/>
          <w:numId w:val="11"/>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如果有不建议支付的情况出现，应该给用户单位提交专题监理报告，说明原因，同时约请用户与运维服务商面谈，指出问题，要求整改，在整改完成后再行评价该阶段运维费可否支付。</w:t>
      </w:r>
    </w:p>
    <w:p w14:paraId="20570C15">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11" w:name="_Toc20787"/>
      <w:bookmarkStart w:id="12" w:name="_Toc14880"/>
      <w:r>
        <w:rPr>
          <w:rFonts w:hint="eastAsia"/>
        </w:rPr>
        <w:t>安全控制</w:t>
      </w:r>
      <w:bookmarkEnd w:id="11"/>
      <w:bookmarkEnd w:id="12"/>
    </w:p>
    <w:p w14:paraId="161C56A5">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安全控制的内容及要点如下：</w:t>
      </w:r>
    </w:p>
    <w:p w14:paraId="229D5E4B">
      <w:pPr>
        <w:pStyle w:val="60"/>
        <w:pageBreakBefore w:val="0"/>
        <w:widowControl w:val="0"/>
        <w:numPr>
          <w:ilvl w:val="0"/>
          <w:numId w:val="12"/>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协助采购人分析信息系统的安全运行保障方案与系统的可用性、保密性、完整性及可维护性等方面的协调性，避免技术及管理方面的冲突；</w:t>
      </w:r>
    </w:p>
    <w:p w14:paraId="54F85875">
      <w:pPr>
        <w:pStyle w:val="60"/>
        <w:pageBreakBefore w:val="0"/>
        <w:widowControl w:val="0"/>
        <w:numPr>
          <w:ilvl w:val="0"/>
          <w:numId w:val="12"/>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督导运维服务商进行信息系统运维安全规划，应至少建议运维服务商从以下几方面规划运维安全管理：</w:t>
      </w:r>
    </w:p>
    <w:p w14:paraId="04C9DDD8">
      <w:pPr>
        <w:pStyle w:val="60"/>
        <w:pageBreakBefore w:val="0"/>
        <w:widowControl w:val="0"/>
        <w:numPr>
          <w:ilvl w:val="0"/>
          <w:numId w:val="1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人员安全管理；</w:t>
      </w:r>
    </w:p>
    <w:p w14:paraId="4F0AB1B1">
      <w:pPr>
        <w:pStyle w:val="60"/>
        <w:pageBreakBefore w:val="0"/>
        <w:widowControl w:val="0"/>
        <w:numPr>
          <w:ilvl w:val="0"/>
          <w:numId w:val="1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物理与环境保护，如访问控制、数据安全等；</w:t>
      </w:r>
    </w:p>
    <w:p w14:paraId="6A1B1C5D">
      <w:pPr>
        <w:pStyle w:val="60"/>
        <w:pageBreakBefore w:val="0"/>
        <w:widowControl w:val="0"/>
        <w:numPr>
          <w:ilvl w:val="0"/>
          <w:numId w:val="1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输入输出控制，运维监理须建议并提醒运维服务商对系统的输入输出信息或介质建立管理机制；</w:t>
      </w:r>
    </w:p>
    <w:p w14:paraId="1DF27F33">
      <w:pPr>
        <w:pStyle w:val="60"/>
        <w:pageBreakBefore w:val="0"/>
        <w:widowControl w:val="0"/>
        <w:numPr>
          <w:ilvl w:val="0"/>
          <w:numId w:val="1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制定突发事件应急计划，运维监理须建议、提醒运维服务商针对不同的系统故障或灾难制定应急计划，编写紧急故障恢复操作指南，并对每个岗位的工作人员按照所担任角色进行培训和演练；</w:t>
      </w:r>
    </w:p>
    <w:p w14:paraId="417C5D3B">
      <w:pPr>
        <w:pStyle w:val="60"/>
        <w:pageBreakBefore w:val="0"/>
        <w:widowControl w:val="0"/>
        <w:numPr>
          <w:ilvl w:val="0"/>
          <w:numId w:val="1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数据完整性与有效性控制，运维监理须建议、提醒运维服务商规划和评估系统的备份与恢复措施、病毒和恶意攻击防范与检测机制、运维事件监控日志、记录机制等；</w:t>
      </w:r>
    </w:p>
    <w:p w14:paraId="24B62093">
      <w:pPr>
        <w:pStyle w:val="60"/>
        <w:pageBreakBefore w:val="0"/>
        <w:widowControl w:val="0"/>
        <w:numPr>
          <w:ilvl w:val="0"/>
          <w:numId w:val="1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安全文档管理，运维监理工程师要建议、提醒运维服务商建立运维安全文档管理机制，保障运维过程文档的完整性、规范性，以及与实际运维操作过程的一致性、可追溯性；</w:t>
      </w:r>
    </w:p>
    <w:p w14:paraId="1947F2C9">
      <w:pPr>
        <w:pStyle w:val="60"/>
        <w:pageBreakBefore w:val="0"/>
        <w:widowControl w:val="0"/>
        <w:numPr>
          <w:ilvl w:val="0"/>
          <w:numId w:val="13"/>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安全教育与培训，运维监理要建议、提醒运维服务商建立定期安全教育与培训的制度。</w:t>
      </w:r>
    </w:p>
    <w:p w14:paraId="7228B237">
      <w:pPr>
        <w:pStyle w:val="60"/>
        <w:pageBreakBefore w:val="0"/>
        <w:widowControl w:val="0"/>
        <w:numPr>
          <w:ilvl w:val="0"/>
          <w:numId w:val="12"/>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督导运维服务商进行信息系统运维安全管理教育，包括但不限于：</w:t>
      </w:r>
    </w:p>
    <w:p w14:paraId="2EF7398B">
      <w:pPr>
        <w:pStyle w:val="60"/>
        <w:pageBreakBefore w:val="0"/>
        <w:widowControl w:val="0"/>
        <w:numPr>
          <w:ilvl w:val="0"/>
          <w:numId w:val="1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信息系统运维相关法律法规教育；</w:t>
      </w:r>
    </w:p>
    <w:p w14:paraId="19F1C7BE">
      <w:pPr>
        <w:pStyle w:val="60"/>
        <w:pageBreakBefore w:val="0"/>
        <w:widowControl w:val="0"/>
        <w:numPr>
          <w:ilvl w:val="0"/>
          <w:numId w:val="1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信息系统运维安全基础知识教育，如网络安全教育、运行安全教育、安全技术教育等；</w:t>
      </w:r>
    </w:p>
    <w:p w14:paraId="7EAF97D1">
      <w:pPr>
        <w:pStyle w:val="60"/>
        <w:pageBreakBefore w:val="0"/>
        <w:widowControl w:val="0"/>
        <w:numPr>
          <w:ilvl w:val="0"/>
          <w:numId w:val="14"/>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信息系统运维职业道德教育。</w:t>
      </w:r>
    </w:p>
    <w:p w14:paraId="1E444829">
      <w:pPr>
        <w:pStyle w:val="60"/>
        <w:pageBreakBefore w:val="0"/>
        <w:widowControl w:val="0"/>
        <w:numPr>
          <w:ilvl w:val="0"/>
          <w:numId w:val="12"/>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督导运维服务商依据安全制度规范，建立安全意识，严格执行安全运维操作。</w:t>
      </w:r>
    </w:p>
    <w:p w14:paraId="0542AC05">
      <w:pPr>
        <w:pStyle w:val="60"/>
        <w:pageBreakBefore w:val="0"/>
        <w:widowControl w:val="0"/>
        <w:numPr>
          <w:ilvl w:val="0"/>
          <w:numId w:val="12"/>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督导运维服务商按照技术标准和运维方案执行运维操作，检查运维服务商是否存在安全隐患行为。</w:t>
      </w:r>
    </w:p>
    <w:p w14:paraId="72A5867D">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13" w:name="_Toc27516"/>
      <w:bookmarkStart w:id="14" w:name="_Toc3342"/>
      <w:r>
        <w:rPr>
          <w:rFonts w:hint="eastAsia"/>
        </w:rPr>
        <w:t>变更管理</w:t>
      </w:r>
      <w:bookmarkEnd w:id="13"/>
      <w:bookmarkEnd w:id="14"/>
    </w:p>
    <w:p w14:paraId="6D044C67">
      <w:pPr>
        <w:pageBreakBefore w:val="0"/>
        <w:widowControl w:val="0"/>
        <w:numPr>
          <w:ilvl w:val="0"/>
          <w:numId w:val="15"/>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变更管理目标</w:t>
      </w:r>
    </w:p>
    <w:p w14:paraId="1B1366BE">
      <w:pPr>
        <w:pageBreakBefore w:val="0"/>
        <w:widowControl w:val="0"/>
        <w:shd w:val="clear" w:color="auto" w:fill="FFFFFF" w:themeFill="background1"/>
        <w:kinsoku/>
        <w:wordWrap/>
        <w:overflowPunct/>
        <w:topLinePunct w:val="0"/>
        <w:autoSpaceDE/>
        <w:autoSpaceDN/>
        <w:bidi w:val="0"/>
        <w:snapToGrid w:val="0"/>
        <w:spacing w:line="360" w:lineRule="auto"/>
        <w:ind w:firstLine="480"/>
        <w:textAlignment w:val="auto"/>
        <w:rPr>
          <w:sz w:val="24"/>
          <w:szCs w:val="24"/>
        </w:rPr>
      </w:pPr>
      <w:r>
        <w:rPr>
          <w:rFonts w:hint="eastAsia"/>
          <w:sz w:val="24"/>
          <w:szCs w:val="24"/>
        </w:rPr>
        <w:t>为了实现既定的目标，通过对各种变更引起的质量、进度和投资方面变化的分析，采取积极的应对措施，规避风险，保证项目的顺利进行，实现项目的运维目标。</w:t>
      </w:r>
    </w:p>
    <w:p w14:paraId="5D7C54DB">
      <w:pPr>
        <w:pageBreakBefore w:val="0"/>
        <w:widowControl w:val="0"/>
        <w:numPr>
          <w:ilvl w:val="0"/>
          <w:numId w:val="15"/>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变更控制</w:t>
      </w:r>
    </w:p>
    <w:p w14:paraId="263E0032">
      <w:pPr>
        <w:pageBreakBefore w:val="0"/>
        <w:widowControl w:val="0"/>
        <w:numPr>
          <w:ilvl w:val="0"/>
          <w:numId w:val="16"/>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sz w:val="24"/>
          <w:szCs w:val="24"/>
        </w:rPr>
        <w:t>对项目变更控制，明确界定项目变更的目标，防止变更范围的扩大化，加强变更风险以及变更效果的评估</w:t>
      </w:r>
      <w:r>
        <w:rPr>
          <w:rFonts w:hint="eastAsia"/>
          <w:sz w:val="24"/>
          <w:szCs w:val="24"/>
        </w:rPr>
        <w:t>；</w:t>
      </w:r>
    </w:p>
    <w:p w14:paraId="27B3B0F8">
      <w:pPr>
        <w:pageBreakBefore w:val="0"/>
        <w:widowControl w:val="0"/>
        <w:numPr>
          <w:ilvl w:val="0"/>
          <w:numId w:val="16"/>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sz w:val="24"/>
          <w:szCs w:val="24"/>
        </w:rPr>
        <w:t>对变更申请及时响应</w:t>
      </w:r>
      <w:r>
        <w:rPr>
          <w:rFonts w:hint="eastAsia"/>
          <w:sz w:val="24"/>
          <w:szCs w:val="24"/>
        </w:rPr>
        <w:t>，</w:t>
      </w:r>
      <w:r>
        <w:rPr>
          <w:sz w:val="24"/>
          <w:szCs w:val="24"/>
        </w:rPr>
        <w:t>任何变更都应在实施前进行评估，选择冲击最小的变更方案；</w:t>
      </w:r>
    </w:p>
    <w:p w14:paraId="53F9E146">
      <w:pPr>
        <w:pageBreakBefore w:val="0"/>
        <w:widowControl w:val="0"/>
        <w:numPr>
          <w:ilvl w:val="0"/>
          <w:numId w:val="16"/>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sz w:val="24"/>
          <w:szCs w:val="24"/>
        </w:rPr>
        <w:t>任何变更都要得到三方（</w:t>
      </w:r>
      <w:r>
        <w:rPr>
          <w:rFonts w:hint="eastAsia"/>
          <w:sz w:val="24"/>
          <w:szCs w:val="24"/>
        </w:rPr>
        <w:t>采购人</w:t>
      </w:r>
      <w:r>
        <w:rPr>
          <w:sz w:val="24"/>
          <w:szCs w:val="24"/>
        </w:rPr>
        <w:t>、监理单位和承建单位）的书面确认。</w:t>
      </w:r>
    </w:p>
    <w:p w14:paraId="37D9BD01">
      <w:pPr>
        <w:pageBreakBefore w:val="0"/>
        <w:widowControl w:val="0"/>
        <w:numPr>
          <w:ilvl w:val="0"/>
          <w:numId w:val="15"/>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变更监督执行</w:t>
      </w:r>
    </w:p>
    <w:p w14:paraId="3FD9F97D">
      <w:pPr>
        <w:pageBreakBefore w:val="0"/>
        <w:widowControl w:val="0"/>
        <w:shd w:val="clear" w:color="auto" w:fill="FFFFFF" w:themeFill="background1"/>
        <w:kinsoku/>
        <w:wordWrap/>
        <w:overflowPunct/>
        <w:topLinePunct w:val="0"/>
        <w:autoSpaceDE/>
        <w:autoSpaceDN/>
        <w:bidi w:val="0"/>
        <w:snapToGrid w:val="0"/>
        <w:spacing w:line="360" w:lineRule="auto"/>
        <w:ind w:firstLine="480"/>
        <w:textAlignment w:val="auto"/>
        <w:rPr>
          <w:sz w:val="24"/>
          <w:szCs w:val="24"/>
        </w:rPr>
      </w:pPr>
      <w:r>
        <w:rPr>
          <w:rFonts w:hint="eastAsia"/>
          <w:sz w:val="24"/>
          <w:szCs w:val="24"/>
        </w:rPr>
        <w:t>变更后的内容须纳入正常的监理工作范围里，监理工程师对变更部分的内容要密切注意，及时发现变更引起的超过估计的后果，以便及时控制和处理。</w:t>
      </w:r>
    </w:p>
    <w:p w14:paraId="7BD1D1DD">
      <w:pPr>
        <w:pageBreakBefore w:val="0"/>
        <w:widowControl w:val="0"/>
        <w:numPr>
          <w:ilvl w:val="0"/>
          <w:numId w:val="17"/>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监理单位定期作变更控制情况报告；</w:t>
      </w:r>
    </w:p>
    <w:p w14:paraId="376CC270">
      <w:pPr>
        <w:pageBreakBefore w:val="0"/>
        <w:widowControl w:val="0"/>
        <w:numPr>
          <w:ilvl w:val="0"/>
          <w:numId w:val="17"/>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经正式批准的文档由监理单位统一负责管理并监督跟踪变更后续的程序调整、文档版本更新或变更过程中其他的调整要求等工作；</w:t>
      </w:r>
    </w:p>
    <w:p w14:paraId="06ED5B7A">
      <w:pPr>
        <w:pageBreakBefore w:val="0"/>
        <w:widowControl w:val="0"/>
        <w:numPr>
          <w:ilvl w:val="0"/>
          <w:numId w:val="17"/>
        </w:numPr>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项目变更过程记录资料由监理单位负责收集整理以便及时查阅，并在竣工验收时一并归档。</w:t>
      </w:r>
    </w:p>
    <w:p w14:paraId="6FF10CB4">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15" w:name="_Toc10867"/>
      <w:bookmarkStart w:id="16" w:name="_Toc29728"/>
      <w:r>
        <w:rPr>
          <w:rFonts w:hint="eastAsia"/>
        </w:rPr>
        <w:t>文档管理</w:t>
      </w:r>
      <w:bookmarkEnd w:id="15"/>
      <w:bookmarkEnd w:id="16"/>
    </w:p>
    <w:p w14:paraId="2DA71A27">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信息系统运维监理文档管理的内容及要点如下：</w:t>
      </w:r>
    </w:p>
    <w:p w14:paraId="2A09E6D0">
      <w:pPr>
        <w:pStyle w:val="60"/>
        <w:pageBreakBefore w:val="0"/>
        <w:widowControl w:val="0"/>
        <w:numPr>
          <w:ilvl w:val="0"/>
          <w:numId w:val="18"/>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建立信息系统运维文档管理计划，包括但不限于:</w:t>
      </w:r>
    </w:p>
    <w:p w14:paraId="5CB08C00">
      <w:pPr>
        <w:pStyle w:val="60"/>
        <w:pageBreakBefore w:val="0"/>
        <w:widowControl w:val="0"/>
        <w:numPr>
          <w:ilvl w:val="0"/>
          <w:numId w:val="19"/>
        </w:numPr>
        <w:shd w:val="clear" w:color="auto" w:fill="FFFFFF" w:themeFill="background1"/>
        <w:kinsoku/>
        <w:wordWrap/>
        <w:overflowPunct/>
        <w:topLinePunct w:val="0"/>
        <w:autoSpaceDE/>
        <w:autoSpaceDN/>
        <w:bidi w:val="0"/>
        <w:snapToGrid w:val="0"/>
        <w:spacing w:line="360" w:lineRule="auto"/>
        <w:jc w:val="left"/>
        <w:textAlignment w:val="auto"/>
        <w:rPr>
          <w:rFonts w:ascii="宋体" w:hAnsi="宋体" w:eastAsia="宋体" w:cs="宋体"/>
          <w:szCs w:val="24"/>
        </w:rPr>
      </w:pPr>
      <w:r>
        <w:rPr>
          <w:rFonts w:hint="eastAsia" w:ascii="宋体" w:hAnsi="宋体" w:eastAsia="宋体" w:cs="宋体"/>
          <w:szCs w:val="24"/>
        </w:rPr>
        <w:t>明确信息系统运维文档的管理范围；</w:t>
      </w:r>
    </w:p>
    <w:p w14:paraId="1E6FD549">
      <w:pPr>
        <w:pStyle w:val="60"/>
        <w:pageBreakBefore w:val="0"/>
        <w:widowControl w:val="0"/>
        <w:numPr>
          <w:ilvl w:val="0"/>
          <w:numId w:val="19"/>
        </w:numPr>
        <w:shd w:val="clear" w:color="auto" w:fill="FFFFFF" w:themeFill="background1"/>
        <w:kinsoku/>
        <w:wordWrap/>
        <w:overflowPunct/>
        <w:topLinePunct w:val="0"/>
        <w:autoSpaceDE/>
        <w:autoSpaceDN/>
        <w:bidi w:val="0"/>
        <w:snapToGrid w:val="0"/>
        <w:spacing w:line="360" w:lineRule="auto"/>
        <w:jc w:val="left"/>
        <w:textAlignment w:val="auto"/>
        <w:rPr>
          <w:rFonts w:ascii="宋体" w:hAnsi="宋体" w:eastAsia="宋体" w:cs="宋体"/>
          <w:szCs w:val="24"/>
        </w:rPr>
      </w:pPr>
      <w:r>
        <w:rPr>
          <w:rFonts w:hint="eastAsia" w:ascii="宋体" w:hAnsi="宋体" w:eastAsia="宋体" w:cs="宋体"/>
          <w:szCs w:val="24"/>
        </w:rPr>
        <w:t>设置运维监理文档管理组织及专员；</w:t>
      </w:r>
    </w:p>
    <w:p w14:paraId="455A86F0">
      <w:pPr>
        <w:pStyle w:val="60"/>
        <w:pageBreakBefore w:val="0"/>
        <w:widowControl w:val="0"/>
        <w:numPr>
          <w:ilvl w:val="0"/>
          <w:numId w:val="19"/>
        </w:numPr>
        <w:shd w:val="clear" w:color="auto" w:fill="FFFFFF" w:themeFill="background1"/>
        <w:kinsoku/>
        <w:wordWrap/>
        <w:overflowPunct/>
        <w:topLinePunct w:val="0"/>
        <w:autoSpaceDE/>
        <w:autoSpaceDN/>
        <w:bidi w:val="0"/>
        <w:snapToGrid w:val="0"/>
        <w:spacing w:line="360" w:lineRule="auto"/>
        <w:jc w:val="left"/>
        <w:textAlignment w:val="auto"/>
        <w:rPr>
          <w:rFonts w:ascii="宋体" w:hAnsi="宋体" w:eastAsia="宋体" w:cs="宋体"/>
          <w:szCs w:val="24"/>
        </w:rPr>
      </w:pPr>
      <w:r>
        <w:rPr>
          <w:rFonts w:hint="eastAsia" w:ascii="宋体" w:hAnsi="宋体" w:eastAsia="宋体" w:cs="宋体"/>
          <w:szCs w:val="24"/>
        </w:rPr>
        <w:t>制定运维文档管理相关的制度、规范、流程。</w:t>
      </w:r>
    </w:p>
    <w:p w14:paraId="10390EA5">
      <w:pPr>
        <w:pStyle w:val="60"/>
        <w:pageBreakBefore w:val="0"/>
        <w:widowControl w:val="0"/>
        <w:numPr>
          <w:ilvl w:val="0"/>
          <w:numId w:val="18"/>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建立运维服务过程单据和文档模板体系，督导运维服务商按照统一规范的文本形式及格式，在运维服务过程整编制各类单据及文档，这些文档包括但不限于：</w:t>
      </w:r>
    </w:p>
    <w:p w14:paraId="39B68731">
      <w:pPr>
        <w:pStyle w:val="60"/>
        <w:pageBreakBefore w:val="0"/>
        <w:widowControl w:val="0"/>
        <w:numPr>
          <w:ilvl w:val="0"/>
          <w:numId w:val="2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运维总控类文档，如运维实施方案、运维技术方案、运维质量保证计划、运维监理规划及实施细则等；</w:t>
      </w:r>
    </w:p>
    <w:p w14:paraId="1D4C52E1">
      <w:pPr>
        <w:pStyle w:val="60"/>
        <w:pageBreakBefore w:val="0"/>
        <w:widowControl w:val="0"/>
        <w:numPr>
          <w:ilvl w:val="0"/>
          <w:numId w:val="2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运维监理实施类文档，如运维变更文档、运维监理月报、运维监理专题报告、运维项目验收监理总结报告等；</w:t>
      </w:r>
    </w:p>
    <w:p w14:paraId="6B1E2F75">
      <w:pPr>
        <w:pStyle w:val="60"/>
        <w:pageBreakBefore w:val="0"/>
        <w:widowControl w:val="0"/>
        <w:numPr>
          <w:ilvl w:val="0"/>
          <w:numId w:val="20"/>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运维监理批复类文档，如运维监理专题意见等。</w:t>
      </w:r>
    </w:p>
    <w:p w14:paraId="2F5889AA">
      <w:pPr>
        <w:pStyle w:val="60"/>
        <w:pageBreakBefore w:val="0"/>
        <w:widowControl w:val="0"/>
        <w:numPr>
          <w:ilvl w:val="0"/>
          <w:numId w:val="18"/>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对运维服务商提交的各类单据和文档执行质量评审。</w:t>
      </w:r>
    </w:p>
    <w:p w14:paraId="1F830A25">
      <w:pPr>
        <w:pStyle w:val="60"/>
        <w:pageBreakBefore w:val="0"/>
        <w:widowControl w:val="0"/>
        <w:numPr>
          <w:ilvl w:val="0"/>
          <w:numId w:val="18"/>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审查运维服务商所编制的运维单据及文档内容与实际操作、系统变更情况等信息的一致性和同步性。</w:t>
      </w:r>
    </w:p>
    <w:p w14:paraId="6349220C">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17" w:name="_Toc14165"/>
      <w:bookmarkStart w:id="18" w:name="_Toc22968"/>
      <w:r>
        <w:rPr>
          <w:rFonts w:hint="eastAsia"/>
        </w:rPr>
        <w:t>合同管理</w:t>
      </w:r>
      <w:bookmarkEnd w:id="17"/>
      <w:bookmarkEnd w:id="18"/>
    </w:p>
    <w:p w14:paraId="7075B0A6">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对运维合同的执行、变更和终止进行全过程监控。信息系统运维监理合同管理的内容及要点如下：</w:t>
      </w:r>
    </w:p>
    <w:p w14:paraId="575244D4">
      <w:pPr>
        <w:pStyle w:val="60"/>
        <w:pageBreakBefore w:val="0"/>
        <w:widowControl w:val="0"/>
        <w:numPr>
          <w:ilvl w:val="0"/>
          <w:numId w:val="21"/>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合同的执行过程运维监理的工作重点</w:t>
      </w:r>
    </w:p>
    <w:p w14:paraId="5913FB94">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做好合同控制和监督，保证合同所约定的各项义务的全面完成及各项权利的实现，以合同分析的成果为基准，对整个合同实施过程的全面监督、检查、对比、引导及纠正的管理活动。重点监理动作有：针对具体的合同事件，尤其是运维服务过程的质量事件应以合同约定的标准进行处理；以合同为依据，对运维服务商的运维服务缺陷提出意见，提出警告，责成其改进；根据合同约定，及时提请用户支付运维项目款项；了解合同执行的总体情况，如整体运维项目的秩序如何，已完成运维工作是否通过验收或评价，有无大的运维事故，计划和实际成本有无大的偏差等。</w:t>
      </w:r>
    </w:p>
    <w:p w14:paraId="7B4B7FA9">
      <w:pPr>
        <w:pStyle w:val="60"/>
        <w:pageBreakBefore w:val="0"/>
        <w:widowControl w:val="0"/>
        <w:numPr>
          <w:ilvl w:val="0"/>
          <w:numId w:val="21"/>
        </w:numPr>
        <w:shd w:val="clear" w:color="auto" w:fill="FFFFFF" w:themeFill="background1"/>
        <w:kinsoku/>
        <w:wordWrap/>
        <w:overflowPunct/>
        <w:topLinePunct w:val="0"/>
        <w:autoSpaceDE/>
        <w:autoSpaceDN/>
        <w:bidi w:val="0"/>
        <w:snapToGrid w:val="0"/>
        <w:spacing w:line="360" w:lineRule="auto"/>
        <w:jc w:val="left"/>
        <w:textAlignment w:val="auto"/>
        <w:rPr>
          <w:szCs w:val="24"/>
        </w:rPr>
      </w:pPr>
      <w:r>
        <w:rPr>
          <w:rFonts w:hint="eastAsia"/>
          <w:szCs w:val="24"/>
        </w:rPr>
        <w:t>合同变更及索赔的监理</w:t>
      </w:r>
    </w:p>
    <w:p w14:paraId="79678141">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运维监理工程师在信息系统运维合同管理的过程中，应掌握各类合同中的每一项内容，用文件记录代替口头协议。运维项目细节文件的记录应包括下列内容：信件、会议记录、运维服务商的规定、指示、更换方案的书面记录及特定的现场情况等。在信息系统运维实施过程中，运维监理工程师应认真研究合同条件，关注信息系统运维动态，在合同履行出现困难时，积极找寻索赔依据，计算出索赔费用，及时提出合同索赔建议，做好索赔的协调工作。</w:t>
      </w:r>
    </w:p>
    <w:p w14:paraId="2590FDB1">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p>
    <w:p w14:paraId="21374173">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19" w:name="_Toc28442"/>
      <w:bookmarkStart w:id="20" w:name="_Toc31861"/>
      <w:r>
        <w:rPr>
          <w:rFonts w:hint="eastAsia"/>
        </w:rPr>
        <w:t>统筹协调</w:t>
      </w:r>
      <w:bookmarkEnd w:id="19"/>
      <w:bookmarkEnd w:id="20"/>
    </w:p>
    <w:p w14:paraId="4B0DB8C6">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负责协调本项目所涉及的各单位之间的工作关系，并协调解决项目过程中的各类纠纷。监理方应通过必要的会议制度来实施协调工作，主要会议包括但不限于：</w:t>
      </w:r>
    </w:p>
    <w:p w14:paraId="53E88CDE">
      <w:pPr>
        <w:pStyle w:val="60"/>
        <w:pageBreakBefore w:val="0"/>
        <w:widowControl w:val="0"/>
        <w:numPr>
          <w:ilvl w:val="0"/>
          <w:numId w:val="22"/>
        </w:numPr>
        <w:shd w:val="clear" w:color="auto" w:fill="FFFFFF" w:themeFill="background1"/>
        <w:kinsoku/>
        <w:wordWrap/>
        <w:overflowPunct/>
        <w:topLinePunct w:val="0"/>
        <w:autoSpaceDE/>
        <w:autoSpaceDN/>
        <w:bidi w:val="0"/>
        <w:snapToGrid w:val="0"/>
        <w:spacing w:line="360" w:lineRule="auto"/>
        <w:ind w:left="900" w:hanging="420"/>
        <w:jc w:val="left"/>
        <w:textAlignment w:val="auto"/>
        <w:rPr>
          <w:szCs w:val="24"/>
        </w:rPr>
      </w:pPr>
      <w:r>
        <w:rPr>
          <w:rFonts w:hint="eastAsia"/>
          <w:szCs w:val="24"/>
        </w:rPr>
        <w:t>项目启动会</w:t>
      </w:r>
    </w:p>
    <w:p w14:paraId="48CB0C73">
      <w:pPr>
        <w:pStyle w:val="60"/>
        <w:pageBreakBefore w:val="0"/>
        <w:widowControl w:val="0"/>
        <w:numPr>
          <w:ilvl w:val="0"/>
          <w:numId w:val="22"/>
        </w:numPr>
        <w:shd w:val="clear" w:color="auto" w:fill="FFFFFF" w:themeFill="background1"/>
        <w:kinsoku/>
        <w:wordWrap/>
        <w:overflowPunct/>
        <w:topLinePunct w:val="0"/>
        <w:autoSpaceDE/>
        <w:autoSpaceDN/>
        <w:bidi w:val="0"/>
        <w:snapToGrid w:val="0"/>
        <w:spacing w:line="360" w:lineRule="auto"/>
        <w:ind w:left="900" w:hanging="420"/>
        <w:jc w:val="left"/>
        <w:textAlignment w:val="auto"/>
        <w:rPr>
          <w:szCs w:val="24"/>
        </w:rPr>
      </w:pPr>
      <w:r>
        <w:rPr>
          <w:rFonts w:hint="eastAsia"/>
          <w:szCs w:val="24"/>
        </w:rPr>
        <w:t>月度例会及采购人组织的例会</w:t>
      </w:r>
    </w:p>
    <w:p w14:paraId="5DD48421">
      <w:pPr>
        <w:pStyle w:val="60"/>
        <w:pageBreakBefore w:val="0"/>
        <w:widowControl w:val="0"/>
        <w:numPr>
          <w:ilvl w:val="0"/>
          <w:numId w:val="22"/>
        </w:numPr>
        <w:shd w:val="clear" w:color="auto" w:fill="FFFFFF" w:themeFill="background1"/>
        <w:kinsoku/>
        <w:wordWrap/>
        <w:overflowPunct/>
        <w:topLinePunct w:val="0"/>
        <w:autoSpaceDE/>
        <w:autoSpaceDN/>
        <w:bidi w:val="0"/>
        <w:snapToGrid w:val="0"/>
        <w:spacing w:line="360" w:lineRule="auto"/>
        <w:ind w:left="900" w:hanging="420"/>
        <w:jc w:val="left"/>
        <w:textAlignment w:val="auto"/>
        <w:rPr>
          <w:szCs w:val="24"/>
        </w:rPr>
      </w:pPr>
      <w:r>
        <w:rPr>
          <w:rFonts w:hint="eastAsia"/>
          <w:szCs w:val="24"/>
        </w:rPr>
        <w:t>监理协调会</w:t>
      </w:r>
    </w:p>
    <w:p w14:paraId="2535544B">
      <w:pPr>
        <w:pStyle w:val="60"/>
        <w:pageBreakBefore w:val="0"/>
        <w:widowControl w:val="0"/>
        <w:numPr>
          <w:ilvl w:val="0"/>
          <w:numId w:val="22"/>
        </w:numPr>
        <w:shd w:val="clear" w:color="auto" w:fill="FFFFFF" w:themeFill="background1"/>
        <w:kinsoku/>
        <w:wordWrap/>
        <w:overflowPunct/>
        <w:topLinePunct w:val="0"/>
        <w:autoSpaceDE/>
        <w:autoSpaceDN/>
        <w:bidi w:val="0"/>
        <w:snapToGrid w:val="0"/>
        <w:spacing w:line="360" w:lineRule="auto"/>
        <w:ind w:left="900" w:hanging="420"/>
        <w:jc w:val="left"/>
        <w:textAlignment w:val="auto"/>
        <w:rPr>
          <w:szCs w:val="24"/>
        </w:rPr>
      </w:pPr>
      <w:r>
        <w:rPr>
          <w:rFonts w:hint="eastAsia"/>
          <w:szCs w:val="24"/>
        </w:rPr>
        <w:t>专题讨论会</w:t>
      </w:r>
    </w:p>
    <w:p w14:paraId="2C15C0F2">
      <w:pPr>
        <w:pStyle w:val="60"/>
        <w:pageBreakBefore w:val="0"/>
        <w:widowControl w:val="0"/>
        <w:numPr>
          <w:ilvl w:val="0"/>
          <w:numId w:val="22"/>
        </w:numPr>
        <w:shd w:val="clear" w:color="auto" w:fill="FFFFFF" w:themeFill="background1"/>
        <w:kinsoku/>
        <w:wordWrap/>
        <w:overflowPunct/>
        <w:topLinePunct w:val="0"/>
        <w:autoSpaceDE/>
        <w:autoSpaceDN/>
        <w:bidi w:val="0"/>
        <w:snapToGrid w:val="0"/>
        <w:spacing w:line="360" w:lineRule="auto"/>
        <w:ind w:left="900" w:hanging="420"/>
        <w:jc w:val="left"/>
        <w:textAlignment w:val="auto"/>
        <w:rPr>
          <w:szCs w:val="24"/>
        </w:rPr>
      </w:pPr>
      <w:r>
        <w:rPr>
          <w:rFonts w:hint="eastAsia"/>
          <w:szCs w:val="24"/>
        </w:rPr>
        <w:t>阶段工作总结会</w:t>
      </w:r>
    </w:p>
    <w:p w14:paraId="28EA9DDA">
      <w:pPr>
        <w:pStyle w:val="60"/>
        <w:pageBreakBefore w:val="0"/>
        <w:widowControl w:val="0"/>
        <w:numPr>
          <w:ilvl w:val="0"/>
          <w:numId w:val="22"/>
        </w:numPr>
        <w:shd w:val="clear" w:color="auto" w:fill="FFFFFF" w:themeFill="background1"/>
        <w:kinsoku/>
        <w:wordWrap/>
        <w:overflowPunct/>
        <w:topLinePunct w:val="0"/>
        <w:autoSpaceDE/>
        <w:autoSpaceDN/>
        <w:bidi w:val="0"/>
        <w:snapToGrid w:val="0"/>
        <w:spacing w:line="360" w:lineRule="auto"/>
        <w:ind w:left="900" w:hanging="420"/>
        <w:jc w:val="left"/>
        <w:textAlignment w:val="auto"/>
        <w:rPr>
          <w:szCs w:val="24"/>
        </w:rPr>
      </w:pPr>
      <w:r>
        <w:rPr>
          <w:rFonts w:hint="eastAsia"/>
          <w:szCs w:val="24"/>
        </w:rPr>
        <w:t>问题通报会</w:t>
      </w:r>
    </w:p>
    <w:p w14:paraId="381C053E">
      <w:pPr>
        <w:pStyle w:val="60"/>
        <w:pageBreakBefore w:val="0"/>
        <w:widowControl w:val="0"/>
        <w:numPr>
          <w:ilvl w:val="0"/>
          <w:numId w:val="22"/>
        </w:numPr>
        <w:shd w:val="clear" w:color="auto" w:fill="FFFFFF" w:themeFill="background1"/>
        <w:kinsoku/>
        <w:wordWrap/>
        <w:overflowPunct/>
        <w:topLinePunct w:val="0"/>
        <w:autoSpaceDE/>
        <w:autoSpaceDN/>
        <w:bidi w:val="0"/>
        <w:snapToGrid w:val="0"/>
        <w:spacing w:line="360" w:lineRule="auto"/>
        <w:ind w:left="900" w:hanging="420"/>
        <w:jc w:val="left"/>
        <w:textAlignment w:val="auto"/>
        <w:rPr>
          <w:szCs w:val="24"/>
        </w:rPr>
      </w:pPr>
      <w:r>
        <w:rPr>
          <w:rFonts w:hint="eastAsia"/>
          <w:szCs w:val="24"/>
        </w:rPr>
        <w:t>阶段验收及最终验收会</w:t>
      </w:r>
    </w:p>
    <w:p w14:paraId="1A9F2AAA">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r>
        <w:rPr>
          <w:rFonts w:hint="eastAsia"/>
        </w:rPr>
        <w:t>检验与检测</w:t>
      </w:r>
    </w:p>
    <w:p w14:paraId="47D26003">
      <w:pPr>
        <w:pStyle w:val="60"/>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jc w:val="left"/>
        <w:textAlignment w:val="auto"/>
        <w:rPr>
          <w:szCs w:val="24"/>
        </w:rPr>
      </w:pPr>
      <w:r>
        <w:rPr>
          <w:rFonts w:hint="eastAsia"/>
          <w:szCs w:val="24"/>
        </w:rPr>
        <w:t>在项目过程中，监理单位要对承建单位的自检自测方案进行审核，对自检自测过程进行见证；对独立第三方评测机构的测评过程及结论予以见证。</w:t>
      </w:r>
    </w:p>
    <w:p w14:paraId="7BB95651">
      <w:pPr>
        <w:pStyle w:val="6"/>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1" w:name="_Toc30186"/>
      <w:r>
        <w:rPr>
          <w:rFonts w:hint="eastAsia"/>
        </w:rPr>
        <w:t>运维关键点管理</w:t>
      </w:r>
      <w:bookmarkEnd w:id="21"/>
    </w:p>
    <w:p w14:paraId="3A86C1B3">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2" w:name="_Toc7396"/>
      <w:r>
        <w:rPr>
          <w:rFonts w:hint="eastAsia"/>
        </w:rPr>
        <w:t>运维管理制度规范</w:t>
      </w:r>
      <w:bookmarkEnd w:id="22"/>
    </w:p>
    <w:p w14:paraId="243381DA">
      <w:pPr>
        <w:pageBreakBefore w:val="0"/>
        <w:widowControl w:val="0"/>
        <w:shd w:val="clear" w:color="auto" w:fill="FFFFFF" w:themeFill="background1"/>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监理单位向运维单位下达项目运维相关制度规范和考核评估表，并在项目运维过程中严格地执行运维监理相关的制度规范。</w:t>
      </w:r>
    </w:p>
    <w:p w14:paraId="69FC4D35">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3" w:name="_Toc27554"/>
      <w:r>
        <w:rPr>
          <w:rFonts w:hint="eastAsia"/>
        </w:rPr>
        <w:t>运维项目启动</w:t>
      </w:r>
      <w:bookmarkEnd w:id="23"/>
    </w:p>
    <w:p w14:paraId="615CE820">
      <w:pPr>
        <w:pageBreakBefore w:val="0"/>
        <w:widowControl w:val="0"/>
        <w:shd w:val="clear" w:color="auto" w:fill="FFFFFF" w:themeFill="background1"/>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监理单位向运维单位发送运维项目启动相关要求的工作联系单，要求运维单位提交相应的运维服务方案（包括应急预案）、运维人员方案等相关项目启动资料。</w:t>
      </w:r>
    </w:p>
    <w:p w14:paraId="4E40BE4A">
      <w:pPr>
        <w:pageBreakBefore w:val="0"/>
        <w:widowControl w:val="0"/>
        <w:shd w:val="clear" w:color="auto" w:fill="FFFFFF" w:themeFill="background1"/>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监理单位在审查相关启动资料完备并通过后，出具相应的开工令。</w:t>
      </w:r>
    </w:p>
    <w:p w14:paraId="114BD25F">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4" w:name="_Toc25044"/>
      <w:r>
        <w:rPr>
          <w:rFonts w:hint="eastAsia"/>
        </w:rPr>
        <w:t>定期评估管理工作</w:t>
      </w:r>
      <w:bookmarkEnd w:id="24"/>
    </w:p>
    <w:p w14:paraId="38E68270">
      <w:pPr>
        <w:pageBreakBefore w:val="0"/>
        <w:widowControl w:val="0"/>
        <w:shd w:val="clear" w:color="auto" w:fill="FFFFFF" w:themeFill="background1"/>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监理单位为定期评估工作的主导单位。协调采购人、系统使用单位、运维单位组织召开相应的通报会，在会议上通报运维单位的本月运维情况、存在的问题、并提出需要改进完善的内容等。</w:t>
      </w:r>
    </w:p>
    <w:p w14:paraId="188ECAB7">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5" w:name="_Toc4015"/>
      <w:r>
        <w:rPr>
          <w:rFonts w:hint="eastAsia"/>
        </w:rPr>
        <w:t>突发性故障管理</w:t>
      </w:r>
      <w:bookmarkEnd w:id="25"/>
    </w:p>
    <w:p w14:paraId="4AF22EBD">
      <w:pPr>
        <w:pageBreakBefore w:val="0"/>
        <w:widowControl w:val="0"/>
        <w:shd w:val="clear" w:color="auto" w:fill="FFFFFF" w:themeFill="background1"/>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监理单位须监督运维服务商按照应急预案处理突发性故障。在故障解决后，监督运维服务商对故障问题进行总结，并审查和归档相应的故障处理报告或总结报告。</w:t>
      </w:r>
    </w:p>
    <w:p w14:paraId="18088277">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6" w:name="_Toc28089"/>
      <w:r>
        <w:rPr>
          <w:rFonts w:hint="eastAsia"/>
        </w:rPr>
        <w:t>安全测试</w:t>
      </w:r>
      <w:bookmarkEnd w:id="26"/>
      <w:r>
        <w:rPr>
          <w:rFonts w:hint="eastAsia"/>
        </w:rPr>
        <w:t>问题整改监督</w:t>
      </w:r>
    </w:p>
    <w:p w14:paraId="7BEABB23">
      <w:pPr>
        <w:pageBreakBefore w:val="0"/>
        <w:widowControl w:val="0"/>
        <w:shd w:val="clear" w:color="auto" w:fill="FFFFFF" w:themeFill="background1"/>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运维单位根据运维项目的等保测评、密码应用测评等评估报告，进行整改完善。监理单位负责督促和检查运维单位的整改工作，并根据采购人要求负责检查和归档的相关安全测试报告。</w:t>
      </w:r>
    </w:p>
    <w:p w14:paraId="64317377">
      <w:pPr>
        <w:pStyle w:val="7"/>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7" w:name="_Toc20336"/>
      <w:r>
        <w:rPr>
          <w:rFonts w:hint="eastAsia"/>
        </w:rPr>
        <w:t>项目验收工作</w:t>
      </w:r>
      <w:bookmarkEnd w:id="27"/>
    </w:p>
    <w:p w14:paraId="0055D499">
      <w:pPr>
        <w:pageBreakBefore w:val="0"/>
        <w:widowControl w:val="0"/>
        <w:shd w:val="clear" w:color="auto" w:fill="FFFFFF" w:themeFill="background1"/>
        <w:kinsoku/>
        <w:wordWrap/>
        <w:overflowPunct/>
        <w:topLinePunct w:val="0"/>
        <w:autoSpaceDE/>
        <w:autoSpaceDN/>
        <w:bidi w:val="0"/>
        <w:snapToGrid w:val="0"/>
        <w:spacing w:line="360" w:lineRule="auto"/>
        <w:ind w:firstLine="482"/>
        <w:textAlignment w:val="auto"/>
        <w:rPr>
          <w:sz w:val="24"/>
          <w:szCs w:val="24"/>
        </w:rPr>
      </w:pPr>
      <w:r>
        <w:rPr>
          <w:rFonts w:hint="eastAsia"/>
          <w:sz w:val="24"/>
          <w:szCs w:val="24"/>
        </w:rPr>
        <w:t>监理单位须参照“</w:t>
      </w:r>
      <w:r>
        <w:rPr>
          <w:sz w:val="24"/>
          <w:szCs w:val="24"/>
        </w:rPr>
        <w:t xml:space="preserve">3.6 </w:t>
      </w:r>
      <w:r>
        <w:rPr>
          <w:rFonts w:hint="eastAsia"/>
          <w:sz w:val="24"/>
          <w:szCs w:val="24"/>
        </w:rPr>
        <w:t>运维验收管理”内容要求开展相应的验收管理工作，负责组织项目验收会并形成验收报告、会议签到表等验收会文件资料，完成验收资料的归档移交。</w:t>
      </w:r>
    </w:p>
    <w:p w14:paraId="0799BEB9">
      <w:pPr>
        <w:pStyle w:val="6"/>
        <w:pageBreakBefore w:val="0"/>
        <w:widowControl w:val="0"/>
        <w:shd w:val="clear" w:color="auto" w:fill="FFFFFF" w:themeFill="background1"/>
        <w:kinsoku/>
        <w:wordWrap/>
        <w:overflowPunct/>
        <w:topLinePunct w:val="0"/>
        <w:autoSpaceDE/>
        <w:autoSpaceDN/>
        <w:bidi w:val="0"/>
        <w:snapToGrid w:val="0"/>
        <w:spacing w:line="360" w:lineRule="auto"/>
        <w:textAlignment w:val="auto"/>
      </w:pPr>
      <w:bookmarkStart w:id="28" w:name="_Toc18688"/>
      <w:r>
        <w:rPr>
          <w:rFonts w:hint="eastAsia"/>
        </w:rPr>
        <w:t>运维验收管理</w:t>
      </w:r>
      <w:bookmarkEnd w:id="28"/>
    </w:p>
    <w:p w14:paraId="5B518279">
      <w:pPr>
        <w:pStyle w:val="33"/>
        <w:pageBreakBefore w:val="0"/>
        <w:widowControl w:val="0"/>
        <w:numPr>
          <w:ilvl w:val="0"/>
          <w:numId w:val="23"/>
        </w:numPr>
        <w:shd w:val="clear" w:color="auto" w:fill="FFFFFF" w:themeFill="background1"/>
        <w:kinsoku/>
        <w:wordWrap/>
        <w:overflowPunct/>
        <w:topLinePunct w:val="0"/>
        <w:autoSpaceDE/>
        <w:autoSpaceDN/>
        <w:bidi w:val="0"/>
        <w:snapToGrid w:val="0"/>
        <w:spacing w:line="360" w:lineRule="auto"/>
        <w:ind w:firstLineChars="0"/>
        <w:textAlignment w:val="auto"/>
        <w:rPr>
          <w:rFonts w:ascii="宋体" w:hAnsi="宋体" w:eastAsia="宋体" w:cs="宋体"/>
          <w:sz w:val="24"/>
          <w:szCs w:val="24"/>
        </w:rPr>
      </w:pPr>
      <w:bookmarkStart w:id="29" w:name="_Toc3358533"/>
      <w:r>
        <w:rPr>
          <w:rFonts w:hint="eastAsia" w:ascii="宋体" w:hAnsi="宋体" w:eastAsia="宋体" w:cs="宋体"/>
          <w:b/>
          <w:bCs/>
          <w:sz w:val="24"/>
          <w:szCs w:val="24"/>
        </w:rPr>
        <w:t>验收范围要求</w:t>
      </w:r>
    </w:p>
    <w:p w14:paraId="63F7E74E">
      <w:pPr>
        <w:pStyle w:val="33"/>
        <w:pageBreakBefore w:val="0"/>
        <w:widowControl w:val="0"/>
        <w:shd w:val="clear" w:color="auto" w:fill="FFFFFF" w:themeFill="background1"/>
        <w:kinsoku/>
        <w:wordWrap/>
        <w:overflowPunct/>
        <w:topLinePunct w:val="0"/>
        <w:autoSpaceDE/>
        <w:autoSpaceDN/>
        <w:bidi w:val="0"/>
        <w:snapToGrid w:val="0"/>
        <w:spacing w:line="360" w:lineRule="auto"/>
        <w:ind w:left="720" w:firstLine="0" w:firstLineChars="0"/>
        <w:textAlignment w:val="auto"/>
        <w:rPr>
          <w:rFonts w:ascii="宋体" w:hAnsi="宋体" w:eastAsia="宋体" w:cs="宋体"/>
          <w:sz w:val="24"/>
          <w:szCs w:val="24"/>
        </w:rPr>
      </w:pPr>
      <w:r>
        <w:rPr>
          <w:rFonts w:hint="eastAsia" w:ascii="宋体" w:hAnsi="宋体" w:eastAsia="宋体" w:cs="宋体"/>
          <w:sz w:val="24"/>
          <w:szCs w:val="24"/>
        </w:rPr>
        <w:t>监理服务范围内所有运维项目的验收。</w:t>
      </w:r>
    </w:p>
    <w:p w14:paraId="357351AD">
      <w:pPr>
        <w:pStyle w:val="33"/>
        <w:pageBreakBefore w:val="0"/>
        <w:widowControl w:val="0"/>
        <w:numPr>
          <w:ilvl w:val="0"/>
          <w:numId w:val="23"/>
        </w:numPr>
        <w:shd w:val="clear" w:color="auto" w:fill="FFFFFF" w:themeFill="background1"/>
        <w:kinsoku/>
        <w:wordWrap/>
        <w:overflowPunct/>
        <w:topLinePunct w:val="0"/>
        <w:autoSpaceDE/>
        <w:autoSpaceDN/>
        <w:bidi w:val="0"/>
        <w:snapToGrid w:val="0"/>
        <w:spacing w:line="360" w:lineRule="auto"/>
        <w:ind w:firstLineChars="0"/>
        <w:textAlignment w:val="auto"/>
        <w:rPr>
          <w:rFonts w:ascii="宋体" w:hAnsi="宋体" w:eastAsia="宋体" w:cs="宋体"/>
          <w:b/>
          <w:bCs/>
          <w:sz w:val="24"/>
          <w:szCs w:val="24"/>
        </w:rPr>
      </w:pPr>
      <w:r>
        <w:rPr>
          <w:rFonts w:hint="eastAsia" w:ascii="宋体" w:hAnsi="宋体" w:eastAsia="宋体" w:cs="宋体"/>
          <w:b/>
          <w:bCs/>
          <w:sz w:val="24"/>
          <w:szCs w:val="24"/>
        </w:rPr>
        <w:t>监理单位的职责</w:t>
      </w:r>
    </w:p>
    <w:p w14:paraId="28762D96">
      <w:pPr>
        <w:pStyle w:val="33"/>
        <w:pageBreakBefore w:val="0"/>
        <w:widowControl w:val="0"/>
        <w:shd w:val="clear" w:color="auto" w:fill="FFFFFF" w:themeFill="background1"/>
        <w:kinsoku/>
        <w:wordWrap/>
        <w:overflowPunct/>
        <w:topLinePunct w:val="0"/>
        <w:autoSpaceDE/>
        <w:autoSpaceDN/>
        <w:bidi w:val="0"/>
        <w:snapToGrid w:val="0"/>
        <w:spacing w:line="360" w:lineRule="auto"/>
        <w:ind w:left="-2" w:leftChars="-1" w:firstLine="708" w:firstLineChars="295"/>
        <w:textAlignment w:val="auto"/>
        <w:rPr>
          <w:rFonts w:ascii="宋体" w:hAnsi="宋体" w:eastAsia="宋体" w:cs="宋体"/>
          <w:bCs/>
          <w:sz w:val="24"/>
          <w:szCs w:val="24"/>
        </w:rPr>
      </w:pPr>
      <w:r>
        <w:rPr>
          <w:rFonts w:hint="eastAsia" w:ascii="宋体" w:hAnsi="宋体" w:eastAsia="宋体" w:cs="宋体"/>
          <w:bCs/>
          <w:sz w:val="24"/>
          <w:szCs w:val="24"/>
        </w:rPr>
        <w:t>监理单位根据采购人的项目管理办法，按照采购人的验收要求，配合进行材料的审核</w:t>
      </w:r>
      <w:r>
        <w:rPr>
          <w:rFonts w:hint="eastAsia" w:ascii="宋体" w:hAnsi="宋体" w:eastAsia="宋体" w:cs="宋体"/>
          <w:bCs/>
          <w:sz w:val="24"/>
          <w:szCs w:val="24"/>
          <w:lang w:eastAsia="zh-CN"/>
        </w:rPr>
        <w:t>，</w:t>
      </w:r>
      <w:r>
        <w:rPr>
          <w:rFonts w:hint="eastAsia" w:ascii="宋体" w:hAnsi="宋体" w:eastAsia="宋体" w:cs="宋体"/>
          <w:bCs/>
          <w:sz w:val="24"/>
          <w:szCs w:val="24"/>
        </w:rPr>
        <w:t>协助</w:t>
      </w:r>
      <w:r>
        <w:rPr>
          <w:rFonts w:hint="eastAsia" w:ascii="宋体" w:hAnsi="宋体" w:eastAsia="宋体" w:cs="宋体"/>
          <w:bCs/>
          <w:sz w:val="24"/>
          <w:szCs w:val="24"/>
          <w:lang w:eastAsia="zh-CN"/>
        </w:rPr>
        <w:t>验收会准备</w:t>
      </w:r>
      <w:r>
        <w:rPr>
          <w:rFonts w:hint="eastAsia" w:ascii="宋体" w:hAnsi="宋体" w:eastAsia="宋体" w:cs="宋体"/>
          <w:bCs/>
          <w:sz w:val="24"/>
          <w:szCs w:val="24"/>
        </w:rPr>
        <w:t>。监理单位应配合采购人完成验收过程中的各项工作，包括但不限于下述内容：运维单位服务的各项任务是否完成、是否按照运维服务招标文件里的要求完成、运维服务过程资料是否完整、运维服务是否符合采购人要求等内容进行审查。</w:t>
      </w:r>
    </w:p>
    <w:p w14:paraId="3994FB17">
      <w:pPr>
        <w:pStyle w:val="33"/>
        <w:pageBreakBefore w:val="0"/>
        <w:widowControl w:val="0"/>
        <w:numPr>
          <w:ilvl w:val="0"/>
          <w:numId w:val="23"/>
        </w:numPr>
        <w:shd w:val="clear" w:color="auto" w:fill="FFFFFF" w:themeFill="background1"/>
        <w:kinsoku/>
        <w:wordWrap/>
        <w:overflowPunct/>
        <w:topLinePunct w:val="0"/>
        <w:autoSpaceDE/>
        <w:autoSpaceDN/>
        <w:bidi w:val="0"/>
        <w:snapToGrid w:val="0"/>
        <w:spacing w:line="360" w:lineRule="auto"/>
        <w:ind w:firstLineChars="0"/>
        <w:textAlignment w:val="auto"/>
        <w:rPr>
          <w:rFonts w:ascii="宋体" w:hAnsi="宋体" w:eastAsia="宋体" w:cs="宋体"/>
          <w:b/>
          <w:bCs/>
          <w:sz w:val="24"/>
          <w:szCs w:val="24"/>
        </w:rPr>
      </w:pPr>
      <w:r>
        <w:rPr>
          <w:rFonts w:hint="eastAsia" w:ascii="宋体" w:hAnsi="宋体" w:eastAsia="宋体" w:cs="宋体"/>
          <w:b/>
          <w:bCs/>
          <w:sz w:val="24"/>
          <w:szCs w:val="24"/>
        </w:rPr>
        <w:t>验收文档资料审查要求</w:t>
      </w:r>
    </w:p>
    <w:p w14:paraId="2347C946">
      <w:pPr>
        <w:pStyle w:val="33"/>
        <w:pageBreakBefore w:val="0"/>
        <w:widowControl w:val="0"/>
        <w:shd w:val="clear" w:color="auto" w:fill="FFFFFF" w:themeFill="background1"/>
        <w:kinsoku/>
        <w:wordWrap/>
        <w:overflowPunct/>
        <w:topLinePunct w:val="0"/>
        <w:autoSpaceDE/>
        <w:autoSpaceDN/>
        <w:bidi w:val="0"/>
        <w:snapToGrid w:val="0"/>
        <w:spacing w:line="360" w:lineRule="auto"/>
        <w:ind w:firstLine="720" w:firstLineChars="300"/>
        <w:textAlignment w:val="auto"/>
        <w:rPr>
          <w:rFonts w:ascii="宋体" w:hAnsi="宋体" w:eastAsia="宋体" w:cs="宋体"/>
          <w:b/>
          <w:bCs/>
          <w:sz w:val="24"/>
          <w:szCs w:val="24"/>
        </w:rPr>
      </w:pPr>
      <w:r>
        <w:rPr>
          <w:rFonts w:hint="eastAsia" w:ascii="宋体" w:hAnsi="宋体" w:eastAsia="宋体" w:cs="宋体"/>
          <w:sz w:val="24"/>
          <w:szCs w:val="24"/>
        </w:rPr>
        <w:t>项目验收技术文件的所有文档应满足运维服务项目招标文件各项成果物资料要求以及</w:t>
      </w:r>
      <w:r>
        <w:rPr>
          <w:rFonts w:hint="eastAsia" w:ascii="宋体" w:hAnsi="宋体" w:eastAsia="宋体" w:cs="宋体"/>
          <w:bCs/>
          <w:sz w:val="24"/>
          <w:szCs w:val="24"/>
        </w:rPr>
        <w:t>考察</w:t>
      </w:r>
      <w:r>
        <w:rPr>
          <w:rFonts w:hint="eastAsia" w:ascii="宋体" w:hAnsi="宋体" w:eastAsia="宋体" w:cs="宋体"/>
          <w:sz w:val="24"/>
          <w:szCs w:val="24"/>
        </w:rPr>
        <w:t>的归档要求，监理单位负责审查各运维单位文档的完整性，使得文档资料达到项目验收规范中关于资料和成果性文件的相关要求。</w:t>
      </w:r>
    </w:p>
    <w:p w14:paraId="7DC5AA15">
      <w:pPr>
        <w:pStyle w:val="33"/>
        <w:pageBreakBefore w:val="0"/>
        <w:widowControl w:val="0"/>
        <w:numPr>
          <w:ilvl w:val="0"/>
          <w:numId w:val="23"/>
        </w:numPr>
        <w:shd w:val="clear" w:color="auto" w:fill="FFFFFF" w:themeFill="background1"/>
        <w:kinsoku/>
        <w:wordWrap/>
        <w:overflowPunct/>
        <w:topLinePunct w:val="0"/>
        <w:autoSpaceDE/>
        <w:autoSpaceDN/>
        <w:bidi w:val="0"/>
        <w:snapToGrid w:val="0"/>
        <w:spacing w:line="360" w:lineRule="auto"/>
        <w:ind w:firstLineChars="0"/>
        <w:textAlignment w:val="auto"/>
        <w:rPr>
          <w:rFonts w:ascii="宋体" w:hAnsi="宋体" w:eastAsia="宋体" w:cs="宋体"/>
          <w:b/>
          <w:bCs/>
          <w:sz w:val="24"/>
          <w:szCs w:val="24"/>
        </w:rPr>
      </w:pPr>
      <w:r>
        <w:rPr>
          <w:rFonts w:hint="eastAsia" w:ascii="宋体" w:hAnsi="宋体" w:eastAsia="宋体" w:cs="宋体"/>
          <w:b/>
          <w:bCs/>
          <w:sz w:val="24"/>
          <w:szCs w:val="24"/>
        </w:rPr>
        <w:t>验收类型</w:t>
      </w:r>
      <w:bookmarkEnd w:id="29"/>
      <w:r>
        <w:rPr>
          <w:rFonts w:hint="eastAsia" w:ascii="宋体" w:hAnsi="宋体" w:eastAsia="宋体" w:cs="宋体"/>
          <w:b/>
          <w:bCs/>
          <w:sz w:val="24"/>
          <w:szCs w:val="24"/>
        </w:rPr>
        <w:t>要求</w:t>
      </w:r>
    </w:p>
    <w:p w14:paraId="5F876A0A">
      <w:pPr>
        <w:pStyle w:val="33"/>
        <w:pageBreakBefore w:val="0"/>
        <w:widowControl w:val="0"/>
        <w:numPr>
          <w:ilvl w:val="0"/>
          <w:numId w:val="24"/>
        </w:numPr>
        <w:shd w:val="clear" w:color="auto" w:fill="FFFFFF" w:themeFill="background1"/>
        <w:kinsoku/>
        <w:wordWrap/>
        <w:overflowPunct/>
        <w:topLinePunct w:val="0"/>
        <w:autoSpaceDE/>
        <w:autoSpaceDN/>
        <w:bidi w:val="0"/>
        <w:snapToGrid w:val="0"/>
        <w:spacing w:line="360" w:lineRule="auto"/>
        <w:ind w:left="1380" w:hanging="420" w:firstLineChars="0"/>
        <w:textAlignment w:val="auto"/>
        <w:rPr>
          <w:rFonts w:ascii="宋体" w:hAnsi="宋体" w:eastAsia="宋体" w:cs="宋体"/>
          <w:bCs/>
          <w:sz w:val="24"/>
          <w:szCs w:val="24"/>
        </w:rPr>
      </w:pPr>
      <w:r>
        <w:rPr>
          <w:rFonts w:hint="eastAsia" w:ascii="宋体" w:hAnsi="宋体" w:eastAsia="宋体" w:cs="宋体"/>
          <w:bCs/>
          <w:sz w:val="24"/>
          <w:szCs w:val="24"/>
        </w:rPr>
        <w:t>阶段性/中期性验收工作。项目阶段性验收是指各运维项目在运维实施期间，对运维服务商所提供的运维服务情况进行的阶段性/中期性评审工作。</w:t>
      </w:r>
    </w:p>
    <w:p w14:paraId="2CEE58CD">
      <w:pPr>
        <w:pStyle w:val="33"/>
        <w:pageBreakBefore w:val="0"/>
        <w:widowControl w:val="0"/>
        <w:numPr>
          <w:ilvl w:val="0"/>
          <w:numId w:val="24"/>
        </w:numPr>
        <w:shd w:val="clear" w:color="auto" w:fill="FFFFFF" w:themeFill="background1"/>
        <w:kinsoku/>
        <w:wordWrap/>
        <w:overflowPunct/>
        <w:topLinePunct w:val="0"/>
        <w:autoSpaceDE/>
        <w:autoSpaceDN/>
        <w:bidi w:val="0"/>
        <w:snapToGrid w:val="0"/>
        <w:spacing w:line="360" w:lineRule="auto"/>
        <w:ind w:left="1380" w:hanging="420" w:firstLineChars="0"/>
        <w:textAlignment w:val="auto"/>
        <w:rPr>
          <w:rFonts w:ascii="宋体" w:hAnsi="宋体" w:eastAsia="宋体" w:cs="宋体"/>
          <w:bCs/>
          <w:sz w:val="24"/>
          <w:szCs w:val="24"/>
        </w:rPr>
      </w:pPr>
      <w:r>
        <w:rPr>
          <w:rFonts w:hint="eastAsia" w:ascii="宋体" w:hAnsi="宋体" w:eastAsia="宋体" w:cs="宋体"/>
          <w:bCs/>
          <w:sz w:val="24"/>
          <w:szCs w:val="24"/>
        </w:rPr>
        <w:t>项目</w:t>
      </w:r>
      <w:r>
        <w:rPr>
          <w:rFonts w:hint="eastAsia" w:ascii="宋体" w:hAnsi="宋体" w:eastAsia="宋体" w:cs="宋体"/>
          <w:bCs/>
          <w:sz w:val="24"/>
          <w:szCs w:val="24"/>
          <w:lang w:eastAsia="zh-CN"/>
        </w:rPr>
        <w:t>终期</w:t>
      </w:r>
      <w:r>
        <w:rPr>
          <w:rFonts w:hint="eastAsia" w:ascii="宋体" w:hAnsi="宋体" w:eastAsia="宋体" w:cs="宋体"/>
          <w:bCs/>
          <w:sz w:val="24"/>
          <w:szCs w:val="24"/>
        </w:rPr>
        <w:t>验收。项目最终验收是各运维项目年度运维完成后，对各运维项目进行的竣工验收工作。</w:t>
      </w:r>
    </w:p>
    <w:p w14:paraId="5EA1D08C">
      <w:pPr>
        <w:pStyle w:val="33"/>
        <w:pageBreakBefore w:val="0"/>
        <w:widowControl w:val="0"/>
        <w:numPr>
          <w:ilvl w:val="0"/>
          <w:numId w:val="23"/>
        </w:numPr>
        <w:shd w:val="clear" w:color="auto" w:fill="FFFFFF" w:themeFill="background1"/>
        <w:kinsoku/>
        <w:wordWrap/>
        <w:overflowPunct/>
        <w:topLinePunct w:val="0"/>
        <w:autoSpaceDE/>
        <w:autoSpaceDN/>
        <w:bidi w:val="0"/>
        <w:snapToGrid w:val="0"/>
        <w:spacing w:line="360" w:lineRule="auto"/>
        <w:ind w:firstLineChars="0"/>
        <w:textAlignment w:val="auto"/>
        <w:rPr>
          <w:rFonts w:ascii="宋体" w:hAnsi="宋体" w:eastAsia="宋体" w:cs="宋体"/>
          <w:b/>
          <w:bCs/>
          <w:sz w:val="24"/>
          <w:szCs w:val="24"/>
        </w:rPr>
      </w:pPr>
      <w:bookmarkStart w:id="30" w:name="_Toc3358534"/>
      <w:r>
        <w:rPr>
          <w:rFonts w:hint="eastAsia" w:ascii="宋体" w:hAnsi="宋体" w:eastAsia="宋体" w:cs="宋体"/>
          <w:b/>
          <w:bCs/>
          <w:sz w:val="24"/>
          <w:szCs w:val="24"/>
        </w:rPr>
        <w:t>验收</w:t>
      </w:r>
      <w:bookmarkEnd w:id="30"/>
      <w:r>
        <w:rPr>
          <w:rFonts w:hint="eastAsia" w:ascii="宋体" w:hAnsi="宋体" w:eastAsia="宋体" w:cs="宋体"/>
          <w:b/>
          <w:bCs/>
          <w:sz w:val="24"/>
          <w:szCs w:val="24"/>
        </w:rPr>
        <w:t>阶段监理工作要求</w:t>
      </w:r>
    </w:p>
    <w:p w14:paraId="0B598254">
      <w:pPr>
        <w:pStyle w:val="33"/>
        <w:pageBreakBefore w:val="0"/>
        <w:widowControl w:val="0"/>
        <w:numPr>
          <w:ilvl w:val="0"/>
          <w:numId w:val="25"/>
        </w:numPr>
        <w:shd w:val="clear" w:color="auto" w:fill="FFFFFF" w:themeFill="background1"/>
        <w:kinsoku/>
        <w:wordWrap/>
        <w:overflowPunct/>
        <w:topLinePunct w:val="0"/>
        <w:autoSpaceDE/>
        <w:autoSpaceDN/>
        <w:bidi w:val="0"/>
        <w:snapToGrid w:val="0"/>
        <w:spacing w:line="360" w:lineRule="auto"/>
        <w:ind w:left="1380" w:hanging="420" w:firstLineChars="0"/>
        <w:textAlignment w:val="auto"/>
        <w:rPr>
          <w:rFonts w:ascii="宋体" w:hAnsi="宋体" w:eastAsia="宋体" w:cs="宋体"/>
          <w:bCs/>
          <w:sz w:val="24"/>
          <w:szCs w:val="24"/>
        </w:rPr>
      </w:pPr>
      <w:r>
        <w:rPr>
          <w:rFonts w:hint="eastAsia" w:ascii="宋体" w:hAnsi="宋体" w:eastAsia="宋体" w:cs="宋体"/>
          <w:bCs/>
          <w:sz w:val="24"/>
          <w:szCs w:val="24"/>
        </w:rPr>
        <w:t>对验收发现的遗留问题，项目监理单位应督促各相关单位按验收工作组所提要求按期处理完毕。</w:t>
      </w:r>
    </w:p>
    <w:p w14:paraId="1DB5F6E8">
      <w:pPr>
        <w:pStyle w:val="33"/>
        <w:pageBreakBefore w:val="0"/>
        <w:widowControl w:val="0"/>
        <w:numPr>
          <w:ilvl w:val="0"/>
          <w:numId w:val="25"/>
        </w:numPr>
        <w:shd w:val="clear" w:color="auto" w:fill="FFFFFF" w:themeFill="background1"/>
        <w:kinsoku/>
        <w:wordWrap/>
        <w:overflowPunct/>
        <w:topLinePunct w:val="0"/>
        <w:autoSpaceDE/>
        <w:autoSpaceDN/>
        <w:bidi w:val="0"/>
        <w:snapToGrid w:val="0"/>
        <w:spacing w:line="360" w:lineRule="auto"/>
        <w:ind w:left="1380" w:hanging="420" w:firstLineChars="0"/>
        <w:textAlignment w:val="auto"/>
        <w:rPr>
          <w:rFonts w:ascii="宋体" w:hAnsi="宋体" w:eastAsia="宋体" w:cs="宋体"/>
          <w:bCs/>
          <w:sz w:val="24"/>
          <w:szCs w:val="24"/>
        </w:rPr>
      </w:pPr>
      <w:r>
        <w:rPr>
          <w:rFonts w:hint="eastAsia" w:ascii="宋体" w:hAnsi="宋体" w:eastAsia="宋体" w:cs="宋体"/>
          <w:bCs/>
          <w:sz w:val="24"/>
          <w:szCs w:val="24"/>
        </w:rPr>
        <w:t>项目通过</w:t>
      </w:r>
      <w:r>
        <w:rPr>
          <w:rFonts w:hint="eastAsia" w:ascii="宋体" w:hAnsi="宋体" w:eastAsia="宋体" w:cs="宋体"/>
          <w:bCs/>
          <w:sz w:val="24"/>
          <w:szCs w:val="24"/>
          <w:lang w:eastAsia="zh-CN"/>
        </w:rPr>
        <w:t>终期</w:t>
      </w:r>
      <w:r>
        <w:rPr>
          <w:rFonts w:hint="eastAsia" w:ascii="宋体" w:hAnsi="宋体" w:eastAsia="宋体" w:cs="宋体"/>
          <w:bCs/>
          <w:sz w:val="24"/>
          <w:szCs w:val="24"/>
        </w:rPr>
        <w:t>验收后，监理单位应完成与采购人的材料交接工作。</w:t>
      </w:r>
    </w:p>
    <w:p w14:paraId="0169D85F">
      <w:pPr>
        <w:pStyle w:val="6"/>
        <w:pageBreakBefore w:val="0"/>
        <w:widowControl w:val="0"/>
        <w:shd w:val="clear" w:color="auto" w:fill="FFFFFF" w:themeFill="background1"/>
        <w:kinsoku/>
        <w:wordWrap/>
        <w:overflowPunct/>
        <w:topLinePunct w:val="0"/>
        <w:autoSpaceDE/>
        <w:autoSpaceDN/>
        <w:bidi w:val="0"/>
        <w:snapToGrid w:val="0"/>
        <w:spacing w:line="360" w:lineRule="auto"/>
        <w:textAlignment w:val="auto"/>
      </w:pPr>
      <w:r>
        <w:rPr>
          <w:rFonts w:hint="eastAsia"/>
        </w:rPr>
        <w:t>其他要求</w:t>
      </w:r>
    </w:p>
    <w:p w14:paraId="0CAF09FD">
      <w:pPr>
        <w:pageBreakBefore w:val="0"/>
        <w:widowControl w:val="0"/>
        <w:numPr>
          <w:ilvl w:val="0"/>
          <w:numId w:val="26"/>
        </w:numPr>
        <w:shd w:val="clear" w:color="auto" w:fill="FFFFFF" w:themeFill="background1"/>
        <w:kinsoku/>
        <w:wordWrap/>
        <w:overflowPunct/>
        <w:topLinePunct w:val="0"/>
        <w:autoSpaceDE/>
        <w:autoSpaceDN/>
        <w:bidi w:val="0"/>
        <w:snapToGrid w:val="0"/>
        <w:spacing w:line="360" w:lineRule="auto"/>
        <w:ind w:left="840"/>
        <w:textAlignment w:val="auto"/>
        <w:rPr>
          <w:rFonts w:ascii="Book Antiqua" w:hAnsi="Book Antiqua"/>
          <w:kern w:val="0"/>
          <w:sz w:val="24"/>
        </w:rPr>
      </w:pPr>
      <w:r>
        <w:rPr>
          <w:rFonts w:hint="eastAsia" w:ascii="Book Antiqua" w:hAnsi="Book Antiqua"/>
          <w:kern w:val="0"/>
          <w:sz w:val="24"/>
        </w:rPr>
        <w:t>监理机构应有明确的内部管理制度和质量管理制度，并积极配合采购人监督管理；</w:t>
      </w:r>
    </w:p>
    <w:p w14:paraId="512783A7">
      <w:pPr>
        <w:pageBreakBefore w:val="0"/>
        <w:widowControl w:val="0"/>
        <w:numPr>
          <w:ilvl w:val="0"/>
          <w:numId w:val="26"/>
        </w:numPr>
        <w:shd w:val="clear" w:color="auto" w:fill="FFFFFF" w:themeFill="background1"/>
        <w:kinsoku/>
        <w:wordWrap/>
        <w:overflowPunct/>
        <w:topLinePunct w:val="0"/>
        <w:autoSpaceDE/>
        <w:autoSpaceDN/>
        <w:bidi w:val="0"/>
        <w:snapToGrid w:val="0"/>
        <w:spacing w:line="360" w:lineRule="auto"/>
        <w:ind w:left="840"/>
        <w:textAlignment w:val="auto"/>
        <w:rPr>
          <w:rFonts w:ascii="Book Antiqua" w:hAnsi="Book Antiqua"/>
          <w:kern w:val="0"/>
          <w:sz w:val="24"/>
        </w:rPr>
      </w:pPr>
      <w:r>
        <w:rPr>
          <w:rFonts w:ascii="Book Antiqua" w:hAnsi="Book Antiqua"/>
          <w:kern w:val="0"/>
          <w:sz w:val="24"/>
        </w:rPr>
        <w:t>监理人不得违反标准规范规定或合同约定，</w:t>
      </w:r>
      <w:r>
        <w:rPr>
          <w:rFonts w:hint="eastAsia" w:ascii="Book Antiqua" w:hAnsi="Book Antiqua"/>
          <w:kern w:val="0"/>
          <w:sz w:val="24"/>
        </w:rPr>
        <w:t>减少人员投入、</w:t>
      </w:r>
      <w:r>
        <w:rPr>
          <w:rFonts w:ascii="Book Antiqua" w:hAnsi="Book Antiqua"/>
          <w:kern w:val="0"/>
          <w:sz w:val="24"/>
        </w:rPr>
        <w:t>减少服务内容</w:t>
      </w:r>
      <w:r>
        <w:rPr>
          <w:rFonts w:hint="eastAsia" w:ascii="Book Antiqua" w:hAnsi="Book Antiqua"/>
          <w:kern w:val="0"/>
          <w:sz w:val="24"/>
        </w:rPr>
        <w:t>、</w:t>
      </w:r>
      <w:r>
        <w:rPr>
          <w:rFonts w:ascii="Book Antiqua" w:hAnsi="Book Antiqua"/>
          <w:kern w:val="0"/>
          <w:sz w:val="24"/>
        </w:rPr>
        <w:t>降低服务质量。</w:t>
      </w:r>
    </w:p>
    <w:p w14:paraId="41EB9B1C">
      <w:pPr>
        <w:pageBreakBefore w:val="0"/>
        <w:widowControl w:val="0"/>
        <w:numPr>
          <w:ilvl w:val="0"/>
          <w:numId w:val="26"/>
        </w:numPr>
        <w:shd w:val="clear" w:color="auto" w:fill="FFFFFF" w:themeFill="background1"/>
        <w:kinsoku/>
        <w:wordWrap/>
        <w:overflowPunct/>
        <w:topLinePunct w:val="0"/>
        <w:autoSpaceDE/>
        <w:autoSpaceDN/>
        <w:bidi w:val="0"/>
        <w:snapToGrid w:val="0"/>
        <w:spacing w:line="360" w:lineRule="auto"/>
        <w:ind w:left="840"/>
        <w:textAlignment w:val="auto"/>
        <w:rPr>
          <w:rFonts w:ascii="Book Antiqua" w:hAnsi="Book Antiqua"/>
          <w:kern w:val="0"/>
          <w:sz w:val="24"/>
        </w:rPr>
      </w:pPr>
      <w:r>
        <w:rPr>
          <w:rFonts w:hint="eastAsia" w:ascii="Book Antiqua" w:hAnsi="Book Antiqua"/>
          <w:kern w:val="0"/>
          <w:sz w:val="24"/>
        </w:rPr>
        <w:t>设备安装完成后，监理应到现场查看设备安装情况。</w:t>
      </w:r>
    </w:p>
    <w:p w14:paraId="1611A442">
      <w:pPr>
        <w:pageBreakBefore w:val="0"/>
        <w:widowControl w:val="0"/>
        <w:numPr>
          <w:ilvl w:val="0"/>
          <w:numId w:val="26"/>
        </w:numPr>
        <w:shd w:val="clear" w:color="auto" w:fill="FFFFFF" w:themeFill="background1"/>
        <w:kinsoku/>
        <w:wordWrap/>
        <w:overflowPunct/>
        <w:topLinePunct w:val="0"/>
        <w:autoSpaceDE/>
        <w:autoSpaceDN/>
        <w:bidi w:val="0"/>
        <w:snapToGrid w:val="0"/>
        <w:spacing w:line="360" w:lineRule="auto"/>
        <w:ind w:left="840"/>
        <w:textAlignment w:val="auto"/>
        <w:rPr>
          <w:rFonts w:ascii="Book Antiqua" w:hAnsi="Book Antiqua"/>
          <w:kern w:val="0"/>
          <w:sz w:val="24"/>
        </w:rPr>
      </w:pPr>
      <w:r>
        <w:rPr>
          <w:rFonts w:hint="eastAsia" w:ascii="Book Antiqua" w:hAnsi="Book Antiqua" w:eastAsia="宋体" w:cs="Times New Roman"/>
          <w:kern w:val="0"/>
          <w:sz w:val="24"/>
        </w:rPr>
        <w:t>监理方应主动沟通各相关方，有效协调采购人、系统使用单位、运维单位以及各相关单位和机构的关系，为项目运维提供组织上的保证。</w:t>
      </w:r>
    </w:p>
    <w:p w14:paraId="13BCE4E8">
      <w:pPr>
        <w:pageBreakBefore w:val="0"/>
        <w:widowControl w:val="0"/>
        <w:numPr>
          <w:ilvl w:val="0"/>
          <w:numId w:val="26"/>
        </w:numPr>
        <w:shd w:val="clear" w:color="auto" w:fill="FFFFFF" w:themeFill="background1"/>
        <w:kinsoku/>
        <w:wordWrap/>
        <w:overflowPunct/>
        <w:topLinePunct w:val="0"/>
        <w:autoSpaceDE/>
        <w:autoSpaceDN/>
        <w:bidi w:val="0"/>
        <w:snapToGrid w:val="0"/>
        <w:spacing w:line="360" w:lineRule="auto"/>
        <w:ind w:left="840"/>
        <w:textAlignment w:val="auto"/>
        <w:rPr>
          <w:rFonts w:ascii="Book Antiqua" w:hAnsi="Book Antiqua"/>
          <w:kern w:val="0"/>
          <w:sz w:val="24"/>
        </w:rPr>
      </w:pPr>
      <w:r>
        <w:rPr>
          <w:rFonts w:hint="eastAsia" w:ascii="Book Antiqua" w:hAnsi="Book Antiqua" w:eastAsia="宋体" w:cs="Times New Roman"/>
          <w:kern w:val="0"/>
          <w:sz w:val="24"/>
        </w:rPr>
        <w:t>协助采购人和运维单位在大数据中心项目管理系统中按照项目时间节点要求，按时上传通过监理单位审核的项目节点运维材料。</w:t>
      </w:r>
    </w:p>
    <w:bookmarkEnd w:id="3"/>
    <w:bookmarkEnd w:id="4"/>
    <w:p w14:paraId="1B2282DD">
      <w:pPr>
        <w:pStyle w:val="5"/>
        <w:pageBreakBefore w:val="0"/>
        <w:widowControl w:val="0"/>
        <w:shd w:val="clear" w:color="auto" w:fill="FFFFFF" w:themeFill="background1"/>
        <w:kinsoku/>
        <w:wordWrap/>
        <w:overflowPunct/>
        <w:topLinePunct w:val="0"/>
        <w:autoSpaceDE/>
        <w:autoSpaceDN/>
        <w:bidi w:val="0"/>
        <w:snapToGrid w:val="0"/>
        <w:spacing w:line="360" w:lineRule="auto"/>
        <w:ind w:left="0"/>
        <w:textAlignment w:val="auto"/>
        <w:rPr>
          <w:rFonts w:ascii="仿宋" w:hAnsi="仿宋" w:eastAsia="仿宋" w:cs="仿宋"/>
        </w:rPr>
      </w:pPr>
      <w:bookmarkStart w:id="31" w:name="_Toc69194682"/>
      <w:r>
        <w:rPr>
          <w:rFonts w:hint="eastAsia" w:ascii="仿宋" w:hAnsi="仿宋" w:eastAsia="仿宋" w:cs="仿宋"/>
        </w:rPr>
        <w:t>服务质量考核</w:t>
      </w:r>
      <w:bookmarkEnd w:id="31"/>
      <w:r>
        <w:rPr>
          <w:rFonts w:hint="eastAsia" w:ascii="仿宋" w:hAnsi="仿宋" w:eastAsia="仿宋" w:cs="仿宋"/>
        </w:rPr>
        <w:t>要求</w:t>
      </w:r>
    </w:p>
    <w:p w14:paraId="308873E1">
      <w:pPr>
        <w:pStyle w:val="6"/>
        <w:pageBreakBefore w:val="0"/>
        <w:widowControl w:val="0"/>
        <w:shd w:val="clear" w:color="auto" w:fill="FFFFFF" w:themeFill="background1"/>
        <w:kinsoku/>
        <w:wordWrap/>
        <w:overflowPunct/>
        <w:topLinePunct w:val="0"/>
        <w:autoSpaceDE/>
        <w:autoSpaceDN/>
        <w:bidi w:val="0"/>
        <w:snapToGrid w:val="0"/>
        <w:spacing w:before="0" w:after="0" w:line="360" w:lineRule="auto"/>
        <w:ind w:left="0"/>
        <w:textAlignment w:val="auto"/>
        <w:rPr>
          <w:rFonts w:ascii="宋体" w:hAnsi="宋体" w:eastAsia="宋体"/>
          <w:sz w:val="24"/>
          <w:szCs w:val="24"/>
        </w:rPr>
      </w:pPr>
      <w:r>
        <w:rPr>
          <w:rFonts w:hint="eastAsia" w:ascii="宋体" w:hAnsi="宋体" w:eastAsia="宋体"/>
          <w:sz w:val="24"/>
          <w:szCs w:val="24"/>
        </w:rPr>
        <w:t>考核标准</w:t>
      </w:r>
    </w:p>
    <w:p w14:paraId="6DED07DA">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rFonts w:ascii="宋体" w:hAnsi="宋体" w:eastAsia="宋体"/>
          <w:sz w:val="24"/>
          <w:szCs w:val="24"/>
        </w:rPr>
      </w:pPr>
      <w:r>
        <w:rPr>
          <w:rFonts w:hint="eastAsia" w:ascii="宋体" w:hAnsi="宋体" w:eastAsia="宋体"/>
          <w:sz w:val="24"/>
          <w:szCs w:val="24"/>
        </w:rPr>
        <w:t>（1）由监理单位出具的材料从第三方角度客观体现项目的质量、进度、成本、变更及安全等情况。</w:t>
      </w:r>
    </w:p>
    <w:p w14:paraId="0837DBEA">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rFonts w:ascii="宋体" w:hAnsi="宋体" w:eastAsia="宋体"/>
          <w:sz w:val="24"/>
          <w:szCs w:val="24"/>
        </w:rPr>
      </w:pPr>
      <w:r>
        <w:rPr>
          <w:rFonts w:hint="eastAsia" w:ascii="宋体" w:hAnsi="宋体" w:eastAsia="宋体"/>
          <w:sz w:val="24"/>
          <w:szCs w:val="24"/>
        </w:rPr>
        <w:t>（2）监理团队的组织架构合理，人员配置满足项目需求。</w:t>
      </w:r>
    </w:p>
    <w:p w14:paraId="6BE38F9D">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rFonts w:ascii="宋体" w:hAnsi="宋体" w:eastAsia="宋体"/>
          <w:sz w:val="24"/>
          <w:szCs w:val="24"/>
        </w:rPr>
      </w:pPr>
      <w:r>
        <w:rPr>
          <w:rFonts w:hint="eastAsia" w:ascii="宋体" w:hAnsi="宋体" w:eastAsia="宋体"/>
          <w:sz w:val="24"/>
          <w:szCs w:val="24"/>
        </w:rPr>
        <w:t>（3）监理规划、监理细则符合项目实际情况。</w:t>
      </w:r>
    </w:p>
    <w:p w14:paraId="4BF883B5">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w:t>
      </w:r>
      <w:r>
        <w:rPr>
          <w:sz w:val="24"/>
          <w:szCs w:val="24"/>
        </w:rPr>
        <w:t>4</w:t>
      </w:r>
      <w:r>
        <w:rPr>
          <w:rFonts w:hint="eastAsia"/>
          <w:sz w:val="24"/>
          <w:szCs w:val="24"/>
        </w:rPr>
        <w:t>）监理单位根据监理细则及项目实际情况， 配合项目负责人定期组织召开项目例会， 编制会议纪要，并跟踪管控项目进展。</w:t>
      </w:r>
    </w:p>
    <w:p w14:paraId="3D4921A4">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（5）在项目过程中，监理单位对承建单位的自检自测方案进行审核，对自检自测过程进行见证；对独立第三方评测机构的测评过程及结论予以见证。</w:t>
      </w:r>
    </w:p>
    <w:p w14:paraId="2975EDC0">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（6）在验收评审阶段，监理单位配合项目负责人组织对项目进行团队内部预验收，编制监理工作总结。</w:t>
      </w:r>
    </w:p>
    <w:p w14:paraId="68322629">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sz w:val="24"/>
          <w:szCs w:val="24"/>
        </w:rPr>
        <w:t>（7）监理单位在材料审核过程中未出现失误并对项目造成影响和损失。</w:t>
      </w:r>
    </w:p>
    <w:p w14:paraId="03B41DBB">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w:t>
      </w:r>
      <w:r>
        <w:rPr>
          <w:rFonts w:hint="eastAsia"/>
          <w:sz w:val="24"/>
          <w:szCs w:val="24"/>
        </w:rPr>
        <w:t>监理工作相关文档完整度和准确率大于95%。</w:t>
      </w:r>
    </w:p>
    <w:p w14:paraId="448FDD5D">
      <w:pPr>
        <w:pageBreakBefore w:val="0"/>
        <w:widowControl w:val="0"/>
        <w:shd w:val="clear" w:color="auto" w:fill="FFFFFF" w:themeFill="background1"/>
        <w:kinsoku/>
        <w:wordWrap/>
        <w:overflowPunct/>
        <w:topLinePunct w:val="0"/>
        <w:autoSpaceDE/>
        <w:autoSpaceDN/>
        <w:bidi w:val="0"/>
        <w:snapToGrid w:val="0"/>
        <w:spacing w:line="360" w:lineRule="auto"/>
        <w:textAlignment w:val="auto"/>
        <w:rPr>
          <w:rFonts w:ascii="宋体" w:hAnsi="宋体" w:eastAsia="宋体"/>
          <w:szCs w:val="21"/>
        </w:rPr>
      </w:pPr>
    </w:p>
    <w:p w14:paraId="7B67D717">
      <w:pPr>
        <w:pStyle w:val="5"/>
        <w:pageBreakBefore w:val="0"/>
        <w:widowControl w:val="0"/>
        <w:shd w:val="clear" w:color="auto" w:fill="FFFFFF" w:themeFill="background1"/>
        <w:kinsoku/>
        <w:wordWrap/>
        <w:overflowPunct/>
        <w:topLinePunct w:val="0"/>
        <w:autoSpaceDE/>
        <w:autoSpaceDN/>
        <w:bidi w:val="0"/>
        <w:snapToGrid w:val="0"/>
        <w:spacing w:line="360" w:lineRule="auto"/>
        <w:ind w:left="0"/>
        <w:textAlignment w:val="auto"/>
        <w:rPr>
          <w:rFonts w:ascii="仿宋" w:hAnsi="仿宋" w:eastAsia="仿宋" w:cs="仿宋"/>
        </w:rPr>
      </w:pPr>
      <w:bookmarkStart w:id="32" w:name="_Toc69194684"/>
      <w:r>
        <w:rPr>
          <w:rFonts w:hint="eastAsia" w:ascii="仿宋" w:hAnsi="仿宋" w:eastAsia="仿宋" w:cs="仿宋"/>
        </w:rPr>
        <w:t>验收</w:t>
      </w:r>
      <w:bookmarkEnd w:id="32"/>
      <w:r>
        <w:rPr>
          <w:rFonts w:hint="eastAsia" w:ascii="仿宋" w:hAnsi="仿宋" w:eastAsia="仿宋" w:cs="仿宋"/>
        </w:rPr>
        <w:t>要求</w:t>
      </w:r>
    </w:p>
    <w:p w14:paraId="4CD4B57D">
      <w:pPr>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textAlignment w:val="auto"/>
        <w:rPr>
          <w:rFonts w:ascii="宋体" w:hAnsi="宋体" w:eastAsia="宋体" w:cs="宋体"/>
          <w:sz w:val="24"/>
          <w:szCs w:val="24"/>
          <w:lang w:val="en-GB"/>
        </w:rPr>
      </w:pPr>
      <w:r>
        <w:rPr>
          <w:rFonts w:hint="eastAsia" w:ascii="宋体" w:hAnsi="宋体" w:eastAsia="宋体" w:cs="宋体"/>
          <w:sz w:val="24"/>
          <w:szCs w:val="24"/>
          <w:lang w:val="en-GB"/>
        </w:rPr>
        <w:t>监理工作期限终止时，监理单位应当以书面形式提交监理服务总结报告。采购人在收到监理单位提交的</w:t>
      </w:r>
      <w:r>
        <w:rPr>
          <w:rFonts w:hint="eastAsia" w:ascii="宋体" w:hAnsi="宋体" w:eastAsia="宋体" w:cs="宋体"/>
          <w:sz w:val="24"/>
          <w:szCs w:val="24"/>
        </w:rPr>
        <w:t>监理报告</w:t>
      </w:r>
      <w:r>
        <w:rPr>
          <w:rFonts w:hint="eastAsia" w:ascii="宋体" w:hAnsi="宋体" w:eastAsia="宋体" w:cs="宋体"/>
          <w:sz w:val="24"/>
          <w:szCs w:val="24"/>
          <w:lang w:val="en-GB"/>
        </w:rPr>
        <w:t>（</w:t>
      </w:r>
      <w:r>
        <w:rPr>
          <w:rFonts w:hint="eastAsia" w:ascii="宋体" w:hAnsi="宋体" w:eastAsia="宋体" w:cs="宋体"/>
          <w:sz w:val="24"/>
          <w:szCs w:val="24"/>
        </w:rPr>
        <w:t>服务范围内运维项目的监理记录、监理文档和</w:t>
      </w:r>
      <w:r>
        <w:rPr>
          <w:rFonts w:hint="eastAsia" w:ascii="宋体" w:hAnsi="宋体" w:eastAsia="宋体" w:cs="宋体"/>
          <w:sz w:val="24"/>
          <w:szCs w:val="24"/>
          <w:lang w:val="en-GB"/>
        </w:rPr>
        <w:t>监理服务总结报告等）后20个工作日内，对监理单位的工作进行验收。如属于监理单位原因致使维护服务未能通过验收的，监理单位应当在</w:t>
      </w:r>
      <w:r>
        <w:rPr>
          <w:rFonts w:hint="eastAsia" w:ascii="宋体" w:hAnsi="宋体" w:eastAsia="宋体" w:cs="宋体"/>
          <w:sz w:val="24"/>
          <w:szCs w:val="24"/>
        </w:rPr>
        <w:t>10</w:t>
      </w:r>
      <w:r>
        <w:rPr>
          <w:rFonts w:hint="eastAsia" w:ascii="宋体" w:hAnsi="宋体" w:eastAsia="宋体" w:cs="宋体"/>
          <w:sz w:val="24"/>
          <w:szCs w:val="24"/>
          <w:lang w:val="en-GB"/>
        </w:rPr>
        <w:t>个工作日内进行整改，并自行承担相关整改费用，再次接受采购人的验收，直至符合约定要求。</w:t>
      </w:r>
    </w:p>
    <w:p w14:paraId="29E09FF0">
      <w:pPr>
        <w:pStyle w:val="5"/>
        <w:pageBreakBefore w:val="0"/>
        <w:widowControl w:val="0"/>
        <w:shd w:val="clear" w:color="auto" w:fill="FFFFFF" w:themeFill="background1"/>
        <w:kinsoku/>
        <w:wordWrap/>
        <w:overflowPunct/>
        <w:topLinePunct w:val="0"/>
        <w:autoSpaceDE/>
        <w:autoSpaceDN/>
        <w:bidi w:val="0"/>
        <w:snapToGrid w:val="0"/>
        <w:spacing w:line="360" w:lineRule="auto"/>
        <w:ind w:left="0"/>
        <w:textAlignment w:val="auto"/>
        <w:rPr>
          <w:rFonts w:ascii="仿宋" w:hAnsi="仿宋" w:eastAsia="仿宋" w:cs="仿宋"/>
        </w:rPr>
      </w:pPr>
      <w:bookmarkStart w:id="33" w:name="_Toc69194685"/>
      <w:r>
        <w:rPr>
          <w:rFonts w:hint="eastAsia" w:ascii="仿宋" w:hAnsi="仿宋" w:eastAsia="仿宋" w:cs="仿宋"/>
        </w:rPr>
        <w:t>服务组织和人员</w:t>
      </w:r>
      <w:bookmarkEnd w:id="33"/>
      <w:r>
        <w:rPr>
          <w:rFonts w:hint="eastAsia" w:ascii="仿宋" w:hAnsi="仿宋" w:eastAsia="仿宋" w:cs="仿宋"/>
        </w:rPr>
        <w:t>要求</w:t>
      </w:r>
    </w:p>
    <w:p w14:paraId="2E7E325C">
      <w:pPr>
        <w:pStyle w:val="6"/>
        <w:pageBreakBefore w:val="0"/>
        <w:widowControl w:val="0"/>
        <w:shd w:val="clear" w:color="auto" w:fill="FFFFFF" w:themeFill="background1"/>
        <w:kinsoku/>
        <w:wordWrap/>
        <w:overflowPunct/>
        <w:topLinePunct w:val="0"/>
        <w:autoSpaceDE/>
        <w:autoSpaceDN/>
        <w:bidi w:val="0"/>
        <w:snapToGrid w:val="0"/>
        <w:spacing w:line="360" w:lineRule="auto"/>
        <w:textAlignment w:val="auto"/>
        <w:rPr>
          <w:rFonts w:ascii="宋体" w:hAnsi="宋体" w:eastAsia="宋体" w:cs="仿宋"/>
          <w:sz w:val="24"/>
          <w:szCs w:val="24"/>
        </w:rPr>
      </w:pPr>
      <w:r>
        <w:rPr>
          <w:rFonts w:hint="eastAsia" w:ascii="宋体" w:hAnsi="宋体" w:eastAsia="宋体" w:cs="仿宋"/>
          <w:sz w:val="24"/>
          <w:szCs w:val="24"/>
        </w:rPr>
        <w:t>监理团队要求</w:t>
      </w:r>
    </w:p>
    <w:p w14:paraId="47463709">
      <w:pPr>
        <w:pageBreakBefore w:val="0"/>
        <w:widowControl w:val="0"/>
        <w:numPr>
          <w:ilvl w:val="0"/>
          <w:numId w:val="27"/>
        </w:numPr>
        <w:shd w:val="clear" w:color="auto" w:fill="FFFFFF" w:themeFill="background1"/>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sz w:val="24"/>
          <w:szCs w:val="24"/>
        </w:rPr>
        <w:t>为保证本项目监理服务工作，监理单位应成立专门的项目服务团队，团队人员投入不少于7人，包括总监理工程师、总监理工程师代表、专业监理工程师等。</w:t>
      </w:r>
    </w:p>
    <w:p w14:paraId="2E4F1798">
      <w:pPr>
        <w:pageBreakBefore w:val="0"/>
        <w:widowControl w:val="0"/>
        <w:numPr>
          <w:ilvl w:val="0"/>
          <w:numId w:val="27"/>
        </w:numPr>
        <w:shd w:val="clear" w:color="auto" w:fill="FFFFFF" w:themeFill="background1"/>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总监理工程师职责：全面负责项目监理工作，按照监理合同要求确定现场监理人员分工，对监理目标负责；组织项目服务团队对运维项目实施监理服务；检查项目服务团队的监理工作，考核总监理工程师代表、专业监理工程师岗位职责及具体业务的完成情况；审核签署监理工作相关文档。</w:t>
      </w:r>
    </w:p>
    <w:p w14:paraId="79F80D04">
      <w:pPr>
        <w:pageBreakBefore w:val="0"/>
        <w:widowControl w:val="0"/>
        <w:numPr>
          <w:ilvl w:val="0"/>
          <w:numId w:val="27"/>
        </w:numPr>
        <w:shd w:val="clear" w:color="auto" w:fill="FFFFFF" w:themeFill="background1"/>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总监理工程师代表职责：与专业监理工程师对接，掌握所有运维系统的监理工作进展情况；协调项目服务团队、采购人、运维服务商之间的关系，接受采购人的指导，同时对项目监理的全过程进行必要的监督调控；规定正式的沟通方式、渠道和时间，使所有相关人员按照既定的程序和规则行事；及时反馈业主对监理服务工作的意见；积极主动地完成采购人交办的各项任务。</w:t>
      </w:r>
    </w:p>
    <w:p w14:paraId="18734ABA">
      <w:pPr>
        <w:pageBreakBefore w:val="0"/>
        <w:widowControl w:val="0"/>
        <w:numPr>
          <w:ilvl w:val="0"/>
          <w:numId w:val="27"/>
        </w:numPr>
        <w:shd w:val="clear" w:color="auto" w:fill="FFFFFF" w:themeFill="background1"/>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专业监理工程师职责：负责具体系统运维的现场监理工作。</w:t>
      </w:r>
    </w:p>
    <w:p w14:paraId="2463884F">
      <w:pPr>
        <w:pageBreakBefore w:val="0"/>
        <w:widowControl w:val="0"/>
        <w:numPr>
          <w:ilvl w:val="0"/>
          <w:numId w:val="27"/>
        </w:numPr>
        <w:shd w:val="clear" w:color="auto" w:fill="FFFFFF" w:themeFill="background1"/>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监理单位在执行监理合同时建立项目组织机构，根据工作实际需要加派人员以满足应急或其他监理工作需要，在完成合同约定的工作任务后方可解散。</w:t>
      </w:r>
    </w:p>
    <w:p w14:paraId="4E7ACD24">
      <w:pPr>
        <w:pageBreakBefore w:val="0"/>
        <w:widowControl w:val="0"/>
        <w:numPr>
          <w:ilvl w:val="0"/>
          <w:numId w:val="27"/>
        </w:numPr>
        <w:shd w:val="clear" w:color="auto" w:fill="FFFFFF" w:themeFill="background1"/>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监理单位应保证项目组织机构成员在服务过程中的稳定性，所有项目组人员无特殊理由不得随意变动，如要变动，须征得采购人的同意，在未得到采购人同意的情况下不得随意更换，且接替人的资质不得低于原有人员的资质。</w:t>
      </w:r>
    </w:p>
    <w:p w14:paraId="0661CF7D">
      <w:pPr>
        <w:pStyle w:val="6"/>
        <w:pageBreakBefore w:val="0"/>
        <w:widowControl w:val="0"/>
        <w:shd w:val="clear" w:color="auto" w:fill="FFFFFF" w:themeFill="background1"/>
        <w:kinsoku/>
        <w:wordWrap/>
        <w:overflowPunct/>
        <w:topLinePunct w:val="0"/>
        <w:autoSpaceDE/>
        <w:autoSpaceDN/>
        <w:bidi w:val="0"/>
        <w:snapToGrid w:val="0"/>
        <w:spacing w:line="360" w:lineRule="auto"/>
        <w:textAlignment w:val="auto"/>
      </w:pPr>
      <w:r>
        <w:rPr>
          <w:rFonts w:hint="eastAsia"/>
        </w:rPr>
        <w:t>监理团队人员要求</w:t>
      </w:r>
    </w:p>
    <w:p w14:paraId="489EF566">
      <w:pPr>
        <w:pageBreakBefore w:val="0"/>
        <w:widowControl w:val="0"/>
        <w:shd w:val="clear" w:color="auto" w:fill="FFFFFF" w:themeFill="background1"/>
        <w:kinsoku/>
        <w:wordWrap/>
        <w:overflowPunct/>
        <w:topLinePunct w:val="0"/>
        <w:autoSpaceDE/>
        <w:autoSpaceDN/>
        <w:bidi w:val="0"/>
        <w:snapToGrid w:val="0"/>
        <w:spacing w:line="360" w:lineRule="auto"/>
        <w:ind w:firstLine="480" w:firstLineChars="200"/>
        <w:textAlignment w:val="auto"/>
        <w:rPr>
          <w:rFonts w:ascii="宋体" w:hAnsi="宋体" w:eastAsia="宋体" w:cs="仿宋"/>
          <w:sz w:val="32"/>
          <w:szCs w:val="32"/>
        </w:rPr>
      </w:pPr>
      <w:bookmarkStart w:id="34" w:name="_Hlk155623736"/>
      <w:r>
        <w:rPr>
          <w:rFonts w:hint="eastAsia" w:ascii="宋体" w:hAnsi="宋体"/>
          <w:sz w:val="24"/>
          <w:szCs w:val="24"/>
        </w:rPr>
        <w:t>项目服务团队须全部具有信息系统监理师证书</w:t>
      </w:r>
      <w:bookmarkEnd w:id="34"/>
      <w:r>
        <w:rPr>
          <w:rFonts w:hint="eastAsia" w:ascii="宋体" w:hAnsi="宋体"/>
          <w:sz w:val="24"/>
          <w:szCs w:val="24"/>
        </w:rPr>
        <w:t>，并且各岗位人员满足以下各项基本条件：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2200"/>
        <w:gridCol w:w="1035"/>
        <w:gridCol w:w="2666"/>
        <w:gridCol w:w="1050"/>
      </w:tblGrid>
      <w:tr w14:paraId="4CD1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0" w:type="auto"/>
            <w:vAlign w:val="center"/>
          </w:tcPr>
          <w:p w14:paraId="29F611FE">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b/>
                <w:kern w:val="0"/>
                <w:sz w:val="28"/>
                <w:szCs w:val="28"/>
                <w:lang w:val="en-US"/>
              </w:rPr>
            </w:pPr>
            <w:r>
              <w:rPr>
                <w:rFonts w:hint="eastAsia" w:ascii="仿宋" w:hAnsi="仿宋" w:eastAsia="仿宋" w:cs="仿宋"/>
                <w:b/>
                <w:kern w:val="0"/>
                <w:sz w:val="28"/>
                <w:szCs w:val="28"/>
                <w:lang w:val="en-US"/>
              </w:rPr>
              <w:t>角色</w:t>
            </w:r>
          </w:p>
        </w:tc>
        <w:tc>
          <w:tcPr>
            <w:tcW w:w="0" w:type="auto"/>
            <w:vAlign w:val="center"/>
          </w:tcPr>
          <w:p w14:paraId="7C378B71">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b/>
                <w:kern w:val="0"/>
                <w:sz w:val="28"/>
                <w:szCs w:val="28"/>
                <w:lang w:val="en-US"/>
              </w:rPr>
            </w:pPr>
            <w:r>
              <w:rPr>
                <w:rFonts w:hint="eastAsia" w:ascii="仿宋" w:hAnsi="仿宋" w:eastAsia="仿宋" w:cs="仿宋"/>
                <w:b/>
                <w:kern w:val="0"/>
                <w:sz w:val="28"/>
                <w:szCs w:val="28"/>
                <w:lang w:val="en-US"/>
              </w:rPr>
              <w:t>主要职责</w:t>
            </w:r>
          </w:p>
        </w:tc>
        <w:tc>
          <w:tcPr>
            <w:tcW w:w="1035" w:type="dxa"/>
            <w:vAlign w:val="center"/>
          </w:tcPr>
          <w:p w14:paraId="5F218DCC">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b/>
                <w:kern w:val="0"/>
                <w:sz w:val="28"/>
                <w:szCs w:val="28"/>
                <w:lang w:val="en-US"/>
              </w:rPr>
            </w:pPr>
            <w:r>
              <w:rPr>
                <w:rFonts w:hint="eastAsia" w:ascii="仿宋" w:hAnsi="仿宋" w:eastAsia="仿宋" w:cs="仿宋"/>
                <w:b/>
                <w:kern w:val="0"/>
                <w:sz w:val="28"/>
                <w:szCs w:val="28"/>
                <w:lang w:val="en-US"/>
              </w:rPr>
              <w:t>人数</w:t>
            </w:r>
          </w:p>
        </w:tc>
        <w:tc>
          <w:tcPr>
            <w:tcW w:w="2666" w:type="dxa"/>
            <w:vAlign w:val="center"/>
          </w:tcPr>
          <w:p w14:paraId="46F8ED10">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b/>
                <w:kern w:val="0"/>
                <w:sz w:val="28"/>
                <w:szCs w:val="28"/>
                <w:lang w:val="en-US"/>
              </w:rPr>
            </w:pPr>
            <w:r>
              <w:rPr>
                <w:rFonts w:hint="eastAsia" w:ascii="仿宋" w:hAnsi="仿宋" w:eastAsia="仿宋" w:cs="仿宋"/>
                <w:b/>
                <w:kern w:val="0"/>
                <w:sz w:val="28"/>
                <w:szCs w:val="28"/>
                <w:lang w:val="en-US"/>
              </w:rPr>
              <w:t>人员要求</w:t>
            </w:r>
          </w:p>
        </w:tc>
        <w:tc>
          <w:tcPr>
            <w:tcW w:w="0" w:type="auto"/>
            <w:vAlign w:val="center"/>
          </w:tcPr>
          <w:p w14:paraId="70A857D0">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b/>
                <w:kern w:val="0"/>
                <w:sz w:val="28"/>
                <w:szCs w:val="28"/>
                <w:lang w:val="en-US"/>
              </w:rPr>
            </w:pPr>
            <w:r>
              <w:rPr>
                <w:rFonts w:hint="eastAsia" w:ascii="仿宋" w:hAnsi="仿宋" w:eastAsia="仿宋" w:cs="仿宋"/>
                <w:b/>
                <w:kern w:val="0"/>
                <w:sz w:val="28"/>
                <w:szCs w:val="28"/>
                <w:lang w:val="en-US"/>
              </w:rPr>
              <w:t>驻场要求</w:t>
            </w:r>
          </w:p>
        </w:tc>
      </w:tr>
      <w:tr w14:paraId="093B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vAlign w:val="center"/>
          </w:tcPr>
          <w:p w14:paraId="61F0B5BA">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宋体" w:hAnsi="宋体"/>
                <w:szCs w:val="21"/>
              </w:rPr>
            </w:pPr>
            <w:r>
              <w:rPr>
                <w:rFonts w:hint="eastAsia" w:ascii="宋体" w:hAnsi="宋体"/>
                <w:szCs w:val="21"/>
              </w:rPr>
              <w:t>总监理</w:t>
            </w:r>
          </w:p>
          <w:p w14:paraId="67235540">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工程师</w:t>
            </w:r>
          </w:p>
        </w:tc>
        <w:tc>
          <w:tcPr>
            <w:tcW w:w="0" w:type="auto"/>
            <w:vAlign w:val="center"/>
          </w:tcPr>
          <w:p w14:paraId="0C086A92">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对本项目监理工作全面负责</w:t>
            </w:r>
          </w:p>
        </w:tc>
        <w:tc>
          <w:tcPr>
            <w:tcW w:w="1035" w:type="dxa"/>
            <w:vAlign w:val="center"/>
          </w:tcPr>
          <w:p w14:paraId="65FD35A1">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仿宋" w:hAnsi="仿宋" w:eastAsia="仿宋" w:cs="仿宋"/>
                <w:sz w:val="28"/>
                <w:szCs w:val="28"/>
                <w:lang w:val="en-US"/>
              </w:rPr>
              <w:t>1人</w:t>
            </w:r>
          </w:p>
        </w:tc>
        <w:tc>
          <w:tcPr>
            <w:tcW w:w="2666" w:type="dxa"/>
            <w:vAlign w:val="center"/>
          </w:tcPr>
          <w:p w14:paraId="729A3BDE">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具备信息化运维保障项目总监理工程师经验，具有信息系统监理师资质证书、高级工程师技术职称证书。</w:t>
            </w:r>
          </w:p>
        </w:tc>
        <w:tc>
          <w:tcPr>
            <w:tcW w:w="0" w:type="auto"/>
            <w:vAlign w:val="center"/>
          </w:tcPr>
          <w:p w14:paraId="4E1C1559">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cs="仿宋" w:asciiTheme="minorEastAsia" w:hAnsiTheme="minorEastAsia" w:eastAsiaTheme="minorEastAsia"/>
                <w:szCs w:val="28"/>
                <w:lang w:val="en-US"/>
              </w:rPr>
              <w:t>不驻场</w:t>
            </w:r>
          </w:p>
        </w:tc>
      </w:tr>
      <w:tr w14:paraId="07B9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Align w:val="center"/>
          </w:tcPr>
          <w:p w14:paraId="6248FC5E">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总监理工程师代表</w:t>
            </w:r>
          </w:p>
        </w:tc>
        <w:tc>
          <w:tcPr>
            <w:tcW w:w="0" w:type="auto"/>
            <w:vAlign w:val="center"/>
          </w:tcPr>
          <w:p w14:paraId="23293CB5">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监理工作</w:t>
            </w:r>
          </w:p>
        </w:tc>
        <w:tc>
          <w:tcPr>
            <w:tcW w:w="1035" w:type="dxa"/>
            <w:vAlign w:val="center"/>
          </w:tcPr>
          <w:p w14:paraId="5AB522AA">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仿宋" w:hAnsi="仿宋" w:eastAsia="仿宋" w:cs="仿宋"/>
                <w:sz w:val="28"/>
                <w:szCs w:val="28"/>
                <w:lang w:val="en-US"/>
              </w:rPr>
              <w:t>1人</w:t>
            </w:r>
          </w:p>
        </w:tc>
        <w:tc>
          <w:tcPr>
            <w:tcW w:w="2666" w:type="dxa"/>
            <w:vAlign w:val="center"/>
          </w:tcPr>
          <w:p w14:paraId="11BF85E3">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具有信息系统监理师资质证</w:t>
            </w:r>
            <w:r>
              <w:rPr>
                <w:rFonts w:hint="eastAsia" w:ascii="宋体" w:hAnsi="宋体"/>
                <w:szCs w:val="21"/>
                <w:highlight w:val="none"/>
              </w:rPr>
              <w:t>书</w:t>
            </w:r>
            <w:r>
              <w:rPr>
                <w:rFonts w:hint="eastAsia" w:ascii="宋体" w:hAnsi="宋体"/>
                <w:szCs w:val="21"/>
                <w:highlight w:val="none"/>
                <w:lang w:eastAsia="zh-CN"/>
              </w:rPr>
              <w:t>、</w:t>
            </w:r>
            <w:r>
              <w:rPr>
                <w:rFonts w:hint="eastAsia" w:ascii="宋体" w:hAnsi="宋体" w:eastAsia="宋体" w:cs="宋体"/>
                <w:szCs w:val="24"/>
                <w:highlight w:val="none"/>
              </w:rPr>
              <w:t>信息系统项目管理师资格证书</w:t>
            </w:r>
            <w:r>
              <w:rPr>
                <w:rFonts w:hint="eastAsia" w:ascii="宋体" w:hAnsi="宋体" w:eastAsia="宋体" w:cs="宋体"/>
                <w:szCs w:val="24"/>
                <w:highlight w:val="none"/>
                <w:lang w:eastAsia="zh-CN"/>
              </w:rPr>
              <w:t>，</w:t>
            </w:r>
            <w:r>
              <w:rPr>
                <w:rFonts w:hint="eastAsia" w:ascii="宋体" w:hAnsi="宋体"/>
                <w:szCs w:val="21"/>
                <w:highlight w:val="none"/>
              </w:rPr>
              <w:t>具备信</w:t>
            </w:r>
            <w:r>
              <w:rPr>
                <w:rFonts w:hint="eastAsia" w:ascii="宋体" w:hAnsi="宋体"/>
                <w:szCs w:val="21"/>
              </w:rPr>
              <w:t>息化运维保障项目监理工程师经验</w:t>
            </w:r>
          </w:p>
        </w:tc>
        <w:tc>
          <w:tcPr>
            <w:tcW w:w="0" w:type="auto"/>
            <w:vAlign w:val="center"/>
          </w:tcPr>
          <w:p w14:paraId="262A8C05">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rPr>
            </w:pPr>
            <w:r>
              <w:rPr>
                <w:rFonts w:hint="eastAsia" w:cs="仿宋" w:asciiTheme="minorEastAsia" w:hAnsiTheme="minorEastAsia" w:eastAsiaTheme="minorEastAsia"/>
                <w:szCs w:val="28"/>
                <w:lang w:val="en-US"/>
              </w:rPr>
              <w:t>驻场</w:t>
            </w:r>
          </w:p>
        </w:tc>
      </w:tr>
      <w:tr w14:paraId="4E36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Align w:val="center"/>
          </w:tcPr>
          <w:p w14:paraId="113D89E7">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专业监理工程师</w:t>
            </w:r>
          </w:p>
        </w:tc>
        <w:tc>
          <w:tcPr>
            <w:tcW w:w="0" w:type="auto"/>
            <w:vAlign w:val="center"/>
          </w:tcPr>
          <w:p w14:paraId="5E2BBBAB">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现场监理</w:t>
            </w:r>
          </w:p>
        </w:tc>
        <w:tc>
          <w:tcPr>
            <w:tcW w:w="1035" w:type="dxa"/>
            <w:vAlign w:val="center"/>
          </w:tcPr>
          <w:p w14:paraId="23F2BC01">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仿宋" w:hAnsi="仿宋" w:eastAsia="仿宋" w:cs="仿宋"/>
                <w:sz w:val="28"/>
                <w:szCs w:val="28"/>
                <w:lang w:val="en-US"/>
              </w:rPr>
              <w:t>5人</w:t>
            </w:r>
          </w:p>
        </w:tc>
        <w:tc>
          <w:tcPr>
            <w:tcW w:w="2666" w:type="dxa"/>
            <w:vAlign w:val="center"/>
          </w:tcPr>
          <w:p w14:paraId="28982F9B">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ascii="宋体" w:hAnsi="宋体"/>
                <w:szCs w:val="21"/>
              </w:rPr>
              <w:t>具有信息系统监理师资质证书，监理师应具有</w:t>
            </w:r>
            <w:r>
              <w:rPr>
                <w:rFonts w:hint="eastAsia" w:ascii="宋体" w:hAnsi="宋体" w:cs="仿宋"/>
              </w:rPr>
              <w:t>2年以上大型信息化运维保障项目监理工作经验</w:t>
            </w:r>
          </w:p>
        </w:tc>
        <w:tc>
          <w:tcPr>
            <w:tcW w:w="0" w:type="auto"/>
            <w:vAlign w:val="center"/>
          </w:tcPr>
          <w:p w14:paraId="3B3EE686">
            <w:pPr>
              <w:pStyle w:val="25"/>
              <w:pageBreakBefore w:val="0"/>
              <w:widowControl w:val="0"/>
              <w:shd w:val="clear" w:color="auto" w:fill="FFFFFF" w:themeFill="background1"/>
              <w:kinsoku/>
              <w:wordWrap/>
              <w:overflowPunct/>
              <w:topLinePunct w:val="0"/>
              <w:autoSpaceDE/>
              <w:autoSpaceDN/>
              <w:bidi w:val="0"/>
              <w:snapToGrid w:val="0"/>
              <w:spacing w:line="360" w:lineRule="auto"/>
              <w:ind w:left="0" w:leftChars="0" w:firstLine="0" w:firstLineChars="0"/>
              <w:jc w:val="center"/>
              <w:textAlignment w:val="auto"/>
              <w:rPr>
                <w:rFonts w:ascii="仿宋" w:hAnsi="仿宋" w:eastAsia="仿宋" w:cs="仿宋"/>
                <w:kern w:val="0"/>
                <w:sz w:val="28"/>
                <w:szCs w:val="28"/>
                <w:lang w:val="en-US"/>
              </w:rPr>
            </w:pPr>
            <w:r>
              <w:rPr>
                <w:rFonts w:hint="eastAsia" w:cs="仿宋" w:asciiTheme="minorEastAsia" w:hAnsiTheme="minorEastAsia" w:eastAsiaTheme="minorEastAsia"/>
                <w:szCs w:val="28"/>
                <w:lang w:val="en-US"/>
              </w:rPr>
              <w:t>不驻场</w:t>
            </w:r>
          </w:p>
        </w:tc>
      </w:tr>
    </w:tbl>
    <w:p w14:paraId="1801EC5D">
      <w:pPr>
        <w:pStyle w:val="5"/>
        <w:pageBreakBefore w:val="0"/>
        <w:widowControl w:val="0"/>
        <w:shd w:val="clear" w:color="auto" w:fill="FFFFFF" w:themeFill="background1"/>
        <w:kinsoku/>
        <w:wordWrap/>
        <w:overflowPunct/>
        <w:topLinePunct w:val="0"/>
        <w:autoSpaceDE/>
        <w:autoSpaceDN/>
        <w:bidi w:val="0"/>
        <w:snapToGrid w:val="0"/>
        <w:spacing w:line="360" w:lineRule="auto"/>
        <w:ind w:left="0"/>
        <w:textAlignment w:val="auto"/>
        <w:rPr>
          <w:rFonts w:ascii="仿宋" w:hAnsi="仿宋" w:eastAsia="仿宋" w:cs="仿宋"/>
          <w:bCs w:val="0"/>
          <w:szCs w:val="32"/>
        </w:rPr>
      </w:pPr>
      <w:bookmarkStart w:id="35" w:name="_Toc69194690"/>
      <w:r>
        <w:rPr>
          <w:rFonts w:hint="eastAsia" w:ascii="仿宋" w:hAnsi="仿宋" w:eastAsia="仿宋" w:cs="仿宋"/>
          <w:bCs w:val="0"/>
          <w:szCs w:val="32"/>
        </w:rPr>
        <w:t>项目的变更、解除和终止</w:t>
      </w:r>
    </w:p>
    <w:p w14:paraId="6A6B8D03">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如果服务提供方丧失履约能力、发生资不抵债或进入破产程序，</w:t>
      </w:r>
      <w:r>
        <w:rPr>
          <w:rFonts w:hint="eastAsia" w:cs="仿宋" w:asciiTheme="minorEastAsia" w:hAnsiTheme="minorEastAsia"/>
          <w:sz w:val="24"/>
          <w:szCs w:val="32"/>
          <w:lang w:eastAsia="zh-CN"/>
        </w:rPr>
        <w:t>采购人</w:t>
      </w:r>
      <w:r>
        <w:rPr>
          <w:rFonts w:hint="eastAsia" w:cs="仿宋" w:asciiTheme="minorEastAsia" w:hAnsiTheme="minorEastAsia"/>
          <w:sz w:val="24"/>
          <w:szCs w:val="32"/>
        </w:rPr>
        <w:t>可在任何时候以书面形式通知服务提供方终止本项目的执行而不给予服务提供方补偿。该终止本项目将不损害或影响</w:t>
      </w:r>
      <w:r>
        <w:rPr>
          <w:rFonts w:hint="eastAsia" w:cs="仿宋" w:asciiTheme="minorEastAsia" w:hAnsiTheme="minorEastAsia"/>
          <w:sz w:val="24"/>
          <w:szCs w:val="32"/>
          <w:lang w:eastAsia="zh-CN"/>
        </w:rPr>
        <w:t>采购人</w:t>
      </w:r>
      <w:r>
        <w:rPr>
          <w:rFonts w:hint="eastAsia" w:cs="仿宋" w:asciiTheme="minorEastAsia" w:hAnsiTheme="minorEastAsia"/>
          <w:sz w:val="24"/>
          <w:szCs w:val="32"/>
        </w:rPr>
        <w:t>已经采取或将要采取任何行动或补救措施的权利。</w:t>
      </w:r>
    </w:p>
    <w:p w14:paraId="757D94A3">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如遇国家、行业管理部门等机构的有关标准和规定调整的，导致本项目内容须做相应调整时，双方应按照公平、合理的原则共同协商修改本项目对应的合同的相关条款。</w:t>
      </w:r>
    </w:p>
    <w:p w14:paraId="0894BD87">
      <w:pPr>
        <w:pStyle w:val="5"/>
        <w:pageBreakBefore w:val="0"/>
        <w:widowControl w:val="0"/>
        <w:shd w:val="clear" w:color="auto" w:fill="FFFFFF" w:themeFill="background1"/>
        <w:kinsoku/>
        <w:wordWrap/>
        <w:overflowPunct/>
        <w:topLinePunct w:val="0"/>
        <w:autoSpaceDE/>
        <w:autoSpaceDN/>
        <w:bidi w:val="0"/>
        <w:snapToGrid w:val="0"/>
        <w:spacing w:line="360" w:lineRule="auto"/>
        <w:ind w:left="0"/>
        <w:textAlignment w:val="auto"/>
        <w:rPr>
          <w:rFonts w:ascii="仿宋" w:hAnsi="仿宋" w:eastAsia="仿宋" w:cs="仿宋"/>
        </w:rPr>
      </w:pPr>
      <w:r>
        <w:rPr>
          <w:rFonts w:hint="eastAsia" w:ascii="仿宋" w:hAnsi="仿宋" w:eastAsia="仿宋" w:cs="仿宋"/>
        </w:rPr>
        <w:t>保密责任</w:t>
      </w:r>
    </w:p>
    <w:p w14:paraId="24FE93DF">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1、</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不得对外泄露采购人要求保密的信息，不得用于其他用途，否则</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需承担由此引起的法律责任和经济责任，包括但不限于直接损失、间接损失、律师费、诉讼费/仲裁费、调查费、公证费等。</w:t>
      </w:r>
    </w:p>
    <w:p w14:paraId="42335670">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2、</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应采取必要的有效措施保证其参与本项目的人员（包括</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聘用的人员、借调的人员、实习的人员）无论是在职或离职后，以及</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的合作方无论是合作中或合作终止后，都能够履行本项目约定的保密义务。若</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人员或</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合作方违反保密规定，</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应承担连带责任。</w:t>
      </w:r>
    </w:p>
    <w:p w14:paraId="0EFD896A">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3、</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（含</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14:paraId="35325011">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4、以上内容的保密期限自</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知悉保密信息起始至保密信息被合法公开之日止。</w:t>
      </w:r>
    </w:p>
    <w:p w14:paraId="3DC90974">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5、</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对采购人提供的临时使用账号要保密，不得公开，对组件开发的账号密码需进行加密，避免信息安全的泄露。未经采购人的同意不得利用采购人的网络及平台进行短信、彩信、微信、邮件等发送,造成的一切后果由</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负责。</w:t>
      </w:r>
    </w:p>
    <w:p w14:paraId="1A8C598E">
      <w:pPr>
        <w:pageBreakBefore w:val="0"/>
        <w:widowControl w:val="0"/>
        <w:shd w:val="clear" w:color="auto" w:fill="FFFFFF" w:themeFill="background1"/>
        <w:kinsoku/>
        <w:wordWrap/>
        <w:overflowPunct/>
        <w:topLinePunct w:val="0"/>
        <w:autoSpaceDE/>
        <w:autoSpaceDN/>
        <w:bidi w:val="0"/>
        <w:snapToGrid w:val="0"/>
        <w:spacing w:line="360" w:lineRule="auto"/>
        <w:ind w:firstLine="199" w:firstLineChars="83"/>
        <w:textAlignment w:val="auto"/>
        <w:rPr>
          <w:rFonts w:cs="仿宋" w:asciiTheme="minorEastAsia" w:hAnsiTheme="minorEastAsia"/>
          <w:sz w:val="24"/>
          <w:szCs w:val="32"/>
        </w:rPr>
      </w:pPr>
      <w:r>
        <w:rPr>
          <w:rFonts w:hint="eastAsia" w:cs="仿宋" w:asciiTheme="minorEastAsia" w:hAnsiTheme="minorEastAsia"/>
          <w:sz w:val="24"/>
          <w:szCs w:val="32"/>
        </w:rPr>
        <w:t>运维过程</w:t>
      </w:r>
      <w:r>
        <w:rPr>
          <w:rFonts w:hint="eastAsia" w:cs="仿宋" w:asciiTheme="minorEastAsia" w:hAnsiTheme="minorEastAsia"/>
          <w:sz w:val="24"/>
          <w:szCs w:val="32"/>
          <w:lang w:eastAsia="zh-CN"/>
        </w:rPr>
        <w:t>成交供应商</w:t>
      </w:r>
      <w:r>
        <w:rPr>
          <w:rFonts w:hint="eastAsia" w:cs="仿宋" w:asciiTheme="minorEastAsia" w:hAnsiTheme="minorEastAsia"/>
          <w:sz w:val="24"/>
          <w:szCs w:val="32"/>
        </w:rPr>
        <w:t>如出现失、窃密事情，参照网络和数据安全事件处罚措施同等处置，具体处罚措施由中心保密管理部门确定。</w:t>
      </w:r>
    </w:p>
    <w:p w14:paraId="150EEAFD">
      <w:pPr>
        <w:pageBreakBefore w:val="0"/>
        <w:widowControl w:val="0"/>
        <w:shd w:val="clear" w:color="auto" w:fill="FFFFFF" w:themeFill="background1"/>
        <w:kinsoku/>
        <w:wordWrap/>
        <w:overflowPunct/>
        <w:topLinePunct w:val="0"/>
        <w:autoSpaceDE/>
        <w:autoSpaceDN/>
        <w:bidi w:val="0"/>
        <w:snapToGrid w:val="0"/>
        <w:spacing w:line="360" w:lineRule="auto"/>
        <w:ind w:firstLine="560" w:firstLineChars="200"/>
        <w:textAlignment w:val="auto"/>
        <w:rPr>
          <w:rFonts w:ascii="仿宋" w:hAnsi="仿宋" w:eastAsia="仿宋" w:cs="仿宋"/>
          <w:sz w:val="28"/>
          <w:szCs w:val="28"/>
        </w:rPr>
      </w:pPr>
    </w:p>
    <w:p w14:paraId="10E6CEA5">
      <w:pPr>
        <w:keepNext/>
        <w:keepLines/>
        <w:pageBreakBefore w:val="0"/>
        <w:widowControl w:val="0"/>
        <w:numPr>
          <w:ilvl w:val="0"/>
          <w:numId w:val="1"/>
        </w:numPr>
        <w:shd w:val="clear" w:color="auto" w:fill="FFFFFF" w:themeFill="background1"/>
        <w:kinsoku/>
        <w:wordWrap/>
        <w:overflowPunct/>
        <w:topLinePunct w:val="0"/>
        <w:autoSpaceDE/>
        <w:autoSpaceDN/>
        <w:bidi w:val="0"/>
        <w:adjustRightInd/>
        <w:snapToGrid w:val="0"/>
        <w:spacing w:before="340" w:after="330" w:line="360" w:lineRule="auto"/>
        <w:ind w:left="0"/>
        <w:jc w:val="both"/>
        <w:textAlignment w:val="auto"/>
        <w:outlineLvl w:val="0"/>
        <w:rPr>
          <w:rFonts w:ascii="仿宋" w:hAnsi="仿宋" w:eastAsia="仿宋" w:cs="仿宋"/>
          <w:b/>
          <w:bCs/>
          <w:color w:val="auto"/>
          <w:kern w:val="44"/>
          <w:sz w:val="32"/>
          <w:szCs w:val="44"/>
          <w:lang w:val="en-US" w:eastAsia="zh-CN" w:bidi="ar-SA"/>
        </w:rPr>
      </w:pPr>
      <w:r>
        <w:rPr>
          <w:rFonts w:hint="eastAsia" w:ascii="仿宋" w:hAnsi="仿宋" w:eastAsia="仿宋" w:cs="仿宋"/>
          <w:b/>
          <w:bCs/>
          <w:color w:val="auto"/>
          <w:kern w:val="44"/>
          <w:sz w:val="32"/>
          <w:szCs w:val="44"/>
          <w:lang w:val="en-US" w:eastAsia="zh-CN" w:bidi="ar-SA"/>
        </w:rPr>
        <w:t>企业综合能力</w:t>
      </w:r>
    </w:p>
    <w:p w14:paraId="6360202E">
      <w:pPr>
        <w:shd w:val="clear" w:color="auto" w:fill="FFFFFF" w:themeFill="background1"/>
        <w:spacing w:line="560" w:lineRule="exact"/>
        <w:ind w:firstLine="480" w:firstLineChars="200"/>
        <w:rPr>
          <w:rFonts w:ascii="仿宋" w:hAnsi="仿宋" w:eastAsia="仿宋" w:cs="仿宋"/>
          <w:sz w:val="28"/>
          <w:szCs w:val="28"/>
        </w:rPr>
      </w:pPr>
      <w:r>
        <w:rPr>
          <w:rFonts w:hint="eastAsia" w:ascii="宋体" w:hAnsi="宋体"/>
          <w:color w:val="auto"/>
          <w:sz w:val="24"/>
          <w:szCs w:val="24"/>
          <w:lang w:eastAsia="zh-CN"/>
        </w:rPr>
        <w:t>供应商具备ISO9001质量管理体系认证证书、ISO20000 IT服务管理体系认证证书、ISO27001信息安全管理体系认证证书的优先考虑。</w:t>
      </w:r>
      <w:bookmarkEnd w:id="35"/>
      <w:bookmarkStart w:id="36" w:name="_GoBack"/>
      <w:bookmarkEnd w:id="36"/>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14:paraId="7FF8B9F9">
        <w:pPr>
          <w:pStyle w:val="18"/>
          <w:jc w:val="center"/>
        </w:pPr>
        <w:r>
          <w:fldChar w:fldCharType="begin"/>
        </w:r>
        <w:r>
          <w:instrText xml:space="preserve">PAGE   \* MERGEFORMAT</w:instrText>
        </w:r>
        <w:r>
          <w:fldChar w:fldCharType="separate"/>
        </w:r>
        <w:r>
          <w:rPr>
            <w:lang w:val="zh-CN"/>
          </w:rPr>
          <w:t>19</w:t>
        </w:r>
        <w:r>
          <w:rPr>
            <w:lang w:val="zh-CN"/>
          </w:rPr>
          <w:fldChar w:fldCharType="end"/>
        </w:r>
      </w:p>
    </w:sdtContent>
  </w:sdt>
  <w:p w14:paraId="0CC8A957">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5C425"/>
    <w:multiLevelType w:val="singleLevel"/>
    <w:tmpl w:val="97C5C425"/>
    <w:lvl w:ilvl="0" w:tentative="0">
      <w:start w:val="1"/>
      <w:numFmt w:val="decimal"/>
      <w:lvlText w:val="%1."/>
      <w:lvlJc w:val="left"/>
      <w:pPr>
        <w:ind w:left="905" w:hanging="425"/>
      </w:pPr>
      <w:rPr>
        <w:rFonts w:hint="default" w:ascii="宋体" w:hAnsi="宋体" w:eastAsia="宋体" w:cs="宋体"/>
      </w:rPr>
    </w:lvl>
  </w:abstractNum>
  <w:abstractNum w:abstractNumId="1">
    <w:nsid w:val="9A45AC40"/>
    <w:multiLevelType w:val="singleLevel"/>
    <w:tmpl w:val="9A45AC40"/>
    <w:lvl w:ilvl="0" w:tentative="0">
      <w:start w:val="1"/>
      <w:numFmt w:val="decimal"/>
      <w:lvlText w:val="%1."/>
      <w:lvlJc w:val="left"/>
      <w:pPr>
        <w:ind w:left="905" w:hanging="425"/>
      </w:pPr>
      <w:rPr>
        <w:rFonts w:hint="default" w:ascii="宋体" w:hAnsi="宋体" w:eastAsia="宋体" w:cs="宋体"/>
      </w:rPr>
    </w:lvl>
  </w:abstractNum>
  <w:abstractNum w:abstractNumId="2">
    <w:nsid w:val="A5E69F03"/>
    <w:multiLevelType w:val="singleLevel"/>
    <w:tmpl w:val="A5E69F03"/>
    <w:lvl w:ilvl="0" w:tentative="0">
      <w:start w:val="1"/>
      <w:numFmt w:val="decimal"/>
      <w:lvlText w:val="(%1)"/>
      <w:lvlJc w:val="left"/>
      <w:pPr>
        <w:ind w:left="1145" w:hanging="425"/>
      </w:pPr>
      <w:rPr>
        <w:rFonts w:hint="default" w:ascii="宋体" w:hAnsi="宋体" w:eastAsia="宋体" w:cs="宋体"/>
      </w:rPr>
    </w:lvl>
  </w:abstractNum>
  <w:abstractNum w:abstractNumId="3">
    <w:nsid w:val="BCC46343"/>
    <w:multiLevelType w:val="singleLevel"/>
    <w:tmpl w:val="BCC46343"/>
    <w:lvl w:ilvl="0" w:tentative="0">
      <w:start w:val="1"/>
      <w:numFmt w:val="decimal"/>
      <w:lvlText w:val="(%1)"/>
      <w:lvlJc w:val="left"/>
      <w:pPr>
        <w:ind w:left="1145" w:hanging="425"/>
      </w:pPr>
      <w:rPr>
        <w:rFonts w:hint="default" w:ascii="宋体" w:hAnsi="宋体" w:eastAsia="宋体" w:cs="宋体"/>
      </w:rPr>
    </w:lvl>
  </w:abstractNum>
  <w:abstractNum w:abstractNumId="4">
    <w:nsid w:val="C351176E"/>
    <w:multiLevelType w:val="singleLevel"/>
    <w:tmpl w:val="C351176E"/>
    <w:lvl w:ilvl="0" w:tentative="0">
      <w:start w:val="1"/>
      <w:numFmt w:val="decimal"/>
      <w:lvlText w:val="(%1)"/>
      <w:lvlJc w:val="left"/>
      <w:pPr>
        <w:ind w:left="1145" w:hanging="425"/>
      </w:pPr>
      <w:rPr>
        <w:rFonts w:hint="default" w:ascii="宋体" w:hAnsi="宋体" w:eastAsia="宋体" w:cs="宋体"/>
      </w:rPr>
    </w:lvl>
  </w:abstractNum>
  <w:abstractNum w:abstractNumId="5">
    <w:nsid w:val="CA07F395"/>
    <w:multiLevelType w:val="singleLevel"/>
    <w:tmpl w:val="CA07F395"/>
    <w:lvl w:ilvl="0" w:tentative="0">
      <w:start w:val="1"/>
      <w:numFmt w:val="decimal"/>
      <w:lvlText w:val="(%1)"/>
      <w:lvlJc w:val="left"/>
      <w:pPr>
        <w:ind w:left="-55" w:hanging="425"/>
      </w:pPr>
      <w:rPr>
        <w:rFonts w:hint="default"/>
      </w:rPr>
    </w:lvl>
  </w:abstractNum>
  <w:abstractNum w:abstractNumId="6">
    <w:nsid w:val="CF538AB0"/>
    <w:multiLevelType w:val="singleLevel"/>
    <w:tmpl w:val="CF538AB0"/>
    <w:lvl w:ilvl="0" w:tentative="0">
      <w:start w:val="1"/>
      <w:numFmt w:val="decimal"/>
      <w:lvlText w:val="(%1)"/>
      <w:lvlJc w:val="left"/>
      <w:pPr>
        <w:ind w:left="1145" w:hanging="425"/>
      </w:pPr>
      <w:rPr>
        <w:rFonts w:hint="default" w:ascii="宋体" w:hAnsi="宋体" w:eastAsia="宋体" w:cs="宋体"/>
      </w:rPr>
    </w:lvl>
  </w:abstractNum>
  <w:abstractNum w:abstractNumId="7">
    <w:nsid w:val="E4F023CA"/>
    <w:multiLevelType w:val="singleLevel"/>
    <w:tmpl w:val="E4F023CA"/>
    <w:lvl w:ilvl="0" w:tentative="0">
      <w:start w:val="1"/>
      <w:numFmt w:val="decimal"/>
      <w:lvlText w:val="(%1)"/>
      <w:lvlJc w:val="left"/>
      <w:pPr>
        <w:ind w:left="1145" w:hanging="425"/>
      </w:pPr>
      <w:rPr>
        <w:rFonts w:hint="default" w:ascii="宋体" w:hAnsi="宋体" w:eastAsia="宋体" w:cs="宋体"/>
      </w:rPr>
    </w:lvl>
  </w:abstractNum>
  <w:abstractNum w:abstractNumId="8">
    <w:nsid w:val="F09469C6"/>
    <w:multiLevelType w:val="singleLevel"/>
    <w:tmpl w:val="F09469C6"/>
    <w:lvl w:ilvl="0" w:tentative="0">
      <w:start w:val="1"/>
      <w:numFmt w:val="decimal"/>
      <w:suff w:val="nothing"/>
      <w:lvlText w:val="%1．"/>
      <w:lvlJc w:val="left"/>
      <w:pPr>
        <w:ind w:left="0" w:firstLine="400"/>
      </w:pPr>
      <w:rPr>
        <w:rFonts w:hint="default"/>
      </w:rPr>
    </w:lvl>
  </w:abstractNum>
  <w:abstractNum w:abstractNumId="9">
    <w:nsid w:val="F1172598"/>
    <w:multiLevelType w:val="singleLevel"/>
    <w:tmpl w:val="F1172598"/>
    <w:lvl w:ilvl="0" w:tentative="0">
      <w:start w:val="1"/>
      <w:numFmt w:val="decimal"/>
      <w:lvlText w:val="%1."/>
      <w:lvlJc w:val="left"/>
      <w:pPr>
        <w:ind w:left="905" w:hanging="425"/>
      </w:pPr>
      <w:rPr>
        <w:rFonts w:hint="default" w:ascii="宋体" w:hAnsi="宋体" w:eastAsia="宋体" w:cs="宋体"/>
      </w:rPr>
    </w:lvl>
  </w:abstractNum>
  <w:abstractNum w:abstractNumId="10">
    <w:nsid w:val="FD8C7F54"/>
    <w:multiLevelType w:val="singleLevel"/>
    <w:tmpl w:val="FD8C7F54"/>
    <w:lvl w:ilvl="0" w:tentative="0">
      <w:start w:val="1"/>
      <w:numFmt w:val="decimal"/>
      <w:lvlText w:val="(%1)"/>
      <w:lvlJc w:val="left"/>
      <w:pPr>
        <w:ind w:left="1145" w:hanging="425"/>
      </w:pPr>
      <w:rPr>
        <w:rFonts w:hint="default" w:ascii="宋体" w:hAnsi="宋体" w:eastAsia="宋体" w:cs="宋体"/>
      </w:rPr>
    </w:lvl>
  </w:abstractNum>
  <w:abstractNum w:abstractNumId="11">
    <w:nsid w:val="007A108B"/>
    <w:multiLevelType w:val="singleLevel"/>
    <w:tmpl w:val="007A108B"/>
    <w:lvl w:ilvl="0" w:tentative="0">
      <w:start w:val="1"/>
      <w:numFmt w:val="decimal"/>
      <w:lvlText w:val="%1."/>
      <w:lvlJc w:val="left"/>
      <w:pPr>
        <w:ind w:left="905" w:hanging="425"/>
      </w:pPr>
      <w:rPr>
        <w:rFonts w:hint="default" w:ascii="宋体" w:hAnsi="宋体" w:eastAsia="宋体" w:cs="宋体"/>
      </w:rPr>
    </w:lvl>
  </w:abstractNum>
  <w:abstractNum w:abstractNumId="12">
    <w:nsid w:val="183A517A"/>
    <w:multiLevelType w:val="singleLevel"/>
    <w:tmpl w:val="183A517A"/>
    <w:lvl w:ilvl="0" w:tentative="0">
      <w:start w:val="1"/>
      <w:numFmt w:val="decimal"/>
      <w:lvlText w:val="(%1)"/>
      <w:lvlJc w:val="left"/>
      <w:pPr>
        <w:ind w:left="1145" w:hanging="425"/>
      </w:pPr>
      <w:rPr>
        <w:rFonts w:hint="default" w:ascii="宋体" w:hAnsi="宋体" w:eastAsia="宋体" w:cs="宋体"/>
      </w:rPr>
    </w:lvl>
  </w:abstractNum>
  <w:abstractNum w:abstractNumId="13">
    <w:nsid w:val="2791FE22"/>
    <w:multiLevelType w:val="singleLevel"/>
    <w:tmpl w:val="2791FE22"/>
    <w:lvl w:ilvl="0" w:tentative="0">
      <w:start w:val="1"/>
      <w:numFmt w:val="decimal"/>
      <w:lvlText w:val="%1."/>
      <w:lvlJc w:val="left"/>
      <w:pPr>
        <w:ind w:left="425" w:hanging="425"/>
      </w:pPr>
      <w:rPr>
        <w:rFonts w:hint="default" w:ascii="宋体" w:hAnsi="宋体" w:eastAsia="宋体" w:cs="宋体"/>
      </w:rPr>
    </w:lvl>
  </w:abstractNum>
  <w:abstractNum w:abstractNumId="14">
    <w:nsid w:val="2F796D14"/>
    <w:multiLevelType w:val="singleLevel"/>
    <w:tmpl w:val="2F796D14"/>
    <w:lvl w:ilvl="0" w:tentative="0">
      <w:start w:val="1"/>
      <w:numFmt w:val="decimal"/>
      <w:lvlText w:val="(%1)"/>
      <w:lvlJc w:val="left"/>
      <w:pPr>
        <w:ind w:left="1145" w:hanging="425"/>
      </w:pPr>
      <w:rPr>
        <w:rFonts w:hint="default" w:ascii="宋体" w:hAnsi="宋体" w:eastAsia="宋体" w:cs="宋体"/>
      </w:rPr>
    </w:lvl>
  </w:abstractNum>
  <w:abstractNum w:abstractNumId="15">
    <w:nsid w:val="31D02556"/>
    <w:multiLevelType w:val="multilevel"/>
    <w:tmpl w:val="31D02556"/>
    <w:lvl w:ilvl="0" w:tentative="0">
      <w:start w:val="1"/>
      <w:numFmt w:val="decimal"/>
      <w:lvlText w:val="%1."/>
      <w:lvlJc w:val="left"/>
      <w:pPr>
        <w:ind w:left="1140" w:hanging="420"/>
      </w:pPr>
      <w:rPr>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6">
    <w:nsid w:val="3B1A15DD"/>
    <w:multiLevelType w:val="multilevel"/>
    <w:tmpl w:val="3B1A15DD"/>
    <w:lvl w:ilvl="0" w:tentative="0">
      <w:start w:val="1"/>
      <w:numFmt w:val="decimal"/>
      <w:lvlText w:val="%1."/>
      <w:lvlJc w:val="left"/>
      <w:pPr>
        <w:ind w:left="1260" w:hanging="480"/>
      </w:pPr>
    </w:lvl>
    <w:lvl w:ilvl="1" w:tentative="0">
      <w:start w:val="1"/>
      <w:numFmt w:val="lowerLetter"/>
      <w:lvlText w:val="%2)"/>
      <w:lvlJc w:val="left"/>
      <w:pPr>
        <w:ind w:left="1740" w:hanging="480"/>
      </w:pPr>
    </w:lvl>
    <w:lvl w:ilvl="2" w:tentative="0">
      <w:start w:val="1"/>
      <w:numFmt w:val="lowerRoman"/>
      <w:lvlText w:val="%3."/>
      <w:lvlJc w:val="right"/>
      <w:pPr>
        <w:ind w:left="2220" w:hanging="480"/>
      </w:pPr>
    </w:lvl>
    <w:lvl w:ilvl="3" w:tentative="0">
      <w:start w:val="1"/>
      <w:numFmt w:val="decimal"/>
      <w:lvlText w:val="%4."/>
      <w:lvlJc w:val="left"/>
      <w:pPr>
        <w:ind w:left="2700" w:hanging="480"/>
      </w:pPr>
    </w:lvl>
    <w:lvl w:ilvl="4" w:tentative="0">
      <w:start w:val="1"/>
      <w:numFmt w:val="lowerLetter"/>
      <w:lvlText w:val="%5)"/>
      <w:lvlJc w:val="left"/>
      <w:pPr>
        <w:ind w:left="3180" w:hanging="480"/>
      </w:pPr>
    </w:lvl>
    <w:lvl w:ilvl="5" w:tentative="0">
      <w:start w:val="1"/>
      <w:numFmt w:val="lowerRoman"/>
      <w:lvlText w:val="%6."/>
      <w:lvlJc w:val="right"/>
      <w:pPr>
        <w:ind w:left="3660" w:hanging="480"/>
      </w:pPr>
    </w:lvl>
    <w:lvl w:ilvl="6" w:tentative="0">
      <w:start w:val="1"/>
      <w:numFmt w:val="decimal"/>
      <w:lvlText w:val="%7."/>
      <w:lvlJc w:val="left"/>
      <w:pPr>
        <w:ind w:left="4140" w:hanging="480"/>
      </w:pPr>
    </w:lvl>
    <w:lvl w:ilvl="7" w:tentative="0">
      <w:start w:val="1"/>
      <w:numFmt w:val="lowerLetter"/>
      <w:lvlText w:val="%8)"/>
      <w:lvlJc w:val="left"/>
      <w:pPr>
        <w:ind w:left="4620" w:hanging="480"/>
      </w:pPr>
    </w:lvl>
    <w:lvl w:ilvl="8" w:tentative="0">
      <w:start w:val="1"/>
      <w:numFmt w:val="lowerRoman"/>
      <w:lvlText w:val="%9."/>
      <w:lvlJc w:val="right"/>
      <w:pPr>
        <w:ind w:left="5100" w:hanging="480"/>
      </w:pPr>
    </w:lvl>
  </w:abstractNum>
  <w:abstractNum w:abstractNumId="17">
    <w:nsid w:val="3B3B204C"/>
    <w:multiLevelType w:val="singleLevel"/>
    <w:tmpl w:val="3B3B204C"/>
    <w:lvl w:ilvl="0" w:tentative="0">
      <w:start w:val="1"/>
      <w:numFmt w:val="decimal"/>
      <w:lvlText w:val="(%1)"/>
      <w:lvlJc w:val="left"/>
      <w:pPr>
        <w:ind w:left="1145" w:hanging="425"/>
      </w:pPr>
      <w:rPr>
        <w:rFonts w:hint="default" w:ascii="宋体" w:hAnsi="宋体" w:eastAsia="宋体" w:cs="宋体"/>
      </w:rPr>
    </w:lvl>
  </w:abstractNum>
  <w:abstractNum w:abstractNumId="18">
    <w:nsid w:val="3B97FBB3"/>
    <w:multiLevelType w:val="singleLevel"/>
    <w:tmpl w:val="3B97FBB3"/>
    <w:lvl w:ilvl="0" w:tentative="0">
      <w:start w:val="1"/>
      <w:numFmt w:val="decimal"/>
      <w:lvlText w:val="%1."/>
      <w:lvlJc w:val="left"/>
      <w:pPr>
        <w:ind w:left="905" w:hanging="425"/>
      </w:pPr>
      <w:rPr>
        <w:rFonts w:hint="default" w:ascii="宋体" w:hAnsi="宋体" w:eastAsia="宋体" w:cs="宋体"/>
      </w:rPr>
    </w:lvl>
  </w:abstractNum>
  <w:abstractNum w:abstractNumId="19">
    <w:nsid w:val="3BA27EE8"/>
    <w:multiLevelType w:val="singleLevel"/>
    <w:tmpl w:val="3BA27EE8"/>
    <w:lvl w:ilvl="0" w:tentative="0">
      <w:start w:val="1"/>
      <w:numFmt w:val="decimal"/>
      <w:lvlText w:val="(%1)"/>
      <w:lvlJc w:val="left"/>
      <w:pPr>
        <w:ind w:left="1385" w:hanging="425"/>
      </w:pPr>
      <w:rPr>
        <w:rFonts w:hint="default" w:ascii="宋体" w:hAnsi="宋体" w:eastAsia="宋体" w:cs="宋体"/>
      </w:rPr>
    </w:lvl>
  </w:abstractNum>
  <w:abstractNum w:abstractNumId="20">
    <w:nsid w:val="3C8DD6C4"/>
    <w:multiLevelType w:val="singleLevel"/>
    <w:tmpl w:val="3C8DD6C4"/>
    <w:lvl w:ilvl="0" w:tentative="0">
      <w:start w:val="1"/>
      <w:numFmt w:val="decimal"/>
      <w:lvlText w:val="(%1)"/>
      <w:lvlJc w:val="left"/>
      <w:pPr>
        <w:ind w:left="1145" w:hanging="425"/>
      </w:pPr>
      <w:rPr>
        <w:rFonts w:hint="default" w:ascii="宋体" w:hAnsi="宋体" w:eastAsia="宋体" w:cs="宋体"/>
      </w:rPr>
    </w:lvl>
  </w:abstractNum>
  <w:abstractNum w:abstractNumId="21">
    <w:nsid w:val="41628756"/>
    <w:multiLevelType w:val="singleLevel"/>
    <w:tmpl w:val="41628756"/>
    <w:lvl w:ilvl="0" w:tentative="0">
      <w:start w:val="1"/>
      <w:numFmt w:val="decimal"/>
      <w:lvlText w:val="(%1)"/>
      <w:lvlJc w:val="left"/>
      <w:pPr>
        <w:ind w:left="-55" w:hanging="425"/>
      </w:pPr>
      <w:rPr>
        <w:rFonts w:hint="default"/>
      </w:rPr>
    </w:lvl>
  </w:abstractNum>
  <w:abstractNum w:abstractNumId="22">
    <w:nsid w:val="47B1A623"/>
    <w:multiLevelType w:val="singleLevel"/>
    <w:tmpl w:val="47B1A623"/>
    <w:lvl w:ilvl="0" w:tentative="0">
      <w:start w:val="1"/>
      <w:numFmt w:val="decimal"/>
      <w:lvlText w:val="%1."/>
      <w:lvlJc w:val="left"/>
      <w:pPr>
        <w:ind w:left="905" w:hanging="425"/>
      </w:pPr>
      <w:rPr>
        <w:rFonts w:hint="default"/>
      </w:rPr>
    </w:lvl>
  </w:abstractNum>
  <w:abstractNum w:abstractNumId="23">
    <w:nsid w:val="4B414E94"/>
    <w:multiLevelType w:val="multilevel"/>
    <w:tmpl w:val="4B414E94"/>
    <w:lvl w:ilvl="0" w:tentative="0">
      <w:start w:val="1"/>
      <w:numFmt w:val="chineseCountingThousand"/>
      <w:pStyle w:val="5"/>
      <w:suff w:val="nothing"/>
      <w:lvlText w:val="%1、"/>
      <w:lvlJc w:val="left"/>
      <w:pPr>
        <w:ind w:left="2694" w:firstLine="0"/>
      </w:pPr>
      <w:rPr>
        <w:rFonts w:hint="eastAsia" w:ascii="仿宋" w:hAnsi="仿宋" w:eastAsia="仿宋" w:cs="仿宋"/>
        <w:b/>
        <w:i w:val="0"/>
        <w:sz w:val="32"/>
        <w:szCs w:val="32"/>
        <w:lang w:val="en-US"/>
      </w:rPr>
    </w:lvl>
    <w:lvl w:ilvl="1" w:tentative="0">
      <w:start w:val="1"/>
      <w:numFmt w:val="decimal"/>
      <w:pStyle w:val="6"/>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7"/>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8"/>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9"/>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10"/>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11"/>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12"/>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3"/>
      <w:isLgl/>
      <w:suff w:val="nothing"/>
      <w:lvlText w:val="%1.%2.%3.%4.%5.%6.%7.%8.%9、"/>
      <w:lvlJc w:val="left"/>
      <w:pPr>
        <w:ind w:left="567" w:firstLine="0"/>
      </w:pPr>
      <w:rPr>
        <w:rFonts w:hint="default" w:ascii="Times New Roman" w:hAnsi="Times New Roman" w:eastAsia="宋体"/>
        <w:b/>
        <w:i w:val="0"/>
        <w:sz w:val="21"/>
      </w:rPr>
    </w:lvl>
  </w:abstractNum>
  <w:abstractNum w:abstractNumId="24">
    <w:nsid w:val="4BFECEA9"/>
    <w:multiLevelType w:val="singleLevel"/>
    <w:tmpl w:val="4BFECEA9"/>
    <w:lvl w:ilvl="0" w:tentative="0">
      <w:start w:val="1"/>
      <w:numFmt w:val="decimal"/>
      <w:lvlText w:val="(%1)"/>
      <w:lvlJc w:val="left"/>
      <w:pPr>
        <w:ind w:left="1385" w:hanging="425"/>
      </w:pPr>
      <w:rPr>
        <w:rFonts w:hint="default" w:ascii="宋体" w:hAnsi="宋体" w:eastAsia="宋体" w:cs="宋体"/>
      </w:rPr>
    </w:lvl>
  </w:abstractNum>
  <w:abstractNum w:abstractNumId="25">
    <w:nsid w:val="736475FE"/>
    <w:multiLevelType w:val="singleLevel"/>
    <w:tmpl w:val="736475FE"/>
    <w:lvl w:ilvl="0" w:tentative="0">
      <w:start w:val="1"/>
      <w:numFmt w:val="decimal"/>
      <w:lvlText w:val="%1."/>
      <w:lvlJc w:val="left"/>
      <w:pPr>
        <w:ind w:left="905" w:hanging="425"/>
      </w:pPr>
      <w:rPr>
        <w:rFonts w:hint="default" w:ascii="宋体" w:hAnsi="宋体" w:eastAsia="宋体" w:cs="宋体"/>
      </w:rPr>
    </w:lvl>
  </w:abstractNum>
  <w:abstractNum w:abstractNumId="26">
    <w:nsid w:val="77EA1BEB"/>
    <w:multiLevelType w:val="singleLevel"/>
    <w:tmpl w:val="77EA1BEB"/>
    <w:lvl w:ilvl="0" w:tentative="0">
      <w:start w:val="1"/>
      <w:numFmt w:val="decimal"/>
      <w:lvlText w:val="(%1)"/>
      <w:lvlJc w:val="left"/>
      <w:pPr>
        <w:ind w:left="1145" w:hanging="425"/>
      </w:pPr>
      <w:rPr>
        <w:rFonts w:hint="default" w:ascii="宋体" w:hAnsi="宋体" w:eastAsia="宋体" w:cs="宋体"/>
      </w:rPr>
    </w:lvl>
  </w:abstractNum>
  <w:num w:numId="1">
    <w:abstractNumId w:val="23"/>
  </w:num>
  <w:num w:numId="2">
    <w:abstractNumId w:val="22"/>
  </w:num>
  <w:num w:numId="3">
    <w:abstractNumId w:val="1"/>
  </w:num>
  <w:num w:numId="4">
    <w:abstractNumId w:val="20"/>
  </w:num>
  <w:num w:numId="5">
    <w:abstractNumId w:val="14"/>
  </w:num>
  <w:num w:numId="6">
    <w:abstractNumId w:val="26"/>
  </w:num>
  <w:num w:numId="7">
    <w:abstractNumId w:val="6"/>
  </w:num>
  <w:num w:numId="8">
    <w:abstractNumId w:val="3"/>
  </w:num>
  <w:num w:numId="9">
    <w:abstractNumId w:val="12"/>
  </w:num>
  <w:num w:numId="10">
    <w:abstractNumId w:val="0"/>
  </w:num>
  <w:num w:numId="11">
    <w:abstractNumId w:val="2"/>
  </w:num>
  <w:num w:numId="12">
    <w:abstractNumId w:val="25"/>
  </w:num>
  <w:num w:numId="13">
    <w:abstractNumId w:val="19"/>
  </w:num>
  <w:num w:numId="14">
    <w:abstractNumId w:val="24"/>
  </w:num>
  <w:num w:numId="15">
    <w:abstractNumId w:val="9"/>
  </w:num>
  <w:num w:numId="16">
    <w:abstractNumId w:val="17"/>
  </w:num>
  <w:num w:numId="17">
    <w:abstractNumId w:val="10"/>
  </w:num>
  <w:num w:numId="18">
    <w:abstractNumId w:val="18"/>
  </w:num>
  <w:num w:numId="19">
    <w:abstractNumId w:val="7"/>
  </w:num>
  <w:num w:numId="20">
    <w:abstractNumId w:val="4"/>
  </w:num>
  <w:num w:numId="21">
    <w:abstractNumId w:val="11"/>
  </w:num>
  <w:num w:numId="22">
    <w:abstractNumId w:val="13"/>
  </w:num>
  <w:num w:numId="23">
    <w:abstractNumId w:val="15"/>
  </w:num>
  <w:num w:numId="24">
    <w:abstractNumId w:val="5"/>
  </w:num>
  <w:num w:numId="25">
    <w:abstractNumId w:val="21"/>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MDIwYjI1MTFkMzYyODQ3NjRmOWM1YzBlMmMwY2MifQ=="/>
  </w:docVars>
  <w:rsids>
    <w:rsidRoot w:val="00A65D43"/>
    <w:rsid w:val="0000190C"/>
    <w:rsid w:val="00001BEB"/>
    <w:rsid w:val="00010B05"/>
    <w:rsid w:val="0002058A"/>
    <w:rsid w:val="00024DCE"/>
    <w:rsid w:val="00025A0A"/>
    <w:rsid w:val="00025B47"/>
    <w:rsid w:val="00025D33"/>
    <w:rsid w:val="00031146"/>
    <w:rsid w:val="00031E82"/>
    <w:rsid w:val="0003289E"/>
    <w:rsid w:val="000337EC"/>
    <w:rsid w:val="0003480C"/>
    <w:rsid w:val="0004197E"/>
    <w:rsid w:val="00042982"/>
    <w:rsid w:val="00042AE2"/>
    <w:rsid w:val="00045108"/>
    <w:rsid w:val="000452BC"/>
    <w:rsid w:val="0004562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87E8E"/>
    <w:rsid w:val="00092749"/>
    <w:rsid w:val="00093E3D"/>
    <w:rsid w:val="000945B3"/>
    <w:rsid w:val="00094EBE"/>
    <w:rsid w:val="000977A7"/>
    <w:rsid w:val="000A0130"/>
    <w:rsid w:val="000A0DA6"/>
    <w:rsid w:val="000A1FA8"/>
    <w:rsid w:val="000A267E"/>
    <w:rsid w:val="000A5D58"/>
    <w:rsid w:val="000B17AA"/>
    <w:rsid w:val="000B36E1"/>
    <w:rsid w:val="000B3767"/>
    <w:rsid w:val="000B43E3"/>
    <w:rsid w:val="000B513D"/>
    <w:rsid w:val="000C0E2D"/>
    <w:rsid w:val="000C11CE"/>
    <w:rsid w:val="000C229F"/>
    <w:rsid w:val="000C39D4"/>
    <w:rsid w:val="000C40E3"/>
    <w:rsid w:val="000C6061"/>
    <w:rsid w:val="000C745E"/>
    <w:rsid w:val="000D2575"/>
    <w:rsid w:val="000D3F43"/>
    <w:rsid w:val="000D68E4"/>
    <w:rsid w:val="000D73CC"/>
    <w:rsid w:val="000E0768"/>
    <w:rsid w:val="000E0C83"/>
    <w:rsid w:val="000E2143"/>
    <w:rsid w:val="000E619B"/>
    <w:rsid w:val="000E63B0"/>
    <w:rsid w:val="000F007B"/>
    <w:rsid w:val="000F01CD"/>
    <w:rsid w:val="000F1D58"/>
    <w:rsid w:val="000F31FD"/>
    <w:rsid w:val="000F57AB"/>
    <w:rsid w:val="00101576"/>
    <w:rsid w:val="0010311A"/>
    <w:rsid w:val="00107F82"/>
    <w:rsid w:val="0011070E"/>
    <w:rsid w:val="001136B4"/>
    <w:rsid w:val="00120506"/>
    <w:rsid w:val="00120E27"/>
    <w:rsid w:val="00121B5E"/>
    <w:rsid w:val="0012223B"/>
    <w:rsid w:val="0012452D"/>
    <w:rsid w:val="00125811"/>
    <w:rsid w:val="001270CE"/>
    <w:rsid w:val="0012793C"/>
    <w:rsid w:val="00130FCC"/>
    <w:rsid w:val="001368A6"/>
    <w:rsid w:val="00137BAC"/>
    <w:rsid w:val="00137FAE"/>
    <w:rsid w:val="001406EF"/>
    <w:rsid w:val="00156927"/>
    <w:rsid w:val="00160956"/>
    <w:rsid w:val="00161EA9"/>
    <w:rsid w:val="001628B3"/>
    <w:rsid w:val="00163401"/>
    <w:rsid w:val="0016607D"/>
    <w:rsid w:val="001660F1"/>
    <w:rsid w:val="00166D53"/>
    <w:rsid w:val="001672AA"/>
    <w:rsid w:val="0017051B"/>
    <w:rsid w:val="00171011"/>
    <w:rsid w:val="0017130E"/>
    <w:rsid w:val="001719B1"/>
    <w:rsid w:val="00172318"/>
    <w:rsid w:val="00172A39"/>
    <w:rsid w:val="001746C1"/>
    <w:rsid w:val="00175D08"/>
    <w:rsid w:val="0018072A"/>
    <w:rsid w:val="001828C7"/>
    <w:rsid w:val="00183D30"/>
    <w:rsid w:val="00184C81"/>
    <w:rsid w:val="00190408"/>
    <w:rsid w:val="001926A6"/>
    <w:rsid w:val="00193EBA"/>
    <w:rsid w:val="001945E1"/>
    <w:rsid w:val="00197692"/>
    <w:rsid w:val="001A177B"/>
    <w:rsid w:val="001A55FD"/>
    <w:rsid w:val="001A7FBD"/>
    <w:rsid w:val="001B1382"/>
    <w:rsid w:val="001B2EE0"/>
    <w:rsid w:val="001B477C"/>
    <w:rsid w:val="001B651B"/>
    <w:rsid w:val="001C0AE6"/>
    <w:rsid w:val="001C16CC"/>
    <w:rsid w:val="001C2063"/>
    <w:rsid w:val="001C219C"/>
    <w:rsid w:val="001C242D"/>
    <w:rsid w:val="001C3789"/>
    <w:rsid w:val="001C614F"/>
    <w:rsid w:val="001C7D33"/>
    <w:rsid w:val="001D3CEF"/>
    <w:rsid w:val="001D49B2"/>
    <w:rsid w:val="001F0DF5"/>
    <w:rsid w:val="001F50E7"/>
    <w:rsid w:val="001F6544"/>
    <w:rsid w:val="001F6740"/>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234E"/>
    <w:rsid w:val="002761E0"/>
    <w:rsid w:val="00282819"/>
    <w:rsid w:val="002833A5"/>
    <w:rsid w:val="00285AA5"/>
    <w:rsid w:val="00287B81"/>
    <w:rsid w:val="00290064"/>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D5DF0"/>
    <w:rsid w:val="002D7BFB"/>
    <w:rsid w:val="002E4A3D"/>
    <w:rsid w:val="002E5367"/>
    <w:rsid w:val="002E54F1"/>
    <w:rsid w:val="002E5DEC"/>
    <w:rsid w:val="002F1EA4"/>
    <w:rsid w:val="002F2502"/>
    <w:rsid w:val="002F7659"/>
    <w:rsid w:val="00300628"/>
    <w:rsid w:val="00300B40"/>
    <w:rsid w:val="00302277"/>
    <w:rsid w:val="003027C1"/>
    <w:rsid w:val="00311315"/>
    <w:rsid w:val="00315DF0"/>
    <w:rsid w:val="00316F78"/>
    <w:rsid w:val="0031725F"/>
    <w:rsid w:val="0031738C"/>
    <w:rsid w:val="00321EF2"/>
    <w:rsid w:val="00322118"/>
    <w:rsid w:val="003221B6"/>
    <w:rsid w:val="00326CDD"/>
    <w:rsid w:val="00332C20"/>
    <w:rsid w:val="00335D02"/>
    <w:rsid w:val="003367F4"/>
    <w:rsid w:val="00341E6E"/>
    <w:rsid w:val="003425D4"/>
    <w:rsid w:val="00343950"/>
    <w:rsid w:val="00343C84"/>
    <w:rsid w:val="00345CCF"/>
    <w:rsid w:val="00352E81"/>
    <w:rsid w:val="00354770"/>
    <w:rsid w:val="0035514A"/>
    <w:rsid w:val="00355D5B"/>
    <w:rsid w:val="00360FF2"/>
    <w:rsid w:val="00364DA3"/>
    <w:rsid w:val="0036537E"/>
    <w:rsid w:val="003703AC"/>
    <w:rsid w:val="003716F7"/>
    <w:rsid w:val="003753E3"/>
    <w:rsid w:val="00375910"/>
    <w:rsid w:val="00377ED4"/>
    <w:rsid w:val="00381C0F"/>
    <w:rsid w:val="00382966"/>
    <w:rsid w:val="0038556C"/>
    <w:rsid w:val="00385A19"/>
    <w:rsid w:val="00390500"/>
    <w:rsid w:val="003940D3"/>
    <w:rsid w:val="00394958"/>
    <w:rsid w:val="00396222"/>
    <w:rsid w:val="00396860"/>
    <w:rsid w:val="003A1769"/>
    <w:rsid w:val="003A1C71"/>
    <w:rsid w:val="003C161F"/>
    <w:rsid w:val="003D4AAD"/>
    <w:rsid w:val="003D4FFA"/>
    <w:rsid w:val="003D77C8"/>
    <w:rsid w:val="003D7EC8"/>
    <w:rsid w:val="003E267F"/>
    <w:rsid w:val="003E5CC7"/>
    <w:rsid w:val="003E7705"/>
    <w:rsid w:val="003E7C4E"/>
    <w:rsid w:val="003F0EAC"/>
    <w:rsid w:val="003F1C5F"/>
    <w:rsid w:val="003F2DCE"/>
    <w:rsid w:val="003F58D4"/>
    <w:rsid w:val="003F5A09"/>
    <w:rsid w:val="003F5A46"/>
    <w:rsid w:val="003F5D14"/>
    <w:rsid w:val="003F5E92"/>
    <w:rsid w:val="003F709B"/>
    <w:rsid w:val="00400947"/>
    <w:rsid w:val="00403239"/>
    <w:rsid w:val="00404AB7"/>
    <w:rsid w:val="00406FDA"/>
    <w:rsid w:val="004072C9"/>
    <w:rsid w:val="00410139"/>
    <w:rsid w:val="0041192C"/>
    <w:rsid w:val="00414FD9"/>
    <w:rsid w:val="004167D8"/>
    <w:rsid w:val="00416AC4"/>
    <w:rsid w:val="00421241"/>
    <w:rsid w:val="004218F4"/>
    <w:rsid w:val="00433C77"/>
    <w:rsid w:val="00434768"/>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4C90"/>
    <w:rsid w:val="00465D71"/>
    <w:rsid w:val="00466562"/>
    <w:rsid w:val="00466E3F"/>
    <w:rsid w:val="00467227"/>
    <w:rsid w:val="0046728E"/>
    <w:rsid w:val="00470973"/>
    <w:rsid w:val="0047122D"/>
    <w:rsid w:val="00474F1F"/>
    <w:rsid w:val="00475369"/>
    <w:rsid w:val="004769AC"/>
    <w:rsid w:val="004778BA"/>
    <w:rsid w:val="00477B6D"/>
    <w:rsid w:val="00483268"/>
    <w:rsid w:val="004842F3"/>
    <w:rsid w:val="00492544"/>
    <w:rsid w:val="00493DB3"/>
    <w:rsid w:val="0049407C"/>
    <w:rsid w:val="00496673"/>
    <w:rsid w:val="004A3D05"/>
    <w:rsid w:val="004A55D8"/>
    <w:rsid w:val="004A64BE"/>
    <w:rsid w:val="004A65FD"/>
    <w:rsid w:val="004B3662"/>
    <w:rsid w:val="004B493B"/>
    <w:rsid w:val="004B50C3"/>
    <w:rsid w:val="004B55F3"/>
    <w:rsid w:val="004C14E6"/>
    <w:rsid w:val="004C15CC"/>
    <w:rsid w:val="004C45D9"/>
    <w:rsid w:val="004C5671"/>
    <w:rsid w:val="004C6629"/>
    <w:rsid w:val="004C7655"/>
    <w:rsid w:val="004D0A39"/>
    <w:rsid w:val="004D0D52"/>
    <w:rsid w:val="004D2172"/>
    <w:rsid w:val="004D3536"/>
    <w:rsid w:val="004D4CF1"/>
    <w:rsid w:val="004D50B4"/>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4EE2"/>
    <w:rsid w:val="00527A1F"/>
    <w:rsid w:val="00530ADB"/>
    <w:rsid w:val="005323AD"/>
    <w:rsid w:val="00536F4F"/>
    <w:rsid w:val="00537389"/>
    <w:rsid w:val="00540B5F"/>
    <w:rsid w:val="0054200F"/>
    <w:rsid w:val="005441AF"/>
    <w:rsid w:val="00544CB4"/>
    <w:rsid w:val="00551059"/>
    <w:rsid w:val="005524F5"/>
    <w:rsid w:val="0055263B"/>
    <w:rsid w:val="00555958"/>
    <w:rsid w:val="005568AC"/>
    <w:rsid w:val="005573ED"/>
    <w:rsid w:val="00557899"/>
    <w:rsid w:val="00567C74"/>
    <w:rsid w:val="005703FC"/>
    <w:rsid w:val="005740FD"/>
    <w:rsid w:val="00576CFC"/>
    <w:rsid w:val="00581559"/>
    <w:rsid w:val="00581D9F"/>
    <w:rsid w:val="00582CB9"/>
    <w:rsid w:val="005835B1"/>
    <w:rsid w:val="00584094"/>
    <w:rsid w:val="005846CD"/>
    <w:rsid w:val="00585CE3"/>
    <w:rsid w:val="0059045D"/>
    <w:rsid w:val="00594679"/>
    <w:rsid w:val="005958F0"/>
    <w:rsid w:val="005973D9"/>
    <w:rsid w:val="005A1FF7"/>
    <w:rsid w:val="005A43F1"/>
    <w:rsid w:val="005A54B0"/>
    <w:rsid w:val="005A5EDC"/>
    <w:rsid w:val="005B1543"/>
    <w:rsid w:val="005B22A3"/>
    <w:rsid w:val="005B26E9"/>
    <w:rsid w:val="005B6881"/>
    <w:rsid w:val="005B6DD7"/>
    <w:rsid w:val="005C0222"/>
    <w:rsid w:val="005D4029"/>
    <w:rsid w:val="005D42F7"/>
    <w:rsid w:val="005D6DF6"/>
    <w:rsid w:val="005E2AB9"/>
    <w:rsid w:val="005E735A"/>
    <w:rsid w:val="005F2F13"/>
    <w:rsid w:val="005F546D"/>
    <w:rsid w:val="005F76CC"/>
    <w:rsid w:val="006026FE"/>
    <w:rsid w:val="00602E4C"/>
    <w:rsid w:val="006053F9"/>
    <w:rsid w:val="00610873"/>
    <w:rsid w:val="006113D2"/>
    <w:rsid w:val="006119F0"/>
    <w:rsid w:val="00611E45"/>
    <w:rsid w:val="006122D6"/>
    <w:rsid w:val="00613433"/>
    <w:rsid w:val="00614B29"/>
    <w:rsid w:val="00614F12"/>
    <w:rsid w:val="00616540"/>
    <w:rsid w:val="00630599"/>
    <w:rsid w:val="006313B0"/>
    <w:rsid w:val="006315F0"/>
    <w:rsid w:val="00637922"/>
    <w:rsid w:val="00644879"/>
    <w:rsid w:val="00646FC0"/>
    <w:rsid w:val="00655366"/>
    <w:rsid w:val="006554FA"/>
    <w:rsid w:val="00660575"/>
    <w:rsid w:val="00662ACC"/>
    <w:rsid w:val="0066422E"/>
    <w:rsid w:val="00664C9C"/>
    <w:rsid w:val="00665245"/>
    <w:rsid w:val="00667272"/>
    <w:rsid w:val="006679D9"/>
    <w:rsid w:val="00673B08"/>
    <w:rsid w:val="006765D3"/>
    <w:rsid w:val="00681AA8"/>
    <w:rsid w:val="00684E3F"/>
    <w:rsid w:val="00685790"/>
    <w:rsid w:val="0069087D"/>
    <w:rsid w:val="00690C00"/>
    <w:rsid w:val="006930A9"/>
    <w:rsid w:val="00695AAA"/>
    <w:rsid w:val="0069674E"/>
    <w:rsid w:val="00697BD6"/>
    <w:rsid w:val="006A3DB2"/>
    <w:rsid w:val="006A54CA"/>
    <w:rsid w:val="006A7076"/>
    <w:rsid w:val="006B13A4"/>
    <w:rsid w:val="006B325C"/>
    <w:rsid w:val="006B6696"/>
    <w:rsid w:val="006B6AB5"/>
    <w:rsid w:val="006B783F"/>
    <w:rsid w:val="006C04A7"/>
    <w:rsid w:val="006C59DD"/>
    <w:rsid w:val="006C6E24"/>
    <w:rsid w:val="006C6E6C"/>
    <w:rsid w:val="006C7159"/>
    <w:rsid w:val="006D163C"/>
    <w:rsid w:val="006D1C16"/>
    <w:rsid w:val="006D35D4"/>
    <w:rsid w:val="006D6A81"/>
    <w:rsid w:val="006D6C77"/>
    <w:rsid w:val="006E1BD0"/>
    <w:rsid w:val="006E22C9"/>
    <w:rsid w:val="006E44A0"/>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2701D"/>
    <w:rsid w:val="00735DA2"/>
    <w:rsid w:val="00740013"/>
    <w:rsid w:val="00741457"/>
    <w:rsid w:val="00741C36"/>
    <w:rsid w:val="00744770"/>
    <w:rsid w:val="00746CDC"/>
    <w:rsid w:val="007473C3"/>
    <w:rsid w:val="0075027C"/>
    <w:rsid w:val="00751587"/>
    <w:rsid w:val="00757DDA"/>
    <w:rsid w:val="00757E21"/>
    <w:rsid w:val="007602C8"/>
    <w:rsid w:val="0076132F"/>
    <w:rsid w:val="007613F1"/>
    <w:rsid w:val="00765592"/>
    <w:rsid w:val="007655E8"/>
    <w:rsid w:val="007707E5"/>
    <w:rsid w:val="0077124F"/>
    <w:rsid w:val="0077350D"/>
    <w:rsid w:val="00774CF1"/>
    <w:rsid w:val="00781C63"/>
    <w:rsid w:val="00781FC3"/>
    <w:rsid w:val="0078744D"/>
    <w:rsid w:val="007906E3"/>
    <w:rsid w:val="00791991"/>
    <w:rsid w:val="00792E91"/>
    <w:rsid w:val="00793F64"/>
    <w:rsid w:val="00795BB2"/>
    <w:rsid w:val="00796060"/>
    <w:rsid w:val="007B1FCE"/>
    <w:rsid w:val="007B35BA"/>
    <w:rsid w:val="007C3F4C"/>
    <w:rsid w:val="007C63E1"/>
    <w:rsid w:val="007C7E29"/>
    <w:rsid w:val="007D352C"/>
    <w:rsid w:val="007D5DC5"/>
    <w:rsid w:val="007E62E2"/>
    <w:rsid w:val="007E648B"/>
    <w:rsid w:val="007E7326"/>
    <w:rsid w:val="007F09B5"/>
    <w:rsid w:val="007F29E3"/>
    <w:rsid w:val="007F2F89"/>
    <w:rsid w:val="007F4004"/>
    <w:rsid w:val="007F41A9"/>
    <w:rsid w:val="007F663D"/>
    <w:rsid w:val="007F6F17"/>
    <w:rsid w:val="00803EDB"/>
    <w:rsid w:val="00804993"/>
    <w:rsid w:val="00805D30"/>
    <w:rsid w:val="008149FA"/>
    <w:rsid w:val="0081779E"/>
    <w:rsid w:val="0082757A"/>
    <w:rsid w:val="008309A2"/>
    <w:rsid w:val="00831F51"/>
    <w:rsid w:val="0083235E"/>
    <w:rsid w:val="00832F81"/>
    <w:rsid w:val="008342FA"/>
    <w:rsid w:val="00834AED"/>
    <w:rsid w:val="00836F09"/>
    <w:rsid w:val="008416DB"/>
    <w:rsid w:val="0084319B"/>
    <w:rsid w:val="00843D5A"/>
    <w:rsid w:val="0085046F"/>
    <w:rsid w:val="0085361C"/>
    <w:rsid w:val="00861FD0"/>
    <w:rsid w:val="00864D04"/>
    <w:rsid w:val="00865925"/>
    <w:rsid w:val="0086794E"/>
    <w:rsid w:val="00870CED"/>
    <w:rsid w:val="008710FA"/>
    <w:rsid w:val="00871C3B"/>
    <w:rsid w:val="0087497F"/>
    <w:rsid w:val="00877BEE"/>
    <w:rsid w:val="00881BB2"/>
    <w:rsid w:val="008828CB"/>
    <w:rsid w:val="0089044D"/>
    <w:rsid w:val="00890C70"/>
    <w:rsid w:val="0089135B"/>
    <w:rsid w:val="00897DFE"/>
    <w:rsid w:val="008A1BF0"/>
    <w:rsid w:val="008A2E57"/>
    <w:rsid w:val="008A7DEE"/>
    <w:rsid w:val="008B0544"/>
    <w:rsid w:val="008B17D9"/>
    <w:rsid w:val="008B30DA"/>
    <w:rsid w:val="008B3309"/>
    <w:rsid w:val="008B3475"/>
    <w:rsid w:val="008B5CC0"/>
    <w:rsid w:val="008C0A77"/>
    <w:rsid w:val="008C4254"/>
    <w:rsid w:val="008C4521"/>
    <w:rsid w:val="008C5A95"/>
    <w:rsid w:val="008C7590"/>
    <w:rsid w:val="008D761C"/>
    <w:rsid w:val="008E061A"/>
    <w:rsid w:val="008E08A9"/>
    <w:rsid w:val="008E08E9"/>
    <w:rsid w:val="008E51D6"/>
    <w:rsid w:val="008E6A7A"/>
    <w:rsid w:val="008F01BC"/>
    <w:rsid w:val="008F1228"/>
    <w:rsid w:val="008F32A5"/>
    <w:rsid w:val="008F3DD1"/>
    <w:rsid w:val="008F4A83"/>
    <w:rsid w:val="009000B6"/>
    <w:rsid w:val="0090149E"/>
    <w:rsid w:val="00901765"/>
    <w:rsid w:val="009025B2"/>
    <w:rsid w:val="00904F5C"/>
    <w:rsid w:val="00906CC4"/>
    <w:rsid w:val="009110E2"/>
    <w:rsid w:val="00912FFD"/>
    <w:rsid w:val="00913AC8"/>
    <w:rsid w:val="00915569"/>
    <w:rsid w:val="009242EC"/>
    <w:rsid w:val="00924CEF"/>
    <w:rsid w:val="009307EC"/>
    <w:rsid w:val="00933201"/>
    <w:rsid w:val="00933A8D"/>
    <w:rsid w:val="00934A0D"/>
    <w:rsid w:val="00935C42"/>
    <w:rsid w:val="009417B8"/>
    <w:rsid w:val="00944385"/>
    <w:rsid w:val="00944D0C"/>
    <w:rsid w:val="00950749"/>
    <w:rsid w:val="00955BB2"/>
    <w:rsid w:val="0095604B"/>
    <w:rsid w:val="00961D80"/>
    <w:rsid w:val="00961E00"/>
    <w:rsid w:val="009659B1"/>
    <w:rsid w:val="00972B75"/>
    <w:rsid w:val="009748BB"/>
    <w:rsid w:val="00977949"/>
    <w:rsid w:val="00980447"/>
    <w:rsid w:val="00980708"/>
    <w:rsid w:val="00982D0F"/>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437"/>
    <w:rsid w:val="009D748B"/>
    <w:rsid w:val="009D7951"/>
    <w:rsid w:val="009D7961"/>
    <w:rsid w:val="009E0471"/>
    <w:rsid w:val="009E2B63"/>
    <w:rsid w:val="009E5077"/>
    <w:rsid w:val="009E54B5"/>
    <w:rsid w:val="009E676E"/>
    <w:rsid w:val="009F3060"/>
    <w:rsid w:val="009F7B44"/>
    <w:rsid w:val="009F7B90"/>
    <w:rsid w:val="009F7DE0"/>
    <w:rsid w:val="00A00603"/>
    <w:rsid w:val="00A013D2"/>
    <w:rsid w:val="00A1240F"/>
    <w:rsid w:val="00A14083"/>
    <w:rsid w:val="00A142AD"/>
    <w:rsid w:val="00A15B60"/>
    <w:rsid w:val="00A24912"/>
    <w:rsid w:val="00A255A6"/>
    <w:rsid w:val="00A30027"/>
    <w:rsid w:val="00A3391A"/>
    <w:rsid w:val="00A3474A"/>
    <w:rsid w:val="00A36137"/>
    <w:rsid w:val="00A43B72"/>
    <w:rsid w:val="00A44AF6"/>
    <w:rsid w:val="00A45482"/>
    <w:rsid w:val="00A50045"/>
    <w:rsid w:val="00A52ECB"/>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E74"/>
    <w:rsid w:val="00AA447D"/>
    <w:rsid w:val="00AA6345"/>
    <w:rsid w:val="00AB2369"/>
    <w:rsid w:val="00AB35D7"/>
    <w:rsid w:val="00AB5544"/>
    <w:rsid w:val="00AC06EF"/>
    <w:rsid w:val="00AC32FA"/>
    <w:rsid w:val="00AC44AE"/>
    <w:rsid w:val="00AC671C"/>
    <w:rsid w:val="00AD36B2"/>
    <w:rsid w:val="00AE200A"/>
    <w:rsid w:val="00AE45DA"/>
    <w:rsid w:val="00AF18B9"/>
    <w:rsid w:val="00AF2BBA"/>
    <w:rsid w:val="00AF3B3F"/>
    <w:rsid w:val="00B00CB1"/>
    <w:rsid w:val="00B00D01"/>
    <w:rsid w:val="00B00F70"/>
    <w:rsid w:val="00B01B41"/>
    <w:rsid w:val="00B05BAE"/>
    <w:rsid w:val="00B07259"/>
    <w:rsid w:val="00B10247"/>
    <w:rsid w:val="00B11267"/>
    <w:rsid w:val="00B11610"/>
    <w:rsid w:val="00B20EE0"/>
    <w:rsid w:val="00B22300"/>
    <w:rsid w:val="00B27D1C"/>
    <w:rsid w:val="00B30387"/>
    <w:rsid w:val="00B31342"/>
    <w:rsid w:val="00B31503"/>
    <w:rsid w:val="00B32C36"/>
    <w:rsid w:val="00B425B1"/>
    <w:rsid w:val="00B44A5F"/>
    <w:rsid w:val="00B525FA"/>
    <w:rsid w:val="00B53F6F"/>
    <w:rsid w:val="00B54582"/>
    <w:rsid w:val="00B553CC"/>
    <w:rsid w:val="00B56CAB"/>
    <w:rsid w:val="00B6035A"/>
    <w:rsid w:val="00B6157C"/>
    <w:rsid w:val="00B65B3D"/>
    <w:rsid w:val="00B77714"/>
    <w:rsid w:val="00B77EF0"/>
    <w:rsid w:val="00B842EF"/>
    <w:rsid w:val="00B9334E"/>
    <w:rsid w:val="00B933D2"/>
    <w:rsid w:val="00B9437E"/>
    <w:rsid w:val="00B95536"/>
    <w:rsid w:val="00B95A2E"/>
    <w:rsid w:val="00BB09EE"/>
    <w:rsid w:val="00BB1E2F"/>
    <w:rsid w:val="00BB7FDA"/>
    <w:rsid w:val="00BC190E"/>
    <w:rsid w:val="00BC5363"/>
    <w:rsid w:val="00BD2590"/>
    <w:rsid w:val="00BD39EA"/>
    <w:rsid w:val="00BD74A2"/>
    <w:rsid w:val="00BD77B8"/>
    <w:rsid w:val="00BE2DAC"/>
    <w:rsid w:val="00BE42E4"/>
    <w:rsid w:val="00BE458C"/>
    <w:rsid w:val="00BF3EF9"/>
    <w:rsid w:val="00BF4A78"/>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3786"/>
    <w:rsid w:val="00C54588"/>
    <w:rsid w:val="00C5489F"/>
    <w:rsid w:val="00C56A55"/>
    <w:rsid w:val="00C60DBC"/>
    <w:rsid w:val="00C62983"/>
    <w:rsid w:val="00C650AF"/>
    <w:rsid w:val="00C66E2E"/>
    <w:rsid w:val="00C67C85"/>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5419"/>
    <w:rsid w:val="00CA6FDE"/>
    <w:rsid w:val="00CA7A9E"/>
    <w:rsid w:val="00CB2BE1"/>
    <w:rsid w:val="00CC5F8E"/>
    <w:rsid w:val="00CD2C54"/>
    <w:rsid w:val="00CD2E9F"/>
    <w:rsid w:val="00CD310E"/>
    <w:rsid w:val="00CD41FE"/>
    <w:rsid w:val="00CD7C3F"/>
    <w:rsid w:val="00CE1825"/>
    <w:rsid w:val="00CE3282"/>
    <w:rsid w:val="00CE3F8F"/>
    <w:rsid w:val="00CF03CA"/>
    <w:rsid w:val="00CF0FCF"/>
    <w:rsid w:val="00CF1314"/>
    <w:rsid w:val="00CF1A74"/>
    <w:rsid w:val="00CF5E7B"/>
    <w:rsid w:val="00D000BD"/>
    <w:rsid w:val="00D003D9"/>
    <w:rsid w:val="00D031E4"/>
    <w:rsid w:val="00D03CF8"/>
    <w:rsid w:val="00D053F2"/>
    <w:rsid w:val="00D110D8"/>
    <w:rsid w:val="00D222FF"/>
    <w:rsid w:val="00D24559"/>
    <w:rsid w:val="00D31754"/>
    <w:rsid w:val="00D35570"/>
    <w:rsid w:val="00D35D0E"/>
    <w:rsid w:val="00D41C60"/>
    <w:rsid w:val="00D41E0D"/>
    <w:rsid w:val="00D44901"/>
    <w:rsid w:val="00D454CF"/>
    <w:rsid w:val="00D53F74"/>
    <w:rsid w:val="00D5502A"/>
    <w:rsid w:val="00D55D5F"/>
    <w:rsid w:val="00D60716"/>
    <w:rsid w:val="00D62F45"/>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4737"/>
    <w:rsid w:val="00D95563"/>
    <w:rsid w:val="00D964A6"/>
    <w:rsid w:val="00DA0E9D"/>
    <w:rsid w:val="00DA5608"/>
    <w:rsid w:val="00DA677E"/>
    <w:rsid w:val="00DA7AEF"/>
    <w:rsid w:val="00DB350D"/>
    <w:rsid w:val="00DB67FF"/>
    <w:rsid w:val="00DC0E0C"/>
    <w:rsid w:val="00DC2D44"/>
    <w:rsid w:val="00DC79C4"/>
    <w:rsid w:val="00DC7A1E"/>
    <w:rsid w:val="00DC7F53"/>
    <w:rsid w:val="00DD584D"/>
    <w:rsid w:val="00DD676C"/>
    <w:rsid w:val="00DD7137"/>
    <w:rsid w:val="00DD77F8"/>
    <w:rsid w:val="00DE3003"/>
    <w:rsid w:val="00DF3899"/>
    <w:rsid w:val="00DF532F"/>
    <w:rsid w:val="00DF6717"/>
    <w:rsid w:val="00DF6B5F"/>
    <w:rsid w:val="00DF7885"/>
    <w:rsid w:val="00DF7979"/>
    <w:rsid w:val="00E0002D"/>
    <w:rsid w:val="00E011C9"/>
    <w:rsid w:val="00E02DAD"/>
    <w:rsid w:val="00E03E68"/>
    <w:rsid w:val="00E05823"/>
    <w:rsid w:val="00E11E94"/>
    <w:rsid w:val="00E159FB"/>
    <w:rsid w:val="00E168BD"/>
    <w:rsid w:val="00E21A00"/>
    <w:rsid w:val="00E21B30"/>
    <w:rsid w:val="00E22A3F"/>
    <w:rsid w:val="00E22BCB"/>
    <w:rsid w:val="00E24FE1"/>
    <w:rsid w:val="00E30766"/>
    <w:rsid w:val="00E30CEE"/>
    <w:rsid w:val="00E348DD"/>
    <w:rsid w:val="00E34B2F"/>
    <w:rsid w:val="00E34F8C"/>
    <w:rsid w:val="00E3659D"/>
    <w:rsid w:val="00E403FE"/>
    <w:rsid w:val="00E41F1A"/>
    <w:rsid w:val="00E44410"/>
    <w:rsid w:val="00E46E20"/>
    <w:rsid w:val="00E47FEF"/>
    <w:rsid w:val="00E5392E"/>
    <w:rsid w:val="00E5540E"/>
    <w:rsid w:val="00E57CF3"/>
    <w:rsid w:val="00E61232"/>
    <w:rsid w:val="00E61B38"/>
    <w:rsid w:val="00E632A2"/>
    <w:rsid w:val="00E63625"/>
    <w:rsid w:val="00E6400D"/>
    <w:rsid w:val="00E641C3"/>
    <w:rsid w:val="00E650AC"/>
    <w:rsid w:val="00E65682"/>
    <w:rsid w:val="00E67442"/>
    <w:rsid w:val="00E67FE7"/>
    <w:rsid w:val="00E70FE0"/>
    <w:rsid w:val="00E75FF2"/>
    <w:rsid w:val="00E8032D"/>
    <w:rsid w:val="00E81547"/>
    <w:rsid w:val="00E82768"/>
    <w:rsid w:val="00E82DB1"/>
    <w:rsid w:val="00E85851"/>
    <w:rsid w:val="00E861B3"/>
    <w:rsid w:val="00E92152"/>
    <w:rsid w:val="00E92A5A"/>
    <w:rsid w:val="00E95A78"/>
    <w:rsid w:val="00E96E46"/>
    <w:rsid w:val="00EA1EDC"/>
    <w:rsid w:val="00EA251E"/>
    <w:rsid w:val="00EA5562"/>
    <w:rsid w:val="00EA5BDF"/>
    <w:rsid w:val="00EA7639"/>
    <w:rsid w:val="00EC03D4"/>
    <w:rsid w:val="00EC0C8B"/>
    <w:rsid w:val="00EC2E5E"/>
    <w:rsid w:val="00EC358D"/>
    <w:rsid w:val="00EC7E35"/>
    <w:rsid w:val="00ED068A"/>
    <w:rsid w:val="00ED216C"/>
    <w:rsid w:val="00ED5518"/>
    <w:rsid w:val="00EE06C1"/>
    <w:rsid w:val="00EE0CE9"/>
    <w:rsid w:val="00EE3A88"/>
    <w:rsid w:val="00EE47EE"/>
    <w:rsid w:val="00EE4F10"/>
    <w:rsid w:val="00EE5FB5"/>
    <w:rsid w:val="00EF2458"/>
    <w:rsid w:val="00EF540F"/>
    <w:rsid w:val="00F01DD6"/>
    <w:rsid w:val="00F04147"/>
    <w:rsid w:val="00F04B9F"/>
    <w:rsid w:val="00F05692"/>
    <w:rsid w:val="00F0690F"/>
    <w:rsid w:val="00F06BB0"/>
    <w:rsid w:val="00F06DC8"/>
    <w:rsid w:val="00F0758D"/>
    <w:rsid w:val="00F10071"/>
    <w:rsid w:val="00F139EA"/>
    <w:rsid w:val="00F14449"/>
    <w:rsid w:val="00F14AF4"/>
    <w:rsid w:val="00F1559C"/>
    <w:rsid w:val="00F17F1F"/>
    <w:rsid w:val="00F23221"/>
    <w:rsid w:val="00F279D9"/>
    <w:rsid w:val="00F3006E"/>
    <w:rsid w:val="00F30660"/>
    <w:rsid w:val="00F339C4"/>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14E"/>
    <w:rsid w:val="00F9625A"/>
    <w:rsid w:val="00FA35D9"/>
    <w:rsid w:val="00FA4B1A"/>
    <w:rsid w:val="00FA68C3"/>
    <w:rsid w:val="00FB0094"/>
    <w:rsid w:val="00FB71EA"/>
    <w:rsid w:val="00FC0AF1"/>
    <w:rsid w:val="00FC49DA"/>
    <w:rsid w:val="00FC7386"/>
    <w:rsid w:val="00FC7414"/>
    <w:rsid w:val="00FD3218"/>
    <w:rsid w:val="00FD3A5C"/>
    <w:rsid w:val="00FD57D3"/>
    <w:rsid w:val="00FD71D5"/>
    <w:rsid w:val="00FE30AE"/>
    <w:rsid w:val="00FE446C"/>
    <w:rsid w:val="00FE62D1"/>
    <w:rsid w:val="00FE6F61"/>
    <w:rsid w:val="00FF0077"/>
    <w:rsid w:val="00FF27A9"/>
    <w:rsid w:val="00FF30D7"/>
    <w:rsid w:val="00FF4C12"/>
    <w:rsid w:val="00FF78D3"/>
    <w:rsid w:val="0281587E"/>
    <w:rsid w:val="053D617D"/>
    <w:rsid w:val="073D31FE"/>
    <w:rsid w:val="07FFC885"/>
    <w:rsid w:val="08436857"/>
    <w:rsid w:val="11856B2E"/>
    <w:rsid w:val="143F579C"/>
    <w:rsid w:val="14726477"/>
    <w:rsid w:val="1B3E0655"/>
    <w:rsid w:val="1B8822C4"/>
    <w:rsid w:val="1BA9C687"/>
    <w:rsid w:val="1BD417C5"/>
    <w:rsid w:val="1F8229C3"/>
    <w:rsid w:val="24241236"/>
    <w:rsid w:val="25DA1459"/>
    <w:rsid w:val="2A807095"/>
    <w:rsid w:val="2B563FA5"/>
    <w:rsid w:val="2FE7D7FE"/>
    <w:rsid w:val="31D668B9"/>
    <w:rsid w:val="321366D4"/>
    <w:rsid w:val="39FAF7CC"/>
    <w:rsid w:val="39FB24A2"/>
    <w:rsid w:val="3B9F7B4A"/>
    <w:rsid w:val="3BFC3547"/>
    <w:rsid w:val="3BFFFF64"/>
    <w:rsid w:val="3EDBA573"/>
    <w:rsid w:val="3FEEFAB3"/>
    <w:rsid w:val="442962A2"/>
    <w:rsid w:val="490557B4"/>
    <w:rsid w:val="4ED70203"/>
    <w:rsid w:val="4FF5A967"/>
    <w:rsid w:val="51EC090F"/>
    <w:rsid w:val="55BC81C9"/>
    <w:rsid w:val="5AFB7B3C"/>
    <w:rsid w:val="5B405245"/>
    <w:rsid w:val="5C3018B4"/>
    <w:rsid w:val="5EE756D6"/>
    <w:rsid w:val="5FEF4033"/>
    <w:rsid w:val="5FFB4F31"/>
    <w:rsid w:val="61D0604B"/>
    <w:rsid w:val="62B131DE"/>
    <w:rsid w:val="645779AB"/>
    <w:rsid w:val="67C12384"/>
    <w:rsid w:val="67CE0712"/>
    <w:rsid w:val="67EC6BA4"/>
    <w:rsid w:val="6B6D613A"/>
    <w:rsid w:val="6EBFAC52"/>
    <w:rsid w:val="6F694A76"/>
    <w:rsid w:val="6FD131C7"/>
    <w:rsid w:val="6FDF26D2"/>
    <w:rsid w:val="6FEBB26A"/>
    <w:rsid w:val="72D8187A"/>
    <w:rsid w:val="75DDAB28"/>
    <w:rsid w:val="77DC57AA"/>
    <w:rsid w:val="7AED10D1"/>
    <w:rsid w:val="7B328754"/>
    <w:rsid w:val="7B4C77FE"/>
    <w:rsid w:val="7BFBECE5"/>
    <w:rsid w:val="7D6C3C2B"/>
    <w:rsid w:val="7D71005E"/>
    <w:rsid w:val="7FDE3EB0"/>
    <w:rsid w:val="8EE77863"/>
    <w:rsid w:val="95DC13CF"/>
    <w:rsid w:val="996F9CD7"/>
    <w:rsid w:val="A77FBBF7"/>
    <w:rsid w:val="A7DF1B9A"/>
    <w:rsid w:val="ABF80A4C"/>
    <w:rsid w:val="B39F3ACA"/>
    <w:rsid w:val="BAD7AA7E"/>
    <w:rsid w:val="BDF3184E"/>
    <w:rsid w:val="BE7F71F4"/>
    <w:rsid w:val="BEBE9B40"/>
    <w:rsid w:val="CFFFD391"/>
    <w:rsid w:val="DD7FA33E"/>
    <w:rsid w:val="DF7C40CD"/>
    <w:rsid w:val="DFF4E71C"/>
    <w:rsid w:val="DFF78E88"/>
    <w:rsid w:val="ECAD8B18"/>
    <w:rsid w:val="EF9E6779"/>
    <w:rsid w:val="F7FF4F4E"/>
    <w:rsid w:val="FD38922B"/>
    <w:rsid w:val="FDF74CF4"/>
    <w:rsid w:val="FF79EC62"/>
    <w:rsid w:val="FFBB1296"/>
    <w:rsid w:val="FFFE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autoRedefine/>
    <w:qFormat/>
    <w:uiPriority w:val="9"/>
    <w:pPr>
      <w:keepNext/>
      <w:keepLines/>
      <w:numPr>
        <w:ilvl w:val="0"/>
        <w:numId w:val="1"/>
      </w:numPr>
      <w:spacing w:before="340" w:after="330" w:line="578" w:lineRule="auto"/>
      <w:outlineLvl w:val="0"/>
    </w:pPr>
    <w:rPr>
      <w:rFonts w:eastAsia="方正小标宋_GBK"/>
      <w:b/>
      <w:bCs/>
      <w:kern w:val="44"/>
      <w:sz w:val="32"/>
      <w:szCs w:val="44"/>
    </w:rPr>
  </w:style>
  <w:style w:type="paragraph" w:styleId="6">
    <w:name w:val="heading 2"/>
    <w:basedOn w:val="1"/>
    <w:next w:val="1"/>
    <w:link w:val="34"/>
    <w:autoRedefine/>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7">
    <w:name w:val="heading 3"/>
    <w:basedOn w:val="1"/>
    <w:next w:val="1"/>
    <w:link w:val="37"/>
    <w:autoRedefine/>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8">
    <w:name w:val="heading 4"/>
    <w:basedOn w:val="1"/>
    <w:next w:val="1"/>
    <w:link w:val="38"/>
    <w:autoRedefine/>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39"/>
    <w:autoRedefine/>
    <w:unhideWhenUsed/>
    <w:qFormat/>
    <w:uiPriority w:val="9"/>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40"/>
    <w:autoRedefine/>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11">
    <w:name w:val="heading 7"/>
    <w:basedOn w:val="1"/>
    <w:next w:val="1"/>
    <w:link w:val="41"/>
    <w:autoRedefine/>
    <w:unhideWhenUsed/>
    <w:qFormat/>
    <w:uiPriority w:val="9"/>
    <w:pPr>
      <w:keepNext/>
      <w:keepLines/>
      <w:numPr>
        <w:ilvl w:val="6"/>
        <w:numId w:val="1"/>
      </w:numPr>
      <w:spacing w:before="240" w:after="64" w:line="320" w:lineRule="auto"/>
      <w:outlineLvl w:val="6"/>
    </w:pPr>
    <w:rPr>
      <w:b/>
      <w:bCs/>
      <w:sz w:val="24"/>
      <w:szCs w:val="24"/>
    </w:rPr>
  </w:style>
  <w:style w:type="paragraph" w:styleId="12">
    <w:name w:val="heading 8"/>
    <w:basedOn w:val="1"/>
    <w:next w:val="1"/>
    <w:link w:val="42"/>
    <w:autoRedefine/>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3">
    <w:name w:val="heading 9"/>
    <w:basedOn w:val="1"/>
    <w:next w:val="1"/>
    <w:link w:val="43"/>
    <w:autoRedefine/>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adjustRightInd w:val="0"/>
      <w:spacing w:line="360" w:lineRule="auto"/>
      <w:ind w:firstLine="420" w:firstLineChars="100"/>
      <w:textAlignment w:val="baseline"/>
    </w:pPr>
    <w:rPr>
      <w:sz w:val="24"/>
    </w:rPr>
  </w:style>
  <w:style w:type="paragraph" w:styleId="3">
    <w:name w:val="Body Text"/>
    <w:basedOn w:val="1"/>
    <w:next w:val="4"/>
    <w:link w:val="57"/>
    <w:autoRedefine/>
    <w:semiHidden/>
    <w:unhideWhenUsed/>
    <w:qFormat/>
    <w:uiPriority w:val="99"/>
    <w:pPr>
      <w:spacing w:after="120"/>
    </w:pPr>
  </w:style>
  <w:style w:type="paragraph" w:customStyle="1" w:styleId="4">
    <w:name w:val="Default"/>
    <w:autoRedefine/>
    <w:qFormat/>
    <w:uiPriority w:val="99"/>
    <w:pPr>
      <w:widowControl w:val="0"/>
      <w:autoSpaceDE w:val="0"/>
      <w:autoSpaceDN w:val="0"/>
      <w:adjustRightInd w:val="0"/>
    </w:pPr>
    <w:rPr>
      <w:rFonts w:ascii="华文新魏" w:hAnsi="华文新魏" w:eastAsia="宋体" w:cs="Times New Roman"/>
      <w:color w:val="000000"/>
      <w:sz w:val="24"/>
      <w:lang w:val="en-US" w:eastAsia="zh-CN" w:bidi="ar-SA"/>
    </w:rPr>
  </w:style>
  <w:style w:type="paragraph" w:styleId="14">
    <w:name w:val="annotation text"/>
    <w:basedOn w:val="1"/>
    <w:link w:val="52"/>
    <w:autoRedefine/>
    <w:unhideWhenUsed/>
    <w:qFormat/>
    <w:uiPriority w:val="99"/>
    <w:pPr>
      <w:jc w:val="left"/>
    </w:pPr>
  </w:style>
  <w:style w:type="paragraph" w:styleId="15">
    <w:name w:val="Body Text Indent"/>
    <w:basedOn w:val="1"/>
    <w:link w:val="46"/>
    <w:autoRedefine/>
    <w:semiHidden/>
    <w:unhideWhenUsed/>
    <w:qFormat/>
    <w:uiPriority w:val="99"/>
    <w:pPr>
      <w:spacing w:after="120"/>
      <w:ind w:left="420" w:leftChars="200"/>
    </w:pPr>
  </w:style>
  <w:style w:type="paragraph" w:styleId="16">
    <w:name w:val="toc 3"/>
    <w:basedOn w:val="1"/>
    <w:next w:val="1"/>
    <w:autoRedefine/>
    <w:unhideWhenUsed/>
    <w:qFormat/>
    <w:uiPriority w:val="39"/>
    <w:pPr>
      <w:ind w:left="840" w:leftChars="400"/>
    </w:pPr>
  </w:style>
  <w:style w:type="paragraph" w:styleId="17">
    <w:name w:val="Balloon Text"/>
    <w:basedOn w:val="1"/>
    <w:link w:val="45"/>
    <w:autoRedefine/>
    <w:semiHidden/>
    <w:unhideWhenUsed/>
    <w:qFormat/>
    <w:uiPriority w:val="99"/>
    <w:rPr>
      <w:sz w:val="18"/>
      <w:szCs w:val="18"/>
    </w:rPr>
  </w:style>
  <w:style w:type="paragraph" w:styleId="18">
    <w:name w:val="footer"/>
    <w:basedOn w:val="1"/>
    <w:link w:val="32"/>
    <w:autoRedefine/>
    <w:unhideWhenUsed/>
    <w:qFormat/>
    <w:uiPriority w:val="99"/>
    <w:pPr>
      <w:tabs>
        <w:tab w:val="center" w:pos="4153"/>
        <w:tab w:val="right" w:pos="8306"/>
      </w:tabs>
      <w:snapToGrid w:val="0"/>
      <w:jc w:val="left"/>
    </w:pPr>
    <w:rPr>
      <w:sz w:val="18"/>
      <w:szCs w:val="18"/>
    </w:rPr>
  </w:style>
  <w:style w:type="paragraph" w:styleId="19">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style>
  <w:style w:type="paragraph" w:styleId="21">
    <w:name w:val="footnote text"/>
    <w:basedOn w:val="1"/>
    <w:link w:val="55"/>
    <w:autoRedefine/>
    <w:unhideWhenUsed/>
    <w:qFormat/>
    <w:uiPriority w:val="99"/>
    <w:pPr>
      <w:snapToGrid w:val="0"/>
      <w:jc w:val="left"/>
    </w:pPr>
    <w:rPr>
      <w:rFonts w:ascii="Calibri" w:hAnsi="Calibri" w:eastAsia="宋体" w:cs="Times New Roman"/>
      <w:sz w:val="18"/>
      <w:szCs w:val="18"/>
    </w:rPr>
  </w:style>
  <w:style w:type="paragraph" w:styleId="22">
    <w:name w:val="toc 2"/>
    <w:basedOn w:val="1"/>
    <w:next w:val="1"/>
    <w:autoRedefine/>
    <w:unhideWhenUsed/>
    <w:qFormat/>
    <w:uiPriority w:val="39"/>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annotation subject"/>
    <w:basedOn w:val="14"/>
    <w:next w:val="14"/>
    <w:link w:val="53"/>
    <w:autoRedefine/>
    <w:semiHidden/>
    <w:unhideWhenUsed/>
    <w:qFormat/>
    <w:uiPriority w:val="99"/>
    <w:rPr>
      <w:b/>
      <w:bCs/>
    </w:rPr>
  </w:style>
  <w:style w:type="paragraph" w:styleId="25">
    <w:name w:val="Body Text First Indent 2"/>
    <w:basedOn w:val="15"/>
    <w:link w:val="47"/>
    <w:autoRedefine/>
    <w:qFormat/>
    <w:uiPriority w:val="0"/>
    <w:pPr>
      <w:spacing w:line="360" w:lineRule="auto"/>
      <w:ind w:firstLine="420" w:firstLineChars="200"/>
    </w:pPr>
    <w:rPr>
      <w:rFonts w:ascii="Times New Roman" w:hAnsi="Times New Roman" w:eastAsia="宋体" w:cs="Times New Roman"/>
      <w:sz w:val="24"/>
      <w:szCs w:val="24"/>
      <w:lang w:val="zh-CN"/>
    </w:r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basedOn w:val="28"/>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8"/>
    <w:autoRedefine/>
    <w:unhideWhenUsed/>
    <w:qFormat/>
    <w:uiPriority w:val="99"/>
    <w:rPr>
      <w:sz w:val="21"/>
      <w:szCs w:val="21"/>
    </w:rPr>
  </w:style>
  <w:style w:type="character" w:customStyle="1" w:styleId="31">
    <w:name w:val="页眉 Char"/>
    <w:basedOn w:val="28"/>
    <w:link w:val="19"/>
    <w:autoRedefine/>
    <w:qFormat/>
    <w:uiPriority w:val="99"/>
    <w:rPr>
      <w:sz w:val="18"/>
      <w:szCs w:val="18"/>
    </w:rPr>
  </w:style>
  <w:style w:type="character" w:customStyle="1" w:styleId="32">
    <w:name w:val="页脚 Char"/>
    <w:basedOn w:val="28"/>
    <w:link w:val="18"/>
    <w:autoRedefine/>
    <w:qFormat/>
    <w:uiPriority w:val="99"/>
    <w:rPr>
      <w:sz w:val="18"/>
      <w:szCs w:val="18"/>
    </w:rPr>
  </w:style>
  <w:style w:type="paragraph" w:styleId="33">
    <w:name w:val="List Paragraph"/>
    <w:basedOn w:val="1"/>
    <w:link w:val="48"/>
    <w:autoRedefine/>
    <w:qFormat/>
    <w:uiPriority w:val="99"/>
    <w:pPr>
      <w:ind w:firstLine="420" w:firstLineChars="200"/>
    </w:pPr>
  </w:style>
  <w:style w:type="character" w:customStyle="1" w:styleId="34">
    <w:name w:val="标题 2 Char"/>
    <w:basedOn w:val="28"/>
    <w:link w:val="6"/>
    <w:autoRedefine/>
    <w:qFormat/>
    <w:uiPriority w:val="9"/>
    <w:rPr>
      <w:rFonts w:eastAsia="仿宋" w:asciiTheme="majorHAnsi" w:hAnsiTheme="majorHAnsi" w:cstheme="majorBidi"/>
      <w:b/>
      <w:bCs/>
      <w:kern w:val="2"/>
      <w:sz w:val="28"/>
      <w:szCs w:val="32"/>
    </w:rPr>
  </w:style>
  <w:style w:type="paragraph" w:customStyle="1" w:styleId="35">
    <w:name w:val="1册标题3"/>
    <w:basedOn w:val="1"/>
    <w:next w:val="1"/>
    <w:autoRedefine/>
    <w:qFormat/>
    <w:uiPriority w:val="0"/>
    <w:pPr>
      <w:spacing w:line="360" w:lineRule="exact"/>
    </w:pPr>
    <w:rPr>
      <w:rFonts w:ascii="宋体" w:hAnsi="宋体" w:eastAsia="宋体" w:cs="Times New Roman"/>
      <w:szCs w:val="21"/>
    </w:rPr>
  </w:style>
  <w:style w:type="character" w:customStyle="1" w:styleId="36">
    <w:name w:val="标题 1 Char"/>
    <w:basedOn w:val="28"/>
    <w:link w:val="5"/>
    <w:autoRedefine/>
    <w:qFormat/>
    <w:uiPriority w:val="9"/>
    <w:rPr>
      <w:rFonts w:eastAsia="方正小标宋_GBK"/>
      <w:b/>
      <w:bCs/>
      <w:kern w:val="44"/>
      <w:sz w:val="32"/>
      <w:szCs w:val="44"/>
    </w:rPr>
  </w:style>
  <w:style w:type="character" w:customStyle="1" w:styleId="37">
    <w:name w:val="标题 3 Char"/>
    <w:basedOn w:val="28"/>
    <w:link w:val="7"/>
    <w:autoRedefine/>
    <w:qFormat/>
    <w:uiPriority w:val="9"/>
    <w:rPr>
      <w:rFonts w:eastAsia="仿宋"/>
      <w:b/>
      <w:bCs/>
      <w:sz w:val="28"/>
      <w:szCs w:val="32"/>
    </w:rPr>
  </w:style>
  <w:style w:type="character" w:customStyle="1" w:styleId="38">
    <w:name w:val="标题 4 Char"/>
    <w:basedOn w:val="28"/>
    <w:link w:val="8"/>
    <w:autoRedefine/>
    <w:semiHidden/>
    <w:qFormat/>
    <w:uiPriority w:val="9"/>
    <w:rPr>
      <w:rFonts w:asciiTheme="majorHAnsi" w:hAnsiTheme="majorHAnsi" w:eastAsiaTheme="majorEastAsia" w:cstheme="majorBidi"/>
      <w:b/>
      <w:bCs/>
      <w:sz w:val="28"/>
      <w:szCs w:val="28"/>
    </w:rPr>
  </w:style>
  <w:style w:type="character" w:customStyle="1" w:styleId="39">
    <w:name w:val="标题 5 Char"/>
    <w:basedOn w:val="28"/>
    <w:link w:val="9"/>
    <w:autoRedefine/>
    <w:semiHidden/>
    <w:qFormat/>
    <w:uiPriority w:val="9"/>
    <w:rPr>
      <w:b/>
      <w:bCs/>
      <w:sz w:val="28"/>
      <w:szCs w:val="28"/>
    </w:rPr>
  </w:style>
  <w:style w:type="character" w:customStyle="1" w:styleId="40">
    <w:name w:val="标题 6 Char"/>
    <w:basedOn w:val="28"/>
    <w:link w:val="10"/>
    <w:autoRedefine/>
    <w:semiHidden/>
    <w:qFormat/>
    <w:uiPriority w:val="9"/>
    <w:rPr>
      <w:rFonts w:asciiTheme="majorHAnsi" w:hAnsiTheme="majorHAnsi" w:eastAsiaTheme="majorEastAsia" w:cstheme="majorBidi"/>
      <w:b/>
      <w:bCs/>
      <w:sz w:val="24"/>
      <w:szCs w:val="24"/>
    </w:rPr>
  </w:style>
  <w:style w:type="character" w:customStyle="1" w:styleId="41">
    <w:name w:val="标题 7 Char"/>
    <w:basedOn w:val="28"/>
    <w:link w:val="11"/>
    <w:autoRedefine/>
    <w:semiHidden/>
    <w:qFormat/>
    <w:uiPriority w:val="9"/>
    <w:rPr>
      <w:b/>
      <w:bCs/>
      <w:sz w:val="24"/>
      <w:szCs w:val="24"/>
    </w:rPr>
  </w:style>
  <w:style w:type="character" w:customStyle="1" w:styleId="42">
    <w:name w:val="标题 8 Char"/>
    <w:basedOn w:val="28"/>
    <w:link w:val="12"/>
    <w:autoRedefine/>
    <w:semiHidden/>
    <w:qFormat/>
    <w:uiPriority w:val="9"/>
    <w:rPr>
      <w:rFonts w:asciiTheme="majorHAnsi" w:hAnsiTheme="majorHAnsi" w:eastAsiaTheme="majorEastAsia" w:cstheme="majorBidi"/>
      <w:sz w:val="24"/>
      <w:szCs w:val="24"/>
    </w:rPr>
  </w:style>
  <w:style w:type="character" w:customStyle="1" w:styleId="43">
    <w:name w:val="标题 9 Char"/>
    <w:basedOn w:val="28"/>
    <w:link w:val="13"/>
    <w:autoRedefine/>
    <w:semiHidden/>
    <w:qFormat/>
    <w:uiPriority w:val="9"/>
    <w:rPr>
      <w:rFonts w:asciiTheme="majorHAnsi" w:hAnsiTheme="majorHAnsi" w:eastAsiaTheme="majorEastAsia" w:cstheme="majorBidi"/>
      <w:szCs w:val="21"/>
    </w:rPr>
  </w:style>
  <w:style w:type="paragraph" w:customStyle="1" w:styleId="44">
    <w:name w:val="TOC 标题1"/>
    <w:basedOn w:val="5"/>
    <w:next w:val="1"/>
    <w:autoRedefine/>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8"/>
    <w:link w:val="17"/>
    <w:autoRedefine/>
    <w:semiHidden/>
    <w:qFormat/>
    <w:uiPriority w:val="99"/>
    <w:rPr>
      <w:sz w:val="18"/>
      <w:szCs w:val="18"/>
    </w:rPr>
  </w:style>
  <w:style w:type="character" w:customStyle="1" w:styleId="46">
    <w:name w:val="正文文本缩进 Char"/>
    <w:basedOn w:val="28"/>
    <w:link w:val="15"/>
    <w:autoRedefine/>
    <w:semiHidden/>
    <w:qFormat/>
    <w:uiPriority w:val="99"/>
  </w:style>
  <w:style w:type="character" w:customStyle="1" w:styleId="47">
    <w:name w:val="正文首行缩进 2 Char"/>
    <w:basedOn w:val="46"/>
    <w:link w:val="25"/>
    <w:autoRedefine/>
    <w:qFormat/>
    <w:uiPriority w:val="0"/>
    <w:rPr>
      <w:rFonts w:ascii="Times New Roman" w:hAnsi="Times New Roman" w:eastAsia="宋体" w:cs="Times New Roman"/>
      <w:sz w:val="24"/>
      <w:szCs w:val="24"/>
      <w:lang w:val="zh-CN"/>
    </w:rPr>
  </w:style>
  <w:style w:type="character" w:customStyle="1" w:styleId="48">
    <w:name w:val="列出段落 Char"/>
    <w:link w:val="33"/>
    <w:autoRedefine/>
    <w:qFormat/>
    <w:uiPriority w:val="34"/>
  </w:style>
  <w:style w:type="paragraph" w:customStyle="1" w:styleId="4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正文 Char"/>
    <w:link w:val="51"/>
    <w:autoRedefine/>
    <w:qFormat/>
    <w:uiPriority w:val="0"/>
    <w:rPr>
      <w:rFonts w:ascii="time" w:hAnsi="time"/>
      <w:sz w:val="24"/>
      <w:szCs w:val="24"/>
      <w:lang w:bidi="en-US"/>
    </w:rPr>
  </w:style>
  <w:style w:type="paragraph" w:customStyle="1" w:styleId="51">
    <w:name w:val="*正文"/>
    <w:basedOn w:val="1"/>
    <w:link w:val="50"/>
    <w:autoRedefine/>
    <w:qFormat/>
    <w:uiPriority w:val="0"/>
    <w:pPr>
      <w:widowControl/>
      <w:spacing w:line="360" w:lineRule="auto"/>
      <w:ind w:firstLine="200" w:firstLineChars="200"/>
      <w:contextualSpacing/>
    </w:pPr>
    <w:rPr>
      <w:rFonts w:ascii="time" w:hAnsi="time"/>
      <w:sz w:val="24"/>
      <w:szCs w:val="24"/>
      <w:lang w:bidi="en-US"/>
    </w:rPr>
  </w:style>
  <w:style w:type="character" w:customStyle="1" w:styleId="52">
    <w:name w:val="批注文字 Char"/>
    <w:basedOn w:val="28"/>
    <w:link w:val="14"/>
    <w:autoRedefine/>
    <w:qFormat/>
    <w:uiPriority w:val="99"/>
  </w:style>
  <w:style w:type="character" w:customStyle="1" w:styleId="53">
    <w:name w:val="批注主题 Char"/>
    <w:basedOn w:val="52"/>
    <w:link w:val="24"/>
    <w:autoRedefine/>
    <w:semiHidden/>
    <w:qFormat/>
    <w:uiPriority w:val="99"/>
    <w:rPr>
      <w:b/>
      <w:bCs/>
    </w:rPr>
  </w:style>
  <w:style w:type="character" w:customStyle="1" w:styleId="54">
    <w:name w:val="批注文字 字符1"/>
    <w:autoRedefine/>
    <w:qFormat/>
    <w:uiPriority w:val="99"/>
    <w:rPr>
      <w:rFonts w:eastAsia="仿宋"/>
      <w:kern w:val="2"/>
      <w:sz w:val="28"/>
      <w:szCs w:val="24"/>
    </w:rPr>
  </w:style>
  <w:style w:type="character" w:customStyle="1" w:styleId="55">
    <w:name w:val="脚注文本 Char"/>
    <w:basedOn w:val="28"/>
    <w:link w:val="21"/>
    <w:autoRedefine/>
    <w:qFormat/>
    <w:uiPriority w:val="99"/>
    <w:rPr>
      <w:rFonts w:ascii="Calibri" w:hAnsi="Calibri" w:eastAsia="宋体" w:cs="Times New Roman"/>
      <w:sz w:val="18"/>
      <w:szCs w:val="18"/>
    </w:rPr>
  </w:style>
  <w:style w:type="paragraph" w:customStyle="1" w:styleId="56">
    <w:name w:val="正文文字3"/>
    <w:basedOn w:val="3"/>
    <w:autoRedefine/>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7">
    <w:name w:val="正文文本 Char"/>
    <w:basedOn w:val="28"/>
    <w:link w:val="3"/>
    <w:autoRedefine/>
    <w:semiHidden/>
    <w:qFormat/>
    <w:uiPriority w:val="99"/>
  </w:style>
  <w:style w:type="paragraph" w:customStyle="1" w:styleId="58">
    <w:name w:val="正文缩进1"/>
    <w:basedOn w:val="1"/>
    <w:autoRedefine/>
    <w:qFormat/>
    <w:uiPriority w:val="0"/>
    <w:pPr>
      <w:ind w:firstLine="420"/>
    </w:pPr>
    <w:rPr>
      <w:rFonts w:ascii="Times New Roman" w:hAnsi="Times New Roman"/>
      <w:szCs w:val="20"/>
    </w:rPr>
  </w:style>
  <w:style w:type="paragraph" w:customStyle="1" w:styleId="59">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styleId="60">
    <w:name w:val="No Spacing"/>
    <w:autoRedefine/>
    <w:qFormat/>
    <w:uiPriority w:val="1"/>
    <w:pPr>
      <w:widowControl w:val="0"/>
      <w:jc w:val="both"/>
    </w:pPr>
    <w:rPr>
      <w:rFonts w:asciiTheme="minorHAnsi" w:hAnsiTheme="minorHAnsi" w:eastAsiaTheme="minorEastAsia" w:cstheme="minorBidi"/>
      <w:kern w:val="2"/>
      <w:sz w:val="24"/>
      <w:szCs w:val="22"/>
      <w:lang w:val="en-US" w:eastAsia="zh-CN" w:bidi="ar-SA"/>
    </w:rPr>
  </w:style>
  <w:style w:type="paragraph" w:customStyle="1" w:styleId="6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2">
    <w:name w:val="table"/>
    <w:basedOn w:val="1"/>
    <w:autoRedefine/>
    <w:qFormat/>
    <w:uiPriority w:val="0"/>
    <w:rPr>
      <w:rFonts w:ascii="仿宋" w:hAnsi="仿宋" w:cs="仿宋"/>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18</Pages>
  <Words>710</Words>
  <Characters>739</Characters>
  <Lines>80</Lines>
  <Paragraphs>22</Paragraphs>
  <TotalTime>87</TotalTime>
  <ScaleCrop>false</ScaleCrop>
  <LinksUpToDate>false</LinksUpToDate>
  <CharactersWithSpaces>742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2024-01-19T15:00:00Z</dcterms:created>
  <dc:creator>ntko</dc:creator>
  <cp:lastModifiedBy>user</cp:lastModifiedBy>
  <cp:lastPrinted>2023-12-01T09:34:00Z</cp:lastPrinted>
  <dcterms:modified xsi:type="dcterms:W3CDTF">2026-01-05T15:09:46Z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BB46114891D4A3F20E7B3269648F611D_43</vt:lpwstr>
  </property>
</Properties>
</file>