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p>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《市域公共服务专项规划研究和编制》采购需求</w:t>
      </w:r>
    </w:p>
    <w:p>
      <w:pPr>
        <w:jc w:val="center"/>
        <w:rPr>
          <w:rFonts w:ascii="黑体" w:hAnsi="黑体" w:eastAsia="黑体"/>
          <w:sz w:val="36"/>
          <w:szCs w:val="36"/>
        </w:rPr>
      </w:pPr>
    </w:p>
    <w:p>
      <w:pPr>
        <w:ind w:firstLine="560" w:firstLineChars="200"/>
        <w:rPr>
          <w:rFonts w:ascii="黑体" w:hAnsi="黑体" w:eastAsia="黑体"/>
          <w:sz w:val="36"/>
          <w:szCs w:val="36"/>
          <w:highlight w:val="yellow"/>
        </w:rPr>
      </w:pPr>
      <w:r>
        <w:rPr>
          <w:rFonts w:hint="eastAsia" w:ascii="黑体" w:hAnsi="黑体" w:eastAsia="黑体"/>
          <w:sz w:val="28"/>
          <w:szCs w:val="28"/>
        </w:rPr>
        <w:t>一、工作背景</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全面贯彻党的二十大和二十届历次全会精神以及中央城市工作会议精神，按照市委、市政府部署，以“上海2035”城市总规为引领，开展上海市市域科教文卫体等公共服务的国土空间规划研究和编制工作，持续优化超大城市空间格局，强化资源要素保障，提升城市安全韧性。</w:t>
      </w:r>
    </w:p>
    <w:p>
      <w:pPr>
        <w:spacing w:line="500" w:lineRule="exact"/>
        <w:ind w:firstLine="560" w:firstLineChars="200"/>
        <w:rPr>
          <w:rFonts w:ascii="黑体" w:hAnsi="黑体" w:eastAsia="黑体"/>
          <w:sz w:val="28"/>
          <w:szCs w:val="28"/>
        </w:rPr>
      </w:pPr>
      <w:r>
        <w:rPr>
          <w:rFonts w:hint="eastAsia" w:ascii="黑体" w:hAnsi="黑体" w:eastAsia="黑体"/>
          <w:sz w:val="28"/>
          <w:szCs w:val="28"/>
        </w:rPr>
        <w:t>二、工作内容</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本项目主要内容包括</w:t>
      </w:r>
      <w:r>
        <w:rPr>
          <w:rFonts w:ascii="仿宋_GB2312" w:hAnsi="仿宋" w:eastAsia="仿宋_GB2312"/>
          <w:sz w:val="30"/>
          <w:szCs w:val="30"/>
        </w:rPr>
        <w:t>:</w:t>
      </w:r>
      <w:r>
        <w:rPr>
          <w:rFonts w:hint="eastAsia" w:ascii="仿宋_GB2312" w:hAnsi="仿宋" w:eastAsia="仿宋_GB2312"/>
          <w:sz w:val="30"/>
          <w:szCs w:val="30"/>
        </w:rPr>
        <w:t>韧性安全城市建设“十五五”规划参编、高校空间布局战略规划、殡葬设施数据库建设和近期规划、新城绿环空间贯通与融合提升技术服务、风帆运动布局及选址研究等内容。</w:t>
      </w:r>
    </w:p>
    <w:p>
      <w:pPr>
        <w:spacing w:line="360" w:lineRule="auto"/>
        <w:ind w:firstLine="602" w:firstLineChars="200"/>
        <w:jc w:val="both"/>
        <w:rPr>
          <w:rFonts w:ascii="仿宋_GB2312" w:hAnsi="仿宋" w:eastAsia="仿宋_GB2312"/>
          <w:sz w:val="30"/>
          <w:szCs w:val="30"/>
        </w:rPr>
      </w:pPr>
      <w:r>
        <w:rPr>
          <w:rFonts w:hint="eastAsia" w:ascii="仿宋_GB2312" w:hAnsi="仿宋" w:eastAsia="仿宋_GB2312"/>
          <w:b/>
          <w:sz w:val="30"/>
          <w:szCs w:val="30"/>
        </w:rPr>
        <w:t>1</w:t>
      </w:r>
      <w:r>
        <w:rPr>
          <w:rFonts w:ascii="仿宋_GB2312" w:hAnsi="仿宋" w:eastAsia="仿宋_GB2312"/>
          <w:b/>
          <w:sz w:val="30"/>
          <w:szCs w:val="30"/>
        </w:rPr>
        <w:t>.</w:t>
      </w:r>
      <w:r>
        <w:rPr>
          <w:rFonts w:hint="eastAsia" w:ascii="仿宋_GB2312" w:hAnsi="仿宋" w:eastAsia="仿宋_GB2312"/>
          <w:b/>
          <w:sz w:val="30"/>
          <w:szCs w:val="30"/>
        </w:rPr>
        <w:t xml:space="preserve"> 上海市韧性安全城市建设“十五五”规划：</w:t>
      </w:r>
      <w:r>
        <w:rPr>
          <w:rFonts w:hint="eastAsia" w:ascii="仿宋_GB2312" w:hAnsi="仿宋" w:eastAsia="仿宋_GB2312"/>
          <w:sz w:val="30"/>
          <w:szCs w:val="30"/>
        </w:rPr>
        <w:t>一是构建韧性安全空间格局。统筹长三角区域、上海大都市圈和上海市域应急保障资源，构建多维度的韧性安全空间体系。锚固安全底板、保障核心功能、强化运行支撑，完善超大城市韧性安全空间格局。二是深化国土空间韧性治理。基于总体空间格局，明确“十五五”期间重点地区，制定差异化、精准化的韧性发展导向。三是加强韧性安全空间资源保障。统筹应急避难场所系统布局和规范化建设，提升全市极端灾害疏散安置托底保障能力。系统优化重要市级韧性安全系统布局。夯实重大防御设施设防能力，加强自然柔性抵御与适应，构建刚柔并济、弹性适应、品质功能融合的综合防御体系。</w:t>
      </w:r>
    </w:p>
    <w:p>
      <w:pPr>
        <w:spacing w:line="360" w:lineRule="auto"/>
        <w:ind w:firstLine="602" w:firstLineChars="200"/>
        <w:jc w:val="both"/>
        <w:rPr>
          <w:rFonts w:ascii="仿宋_GB2312" w:hAnsi="仿宋" w:eastAsia="仿宋_GB2312"/>
          <w:sz w:val="30"/>
          <w:szCs w:val="30"/>
        </w:rPr>
      </w:pPr>
      <w:r>
        <w:rPr>
          <w:rFonts w:hint="eastAsia" w:ascii="仿宋_GB2312" w:hAnsi="仿宋" w:eastAsia="仿宋_GB2312"/>
          <w:b/>
          <w:sz w:val="30"/>
          <w:szCs w:val="30"/>
        </w:rPr>
        <w:t>2</w:t>
      </w:r>
      <w:r>
        <w:rPr>
          <w:rFonts w:ascii="仿宋_GB2312" w:hAnsi="仿宋" w:eastAsia="仿宋_GB2312"/>
          <w:b/>
          <w:sz w:val="30"/>
          <w:szCs w:val="30"/>
        </w:rPr>
        <w:t>.</w:t>
      </w:r>
      <w:r>
        <w:rPr>
          <w:rFonts w:hint="eastAsia" w:ascii="仿宋_GB2312" w:hAnsi="Times New Roman" w:cs="Times New Roman"/>
          <w:sz w:val="32"/>
          <w:szCs w:val="32"/>
        </w:rPr>
        <w:t xml:space="preserve"> </w:t>
      </w:r>
      <w:r>
        <w:rPr>
          <w:rFonts w:hint="eastAsia" w:ascii="仿宋_GB2312" w:hAnsi="仿宋" w:eastAsia="仿宋_GB2312"/>
          <w:b/>
          <w:sz w:val="30"/>
          <w:szCs w:val="30"/>
        </w:rPr>
        <w:t>上海市高校空间布局战略规划：</w:t>
      </w:r>
      <w:r>
        <w:rPr>
          <w:rFonts w:hint="eastAsia" w:ascii="仿宋_GB2312" w:hAnsi="仿宋" w:eastAsia="仿宋_GB2312"/>
          <w:sz w:val="30"/>
          <w:szCs w:val="30"/>
        </w:rPr>
        <w:t>为</w:t>
      </w:r>
      <w:r>
        <w:rPr>
          <w:rFonts w:ascii="仿宋_GB2312" w:hAnsi="仿宋" w:eastAsia="仿宋_GB2312"/>
          <w:sz w:val="30"/>
          <w:szCs w:val="30"/>
        </w:rPr>
        <w:t>进一步优化本市高等教育资源配置，完善本市高等教育布局结构，</w:t>
      </w:r>
      <w:r>
        <w:rPr>
          <w:rFonts w:hint="eastAsia" w:ascii="仿宋_GB2312" w:hAnsi="仿宋" w:eastAsia="仿宋_GB2312"/>
          <w:sz w:val="30"/>
          <w:szCs w:val="30"/>
        </w:rPr>
        <w:t>通过系统梳理市属公办高校空间布局结构调整相关情况，对高等学校空间布局现状、存在问题及未来布局体系进行针对性、前瞻性思考。具体包括三方面内容：一是现状分析评估。通过对上海</w:t>
      </w:r>
      <w:r>
        <w:rPr>
          <w:rFonts w:ascii="仿宋_GB2312" w:hAnsi="仿宋" w:eastAsia="仿宋_GB2312"/>
          <w:sz w:val="30"/>
          <w:szCs w:val="30"/>
        </w:rPr>
        <w:t>市属公办高校</w:t>
      </w:r>
      <w:r>
        <w:rPr>
          <w:rFonts w:hint="eastAsia" w:ascii="仿宋_GB2312" w:hAnsi="仿宋" w:eastAsia="仿宋_GB2312"/>
          <w:sz w:val="30"/>
          <w:szCs w:val="30"/>
        </w:rPr>
        <w:t>全面细致的数据及用地梳理，明晰高校现有发展状况，理清存量和潜力空间，找出存在问题及主要瓶颈；二是高校空间布局规划通过现状分析评估及国内外案例借鉴，提出高校布局基本原则、规划目标、整体规划结构、具体调整建议等。三是“一校一图一表”编制。建立高校数据库，将全市6</w:t>
      </w:r>
      <w:r>
        <w:rPr>
          <w:rFonts w:ascii="仿宋_GB2312" w:hAnsi="仿宋" w:eastAsia="仿宋_GB2312"/>
          <w:sz w:val="30"/>
          <w:szCs w:val="30"/>
        </w:rPr>
        <w:t>8所高校</w:t>
      </w:r>
      <w:r>
        <w:rPr>
          <w:rFonts w:hint="eastAsia" w:ascii="仿宋_GB2312" w:hAnsi="仿宋" w:eastAsia="仿宋_GB2312"/>
          <w:sz w:val="30"/>
          <w:szCs w:val="30"/>
        </w:rPr>
        <w:t>（1</w:t>
      </w:r>
      <w:r>
        <w:rPr>
          <w:rFonts w:ascii="仿宋_GB2312" w:hAnsi="仿宋" w:eastAsia="仿宋_GB2312"/>
          <w:sz w:val="30"/>
          <w:szCs w:val="30"/>
        </w:rPr>
        <w:t>85个校区</w:t>
      </w:r>
      <w:r>
        <w:rPr>
          <w:rFonts w:hint="eastAsia" w:ascii="仿宋_GB2312" w:hAnsi="仿宋" w:eastAsia="仿宋_GB2312"/>
          <w:sz w:val="30"/>
          <w:szCs w:val="30"/>
        </w:rPr>
        <w:t>）全部落图，制作各校区基础信息表。</w:t>
      </w:r>
    </w:p>
    <w:p>
      <w:pPr>
        <w:spacing w:line="360" w:lineRule="auto"/>
        <w:ind w:firstLine="602" w:firstLineChars="200"/>
        <w:jc w:val="both"/>
        <w:rPr>
          <w:rFonts w:ascii="仿宋_GB2312" w:hAnsi="仿宋" w:eastAsia="仿宋_GB2312"/>
          <w:sz w:val="30"/>
          <w:szCs w:val="30"/>
        </w:rPr>
      </w:pPr>
      <w:r>
        <w:rPr>
          <w:rFonts w:hint="eastAsia" w:ascii="仿宋_GB2312" w:hAnsi="仿宋" w:eastAsia="仿宋_GB2312"/>
          <w:b/>
          <w:sz w:val="30"/>
          <w:szCs w:val="30"/>
        </w:rPr>
        <w:t>3</w:t>
      </w:r>
      <w:r>
        <w:rPr>
          <w:rFonts w:ascii="仿宋_GB2312" w:hAnsi="仿宋" w:eastAsia="仿宋_GB2312"/>
          <w:b/>
          <w:sz w:val="30"/>
          <w:szCs w:val="30"/>
        </w:rPr>
        <w:t>.</w:t>
      </w:r>
      <w:r>
        <w:rPr>
          <w:rFonts w:hint="eastAsia" w:ascii="仿宋_GB2312" w:hAnsi="仿宋" w:eastAsia="仿宋_GB2312"/>
          <w:b/>
          <w:sz w:val="30"/>
          <w:szCs w:val="30"/>
        </w:rPr>
        <w:t xml:space="preserve"> 上海市殡葬设施数据库建设和近期规划：</w:t>
      </w:r>
      <w:r>
        <w:rPr>
          <w:rFonts w:hint="eastAsia" w:ascii="仿宋_GB2312" w:hAnsi="仿宋" w:eastAsia="仿宋_GB2312"/>
          <w:sz w:val="30"/>
          <w:szCs w:val="30"/>
        </w:rPr>
        <w:t>开展殡葬设施数据库建设与维护，形成殡葬设施规划“一张图”，明确殡仪馆、农村公益性公墓和骨灰堂、城市公益性骨灰堂、经营性公墓和骨灰堂、回民公墓以及殡仪服务站等各类殡葬设施的用地规模和四至边界。落实“三区三线”等底线管控要求，严格落实永久基本农田、生态保护红线等管控要求，衔接道路红线、河道蓝线等规划控制线，防止发生殡葬设施非法占用耕地、林地、草地及自然保护地的现象。二是落实殡葬设施规模结构要求，明确全市殡葬设施的用地规模以及殡葬服务供给规模。结合区级殡葬设施布局专项规划，确定设施用地范围和四至边界，形成全市殡葬设施规划“一张图”，加强市、区两级殡葬设施布局的统筹衔接。衔接“十五五”规划，进一步明确至2030年，殡葬设施近期重点建设项目，做好计划安排，有序推进殡葬设施落地实施。</w:t>
      </w:r>
    </w:p>
    <w:p>
      <w:pPr>
        <w:spacing w:line="360" w:lineRule="auto"/>
        <w:ind w:firstLine="602" w:firstLineChars="200"/>
        <w:jc w:val="both"/>
        <w:rPr>
          <w:rFonts w:ascii="仿宋_GB2312" w:hAnsi="仿宋" w:eastAsia="仿宋_GB2312"/>
          <w:sz w:val="30"/>
          <w:szCs w:val="30"/>
        </w:rPr>
      </w:pPr>
      <w:r>
        <w:rPr>
          <w:rFonts w:ascii="仿宋_GB2312" w:hAnsi="仿宋" w:eastAsia="仿宋_GB2312"/>
          <w:b/>
          <w:sz w:val="30"/>
          <w:szCs w:val="30"/>
        </w:rPr>
        <w:t>4.</w:t>
      </w:r>
      <w:r>
        <w:rPr>
          <w:rFonts w:hint="eastAsia" w:ascii="仿宋_GB2312" w:hAnsi="仿宋" w:eastAsia="仿宋_GB2312"/>
          <w:b/>
          <w:sz w:val="30"/>
          <w:szCs w:val="30"/>
        </w:rPr>
        <w:t xml:space="preserve"> 2026年度上海新城绿环空间贯通与融合提升技术服务：</w:t>
      </w:r>
      <w:r>
        <w:rPr>
          <w:rFonts w:hint="eastAsia" w:ascii="仿宋_GB2312" w:hAnsi="仿宋" w:eastAsia="仿宋_GB2312"/>
          <w:sz w:val="30"/>
          <w:szCs w:val="30"/>
        </w:rPr>
        <w:t>具体内容包括三个方面，一是研究、完善形成上海新城绿环空间贯通与融合提升行动方案（2025-2027年），锚定新城绿环专项规划总体目标，整体谋划近3年、1年的新城绿环若干行动安排；二是开展上海新城绿环空间贯通与融合提升行动年度跟踪服务，推动行动方案编制实施，加强市区沟通、各部门协调和重大问题会商对接；三是开展系列宣贯推广活动，营造新城绿环建设实施的持续热度、提升公众参与度和社会影响力。</w:t>
      </w:r>
    </w:p>
    <w:p>
      <w:pPr>
        <w:spacing w:line="360" w:lineRule="auto"/>
        <w:ind w:firstLine="602" w:firstLineChars="200"/>
        <w:jc w:val="both"/>
        <w:rPr>
          <w:rFonts w:ascii="仿宋_GB2312" w:hAnsi="仿宋" w:eastAsia="仿宋_GB2312"/>
          <w:sz w:val="30"/>
          <w:szCs w:val="30"/>
        </w:rPr>
      </w:pPr>
      <w:r>
        <w:rPr>
          <w:rFonts w:ascii="仿宋_GB2312" w:hAnsi="仿宋" w:eastAsia="仿宋_GB2312"/>
          <w:b/>
          <w:sz w:val="30"/>
          <w:szCs w:val="30"/>
        </w:rPr>
        <w:t>5</w:t>
      </w:r>
      <w:r>
        <w:rPr>
          <w:rFonts w:hint="eastAsia" w:ascii="仿宋_GB2312" w:hAnsi="仿宋" w:eastAsia="仿宋_GB2312"/>
          <w:b/>
          <w:sz w:val="30"/>
          <w:szCs w:val="30"/>
        </w:rPr>
        <w:t>.</w:t>
      </w:r>
      <w:r>
        <w:rPr>
          <w:rFonts w:hint="eastAsia"/>
        </w:rPr>
        <w:t xml:space="preserve"> </w:t>
      </w:r>
      <w:r>
        <w:rPr>
          <w:rFonts w:hint="eastAsia" w:ascii="仿宋_GB2312" w:hAnsi="仿宋" w:eastAsia="仿宋_GB2312"/>
          <w:b/>
          <w:sz w:val="30"/>
          <w:szCs w:val="30"/>
        </w:rPr>
        <w:t>全市风帆运动总体格局及规划选址方案研究：</w:t>
      </w:r>
      <w:r>
        <w:rPr>
          <w:rFonts w:hint="eastAsia" w:ascii="仿宋_GB2312" w:hAnsi="仿宋" w:eastAsia="仿宋_GB2312"/>
          <w:sz w:val="30"/>
          <w:szCs w:val="30"/>
        </w:rPr>
        <w:t>聚焦风帆运动这一国际高端体育产业新赛道，系统开展全市风帆运动总体格局构建与规划场地选址研究，旨在为风帆运动预留战略空间，为空间规划提供科学依据，推动体育、文化、旅游与商业深度融合，培育城市发展新动能。具体包括三个方面，一是国内外案例研究。选取风帆运动发达且举办过国际风帆运动赛事的国内外城市开展案例研究，总结风帆运动场地、运营管理以及配套建设的特征和趋势，总结不同级别赛事、不同类型船只对于运动场地的选址要求和设施需求。二是选址需求调研与功能定位研究。梳理相关政策文件和规划成果，分析风帆行业发展现状及趋势，通过实地调研了解风帆运动发展导向和场地选址要求。研究上海风帆运动场地功能定位及周边地区发展的整体设想。三是选址方案和开发计划制定。深入评估在横沙外港地区预留风帆运动水域场地的可行性，同时开展多方案比选，经科学论证后确定选址方案，并提出建设布局的初步方案。结合实际需求，明确开发时序，制定近远期计划，提出实施运营建议。</w:t>
      </w:r>
    </w:p>
    <w:p>
      <w:pPr>
        <w:spacing w:line="360" w:lineRule="auto"/>
        <w:ind w:firstLine="560" w:firstLineChars="200"/>
        <w:jc w:val="both"/>
        <w:rPr>
          <w:rFonts w:ascii="黑体" w:hAnsi="黑体" w:eastAsia="黑体"/>
          <w:sz w:val="28"/>
          <w:szCs w:val="28"/>
        </w:rPr>
      </w:pPr>
      <w:r>
        <w:rPr>
          <w:rFonts w:hint="eastAsia" w:ascii="黑体" w:hAnsi="黑体" w:eastAsia="黑体"/>
          <w:sz w:val="28"/>
          <w:szCs w:val="28"/>
        </w:rPr>
        <w:t>三、成果要求</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形成《上海市韧性安全城市建设“十五五”规划》中“城市韧性安全空间布局体系”的规划文本内容、《上海市高校空间布局战略规划》文本、《上海市殡葬设施数据库说明和近期规划报告》、《上海新城绿环空间贯通与融合提升技术服务（2026年）》报告、《全市风帆运动总体格局及规划选址方案研究》报告等成果。</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成果形式包括打印的纸质文本和电子文件，电子文件应包括PDF文件和可编辑的WORD格式文件等。</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四、进度要求</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按照上海市规划和自然资源局具体工作时间要求推进，原则上于202</w:t>
      </w:r>
      <w:r>
        <w:rPr>
          <w:rFonts w:ascii="仿宋_GB2312" w:hAnsi="仿宋" w:eastAsia="仿宋_GB2312"/>
          <w:sz w:val="30"/>
          <w:szCs w:val="30"/>
        </w:rPr>
        <w:t>6</w:t>
      </w:r>
      <w:r>
        <w:rPr>
          <w:rFonts w:hint="eastAsia" w:ascii="仿宋_GB2312" w:hAnsi="仿宋" w:eastAsia="仿宋_GB2312"/>
          <w:sz w:val="30"/>
          <w:szCs w:val="30"/>
        </w:rPr>
        <w:t>年12月31日前完成并提交成果。</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五、资质要求</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lang w:eastAsia="zh-CN"/>
        </w:rPr>
        <w:t>具有</w:t>
      </w:r>
      <w:r>
        <w:rPr>
          <w:rFonts w:hint="eastAsia" w:ascii="仿宋_GB2312" w:hAnsi="仿宋" w:eastAsia="仿宋_GB2312"/>
          <w:sz w:val="30"/>
          <w:szCs w:val="30"/>
        </w:rPr>
        <w:t>城乡规划编制资质证书</w:t>
      </w:r>
      <w:bookmarkStart w:id="0" w:name="_GoBack"/>
      <w:r>
        <w:rPr>
          <w:rFonts w:hint="eastAsia" w:ascii="仿宋_GB2312" w:hAnsi="仿宋" w:eastAsia="仿宋_GB2312"/>
          <w:sz w:val="30"/>
          <w:szCs w:val="30"/>
        </w:rPr>
        <w:t>乙级及以上资质</w:t>
      </w:r>
      <w:bookmarkEnd w:id="0"/>
      <w:r>
        <w:rPr>
          <w:rFonts w:hint="eastAsia" w:ascii="仿宋_GB2312" w:hAnsi="仿宋" w:eastAsia="仿宋_GB2312"/>
          <w:sz w:val="30"/>
          <w:szCs w:val="30"/>
        </w:rPr>
        <w:t>。</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六、转包与分包</w:t>
      </w:r>
    </w:p>
    <w:p>
      <w:pPr>
        <w:spacing w:line="360" w:lineRule="auto"/>
        <w:ind w:firstLine="600" w:firstLineChars="200"/>
        <w:jc w:val="both"/>
        <w:rPr>
          <w:rFonts w:ascii="仿宋" w:hAnsi="仿宋" w:eastAsia="仿宋"/>
          <w:sz w:val="30"/>
          <w:szCs w:val="30"/>
        </w:rPr>
      </w:pPr>
      <w:r>
        <w:rPr>
          <w:rFonts w:hint="eastAsia" w:ascii="仿宋" w:hAnsi="仿宋" w:eastAsia="仿宋"/>
          <w:sz w:val="30"/>
          <w:szCs w:val="30"/>
        </w:rPr>
        <w:t>本项目合同不得转让、合同主体部分不得分包，合同非主体部分经采购人确认需要委托专项服务单位实行服务的则允许分包，允许分包的服务项内容为相关数据处理、分析、测算等技术支撑工作；分包承担主体应当具备相应资质条件且不得再次分包，除投标文件已载明分包的专项服务事项外，中标后一律不得对外分包。</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七、联合投标</w:t>
      </w:r>
    </w:p>
    <w:p>
      <w:pPr>
        <w:spacing w:line="360" w:lineRule="auto"/>
        <w:ind w:firstLine="600" w:firstLineChars="200"/>
        <w:jc w:val="both"/>
        <w:rPr>
          <w:rFonts w:ascii="仿宋" w:hAnsi="仿宋" w:eastAsia="仿宋"/>
          <w:sz w:val="30"/>
          <w:szCs w:val="30"/>
        </w:rPr>
      </w:pPr>
      <w:r>
        <w:rPr>
          <w:rFonts w:hint="eastAsia" w:ascii="仿宋_GB2312" w:hAnsi="仿宋" w:eastAsia="仿宋_GB2312"/>
          <w:sz w:val="30"/>
          <w:szCs w:val="30"/>
        </w:rPr>
        <w:t>本项目接受（不）联合投标</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八、人员组织要求</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1、项目组人员数量和专业组成结构等方面应满足本项目服务需求，供应商应提供负责本项目的服务团队人数（不包含项目负责人）不少于8人，具有城乡规划、交通等</w:t>
      </w:r>
      <w:r>
        <w:rPr>
          <w:rFonts w:hint="eastAsia" w:ascii="仿宋_GB2312" w:hAnsi="仿宋" w:eastAsia="仿宋_GB2312"/>
          <w:sz w:val="30"/>
          <w:szCs w:val="30"/>
          <w:lang w:eastAsia="zh-CN"/>
        </w:rPr>
        <w:t>相关专业</w:t>
      </w:r>
      <w:r>
        <w:rPr>
          <w:rFonts w:hint="eastAsia" w:ascii="仿宋_GB2312" w:hAnsi="仿宋" w:eastAsia="仿宋_GB2312"/>
          <w:sz w:val="30"/>
          <w:szCs w:val="30"/>
        </w:rPr>
        <w:t>高级职称证书或硕士及以上学历人数不少于5人的优先考虑。在服务期限内，项目组人员应保持相对稳定，以保证服务工作的正常进行。</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2、项目负责人需具有注册城乡规划师证书；从事城乡规划相关技术工作八年以上，具有高级工程师职称。</w:t>
      </w:r>
    </w:p>
    <w:p>
      <w:pPr>
        <w:spacing w:line="360" w:lineRule="auto"/>
        <w:ind w:firstLine="562" w:firstLineChars="200"/>
        <w:jc w:val="both"/>
        <w:rPr>
          <w:rFonts w:ascii="仿宋_GB2312" w:hAnsi="宋体" w:eastAsia="仿宋_GB2312"/>
          <w:b/>
          <w:sz w:val="28"/>
          <w:szCs w:val="28"/>
        </w:rPr>
      </w:pPr>
      <w:r>
        <w:rPr>
          <w:rFonts w:hint="eastAsia" w:ascii="仿宋_GB2312" w:hAnsi="宋体" w:eastAsia="仿宋_GB2312"/>
          <w:b/>
          <w:sz w:val="28"/>
          <w:szCs w:val="28"/>
        </w:rPr>
        <w:t>八、其他要求</w:t>
      </w:r>
    </w:p>
    <w:p>
      <w:pPr>
        <w:spacing w:line="360" w:lineRule="auto"/>
        <w:ind w:firstLine="600" w:firstLineChars="200"/>
        <w:jc w:val="both"/>
        <w:rPr>
          <w:rFonts w:ascii="仿宋_GB2312" w:hAnsi="仿宋" w:eastAsia="仿宋_GB2312"/>
          <w:sz w:val="30"/>
          <w:szCs w:val="30"/>
        </w:rPr>
      </w:pPr>
      <w:r>
        <w:rPr>
          <w:rFonts w:hint="eastAsia" w:ascii="仿宋_GB2312" w:hAnsi="仿宋" w:eastAsia="仿宋_GB2312"/>
          <w:sz w:val="30"/>
          <w:szCs w:val="30"/>
        </w:rPr>
        <w:t>1、根据上海市规划和自然资源局相关工作要求变化即时做出工作调整。</w:t>
      </w:r>
    </w:p>
    <w:p>
      <w:pPr>
        <w:spacing w:line="360" w:lineRule="auto"/>
        <w:ind w:firstLine="600" w:firstLineChars="200"/>
        <w:jc w:val="both"/>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、项目实施过程中应严格遵守国家和地方有关安全生产规定。</w:t>
      </w:r>
    </w:p>
    <w:p>
      <w:pPr>
        <w:spacing w:line="360" w:lineRule="auto"/>
        <w:ind w:firstLine="600" w:firstLineChars="200"/>
        <w:jc w:val="both"/>
        <w:rPr>
          <w:rFonts w:hint="eastAsia"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、严格遵守保密要求，未经委托人许可，中标单位不得向第三方泄露与本工作相关的任何资料、数据和成果。</w:t>
      </w:r>
    </w:p>
    <w:p>
      <w:pPr>
        <w:spacing w:line="360" w:lineRule="auto"/>
        <w:ind w:firstLine="600" w:firstLineChars="200"/>
        <w:jc w:val="both"/>
        <w:rPr>
          <w:rFonts w:hint="eastAsia" w:ascii="仿宋_GB2312" w:hAnsi="仿宋" w:eastAsia="仿宋_GB2312"/>
          <w:sz w:val="30"/>
          <w:szCs w:val="30"/>
        </w:rPr>
      </w:pPr>
      <w:r>
        <w:rPr>
          <w:rFonts w:hint="eastAsia" w:ascii="仿宋_GB2312" w:hAnsi="仿宋" w:eastAsia="仿宋_GB2312"/>
          <w:sz w:val="30"/>
          <w:szCs w:val="30"/>
          <w:lang w:val="en-US" w:eastAsia="zh-CN"/>
        </w:rPr>
        <w:t>4、</w:t>
      </w:r>
      <w:r>
        <w:rPr>
          <w:rFonts w:hint="eastAsia" w:ascii="仿宋_GB2312" w:hAnsi="仿宋" w:eastAsia="仿宋_GB2312"/>
          <w:sz w:val="30"/>
          <w:szCs w:val="30"/>
        </w:rPr>
        <w:t>供应商具有ISO9001质量管理体系认证证书、类似项目获奖证书的优先考虑。</w:t>
      </w:r>
    </w:p>
    <w:p>
      <w:pPr>
        <w:spacing w:line="360" w:lineRule="auto"/>
        <w:ind w:firstLine="600" w:firstLineChars="200"/>
        <w:jc w:val="both"/>
        <w:rPr>
          <w:rFonts w:ascii="仿宋_GB2312" w:hAnsi="仿宋" w:eastAsia="仿宋_GB2312"/>
          <w:sz w:val="30"/>
          <w:szCs w:val="30"/>
        </w:rPr>
      </w:pPr>
    </w:p>
    <w:sectPr>
      <w:footerReference r:id="rId4" w:type="default"/>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260329"/>
      <w:docPartObj>
        <w:docPartGallery w:val="autotext"/>
      </w:docPartObj>
    </w:sdtPr>
    <w:sdtContent>
      <w:p>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EE7"/>
    <w:rsid w:val="00001CFC"/>
    <w:rsid w:val="00002517"/>
    <w:rsid w:val="00006BC8"/>
    <w:rsid w:val="000135F4"/>
    <w:rsid w:val="00022264"/>
    <w:rsid w:val="00027EFA"/>
    <w:rsid w:val="00034DEB"/>
    <w:rsid w:val="00041B50"/>
    <w:rsid w:val="00042C1B"/>
    <w:rsid w:val="00051366"/>
    <w:rsid w:val="00054DCA"/>
    <w:rsid w:val="00065710"/>
    <w:rsid w:val="000719E3"/>
    <w:rsid w:val="0007429E"/>
    <w:rsid w:val="0007647B"/>
    <w:rsid w:val="00076737"/>
    <w:rsid w:val="00080B15"/>
    <w:rsid w:val="000849E2"/>
    <w:rsid w:val="000879D5"/>
    <w:rsid w:val="000919CC"/>
    <w:rsid w:val="0009258E"/>
    <w:rsid w:val="000955B8"/>
    <w:rsid w:val="00096699"/>
    <w:rsid w:val="000A05AA"/>
    <w:rsid w:val="000A37D1"/>
    <w:rsid w:val="000A513E"/>
    <w:rsid w:val="000B4725"/>
    <w:rsid w:val="000B5E15"/>
    <w:rsid w:val="000C35C1"/>
    <w:rsid w:val="000C4CD7"/>
    <w:rsid w:val="000D1371"/>
    <w:rsid w:val="000D710C"/>
    <w:rsid w:val="000D7617"/>
    <w:rsid w:val="000F2E72"/>
    <w:rsid w:val="000F47F7"/>
    <w:rsid w:val="0010011F"/>
    <w:rsid w:val="001100E5"/>
    <w:rsid w:val="00111B0E"/>
    <w:rsid w:val="001252D4"/>
    <w:rsid w:val="00133628"/>
    <w:rsid w:val="00133ED2"/>
    <w:rsid w:val="0015054D"/>
    <w:rsid w:val="001576C2"/>
    <w:rsid w:val="0016177B"/>
    <w:rsid w:val="0016263B"/>
    <w:rsid w:val="00163FDA"/>
    <w:rsid w:val="001659BA"/>
    <w:rsid w:val="00165CDA"/>
    <w:rsid w:val="00166161"/>
    <w:rsid w:val="00166B6E"/>
    <w:rsid w:val="001719AD"/>
    <w:rsid w:val="001724AE"/>
    <w:rsid w:val="00176C08"/>
    <w:rsid w:val="00177F69"/>
    <w:rsid w:val="00182E71"/>
    <w:rsid w:val="001843FA"/>
    <w:rsid w:val="0018485E"/>
    <w:rsid w:val="00193130"/>
    <w:rsid w:val="00193F94"/>
    <w:rsid w:val="00195494"/>
    <w:rsid w:val="00197D3D"/>
    <w:rsid w:val="001A0707"/>
    <w:rsid w:val="001A0D30"/>
    <w:rsid w:val="001A4AE0"/>
    <w:rsid w:val="001A5668"/>
    <w:rsid w:val="001A64F6"/>
    <w:rsid w:val="001B020E"/>
    <w:rsid w:val="001B0B96"/>
    <w:rsid w:val="001B11F6"/>
    <w:rsid w:val="001B6F06"/>
    <w:rsid w:val="001C1742"/>
    <w:rsid w:val="001C1986"/>
    <w:rsid w:val="001D1F1B"/>
    <w:rsid w:val="001D4FA1"/>
    <w:rsid w:val="001E2C78"/>
    <w:rsid w:val="001E7032"/>
    <w:rsid w:val="001E7E8E"/>
    <w:rsid w:val="001F496E"/>
    <w:rsid w:val="001F6999"/>
    <w:rsid w:val="0020085E"/>
    <w:rsid w:val="00205796"/>
    <w:rsid w:val="00206FB2"/>
    <w:rsid w:val="002133F4"/>
    <w:rsid w:val="00213878"/>
    <w:rsid w:val="002175BB"/>
    <w:rsid w:val="00220CDA"/>
    <w:rsid w:val="00230693"/>
    <w:rsid w:val="00231093"/>
    <w:rsid w:val="0023230D"/>
    <w:rsid w:val="002329A6"/>
    <w:rsid w:val="00236C08"/>
    <w:rsid w:val="0023733C"/>
    <w:rsid w:val="00237DA1"/>
    <w:rsid w:val="00237F8A"/>
    <w:rsid w:val="00240662"/>
    <w:rsid w:val="002503FD"/>
    <w:rsid w:val="002600EA"/>
    <w:rsid w:val="00261CB2"/>
    <w:rsid w:val="00263EE1"/>
    <w:rsid w:val="002673BC"/>
    <w:rsid w:val="002710AD"/>
    <w:rsid w:val="002757AD"/>
    <w:rsid w:val="00280BD5"/>
    <w:rsid w:val="0028136E"/>
    <w:rsid w:val="00282285"/>
    <w:rsid w:val="002837D8"/>
    <w:rsid w:val="0028661C"/>
    <w:rsid w:val="00291E8E"/>
    <w:rsid w:val="002A0B7D"/>
    <w:rsid w:val="002A1DBA"/>
    <w:rsid w:val="002A67A8"/>
    <w:rsid w:val="002A6FC2"/>
    <w:rsid w:val="002C2EB2"/>
    <w:rsid w:val="002D5811"/>
    <w:rsid w:val="002D6E2C"/>
    <w:rsid w:val="002E7B8F"/>
    <w:rsid w:val="002F0476"/>
    <w:rsid w:val="002F4574"/>
    <w:rsid w:val="002F6D3A"/>
    <w:rsid w:val="002F6FEA"/>
    <w:rsid w:val="0030005B"/>
    <w:rsid w:val="0030044C"/>
    <w:rsid w:val="00302458"/>
    <w:rsid w:val="00320701"/>
    <w:rsid w:val="00323B43"/>
    <w:rsid w:val="00324287"/>
    <w:rsid w:val="00334FB5"/>
    <w:rsid w:val="0033581D"/>
    <w:rsid w:val="003428F1"/>
    <w:rsid w:val="003430DA"/>
    <w:rsid w:val="0034378A"/>
    <w:rsid w:val="003452AE"/>
    <w:rsid w:val="00354379"/>
    <w:rsid w:val="00354C85"/>
    <w:rsid w:val="00355E0E"/>
    <w:rsid w:val="003815D3"/>
    <w:rsid w:val="003832FF"/>
    <w:rsid w:val="0039213A"/>
    <w:rsid w:val="00395920"/>
    <w:rsid w:val="00396D67"/>
    <w:rsid w:val="003A0575"/>
    <w:rsid w:val="003A1D5D"/>
    <w:rsid w:val="003A3F85"/>
    <w:rsid w:val="003A7BE0"/>
    <w:rsid w:val="003A7CA5"/>
    <w:rsid w:val="003B4970"/>
    <w:rsid w:val="003B6DDC"/>
    <w:rsid w:val="003B7E3D"/>
    <w:rsid w:val="003C1A86"/>
    <w:rsid w:val="003C1C9A"/>
    <w:rsid w:val="003C5570"/>
    <w:rsid w:val="003C6FCB"/>
    <w:rsid w:val="003D37D8"/>
    <w:rsid w:val="003E04B7"/>
    <w:rsid w:val="003E49F5"/>
    <w:rsid w:val="003F246A"/>
    <w:rsid w:val="003F639E"/>
    <w:rsid w:val="00400F5E"/>
    <w:rsid w:val="004013DB"/>
    <w:rsid w:val="00402166"/>
    <w:rsid w:val="00402900"/>
    <w:rsid w:val="00402927"/>
    <w:rsid w:val="004173FF"/>
    <w:rsid w:val="00427C85"/>
    <w:rsid w:val="004329B6"/>
    <w:rsid w:val="004358AB"/>
    <w:rsid w:val="00440C95"/>
    <w:rsid w:val="00440DA8"/>
    <w:rsid w:val="00445138"/>
    <w:rsid w:val="004453A6"/>
    <w:rsid w:val="00454CC1"/>
    <w:rsid w:val="00457F74"/>
    <w:rsid w:val="00463BC2"/>
    <w:rsid w:val="004649EA"/>
    <w:rsid w:val="00465B11"/>
    <w:rsid w:val="00465EED"/>
    <w:rsid w:val="004660FE"/>
    <w:rsid w:val="004721BB"/>
    <w:rsid w:val="004755AE"/>
    <w:rsid w:val="00476365"/>
    <w:rsid w:val="004903AE"/>
    <w:rsid w:val="00492223"/>
    <w:rsid w:val="00492298"/>
    <w:rsid w:val="004927ED"/>
    <w:rsid w:val="00492CA7"/>
    <w:rsid w:val="004946D3"/>
    <w:rsid w:val="004A2EC8"/>
    <w:rsid w:val="004A3AF5"/>
    <w:rsid w:val="004A4F45"/>
    <w:rsid w:val="004B6C5B"/>
    <w:rsid w:val="004C031E"/>
    <w:rsid w:val="004C633D"/>
    <w:rsid w:val="004C71FE"/>
    <w:rsid w:val="004D09C0"/>
    <w:rsid w:val="004D2123"/>
    <w:rsid w:val="004D7B0E"/>
    <w:rsid w:val="004E0742"/>
    <w:rsid w:val="004E1E8C"/>
    <w:rsid w:val="004E2BBA"/>
    <w:rsid w:val="004E5FA0"/>
    <w:rsid w:val="004F1F0B"/>
    <w:rsid w:val="0050111E"/>
    <w:rsid w:val="00501E21"/>
    <w:rsid w:val="005110DB"/>
    <w:rsid w:val="005238F9"/>
    <w:rsid w:val="00523D33"/>
    <w:rsid w:val="00541E10"/>
    <w:rsid w:val="00543E06"/>
    <w:rsid w:val="0054550C"/>
    <w:rsid w:val="00545745"/>
    <w:rsid w:val="00546325"/>
    <w:rsid w:val="00550C5A"/>
    <w:rsid w:val="00556CD7"/>
    <w:rsid w:val="00556D04"/>
    <w:rsid w:val="0055700C"/>
    <w:rsid w:val="00580717"/>
    <w:rsid w:val="005812EE"/>
    <w:rsid w:val="0058199F"/>
    <w:rsid w:val="00584703"/>
    <w:rsid w:val="00590957"/>
    <w:rsid w:val="00590BDA"/>
    <w:rsid w:val="005A2F6B"/>
    <w:rsid w:val="005A7DB6"/>
    <w:rsid w:val="005B1D98"/>
    <w:rsid w:val="005B582B"/>
    <w:rsid w:val="005C0E1E"/>
    <w:rsid w:val="005C44A0"/>
    <w:rsid w:val="005C4784"/>
    <w:rsid w:val="005C7418"/>
    <w:rsid w:val="005D1754"/>
    <w:rsid w:val="005D3573"/>
    <w:rsid w:val="005D6A98"/>
    <w:rsid w:val="005E0131"/>
    <w:rsid w:val="005E0689"/>
    <w:rsid w:val="005E4507"/>
    <w:rsid w:val="005E78B3"/>
    <w:rsid w:val="005F58EF"/>
    <w:rsid w:val="005F5DB5"/>
    <w:rsid w:val="005F7386"/>
    <w:rsid w:val="00601A8F"/>
    <w:rsid w:val="00603B8F"/>
    <w:rsid w:val="00612F38"/>
    <w:rsid w:val="0061645D"/>
    <w:rsid w:val="00621AE5"/>
    <w:rsid w:val="00621EE7"/>
    <w:rsid w:val="006228C0"/>
    <w:rsid w:val="00624294"/>
    <w:rsid w:val="00627C0C"/>
    <w:rsid w:val="00634332"/>
    <w:rsid w:val="00647979"/>
    <w:rsid w:val="006530A5"/>
    <w:rsid w:val="00653A68"/>
    <w:rsid w:val="0065447A"/>
    <w:rsid w:val="00656336"/>
    <w:rsid w:val="00660428"/>
    <w:rsid w:val="0066460C"/>
    <w:rsid w:val="00670F4E"/>
    <w:rsid w:val="00671E59"/>
    <w:rsid w:val="00672210"/>
    <w:rsid w:val="006756AB"/>
    <w:rsid w:val="00676AA5"/>
    <w:rsid w:val="00680498"/>
    <w:rsid w:val="00692426"/>
    <w:rsid w:val="0069376E"/>
    <w:rsid w:val="00695C52"/>
    <w:rsid w:val="00695DB5"/>
    <w:rsid w:val="00696DE9"/>
    <w:rsid w:val="00697B4F"/>
    <w:rsid w:val="006A4530"/>
    <w:rsid w:val="006A4B1A"/>
    <w:rsid w:val="006B21AA"/>
    <w:rsid w:val="006B2466"/>
    <w:rsid w:val="006B7BEF"/>
    <w:rsid w:val="006C074D"/>
    <w:rsid w:val="006C62F0"/>
    <w:rsid w:val="006C77AF"/>
    <w:rsid w:val="006D28C7"/>
    <w:rsid w:val="006D3548"/>
    <w:rsid w:val="006D66E0"/>
    <w:rsid w:val="006D7277"/>
    <w:rsid w:val="00700C4B"/>
    <w:rsid w:val="00701AED"/>
    <w:rsid w:val="007045C6"/>
    <w:rsid w:val="00705306"/>
    <w:rsid w:val="0070708F"/>
    <w:rsid w:val="007148C3"/>
    <w:rsid w:val="0071562E"/>
    <w:rsid w:val="00715A91"/>
    <w:rsid w:val="007172B5"/>
    <w:rsid w:val="007274DB"/>
    <w:rsid w:val="00732889"/>
    <w:rsid w:val="00733A03"/>
    <w:rsid w:val="007353CD"/>
    <w:rsid w:val="00747142"/>
    <w:rsid w:val="00755159"/>
    <w:rsid w:val="00761A1C"/>
    <w:rsid w:val="00762D45"/>
    <w:rsid w:val="007652C0"/>
    <w:rsid w:val="0076647E"/>
    <w:rsid w:val="007704E1"/>
    <w:rsid w:val="007734AC"/>
    <w:rsid w:val="0077530C"/>
    <w:rsid w:val="00775D84"/>
    <w:rsid w:val="00776996"/>
    <w:rsid w:val="00785754"/>
    <w:rsid w:val="00790E8E"/>
    <w:rsid w:val="00792109"/>
    <w:rsid w:val="007936E6"/>
    <w:rsid w:val="00797C0B"/>
    <w:rsid w:val="007A097D"/>
    <w:rsid w:val="007A0E32"/>
    <w:rsid w:val="007B455D"/>
    <w:rsid w:val="007B59EA"/>
    <w:rsid w:val="007C07F6"/>
    <w:rsid w:val="007C1A14"/>
    <w:rsid w:val="007C1AE1"/>
    <w:rsid w:val="007C283C"/>
    <w:rsid w:val="007D0D30"/>
    <w:rsid w:val="007D3416"/>
    <w:rsid w:val="007D3EFB"/>
    <w:rsid w:val="007D4C64"/>
    <w:rsid w:val="007D5285"/>
    <w:rsid w:val="007D74B7"/>
    <w:rsid w:val="007E1E80"/>
    <w:rsid w:val="007E3B6A"/>
    <w:rsid w:val="007E66A3"/>
    <w:rsid w:val="007F1B21"/>
    <w:rsid w:val="007F1E32"/>
    <w:rsid w:val="007F417D"/>
    <w:rsid w:val="0080085D"/>
    <w:rsid w:val="008108D1"/>
    <w:rsid w:val="0081151E"/>
    <w:rsid w:val="008161A4"/>
    <w:rsid w:val="008271BA"/>
    <w:rsid w:val="00834A7F"/>
    <w:rsid w:val="0084080B"/>
    <w:rsid w:val="00841398"/>
    <w:rsid w:val="00842841"/>
    <w:rsid w:val="00846A71"/>
    <w:rsid w:val="00850C37"/>
    <w:rsid w:val="00851814"/>
    <w:rsid w:val="008702F8"/>
    <w:rsid w:val="0087271A"/>
    <w:rsid w:val="00873045"/>
    <w:rsid w:val="00880394"/>
    <w:rsid w:val="00887664"/>
    <w:rsid w:val="008876E5"/>
    <w:rsid w:val="008916B0"/>
    <w:rsid w:val="00896A37"/>
    <w:rsid w:val="00897406"/>
    <w:rsid w:val="008A1384"/>
    <w:rsid w:val="008A2236"/>
    <w:rsid w:val="008A22CE"/>
    <w:rsid w:val="008A28C8"/>
    <w:rsid w:val="008B6242"/>
    <w:rsid w:val="008B7726"/>
    <w:rsid w:val="008C136A"/>
    <w:rsid w:val="008D06DD"/>
    <w:rsid w:val="008D5CE9"/>
    <w:rsid w:val="008E0343"/>
    <w:rsid w:val="008E1C94"/>
    <w:rsid w:val="008E2089"/>
    <w:rsid w:val="008E314C"/>
    <w:rsid w:val="008E3620"/>
    <w:rsid w:val="008F0477"/>
    <w:rsid w:val="008F1423"/>
    <w:rsid w:val="008F3079"/>
    <w:rsid w:val="008F4F88"/>
    <w:rsid w:val="0090292E"/>
    <w:rsid w:val="00903F52"/>
    <w:rsid w:val="00907905"/>
    <w:rsid w:val="00910F2E"/>
    <w:rsid w:val="009244F5"/>
    <w:rsid w:val="00931D26"/>
    <w:rsid w:val="00932DB8"/>
    <w:rsid w:val="00934C30"/>
    <w:rsid w:val="009413D0"/>
    <w:rsid w:val="009428AB"/>
    <w:rsid w:val="009442F6"/>
    <w:rsid w:val="0095250D"/>
    <w:rsid w:val="00955542"/>
    <w:rsid w:val="009627A1"/>
    <w:rsid w:val="0096521A"/>
    <w:rsid w:val="00965BBD"/>
    <w:rsid w:val="00965C44"/>
    <w:rsid w:val="00970D73"/>
    <w:rsid w:val="00973DC1"/>
    <w:rsid w:val="0097711E"/>
    <w:rsid w:val="009809C2"/>
    <w:rsid w:val="009955FF"/>
    <w:rsid w:val="00996EBB"/>
    <w:rsid w:val="009A32D5"/>
    <w:rsid w:val="009A530F"/>
    <w:rsid w:val="009A5C80"/>
    <w:rsid w:val="009B3008"/>
    <w:rsid w:val="009B5841"/>
    <w:rsid w:val="009C5DA9"/>
    <w:rsid w:val="009C5DD3"/>
    <w:rsid w:val="009D16EE"/>
    <w:rsid w:val="009D1A4C"/>
    <w:rsid w:val="009E00AB"/>
    <w:rsid w:val="009E43E4"/>
    <w:rsid w:val="009F025B"/>
    <w:rsid w:val="009F4CF3"/>
    <w:rsid w:val="00A013BD"/>
    <w:rsid w:val="00A0302E"/>
    <w:rsid w:val="00A05825"/>
    <w:rsid w:val="00A066A8"/>
    <w:rsid w:val="00A14B44"/>
    <w:rsid w:val="00A25108"/>
    <w:rsid w:val="00A313CE"/>
    <w:rsid w:val="00A316A0"/>
    <w:rsid w:val="00A33B01"/>
    <w:rsid w:val="00A35EFE"/>
    <w:rsid w:val="00A368D6"/>
    <w:rsid w:val="00A44EC0"/>
    <w:rsid w:val="00A456AF"/>
    <w:rsid w:val="00A50F0F"/>
    <w:rsid w:val="00A520F2"/>
    <w:rsid w:val="00A52F29"/>
    <w:rsid w:val="00A5511F"/>
    <w:rsid w:val="00A664B1"/>
    <w:rsid w:val="00A71FB4"/>
    <w:rsid w:val="00A71FEC"/>
    <w:rsid w:val="00A72DED"/>
    <w:rsid w:val="00A72E10"/>
    <w:rsid w:val="00A74CE5"/>
    <w:rsid w:val="00A75F53"/>
    <w:rsid w:val="00A80888"/>
    <w:rsid w:val="00A90CB8"/>
    <w:rsid w:val="00A9210C"/>
    <w:rsid w:val="00A939FF"/>
    <w:rsid w:val="00A97E6F"/>
    <w:rsid w:val="00AA05A3"/>
    <w:rsid w:val="00AA08D3"/>
    <w:rsid w:val="00AA15E5"/>
    <w:rsid w:val="00AA7552"/>
    <w:rsid w:val="00AA778B"/>
    <w:rsid w:val="00AA7967"/>
    <w:rsid w:val="00AB247E"/>
    <w:rsid w:val="00AB3C13"/>
    <w:rsid w:val="00AB7C92"/>
    <w:rsid w:val="00AC22AF"/>
    <w:rsid w:val="00AD2394"/>
    <w:rsid w:val="00AD50A0"/>
    <w:rsid w:val="00AD62A8"/>
    <w:rsid w:val="00AE0D61"/>
    <w:rsid w:val="00AE476A"/>
    <w:rsid w:val="00AE6A52"/>
    <w:rsid w:val="00AF2796"/>
    <w:rsid w:val="00AF2E90"/>
    <w:rsid w:val="00B0217E"/>
    <w:rsid w:val="00B07EBD"/>
    <w:rsid w:val="00B113D9"/>
    <w:rsid w:val="00B11DE5"/>
    <w:rsid w:val="00B136C1"/>
    <w:rsid w:val="00B17325"/>
    <w:rsid w:val="00B1756E"/>
    <w:rsid w:val="00B22958"/>
    <w:rsid w:val="00B23973"/>
    <w:rsid w:val="00B36F9E"/>
    <w:rsid w:val="00B404D1"/>
    <w:rsid w:val="00B50A53"/>
    <w:rsid w:val="00B51C8E"/>
    <w:rsid w:val="00B60106"/>
    <w:rsid w:val="00B63E63"/>
    <w:rsid w:val="00B6653C"/>
    <w:rsid w:val="00B70998"/>
    <w:rsid w:val="00B71A6D"/>
    <w:rsid w:val="00B71D1B"/>
    <w:rsid w:val="00B74446"/>
    <w:rsid w:val="00B82653"/>
    <w:rsid w:val="00B84A1C"/>
    <w:rsid w:val="00B91327"/>
    <w:rsid w:val="00B92309"/>
    <w:rsid w:val="00B94E8D"/>
    <w:rsid w:val="00BA351D"/>
    <w:rsid w:val="00BA4536"/>
    <w:rsid w:val="00BA5228"/>
    <w:rsid w:val="00BB0C99"/>
    <w:rsid w:val="00BB18AD"/>
    <w:rsid w:val="00BB39CC"/>
    <w:rsid w:val="00BC05FB"/>
    <w:rsid w:val="00BC34A7"/>
    <w:rsid w:val="00BC3610"/>
    <w:rsid w:val="00BC6A7E"/>
    <w:rsid w:val="00BC764C"/>
    <w:rsid w:val="00BD387F"/>
    <w:rsid w:val="00BD7595"/>
    <w:rsid w:val="00BE5B25"/>
    <w:rsid w:val="00BE5E5D"/>
    <w:rsid w:val="00BF55F3"/>
    <w:rsid w:val="00C0776A"/>
    <w:rsid w:val="00C12577"/>
    <w:rsid w:val="00C1720A"/>
    <w:rsid w:val="00C302EB"/>
    <w:rsid w:val="00C30A5C"/>
    <w:rsid w:val="00C317BF"/>
    <w:rsid w:val="00C32FA2"/>
    <w:rsid w:val="00C41135"/>
    <w:rsid w:val="00C41D2B"/>
    <w:rsid w:val="00C5096B"/>
    <w:rsid w:val="00C52B03"/>
    <w:rsid w:val="00C52DCA"/>
    <w:rsid w:val="00C543BE"/>
    <w:rsid w:val="00C5457E"/>
    <w:rsid w:val="00C636D3"/>
    <w:rsid w:val="00C649E3"/>
    <w:rsid w:val="00C65A74"/>
    <w:rsid w:val="00C706DE"/>
    <w:rsid w:val="00C77B6B"/>
    <w:rsid w:val="00C8024C"/>
    <w:rsid w:val="00C810A4"/>
    <w:rsid w:val="00C83C34"/>
    <w:rsid w:val="00C93B77"/>
    <w:rsid w:val="00C95F1F"/>
    <w:rsid w:val="00CA4578"/>
    <w:rsid w:val="00CB16B9"/>
    <w:rsid w:val="00CB3EE7"/>
    <w:rsid w:val="00CC1D91"/>
    <w:rsid w:val="00CC1F67"/>
    <w:rsid w:val="00CC2550"/>
    <w:rsid w:val="00CC35FA"/>
    <w:rsid w:val="00CC5A7A"/>
    <w:rsid w:val="00CC7E38"/>
    <w:rsid w:val="00CD0E25"/>
    <w:rsid w:val="00CD2068"/>
    <w:rsid w:val="00CD739B"/>
    <w:rsid w:val="00CE0070"/>
    <w:rsid w:val="00CE3463"/>
    <w:rsid w:val="00CE36AF"/>
    <w:rsid w:val="00CE4866"/>
    <w:rsid w:val="00CE5B8A"/>
    <w:rsid w:val="00CE788F"/>
    <w:rsid w:val="00CF0980"/>
    <w:rsid w:val="00D0536D"/>
    <w:rsid w:val="00D06333"/>
    <w:rsid w:val="00D11DA5"/>
    <w:rsid w:val="00D13C30"/>
    <w:rsid w:val="00D13EE9"/>
    <w:rsid w:val="00D15E7F"/>
    <w:rsid w:val="00D2051C"/>
    <w:rsid w:val="00D218AD"/>
    <w:rsid w:val="00D307D7"/>
    <w:rsid w:val="00D30BA8"/>
    <w:rsid w:val="00D36025"/>
    <w:rsid w:val="00D37153"/>
    <w:rsid w:val="00D419A4"/>
    <w:rsid w:val="00D42991"/>
    <w:rsid w:val="00D441B3"/>
    <w:rsid w:val="00D477FC"/>
    <w:rsid w:val="00D5398C"/>
    <w:rsid w:val="00D55457"/>
    <w:rsid w:val="00D605E5"/>
    <w:rsid w:val="00D734F7"/>
    <w:rsid w:val="00D766E3"/>
    <w:rsid w:val="00D8643C"/>
    <w:rsid w:val="00D9370E"/>
    <w:rsid w:val="00D93C7F"/>
    <w:rsid w:val="00DA01E3"/>
    <w:rsid w:val="00DA02A5"/>
    <w:rsid w:val="00DA2137"/>
    <w:rsid w:val="00DA632E"/>
    <w:rsid w:val="00DA6EB2"/>
    <w:rsid w:val="00DB0F36"/>
    <w:rsid w:val="00DB519D"/>
    <w:rsid w:val="00DB7007"/>
    <w:rsid w:val="00DB766C"/>
    <w:rsid w:val="00DC0917"/>
    <w:rsid w:val="00DC11D8"/>
    <w:rsid w:val="00DC4CAE"/>
    <w:rsid w:val="00DD2DCA"/>
    <w:rsid w:val="00DD405C"/>
    <w:rsid w:val="00DD5008"/>
    <w:rsid w:val="00DD5601"/>
    <w:rsid w:val="00DD78FF"/>
    <w:rsid w:val="00DE349D"/>
    <w:rsid w:val="00DE5D07"/>
    <w:rsid w:val="00DF26E9"/>
    <w:rsid w:val="00DF29D9"/>
    <w:rsid w:val="00DF505E"/>
    <w:rsid w:val="00DF7808"/>
    <w:rsid w:val="00E01DE8"/>
    <w:rsid w:val="00E04C6A"/>
    <w:rsid w:val="00E102F4"/>
    <w:rsid w:val="00E12E29"/>
    <w:rsid w:val="00E14BB5"/>
    <w:rsid w:val="00E17155"/>
    <w:rsid w:val="00E24427"/>
    <w:rsid w:val="00E32EBA"/>
    <w:rsid w:val="00E34F94"/>
    <w:rsid w:val="00E4051C"/>
    <w:rsid w:val="00E41818"/>
    <w:rsid w:val="00E4292D"/>
    <w:rsid w:val="00E50053"/>
    <w:rsid w:val="00E51242"/>
    <w:rsid w:val="00E51988"/>
    <w:rsid w:val="00E55E87"/>
    <w:rsid w:val="00E60471"/>
    <w:rsid w:val="00E66BD2"/>
    <w:rsid w:val="00E7222A"/>
    <w:rsid w:val="00E72956"/>
    <w:rsid w:val="00E72DDE"/>
    <w:rsid w:val="00E74855"/>
    <w:rsid w:val="00E75DC5"/>
    <w:rsid w:val="00E76E9D"/>
    <w:rsid w:val="00E85BB6"/>
    <w:rsid w:val="00E932AD"/>
    <w:rsid w:val="00EA042F"/>
    <w:rsid w:val="00EA2CCE"/>
    <w:rsid w:val="00EB3E2E"/>
    <w:rsid w:val="00EC12C9"/>
    <w:rsid w:val="00EC7F04"/>
    <w:rsid w:val="00ED275F"/>
    <w:rsid w:val="00ED3CB5"/>
    <w:rsid w:val="00ED79D2"/>
    <w:rsid w:val="00EE01FB"/>
    <w:rsid w:val="00EE3555"/>
    <w:rsid w:val="00EF239A"/>
    <w:rsid w:val="00EF2CE5"/>
    <w:rsid w:val="00EF3A28"/>
    <w:rsid w:val="00EF501E"/>
    <w:rsid w:val="00EF70C0"/>
    <w:rsid w:val="00EF7A8E"/>
    <w:rsid w:val="00F06E02"/>
    <w:rsid w:val="00F102DD"/>
    <w:rsid w:val="00F15174"/>
    <w:rsid w:val="00F16331"/>
    <w:rsid w:val="00F16498"/>
    <w:rsid w:val="00F233B9"/>
    <w:rsid w:val="00F26B4D"/>
    <w:rsid w:val="00F26B7C"/>
    <w:rsid w:val="00F27CF0"/>
    <w:rsid w:val="00F40178"/>
    <w:rsid w:val="00F46BC4"/>
    <w:rsid w:val="00F51AF6"/>
    <w:rsid w:val="00F61CC5"/>
    <w:rsid w:val="00F67281"/>
    <w:rsid w:val="00F71C8A"/>
    <w:rsid w:val="00F72AF2"/>
    <w:rsid w:val="00F77932"/>
    <w:rsid w:val="00F804B6"/>
    <w:rsid w:val="00F8308A"/>
    <w:rsid w:val="00F8447C"/>
    <w:rsid w:val="00F84B86"/>
    <w:rsid w:val="00F86526"/>
    <w:rsid w:val="00F87E5A"/>
    <w:rsid w:val="00F97624"/>
    <w:rsid w:val="00FA1F21"/>
    <w:rsid w:val="00FA2956"/>
    <w:rsid w:val="00FA405B"/>
    <w:rsid w:val="00FB12C2"/>
    <w:rsid w:val="00FB12E7"/>
    <w:rsid w:val="00FB4B76"/>
    <w:rsid w:val="00FC2C14"/>
    <w:rsid w:val="00FC3348"/>
    <w:rsid w:val="00FC52C6"/>
    <w:rsid w:val="00FC5BBF"/>
    <w:rsid w:val="00FE2628"/>
    <w:rsid w:val="00FE4D4F"/>
    <w:rsid w:val="00FE6657"/>
    <w:rsid w:val="00FE6B9D"/>
    <w:rsid w:val="00FF0432"/>
    <w:rsid w:val="00FF4BB9"/>
    <w:rsid w:val="00FF7C56"/>
    <w:rsid w:val="5A8BC369"/>
    <w:rsid w:val="77FF71C3"/>
    <w:rsid w:val="7E8FC468"/>
    <w:rsid w:val="7FC24757"/>
    <w:rsid w:val="9E4C1EA1"/>
    <w:rsid w:val="BF6FF632"/>
    <w:rsid w:val="E34FA49C"/>
    <w:rsid w:val="F2AF62FF"/>
    <w:rsid w:val="FE2F915A"/>
    <w:rsid w:val="FFB50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eastAsia="宋体"/>
      <w:sz w:val="18"/>
      <w:szCs w:val="18"/>
    </w:rPr>
  </w:style>
  <w:style w:type="paragraph" w:styleId="3">
    <w:name w:val="annotation text"/>
    <w:basedOn w:val="1"/>
    <w:link w:val="19"/>
    <w:semiHidden/>
    <w:unhideWhenUsed/>
    <w:qFormat/>
    <w:uiPriority w:val="99"/>
  </w:style>
  <w:style w:type="paragraph" w:styleId="4">
    <w:name w:val="Date"/>
    <w:basedOn w:val="1"/>
    <w:next w:val="1"/>
    <w:link w:val="18"/>
    <w:semiHidden/>
    <w:unhideWhenUsed/>
    <w:qFormat/>
    <w:uiPriority w:val="99"/>
    <w:pPr>
      <w:ind w:left="100" w:leftChars="2500"/>
    </w:pPr>
  </w:style>
  <w:style w:type="paragraph" w:styleId="5">
    <w:name w:val="Balloon Text"/>
    <w:basedOn w:val="1"/>
    <w:link w:val="21"/>
    <w:semiHidden/>
    <w:unhideWhenUsed/>
    <w:qFormat/>
    <w:uiPriority w:val="99"/>
    <w:pPr>
      <w:spacing w:after="0"/>
    </w:pPr>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adjustRightInd/>
      <w:snapToGrid/>
      <w:spacing w:before="100" w:beforeAutospacing="1" w:after="100" w:afterAutospacing="1"/>
    </w:pPr>
    <w:rPr>
      <w:rFonts w:ascii="宋体" w:hAnsi="宋体" w:eastAsia="宋体" w:cs="Times New Roman"/>
      <w:color w:val="000000"/>
      <w:sz w:val="24"/>
      <w:szCs w:val="24"/>
    </w:rPr>
  </w:style>
  <w:style w:type="paragraph" w:styleId="9">
    <w:name w:val="annotation subject"/>
    <w:basedOn w:val="3"/>
    <w:next w:val="3"/>
    <w:link w:val="20"/>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页眉 字符"/>
    <w:basedOn w:val="11"/>
    <w:link w:val="7"/>
    <w:qFormat/>
    <w:uiPriority w:val="99"/>
    <w:rPr>
      <w:rFonts w:ascii="Tahoma" w:hAnsi="Tahoma"/>
      <w:sz w:val="18"/>
      <w:szCs w:val="18"/>
    </w:rPr>
  </w:style>
  <w:style w:type="character" w:customStyle="1" w:styleId="16">
    <w:name w:val="页脚 字符"/>
    <w:basedOn w:val="11"/>
    <w:link w:val="6"/>
    <w:qFormat/>
    <w:uiPriority w:val="99"/>
    <w:rPr>
      <w:rFonts w:ascii="Tahoma" w:hAnsi="Tahoma"/>
      <w:sz w:val="18"/>
      <w:szCs w:val="18"/>
    </w:rPr>
  </w:style>
  <w:style w:type="character" w:customStyle="1" w:styleId="17">
    <w:name w:val="文档结构图 字符"/>
    <w:basedOn w:val="11"/>
    <w:link w:val="2"/>
    <w:semiHidden/>
    <w:qFormat/>
    <w:uiPriority w:val="99"/>
    <w:rPr>
      <w:rFonts w:ascii="宋体" w:hAnsi="Tahoma" w:eastAsia="宋体"/>
      <w:sz w:val="18"/>
      <w:szCs w:val="18"/>
    </w:rPr>
  </w:style>
  <w:style w:type="character" w:customStyle="1" w:styleId="18">
    <w:name w:val="日期 字符"/>
    <w:basedOn w:val="11"/>
    <w:link w:val="4"/>
    <w:semiHidden/>
    <w:qFormat/>
    <w:uiPriority w:val="99"/>
    <w:rPr>
      <w:rFonts w:ascii="Tahoma" w:hAnsi="Tahoma"/>
    </w:rPr>
  </w:style>
  <w:style w:type="character" w:customStyle="1" w:styleId="19">
    <w:name w:val="批注文字 字符"/>
    <w:basedOn w:val="11"/>
    <w:link w:val="3"/>
    <w:semiHidden/>
    <w:qFormat/>
    <w:uiPriority w:val="99"/>
    <w:rPr>
      <w:rFonts w:ascii="Tahoma" w:hAnsi="Tahoma"/>
    </w:rPr>
  </w:style>
  <w:style w:type="character" w:customStyle="1" w:styleId="20">
    <w:name w:val="批注主题 字符"/>
    <w:basedOn w:val="19"/>
    <w:link w:val="9"/>
    <w:semiHidden/>
    <w:qFormat/>
    <w:uiPriority w:val="99"/>
    <w:rPr>
      <w:rFonts w:ascii="Tahoma" w:hAnsi="Tahoma"/>
      <w:b/>
      <w:bCs/>
    </w:rPr>
  </w:style>
  <w:style w:type="character" w:customStyle="1" w:styleId="21">
    <w:name w:val="批注框文本 字符"/>
    <w:basedOn w:val="11"/>
    <w:link w:val="5"/>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5D22B87-412E-491E-AC39-956B4E1AF2D5}">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389</Words>
  <Characters>2223</Characters>
  <Lines>18</Lines>
  <Paragraphs>5</Paragraphs>
  <TotalTime>18</TotalTime>
  <ScaleCrop>false</ScaleCrop>
  <LinksUpToDate>false</LinksUpToDate>
  <CharactersWithSpaces>2607</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2026-04-04T08:14:00Z</dcterms:created>
  <dc:creator>Administrator</dc:creator>
  <cp:lastModifiedBy>朱  晨</cp:lastModifiedBy>
  <cp:lastPrinted>2018-03-17T11:10:00Z</cp:lastPrinted>
  <dcterms:modified xsi:type="dcterms:W3CDTF">2026-05-13T09:14:05Z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eyJoZGlkIjoiMGQ1OGEzMTM0N2U3YmJlMjEyN2YzYzVhM2E3NDRmNGEiLCJ1c2VySWQiOiI0NTA1OTg2MDYifQ==</vt:lpwstr>
  </property>
  <property fmtid="{D5CDD505-2E9C-101B-9397-08002B2CF9AE}" pid="3" name="KSOProductBuildVer">
    <vt:lpwstr>2052-12.8.2.1113</vt:lpwstr>
  </property>
  <property fmtid="{D5CDD505-2E9C-101B-9397-08002B2CF9AE}" pid="4" name="ICV">
    <vt:lpwstr>532C2B1D62BF42C4B900C4E8848D8942_12</vt:lpwstr>
  </property>
</Properties>
</file>