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47774">
      <w:pPr>
        <w:pStyle w:val="5"/>
        <w:spacing w:before="313" w:line="360" w:lineRule="auto"/>
        <w:ind w:left="40" w:firstLine="854" w:firstLineChars="200"/>
        <w:jc w:val="center"/>
        <w:rPr>
          <w:rFonts w:hint="eastAsia"/>
          <w:b/>
          <w:bCs/>
          <w:color w:val="000000"/>
          <w:spacing w:val="12"/>
          <w:sz w:val="40"/>
          <w:szCs w:val="40"/>
          <w:lang w:eastAsia="zh-CN"/>
        </w:rPr>
      </w:pPr>
      <w:r>
        <w:rPr>
          <w:rFonts w:hint="eastAsia"/>
          <w:b/>
          <w:bCs/>
          <w:color w:val="000000"/>
          <w:spacing w:val="12"/>
          <w:sz w:val="40"/>
          <w:szCs w:val="40"/>
          <w:lang w:val="en-US" w:eastAsia="zh-CN"/>
        </w:rPr>
        <w:t>上海版专产教融合中心家具</w:t>
      </w:r>
      <w:r>
        <w:rPr>
          <w:rFonts w:hint="eastAsia"/>
          <w:b/>
          <w:bCs/>
          <w:color w:val="000000"/>
          <w:spacing w:val="12"/>
          <w:sz w:val="40"/>
          <w:szCs w:val="40"/>
          <w:lang w:eastAsia="zh-CN"/>
        </w:rPr>
        <w:t>采购需求</w:t>
      </w:r>
    </w:p>
    <w:p w14:paraId="7B905C5F">
      <w:pPr>
        <w:pStyle w:val="5"/>
        <w:spacing w:before="313" w:line="360" w:lineRule="auto"/>
        <w:rPr>
          <w:b/>
          <w:bCs/>
          <w:color w:val="000000"/>
          <w:sz w:val="21"/>
          <w:szCs w:val="21"/>
          <w:lang w:eastAsia="zh-CN"/>
        </w:rPr>
      </w:pPr>
      <w:r>
        <w:rPr>
          <w:rFonts w:hint="eastAsia"/>
          <w:b/>
          <w:bCs/>
          <w:color w:val="000000"/>
          <w:spacing w:val="12"/>
          <w:sz w:val="21"/>
          <w:szCs w:val="21"/>
          <w:lang w:eastAsia="zh-CN"/>
        </w:rPr>
        <w:t>一、项目概述</w:t>
      </w:r>
    </w:p>
    <w:p w14:paraId="13D4D81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4" w:line="360" w:lineRule="auto"/>
        <w:jc w:val="both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项目内容：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本项目主要为上海版专产教融合中心采购家具，主要包括会议室桌椅、食堂座椅、宿舍床、桌椅及衣柜、办公室桌椅、生产车间桌子、装订操作台、文件柜、沙茶几等货物。</w:t>
      </w:r>
    </w:p>
    <w:p w14:paraId="09B4ED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合同履行期限：自合同签订生效之日起 30 天内完成交付。</w:t>
      </w:r>
    </w:p>
    <w:p w14:paraId="07D5FD1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4" w:line="360" w:lineRule="auto"/>
        <w:jc w:val="both"/>
        <w:textAlignment w:val="auto"/>
        <w:rPr>
          <w:rFonts w:hint="eastAsia" w:ascii="宋体" w:hAnsi="宋体" w:eastAsia="宋体" w:cs="宋体"/>
          <w:color w:val="auto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支付方式：</w:t>
      </w:r>
      <w:r>
        <w:rPr>
          <w:rFonts w:hint="eastAsia"/>
          <w:sz w:val="22"/>
          <w:szCs w:val="18"/>
        </w:rPr>
        <w:t>第一笔付款-预付款(</w:t>
      </w:r>
      <w:r>
        <w:rPr>
          <w:rFonts w:hint="eastAsia"/>
          <w:sz w:val="22"/>
          <w:szCs w:val="18"/>
          <w:lang w:eastAsia="zh-CN"/>
        </w:rPr>
        <w:t>5</w:t>
      </w:r>
      <w:r>
        <w:rPr>
          <w:rFonts w:hint="eastAsia"/>
          <w:sz w:val="22"/>
          <w:szCs w:val="18"/>
        </w:rPr>
        <w:t>0%)：合同签订且采购人收到</w:t>
      </w:r>
      <w:r>
        <w:rPr>
          <w:rFonts w:hint="eastAsia"/>
          <w:sz w:val="22"/>
          <w:szCs w:val="18"/>
          <w:lang w:eastAsia="zh-CN"/>
        </w:rPr>
        <w:t>有效发</w:t>
      </w:r>
      <w:r>
        <w:rPr>
          <w:rFonts w:hint="eastAsia"/>
          <w:sz w:val="22"/>
          <w:szCs w:val="18"/>
        </w:rPr>
        <w:t>票后10个工作日内，支付预付款；第二笔付款-</w:t>
      </w:r>
      <w:r>
        <w:rPr>
          <w:rFonts w:hint="eastAsia"/>
          <w:sz w:val="22"/>
          <w:szCs w:val="18"/>
          <w:lang w:eastAsia="zh-CN"/>
        </w:rPr>
        <w:t>尾</w:t>
      </w:r>
      <w:r>
        <w:rPr>
          <w:rFonts w:hint="eastAsia"/>
          <w:sz w:val="22"/>
          <w:szCs w:val="18"/>
        </w:rPr>
        <w:t>款(50%)：采购人收到全部货物</w:t>
      </w:r>
      <w:r>
        <w:rPr>
          <w:rFonts w:hint="eastAsia"/>
          <w:sz w:val="22"/>
          <w:szCs w:val="18"/>
          <w:lang w:eastAsia="zh-CN"/>
        </w:rPr>
        <w:t>、完成安装能够正常使用、验收合格，并且收到有效</w:t>
      </w:r>
      <w:r>
        <w:rPr>
          <w:rFonts w:hint="eastAsia"/>
          <w:sz w:val="22"/>
          <w:szCs w:val="18"/>
        </w:rPr>
        <w:t>发票后10个工作日内，支付</w:t>
      </w:r>
      <w:r>
        <w:rPr>
          <w:rFonts w:hint="eastAsia"/>
          <w:sz w:val="22"/>
          <w:szCs w:val="18"/>
          <w:lang w:eastAsia="zh-CN"/>
        </w:rPr>
        <w:t>剩余货款</w:t>
      </w:r>
      <w:r>
        <w:rPr>
          <w:rFonts w:hint="eastAsia"/>
          <w:sz w:val="22"/>
          <w:szCs w:val="18"/>
        </w:rPr>
        <w:t xml:space="preserve">。 </w:t>
      </w:r>
    </w:p>
    <w:p w14:paraId="31AE638D">
      <w:pPr>
        <w:pStyle w:val="5"/>
        <w:spacing w:before="44" w:line="360" w:lineRule="auto"/>
        <w:ind w:left="50"/>
        <w:jc w:val="both"/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</w:pPr>
    </w:p>
    <w:p w14:paraId="5B299333">
      <w:pPr>
        <w:pStyle w:val="5"/>
        <w:spacing w:before="44" w:line="360" w:lineRule="auto"/>
        <w:ind w:left="50"/>
        <w:jc w:val="both"/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eastAsia="zh-CN"/>
        </w:rPr>
        <w:t>二、需执行的国家相关标准、行业标准或其他标准、规范</w:t>
      </w:r>
    </w:p>
    <w:p w14:paraId="2D579432">
      <w:pPr>
        <w:spacing w:line="440" w:lineRule="exact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目前家具行业产品、材料、工艺均需遵循最新版国家强制性标准、行业标准，且需满足项目定制化技术要求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1"/>
          <w:szCs w:val="21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1"/>
          <w:szCs w:val="21"/>
          <w:lang w:eastAsia="zh-CN"/>
        </w:rPr>
        <w:t>下述不注发布年份的引用标准，其最新版本为准，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1"/>
          <w:szCs w:val="21"/>
          <w:lang w:val="en-US" w:eastAsia="zh-CN" w:bidi="ar-SA"/>
        </w:rPr>
        <w:t>核心标准分类如下：</w:t>
      </w:r>
    </w:p>
    <w:p w14:paraId="4C2ACB9F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1、国家强制性标准：</w:t>
      </w:r>
    </w:p>
    <w:p w14:paraId="787CCCE0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18584《家具中有害物质限量》</w:t>
      </w:r>
    </w:p>
    <w:p w14:paraId="6C5BF37F">
      <w:pPr>
        <w:pStyle w:val="7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28008《家具结构安全技术规范》</w:t>
      </w:r>
    </w:p>
    <w:p w14:paraId="214DFBCB">
      <w:pPr>
        <w:pStyle w:val="7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GB17927《家具阻燃性能安全技术规范》</w:t>
      </w:r>
    </w:p>
    <w:p w14:paraId="48CE247E">
      <w:pPr>
        <w:pStyle w:val="7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18583 《室内装饰装修材料 胶粘剂中有害物质限量》；</w:t>
      </w:r>
    </w:p>
    <w:p w14:paraId="2316422C">
      <w:pPr>
        <w:pStyle w:val="7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6566《建筑材料放射性核素限量》；</w:t>
      </w:r>
    </w:p>
    <w:p w14:paraId="1847BF5A">
      <w:pPr>
        <w:pStyle w:val="7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18580《室内装饰装修材料人造板及其制品中甲醛释放限量》；</w:t>
      </w:r>
    </w:p>
    <w:p w14:paraId="2B12589D">
      <w:pPr>
        <w:pStyle w:val="7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18581《木器涂料中有害物质限量》；</w:t>
      </w:r>
    </w:p>
    <w:p w14:paraId="07E5D71A">
      <w:pPr>
        <w:pStyle w:val="7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18581《室内装饰装修材料溶剂型木器涂料中有害物质限量》；</w:t>
      </w:r>
    </w:p>
    <w:p w14:paraId="4BC1C3CB">
      <w:pPr>
        <w:pStyle w:val="7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18401《国家纺织产品基本安全技术规范》；</w:t>
      </w:r>
    </w:p>
    <w:p w14:paraId="12414084">
      <w:pPr>
        <w:pStyle w:val="7"/>
        <w:ind w:left="0" w:leftChars="0" w:firstLine="0" w:firstLineChars="0"/>
        <w:rPr>
          <w:rFonts w:hint="eastAsia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16799《家具用皮革》</w:t>
      </w:r>
      <w:r>
        <w:rPr>
          <w:rFonts w:hint="eastAsia" w:cs="Times New Roman"/>
          <w:color w:val="000000"/>
          <w:sz w:val="21"/>
          <w:szCs w:val="21"/>
          <w:lang w:val="en-US" w:eastAsia="zh-CN" w:bidi="ar-SA"/>
        </w:rPr>
        <w:t>；</w:t>
      </w:r>
    </w:p>
    <w:p w14:paraId="47C25A9C">
      <w:pPr>
        <w:pStyle w:val="7"/>
        <w:ind w:left="0" w:leftChars="0" w:firstLine="0" w:firstLineChars="0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cs="Times New Roman"/>
          <w:color w:val="000000"/>
          <w:sz w:val="21"/>
          <w:szCs w:val="21"/>
          <w:lang w:val="en-US" w:eastAsia="zh-CN" w:bidi="ar-SA"/>
        </w:rPr>
        <w:t>2、推荐性国家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标准：</w:t>
      </w:r>
    </w:p>
    <w:p w14:paraId="4C8D4622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35607《绿色产品评价家具》；</w:t>
      </w:r>
    </w:p>
    <w:p w14:paraId="1689B5C6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3325《金属家具通用技术条件》；</w:t>
      </w:r>
    </w:p>
    <w:p w14:paraId="11B64619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3324《木家具通用技术条件》；</w:t>
      </w:r>
    </w:p>
    <w:p w14:paraId="1DAA1F14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15102《浸渍胶膜纸饰面纤维板和刨花板》；</w:t>
      </w:r>
    </w:p>
    <w:p w14:paraId="02EA141A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29525《座椅升降气弹簧 技术条件》；</w:t>
      </w:r>
    </w:p>
    <w:p w14:paraId="66FB74E0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35601《绿色产品评价 人造板和木质地板》；</w:t>
      </w:r>
    </w:p>
    <w:p w14:paraId="1094E5E5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39600《人造板及其制品甲醛释放量分级》；</w:t>
      </w:r>
    </w:p>
    <w:p w14:paraId="7ADA8258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10802《通用软质聚氨酯泡沫塑料》；</w:t>
      </w:r>
    </w:p>
    <w:p w14:paraId="547EF204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11718《中密度纤维板》；</w:t>
      </w:r>
    </w:p>
    <w:p w14:paraId="1A33122F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4765《家具用脚轮》；</w:t>
      </w:r>
    </w:p>
    <w:p w14:paraId="3EECD997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 T 34722《浸渍胶膜纸饰面胶合板和细木工板》；</w:t>
      </w:r>
    </w:p>
    <w:p w14:paraId="0DBE9953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39223.3《健康家居的人类工效学要求第3部分:办公桌椅》；</w:t>
      </w:r>
    </w:p>
    <w:p w14:paraId="099C8C6B">
      <w:pPr>
        <w:pStyle w:val="7"/>
        <w:numPr>
          <w:ilvl w:val="0"/>
          <w:numId w:val="0"/>
        </w:numPr>
        <w:spacing w:line="360" w:lineRule="auto"/>
        <w:rPr>
          <w:rFonts w:hint="eastAsia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GB/T 3976 《学校课桌椅功能尺寸及技术要求》</w:t>
      </w:r>
      <w:r>
        <w:rPr>
          <w:rFonts w:hint="eastAsia" w:eastAsia="宋体" w:cs="Times New Roman"/>
          <w:color w:val="000000"/>
          <w:sz w:val="21"/>
          <w:szCs w:val="21"/>
          <w:lang w:val="en-US" w:eastAsia="zh-CN" w:bidi="ar-SA"/>
        </w:rPr>
        <w:t>；</w:t>
      </w:r>
    </w:p>
    <w:p w14:paraId="4C0D1AF7">
      <w:pPr>
        <w:keepNext w:val="0"/>
        <w:keepLines w:val="0"/>
        <w:widowControl/>
        <w:suppressLineNumbers w:val="0"/>
        <w:jc w:val="left"/>
        <w:rPr>
          <w:rFonts w:hint="eastAsia" w:eastAsia="宋体" w:cs="Times New Roman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-SA"/>
        </w:rPr>
        <w:t>GB/T 32487</w:t>
      </w:r>
      <w:r>
        <w:rPr>
          <w:rFonts w:hint="eastAsia" w:eastAsia="宋体" w:cs="Times New Roman"/>
          <w:color w:val="000000"/>
          <w:kern w:val="0"/>
          <w:sz w:val="21"/>
          <w:szCs w:val="21"/>
          <w:lang w:val="en-US" w:eastAsia="zh-CN" w:bidi="ar-SA"/>
        </w:rPr>
        <w:t xml:space="preserve"> 《塑料家具通用技术条件》；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-SA"/>
        </w:rPr>
        <w:t>GB/T 6669《软质泡沫聚合材料 压缩永久变形的测定》</w:t>
      </w:r>
      <w:r>
        <w:rPr>
          <w:rFonts w:hint="eastAsia" w:eastAsia="宋体" w:cs="Times New Roman"/>
          <w:color w:val="000000"/>
          <w:kern w:val="0"/>
          <w:sz w:val="21"/>
          <w:szCs w:val="21"/>
          <w:lang w:val="en-US" w:eastAsia="zh-CN" w:bidi="ar-SA"/>
        </w:rPr>
        <w:t>；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-SA"/>
        </w:rPr>
        <w:t>GB/T 6670 《软质泡沫聚合材料 落球法回弹性能的测定》</w:t>
      </w:r>
      <w:r>
        <w:rPr>
          <w:rFonts w:hint="eastAsia" w:eastAsia="宋体" w:cs="Times New Roman"/>
          <w:color w:val="000000"/>
          <w:kern w:val="0"/>
          <w:sz w:val="21"/>
          <w:szCs w:val="21"/>
          <w:lang w:val="en-US" w:eastAsia="zh-CN" w:bidi="ar-SA"/>
        </w:rPr>
        <w:t>；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-SA"/>
        </w:rPr>
        <w:t>GB/T</w:t>
      </w:r>
      <w:r>
        <w:rPr>
          <w:rFonts w:hint="eastAsia" w:eastAsia="宋体" w:cs="Times New Roman"/>
          <w:color w:val="000000"/>
          <w:kern w:val="0"/>
          <w:sz w:val="21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-SA"/>
        </w:rPr>
        <w:t>3920</w:t>
      </w:r>
      <w:r>
        <w:rPr>
          <w:rFonts w:hint="eastAsia" w:eastAsia="宋体" w:cs="Times New Roman"/>
          <w:color w:val="000000"/>
          <w:kern w:val="0"/>
          <w:sz w:val="21"/>
          <w:szCs w:val="21"/>
          <w:lang w:val="en-US" w:eastAsia="zh-CN" w:bidi="ar-SA"/>
        </w:rPr>
        <w:t xml:space="preserve"> 《纺织品 色牢度试验 耐摩擦色牢度》；</w:t>
      </w:r>
    </w:p>
    <w:p w14:paraId="264A67CB">
      <w:pPr>
        <w:keepNext w:val="0"/>
        <w:keepLines w:val="0"/>
        <w:widowControl/>
        <w:suppressLineNumbers w:val="0"/>
        <w:jc w:val="left"/>
        <w:rPr>
          <w:rFonts w:hint="eastAsia" w:eastAsia="宋体" w:cs="Times New Roman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eastAsia="宋体" w:cs="Times New Roman"/>
          <w:color w:val="000000"/>
          <w:kern w:val="0"/>
          <w:sz w:val="21"/>
          <w:szCs w:val="21"/>
          <w:lang w:val="en-US" w:eastAsia="zh-CN" w:bidi="ar-SA"/>
        </w:rPr>
        <w:t>GB/T4897《刨花板》；</w:t>
      </w:r>
    </w:p>
    <w:p w14:paraId="05152D44">
      <w:pPr>
        <w:rPr>
          <w:rFonts w:hint="eastAsia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eastAsia="宋体" w:cs="Times New Roman"/>
          <w:color w:val="000000"/>
          <w:kern w:val="0"/>
          <w:sz w:val="21"/>
          <w:szCs w:val="21"/>
          <w:lang w:val="en-US" w:eastAsia="zh-CN" w:bidi="ar-SA"/>
        </w:rPr>
        <w:t>GB/T12000《塑料暴露于湿热､水喷雾和盐雾中影响的测定》</w:t>
      </w:r>
      <w:r>
        <w:rPr>
          <w:rFonts w:hint="eastAsia" w:eastAsia="宋体" w:cs="Times New Roman"/>
          <w:color w:val="000000"/>
          <w:sz w:val="21"/>
          <w:szCs w:val="21"/>
          <w:lang w:val="en-US" w:eastAsia="zh-CN" w:bidi="ar-SA"/>
        </w:rPr>
        <w:t>；</w:t>
      </w:r>
    </w:p>
    <w:p w14:paraId="24730DAC">
      <w:pPr>
        <w:rPr>
          <w:rFonts w:hint="eastAsia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eastAsia="宋体" w:cs="Times New Roman"/>
          <w:color w:val="000000"/>
          <w:sz w:val="21"/>
          <w:szCs w:val="21"/>
          <w:lang w:val="en-US" w:eastAsia="zh-CN" w:bidi="ar-SA"/>
        </w:rPr>
        <w:t>GB/T228.1《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-SA"/>
        </w:rPr>
        <w:t>金属材料拉伸试验第1部分:室温试验方法</w:t>
      </w:r>
      <w:r>
        <w:rPr>
          <w:rFonts w:hint="eastAsia" w:eastAsia="宋体" w:cs="Times New Roman"/>
          <w:color w:val="000000"/>
          <w:sz w:val="21"/>
          <w:szCs w:val="21"/>
          <w:lang w:val="en-US" w:eastAsia="zh-CN" w:bidi="ar-SA"/>
        </w:rPr>
        <w:t>》；</w:t>
      </w:r>
    </w:p>
    <w:p w14:paraId="129BC37B">
      <w:pP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shd w:val="clear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shd w:val="clear"/>
          <w:lang w:val="en-US" w:eastAsia="zh-CN" w:bidi="ar-SA"/>
        </w:rPr>
        <w:t>GB/T3075《金属材料疲劳试验轴向力控制方法》；</w:t>
      </w:r>
    </w:p>
    <w:p w14:paraId="139D4A56">
      <w:pP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shd w:val="clear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1"/>
          <w:szCs w:val="21"/>
          <w:shd w:val="clear"/>
          <w:lang w:val="en-US" w:eastAsia="zh-CN" w:bidi="ar-SA"/>
        </w:rPr>
        <w:t>GB/T2423.51《环境试验第2部分:试验方法试验Ke:流动混合气体腐蚀试验》；</w:t>
      </w:r>
    </w:p>
    <w:p w14:paraId="751E7C89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GB/T4337《金属材料 疲劳试验 旋转弯曲方法》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79F00397">
      <w:pP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</w:rPr>
        <w:t>GB/T 23989《涂料耐溶剂擦拭性测定法》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；</w:t>
      </w:r>
    </w:p>
    <w:p w14:paraId="18ED1490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 35602《绿色产品评价 涂料》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5C87B070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 36497《涂料中多氯联苯的测定》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075B4516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 6394《金属平均晶粒度测定方法》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0B0F44B0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 40908《家具产品及其材料中禁限用物质测定方法 阻燃剂》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36CABF88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 1634.2《塑料 负荷变形温度的测定 第2部分：塑料和硬橡胶》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3346D6C2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 5470《塑料 冲击法脆化温度的测定》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5D824859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GB/T 1741《漆膜耐霉菌性测定法》；</w:t>
      </w:r>
    </w:p>
    <w:p w14:paraId="491F3A15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 11170《不锈钢 多元素含量的测定 火花放电原子发射光谱法（常规法）》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73724757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 3098.1《紧固件机械性能螺栓、螺钉和螺柱》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1A76370E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GB/T 4340.1《金属材料 维氏硬度试验 第1部分：试验方法》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7C84D61B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cs="Times New Roman"/>
          <w:color w:val="000000"/>
          <w:sz w:val="21"/>
          <w:szCs w:val="21"/>
          <w:lang w:val="en-US" w:eastAsia="zh-CN" w:bidi="ar-SA"/>
        </w:rPr>
        <w:t>3、行业推荐性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标准：</w:t>
      </w:r>
    </w:p>
    <w:p w14:paraId="601C8D5C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QB/T 2189《家具五金 杯状暗铰链》；</w:t>
      </w:r>
    </w:p>
    <w:p w14:paraId="2AF7766A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QB/T 1621《家具锁》；</w:t>
      </w:r>
    </w:p>
    <w:p w14:paraId="30BA23AF">
      <w:pPr>
        <w:pStyle w:val="7"/>
        <w:numPr>
          <w:ilvl w:val="0"/>
          <w:numId w:val="0"/>
        </w:numPr>
        <w:spacing w:line="360" w:lineRule="auto"/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QB/T 2280《办公家具 办公椅》；</w:t>
      </w:r>
    </w:p>
    <w:p w14:paraId="7C73B1CF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QB-T 4463《家具用封边条技术要求》；</w:t>
      </w:r>
    </w:p>
    <w:p w14:paraId="7AD9B54B">
      <w:pPr>
        <w:pStyle w:val="7"/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QB/T2741《学生公寓多功能家具》；</w:t>
      </w:r>
    </w:p>
    <w:p w14:paraId="3E8E748C">
      <w:pPr>
        <w:pStyle w:val="7"/>
        <w:numPr>
          <w:ilvl w:val="0"/>
          <w:numId w:val="0"/>
        </w:numPr>
        <w:spacing w:line="360" w:lineRule="auto"/>
        <w:rPr>
          <w:rFonts w:hint="eastAsia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QB/T 2602《影剧院公共座椅》</w:t>
      </w:r>
      <w:r>
        <w:rPr>
          <w:rFonts w:hint="eastAsia" w:cs="Times New Roman"/>
          <w:color w:val="000000"/>
          <w:sz w:val="21"/>
          <w:szCs w:val="21"/>
          <w:lang w:val="en-US" w:eastAsia="zh-CN" w:bidi="ar-SA"/>
        </w:rPr>
        <w:t>；</w:t>
      </w:r>
    </w:p>
    <w:p w14:paraId="5F6BB062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  <w:t>QB/T 3827《轻工产品金属镀层和化学处理层的耐腐蚀试验方法 乙酸盐雾试验(ASS)法》；</w:t>
      </w:r>
    </w:p>
    <w:p w14:paraId="5E886F1F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eastAsia="宋体" w:cs="Times New Roman"/>
          <w:color w:val="000000"/>
          <w:sz w:val="21"/>
          <w:szCs w:val="21"/>
          <w:lang w:val="en-US" w:eastAsia="zh-CN" w:bidi="ar-SA"/>
        </w:rPr>
        <w:t>Q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 w:bidi="ar-SA"/>
        </w:rPr>
        <w:t>B/T 2454《家具五金 抽屉导轨》；</w:t>
      </w:r>
    </w:p>
    <w:p w14:paraId="732EDF46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QB/T 4371《家具抗菌性能的评价》</w:t>
      </w:r>
      <w: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  <w:t>；</w:t>
      </w:r>
    </w:p>
    <w:p w14:paraId="5D199B04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</w:rPr>
        <w:t>QB/T 8096《五金配件 阻尼导轨通用技术条件》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；</w:t>
      </w:r>
    </w:p>
    <w:p w14:paraId="27FFA83B">
      <w:pP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</w:p>
    <w:p w14:paraId="68590539">
      <w:pPr>
        <w:rPr>
          <w:rFonts w:hint="eastAsia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cs="Times New Roman"/>
          <w:color w:val="000000"/>
          <w:sz w:val="21"/>
          <w:szCs w:val="21"/>
          <w:lang w:val="en-US" w:eastAsia="zh-CN" w:bidi="ar-SA"/>
        </w:rPr>
        <w:t>4、环境保护标准：</w:t>
      </w:r>
    </w:p>
    <w:p w14:paraId="09246F81">
      <w:pPr>
        <w:rPr>
          <w:rFonts w:hint="eastAsia" w:cs="Times New Roman"/>
          <w:color w:val="00000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HG/T 2006 《热固性和热塑性粉末涂料》。</w:t>
      </w:r>
    </w:p>
    <w:p w14:paraId="3E46C7C6">
      <w:pPr>
        <w:rPr>
          <w:rFonts w:hint="eastAsia"/>
        </w:rPr>
      </w:pPr>
    </w:p>
    <w:p w14:paraId="2DDFD79C">
      <w:pPr>
        <w:rPr>
          <w:rFonts w:hint="eastAsia" w:ascii="宋体" w:hAnsi="宋体" w:cs="宋体"/>
          <w:b/>
          <w:bCs/>
          <w:sz w:val="21"/>
          <w:szCs w:val="21"/>
          <w:lang w:eastAsia="zh-CN"/>
        </w:rPr>
      </w:pPr>
    </w:p>
    <w:p w14:paraId="6EA23FC8">
      <w:pPr>
        <w:rPr>
          <w:rFonts w:hint="eastAsia" w:ascii="宋体" w:hAnsi="宋体" w:cs="宋体"/>
          <w:b/>
          <w:bCs/>
          <w:sz w:val="21"/>
          <w:szCs w:val="21"/>
          <w:lang w:eastAsia="zh-CN"/>
        </w:rPr>
      </w:pPr>
    </w:p>
    <w:p w14:paraId="0E96ACD9">
      <w:pPr>
        <w:rPr>
          <w:rFonts w:hint="eastAsia" w:ascii="宋体" w:hAnsi="宋体" w:cs="宋体"/>
          <w:b/>
          <w:bCs/>
          <w:sz w:val="21"/>
          <w:szCs w:val="21"/>
          <w:lang w:eastAsia="zh-CN"/>
        </w:rPr>
      </w:pPr>
    </w:p>
    <w:p w14:paraId="26A0F760">
      <w:pPr>
        <w:rPr>
          <w:rFonts w:hint="eastAsia" w:ascii="宋体" w:hAnsi="宋体" w:cs="宋体"/>
          <w:b/>
          <w:bCs/>
          <w:sz w:val="21"/>
          <w:szCs w:val="21"/>
          <w:lang w:eastAsia="zh-CN"/>
        </w:rPr>
      </w:pPr>
    </w:p>
    <w:p w14:paraId="5F334CE7">
      <w:pPr>
        <w:rPr>
          <w:rFonts w:hint="eastAsia" w:ascii="宋体" w:hAnsi="宋体" w:cs="宋体"/>
          <w:b/>
          <w:bCs/>
          <w:sz w:val="21"/>
          <w:szCs w:val="21"/>
          <w:lang w:eastAsia="zh-CN"/>
        </w:rPr>
      </w:pPr>
    </w:p>
    <w:p w14:paraId="48F3F026">
      <w:pPr>
        <w:rPr>
          <w:rFonts w:hint="eastAsia" w:ascii="宋体" w:hAnsi="宋体" w:cs="宋体"/>
          <w:b/>
          <w:bCs/>
          <w:sz w:val="21"/>
          <w:szCs w:val="21"/>
          <w:lang w:eastAsia="zh-CN"/>
        </w:rPr>
      </w:pPr>
    </w:p>
    <w:p w14:paraId="4470ED80">
      <w:pPr>
        <w:rPr>
          <w:rFonts w:hint="eastAsia" w:ascii="宋体" w:hAnsi="宋体" w:cs="宋体"/>
          <w:b/>
          <w:bCs/>
          <w:sz w:val="21"/>
          <w:szCs w:val="21"/>
          <w:lang w:eastAsia="zh-CN"/>
        </w:rPr>
      </w:pPr>
    </w:p>
    <w:p w14:paraId="058DE13D">
      <w:pPr>
        <w:rPr>
          <w:rFonts w:hint="eastAsia" w:ascii="宋体" w:hAnsi="宋体" w:cs="宋体"/>
          <w:b/>
          <w:bCs/>
          <w:sz w:val="21"/>
          <w:szCs w:val="21"/>
          <w:lang w:eastAsia="zh-CN"/>
        </w:rPr>
      </w:pPr>
    </w:p>
    <w:p w14:paraId="198EC2E0">
      <w:pPr>
        <w:rPr>
          <w:rFonts w:hint="eastAsia" w:ascii="宋体" w:hAnsi="宋体" w:cs="宋体"/>
          <w:b/>
          <w:bCs/>
          <w:sz w:val="21"/>
          <w:szCs w:val="21"/>
          <w:lang w:eastAsia="zh-CN"/>
        </w:rPr>
      </w:pPr>
    </w:p>
    <w:p w14:paraId="1352DF2F">
      <w:pPr>
        <w:numPr>
          <w:ilvl w:val="0"/>
          <w:numId w:val="1"/>
        </w:numPr>
        <w:spacing w:before="120" w:line="360" w:lineRule="auto"/>
        <w:ind w:left="160"/>
        <w:outlineLvl w:val="6"/>
        <w:rPr>
          <w:rFonts w:hint="eastAsia" w:ascii="Times New Roman" w:hAnsi="Times New Roman" w:eastAsia="宋体" w:cs="Times New Roman"/>
          <w:b/>
          <w:bCs/>
          <w:color w:val="000000"/>
          <w:spacing w:val="12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pacing w:val="12"/>
          <w:sz w:val="21"/>
          <w:szCs w:val="21"/>
          <w:lang w:val="en-US" w:eastAsia="zh-CN"/>
        </w:rPr>
        <w:t>采购清单及配置技术要求</w:t>
      </w:r>
    </w:p>
    <w:tbl>
      <w:tblPr>
        <w:tblStyle w:val="17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657"/>
        <w:gridCol w:w="1851"/>
        <w:gridCol w:w="2205"/>
        <w:gridCol w:w="5254"/>
        <w:gridCol w:w="624"/>
        <w:gridCol w:w="767"/>
        <w:gridCol w:w="1230"/>
      </w:tblGrid>
      <w:tr w14:paraId="7AD84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0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0D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规格（mm）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E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81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D6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2C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54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0484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A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35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会议条桌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2FB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00*D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0*H750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1089025" cy="857250"/>
                  <wp:effectExtent l="0" t="0" r="15875" b="0"/>
                  <wp:docPr id="2" name="图片 1" descr="eb7ac4d60e1d5653df792ff3e2e8b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eb7ac4d60e1d5653df792ff3e2e8ba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0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0D14D4">
            <w:pPr>
              <w:bidi w:val="0"/>
              <w:spacing w:line="240" w:lineRule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1、桌板：基材采用品牌多层板，甲醛释放量≤0.025 mg/m3，限量标识：ENF（执行标准：GB/T 39600-2021)。表面采用优质品牌饰面纸；长1300mm宽430mm厚度≥25mm，PVC塑料封边，四周截面封边处理，四周及底部完全无毛边，光滑安全。</w:t>
            </w:r>
          </w:p>
          <w:p w14:paraId="459AA188">
            <w:pPr>
              <w:bidi w:val="0"/>
              <w:spacing w:line="240" w:lineRule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2、桌斗：1、材质及形状：圆形钢管。采用≥25*25*1.5mm矩形钢管和弯管成型的≥φ13mm*1.5mm圆管焊接而成。</w:t>
            </w:r>
          </w:p>
          <w:p w14:paraId="4F4FD91A">
            <w:pPr>
              <w:pStyle w:val="14"/>
              <w:spacing w:line="240" w:lineRule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3、桌架：1、材质及形状：椭圆形钢管。尺寸：支撑立管采用≥30*60*1.2mm；组装横拉采用不小于30*50矩形钢管，桌脚采用铝合金一次性压铸成型，结构牢固，长期使用也不会产生摇晃、松散的现象。</w:t>
            </w:r>
          </w:p>
          <w:p w14:paraId="47E0A8CB">
            <w:pPr>
              <w:pStyle w:val="14"/>
              <w:spacing w:line="240" w:lineRule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4、桌脚：采用优质铝合金经模具压注成形，壁厚≥3.1mm。规格：444*110*45mm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(±5mm)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，一次性压注成形，立柱跟桌脚拆装式，方便运输，喷涂采用静电喷塑高温固化，使涂层与金属表面的附着力更强，不易腐蚀，不易脱落。结构牢固，协调美观。</w:t>
            </w:r>
          </w:p>
          <w:p w14:paraId="6DC2B91D">
            <w:pPr>
              <w:pStyle w:val="14"/>
              <w:spacing w:line="240" w:lineRule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  <w:t>挡板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：规格：1230*300*18mm；材质：采用环保级PP加耐磨纤维塑料一体射出而成，耐磨抗老化。长期使用不脱落，贴合体型设计。</w:t>
            </w:r>
          </w:p>
          <w:p w14:paraId="011E490F">
            <w:pPr>
              <w:pStyle w:val="14"/>
              <w:spacing w:line="240" w:lineRule="auto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6、塑料套件：立柱塑料盖规格：≥130*98*55mm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；桌面翻转件1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132*51*17mm；桌面翻转件2：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75*39*19mm。采用环保级PP加耐磨纤维塑料一体射出而成，耐磨抗老化。长期使用不脱落，贴合体型设计。</w:t>
            </w:r>
          </w:p>
          <w:p w14:paraId="593DE044">
            <w:pPr>
              <w:pStyle w:val="14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7、功能：桌面可翻动，方便水平叠放，节省空间。使用时桌子不活动，人离开可以轻松滑动，方便简洁。</w:t>
            </w:r>
          </w:p>
          <w:p w14:paraId="068B2ED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、功能：桌板可90°折叠，两桌间可选连接件拼接组合固定。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5E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77B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8DD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多功能厅/会议室（面积175㎡）</w:t>
            </w:r>
          </w:p>
        </w:tc>
      </w:tr>
      <w:tr w14:paraId="4849E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E2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会议椅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59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450*470*715mm（±20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261745" cy="1565910"/>
                  <wp:effectExtent l="0" t="0" r="14605" b="15240"/>
                  <wp:docPr id="3" name="图片 3" descr="3be47e8e718ea4918aff4ef82bdc79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be47e8e718ea4918aff4ef82bdc79a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745" cy="156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F281B6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A. 椅背：</w:t>
            </w:r>
          </w:p>
          <w:p w14:paraId="66E65DBC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1.材质：采优质PP塑料一体射出成型，不得采用回收料生产。</w:t>
            </w:r>
          </w:p>
          <w:p w14:paraId="64AE8CC1">
            <w:pPr>
              <w:bidi w:val="0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2.椅背套钢管整体尺寸：长450mm×宽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195mm±10mm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。椅背中间拉手尺寸375mm*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125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±10mm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)</w:t>
            </w:r>
          </w:p>
          <w:p w14:paraId="1B97E2B3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3.功能：靠背曲线契合人体脊柱的弯曲度，可承托背部。同时椅背整体拉手部分是圆弧形，方便提拉时不伤到手。</w:t>
            </w:r>
          </w:p>
          <w:p w14:paraId="2D68C41F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B.坐垫：</w:t>
            </w:r>
          </w:p>
          <w:p w14:paraId="1CFADF6B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1.材质：采优质PP塑料一体射出成型。不得采用回收料生产。</w:t>
            </w:r>
          </w:p>
          <w:p w14:paraId="44A0BE44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2.尺寸：395mm×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405mm±10mm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。</w:t>
            </w:r>
          </w:p>
          <w:p w14:paraId="652E48BF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.功能：坐垫宽阔厚实，弧形塑臀，坐垫整体采用边凹内陷设计，座垫下预留多个透气孔，座垫可拆卸，可以在坐垫上随时增加软坐垫，一款多用型，塑料座垫方便整理打扫，软垫增加弹性保持舒适度，坐垫后端采用弧形凸块设计。托住人体尾椎部分，尾椎不承受空的支撑，符合人体工程学设计。</w:t>
            </w:r>
          </w:p>
          <w:p w14:paraId="4F2AD1B3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椅架钢架：</w:t>
            </w:r>
          </w:p>
          <w:p w14:paraId="5D152BE5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1.材质及形状：采圆钢管，一次弯管成型，结构牢固，长时间使用不得产生摇晃、松散的现象。</w:t>
            </w:r>
          </w:p>
          <w:p w14:paraId="21C42C7F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2.尺寸：钢管为φ22×厚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5mm±0.1mm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；</w:t>
            </w:r>
          </w:p>
          <w:p w14:paraId="32F80BF2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.表面涂装：钢管采用高温烤漆工艺；坐垫底部支撑铁管焊接完成后的钢管架，表面需经酸洗、脱脂、磷化处理。表面颗粒粉末喷涂，经高温粉体烤漆，不得有刮伤货脱漆现象。涂层需无漏喷、锈蚀；涂层需光滑均匀，色泽一致，需无流挂、疙瘩、皱皮、飞漆等缺陷。</w:t>
            </w:r>
          </w:p>
          <w:p w14:paraId="3FE39EBE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.功能：坐垫座面可翻动，方便水平叠放，节省空间。坐垫下跟钢架连接处预留塑料垫片，垫片尺寸135*20MM,方便坐垫翻下钢架不跟椅架相碰，避免椅架油漆脱落。椅架采用前小后宽设计，方便水平插接，节省收纳空间。椅架后架装有软性塑料，避免椅架收起时磕碰，尺寸45*25MM。脚轮是直径为55mm灰色滑轮，人坐下椅子不活动，人离开可以轻松滑动，使用方便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3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51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BA1D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多功能厅/会议室（面积175㎡）</w:t>
            </w:r>
          </w:p>
        </w:tc>
      </w:tr>
      <w:tr w14:paraId="1825D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FD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3人沙发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6C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2100*800*800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</w:pPr>
            <w:r>
              <w:drawing>
                <wp:inline distT="0" distB="0" distL="114300" distR="114300">
                  <wp:extent cx="1205865" cy="771525"/>
                  <wp:effectExtent l="0" t="0" r="13335" b="9525"/>
                  <wp:docPr id="31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6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B3B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1、尺寸：外观尺寸公差范围±10mm。沙发木架牢固，无晃动。产品着地平稳，偏差不大于2mm。</w:t>
            </w:r>
          </w:p>
          <w:p w14:paraId="1506E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2、内芯材：沙发本体松木，框架采用多层木板热压成型+实木，高密度切割泡棉。</w:t>
            </w:r>
          </w:p>
          <w:p w14:paraId="212B7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表面材料：PU面无划痕、破裂、扎坏。布料面无结头或跳纱、起球，表面平整，无皱折现象，经纬线平直。面料无明显色差、无疵点。面料粘贴时应粘贴牢固，无脱胶气泡现象。软包件及缝纫应外形饱满，平滑一致，对称部件对称，缝纫线迹均匀，无明显浮线跳针。</w:t>
            </w:r>
          </w:p>
          <w:p w14:paraId="614CD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4、内部实木四面刨光，所有木材含水率8%-12%，木材无树皮、无腐朽和虫蛀，高强度S形弹簧（直径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mm），高弹力尼龙编织带穿插编织打底，与海绵间隔垫麻布，弹簧或绷带材料与泡棉之间有高强度织物隔垫，无苯胶粘剂粘结，内部衬垫物干燥卫生，无腐烂变质、无夹杂泥沙及金属杂物，所有内部填充物清洁无异味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2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72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FC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门厅，休息室（值班），值班兼司机休息室，休息室，休息区，武警/公安活动室，大堂</w:t>
            </w:r>
          </w:p>
        </w:tc>
      </w:tr>
      <w:tr w14:paraId="4FE61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9DB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4人餐桌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7A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1200*700*750mm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</w:pPr>
            <w:r>
              <w:drawing>
                <wp:inline distT="0" distB="0" distL="114300" distR="114300">
                  <wp:extent cx="1094105" cy="807720"/>
                  <wp:effectExtent l="0" t="0" r="10795" b="11430"/>
                  <wp:docPr id="1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05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D1C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1、桌板：基材采用品牌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，甲醛释放量≤0.025 mg/m3，限量标识：ENF（执行标准：GB/T  39600-2021)；饰面材料采用三聚氰胺纸，具有防火、抗磨、防水等性能；桌板厚度25mm，四周采用30x15斜边处理。</w:t>
            </w:r>
          </w:p>
          <w:p w14:paraId="09D76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2、桌脚、横梁：钢管采用优质冷轧钢管，钢板采用一级冷轧钢板，表面采用粉末涂料涂装；前处理过程不使用含磷的脱脂剂和皮膜剂，不使用卤代有机物去除油污或进行金属表面处理。满足《HG/T 2006-2022 热固性粉末涂料》4中室内用优等品所规定的要求。图层理化性能应满足GB/T 3325-2024中5.5.1中表5关于金属喷漆（塑）涂层的理化性能要求。</w:t>
            </w:r>
          </w:p>
          <w:p w14:paraId="2237E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3、执行标准：各项技术指标符合GB/T 3324-2024 《木家具通用技术条件》规定的要求。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E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48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A4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3FD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2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4E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餐椅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B59BD5">
            <w:pPr>
              <w:bidi w:val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520*540*850mm（±20）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261745" cy="1675765"/>
                  <wp:effectExtent l="0" t="0" r="14605" b="635"/>
                  <wp:docPr id="1" name="图片 1" descr="18bb25a6a0b7aa8535ba6fc9c4bce4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8bb25a6a0b7aa8535ba6fc9c4bce48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745" cy="167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E85036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A、坐板</w:t>
            </w:r>
          </w:p>
          <w:p w14:paraId="2BBB272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1、材质：采用全新PP耐冲击塑料一体射出成型，不可采用回料生产。</w:t>
            </w:r>
          </w:p>
          <w:p w14:paraId="2FFC6552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2、尺寸：540mm(±5mm)×465mm(±5mm)×380mm(±5mm)。</w:t>
            </w:r>
          </w:p>
          <w:p w14:paraId="2ABCE59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3、功能：坐垫中间设有流线凹槽设计，符合人体工学。座靠衔接处一体成型 X 型支撑，强化整体承重，分散受力，大幅提升结构稳定性，坐高约440mm。</w:t>
            </w:r>
          </w:p>
          <w:p w14:paraId="2F9521C9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B、靠背</w:t>
            </w:r>
          </w:p>
          <w:p w14:paraId="575A093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1、材质：采用全新PP耐冲击塑料一体射出成型，不可采用回收料生产。</w:t>
            </w:r>
          </w:p>
          <w:p w14:paraId="616879F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2、尺寸：315mm(±5mm)×440mm(±5mm)。</w:t>
            </w:r>
          </w:p>
          <w:p w14:paraId="083C024F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3、功能：蝴蝶翼仿生设计，贴合人体脊柱生理曲线，双侧加强筋设计，均匀分散背部压力，靠背上方设有手提孔，方便搬运，坐板和靠背采用螺丝连接，并安装外盖，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使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产品更加美观。</w:t>
            </w:r>
          </w:p>
          <w:p w14:paraId="368AA6CF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C、椅钢架</w:t>
            </w:r>
          </w:p>
          <w:p w14:paraId="3B47086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1、材质：采用碳钢钢管焊接而成，结构牢固，长时间使用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摇晃松散的现象。采用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φ1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mm×1.8mm厚圆管弯制焊接而成。表面环保静电喷塑处理，防锈防腐蚀、不易掉漆变形</w:t>
            </w:r>
          </w:p>
          <w:p w14:paraId="5A30AEA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D、脚垫</w:t>
            </w:r>
          </w:p>
          <w:p w14:paraId="133C73B3">
            <w:pPr>
              <w:bidi w:val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1、材质：采用PP耐冲击塑料一体射出成型，不可采用回收料生产。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C8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464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7A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EEE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AA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办公桌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C6B686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1400*600*720mm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1330325" cy="940435"/>
                  <wp:effectExtent l="0" t="0" r="3175" b="12065"/>
                  <wp:docPr id="82" name="ID_B623148B29584B04988A3EE68BECAD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D_B623148B29584B04988A3EE68BECAD6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325" cy="94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A70BC2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1、材质：</w:t>
            </w:r>
          </w:p>
          <w:p w14:paraId="2F531F6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1、桌板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、柜体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：基材采用品牌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，甲醛释放量≤0.025 mg/m3，限量标识：ENF（执行标准：GB/T  39600-2021)；饰面材料采用三聚氰胺纸，具有防火、抗磨、防水等性能；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板材厚度≥18mm。</w:t>
            </w:r>
          </w:p>
          <w:p w14:paraId="0736F2B2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2）封边条：采用≥2mm厚同色PVC封边条。</w:t>
            </w:r>
          </w:p>
          <w:p w14:paraId="094D956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2、配件及功能结构要求：</w:t>
            </w:r>
          </w:p>
          <w:p w14:paraId="1E1DC08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1）五金件：采用优质品牌三节导轨和优质品牌阻尼铰链。导轨依据QB/T 2454-2013《家具五金抽屉导轨》功能试验耐久性15万次，无损，垂直向下静荷载 300N，水平侧向静荷载 150N；铰链依据QB/T 2189-2013(2017)《家具五金杯状暗铰链》，QB/T 3827-1999(2009)《轻工产品金属镀层和化学处理层的耐腐蚀试验方法乙酸盐雾试验(ASS)法》，耐久性：80000次，无损,耐腐蚀：18h.</w:t>
            </w:r>
          </w:p>
          <w:p w14:paraId="48341C3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a)所有组件或结合处不应断裂;</w:t>
            </w:r>
          </w:p>
          <w:p w14:paraId="75D2EBD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b)通过手触压证实，用于紧固的组件不应松动;</w:t>
            </w:r>
          </w:p>
          <w:p w14:paraId="25167F1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c)所有组件不应有影响正常运作的变形或磨损;</w:t>
            </w:r>
          </w:p>
          <w:p w14:paraId="74EE11D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d)固定组件不应松动;</w:t>
            </w:r>
          </w:p>
          <w:p w14:paraId="014309E2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e)所有组件的功能不应损害;</w:t>
            </w:r>
          </w:p>
          <w:p w14:paraId="753C5BB7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f)杯状暗铰链及其组件应能正常工作。                                                                                    </w:t>
            </w:r>
          </w:p>
          <w:p w14:paraId="248902D7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2）走线：侧柜考虑走线功能。                                                                        </w:t>
            </w:r>
          </w:p>
          <w:p w14:paraId="3BD4E206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3）结构：设有前挡板，侧柜带走线功能。一侧设一抽屉一开门柜，带锁。</w:t>
            </w:r>
          </w:p>
          <w:p w14:paraId="16F4F8A1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4）桌架：采用金属桌架，壁厚≥1.5mm；所有金属表面经除油、除锈、陶化后喷塑处理。     </w:t>
            </w:r>
          </w:p>
          <w:p w14:paraId="29E5DE86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5）屏风：屏风厚度≥40MM，铝合金框架，铝材厚度为≥1.5mm，拆装方便灵活，屏风底下采用耐磨耐压ABS可调节水平脚。屏风为布艺内衬板材。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5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67B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79A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7B6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C4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行政办公桌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6758DC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1800*950*750mm</w:t>
            </w:r>
            <w:r>
              <w:rPr>
                <w:rFonts w:hint="eastAsia"/>
                <w:sz w:val="18"/>
                <w:szCs w:val="18"/>
                <w:lang w:eastAsia="zh-CN"/>
              </w:rPr>
              <w:t>（其中主桌尺寸为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1600*600*750；侧桌尺寸为950*350*750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-349250</wp:posOffset>
                  </wp:positionV>
                  <wp:extent cx="1285875" cy="699135"/>
                  <wp:effectExtent l="0" t="0" r="9525" b="5715"/>
                  <wp:wrapNone/>
                  <wp:docPr id="578" name="图片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" name="图片 57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699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19168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饰面：采用厚度≧0.6mm胡桃木木皮贴面，无节疤、腐朽、裂纹、虫眼、夹皮、变色等缺陷，用于同一件产品的木皮颜色、纹纹理一致， 木纹清晰。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2、基材采用多层实木板， 甲醛释放量至少达到E0级。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3、封边：采用实木皮封边，封边厚度≧0.6mm。封边应严密、平整、不允许脱胶、表面有胶渍，倒棱、 圆角、 圆线应均匀一致，自装配拆装产品零件结合应牢固严密。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4、油漆：采用环保优质水性漆，标准厚度为0.5mm，底着色，五底三面油漆工艺，清晰体现实木质感。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5、胶水：环保白乳胶，不含甲醛。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6、五金配件：三合一连接件，五金（螺丝）配件。</w:t>
            </w:r>
          </w:p>
          <w:p w14:paraId="6A731FCB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、配件及功能结构要求：</w:t>
            </w:r>
          </w:p>
          <w:p w14:paraId="0955206F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五金件：采用优质品牌三节导轨和优质品牌阻尼铰链。导轨依据QB/T 2454-2013《家具五金抽屉导轨》功能试验耐久性15万次，无损，垂直向下静荷载 300N，水平侧向静荷载 150N；                                                             </w:t>
            </w:r>
          </w:p>
          <w:p w14:paraId="63F5823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走线：侧柜具备走线功能，桌面配置金属翻盖线盒。</w:t>
            </w:r>
          </w:p>
          <w:p w14:paraId="07E89AE8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功能：配置三抽柜，双开门柜，开放储物格，主机箱。双开门柜内置一活动层板。抽屉柜带锁。   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66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E2D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3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6CD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F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0D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保密柜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E24D5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900*420*1800mm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3175</wp:posOffset>
                  </wp:positionV>
                  <wp:extent cx="894715" cy="1615440"/>
                  <wp:effectExtent l="0" t="0" r="635" b="3810"/>
                  <wp:wrapNone/>
                  <wp:docPr id="67" name="ID_CC7CA24E468D46A9B6E3423BFAB90A8A" descr="保密柜-通双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D_CC7CA24E468D46A9B6E3423BFAB90A8A" descr="保密柜-通双节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5728" t="6134" r="24018" b="27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715" cy="161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E4B9B0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1、基材：一级冷轧钢板，厚度≥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1.0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mm。</w:t>
            </w:r>
          </w:p>
          <w:p w14:paraId="0969A3E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2、工艺：柜子经钢板折弯、焊接而成，表面采用环保粉末涂料静电喷涂。前处理过程采用环保工艺进行金属表面处理，不使用含磷的脱脂剂和皮膜剂，不使用卤代有机物去除油污。</w:t>
            </w:r>
          </w:p>
          <w:p w14:paraId="64C2C8DC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3、配置：上下双开门，含上下各一块层板，柜门内置2个抽屉，长边三折弯处理，中间设加强筋板，指纹+密码锁双保险锁控报警。</w:t>
            </w:r>
          </w:p>
          <w:p w14:paraId="5BC84FA1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、成品：各项技术指标符合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  <w:t>GB/T 3325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《金属家具通用技术条件》规定的要求。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E6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09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72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93F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0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66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0D06C9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30cm*20cm*20cm</w:t>
            </w:r>
          </w:p>
          <w:p w14:paraId="3F28201E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按保密要求配置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F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009650" cy="600075"/>
                  <wp:effectExtent l="0" t="0" r="0" b="9525"/>
                  <wp:docPr id="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223CF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1、基材：一级冷轧钢板，厚度≥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mm。</w:t>
            </w:r>
          </w:p>
          <w:p w14:paraId="7C92B9E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2、工艺：柜子经钢板折弯、焊接而成，表面采用环保粉末涂料静电喷涂。前处理过程采用环保工艺进行金属表面处理，不使用含磷的脱脂剂和皮膜剂，不使用卤代有机物去除油污。</w:t>
            </w:r>
          </w:p>
          <w:p w14:paraId="25498F4F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3、配置：单门，长边三折弯处理，中间设加强筋板，指纹+密码锁双保险锁控报警，带应急钥匙可设计功能。</w:t>
            </w:r>
          </w:p>
          <w:p w14:paraId="558EE1DF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、成品：各项技术指标符合《金属家具通用技术条件》规定的要求。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F8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F8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53A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39A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73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茶几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5724D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800*450*420mm，桌面钢化玻璃3C标志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075055" cy="826135"/>
                  <wp:effectExtent l="0" t="0" r="10795" b="12065"/>
                  <wp:docPr id="16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055" cy="826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5508B9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1、茶几面板：基材采用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钢化玻璃3C标志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。内嵌锌合金预埋螺母，可重复拆卸。</w:t>
            </w:r>
          </w:p>
          <w:p w14:paraId="0DB38E30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2、金属钢架：采用钢管或一级冷轧钢板焊接而成，壁厚≥1.5mm；表面采用粉末涂料静电喷涂。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2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BB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96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CB8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F98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茶水柜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C973E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1200*550*850mm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E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109980" cy="1141095"/>
                  <wp:effectExtent l="0" t="0" r="13970" b="1905"/>
                  <wp:docPr id="20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80" cy="1141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48F7AC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1、基材：柜本体采用品牌刨花板，甲醛释放量≤0.025 mg/m3，限量标识：ENF（执行标准：GB/T 39600-2021)；品牌饰面纸；四周采用≥1mm厚同色PVC封边条封边。</w:t>
            </w:r>
          </w:p>
          <w:p w14:paraId="75E5F194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2、胶粘剂：采用水性胶粘剂，应符合GB 18583-2008的要求。</w:t>
            </w:r>
          </w:p>
          <w:p w14:paraId="777B80B1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3、五金：阻尼铰链、品牌锁具、防潮脚垫；搭配一字型拉手。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F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E1E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1B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550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B4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储物柜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0486A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850*400*1800mm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-82550</wp:posOffset>
                  </wp:positionV>
                  <wp:extent cx="707390" cy="1130300"/>
                  <wp:effectExtent l="0" t="0" r="16510" b="12700"/>
                  <wp:wrapNone/>
                  <wp:docPr id="51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0C2F09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1、基材：一级冷轧钢板，厚度≥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mm。</w:t>
            </w:r>
          </w:p>
          <w:p w14:paraId="1F752CE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2、工艺：柜子经钢板折弯、焊接而成，表面采用环保粉末涂料静电喷涂。前处理过程采用环保工艺进行金属表面处理，不使用含磷的脱脂剂和皮膜剂，不使用卤代有机物去除油污。</w:t>
            </w:r>
          </w:p>
          <w:p w14:paraId="7C44528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3、配置：上下双开门，含上下各一块层板，衣柜拉手采用安装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绿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色彩带拉手，拉手采用ABS+PVC材质，安装在柜门鹅颈造形卡槽内，开关门手接触时无静电反应。</w:t>
            </w:r>
          </w:p>
          <w:p w14:paraId="1EF1A8D6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、成品：各项技术指标符合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  <w:t>GB/T 3325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《金属家具通用技术条件》规定的要求。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1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C8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66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487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DA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大床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17CFA9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2000*1800mm，软包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A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202690" cy="807720"/>
                  <wp:effectExtent l="0" t="0" r="16510" b="11430"/>
                  <wp:docPr id="27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690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C90ED9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1、材质：</w:t>
            </w:r>
          </w:p>
          <w:p w14:paraId="2655748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基材：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基材采用品牌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，甲醛释放量≤0.025 mg/m3，限量标识：ENF（执行标准：GB/T  39600-2021)；饰面材料采用三聚氰胺纸，具有防火、抗磨、防水等性能；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板材厚度≥18mm。</w:t>
            </w:r>
          </w:p>
          <w:p w14:paraId="114FE291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封边条：采用≥2mm厚同色PVC封边条。</w:t>
            </w:r>
          </w:p>
          <w:p w14:paraId="5B41A7D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2、配件及功能结构要求：</w:t>
            </w:r>
          </w:p>
          <w:p w14:paraId="53193F2E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五金件：采用优质品牌五金配件。 </w:t>
            </w:r>
          </w:p>
          <w:p w14:paraId="44FE273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表面材料：PU面无划痕、破裂、扎坏。布料面无结头或跳纱、起球，表面平整，无皱折现象，经纬线平直。面料无明显色差、无疵点。面料粘贴时应粘贴牢固，无脱胶气泡现象。软包件及缝纫应外形饱满，平滑一致，对称部件对称，缝纫线迹均匀，无明显浮线跳针。</w:t>
            </w:r>
          </w:p>
          <w:p w14:paraId="50C08387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4、床脚：由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2.0mm厚碳素钢管或一级冷轧钢板焊接而成，表面粉末涂装。钢管脚涂层不得有划伤、脱落、生锈现象。前处理过程不使用含磷的脱脂剂和皮膜剂，不使用卤代有机物去除油污或进行金属表面处理。垫脚安装牢固，不得有缺件、脱落现象。                      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E77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9E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E8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0FA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A3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带面板的橱柜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C5718E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1600*400*1100mm,桌面钢化玻璃3C标志,可放置小电器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229360" cy="941070"/>
                  <wp:effectExtent l="0" t="0" r="8890" b="11430"/>
                  <wp:docPr id="28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7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941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E0D3E6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1、基材：柜本体采用品牌刨花板，甲醛释放量≤0.025 mg/m3，限量标识：ENF（执行标准：GB/T 39600-2021)；品牌饰面纸；四周采用1mm厚同色PVC封边条封边。</w:t>
            </w:r>
          </w:p>
          <w:p w14:paraId="7FA5583B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2、胶粘剂：采用水性胶粘剂，应符合GB 18583-2008的要求。</w:t>
            </w:r>
          </w:p>
          <w:p w14:paraId="5ED00122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3、五金：阻尼铰链、品牌锁具、防潮脚垫；搭配一字型拉手。</w:t>
            </w:r>
          </w:p>
          <w:p w14:paraId="1B953172">
            <w:pPr>
              <w:bidi w:val="0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4、台面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钢化玻璃3C标志。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8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99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2A4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48C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F2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单人床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45D6A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2000*1200mm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160020</wp:posOffset>
                  </wp:positionV>
                  <wp:extent cx="927100" cy="709295"/>
                  <wp:effectExtent l="0" t="0" r="6350" b="14605"/>
                  <wp:wrapNone/>
                  <wp:docPr id="37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70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048460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1、材质：</w:t>
            </w:r>
          </w:p>
          <w:p w14:paraId="1E9692D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基材：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基材采用品牌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，甲醛释放量≤0.025 mg/m3，限量标识：ENF（执行标准：GB/T  39600-2021)；饰面材料采用三聚氰胺纸，具有防火、抗磨、防水等性能；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板材厚度≥18mm。</w:t>
            </w:r>
          </w:p>
          <w:p w14:paraId="7999870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封边条：采用≥2mm厚同色PVC封边条。</w:t>
            </w:r>
          </w:p>
          <w:p w14:paraId="223EC43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2、配件及功能结构要求：</w:t>
            </w:r>
          </w:p>
          <w:p w14:paraId="6A58353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五金件：采用优质品牌五金配件。 </w:t>
            </w:r>
          </w:p>
          <w:p w14:paraId="58085D4C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4、床脚：由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2.0mm厚碳素钢管或一级冷轧钢板焊接而成，表面粉末涂装。钢管脚涂层不得有划伤、脱落、生锈现象。前处理过程不使用含磷的脱脂剂和皮膜剂，不使用卤代有机物去除油污或进行金属表面处理。垫脚安装牢固，不得有缺件、脱落现象。   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B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69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21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9BC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39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单人沙发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C4834C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800*800*450mm，皮革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166370</wp:posOffset>
                  </wp:positionV>
                  <wp:extent cx="1030605" cy="755015"/>
                  <wp:effectExtent l="0" t="0" r="17145" b="6985"/>
                  <wp:wrapNone/>
                  <wp:docPr id="39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605" cy="755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949DB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1、尺寸：外观尺寸公差范围±10mm。沙发木架牢固，无晃动。产品着地平稳，偏差不大于2mm。</w:t>
            </w:r>
          </w:p>
          <w:p w14:paraId="02291441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2、内芯材：沙发本体松木，框架采用多层木板热压成型+实木，高密度切割泡棉。</w:t>
            </w:r>
          </w:p>
          <w:p w14:paraId="576444EF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表面材料：PU面无划痕、破裂、扎坏。布料面无结头或跳纱、起球，表面平整，无皱折现象，经纬线平直。面料无明显色差、无疵点。面料粘贴时应粘贴牢固，无脱胶气泡现象。软包件及缝纫应外形饱满，平滑一致，对称部件对称，缝纫线迹均匀，无明显浮线跳针。</w:t>
            </w:r>
          </w:p>
          <w:p w14:paraId="57B7C4C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4、沙发脚、横梁：由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2.0mm厚碳素钢管或一级冷轧钢板焊接而成，表面粉末涂装。钢管脚涂层不得有划伤、脱落、生锈现象。前处理过程不使用含磷的脱脂剂和皮膜剂，不使用卤代有机物去除油污或进行金属表面处理。垫脚安装牢固，不得有缺件、脱落现象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B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E5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9E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DE2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A3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多层板床头柜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BF72C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400*500*400mm，带抽屉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2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62230</wp:posOffset>
                  </wp:positionV>
                  <wp:extent cx="1123950" cy="1057275"/>
                  <wp:effectExtent l="0" t="0" r="0" b="9525"/>
                  <wp:wrapNone/>
                  <wp:docPr id="9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4D852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1、柜体板：侧板、层板及背板均采用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mm厚饰面多层板，环保等级不低于E0级，板材表面不得有缺角和破损，无明显的干湿花污斑及划痕，可见截面采用同色PVC封边条，厚度≥1mm，采用环保热熔胶封边工艺，粘贴牢固无脱落；柜体采用三合一连接件连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2、门板：基材采用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18mm厚饰面多层板，环保等级不低于E0级，四周截面采用同色PVC封边条，厚度≥1mm，门板上配备铝合金暗扣拉手，拉手与柜门表面平齐无凸出，表面喷涂处理，挂锁不外露，挂锁可单独配置，确保使用时的安全性。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4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DB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36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973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2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9E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分层铁皮柜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0AAAD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900*400*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203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9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619760" cy="1266825"/>
                  <wp:effectExtent l="0" t="0" r="8890" b="952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B8A572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1、基材：一级冷轧钢板，厚度≥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mm。</w:t>
            </w:r>
          </w:p>
          <w:p w14:paraId="4A791C8B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2、工艺：柜子经钢板折弯、焊接而成，表面采用环保粉末涂料静电喷涂。前处理过程采用环保工艺进行金属表面处理，不使用含磷的脱脂剂和皮膜剂，不使用卤代有机物去除油污。</w:t>
            </w:r>
          </w:p>
          <w:p w14:paraId="4A5AAE96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3、配置：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独立柜体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可堆叠，对开门。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拉手采用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钢制内嵌拉手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。</w:t>
            </w:r>
          </w:p>
          <w:p w14:paraId="59558533">
            <w:pPr>
              <w:bidi w:val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、成品：各项技术指标符合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  <w:t>GB/T 3325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《金属家具通用技术条件》规定的要求。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3C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2D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95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827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E5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高低床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DD5927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1200*2000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*1850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D37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77470</wp:posOffset>
                  </wp:positionV>
                  <wp:extent cx="1014095" cy="846455"/>
                  <wp:effectExtent l="0" t="0" r="14605" b="10795"/>
                  <wp:wrapNone/>
                  <wp:docPr id="106" name="ID_7F2089556A11490CA85A349D1E98B266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D_7F2089556A11490CA85A349D1E98B266" descr=" 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095" cy="846455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noFill/>
                            <a:prstDash val="solid"/>
                            <a:miter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430283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1、基材：加厚全钢制上下铺床，优质烤漆加厚钢材，精选优质一级冷轧钢材，不易变形，强度高。</w:t>
            </w:r>
          </w:p>
          <w:p w14:paraId="47721463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2、配置：加宽加高安全防护栏，符合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  <w:t>GB/T 3325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《金属家具通用技术条件》规定的要求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，加厚防滑高脚套，全挂扣式安装，加长防滑踏板。</w:t>
            </w:r>
          </w:p>
          <w:p w14:paraId="58AF322F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3、含杉木床板。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14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5A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8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565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BF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更衣柜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C37DF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900*400*1850mm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08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648970" cy="1105535"/>
                  <wp:effectExtent l="0" t="0" r="17780" b="18415"/>
                  <wp:docPr id="11" name="图片 1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110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3BB91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1、基材：一级冷轧钢板，厚度≥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mm。</w:t>
            </w:r>
          </w:p>
          <w:p w14:paraId="181009FC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2、工艺：柜子经钢板折弯、焊接而成，表面采用环保粉末涂料静电喷涂。前处理过程采用环保工艺进行金属表面处理，不使用含磷的脱脂剂和皮膜剂，不使用卤代有机物去除油污。</w:t>
            </w:r>
          </w:p>
          <w:p w14:paraId="37589552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3、配置：上下双开门，含上下各一块层板，衣柜拉手采用安装橙色彩带拉手，拉手采用ABS+PVC材质，安装在柜门鹅颈造形卡槽内，开关门手接触时无静电反应。</w:t>
            </w:r>
          </w:p>
          <w:p w14:paraId="32E51765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、成品：各项技术指标符合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  <w:t>GB/T 3325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《金属家具通用技术条件》规定的要求。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D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DB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1D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7C0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2C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化学品存放柜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5CD6C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1200*600*1800mm,通风，双人双锁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8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drawing>
                <wp:inline distT="0" distB="0" distL="114300" distR="114300">
                  <wp:extent cx="523875" cy="1101090"/>
                  <wp:effectExtent l="0" t="0" r="9525" b="3810"/>
                  <wp:docPr id="69" name="ID_D007070E49FC4CB886C9A37D589F08C5" descr="等体器械柜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D_D007070E49FC4CB886C9A37D589F08C5" descr="等体器械柜侧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25374" r="218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E6BB4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1、基材：一级电解钢板，厚度≥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mm。</w:t>
            </w:r>
          </w:p>
          <w:p w14:paraId="77468E0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2、工艺：柜子经钢板折弯、焊接而成，表面采用环保粉末涂料静电喷涂。前处理过程采用环保工艺进行金属表面处理，不使用含磷的脱脂剂和皮膜剂，不使用卤代有机物去除油污。</w:t>
            </w:r>
          </w:p>
          <w:p w14:paraId="4E14ADF8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3、配置：上下双开门，含上下各一块层板，柜门双锁设计。柜台侧面设计通风窗。</w:t>
            </w:r>
          </w:p>
          <w:p w14:paraId="1B9ECA2C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、成品：各项技术指标符合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  <w:t>GB/T 3325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《金属家具通用技术条件》规定的要求。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CA3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17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D3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E9B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487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会议桌1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D2E366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2400*1200*740mm（10人用）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0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-20320</wp:posOffset>
                  </wp:positionV>
                  <wp:extent cx="1106805" cy="594995"/>
                  <wp:effectExtent l="0" t="0" r="17145" b="14605"/>
                  <wp:wrapNone/>
                  <wp:docPr id="49" name="Picture 2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281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805" cy="59499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3D154B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1、桌板：基材采用品牌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多层板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，甲醛释放量≤0.025 mg/m3，限量标识：ENF（执行标准：GB/T 39600-2021)；饰面材料采用三聚氰胺纸，具有防火、抗磨、防水等性能；桌板厚度≥25mm，四周采用30x15斜边处理。</w:t>
            </w:r>
          </w:p>
          <w:p w14:paraId="06DBD467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2、桌脚、横梁：钢管采用优质冷轧钢管，钢板采用一级冷轧钢板，表面采用粉末涂料涂装；前处理过程不使用含磷的脱脂剂和皮膜剂，不使用卤代有机物去除油污或进行金属表面处理。满足HG/T 2006-2022 《热固性粉末涂料》4中室内用优等品所规定的要求。图层理化性能应满足GB/T 3325-2024中5.5.1中表5关于金属喷漆（塑）涂层的理化性能要求。</w:t>
            </w:r>
          </w:p>
          <w:p w14:paraId="7B77C903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3、执行标准：各项技术指标符合GB/T 3324-2024 《木家具通用技术条件》规定的要求。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8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30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EA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CD9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6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04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476916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1600*1000*750mm（6人用）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65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2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1AAB05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BD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B5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E6B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D78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6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2D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7357A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2800*1200*750mm</w:t>
            </w:r>
          </w:p>
          <w:p w14:paraId="4A9170D1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（10人用）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A8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2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B04445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BD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31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81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D01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FA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C2848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6000*1500*750mm（20人）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A0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-210185</wp:posOffset>
                  </wp:positionV>
                  <wp:extent cx="1009015" cy="590550"/>
                  <wp:effectExtent l="0" t="0" r="635" b="0"/>
                  <wp:wrapNone/>
                  <wp:docPr id="50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01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A7DC3A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饰面：采用厚度≧0.6mm胡桃木木皮贴面，无节疤、腐朽、裂纹、虫眼、夹皮、变色等缺陷，用于同一件产品的木皮颜色、纹纹理一致， 木纹清晰。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2、基材采用多层实木板， 甲醛释放量至少达到E0级。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3、封边：采用实木皮封边，封边厚度≧0.6mm。封边应严密、平整、不允许脱胶、表面有胶渍，倒棱、 圆角、 圆线应均匀一致，自装配拆装产品零件结合应牢固严密。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4、油漆：采用环保优质水性漆，标准厚度为0.5mm，底着色，五底三面油漆工艺，清晰体现实木质感。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5、胶水：环保白乳胶，不含甲醛。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6、五金配件：三合一连接件，五金（螺丝）配件。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C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5F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61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DC6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6E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10BBD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4800*1500*750mm</w:t>
            </w:r>
          </w:p>
          <w:p w14:paraId="6F49D34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（16人用）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A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2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07A9B3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F2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C00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43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04C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6D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会议椅2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A41A72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750*510*1000mm（坐高470mm）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0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306070" cy="463550"/>
                  <wp:effectExtent l="0" t="0" r="17780" b="12700"/>
                  <wp:docPr id="422" name="图片 7" descr="微信图片_20230327214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图片 7" descr="微信图片_20230327214816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rcRect l="15713" t="16931" r="12953" b="5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70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E71831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靠背：定型弯板内架，优质西皮面料，内部填充高密度海绵，坐感舒适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脚架:弓形脚架，不锈钢脚套，坚固耐用。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A13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AC1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AA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103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12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前台用矮柜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0521B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1800*600*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900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09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111250" cy="898525"/>
                  <wp:effectExtent l="0" t="0" r="12700" b="15875"/>
                  <wp:docPr id="95" name="ID_BA3BAA342E2943F5867C5313A45AA9BB" descr="post_object_image_279495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D_BA3BAA342E2943F5867C5313A45AA9BB" descr="post_object_image_27949574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250" cy="898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855CDE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1、基材：柜本体采用品牌刨花板，甲醛释放量≤0.025 mg/m3，限量标识：ENF（执行标准：GB/T 39600-2021)；品牌饰面纸；四周采用≥1mm厚同色PVC封边条封边。</w:t>
            </w:r>
          </w:p>
          <w:p w14:paraId="5322DD26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2、胶粘剂：采用水性胶粘剂，应符合GB 18583-2008的要求。</w:t>
            </w:r>
          </w:p>
          <w:p w14:paraId="0FAE91ED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3、五金：阻尼铰链、品牌锁具、防潮脚垫；搭配一字型拉手。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E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76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10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A1C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4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16C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沙发椅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51AA6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微软雅黑" w:hAnsi="微软雅黑" w:eastAsia="微软雅黑" w:cs="微软雅黑"/>
                <w:color w:val="000000"/>
                <w:kern w:val="0"/>
                <w:sz w:val="19"/>
                <w:szCs w:val="19"/>
                <w:lang w:val="en-US" w:eastAsia="zh-CN" w:bidi="ar"/>
              </w:rPr>
              <w:t>680*750*850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9"/>
                <w:szCs w:val="19"/>
                <w:lang w:val="en-US" w:eastAsia="zh-CN" w:bidi="ar"/>
              </w:rPr>
              <w:t>mm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 </w:t>
            </w:r>
          </w:p>
          <w:p w14:paraId="2472393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9"/>
                <w:szCs w:val="19"/>
                <w:lang w:val="en-US" w:eastAsia="zh-CN" w:bidi="ar"/>
              </w:rPr>
              <w:t>(坐高440)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85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964565" cy="1026160"/>
                  <wp:effectExtent l="0" t="0" r="6985" b="2540"/>
                  <wp:docPr id="57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565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206AA0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靠背：定型弯板内架，优质西皮面料，内部填充高密度海绵，坐感舒适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脚架:五金铁脚，不锈钢脚套，坚固耐用。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8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C3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7F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997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FF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中二抽铁皮柜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8BCD18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900*400*1850mm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E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728980" cy="1362710"/>
                  <wp:effectExtent l="0" t="0" r="13970" b="8890"/>
                  <wp:docPr id="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980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2AA142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1、基材：一级冷轧钢板，厚度≥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mm。</w:t>
            </w:r>
          </w:p>
          <w:p w14:paraId="52D68E96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2、工艺：柜子经钢板折弯、焊接而成，表面采用环保粉末涂料静电喷涂。前处理过程采用环保工艺进行金属表面处理，不使用含磷的脱脂剂和皮膜剂，不使用卤代有机物去除油污。</w:t>
            </w:r>
          </w:p>
          <w:p w14:paraId="0A0557F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3、配置：上下双开门，含上下各一块层板，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中间部分为抽屉。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拉手采用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钢制内嵌拉手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。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优质五金配件。优质锁具。</w:t>
            </w:r>
          </w:p>
          <w:p w14:paraId="4E30F71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  <w:p w14:paraId="5ADE6D87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、成品：各项技术指标符合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  <w:t>GB/T 3325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《金属家具通用技术条件》规定的要求。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BC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09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E26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4C5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ED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网布办公椅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1EF7E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57*58*97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6B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254125" cy="1725930"/>
                  <wp:effectExtent l="0" t="0" r="3175" b="7620"/>
                  <wp:docPr id="54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125" cy="1725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9E1313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1、支撑脚底座：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Φ320mm黑色PP五星脚，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承重≥150kg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，抗压不变形、结构稳固。</w:t>
            </w:r>
          </w:p>
          <w:p w14:paraId="797E8E13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2、脚轮：50mm黑色尼龙脚轮，符合GB/T 32487、QB/T 2280标准。材料经500h耐老化测试，冲击强度、变色等级，重金属限量符合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GB18584标准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，耐磨静音。</w:t>
            </w:r>
          </w:p>
          <w:p w14:paraId="75E41184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3、气压杆与底盘结构：升降气杆，升降顺畅、锁紧稳固。采用加厚钢制底盘，支持原位锁定、逍遥后仰功能，结构稳固。</w:t>
            </w:r>
          </w:p>
          <w:p w14:paraId="6D8617B4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4、椅背、扶手与腰垫配置：PP玻纤一体式背筐，配置固定腰垫及一体式扶手。</w:t>
            </w:r>
          </w:p>
          <w:p w14:paraId="76C2E723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坐垫与靠背饰面材质：坐垫采用42密度高弹切割海绵，配备耐磨亲肤弹力面料；靠背采用加密加厚高弹网布，结实耐用、易清洁。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D0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37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4F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E73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2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9E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文件柜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83C6B7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970*450*1850mm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5C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278255" cy="1942465"/>
                  <wp:effectExtent l="0" t="0" r="17145" b="635"/>
                  <wp:docPr id="53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255" cy="1942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E015CB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1、基材：柜本体采用品牌多层板，甲醛释放量≤0.025 mg/m3，限量标识：ENF（执行标准：GB/T 39600-2021)；品牌饰面纸；四周采用≥1mm厚同色PVC封边条封边。</w:t>
            </w:r>
          </w:p>
          <w:p w14:paraId="749D1466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2、胶粘剂：采用水性胶粘剂，应符合GB 18583-2008的要求。</w:t>
            </w:r>
          </w:p>
          <w:p w14:paraId="33889CAC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3、五金：阻尼铰链、品牌锁具、防潮脚垫；搭配一字型拉手。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92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47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7F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5EF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64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小餐桌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181BD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1500*500*750mm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F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144270" cy="1159510"/>
                  <wp:effectExtent l="0" t="0" r="17780" b="2540"/>
                  <wp:docPr id="52" name="Picture 3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3297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1159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AB6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1、桌板：基材采用品牌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，甲醛释放量≤0.025 mg/m3，限量标识：ENF（执行标准：GB/T  39600-2021)；饰面材料采用三聚氰胺纸，具有防火、抗磨、防水等性能；桌板厚度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25mm，四周采用30x15斜边处理。</w:t>
            </w:r>
          </w:p>
          <w:p w14:paraId="3265A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2、桌脚、横梁：钢管采用优质冷轧钢管，钢板采用一级冷轧钢板，表面采用粉末涂料涂装；前处理过程不使用含磷的脱脂剂和皮膜剂，不使用卤代有机物去除油污或进行金属表面处理。满足HG/T 2006-2022 《热固性粉末涂料》4中室内用优等品所规定的要求。图层理化性能应满足GB/T 3325-2024中5.5.1中表5关于金属喷漆（塑）涂层的理化性能要求。</w:t>
            </w:r>
          </w:p>
          <w:p w14:paraId="237531A4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3、执行标准：各项技术指标符合GB/T 3324-2024 《木家具通用技术条件》规定的要求。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E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44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15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B42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46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鞋柜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6ABF9C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800*350*1100mm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7A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18415</wp:posOffset>
                  </wp:positionV>
                  <wp:extent cx="858520" cy="800100"/>
                  <wp:effectExtent l="0" t="0" r="17780" b="0"/>
                  <wp:wrapNone/>
                  <wp:docPr id="58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52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381FB3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1、基材：柜本体采用品牌多层板，甲醛释放量≤0.025 mg/m3，限量标识：ENF（执行标准：GB/T 39600-2021)；品牌饰面纸；四周采用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1mm厚同色PVC封边条封边。</w:t>
            </w:r>
          </w:p>
          <w:p w14:paraId="659406AE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2、胶粘剂：采用水性胶粘剂，应符合GB 18583-2008的要求。</w:t>
            </w:r>
          </w:p>
          <w:p w14:paraId="06E369CF">
            <w:pPr>
              <w:bidi w:val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3、五金：阻尼铰链、品牌锁具、防潮脚垫；搭配一字型拉手。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DE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16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57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DEF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55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A60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休息长凳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3B14A6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2000*500*450mm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1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097915" cy="672465"/>
                  <wp:effectExtent l="0" t="0" r="6985" b="13335"/>
                  <wp:docPr id="59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915" cy="672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1DDD6E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1、尺寸：外观尺寸公差范围±10mm。沙发木架牢固，无晃动。产品着地平稳，偏差不大于2mm。</w:t>
            </w:r>
          </w:p>
          <w:p w14:paraId="0EB9FA92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2、内芯材：沙发本体松木，框架采用多层木板热压成型+实木，高密度切割泡棉。</w:t>
            </w:r>
          </w:p>
          <w:p w14:paraId="6A05148D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表面材料：PU面无划痕、破裂、扎坏。布料面无结头或跳纱、起球，表面平整，无皱折现象，经纬线平直。面料无明显色差、无疵点。面料粘贴时应粘贴牢固，无脱胶气泡现象。软包件及缝纫应外形饱满，平滑一致，对称部件对称，缝纫线迹均匀，无明显浮线跳针。</w:t>
            </w:r>
          </w:p>
          <w:p w14:paraId="07BA415E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4、沙发脚、横梁：由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2.0mm厚碳素钢管或一级冷轧钢板焊接而成，表面粉末涂装。钢管脚涂层不得有划伤、脱落、生锈现象。前处理过程不使用含磷的脱脂剂和皮膜剂，不使用卤代有机物去除油污或进行金属表面处理。垫脚安装牢固，不得有缺件、脱落现象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9A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02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3A1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04B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A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24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衣柜（核心产品）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1EDFA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800*500*1800mm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27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974090" cy="1833880"/>
                  <wp:effectExtent l="0" t="0" r="16510" b="13970"/>
                  <wp:docPr id="5" name="图片 5" descr="728a42ea0c7e563a8f72ce6acf600c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728a42ea0c7e563a8f72ce6acf600c3b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09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4DE69B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1、基材：一级冷轧钢板，厚度≥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mm。</w:t>
            </w:r>
          </w:p>
          <w:p w14:paraId="6B5CB820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2、工艺：柜子经钢板折弯、焊接而成，表面采用环保粉末涂料静电喷涂。前处理过程采用环保工艺进行金属表面处理，不使用含磷的脱脂剂和皮膜剂，不使用卤代有机物去除油污。</w:t>
            </w:r>
          </w:p>
          <w:p w14:paraId="584CD643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3、配置：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对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开门，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内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含一块层板，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内含挂衣杆。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衣柜拉手采用安装橙色彩带拉手，拉手采用ABS+PVC材质，安装在柜门鹅颈造形卡槽内，开关门手接触时无静电反应。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柜门木纹转印表面静电粉末喷涂（门板橡木色）。柜体底部加装防潮脚垫。</w:t>
            </w:r>
          </w:p>
          <w:p w14:paraId="083A8AAC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、成品：各项技术指标符合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  <w:t>GB/T 3325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《金属家具通用技术条件》规定的要求。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AD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40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9E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CBB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4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A7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椅子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BED4D2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50*48*101mm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不带滑轮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E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801370" cy="1063625"/>
                  <wp:effectExtent l="0" t="0" r="17780" b="3175"/>
                  <wp:docPr id="63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2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106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5FE00A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1、椅背：PA+GF一体成型框架，优质网布，PP一体成型升降腰靠。纺织品 色牢度试验 耐摩擦色牢度符合GB/T 3920。</w:t>
            </w:r>
          </w:p>
          <w:p w14:paraId="308B69BC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3、扶手：PA+GF主体，扶手面PU聚氨酯发泡，可调节扶手。</w:t>
            </w:r>
          </w:p>
          <w:p w14:paraId="21C6DDB5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4、椅座：固定椅座，PP一体成型椅壳，成型泡棉，多异氰酸酯和聚醚多元醇的共聚物  符合GB/T 6669《软质泡沫聚合材料 压缩永久变形的测定》，同步符合 GB/T 6670 《软质泡沫聚合材料 落球法回弹性能的测定》，面料包覆，纺织品 色牢度试验 耐摩擦色牢度符合GB/T 3920。</w:t>
            </w:r>
          </w:p>
          <w:p w14:paraId="24EBD942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5、椅脚：优质碳素钢弯管脚，符合GB/T 3325《金属家具通用技术条件》。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C3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86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73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C58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06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折叠椅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3D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550*520*880mm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F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086485" cy="1358900"/>
                  <wp:effectExtent l="0" t="0" r="18415" b="12700"/>
                  <wp:docPr id="1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135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D3E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1、胶壳：优质聚丙烯PP塑胶，抗裂耐老化，环保无毒。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2、椅架：采用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T1.5mm优质钢管脚架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，静电喷涂，表面处理精细光滑、牢固抗冲击不变形。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3、网背座垫：优质透气中网背；定型海棉，弹力布面料，回弹好，坐感舒适。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4、连接件：靠背铝合金紧固件连接，底座双钢丝受力固定。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5、可折叠，方便移动。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6、功能：靠背可倾摇，坐感舒适；可座翻、全折叠收纳，节省空间。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D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E6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038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D46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E5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圆桌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98B4A7">
            <w:pPr>
              <w:bidi w:val="0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直径60cm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*H75cm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B8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999490" cy="1002665"/>
                  <wp:effectExtent l="0" t="0" r="0" b="0"/>
                  <wp:docPr id="43" name="图片 42" descr="前台接待区-王静茹-SL-08沙发(more)椅-ST43茶几(FLOWER)-副本-未命名-20250520-13384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2" descr="前台接待区-王静茹-SL-08沙发(more)椅-ST43茶几(FLOWER)-副本-未命名-20250520-13384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100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C8944A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1、桌面：三氰板基材采用品牌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多层板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，甲醛释放量≤0.025 mg/m3，限量标识：ENF（执行标准：GB/T 39600-2021)，饰面采用三聚氰胺纸。颜色可选。</w:t>
            </w:r>
          </w:p>
          <w:p w14:paraId="1CFD353B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2、底座脚：金属钢管采用优质冷轧钢管，钢板采用一级冷轧钢板，表面采用粉末涂料涂装；前处理过程不使用含磷的脱脂剂和皮膜剂，不使用卤代有机物去除油污或进行金属表面处理。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3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0E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DB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A7E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01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真皮可调节办公椅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50A487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自由悬停调节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59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74930</wp:posOffset>
                  </wp:positionV>
                  <wp:extent cx="614045" cy="799465"/>
                  <wp:effectExtent l="0" t="0" r="14605" b="635"/>
                  <wp:wrapNone/>
                  <wp:docPr id="68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7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045" cy="799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2A71F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1、材质：</w:t>
            </w:r>
          </w:p>
          <w:p w14:paraId="78BB58DF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覆 面：采用优质牛皮。</w:t>
            </w:r>
          </w:p>
          <w:p w14:paraId="24EDD081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海绵：采用优质海绵。                                          </w:t>
            </w:r>
          </w:p>
          <w:p w14:paraId="60C074E3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2、配件及功能结构要求：</w:t>
            </w:r>
          </w:p>
          <w:p w14:paraId="5E369CA8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配件：采用优质三级气杆气压棒，升降自然，优质实木五星脚架，优质尼龙万向轮。                                                                                     结构：靠背可倾仰调节，座高可升降调节。                底盘：原位锁定功能底盘。</w:t>
            </w:r>
          </w:p>
          <w:p w14:paraId="664EBFCB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扶手：PU聚丙烯扶手，抗冲击、抗拉伸。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B4B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B9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0B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F4A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B9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主席台桌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349ABF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约6000*600*750mm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319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160145" cy="438785"/>
                  <wp:effectExtent l="0" t="0" r="1905" b="18415"/>
                  <wp:docPr id="14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8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145" cy="438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BFC1B4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1、材质：</w:t>
            </w:r>
          </w:p>
          <w:p w14:paraId="0FD71FB7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基材：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基材采用品牌实木多层板，甲醛释放量≤0.025 mg/m3，限量标识：ENF（执行标准：GB/T  39600-2021)；饰面材料采用三聚氰胺纸，具有防火、抗磨、防水等性能；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板材厚度≥18mm。</w:t>
            </w:r>
          </w:p>
          <w:p w14:paraId="4A9F8F05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封边条：采用≥2mm厚同色PVC封边条。</w:t>
            </w:r>
          </w:p>
          <w:p w14:paraId="3F1D0C11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2、配件及功能结构要求：</w:t>
            </w:r>
          </w:p>
          <w:p w14:paraId="4BFFA87A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五金件：采用优质品牌三节导轨和优质品牌阻尼铰链。导轨依据QB/T 2454-2013《家具五金抽屉导轨》功能试验耐久性15万次，无损，垂直向下静荷载 300N，水平侧向静荷载 150N；                                                             </w:t>
            </w:r>
          </w:p>
          <w:p w14:paraId="2E57BE6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走线：侧柜具备走线功能，桌面配置金属翻盖线盒。</w:t>
            </w:r>
          </w:p>
          <w:p w14:paraId="4E14AC30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6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51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B06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E30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9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8F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主席台椅子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DB54B1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座宽≥500mm，座深≥500mm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AC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261745" cy="1575435"/>
                  <wp:effectExtent l="0" t="0" r="14605" b="5715"/>
                  <wp:docPr id="1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745" cy="157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9B3D7E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1、材质：</w:t>
            </w:r>
          </w:p>
          <w:p w14:paraId="52636768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覆 面：采用优质牛皮。</w:t>
            </w:r>
          </w:p>
          <w:p w14:paraId="1AFE20BF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海绵：采用优质海绵。 </w:t>
            </w:r>
          </w:p>
          <w:p w14:paraId="7F32C096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靠背：定型弯板内架，优质西皮面料，内部填充高密度海绵，坐感舒适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脚架、扶手:实木多层板框架。油漆：采用优质环保型水性油漆，五底三面工艺，全封闭。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A1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04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5F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5E7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3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66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装订操作台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1ECB6D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2000mm*1400mm*740mm，钢架结构，上覆木板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BC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176020" cy="1104265"/>
                  <wp:effectExtent l="0" t="0" r="5080" b="635"/>
                  <wp:docPr id="73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020" cy="1104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547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1、桌板：基材采用品牌刨花板，甲醛释放量≤0.025 mg/m3，限量标识：ENF（执行标准：GB/T  39600-2021)；饰面材料采用三聚氰胺纸，具有防火、抗磨、防水等性能；桌板厚度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25mm，四周采用30x15斜边处理。</w:t>
            </w:r>
          </w:p>
          <w:p w14:paraId="4F093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2、桌脚、横梁：钢管采用优质冷轧钢管，钢板采用一级冷轧钢板，表面采用粉末涂料涂装；前处理过程不使用含磷的脱脂剂和皮膜剂，不使用卤代有机物去除油污或进行金属表面处理。满足HG/T 2006-2022 《热固性粉末涂料》4中室内用优等品所规定的要求。图层理化性能应满足GB/T 3325-2024中5.5.1中表5关于金属喷漆（塑）涂层的理化性能要求。</w:t>
            </w:r>
          </w:p>
          <w:p w14:paraId="0A80EC9A">
            <w:pPr>
              <w:bidi w:val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3、执行标准：各项技术指标符合GB/T 3324-2024 《木家具通用技术条件》规定的要求。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64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9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ADD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32E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41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桌边柜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769148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1200*400*650mm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B4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369695" cy="664210"/>
                  <wp:effectExtent l="0" t="0" r="1905" b="6350"/>
                  <wp:docPr id="77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6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695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17C76D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1、基材：柜本体采用品牌刨花板，甲醛释放量≤0.025 mg/m3，限量标识：ENF（执行标准：GB/T 39600-2021)；品牌饰面纸；四周采用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1mm厚同色PVC封边条封边。</w:t>
            </w:r>
          </w:p>
          <w:p w14:paraId="7D2DC4DC">
            <w:pPr>
              <w:bidi w:val="0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2、胶粘剂：采用水性胶粘剂，应符合GB 18583-2008的要求。</w:t>
            </w:r>
          </w:p>
          <w:p w14:paraId="555F1508">
            <w:pPr>
              <w:bidi w:val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3、五金：阻尼铰链、品牌锁具、防潮脚垫；搭配一字型拉手。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A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99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56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7BA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C7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多功能桌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E1958F">
            <w:pPr>
              <w:bidi w:val="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00*500*7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0mm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AD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242695" cy="876300"/>
                  <wp:effectExtent l="0" t="0" r="14605" b="0"/>
                  <wp:docPr id="10" name="图片 10" descr="6fdea9760719854368dd21ba60dad17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6fdea9760719854368dd21ba60dad17b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69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C37892">
            <w:pPr>
              <w:bidi w:val="0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整体产品需达到防潮要求。</w:t>
            </w:r>
          </w:p>
          <w:p w14:paraId="6610376C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材质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要求：1、多功能桌面板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，上桌体，抽屉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：采用品牌刨花板，甲醛释放量≤0.025 mg/m3，限量标识：ENF（执行标准：GB/T 39600-2021)；品牌饰面纸；四周采用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1mm厚同色PVC封边条封边。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抽屉高度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150mm，钢架高度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575mm。</w:t>
            </w:r>
          </w:p>
          <w:p w14:paraId="0AE57C86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2、框体部分包括：</w:t>
            </w:r>
          </w:p>
          <w:p w14:paraId="6B82CC06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（1）立柱：立柱采用规格≥67mm×67mm优质八边形冷轧钢管，壁厚净尺寸不小于1.2mm，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（2）横梁：采用规格≥35mm×60mm优质方形铝管，壁厚净尺寸不小于1.8mm，（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）连接件：优质铝合金经模具压注成形，未经打磨，抛丸，钝化，静电喷涂表面处理的一次成型铝头，铝合金连接头规格：≥120*114*114mm。</w:t>
            </w:r>
          </w:p>
          <w:p w14:paraId="2DBAE119">
            <w:pPr>
              <w:bidi w:val="0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（4）优质五金配件，抽屉采用优质阻尼导轨，优质旋转挂锁。抽屉面板拉手位内嵌钢制拉手。</w:t>
            </w:r>
          </w:p>
          <w:p w14:paraId="5AE92728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产品成品整体符合GB/T3325；GB18584现行标准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B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EB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9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791DB8C4">
      <w:pPr>
        <w:pStyle w:val="32"/>
        <w:widowControl/>
        <w:numPr>
          <w:ilvl w:val="0"/>
          <w:numId w:val="0"/>
        </w:numPr>
        <w:ind w:leftChars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7570C424">
      <w:pPr>
        <w:pStyle w:val="7"/>
        <w:spacing w:line="360" w:lineRule="auto"/>
        <w:ind w:left="0" w:leftChars="0" w:firstLine="426" w:firstLineChars="200"/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  <w:t>注：</w:t>
      </w:r>
    </w:p>
    <w:p w14:paraId="1024C4FE">
      <w:pPr>
        <w:pStyle w:val="7"/>
        <w:spacing w:line="360" w:lineRule="auto"/>
        <w:ind w:left="0" w:leftChars="0" w:firstLine="426" w:firstLineChars="200"/>
        <w:rPr>
          <w:rFonts w:hint="default" w:ascii="宋体" w:hAnsi="宋体" w:eastAsia="宋体" w:cs="宋体"/>
          <w:color w:val="auto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  <w:t>（1）投标方应对投标货物品牌、尺寸规格、颜色、材料、质量、性能等作出说明，提供所投产品的技术参数偏离表，按实际情况注明以上清单产品各项技术参数偏离情况（正偏离/满足/负偏离），技术要求偏离表不能违背真实的参数和指标。</w:t>
      </w:r>
    </w:p>
    <w:p w14:paraId="2663E0A6">
      <w:pPr>
        <w:pStyle w:val="7"/>
        <w:spacing w:line="360" w:lineRule="auto"/>
        <w:ind w:left="0" w:leftChars="0" w:firstLine="426" w:firstLineChars="200"/>
        <w:rPr>
          <w:rFonts w:hint="eastAsia" w:ascii="宋体" w:hAnsi="宋体" w:eastAsia="宋体" w:cs="宋体"/>
          <w:b w:val="0"/>
          <w:bCs w:val="0"/>
          <w:color w:val="auto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sz w:val="21"/>
          <w:szCs w:val="21"/>
          <w:lang w:eastAsia="zh-CN"/>
        </w:rPr>
        <w:t>（2）项目需求中指出的工艺、材料和货物的标准以及参照的技术参数、图片或型号仅起说明作用，并没有任何限制性和排他性，响应方在投标中可以选用其他替代标准、技术参数或型号，但这些替代应以不影响产品质量或功能实现为前提。</w:t>
      </w:r>
    </w:p>
    <w:p w14:paraId="28174172">
      <w:pPr>
        <w:pStyle w:val="7"/>
        <w:spacing w:line="360" w:lineRule="auto"/>
        <w:ind w:left="0" w:leftChars="0" w:firstLine="426" w:firstLineChars="200"/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  <w:t>（3）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投标方投标产品必须执行现行国家强制性标准。采购需求内所涉及到的标准与规范如有修订或被替代，应以最新的标准规范为准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  <w:t>。</w:t>
      </w:r>
    </w:p>
    <w:p w14:paraId="774CFB71">
      <w:pPr>
        <w:spacing w:line="360" w:lineRule="auto"/>
        <w:ind w:firstLine="426" w:firstLineChars="200"/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  <w:t>（4）所有采购家具产品，均需经使用方确认最终的色样方可采购或制作</w:t>
      </w:r>
      <w:r>
        <w:rPr>
          <w:rFonts w:hint="eastAsia" w:ascii="宋体" w:hAnsi="宋体" w:cs="宋体"/>
          <w:b w:val="0"/>
          <w:bCs w:val="0"/>
          <w:sz w:val="22"/>
          <w:szCs w:val="22"/>
          <w:lang w:eastAsia="zh-CN"/>
        </w:rPr>
        <w:t>，且不因具体颜色或样式的合理调整而改变，报价时应综合考虑该因素；</w:t>
      </w:r>
    </w:p>
    <w:p w14:paraId="27D58703">
      <w:pPr>
        <w:pStyle w:val="32"/>
        <w:widowControl/>
        <w:numPr>
          <w:ilvl w:val="0"/>
          <w:numId w:val="0"/>
        </w:numPr>
        <w:ind w:leftChars="0" w:firstLine="446" w:firstLineChars="200"/>
        <w:jc w:val="left"/>
        <w:rPr>
          <w:rFonts w:hint="eastAsia" w:ascii="宋体" w:hAnsi="宋体" w:eastAsia="宋体" w:cs="宋体"/>
          <w:color w:val="auto"/>
          <w:spacing w:val="0"/>
          <w:sz w:val="21"/>
          <w:szCs w:val="21"/>
          <w:lang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eastAsia="zh-CN"/>
        </w:rPr>
        <w:t>（</w:t>
      </w: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5</w:t>
      </w:r>
      <w:r>
        <w:rPr>
          <w:rFonts w:hint="eastAsia" w:ascii="宋体" w:hAnsi="宋体" w:cs="宋体"/>
          <w:b w:val="0"/>
          <w:bCs w:val="0"/>
          <w:sz w:val="22"/>
          <w:szCs w:val="22"/>
          <w:lang w:eastAsia="zh-CN"/>
        </w:rPr>
        <w:t>）若表中提到成品质量检测标准，则其仅作为中标后的履约验收依据，供应商投标时可以不提供相应证明材料。</w:t>
      </w:r>
    </w:p>
    <w:p w14:paraId="4AC3D7A3">
      <w:pPr>
        <w:spacing w:before="123" w:line="360" w:lineRule="auto"/>
        <w:outlineLvl w:val="6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35C8CB12">
      <w:pPr>
        <w:spacing w:before="123" w:line="360" w:lineRule="auto"/>
        <w:outlineLvl w:val="6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四、材料要求</w:t>
      </w:r>
    </w:p>
    <w:p w14:paraId="2C0437FA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/>
          <w:b/>
          <w:bCs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本项目采用的材料需符合以下要求：</w:t>
      </w:r>
    </w:p>
    <w:p w14:paraId="5BF94BFB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（1）饰面板材：</w:t>
      </w:r>
    </w:p>
    <w:p w14:paraId="25B8E52C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1、依据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GB/T 39600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甲醛释放量≤0.025mg/m³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。</w:t>
      </w:r>
    </w:p>
    <w:p w14:paraId="42E680B8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left="486" w:leftChars="200" w:firstLine="0" w:firstLineChars="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2、依据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GB/T 4897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含水率6.0%~16.0%，表面胶合强度≥0.80MPa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 2h吸水厚度膨胀率≤</w:t>
      </w:r>
      <w:r>
        <w:rPr>
          <w:rFonts w:hint="eastAsia" w:ascii="宋体" w:cs="宋体"/>
          <w:color w:val="000000"/>
          <w:sz w:val="21"/>
          <w:szCs w:val="21"/>
          <w:highlight w:val="none"/>
          <w:lang w:val="en-US" w:eastAsia="zh-CN"/>
        </w:rPr>
        <w:t>9.5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% ，内胶合强度≥0.35MPa，握螺钉力：板面≥900N、板边≥600N，所有检测项目均合格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。</w:t>
      </w:r>
    </w:p>
    <w:p w14:paraId="0953FBDA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（2）封边条：</w:t>
      </w:r>
    </w:p>
    <w:p w14:paraId="415F4F1B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639" w:firstLineChars="300"/>
        <w:jc w:val="left"/>
        <w:textAlignment w:val="auto"/>
        <w:rPr>
          <w:rFonts w:hint="eastAsia" w:ascii="宋体" w:cs="宋体"/>
          <w:sz w:val="21"/>
          <w:szCs w:val="21"/>
          <w:lang w:val="en-US" w:eastAsia="zh-CN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>依据QB/T 4463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甲醛释放量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≤</w:t>
      </w:r>
      <w:r>
        <w:rPr>
          <w:rFonts w:hint="eastAsia" w:ascii="宋体" w:cs="宋体"/>
          <w:sz w:val="21"/>
          <w:szCs w:val="21"/>
          <w:lang w:val="en-US" w:eastAsia="zh-CN"/>
        </w:rPr>
        <w:t>1.5mg/L。</w:t>
      </w:r>
    </w:p>
    <w:p w14:paraId="1719D5A1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z w:val="21"/>
          <w:szCs w:val="21"/>
        </w:rPr>
        <w:t>依据QB/T 4463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标准：有害物质限量中：</w:t>
      </w:r>
      <w:r>
        <w:rPr>
          <w:rFonts w:hint="eastAsia" w:ascii="宋体" w:hAnsi="宋体" w:eastAsia="宋体" w:cs="宋体"/>
          <w:sz w:val="21"/>
          <w:szCs w:val="21"/>
        </w:rPr>
        <w:t>氯乙烯单体</w:t>
      </w:r>
      <w:r>
        <w:rPr>
          <w:rFonts w:hint="eastAsia" w:asci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可迁移元素</w:t>
      </w:r>
      <w:r>
        <w:rPr>
          <w:rFonts w:hint="eastAsia" w:ascii="宋体" w:cs="宋体"/>
          <w:sz w:val="21"/>
          <w:szCs w:val="21"/>
          <w:lang w:eastAsia="zh-CN"/>
        </w:rPr>
        <w:t>（</w:t>
      </w:r>
      <w:r>
        <w:rPr>
          <w:rFonts w:hint="eastAsia"/>
          <w:color w:val="auto"/>
          <w:sz w:val="21"/>
          <w:szCs w:val="21"/>
        </w:rPr>
        <w:t>锑、砷、钡、镉、铬、铅、汞、硒</w:t>
      </w:r>
      <w:r>
        <w:rPr>
          <w:rFonts w:hint="eastAsia"/>
          <w:color w:val="auto"/>
          <w:sz w:val="21"/>
          <w:szCs w:val="21"/>
          <w:lang w:eastAsia="zh-CN"/>
        </w:rPr>
        <w:t>）、</w:t>
      </w:r>
      <w:r>
        <w:rPr>
          <w:rFonts w:hint="eastAsia" w:ascii="宋体" w:hAnsi="宋体" w:eastAsia="宋体" w:cs="宋体"/>
          <w:sz w:val="21"/>
          <w:szCs w:val="21"/>
        </w:rPr>
        <w:t>邻苯二甲酸酯的总量</w:t>
      </w:r>
      <w:r>
        <w:rPr>
          <w:rFonts w:hint="eastAsia" w:ascii="宋体" w:cs="宋体"/>
          <w:sz w:val="21"/>
          <w:szCs w:val="21"/>
          <w:lang w:eastAsia="zh-CN"/>
        </w:rPr>
        <w:t>均合格。</w:t>
      </w:r>
    </w:p>
    <w:p w14:paraId="20232987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5、</w:t>
      </w:r>
      <w:r>
        <w:rPr>
          <w:rFonts w:hint="eastAsia" w:ascii="宋体" w:hAnsi="宋体" w:eastAsia="宋体" w:cs="宋体"/>
          <w:sz w:val="21"/>
          <w:szCs w:val="21"/>
        </w:rPr>
        <w:t>依据GB/T 12000</w:t>
      </w:r>
      <w:r>
        <w:rPr>
          <w:rFonts w:hint="eastAsia" w:ascii="宋体" w:cs="宋体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质量变化率</w:t>
      </w:r>
      <w:r>
        <w:rPr>
          <w:rFonts w:hint="eastAsia" w:ascii="宋体" w:cs="宋体"/>
          <w:sz w:val="21"/>
          <w:szCs w:val="21"/>
          <w:lang w:val="en-US" w:eastAsia="zh-CN"/>
        </w:rPr>
        <w:t>合格</w:t>
      </w:r>
      <w:r>
        <w:rPr>
          <w:rFonts w:hint="eastAsia" w:ascii="宋体" w:cs="宋体"/>
          <w:sz w:val="21"/>
          <w:szCs w:val="21"/>
          <w:lang w:eastAsia="zh-CN"/>
        </w:rPr>
        <w:t>。</w:t>
      </w:r>
    </w:p>
    <w:p w14:paraId="556C35C5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（3）</w:t>
      </w:r>
      <w:r>
        <w:rPr>
          <w:rFonts w:hint="eastAsia" w:ascii="宋体" w:hAnsi="宋体" w:eastAsia="宋体" w:cs="宋体"/>
          <w:sz w:val="21"/>
          <w:szCs w:val="21"/>
        </w:rPr>
        <w:t>冷轧钢板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：</w:t>
      </w:r>
    </w:p>
    <w:p w14:paraId="303A6716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6、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依据GB/T 228.1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抗拉强度、屈服强度、断后伸长率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合格。</w:t>
      </w:r>
    </w:p>
    <w:p w14:paraId="3CE87F16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7、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依据GB/T 3075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检测</w:t>
      </w:r>
      <w:r>
        <w:rPr>
          <w:rFonts w:hint="eastAsia" w:ascii="宋体" w:hAnsi="宋体" w:eastAsia="宋体" w:cs="宋体"/>
          <w:sz w:val="21"/>
          <w:szCs w:val="21"/>
        </w:rPr>
        <w:t>内容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疲劳试验（循环周次≥20万次）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合格。</w:t>
      </w:r>
    </w:p>
    <w:p w14:paraId="72CA75D4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cs="宋体"/>
          <w:color w:val="000000"/>
          <w:sz w:val="21"/>
          <w:szCs w:val="21"/>
          <w:lang w:eastAsia="zh-CN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8、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依据GB/T 2423.51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检测</w:t>
      </w:r>
      <w:r>
        <w:rPr>
          <w:rFonts w:hint="eastAsia" w:ascii="宋体" w:hAnsi="宋体" w:eastAsia="宋体" w:cs="宋体"/>
          <w:sz w:val="21"/>
          <w:szCs w:val="21"/>
        </w:rPr>
        <w:t>内容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包含流动混合气体腐蚀试验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。</w:t>
      </w:r>
    </w:p>
    <w:p w14:paraId="515FF430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9、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依据GB/T4337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检测</w:t>
      </w:r>
      <w:r>
        <w:rPr>
          <w:rFonts w:hint="eastAsia" w:ascii="宋体" w:hAnsi="宋体" w:eastAsia="宋体" w:cs="宋体"/>
          <w:sz w:val="21"/>
          <w:szCs w:val="21"/>
        </w:rPr>
        <w:t>内容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包含旋转弯曲疲劳试验（循环周次≥20万次）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合格。</w:t>
      </w:r>
    </w:p>
    <w:p w14:paraId="6BF15F05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（4）内嵌拉手：</w:t>
      </w:r>
    </w:p>
    <w:p w14:paraId="3D13E58D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kern w:val="44"/>
          <w:sz w:val="21"/>
          <w:szCs w:val="21"/>
          <w:lang w:eastAsia="zh-CN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10、</w:t>
      </w:r>
      <w:r>
        <w:rPr>
          <w:rFonts w:hint="eastAsia" w:ascii="宋体" w:hAnsi="宋体" w:eastAsia="宋体" w:cs="宋体"/>
          <w:kern w:val="44"/>
          <w:sz w:val="21"/>
          <w:szCs w:val="21"/>
        </w:rPr>
        <w:t>依据GB/T3324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kern w:val="44"/>
          <w:sz w:val="21"/>
          <w:szCs w:val="21"/>
        </w:rPr>
        <w:t>经中性盐雾试验18h，直径1.5mm以下的锈点≤20点/dm²，其中直径1.0mm以上的锈点不超过5点（离边缘2mm以内不计）</w:t>
      </w:r>
      <w:r>
        <w:rPr>
          <w:rFonts w:hint="eastAsia" w:ascii="宋体" w:cs="宋体"/>
          <w:kern w:val="44"/>
          <w:sz w:val="21"/>
          <w:szCs w:val="21"/>
          <w:lang w:eastAsia="zh-CN"/>
        </w:rPr>
        <w:t>。</w:t>
      </w:r>
    </w:p>
    <w:p w14:paraId="497CF6E1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cs="宋体"/>
          <w:kern w:val="44"/>
          <w:sz w:val="21"/>
          <w:szCs w:val="21"/>
          <w:lang w:val="en-US" w:eastAsia="zh-CN"/>
        </w:rPr>
        <w:t>11、</w:t>
      </w:r>
      <w:r>
        <w:rPr>
          <w:rFonts w:hint="eastAsia" w:ascii="宋体" w:hAnsi="宋体" w:eastAsia="宋体" w:cs="宋体"/>
          <w:kern w:val="44"/>
          <w:sz w:val="21"/>
          <w:szCs w:val="21"/>
        </w:rPr>
        <w:t>依据GB/T 23989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kern w:val="44"/>
          <w:sz w:val="21"/>
          <w:szCs w:val="21"/>
        </w:rPr>
        <w:t>通过耐溶剂擦拭检测。</w:t>
      </w:r>
    </w:p>
    <w:p w14:paraId="575B8CB6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（5）</w:t>
      </w:r>
      <w:r>
        <w:rPr>
          <w:rFonts w:hint="eastAsia" w:ascii="宋体" w:hAnsi="宋体" w:eastAsia="宋体" w:cs="宋体"/>
          <w:sz w:val="21"/>
          <w:szCs w:val="21"/>
        </w:rPr>
        <w:t>塑粉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：</w:t>
      </w:r>
    </w:p>
    <w:p w14:paraId="5903BED3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sz w:val="21"/>
          <w:szCs w:val="21"/>
          <w:lang w:val="en-US" w:eastAsia="zh-CN"/>
        </w:rPr>
        <w:t>12、</w:t>
      </w:r>
      <w:r>
        <w:rPr>
          <w:rFonts w:hint="eastAsia" w:ascii="宋体" w:hAnsi="宋体" w:eastAsia="宋体" w:cs="宋体"/>
          <w:sz w:val="21"/>
          <w:szCs w:val="21"/>
        </w:rPr>
        <w:t>依据HG/T 2006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检测内容包含铅笔硬度、耐酸性、耐碱性、耐盐雾性、耐湿性</w:t>
      </w:r>
      <w:r>
        <w:rPr>
          <w:rFonts w:hint="eastAsia" w:ascii="宋体" w:cs="宋体"/>
          <w:sz w:val="21"/>
          <w:szCs w:val="21"/>
          <w:lang w:eastAsia="zh-CN"/>
        </w:rPr>
        <w:t>，</w:t>
      </w:r>
      <w:r>
        <w:rPr>
          <w:rFonts w:hint="eastAsia" w:ascii="宋体" w:cs="宋体"/>
          <w:sz w:val="21"/>
          <w:szCs w:val="21"/>
          <w:lang w:val="en-US" w:eastAsia="zh-CN"/>
        </w:rPr>
        <w:t>检测合格</w:t>
      </w:r>
      <w:r>
        <w:rPr>
          <w:rFonts w:hint="eastAsia" w:ascii="宋体" w:cs="宋体"/>
          <w:sz w:val="21"/>
          <w:szCs w:val="21"/>
          <w:lang w:eastAsia="zh-CN"/>
        </w:rPr>
        <w:t>。</w:t>
      </w:r>
    </w:p>
    <w:p w14:paraId="06AC5A17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cs="宋体"/>
          <w:sz w:val="21"/>
          <w:szCs w:val="21"/>
          <w:lang w:val="en-US" w:eastAsia="zh-CN"/>
        </w:rPr>
        <w:t>13、</w:t>
      </w:r>
      <w:r>
        <w:rPr>
          <w:rFonts w:hint="eastAsia" w:ascii="宋体" w:hAnsi="宋体" w:eastAsia="宋体" w:cs="宋体"/>
          <w:sz w:val="21"/>
          <w:szCs w:val="21"/>
        </w:rPr>
        <w:t>依据GB/T 35602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检测内容包含重金属元素含量（铅、镉、六价铬、汞、砷、钡、硒、锑、钴）</w:t>
      </w:r>
      <w:r>
        <w:rPr>
          <w:rFonts w:hint="eastAsia" w:ascii="宋体" w:cs="宋体"/>
          <w:sz w:val="21"/>
          <w:szCs w:val="21"/>
          <w:lang w:eastAsia="zh-CN"/>
        </w:rPr>
        <w:t>，</w:t>
      </w:r>
      <w:r>
        <w:rPr>
          <w:rFonts w:hint="eastAsia" w:ascii="宋体" w:cs="宋体"/>
          <w:sz w:val="21"/>
          <w:szCs w:val="21"/>
          <w:lang w:val="en-US" w:eastAsia="zh-CN"/>
        </w:rPr>
        <w:t>检测合格</w:t>
      </w:r>
      <w:r>
        <w:rPr>
          <w:rFonts w:hint="eastAsia" w:ascii="宋体" w:cs="宋体"/>
          <w:sz w:val="21"/>
          <w:szCs w:val="21"/>
          <w:lang w:eastAsia="zh-CN"/>
        </w:rPr>
        <w:t>。</w:t>
      </w:r>
    </w:p>
    <w:p w14:paraId="48F1B1A4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14、</w:t>
      </w:r>
      <w:r>
        <w:rPr>
          <w:rFonts w:hint="eastAsia" w:ascii="宋体" w:hAnsi="宋体" w:eastAsia="宋体" w:cs="宋体"/>
          <w:sz w:val="21"/>
          <w:szCs w:val="21"/>
        </w:rPr>
        <w:t>依据GB/T 36497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检测内容包含多氯联苯含量</w:t>
      </w:r>
      <w:r>
        <w:rPr>
          <w:rFonts w:hint="eastAsia" w:ascii="宋体" w:cs="宋体"/>
          <w:sz w:val="21"/>
          <w:szCs w:val="21"/>
          <w:lang w:val="en-US" w:eastAsia="zh-CN"/>
        </w:rPr>
        <w:t>检测合格</w:t>
      </w:r>
      <w:r>
        <w:rPr>
          <w:rFonts w:hint="eastAsia" w:ascii="宋体" w:cs="宋体"/>
          <w:sz w:val="21"/>
          <w:szCs w:val="21"/>
          <w:lang w:eastAsia="zh-CN"/>
        </w:rPr>
        <w:t>。</w:t>
      </w:r>
    </w:p>
    <w:p w14:paraId="3BD3A32D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（6）</w:t>
      </w:r>
      <w:r>
        <w:rPr>
          <w:rFonts w:hint="eastAsia" w:ascii="宋体" w:hAnsi="宋体" w:eastAsia="宋体" w:cs="宋体"/>
          <w:sz w:val="21"/>
          <w:szCs w:val="21"/>
        </w:rPr>
        <w:t>钢管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：</w:t>
      </w:r>
    </w:p>
    <w:p w14:paraId="33602A82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15、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依据QB/T 4371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检测内容包含抗菌性能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：抑菌率一铜绿假单胞菌合格。</w:t>
      </w:r>
    </w:p>
    <w:p w14:paraId="34BAAB33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16、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依据GB/T 6394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检测内容包含晶粒度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，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检测合格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。</w:t>
      </w:r>
    </w:p>
    <w:p w14:paraId="1798F34F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17、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依据GB/T 3075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检测内容包含疲劳试验（循环周次≥20万次）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，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检测合格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。</w:t>
      </w:r>
    </w:p>
    <w:p w14:paraId="2893FA1F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18、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依据GB/T 3325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检测内容包含金属件-喷漆（塑）涂层应无漏喷、锈蚀、脱色、掉色等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合格。</w:t>
      </w:r>
    </w:p>
    <w:p w14:paraId="13FF6B44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19、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依据GB/T 2423.51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检测内容包含流动混合气体腐蚀试验合格。</w:t>
      </w:r>
    </w:p>
    <w:p w14:paraId="584DFBC3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（7）隐藏式轨道：</w:t>
      </w:r>
    </w:p>
    <w:p w14:paraId="095A827E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639" w:firstLineChars="300"/>
        <w:jc w:val="left"/>
        <w:textAlignment w:val="auto"/>
        <w:rPr>
          <w:rFonts w:hint="eastAsia" w:ascii="宋体" w:hAnsi="宋体" w:eastAsia="宋体" w:cs="宋体"/>
          <w:kern w:val="44"/>
          <w:sz w:val="21"/>
          <w:szCs w:val="21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20、</w:t>
      </w:r>
      <w:r>
        <w:rPr>
          <w:rFonts w:hint="eastAsia" w:ascii="宋体" w:hAnsi="宋体" w:eastAsia="宋体" w:cs="宋体"/>
          <w:kern w:val="44"/>
          <w:sz w:val="21"/>
          <w:szCs w:val="21"/>
        </w:rPr>
        <w:t>依据QB/T 8096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kern w:val="44"/>
          <w:sz w:val="21"/>
          <w:szCs w:val="21"/>
        </w:rPr>
        <w:t>满足安装质量</w:t>
      </w:r>
      <w:r>
        <w:rPr>
          <w:rFonts w:hint="eastAsia" w:ascii="宋体" w:cs="宋体"/>
          <w:kern w:val="44"/>
          <w:sz w:val="21"/>
          <w:szCs w:val="21"/>
          <w:lang w:eastAsia="zh-CN"/>
        </w:rPr>
        <w:t>合格；</w:t>
      </w:r>
      <w:r>
        <w:rPr>
          <w:rFonts w:hint="eastAsia" w:ascii="宋体" w:hAnsi="宋体" w:eastAsia="宋体" w:cs="宋体"/>
          <w:kern w:val="44"/>
          <w:sz w:val="21"/>
          <w:szCs w:val="21"/>
        </w:rPr>
        <w:t>耐腐蚀</w:t>
      </w:r>
      <w:r>
        <w:rPr>
          <w:rFonts w:hint="eastAsia" w:ascii="宋体" w:cs="宋体"/>
          <w:kern w:val="44"/>
          <w:sz w:val="21"/>
          <w:szCs w:val="21"/>
          <w:lang w:eastAsia="zh-CN"/>
        </w:rPr>
        <w:t>要求合格。</w:t>
      </w:r>
    </w:p>
    <w:p w14:paraId="596549C6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cs="宋体"/>
          <w:kern w:val="44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21、</w:t>
      </w:r>
      <w:r>
        <w:rPr>
          <w:rFonts w:hint="eastAsia" w:ascii="宋体" w:hAnsi="宋体" w:eastAsia="宋体" w:cs="宋体"/>
          <w:kern w:val="44"/>
          <w:sz w:val="21"/>
          <w:szCs w:val="21"/>
        </w:rPr>
        <w:t>依据QB/T 8096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kern w:val="44"/>
          <w:sz w:val="21"/>
          <w:szCs w:val="21"/>
        </w:rPr>
        <w:t>功能要求</w:t>
      </w:r>
      <w:r>
        <w:rPr>
          <w:rFonts w:hint="eastAsia" w:ascii="宋体" w:cs="宋体"/>
          <w:kern w:val="44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kern w:val="44"/>
          <w:sz w:val="21"/>
          <w:szCs w:val="21"/>
        </w:rPr>
        <w:t>操作力</w:t>
      </w:r>
      <w:r>
        <w:rPr>
          <w:rFonts w:hint="eastAsia" w:ascii="宋体" w:cs="宋体"/>
          <w:kern w:val="44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kern w:val="44"/>
          <w:sz w:val="21"/>
          <w:szCs w:val="21"/>
        </w:rPr>
        <w:t>缓冲性能、拉出安全性</w:t>
      </w:r>
      <w:r>
        <w:rPr>
          <w:rFonts w:hint="eastAsia" w:ascii="宋体" w:cs="宋体"/>
          <w:kern w:val="44"/>
          <w:sz w:val="21"/>
          <w:szCs w:val="21"/>
          <w:lang w:eastAsia="zh-CN"/>
        </w:rPr>
        <w:t>合格。</w:t>
      </w:r>
    </w:p>
    <w:p w14:paraId="36723CD6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（8）</w:t>
      </w:r>
      <w:r>
        <w:rPr>
          <w:rFonts w:hint="eastAsia" w:ascii="宋体" w:hAnsi="宋体" w:eastAsia="宋体" w:cs="宋体"/>
          <w:sz w:val="21"/>
          <w:szCs w:val="21"/>
        </w:rPr>
        <w:t>pp塑料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：</w:t>
      </w:r>
    </w:p>
    <w:p w14:paraId="3B1EA07E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22、</w:t>
      </w:r>
      <w:r>
        <w:rPr>
          <w:rFonts w:hint="eastAsia" w:ascii="宋体" w:hAnsi="宋体" w:eastAsia="宋体" w:cs="宋体"/>
          <w:sz w:val="21"/>
          <w:szCs w:val="21"/>
        </w:rPr>
        <w:t>依据GB/T 40908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检测内容包含有机磷阻燃剂</w:t>
      </w:r>
      <w:r>
        <w:rPr>
          <w:rFonts w:hint="eastAsia" w:ascii="宋体" w:cs="宋体"/>
          <w:sz w:val="21"/>
          <w:szCs w:val="21"/>
          <w:lang w:eastAsia="zh-CN"/>
        </w:rPr>
        <w:t>合格</w:t>
      </w:r>
      <w:r>
        <w:rPr>
          <w:rFonts w:hint="eastAsia" w:ascii="宋体" w:hAnsi="宋体" w:eastAsia="宋体" w:cs="宋体"/>
          <w:sz w:val="21"/>
          <w:szCs w:val="21"/>
        </w:rPr>
        <w:t>；</w:t>
      </w:r>
    </w:p>
    <w:p w14:paraId="39D77070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cs="宋体"/>
          <w:sz w:val="21"/>
          <w:szCs w:val="21"/>
          <w:lang w:val="en-US" w:eastAsia="zh-CN"/>
        </w:rPr>
        <w:t>23、</w:t>
      </w:r>
      <w:r>
        <w:rPr>
          <w:rFonts w:hint="eastAsia" w:ascii="宋体" w:hAnsi="宋体" w:eastAsia="宋体" w:cs="宋体"/>
          <w:sz w:val="21"/>
          <w:szCs w:val="21"/>
        </w:rPr>
        <w:t>依据GB/T 1634.2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检测内容包含负荷变形温度</w:t>
      </w:r>
      <w:r>
        <w:rPr>
          <w:rFonts w:hint="eastAsia" w:ascii="宋体" w:cs="宋体"/>
          <w:sz w:val="21"/>
          <w:szCs w:val="21"/>
          <w:lang w:eastAsia="zh-CN"/>
        </w:rPr>
        <w:t>合格</w:t>
      </w:r>
      <w:r>
        <w:rPr>
          <w:rFonts w:hint="eastAsia" w:ascii="宋体" w:hAnsi="宋体" w:eastAsia="宋体" w:cs="宋体"/>
          <w:sz w:val="21"/>
          <w:szCs w:val="21"/>
        </w:rPr>
        <w:t>；</w:t>
      </w:r>
    </w:p>
    <w:p w14:paraId="273ECC9D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cs="宋体"/>
          <w:sz w:val="21"/>
          <w:szCs w:val="21"/>
          <w:lang w:val="en-US" w:eastAsia="zh-CN"/>
        </w:rPr>
        <w:t>24、</w:t>
      </w:r>
      <w:r>
        <w:rPr>
          <w:rFonts w:hint="eastAsia" w:ascii="宋体" w:hAnsi="宋体" w:eastAsia="宋体" w:cs="宋体"/>
          <w:sz w:val="21"/>
          <w:szCs w:val="21"/>
        </w:rPr>
        <w:t>依据GB/T 5470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检测内容包含脆化温度</w:t>
      </w:r>
      <w:r>
        <w:rPr>
          <w:rFonts w:hint="eastAsia" w:ascii="宋体" w:cs="宋体"/>
          <w:sz w:val="21"/>
          <w:szCs w:val="21"/>
          <w:lang w:eastAsia="zh-CN"/>
        </w:rPr>
        <w:t>合格</w:t>
      </w:r>
      <w:r>
        <w:rPr>
          <w:rFonts w:hint="eastAsia" w:ascii="宋体" w:hAnsi="宋体" w:eastAsia="宋体" w:cs="宋体"/>
          <w:sz w:val="21"/>
          <w:szCs w:val="21"/>
        </w:rPr>
        <w:t>；</w:t>
      </w:r>
    </w:p>
    <w:p w14:paraId="1A0CCE54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cs="宋体"/>
          <w:sz w:val="21"/>
          <w:szCs w:val="21"/>
          <w:lang w:val="en-US" w:eastAsia="zh-CN"/>
        </w:rPr>
        <w:t>25、</w:t>
      </w:r>
      <w:r>
        <w:rPr>
          <w:rFonts w:hint="eastAsia" w:ascii="宋体" w:hAnsi="宋体" w:eastAsia="宋体" w:cs="宋体"/>
          <w:sz w:val="21"/>
          <w:szCs w:val="21"/>
        </w:rPr>
        <w:t>依据GB/T 12000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检测内容包含盐雾试验200h，质量变化率≤3%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合格。</w:t>
      </w:r>
    </w:p>
    <w:p w14:paraId="0E41A12D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（9）</w:t>
      </w:r>
      <w:r>
        <w:rPr>
          <w:rFonts w:hint="eastAsia" w:ascii="宋体" w:hAnsi="宋体" w:eastAsia="宋体" w:cs="宋体"/>
          <w:sz w:val="21"/>
          <w:szCs w:val="21"/>
        </w:rPr>
        <w:t>紧固件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：</w:t>
      </w:r>
    </w:p>
    <w:p w14:paraId="74D51CE2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26、</w:t>
      </w:r>
      <w:r>
        <w:rPr>
          <w:rFonts w:hint="eastAsia" w:ascii="宋体" w:hAnsi="宋体" w:eastAsia="宋体" w:cs="宋体"/>
          <w:sz w:val="21"/>
          <w:szCs w:val="21"/>
        </w:rPr>
        <w:t>依据GB/T 228.1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检测内容包含抗拉强度、规定塑性延伸强度、断后伸长率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合格</w:t>
      </w:r>
      <w:r>
        <w:rPr>
          <w:rFonts w:hint="eastAsia" w:ascii="宋体" w:cs="宋体"/>
          <w:sz w:val="21"/>
          <w:szCs w:val="21"/>
          <w:lang w:eastAsia="zh-CN"/>
        </w:rPr>
        <w:t>；</w:t>
      </w:r>
    </w:p>
    <w:p w14:paraId="376D6F80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cs="宋体"/>
          <w:sz w:val="21"/>
          <w:szCs w:val="21"/>
          <w:lang w:val="en-US" w:eastAsia="zh-CN"/>
        </w:rPr>
        <w:t>27、</w:t>
      </w:r>
      <w:r>
        <w:rPr>
          <w:rFonts w:hint="eastAsia" w:ascii="宋体" w:hAnsi="宋体" w:eastAsia="宋体" w:cs="宋体"/>
          <w:sz w:val="21"/>
          <w:szCs w:val="21"/>
        </w:rPr>
        <w:t>依据GB/T 11170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检测内容包含化学成分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合格</w:t>
      </w:r>
      <w:r>
        <w:rPr>
          <w:rFonts w:hint="eastAsia" w:ascii="宋体" w:hAnsi="宋体" w:eastAsia="宋体" w:cs="宋体"/>
          <w:sz w:val="21"/>
          <w:szCs w:val="21"/>
        </w:rPr>
        <w:t>；</w:t>
      </w:r>
    </w:p>
    <w:p w14:paraId="3048B85C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28、</w:t>
      </w:r>
      <w:r>
        <w:rPr>
          <w:rFonts w:hint="eastAsia" w:ascii="宋体" w:hAnsi="宋体" w:eastAsia="宋体" w:cs="宋体"/>
          <w:sz w:val="21"/>
          <w:szCs w:val="21"/>
        </w:rPr>
        <w:t>依据GB/T 3098.1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检测内容包含最小拉力载荷、保证载荷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合格</w:t>
      </w:r>
      <w:r>
        <w:rPr>
          <w:rFonts w:hint="eastAsia" w:ascii="宋体" w:hAnsi="宋体" w:eastAsia="宋体" w:cs="宋体"/>
          <w:sz w:val="21"/>
          <w:szCs w:val="21"/>
        </w:rPr>
        <w:t>；</w:t>
      </w:r>
    </w:p>
    <w:p w14:paraId="383156D4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cs="宋体"/>
          <w:sz w:val="21"/>
          <w:szCs w:val="21"/>
          <w:lang w:val="en-US" w:eastAsia="zh-CN"/>
        </w:rPr>
        <w:t>29、</w:t>
      </w:r>
      <w:r>
        <w:rPr>
          <w:rFonts w:hint="eastAsia" w:ascii="宋体" w:hAnsi="宋体" w:eastAsia="宋体" w:cs="宋体"/>
          <w:sz w:val="21"/>
          <w:szCs w:val="21"/>
        </w:rPr>
        <w:t>依据GB/T 4340.1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检测内容包含维氏硬度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合格</w:t>
      </w:r>
      <w:r>
        <w:rPr>
          <w:rFonts w:hint="eastAsia" w:ascii="宋体" w:hAnsi="宋体" w:eastAsia="宋体" w:cs="宋体"/>
          <w:sz w:val="21"/>
          <w:szCs w:val="21"/>
        </w:rPr>
        <w:t>；</w:t>
      </w:r>
    </w:p>
    <w:p w14:paraId="012A9AF6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cs="宋体"/>
          <w:sz w:val="21"/>
          <w:szCs w:val="21"/>
          <w:lang w:val="en-US" w:eastAsia="zh-CN"/>
        </w:rPr>
        <w:t>30、</w:t>
      </w:r>
      <w:r>
        <w:rPr>
          <w:rFonts w:hint="eastAsia" w:ascii="宋体" w:hAnsi="宋体" w:eastAsia="宋体" w:cs="宋体"/>
          <w:sz w:val="21"/>
          <w:szCs w:val="21"/>
        </w:rPr>
        <w:t>依据GB/T 2423.51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检测内容包含流动混合气体腐蚀试验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合格</w:t>
      </w:r>
      <w:r>
        <w:rPr>
          <w:rFonts w:hint="eastAsia" w:ascii="宋体" w:hAnsi="宋体" w:eastAsia="宋体" w:cs="宋体"/>
          <w:sz w:val="21"/>
          <w:szCs w:val="21"/>
        </w:rPr>
        <w:t>；</w:t>
      </w:r>
    </w:p>
    <w:p w14:paraId="7D42C971">
      <w:pPr>
        <w:pStyle w:val="2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cs="宋体"/>
          <w:sz w:val="21"/>
          <w:szCs w:val="21"/>
          <w:lang w:val="en-US" w:eastAsia="zh-CN"/>
        </w:rPr>
        <w:t>31、</w:t>
      </w:r>
      <w:r>
        <w:rPr>
          <w:rFonts w:hint="eastAsia" w:ascii="宋体" w:hAnsi="宋体" w:eastAsia="宋体" w:cs="宋体"/>
          <w:sz w:val="21"/>
          <w:szCs w:val="21"/>
        </w:rPr>
        <w:t>依据GB/T</w:t>
      </w:r>
      <w:r>
        <w:rPr>
          <w:rFonts w:hint="eastAsia" w:asci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4337</w:t>
      </w:r>
      <w:r>
        <w:rPr>
          <w:rFonts w:hint="eastAsia" w:ascii="宋体" w:cs="宋体"/>
          <w:color w:val="000000"/>
          <w:sz w:val="21"/>
          <w:szCs w:val="21"/>
          <w:lang w:eastAsia="zh-CN"/>
        </w:rPr>
        <w:t>标准：</w:t>
      </w:r>
      <w:r>
        <w:rPr>
          <w:rFonts w:hint="eastAsia" w:ascii="宋体" w:hAnsi="宋体" w:eastAsia="宋体" w:cs="宋体"/>
          <w:sz w:val="21"/>
          <w:szCs w:val="21"/>
        </w:rPr>
        <w:t>检测内容包含旋转弯曲疲劳试验（循环周次≥20万次）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合格。</w:t>
      </w:r>
    </w:p>
    <w:p w14:paraId="74834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（10）锁具：</w:t>
      </w:r>
    </w:p>
    <w:p w14:paraId="2C9CC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6" w:firstLineChars="200"/>
        <w:jc w:val="left"/>
        <w:textAlignment w:val="auto"/>
        <w:rPr>
          <w:rFonts w:hint="eastAsia" w:ascii="宋体" w:hAnsi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cs="宋体"/>
          <w:color w:val="000000"/>
          <w:sz w:val="21"/>
          <w:szCs w:val="21"/>
          <w:lang w:val="en-US" w:eastAsia="zh-CN"/>
        </w:rPr>
        <w:t>32、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依据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 QB/T1621标准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：牢固度中：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弹子锁使用寿命、各铆接件静拉力、锁舌侧向静载荷、锁头固定连接静拉力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合格。</w:t>
      </w:r>
    </w:p>
    <w:p w14:paraId="100E91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6" w:firstLineChars="200"/>
        <w:jc w:val="left"/>
        <w:textAlignment w:val="auto"/>
        <w:rPr>
          <w:rFonts w:hint="eastAsia" w:ascii="宋体" w:hAnsi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33、依据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QB/T1621标准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保密度（互开率≤1%）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合格。</w:t>
      </w:r>
    </w:p>
    <w:p w14:paraId="54FA20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6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▲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34、</w:t>
      </w:r>
      <w:r>
        <w:rPr>
          <w:rFonts w:hint="eastAsia" w:ascii="宋体" w:hAnsi="宋体" w:eastAsia="宋体" w:cs="宋体"/>
          <w:sz w:val="21"/>
          <w:szCs w:val="21"/>
        </w:rPr>
        <w:t>依据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GB/T 1741标准：防霉性能：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耐霉菌性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等级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达到 0 级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。</w:t>
      </w:r>
    </w:p>
    <w:p w14:paraId="1768895F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说明：</w:t>
      </w:r>
    </w:p>
    <w:p w14:paraId="17C67FFF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（1）上述原材料要求如与“三、采购品目分类、参考样式、规格、基本组成、质量标准等要求”不一致，以上述要求为准，检测报告原件备查；</w:t>
      </w:r>
    </w:p>
    <w:p w14:paraId="72870A09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（2）针对不同叫法的同一原材料，其检测报告均予认可（如名称不一致，需注明需求中对应的原材料名称）。</w:t>
      </w:r>
    </w:p>
    <w:p w14:paraId="0C42DBE2">
      <w:pPr>
        <w:autoSpaceDE w:val="0"/>
        <w:autoSpaceDN w:val="0"/>
        <w:adjustRightInd w:val="0"/>
        <w:jc w:val="left"/>
        <w:rPr>
          <w:rFonts w:hint="default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（3）检测报告上的委托单位(受检单位)名称必须与投标人或投标产品的生产厂家或原材料生产厂家一致。每份检测报告均需带有CMA标识，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eastAsia="zh-CN"/>
        </w:rPr>
        <w:t>检验检测类别为委托、抽样检验皆可。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报告签发时间不早于202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年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9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月1日。</w:t>
      </w:r>
    </w:p>
    <w:p w14:paraId="0CA8EA67">
      <w:pPr>
        <w:spacing w:before="123" w:line="360" w:lineRule="auto"/>
        <w:outlineLvl w:val="6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</w:p>
    <w:p w14:paraId="34220E2E">
      <w:pPr>
        <w:spacing w:before="123" w:line="360" w:lineRule="auto"/>
        <w:outlineLvl w:val="6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五、颜色要求</w:t>
      </w:r>
    </w:p>
    <w:p w14:paraId="55FE3A81">
      <w:pPr>
        <w:autoSpaceDE w:val="0"/>
        <w:autoSpaceDN w:val="0"/>
        <w:adjustRightInd w:val="0"/>
        <w:ind w:firstLine="426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本次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家具颜色应与建筑内装饰风格相适应，以木纹色和暖白色为主，主体颜色投标时暂按以下要求考虑，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所有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家具待中标后具体颜色须待采购人明确后方可下单制作。（请投标人注意，中标后价格不因具体颜色的调整而改变，报价时应综合考虑该因素）</w:t>
      </w:r>
    </w:p>
    <w:tbl>
      <w:tblPr>
        <w:tblStyle w:val="31"/>
        <w:tblpPr w:leftFromText="180" w:rightFromText="180" w:vertAnchor="text" w:horzAnchor="page" w:tblpX="3240" w:tblpY="413"/>
        <w:tblOverlap w:val="never"/>
        <w:tblW w:w="829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5"/>
        <w:gridCol w:w="6614"/>
      </w:tblGrid>
      <w:tr w14:paraId="7E00A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685" w:type="dxa"/>
            <w:noWrap w:val="0"/>
            <w:vAlign w:val="top"/>
          </w:tcPr>
          <w:p w14:paraId="5A72C848">
            <w:pPr>
              <w:pStyle w:val="33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分类</w:t>
            </w:r>
          </w:p>
        </w:tc>
        <w:tc>
          <w:tcPr>
            <w:tcW w:w="6614" w:type="dxa"/>
            <w:noWrap w:val="0"/>
            <w:vAlign w:val="top"/>
          </w:tcPr>
          <w:p w14:paraId="3675EA6F">
            <w:pPr>
              <w:pStyle w:val="33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主体颜色</w:t>
            </w:r>
          </w:p>
        </w:tc>
      </w:tr>
      <w:tr w14:paraId="3FC52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1685" w:type="dxa"/>
            <w:noWrap w:val="0"/>
            <w:vAlign w:val="center"/>
          </w:tcPr>
          <w:p w14:paraId="0CEB1A10">
            <w:pPr>
              <w:pStyle w:val="33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木制</w:t>
            </w:r>
          </w:p>
        </w:tc>
        <w:tc>
          <w:tcPr>
            <w:tcW w:w="6614" w:type="dxa"/>
            <w:noWrap w:val="0"/>
            <w:vAlign w:val="center"/>
          </w:tcPr>
          <w:p w14:paraId="145F50A7">
            <w:pPr>
              <w:pStyle w:val="33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纹路：木皮保留天然纹路感。</w:t>
            </w:r>
          </w:p>
          <w:p w14:paraId="6F043891">
            <w:pPr>
              <w:pStyle w:val="33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颜色：暖白色、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木纹色，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实际按需求</w:t>
            </w:r>
          </w:p>
        </w:tc>
      </w:tr>
      <w:tr w14:paraId="23FC0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685" w:type="dxa"/>
            <w:noWrap w:val="0"/>
            <w:vAlign w:val="center"/>
          </w:tcPr>
          <w:p w14:paraId="5B6CAE2E">
            <w:pPr>
              <w:pStyle w:val="33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钢制</w:t>
            </w:r>
          </w:p>
        </w:tc>
        <w:tc>
          <w:tcPr>
            <w:tcW w:w="6614" w:type="dxa"/>
            <w:noWrap w:val="0"/>
            <w:vAlign w:val="center"/>
          </w:tcPr>
          <w:p w14:paraId="61D84582">
            <w:pPr>
              <w:pStyle w:val="33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颜色：砂纹白</w:t>
            </w:r>
          </w:p>
        </w:tc>
      </w:tr>
      <w:tr w14:paraId="01311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685" w:type="dxa"/>
            <w:noWrap w:val="0"/>
            <w:vAlign w:val="center"/>
          </w:tcPr>
          <w:p w14:paraId="775785D8">
            <w:pPr>
              <w:pStyle w:val="33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椅子</w:t>
            </w:r>
          </w:p>
        </w:tc>
        <w:tc>
          <w:tcPr>
            <w:tcW w:w="6614" w:type="dxa"/>
            <w:noWrap w:val="0"/>
            <w:vAlign w:val="center"/>
          </w:tcPr>
          <w:p w14:paraId="23F57D8E">
            <w:pPr>
              <w:pStyle w:val="33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颜色：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灰色、黑色</w:t>
            </w:r>
          </w:p>
        </w:tc>
      </w:tr>
    </w:tbl>
    <w:p w14:paraId="2F17EAA0">
      <w:pPr>
        <w:spacing w:before="121" w:line="360" w:lineRule="auto"/>
        <w:ind w:firstLine="426" w:firstLineChars="2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20587B54">
      <w:pPr>
        <w:spacing w:before="121" w:line="360" w:lineRule="auto"/>
        <w:ind w:firstLine="426" w:firstLineChars="2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3B81E97E">
      <w:pPr>
        <w:spacing w:before="121" w:line="360" w:lineRule="auto"/>
        <w:ind w:firstLine="426" w:firstLineChars="2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1F987808">
      <w:pPr>
        <w:spacing w:before="121" w:line="360" w:lineRule="auto"/>
        <w:ind w:firstLine="426" w:firstLineChars="200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3B10E292">
      <w:pPr>
        <w:spacing w:before="121" w:line="360" w:lineRule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4F68C6F2">
      <w:pPr>
        <w:pStyle w:val="5"/>
        <w:numPr>
          <w:ilvl w:val="-1"/>
          <w:numId w:val="0"/>
        </w:numPr>
        <w:spacing w:before="313" w:line="360" w:lineRule="auto"/>
        <w:ind w:left="0" w:firstLine="0" w:firstLineChars="0"/>
        <w:rPr>
          <w:rFonts w:hint="eastAsia" w:eastAsia="宋体" w:cs="Times New Roman"/>
          <w:b/>
          <w:bCs/>
          <w:spacing w:val="12"/>
          <w:sz w:val="21"/>
          <w:szCs w:val="21"/>
          <w:highlight w:val="yellow"/>
          <w:lang w:eastAsia="zh-CN"/>
        </w:rPr>
      </w:pPr>
      <w:r>
        <w:rPr>
          <w:rFonts w:hint="eastAsia" w:eastAsia="宋体" w:cs="Times New Roman"/>
          <w:b/>
          <w:bCs/>
          <w:spacing w:val="12"/>
          <w:sz w:val="21"/>
          <w:szCs w:val="21"/>
          <w:lang w:val="en-US" w:eastAsia="zh-CN"/>
        </w:rPr>
        <w:t>六、产品设计要求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9"/>
        <w:gridCol w:w="1729"/>
        <w:gridCol w:w="4606"/>
        <w:gridCol w:w="6110"/>
      </w:tblGrid>
      <w:tr w14:paraId="00AA2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2482" w:type="dxa"/>
            <w:noWrap w:val="0"/>
            <w:vAlign w:val="center"/>
          </w:tcPr>
          <w:p w14:paraId="3B0B98FA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2482" w:type="dxa"/>
            <w:noWrap w:val="0"/>
            <w:vAlign w:val="center"/>
          </w:tcPr>
          <w:p w14:paraId="3973AA63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产品设计名称</w:t>
            </w:r>
          </w:p>
        </w:tc>
        <w:tc>
          <w:tcPr>
            <w:tcW w:w="6904" w:type="dxa"/>
            <w:noWrap w:val="0"/>
            <w:vAlign w:val="center"/>
          </w:tcPr>
          <w:p w14:paraId="3D03D2A1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对应【采购清单及配置技术要求】中的产品序号和名称</w:t>
            </w:r>
          </w:p>
        </w:tc>
        <w:tc>
          <w:tcPr>
            <w:tcW w:w="9286" w:type="dxa"/>
            <w:noWrap w:val="0"/>
            <w:vAlign w:val="center"/>
          </w:tcPr>
          <w:p w14:paraId="1FA4FC04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设计要求</w:t>
            </w:r>
          </w:p>
        </w:tc>
      </w:tr>
      <w:tr w14:paraId="3E563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2482" w:type="dxa"/>
            <w:noWrap w:val="0"/>
            <w:vAlign w:val="center"/>
          </w:tcPr>
          <w:p w14:paraId="357A1AE0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482" w:type="dxa"/>
            <w:noWrap w:val="0"/>
            <w:vAlign w:val="center"/>
          </w:tcPr>
          <w:p w14:paraId="0ACE3FE2">
            <w:pPr>
              <w:widowControl w:val="0"/>
              <w:spacing w:before="1" w:line="360" w:lineRule="auto"/>
              <w:jc w:val="center"/>
              <w:rPr>
                <w:rFonts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单人沙发</w:t>
            </w:r>
          </w:p>
        </w:tc>
        <w:tc>
          <w:tcPr>
            <w:tcW w:w="6904" w:type="dxa"/>
            <w:noWrap w:val="0"/>
            <w:vAlign w:val="center"/>
          </w:tcPr>
          <w:p w14:paraId="32CE1EB0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单人沙发</w:t>
            </w:r>
          </w:p>
        </w:tc>
        <w:tc>
          <w:tcPr>
            <w:tcW w:w="9286" w:type="dxa"/>
            <w:noWrap w:val="0"/>
            <w:vAlign w:val="center"/>
          </w:tcPr>
          <w:p w14:paraId="69A71324">
            <w:pPr>
              <w:widowControl w:val="0"/>
              <w:spacing w:before="1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eastAsia="zh-CN"/>
              </w:rPr>
              <w:t>满足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【采购清单及配置技术要求】中的产品要求</w:t>
            </w:r>
          </w:p>
        </w:tc>
      </w:tr>
      <w:tr w14:paraId="5099B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482" w:type="dxa"/>
            <w:noWrap w:val="0"/>
            <w:vAlign w:val="center"/>
          </w:tcPr>
          <w:p w14:paraId="13F85DF3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482" w:type="dxa"/>
            <w:noWrap w:val="0"/>
            <w:vAlign w:val="center"/>
          </w:tcPr>
          <w:p w14:paraId="5C2E0121">
            <w:pPr>
              <w:widowControl w:val="0"/>
              <w:spacing w:before="1" w:line="360" w:lineRule="auto"/>
              <w:jc w:val="center"/>
              <w:rPr>
                <w:rFonts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单人床</w:t>
            </w:r>
          </w:p>
        </w:tc>
        <w:tc>
          <w:tcPr>
            <w:tcW w:w="6904" w:type="dxa"/>
            <w:noWrap w:val="0"/>
            <w:vAlign w:val="center"/>
          </w:tcPr>
          <w:p w14:paraId="53CE889E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单人床</w:t>
            </w:r>
          </w:p>
        </w:tc>
        <w:tc>
          <w:tcPr>
            <w:tcW w:w="9286" w:type="dxa"/>
            <w:noWrap w:val="0"/>
            <w:vAlign w:val="center"/>
          </w:tcPr>
          <w:p w14:paraId="6AE0E8E3">
            <w:pPr>
              <w:widowControl w:val="0"/>
              <w:spacing w:before="1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eastAsia="zh-CN"/>
              </w:rPr>
              <w:t>满足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【采购清单及配置技术要求】中的产品要求</w:t>
            </w:r>
          </w:p>
        </w:tc>
      </w:tr>
    </w:tbl>
    <w:p w14:paraId="691E4065">
      <w:pPr>
        <w:spacing w:line="360" w:lineRule="auto"/>
        <w:ind w:firstLine="0"/>
        <w:rPr>
          <w:rFonts w:hint="eastAsia" w:ascii="宋体" w:hAnsi="宋体" w:cs="宋体"/>
          <w:b w:val="0"/>
          <w:bCs w:val="0"/>
          <w:sz w:val="22"/>
          <w:szCs w:val="22"/>
          <w:lang w:eastAsia="zh-CN"/>
        </w:rPr>
      </w:pPr>
    </w:p>
    <w:p w14:paraId="50767373">
      <w:pPr>
        <w:spacing w:line="360" w:lineRule="auto"/>
        <w:ind w:firstLine="0"/>
        <w:rPr>
          <w:rFonts w:hint="eastAsia" w:ascii="宋体" w:hAnsi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eastAsia="zh-CN"/>
        </w:rPr>
        <w:t>说明：</w:t>
      </w:r>
    </w:p>
    <w:p w14:paraId="48A39D5C">
      <w:pPr>
        <w:spacing w:line="360" w:lineRule="auto"/>
        <w:ind w:firstLine="426" w:firstLineChars="200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（1）投标人需在标书中提供产品设计清单（格式自拟）；</w:t>
      </w:r>
    </w:p>
    <w:p w14:paraId="20F20138">
      <w:pPr>
        <w:spacing w:line="360" w:lineRule="auto"/>
        <w:ind w:firstLine="426" w:firstLineChars="200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eastAsia="zh-CN"/>
        </w:rPr>
        <w:t>）产品设计方案需包含带主要尺寸的三视图、材料及厚度标注、结构/连接说明、效果图或实物图、关键功能与安装维护说明</w:t>
      </w:r>
      <w:r>
        <w:rPr>
          <w:rFonts w:hint="eastAsia" w:ascii="宋体" w:hAnsi="宋体" w:cs="宋体"/>
          <w:b w:val="0"/>
          <w:bCs w:val="0"/>
          <w:sz w:val="21"/>
          <w:szCs w:val="21"/>
          <w:highlight w:val="none"/>
          <w:lang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eastAsia="zh-CN"/>
        </w:rPr>
        <w:t>；</w:t>
      </w:r>
    </w:p>
    <w:p w14:paraId="5CED2AE7">
      <w:pPr>
        <w:spacing w:line="360" w:lineRule="auto"/>
        <w:ind w:firstLine="426" w:firstLineChars="200"/>
        <w:rPr>
          <w:rFonts w:hint="eastAsia" w:ascii="宋体" w:hAnsi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）</w:t>
      </w:r>
      <w:r>
        <w:rPr>
          <w:rFonts w:hint="eastAsia" w:ascii="宋体" w:hAnsi="宋体" w:cs="宋体"/>
          <w:b w:val="0"/>
          <w:bCs w:val="0"/>
          <w:sz w:val="21"/>
          <w:szCs w:val="21"/>
          <w:lang w:eastAsia="zh-CN"/>
        </w:rPr>
        <w:t>产品设计方案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可包含安全性、功能与人体工学、装配</w:t>
      </w:r>
      <w:r>
        <w:rPr>
          <w:rFonts w:hint="eastAsia" w:ascii="宋体" w:hAnsi="宋体" w:cs="宋体"/>
          <w:b w:val="0"/>
          <w:bCs w:val="0"/>
          <w:sz w:val="21"/>
          <w:szCs w:val="21"/>
          <w:lang w:eastAsia="zh-CN"/>
        </w:rPr>
        <w:t>和可生产性说明等。</w:t>
      </w:r>
    </w:p>
    <w:p w14:paraId="781BBA74">
      <w:pPr>
        <w:spacing w:line="360" w:lineRule="auto"/>
        <w:rPr>
          <w:rFonts w:hint="eastAsia" w:ascii="宋体" w:hAnsi="宋体" w:cs="宋体"/>
          <w:b w:val="0"/>
          <w:bCs w:val="0"/>
          <w:sz w:val="22"/>
          <w:szCs w:val="22"/>
          <w:lang w:eastAsia="zh-CN"/>
        </w:rPr>
      </w:pPr>
    </w:p>
    <w:p w14:paraId="341DCBEB">
      <w:pPr>
        <w:pStyle w:val="5"/>
        <w:numPr>
          <w:ilvl w:val="-1"/>
          <w:numId w:val="0"/>
        </w:numPr>
        <w:spacing w:before="313" w:line="360" w:lineRule="auto"/>
        <w:ind w:left="0" w:firstLine="0" w:firstLineChars="0"/>
        <w:rPr>
          <w:rFonts w:hint="eastAsia" w:eastAsia="宋体" w:cs="Times New Roman"/>
          <w:b/>
          <w:bCs/>
          <w:spacing w:val="12"/>
          <w:sz w:val="21"/>
          <w:szCs w:val="21"/>
          <w:lang w:val="en-US" w:eastAsia="zh-CN"/>
        </w:rPr>
      </w:pPr>
      <w:r>
        <w:rPr>
          <w:rFonts w:hint="eastAsia" w:eastAsia="宋体" w:cs="Times New Roman"/>
          <w:b/>
          <w:bCs/>
          <w:spacing w:val="12"/>
          <w:sz w:val="21"/>
          <w:szCs w:val="21"/>
          <w:lang w:val="en-US" w:eastAsia="zh-CN"/>
        </w:rPr>
        <w:t>七、空间设计要求</w:t>
      </w:r>
    </w:p>
    <w:tbl>
      <w:tblPr>
        <w:tblStyle w:val="1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1199"/>
        <w:gridCol w:w="3923"/>
        <w:gridCol w:w="3818"/>
        <w:gridCol w:w="4029"/>
      </w:tblGrid>
      <w:tr w14:paraId="7CB11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pct"/>
            <w:noWrap w:val="0"/>
            <w:vAlign w:val="center"/>
          </w:tcPr>
          <w:p w14:paraId="09500FA6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423" w:type="pct"/>
            <w:noWrap w:val="0"/>
            <w:vAlign w:val="center"/>
          </w:tcPr>
          <w:p w14:paraId="767BF10C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空间名称</w:t>
            </w:r>
          </w:p>
        </w:tc>
        <w:tc>
          <w:tcPr>
            <w:tcW w:w="1384" w:type="pct"/>
            <w:noWrap w:val="0"/>
            <w:vAlign w:val="center"/>
          </w:tcPr>
          <w:p w14:paraId="74EDCBF5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该空间内布置【采购清单及配置技术要求】中的产品序号和名称及数量</w:t>
            </w:r>
          </w:p>
        </w:tc>
        <w:tc>
          <w:tcPr>
            <w:tcW w:w="1347" w:type="pct"/>
            <w:noWrap w:val="0"/>
            <w:vAlign w:val="center"/>
          </w:tcPr>
          <w:p w14:paraId="6267BA12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设计要求</w:t>
            </w:r>
          </w:p>
        </w:tc>
        <w:tc>
          <w:tcPr>
            <w:tcW w:w="1421" w:type="pct"/>
            <w:noWrap w:val="0"/>
            <w:vAlign w:val="center"/>
          </w:tcPr>
          <w:p w14:paraId="7C82C716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空间尺寸</w:t>
            </w:r>
          </w:p>
        </w:tc>
      </w:tr>
      <w:tr w14:paraId="12F24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pct"/>
            <w:noWrap w:val="0"/>
            <w:vAlign w:val="center"/>
          </w:tcPr>
          <w:p w14:paraId="62C67275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23" w:type="pct"/>
            <w:noWrap w:val="0"/>
            <w:vAlign w:val="center"/>
          </w:tcPr>
          <w:p w14:paraId="6B51FCEB">
            <w:pPr>
              <w:widowControl w:val="0"/>
              <w:spacing w:before="1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2人间</w:t>
            </w:r>
          </w:p>
        </w:tc>
        <w:tc>
          <w:tcPr>
            <w:tcW w:w="1384" w:type="pct"/>
            <w:noWrap w:val="0"/>
            <w:vAlign w:val="center"/>
          </w:tcPr>
          <w:p w14:paraId="3D6B47F6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单人床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套）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eastAsia" w:hAnsi="宋体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多层板床头柜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2套</w:t>
            </w: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；36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衣柜（2套）；38折叠椅（1把）；45桌子</w:t>
            </w:r>
          </w:p>
        </w:tc>
        <w:tc>
          <w:tcPr>
            <w:tcW w:w="1347" w:type="pct"/>
            <w:noWrap w:val="0"/>
            <w:vAlign w:val="center"/>
          </w:tcPr>
          <w:p w14:paraId="57CBD84E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vertAlign w:val="baseline"/>
                <w:lang w:eastAsia="zh-CN"/>
              </w:rPr>
              <w:t>容纳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2人住宿需求，</w:t>
            </w:r>
            <w:r>
              <w:rPr>
                <w:rFonts w:hint="eastAsia"/>
                <w:color w:val="auto"/>
                <w:sz w:val="21"/>
                <w:szCs w:val="21"/>
                <w:vertAlign w:val="baseline"/>
                <w:lang w:eastAsia="zh-CN"/>
              </w:rPr>
              <w:t>投标人需对该空间深化设计布局和配置家具，要求规划科学、配置合理、功能完整</w:t>
            </w:r>
          </w:p>
        </w:tc>
        <w:tc>
          <w:tcPr>
            <w:tcW w:w="1421" w:type="pct"/>
            <w:noWrap w:val="0"/>
            <w:vAlign w:val="center"/>
          </w:tcPr>
          <w:p w14:paraId="2106E645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下图</w:t>
            </w:r>
          </w:p>
        </w:tc>
      </w:tr>
    </w:tbl>
    <w:p w14:paraId="08E19AF8">
      <w:pPr>
        <w:spacing w:before="121" w:line="360" w:lineRule="auto"/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2117725</wp:posOffset>
            </wp:positionH>
            <wp:positionV relativeFrom="paragraph">
              <wp:posOffset>-1283335</wp:posOffset>
            </wp:positionV>
            <wp:extent cx="2247900" cy="4865370"/>
            <wp:effectExtent l="0" t="1308735" r="0" b="0"/>
            <wp:wrapNone/>
            <wp:docPr id="22" name="图片 22" descr="户型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户型图_01"/>
                    <pic:cNvPicPr>
                      <a:picLocks noChangeAspect="1"/>
                    </pic:cNvPicPr>
                  </pic:nvPicPr>
                  <pic:blipFill>
                    <a:blip r:embed="rId47"/>
                    <a:srcRect l="31685" r="1055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47900" cy="486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335046">
      <w:pPr>
        <w:spacing w:before="121" w:line="360" w:lineRule="auto"/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</w:pPr>
    </w:p>
    <w:p w14:paraId="6BC631F4">
      <w:pPr>
        <w:spacing w:before="121" w:line="360" w:lineRule="auto"/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</w:pPr>
    </w:p>
    <w:p w14:paraId="1C2C52CB">
      <w:pPr>
        <w:spacing w:before="121" w:line="360" w:lineRule="auto"/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</w:pPr>
    </w:p>
    <w:p w14:paraId="08810776">
      <w:pPr>
        <w:spacing w:before="121" w:line="360" w:lineRule="auto"/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</w:pPr>
    </w:p>
    <w:p w14:paraId="43747687">
      <w:pPr>
        <w:spacing w:before="121" w:line="360" w:lineRule="auto"/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</w:pPr>
    </w:p>
    <w:p w14:paraId="31EA8670">
      <w:pPr>
        <w:spacing w:before="121" w:line="360" w:lineRule="auto"/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</w:pPr>
      <w:bookmarkStart w:id="0" w:name="_GoBack"/>
      <w:bookmarkEnd w:id="0"/>
    </w:p>
    <w:p w14:paraId="4D567F6E">
      <w:pPr>
        <w:spacing w:before="123" w:line="360" w:lineRule="auto"/>
        <w:outlineLvl w:val="6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八、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送样要求</w:t>
      </w:r>
    </w:p>
    <w:p w14:paraId="1F2EF281">
      <w:pPr>
        <w:pStyle w:val="32"/>
        <w:numPr>
          <w:ilvl w:val="0"/>
          <w:numId w:val="2"/>
        </w:numPr>
        <w:spacing w:line="360" w:lineRule="auto"/>
        <w:ind w:firstLineChars="0"/>
        <w:rPr>
          <w:rFonts w:hint="eastAsia" w:ascii="宋体" w:hAnsi="宋体" w:eastAsia="宋体" w:cs="宋体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实样出样：按照出样要求提供</w:t>
      </w:r>
      <w:r>
        <w:rPr>
          <w:rFonts w:hint="eastAsia" w:ascii="宋体" w:hAnsi="宋体" w:eastAsia="宋体" w:cs="宋体"/>
          <w:sz w:val="21"/>
          <w:szCs w:val="21"/>
          <w:lang w:val="en-US" w:eastAsia="zh-CN" w:bidi="ar"/>
        </w:rPr>
        <w:t>以下样品：</w:t>
      </w:r>
    </w:p>
    <w:tbl>
      <w:tblPr>
        <w:tblStyle w:val="18"/>
        <w:tblW w:w="456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1317"/>
        <w:gridCol w:w="1846"/>
        <w:gridCol w:w="5709"/>
        <w:gridCol w:w="3440"/>
      </w:tblGrid>
      <w:tr w14:paraId="08ACA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" w:type="pct"/>
            <w:noWrap w:val="0"/>
            <w:vAlign w:val="center"/>
          </w:tcPr>
          <w:p w14:paraId="3F6ACDD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508" w:type="pct"/>
            <w:noWrap w:val="0"/>
            <w:vAlign w:val="center"/>
          </w:tcPr>
          <w:p w14:paraId="3A09FF44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样品种类</w:t>
            </w:r>
          </w:p>
        </w:tc>
        <w:tc>
          <w:tcPr>
            <w:tcW w:w="713" w:type="pct"/>
            <w:noWrap w:val="0"/>
            <w:vAlign w:val="center"/>
          </w:tcPr>
          <w:p w14:paraId="2FAE9347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样品名称</w:t>
            </w:r>
          </w:p>
        </w:tc>
        <w:tc>
          <w:tcPr>
            <w:tcW w:w="2205" w:type="pct"/>
            <w:noWrap w:val="0"/>
            <w:vAlign w:val="center"/>
          </w:tcPr>
          <w:p w14:paraId="2BA3201A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对应【采购清单及配置技术要求】中的产品序号和名称</w:t>
            </w:r>
          </w:p>
        </w:tc>
        <w:tc>
          <w:tcPr>
            <w:tcW w:w="1328" w:type="pct"/>
            <w:noWrap w:val="0"/>
            <w:vAlign w:val="center"/>
          </w:tcPr>
          <w:p w14:paraId="29F733D9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before="315" w:line="36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数量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尺寸要求（单位mm）</w:t>
            </w:r>
          </w:p>
        </w:tc>
      </w:tr>
      <w:tr w14:paraId="6DDCF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44" w:type="pct"/>
            <w:noWrap w:val="0"/>
            <w:vAlign w:val="center"/>
          </w:tcPr>
          <w:p w14:paraId="3EDC9FE2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508" w:type="pct"/>
            <w:noWrap w:val="0"/>
            <w:vAlign w:val="center"/>
          </w:tcPr>
          <w:p w14:paraId="589CF0EC">
            <w:pPr>
              <w:widowControl w:val="0"/>
              <w:spacing w:before="1" w:line="36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成品</w:t>
            </w:r>
          </w:p>
        </w:tc>
        <w:tc>
          <w:tcPr>
            <w:tcW w:w="713" w:type="pct"/>
            <w:noWrap w:val="0"/>
            <w:vAlign w:val="center"/>
          </w:tcPr>
          <w:p w14:paraId="5F46C3EE"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会议条桌</w:t>
            </w:r>
          </w:p>
        </w:tc>
        <w:tc>
          <w:tcPr>
            <w:tcW w:w="2205" w:type="pct"/>
            <w:noWrap w:val="0"/>
            <w:vAlign w:val="center"/>
          </w:tcPr>
          <w:p w14:paraId="383F0E0F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328" w:type="pct"/>
            <w:noWrap w:val="0"/>
            <w:vAlign w:val="center"/>
          </w:tcPr>
          <w:p w14:paraId="130C9588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一张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00*D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0*H750</w:t>
            </w:r>
          </w:p>
        </w:tc>
      </w:tr>
      <w:tr w14:paraId="70C5C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44" w:type="pct"/>
            <w:noWrap w:val="0"/>
            <w:vAlign w:val="center"/>
          </w:tcPr>
          <w:p w14:paraId="481F775F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508" w:type="pct"/>
            <w:noWrap w:val="0"/>
            <w:vAlign w:val="center"/>
          </w:tcPr>
          <w:p w14:paraId="2650947C">
            <w:pPr>
              <w:widowControl w:val="0"/>
              <w:spacing w:before="1"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成品</w:t>
            </w:r>
          </w:p>
        </w:tc>
        <w:tc>
          <w:tcPr>
            <w:tcW w:w="713" w:type="pct"/>
            <w:noWrap w:val="0"/>
            <w:vAlign w:val="center"/>
          </w:tcPr>
          <w:p w14:paraId="265345A6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会议椅</w:t>
            </w:r>
          </w:p>
        </w:tc>
        <w:tc>
          <w:tcPr>
            <w:tcW w:w="2205" w:type="pct"/>
            <w:noWrap w:val="0"/>
            <w:vAlign w:val="center"/>
          </w:tcPr>
          <w:p w14:paraId="1DFD2D54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328" w:type="pct"/>
            <w:noWrap w:val="0"/>
            <w:vAlign w:val="center"/>
          </w:tcPr>
          <w:p w14:paraId="529E5F4D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一张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450*470*715mm（±20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</w:tr>
      <w:tr w14:paraId="30CD8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" w:type="pct"/>
            <w:noWrap w:val="0"/>
            <w:vAlign w:val="center"/>
          </w:tcPr>
          <w:p w14:paraId="72CBE870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508" w:type="pct"/>
            <w:noWrap w:val="0"/>
            <w:vAlign w:val="center"/>
          </w:tcPr>
          <w:p w14:paraId="71ED7135">
            <w:pPr>
              <w:widowControl w:val="0"/>
              <w:spacing w:before="1" w:line="36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成品</w:t>
            </w:r>
          </w:p>
        </w:tc>
        <w:tc>
          <w:tcPr>
            <w:tcW w:w="713" w:type="pct"/>
            <w:noWrap w:val="0"/>
            <w:vAlign w:val="center"/>
          </w:tcPr>
          <w:p w14:paraId="67F64898"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餐椅</w:t>
            </w:r>
          </w:p>
        </w:tc>
        <w:tc>
          <w:tcPr>
            <w:tcW w:w="2205" w:type="pct"/>
            <w:noWrap w:val="0"/>
            <w:vAlign w:val="center"/>
          </w:tcPr>
          <w:p w14:paraId="74110084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328" w:type="pct"/>
            <w:noWrap w:val="0"/>
            <w:vAlign w:val="center"/>
          </w:tcPr>
          <w:p w14:paraId="2683D389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一张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520*540*850mm（±20）</w:t>
            </w:r>
          </w:p>
        </w:tc>
      </w:tr>
      <w:tr w14:paraId="0E89A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" w:type="pct"/>
            <w:noWrap w:val="0"/>
            <w:vAlign w:val="center"/>
          </w:tcPr>
          <w:p w14:paraId="2CA2924B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508" w:type="pct"/>
            <w:noWrap w:val="0"/>
            <w:vAlign w:val="center"/>
          </w:tcPr>
          <w:p w14:paraId="4DC90C35">
            <w:pPr>
              <w:widowControl w:val="0"/>
              <w:spacing w:before="1" w:line="360" w:lineRule="auto"/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成品</w:t>
            </w:r>
          </w:p>
        </w:tc>
        <w:tc>
          <w:tcPr>
            <w:tcW w:w="713" w:type="pct"/>
            <w:noWrap w:val="0"/>
            <w:vAlign w:val="center"/>
          </w:tcPr>
          <w:p w14:paraId="1E24ED6C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衣柜（核心产品）</w:t>
            </w:r>
          </w:p>
        </w:tc>
        <w:tc>
          <w:tcPr>
            <w:tcW w:w="2205" w:type="pct"/>
            <w:noWrap w:val="0"/>
            <w:vAlign w:val="center"/>
          </w:tcPr>
          <w:p w14:paraId="0842B377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1328" w:type="pct"/>
            <w:noWrap w:val="0"/>
            <w:vAlign w:val="center"/>
          </w:tcPr>
          <w:p w14:paraId="1797C5E0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一个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800*500*1800mm</w:t>
            </w:r>
          </w:p>
        </w:tc>
      </w:tr>
      <w:tr w14:paraId="3D86F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" w:type="pct"/>
            <w:noWrap w:val="0"/>
            <w:vAlign w:val="center"/>
          </w:tcPr>
          <w:p w14:paraId="030E0CE0">
            <w:pPr>
              <w:widowControl w:val="0"/>
              <w:spacing w:before="1"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508" w:type="pct"/>
            <w:noWrap w:val="0"/>
            <w:vAlign w:val="center"/>
          </w:tcPr>
          <w:p w14:paraId="4EA8724C">
            <w:pPr>
              <w:widowControl w:val="0"/>
              <w:spacing w:before="1" w:line="360" w:lineRule="auto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成品</w:t>
            </w:r>
          </w:p>
        </w:tc>
        <w:tc>
          <w:tcPr>
            <w:tcW w:w="713" w:type="pct"/>
            <w:noWrap w:val="0"/>
            <w:vAlign w:val="center"/>
          </w:tcPr>
          <w:p w14:paraId="549175EB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1"/>
                <w:szCs w:val="21"/>
                <w:vertAlign w:val="baseli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桌子</w:t>
            </w:r>
          </w:p>
        </w:tc>
        <w:tc>
          <w:tcPr>
            <w:tcW w:w="2205" w:type="pct"/>
            <w:noWrap w:val="0"/>
            <w:vAlign w:val="center"/>
          </w:tcPr>
          <w:p w14:paraId="0600F887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328" w:type="pct"/>
            <w:noWrap w:val="0"/>
            <w:vAlign w:val="center"/>
          </w:tcPr>
          <w:p w14:paraId="71567253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一个 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00*500*7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0mm</w:t>
            </w:r>
          </w:p>
        </w:tc>
      </w:tr>
    </w:tbl>
    <w:p w14:paraId="4BFA2BF3">
      <w:pPr>
        <w:pStyle w:val="32"/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1"/>
          <w:szCs w:val="21"/>
          <w:lang w:val="en-US" w:eastAsia="zh-CN" w:bidi="ar"/>
        </w:rPr>
      </w:pPr>
    </w:p>
    <w:p w14:paraId="713E5D65">
      <w:pPr>
        <w:pStyle w:val="32"/>
        <w:numPr>
          <w:ilvl w:val="-1"/>
          <w:numId w:val="0"/>
        </w:numPr>
        <w:spacing w:line="360" w:lineRule="auto"/>
        <w:ind w:left="480" w:firstLine="0" w:firstLineChars="0"/>
        <w:rPr>
          <w:rFonts w:hint="eastAsia" w:ascii="宋体" w:hAnsi="宋体" w:eastAsia="宋体" w:cs="宋体"/>
          <w:sz w:val="21"/>
          <w:szCs w:val="21"/>
          <w:lang w:bidi="ar"/>
        </w:rPr>
      </w:pPr>
      <w:r>
        <w:rPr>
          <w:rFonts w:hint="eastAsia" w:ascii="宋体" w:hAnsi="宋体" w:cs="宋体"/>
          <w:sz w:val="21"/>
          <w:szCs w:val="21"/>
          <w:lang w:val="en-US" w:eastAsia="zh-CN" w:bidi="ar"/>
        </w:rPr>
        <w:t>2、</w:t>
      </w:r>
      <w:r>
        <w:rPr>
          <w:rFonts w:hint="eastAsia" w:ascii="宋体" w:hAnsi="宋体" w:eastAsia="宋体" w:cs="宋体"/>
          <w:sz w:val="21"/>
          <w:szCs w:val="21"/>
          <w:lang w:bidi="ar"/>
        </w:rPr>
        <w:t>投标实样送达地点：</w:t>
      </w:r>
      <w:r>
        <w:rPr>
          <w:rFonts w:hint="eastAsia" w:ascii="宋体" w:hAnsi="宋体" w:cs="宋体"/>
          <w:sz w:val="21"/>
          <w:szCs w:val="21"/>
          <w:lang w:val="en-US" w:eastAsia="zh-CN" w:bidi="ar"/>
        </w:rPr>
        <w:t>上海市崇明区上海版专产教融合中心</w:t>
      </w:r>
      <w:r>
        <w:rPr>
          <w:rFonts w:hint="eastAsia" w:ascii="宋体" w:hAnsi="宋体" w:eastAsia="宋体" w:cs="宋体"/>
          <w:sz w:val="21"/>
          <w:szCs w:val="21"/>
          <w:lang w:bidi="ar"/>
        </w:rPr>
        <w:t>，联系人：</w:t>
      </w:r>
      <w:r>
        <w:rPr>
          <w:rFonts w:hint="eastAsia" w:ascii="宋体" w:hAnsi="宋体" w:cs="宋体"/>
          <w:sz w:val="21"/>
          <w:szCs w:val="21"/>
          <w:lang w:val="en-US" w:eastAsia="zh-CN" w:bidi="ar"/>
        </w:rPr>
        <w:t>魏凤伦</w:t>
      </w:r>
      <w:r>
        <w:rPr>
          <w:rFonts w:hint="eastAsia" w:ascii="宋体" w:hAnsi="宋体" w:eastAsia="宋体" w:cs="宋体"/>
          <w:sz w:val="21"/>
          <w:szCs w:val="21"/>
          <w:lang w:bidi="ar"/>
        </w:rPr>
        <w:t>，联系电话：</w:t>
      </w:r>
      <w:r>
        <w:rPr>
          <w:rFonts w:hint="eastAsia" w:ascii="宋体" w:hAnsi="宋体" w:cs="宋体"/>
          <w:sz w:val="21"/>
          <w:szCs w:val="21"/>
          <w:lang w:val="en-US" w:eastAsia="zh-CN" w:bidi="ar"/>
        </w:rPr>
        <w:t>18101818783</w:t>
      </w:r>
      <w:r>
        <w:rPr>
          <w:rFonts w:hint="eastAsia" w:ascii="宋体" w:hAnsi="宋体" w:eastAsia="宋体" w:cs="宋体"/>
          <w:sz w:val="21"/>
          <w:szCs w:val="21"/>
          <w:lang w:bidi="ar"/>
        </w:rPr>
        <w:t>。</w:t>
      </w:r>
    </w:p>
    <w:p w14:paraId="33CD63BE">
      <w:pPr>
        <w:numPr>
          <w:ilvl w:val="5"/>
          <w:numId w:val="0"/>
        </w:numPr>
        <w:spacing w:line="360" w:lineRule="auto"/>
        <w:ind w:left="486" w:leftChars="200" w:firstLine="0" w:firstLineChars="0"/>
        <w:rPr>
          <w:rFonts w:hint="eastAsia" w:ascii="宋体" w:hAnsi="宋体" w:eastAsia="宋体" w:cs="宋体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sz w:val="21"/>
          <w:szCs w:val="21"/>
          <w:lang w:val="en-US" w:eastAsia="zh-CN" w:bidi="ar"/>
        </w:rPr>
        <w:t>3、</w:t>
      </w:r>
      <w:r>
        <w:rPr>
          <w:rFonts w:hint="eastAsia" w:ascii="宋体" w:hAnsi="宋体" w:eastAsia="宋体" w:cs="宋体"/>
          <w:sz w:val="21"/>
          <w:szCs w:val="21"/>
          <w:lang w:val="en-US" w:eastAsia="zh-CN" w:bidi="ar"/>
        </w:rPr>
        <w:t>样品接受时间：送样人须持有投标人法人授权委托书和身份证明材料，所有实样在投标截止前2个工作日内的每天9点-16点送达并完成现场搭样，逾期不再接收任何实样；</w:t>
      </w:r>
    </w:p>
    <w:p w14:paraId="3152E18A">
      <w:pPr>
        <w:numPr>
          <w:ilvl w:val="5"/>
          <w:numId w:val="0"/>
        </w:numPr>
        <w:spacing w:line="360" w:lineRule="auto"/>
        <w:ind w:left="486" w:leftChars="200" w:firstLine="0" w:firstLineChars="0"/>
        <w:rPr>
          <w:rFonts w:hint="eastAsia" w:ascii="宋体" w:hAnsi="宋体" w:eastAsia="宋体" w:cs="宋体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sz w:val="21"/>
          <w:szCs w:val="21"/>
          <w:lang w:val="en-US" w:eastAsia="zh-CN" w:bidi="ar"/>
        </w:rPr>
        <w:t>4、</w:t>
      </w:r>
      <w:r>
        <w:rPr>
          <w:rFonts w:hint="eastAsia" w:ascii="宋体" w:hAnsi="宋体" w:eastAsia="宋体" w:cs="宋体"/>
          <w:sz w:val="21"/>
          <w:szCs w:val="21"/>
          <w:lang w:val="en-US" w:eastAsia="zh-CN" w:bidi="ar"/>
        </w:rPr>
        <w:t>封样不得替代国家强制性标准、合同技术要求和依法开展的质量检验。</w:t>
      </w:r>
    </w:p>
    <w:p w14:paraId="717555F8">
      <w:pPr>
        <w:numPr>
          <w:ilvl w:val="-1"/>
          <w:numId w:val="0"/>
        </w:numPr>
        <w:spacing w:line="360" w:lineRule="auto"/>
        <w:ind w:left="480" w:firstLine="0"/>
        <w:rPr>
          <w:rFonts w:hint="eastAsia" w:ascii="宋体" w:hAnsi="宋体" w:eastAsia="宋体" w:cs="宋体"/>
          <w:sz w:val="21"/>
          <w:szCs w:val="21"/>
          <w:lang w:bidi="ar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"/>
        </w:rPr>
        <w:t>5、</w:t>
      </w:r>
      <w:r>
        <w:rPr>
          <w:rFonts w:hint="eastAsia" w:ascii="宋体" w:hAnsi="宋体" w:eastAsia="宋体" w:cs="宋体"/>
          <w:sz w:val="21"/>
          <w:szCs w:val="21"/>
          <w:lang w:bidi="ar"/>
        </w:rPr>
        <w:t>采购结束后投标实样处置：</w:t>
      </w:r>
    </w:p>
    <w:p w14:paraId="1AA7983A">
      <w:pPr>
        <w:numPr>
          <w:ilvl w:val="1"/>
          <w:numId w:val="0"/>
        </w:numPr>
        <w:spacing w:line="360" w:lineRule="auto"/>
        <w:ind w:left="1320" w:leftChars="0" w:hanging="420" w:firstLineChars="0"/>
        <w:rPr>
          <w:rFonts w:hint="eastAsia" w:ascii="宋体" w:hAnsi="宋体" w:eastAsia="宋体" w:cs="宋体"/>
          <w:sz w:val="21"/>
          <w:szCs w:val="21"/>
          <w:lang w:bidi="ar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"/>
        </w:rPr>
        <w:t>a)</w:t>
      </w:r>
      <w:r>
        <w:rPr>
          <w:rFonts w:hint="eastAsia" w:ascii="宋体" w:hAnsi="宋体" w:eastAsia="宋体" w:cs="宋体"/>
          <w:sz w:val="21"/>
          <w:szCs w:val="21"/>
          <w:lang w:bidi="ar"/>
        </w:rPr>
        <w:t>中标实样将由采购人封样，作为本项目合同履约验收的检验标准之一。</w:t>
      </w:r>
    </w:p>
    <w:p w14:paraId="1030253A">
      <w:pPr>
        <w:numPr>
          <w:ilvl w:val="1"/>
          <w:numId w:val="0"/>
        </w:numPr>
        <w:spacing w:line="360" w:lineRule="auto"/>
        <w:ind w:left="1320" w:leftChars="0" w:hanging="420" w:firstLineChars="0"/>
        <w:rPr>
          <w:rFonts w:hint="eastAsia" w:ascii="宋体" w:hAnsi="宋体" w:eastAsia="宋体" w:cs="宋体"/>
          <w:sz w:val="21"/>
          <w:szCs w:val="21"/>
          <w:lang w:bidi="ar"/>
        </w:rPr>
      </w:pPr>
      <w:r>
        <w:rPr>
          <w:rFonts w:hint="eastAsia" w:ascii="宋体" w:hAnsi="宋体" w:cs="宋体"/>
          <w:sz w:val="21"/>
          <w:szCs w:val="21"/>
          <w:lang w:val="en-US" w:eastAsia="zh-CN" w:bidi="ar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 w:bidi="ar"/>
        </w:rPr>
        <w:t>)</w:t>
      </w:r>
      <w:r>
        <w:rPr>
          <w:rFonts w:hint="eastAsia" w:ascii="宋体" w:hAnsi="宋体" w:eastAsia="宋体" w:cs="宋体"/>
          <w:sz w:val="21"/>
          <w:szCs w:val="21"/>
          <w:lang w:bidi="ar"/>
        </w:rPr>
        <w:t>未中标实样处置：采购结果公告发布后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 w:bidi="ar"/>
        </w:rPr>
        <w:t>15天</w:t>
      </w:r>
      <w:r>
        <w:rPr>
          <w:rFonts w:hint="eastAsia" w:ascii="宋体" w:hAnsi="宋体" w:eastAsia="宋体" w:cs="宋体"/>
          <w:color w:val="auto"/>
          <w:sz w:val="21"/>
          <w:szCs w:val="21"/>
          <w:lang w:bidi="ar"/>
        </w:rPr>
        <w:t>内</w:t>
      </w:r>
      <w:r>
        <w:rPr>
          <w:rFonts w:hint="eastAsia" w:ascii="宋体" w:hAnsi="宋体" w:eastAsia="宋体" w:cs="宋体"/>
          <w:sz w:val="21"/>
          <w:szCs w:val="21"/>
          <w:lang w:bidi="ar"/>
        </w:rPr>
        <w:t>未中标人可与采购人联系，约定时间取回投标实样，逾期不领的将由采购人统一处置。如项目发生质疑、投诉，取回投标实样时间将根据具体情况后延。</w:t>
      </w:r>
    </w:p>
    <w:p w14:paraId="2BD1E7A7">
      <w:pPr>
        <w:numPr>
          <w:ilvl w:val="3"/>
          <w:numId w:val="0"/>
        </w:numPr>
        <w:spacing w:line="360" w:lineRule="auto"/>
        <w:ind w:left="243" w:leftChars="100" w:firstLine="0" w:firstLineChars="0"/>
        <w:rPr>
          <w:rFonts w:hint="eastAsia" w:ascii="宋体" w:hAnsi="宋体" w:eastAsia="宋体" w:cs="宋体"/>
          <w:sz w:val="21"/>
          <w:szCs w:val="21"/>
          <w:lang w:val="en-US" w:eastAsia="zh-CN" w:bidi="ar"/>
        </w:rPr>
      </w:pPr>
    </w:p>
    <w:p w14:paraId="2DBC213E">
      <w:pPr>
        <w:spacing w:before="123" w:line="360" w:lineRule="auto"/>
        <w:outlineLvl w:val="6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、供货及验收</w:t>
      </w:r>
    </w:p>
    <w:tbl>
      <w:tblPr>
        <w:tblStyle w:val="31"/>
        <w:tblW w:w="1394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7"/>
        <w:gridCol w:w="12338"/>
      </w:tblGrid>
      <w:tr w14:paraId="069C4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607" w:type="dxa"/>
            <w:noWrap w:val="0"/>
            <w:vAlign w:val="top"/>
          </w:tcPr>
          <w:p w14:paraId="4E5F71F0">
            <w:pPr>
              <w:pStyle w:val="33"/>
              <w:spacing w:before="190" w:line="360" w:lineRule="exact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pacing w:val="-10"/>
                <w:sz w:val="21"/>
                <w:szCs w:val="21"/>
              </w:rPr>
              <w:t>分类</w:t>
            </w:r>
          </w:p>
        </w:tc>
        <w:tc>
          <w:tcPr>
            <w:tcW w:w="12338" w:type="dxa"/>
            <w:noWrap w:val="0"/>
            <w:vAlign w:val="top"/>
          </w:tcPr>
          <w:p w14:paraId="65B5BA57">
            <w:pPr>
              <w:pStyle w:val="33"/>
              <w:spacing w:before="190" w:line="360" w:lineRule="exact"/>
              <w:ind w:lef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pacing w:val="-30"/>
                <w:sz w:val="21"/>
                <w:szCs w:val="21"/>
              </w:rPr>
              <w:t>内容</w:t>
            </w:r>
          </w:p>
        </w:tc>
      </w:tr>
      <w:tr w14:paraId="7A86E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1607" w:type="dxa"/>
            <w:noWrap w:val="0"/>
            <w:vAlign w:val="center"/>
          </w:tcPr>
          <w:p w14:paraId="5DB7941E">
            <w:pPr>
              <w:pStyle w:val="33"/>
              <w:spacing w:before="120"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pacing w:val="4"/>
                <w:sz w:val="21"/>
                <w:szCs w:val="21"/>
              </w:rPr>
              <w:t>供货要求</w:t>
            </w:r>
          </w:p>
        </w:tc>
        <w:tc>
          <w:tcPr>
            <w:tcW w:w="12338" w:type="dxa"/>
            <w:noWrap w:val="0"/>
            <w:vAlign w:val="top"/>
          </w:tcPr>
          <w:p w14:paraId="255B913F">
            <w:pPr>
              <w:pStyle w:val="33"/>
              <w:spacing w:before="191" w:line="360" w:lineRule="exact"/>
              <w:ind w:left="152" w:right="180" w:hanging="10"/>
              <w:jc w:val="left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供应商</w:t>
            </w:r>
            <w:r>
              <w:rPr>
                <w:rFonts w:hint="eastAsia"/>
                <w:spacing w:val="6"/>
                <w:sz w:val="21"/>
                <w:szCs w:val="21"/>
                <w:lang w:eastAsia="zh-CN"/>
              </w:rPr>
              <w:t>所提供的货物应符合国家相关质量标准；货物名称、型号规格、数</w:t>
            </w:r>
            <w:r>
              <w:rPr>
                <w:rFonts w:hint="eastAsia"/>
                <w:spacing w:val="5"/>
                <w:sz w:val="21"/>
                <w:szCs w:val="21"/>
                <w:lang w:eastAsia="zh-CN"/>
              </w:rPr>
              <w:t>量、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颜色、外观等符合采购人要求，不得有损毁或损坏。</w:t>
            </w:r>
          </w:p>
        </w:tc>
      </w:tr>
      <w:tr w14:paraId="7B0E7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1607" w:type="dxa"/>
            <w:noWrap w:val="0"/>
            <w:vAlign w:val="center"/>
          </w:tcPr>
          <w:p w14:paraId="28DA90FB">
            <w:pPr>
              <w:pStyle w:val="33"/>
              <w:spacing w:before="201"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pacing w:val="4"/>
                <w:sz w:val="21"/>
                <w:szCs w:val="21"/>
              </w:rPr>
              <w:t>包装要求</w:t>
            </w:r>
          </w:p>
        </w:tc>
        <w:tc>
          <w:tcPr>
            <w:tcW w:w="12338" w:type="dxa"/>
            <w:noWrap w:val="0"/>
            <w:vAlign w:val="top"/>
          </w:tcPr>
          <w:p w14:paraId="628BEF62">
            <w:pPr>
              <w:pStyle w:val="33"/>
              <w:spacing w:before="191" w:line="360" w:lineRule="exact"/>
              <w:ind w:left="152" w:right="180" w:hanging="10"/>
              <w:jc w:val="left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采购中如涉及商品包装和快递包装的，其包装需求标准应不低于《关于印发&lt;商品包装政府采购需求标准(试行)&gt;、&lt;快递包装政府采购需求标准(试行)&gt;的通知》(财办库〔2020〕123号)规定的包装要求。采购人、供应商双方签订合同及验收环节，应包含上述包装要求的条款。</w:t>
            </w:r>
          </w:p>
        </w:tc>
      </w:tr>
      <w:tr w14:paraId="2C284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1607" w:type="dxa"/>
            <w:noWrap w:val="0"/>
            <w:vAlign w:val="center"/>
          </w:tcPr>
          <w:p w14:paraId="71B20270">
            <w:pPr>
              <w:pStyle w:val="33"/>
              <w:spacing w:before="185" w:line="3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pacing w:val="4"/>
                <w:sz w:val="21"/>
                <w:szCs w:val="21"/>
              </w:rPr>
              <w:t>验收要求</w:t>
            </w:r>
          </w:p>
        </w:tc>
        <w:tc>
          <w:tcPr>
            <w:tcW w:w="12338" w:type="dxa"/>
            <w:noWrap w:val="0"/>
            <w:vAlign w:val="top"/>
          </w:tcPr>
          <w:p w14:paraId="75716003">
            <w:pPr>
              <w:pStyle w:val="33"/>
              <w:spacing w:before="182" w:line="360" w:lineRule="exact"/>
              <w:ind w:left="152"/>
              <w:jc w:val="left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办公家具安装、调试后，由供、需双方按照合同约定对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家具进行验收。</w:t>
            </w:r>
            <w:r>
              <w:rPr>
                <w:rFonts w:hint="eastAsia"/>
                <w:sz w:val="21"/>
                <w:szCs w:val="21"/>
                <w:lang w:eastAsia="zh-CN"/>
              </w:rPr>
              <w:t>验收包括清点型号、数量、检查外观等，供应商应当提供家具清单(各</w:t>
            </w:r>
            <w:r>
              <w:rPr>
                <w:rFonts w:hint="eastAsia"/>
                <w:spacing w:val="1"/>
                <w:sz w:val="21"/>
                <w:szCs w:val="21"/>
                <w:lang w:eastAsia="zh-CN"/>
              </w:rPr>
              <w:t>类家具分项开立并标注详细数量)、原产地证明、</w:t>
            </w:r>
            <w:r>
              <w:rPr>
                <w:rFonts w:hint="eastAsia"/>
                <w:b w:val="0"/>
                <w:bCs w:val="0"/>
                <w:color w:val="auto"/>
                <w:spacing w:val="1"/>
                <w:sz w:val="21"/>
                <w:szCs w:val="21"/>
                <w:lang w:eastAsia="zh-CN"/>
              </w:rPr>
              <w:t>具出厂日期证明</w:t>
            </w:r>
            <w:r>
              <w:rPr>
                <w:rFonts w:hint="eastAsia"/>
                <w:spacing w:val="1"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sz w:val="21"/>
                <w:szCs w:val="21"/>
                <w:lang w:eastAsia="zh-CN"/>
              </w:rPr>
              <w:t>家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具环保证明等文件。</w:t>
            </w:r>
          </w:p>
        </w:tc>
      </w:tr>
      <w:tr w14:paraId="61659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607" w:type="dxa"/>
            <w:noWrap w:val="0"/>
            <w:vAlign w:val="center"/>
          </w:tcPr>
          <w:p w14:paraId="7A9D8011">
            <w:pPr>
              <w:pStyle w:val="33"/>
              <w:spacing w:before="185" w:line="360" w:lineRule="exact"/>
              <w:jc w:val="center"/>
              <w:rPr>
                <w:rFonts w:hint="eastAsia" w:eastAsia="宋体"/>
                <w:b w:val="0"/>
                <w:bCs w:val="0"/>
                <w:spacing w:val="4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pacing w:val="4"/>
                <w:sz w:val="21"/>
                <w:szCs w:val="21"/>
              </w:rPr>
              <w:t>检测要求</w:t>
            </w:r>
          </w:p>
        </w:tc>
        <w:tc>
          <w:tcPr>
            <w:tcW w:w="12338" w:type="dxa"/>
            <w:noWrap w:val="0"/>
            <w:vAlign w:val="top"/>
          </w:tcPr>
          <w:p w14:paraId="7EAA390A">
            <w:pPr>
              <w:pStyle w:val="38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1.原材料检测：中标供应商原材料采购完成后，采购人将委托第三方机构进行抽样检测，检测要求见《四、材料要求》，抽样比例为</w:t>
            </w:r>
            <w:r>
              <w:rPr>
                <w:rFonts w:hint="eastAsia" w:hAnsi="宋体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  <w:t>1%</w:t>
            </w:r>
            <w:r>
              <w:rPr>
                <w:rFonts w:hint="eastAsia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。检测费用由中标供应商承担。如检测不合格，中标供应商须整改至合格并承担相应的违约责任；</w:t>
            </w:r>
          </w:p>
          <w:p w14:paraId="2A46631D">
            <w:pPr>
              <w:pStyle w:val="33"/>
              <w:numPr>
                <w:ilvl w:val="0"/>
                <w:numId w:val="0"/>
              </w:numPr>
              <w:spacing w:before="182" w:line="360" w:lineRule="exact"/>
              <w:ind w:left="152"/>
              <w:jc w:val="left"/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2.成品检测：采购人可委托第三方机构对成品进行检测，根据国家强制性标准和《</w:t>
            </w:r>
            <w:r>
              <w:rPr>
                <w:rFonts w:hint="eastAsia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三</w:t>
            </w:r>
            <w:r>
              <w:rPr>
                <w:rFonts w:hint="eastAsia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、采购清单及配置技术要求》中所列成品标准（如有）进行全项检测，检测费用由中标供应商承担，送检产品数量限定在总产品的比例为</w:t>
            </w:r>
            <w:r>
              <w:rPr>
                <w:rFonts w:hint="eastAsia"/>
                <w:b w:val="0"/>
                <w:bCs w:val="0"/>
                <w:color w:val="FF0000"/>
                <w:sz w:val="21"/>
                <w:szCs w:val="21"/>
                <w:highlight w:val="none"/>
                <w:lang w:val="en-US" w:eastAsia="zh-CN"/>
              </w:rPr>
              <w:t>1%</w:t>
            </w:r>
            <w:r>
              <w:rPr>
                <w:rFonts w:hint="eastAsia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，超出部分由招标人承担；</w:t>
            </w:r>
          </w:p>
        </w:tc>
      </w:tr>
    </w:tbl>
    <w:p w14:paraId="3CDF6B01">
      <w:pPr>
        <w:spacing w:before="123" w:line="360" w:lineRule="auto"/>
        <w:outlineLvl w:val="6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、其他要求</w:t>
      </w:r>
    </w:p>
    <w:p w14:paraId="6FE7C9EC">
      <w:pPr>
        <w:spacing w:before="123"/>
        <w:outlineLvl w:val="6"/>
        <w:rPr>
          <w:rFonts w:hint="eastAsia" w:ascii="宋体" w:hAnsi="宋体" w:eastAsia="宋体" w:cs="宋体"/>
          <w:b/>
          <w:bCs/>
          <w:sz w:val="24"/>
          <w:szCs w:val="24"/>
          <w:highlight w:val="yellow"/>
          <w:lang w:val="en-US" w:eastAsia="zh-CN"/>
        </w:rPr>
      </w:pPr>
    </w:p>
    <w:tbl>
      <w:tblPr>
        <w:tblStyle w:val="31"/>
        <w:tblW w:w="139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7"/>
        <w:gridCol w:w="12338"/>
      </w:tblGrid>
      <w:tr w14:paraId="43FF3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jc w:val="center"/>
        </w:trPr>
        <w:tc>
          <w:tcPr>
            <w:tcW w:w="1607" w:type="dxa"/>
            <w:noWrap w:val="0"/>
            <w:vAlign w:val="top"/>
          </w:tcPr>
          <w:p w14:paraId="0BD316D8">
            <w:pPr>
              <w:pStyle w:val="33"/>
              <w:spacing w:before="180" w:line="360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pacing w:val="-10"/>
                <w:sz w:val="21"/>
                <w:szCs w:val="21"/>
              </w:rPr>
              <w:t>分类</w:t>
            </w:r>
          </w:p>
        </w:tc>
        <w:tc>
          <w:tcPr>
            <w:tcW w:w="12338" w:type="dxa"/>
            <w:noWrap w:val="0"/>
            <w:vAlign w:val="top"/>
          </w:tcPr>
          <w:p w14:paraId="19FF50BD">
            <w:pPr>
              <w:pStyle w:val="33"/>
              <w:spacing w:before="180" w:line="360" w:lineRule="auto"/>
              <w:ind w:left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pacing w:val="-29"/>
                <w:sz w:val="21"/>
                <w:szCs w:val="21"/>
              </w:rPr>
              <w:t>内容</w:t>
            </w:r>
          </w:p>
        </w:tc>
      </w:tr>
      <w:tr w14:paraId="16E44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6" w:hRule="atLeast"/>
          <w:jc w:val="center"/>
        </w:trPr>
        <w:tc>
          <w:tcPr>
            <w:tcW w:w="1607" w:type="dxa"/>
            <w:noWrap w:val="0"/>
            <w:vAlign w:val="center"/>
          </w:tcPr>
          <w:p w14:paraId="1590706D">
            <w:pPr>
              <w:pStyle w:val="33"/>
              <w:spacing w:before="182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保修服务</w:t>
            </w:r>
          </w:p>
        </w:tc>
        <w:tc>
          <w:tcPr>
            <w:tcW w:w="12338" w:type="dxa"/>
            <w:noWrap w:val="0"/>
            <w:vAlign w:val="top"/>
          </w:tcPr>
          <w:p w14:paraId="6A9ADDC9">
            <w:pPr>
              <w:spacing w:before="182" w:line="360" w:lineRule="auto"/>
              <w:ind w:left="152"/>
              <w:rPr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供应商提供的售后服务应符合GB/T37652-2019《家具售后服务要求》。</w:t>
            </w:r>
            <w:r>
              <w:rPr>
                <w:rFonts w:hint="eastAsia"/>
                <w:sz w:val="21"/>
                <w:szCs w:val="21"/>
                <w:lang w:eastAsia="zh-CN"/>
              </w:rPr>
              <w:t>免费保修期应当至少不低于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/>
                <w:sz w:val="21"/>
                <w:szCs w:val="21"/>
                <w:lang w:eastAsia="zh-CN"/>
              </w:rPr>
              <w:t>年。免费保修期内，除采购人因非正常使用造成家具损坏外，损坏维修以及所涉及的零部件更换，应当由供应商免费提供，供应商应当承诺每年对所供家具进行巡检。免费保修期满后，供应商保证以优惠价格提供家具所需零配件和维修服务。</w:t>
            </w:r>
          </w:p>
        </w:tc>
      </w:tr>
      <w:tr w14:paraId="773BF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1607" w:type="dxa"/>
            <w:noWrap w:val="0"/>
            <w:vAlign w:val="center"/>
          </w:tcPr>
          <w:p w14:paraId="77D45C77">
            <w:pPr>
              <w:pStyle w:val="33"/>
              <w:spacing w:before="203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pacing w:val="7"/>
                <w:sz w:val="21"/>
                <w:szCs w:val="21"/>
              </w:rPr>
              <w:t>应急能力</w:t>
            </w:r>
          </w:p>
        </w:tc>
        <w:tc>
          <w:tcPr>
            <w:tcW w:w="12338" w:type="dxa"/>
            <w:noWrap w:val="0"/>
            <w:vAlign w:val="center"/>
          </w:tcPr>
          <w:p w14:paraId="4BFB35C7">
            <w:pPr>
              <w:pStyle w:val="33"/>
              <w:spacing w:before="182" w:line="360" w:lineRule="auto"/>
              <w:ind w:left="152"/>
              <w:jc w:val="left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供应商应当在采购人单位所在区域拥有维修服务能力，提供售后服务支持。如遇质量问题，供应商应当在接到通知2小时内予以响应，并于8小时内解决完毕或提供代用产品。</w:t>
            </w:r>
          </w:p>
        </w:tc>
      </w:tr>
      <w:tr w14:paraId="4C451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1607" w:type="dxa"/>
            <w:noWrap w:val="0"/>
            <w:vAlign w:val="center"/>
          </w:tcPr>
          <w:p w14:paraId="0A51DEA3">
            <w:pPr>
              <w:pStyle w:val="33"/>
              <w:spacing w:before="203" w:line="360" w:lineRule="auto"/>
              <w:jc w:val="center"/>
              <w:rPr>
                <w:rFonts w:hint="eastAsia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项目团队</w:t>
            </w:r>
          </w:p>
        </w:tc>
        <w:tc>
          <w:tcPr>
            <w:tcW w:w="12338" w:type="dxa"/>
            <w:noWrap w:val="0"/>
            <w:vAlign w:val="center"/>
          </w:tcPr>
          <w:p w14:paraId="0FAEC9B2">
            <w:pPr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供应商提供项目技术团队及其能力说明，提供人员清单、履历、专业技术能力等资料。</w:t>
            </w:r>
          </w:p>
        </w:tc>
      </w:tr>
      <w:tr w14:paraId="21CFA2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1607" w:type="dxa"/>
            <w:noWrap w:val="0"/>
            <w:vAlign w:val="center"/>
          </w:tcPr>
          <w:p w14:paraId="5BFC4127">
            <w:pPr>
              <w:pStyle w:val="33"/>
              <w:spacing w:before="203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生产能力</w:t>
            </w:r>
          </w:p>
        </w:tc>
        <w:tc>
          <w:tcPr>
            <w:tcW w:w="12338" w:type="dxa"/>
            <w:noWrap w:val="0"/>
            <w:vAlign w:val="center"/>
          </w:tcPr>
          <w:p w14:paraId="65365E50">
            <w:pPr>
              <w:pStyle w:val="33"/>
              <w:spacing w:before="182" w:line="360" w:lineRule="auto"/>
              <w:ind w:left="152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1.生产厂商针对生产过程中可能产生的大气污染、水污染及其他环境污染应当具有有效的环保措施，制定科学的环保治理方案。</w:t>
            </w:r>
          </w:p>
          <w:p w14:paraId="1F8AE16E">
            <w:pPr>
              <w:pStyle w:val="33"/>
              <w:spacing w:before="182" w:line="360" w:lineRule="auto"/>
              <w:ind w:left="152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.生产厂商应当具备完善的管理体系；详细阐述生产工艺技术原理、流程、关键技术点及优势，证明其在精度、质量、效率等方面的竞争力；制定科学合理的生产进度计划，明确各阶段时间节点、交付成果，提供进度保障措施，确保生产进度可控且能按时完成；生产设备配置需完备且先进，提供设备清单信息，说明设备的先进性与适用性，可提供相关生产设备购置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/租赁</w:t>
            </w:r>
            <w:r>
              <w:rPr>
                <w:rFonts w:hint="eastAsia"/>
                <w:sz w:val="21"/>
                <w:szCs w:val="21"/>
                <w:lang w:eastAsia="zh-CN"/>
              </w:rPr>
              <w:t>合同、发票等购置材料作为设备来源证明。</w:t>
            </w:r>
          </w:p>
        </w:tc>
      </w:tr>
      <w:tr w14:paraId="1138A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1607" w:type="dxa"/>
            <w:noWrap w:val="0"/>
            <w:vAlign w:val="center"/>
          </w:tcPr>
          <w:p w14:paraId="03B7CE4E">
            <w:pPr>
              <w:pStyle w:val="33"/>
              <w:spacing w:before="203" w:line="36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其他</w:t>
            </w:r>
          </w:p>
        </w:tc>
        <w:tc>
          <w:tcPr>
            <w:tcW w:w="12338" w:type="dxa"/>
            <w:noWrap w:val="0"/>
            <w:vAlign w:val="center"/>
          </w:tcPr>
          <w:p w14:paraId="11B4832F">
            <w:pPr>
              <w:pStyle w:val="38"/>
              <w:spacing w:line="360" w:lineRule="auto"/>
              <w:jc w:val="both"/>
              <w:rPr>
                <w:rFonts w:hint="eastAsia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hAnsi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hAnsi="宋体"/>
                <w:sz w:val="21"/>
                <w:szCs w:val="21"/>
                <w:highlight w:val="none"/>
                <w:lang w:val="en-US" w:eastAsia="zh-CN"/>
              </w:rPr>
              <w:t>投标产品</w:t>
            </w:r>
            <w:r>
              <w:rPr>
                <w:rFonts w:hint="eastAsia" w:hAnsi="宋体"/>
                <w:sz w:val="21"/>
                <w:szCs w:val="21"/>
                <w:lang w:val="en-US" w:eastAsia="zh-CN"/>
              </w:rPr>
              <w:t>通过中国环境标志(十环)认证的优先；</w:t>
            </w:r>
          </w:p>
          <w:p w14:paraId="0F7952A7">
            <w:pPr>
              <w:pStyle w:val="33"/>
              <w:spacing w:before="182" w:line="360" w:lineRule="auto"/>
              <w:ind w:left="152"/>
              <w:jc w:val="left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 w:hAnsi="宋体"/>
                <w:sz w:val="21"/>
                <w:szCs w:val="21"/>
                <w:lang w:val="en-US" w:eastAsia="zh-CN"/>
              </w:rPr>
              <w:t>2.投标人具有近三年以来类似项目业绩者优先。</w:t>
            </w:r>
          </w:p>
        </w:tc>
      </w:tr>
    </w:tbl>
    <w:p w14:paraId="55BEAF6A">
      <w:pPr>
        <w:pStyle w:val="28"/>
        <w:jc w:val="both"/>
        <w:rPr>
          <w:rFonts w:hint="default"/>
        </w:rPr>
      </w:pPr>
    </w:p>
    <w:sectPr>
      <w:footerReference r:id="rId3" w:type="default"/>
      <w:pgSz w:w="16838" w:h="11906" w:orient="landscape"/>
      <w:pgMar w:top="1077" w:right="1440" w:bottom="107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AndChars" w:linePitch="326" w:charSpace="7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国标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新宋体">
    <w:altName w:val="Noto Sans Mono CJK SC"/>
    <w:panose1 w:val="02010609030101010101"/>
    <w:charset w:val="86"/>
    <w:family w:val="auto"/>
    <w:pitch w:val="default"/>
    <w:sig w:usb0="00000000" w:usb1="00000000" w:usb2="00000006" w:usb3="00000000" w:csb0="00040001" w:csb1="00000000"/>
  </w:font>
  <w:font w:name="Noto Sans Mono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0014D">
    <w:pPr>
      <w:pStyle w:val="11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10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19</w:t>
    </w:r>
    <w:r>
      <w:rPr>
        <w:b/>
        <w:sz w:val="24"/>
        <w:szCs w:val="24"/>
      </w:rPr>
      <w:fldChar w:fldCharType="end"/>
    </w:r>
  </w:p>
  <w:p w14:paraId="1C2F7FCA">
    <w:pPr>
      <w:pStyle w:val="11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042320"/>
    <w:multiLevelType w:val="singleLevel"/>
    <w:tmpl w:val="880423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1792302"/>
    <w:multiLevelType w:val="multilevel"/>
    <w:tmpl w:val="01792302"/>
    <w:lvl w:ilvl="0" w:tentative="0">
      <w:start w:val="1"/>
      <w:numFmt w:val="decimal"/>
      <w:lvlText w:val="%1、"/>
      <w:lvlJc w:val="left"/>
      <w:pPr>
        <w:ind w:left="900" w:hanging="420"/>
      </w:pPr>
      <w:rPr>
        <w:rFonts w:ascii="宋体" w:hAnsi="宋体" w:eastAsia="宋体" w:cs="宋体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22"/>
  <w:drawingGridVerticalSpacing w:val="163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mMWI4ZjhmZjFiNjc2NmJkZTZiMDJkYjZjZGE3YWQifQ=="/>
  </w:docVars>
  <w:rsids>
    <w:rsidRoot w:val="00172A27"/>
    <w:rsid w:val="000054A6"/>
    <w:rsid w:val="000074CC"/>
    <w:rsid w:val="00015DB8"/>
    <w:rsid w:val="00022991"/>
    <w:rsid w:val="00024817"/>
    <w:rsid w:val="0002594E"/>
    <w:rsid w:val="00033009"/>
    <w:rsid w:val="00037672"/>
    <w:rsid w:val="00041416"/>
    <w:rsid w:val="000428F1"/>
    <w:rsid w:val="0005044C"/>
    <w:rsid w:val="00051F88"/>
    <w:rsid w:val="0005642D"/>
    <w:rsid w:val="00061600"/>
    <w:rsid w:val="000667B5"/>
    <w:rsid w:val="00067B23"/>
    <w:rsid w:val="00077895"/>
    <w:rsid w:val="0008175B"/>
    <w:rsid w:val="0008175F"/>
    <w:rsid w:val="00083332"/>
    <w:rsid w:val="000836CF"/>
    <w:rsid w:val="00084C43"/>
    <w:rsid w:val="00086D1B"/>
    <w:rsid w:val="0009198D"/>
    <w:rsid w:val="000944A9"/>
    <w:rsid w:val="000A44B0"/>
    <w:rsid w:val="000B0B1F"/>
    <w:rsid w:val="000B7780"/>
    <w:rsid w:val="000C5971"/>
    <w:rsid w:val="000D1966"/>
    <w:rsid w:val="000F2060"/>
    <w:rsid w:val="000F2953"/>
    <w:rsid w:val="00106EEC"/>
    <w:rsid w:val="0011186A"/>
    <w:rsid w:val="0011196E"/>
    <w:rsid w:val="00113F35"/>
    <w:rsid w:val="00117A52"/>
    <w:rsid w:val="001204A2"/>
    <w:rsid w:val="001212EB"/>
    <w:rsid w:val="00124ED0"/>
    <w:rsid w:val="00127753"/>
    <w:rsid w:val="001312B0"/>
    <w:rsid w:val="00132917"/>
    <w:rsid w:val="00137018"/>
    <w:rsid w:val="001511BA"/>
    <w:rsid w:val="00156B5E"/>
    <w:rsid w:val="00157A68"/>
    <w:rsid w:val="00167D8B"/>
    <w:rsid w:val="001726C5"/>
    <w:rsid w:val="001811BD"/>
    <w:rsid w:val="001A79EF"/>
    <w:rsid w:val="001B290C"/>
    <w:rsid w:val="001B47EB"/>
    <w:rsid w:val="001B6BCE"/>
    <w:rsid w:val="001D1436"/>
    <w:rsid w:val="001D5419"/>
    <w:rsid w:val="001E029F"/>
    <w:rsid w:val="001E0BF5"/>
    <w:rsid w:val="001F454E"/>
    <w:rsid w:val="002000DE"/>
    <w:rsid w:val="00200625"/>
    <w:rsid w:val="00202A63"/>
    <w:rsid w:val="0021221D"/>
    <w:rsid w:val="00216211"/>
    <w:rsid w:val="002163EF"/>
    <w:rsid w:val="00221624"/>
    <w:rsid w:val="00231C80"/>
    <w:rsid w:val="002455BE"/>
    <w:rsid w:val="0025686A"/>
    <w:rsid w:val="00260665"/>
    <w:rsid w:val="0027315C"/>
    <w:rsid w:val="00286508"/>
    <w:rsid w:val="00293415"/>
    <w:rsid w:val="0029402A"/>
    <w:rsid w:val="0029591E"/>
    <w:rsid w:val="002C0B85"/>
    <w:rsid w:val="002F17FF"/>
    <w:rsid w:val="002F399D"/>
    <w:rsid w:val="00304381"/>
    <w:rsid w:val="0030573B"/>
    <w:rsid w:val="0031098E"/>
    <w:rsid w:val="00320DD2"/>
    <w:rsid w:val="003256D9"/>
    <w:rsid w:val="0033319B"/>
    <w:rsid w:val="00336F07"/>
    <w:rsid w:val="0034492B"/>
    <w:rsid w:val="00355743"/>
    <w:rsid w:val="00361A16"/>
    <w:rsid w:val="00365B63"/>
    <w:rsid w:val="0037146B"/>
    <w:rsid w:val="003718BC"/>
    <w:rsid w:val="00372DF8"/>
    <w:rsid w:val="0037468D"/>
    <w:rsid w:val="00382E16"/>
    <w:rsid w:val="003868AB"/>
    <w:rsid w:val="003902B6"/>
    <w:rsid w:val="0039213D"/>
    <w:rsid w:val="003B18D9"/>
    <w:rsid w:val="003B7B5E"/>
    <w:rsid w:val="003C2300"/>
    <w:rsid w:val="003C6D47"/>
    <w:rsid w:val="003D2CD1"/>
    <w:rsid w:val="003D3FA6"/>
    <w:rsid w:val="003D3FB8"/>
    <w:rsid w:val="003E0788"/>
    <w:rsid w:val="003F052D"/>
    <w:rsid w:val="003F37F4"/>
    <w:rsid w:val="003F4605"/>
    <w:rsid w:val="00400466"/>
    <w:rsid w:val="00403601"/>
    <w:rsid w:val="00412A69"/>
    <w:rsid w:val="004132E5"/>
    <w:rsid w:val="00420D4C"/>
    <w:rsid w:val="0042147B"/>
    <w:rsid w:val="00421D86"/>
    <w:rsid w:val="00422964"/>
    <w:rsid w:val="004235B3"/>
    <w:rsid w:val="004244A1"/>
    <w:rsid w:val="00444D38"/>
    <w:rsid w:val="00451B3C"/>
    <w:rsid w:val="004539DD"/>
    <w:rsid w:val="004649E1"/>
    <w:rsid w:val="004831D4"/>
    <w:rsid w:val="00485A12"/>
    <w:rsid w:val="00494380"/>
    <w:rsid w:val="004A66A4"/>
    <w:rsid w:val="004B0706"/>
    <w:rsid w:val="004B247D"/>
    <w:rsid w:val="004C24AE"/>
    <w:rsid w:val="004C75D0"/>
    <w:rsid w:val="004D27C8"/>
    <w:rsid w:val="004D6387"/>
    <w:rsid w:val="004E1EB1"/>
    <w:rsid w:val="004F11ED"/>
    <w:rsid w:val="004F3E44"/>
    <w:rsid w:val="004F4C0C"/>
    <w:rsid w:val="005007A8"/>
    <w:rsid w:val="005034C8"/>
    <w:rsid w:val="005039CF"/>
    <w:rsid w:val="00504A11"/>
    <w:rsid w:val="00510C84"/>
    <w:rsid w:val="00513EA4"/>
    <w:rsid w:val="00513F67"/>
    <w:rsid w:val="00517896"/>
    <w:rsid w:val="00530206"/>
    <w:rsid w:val="005368A5"/>
    <w:rsid w:val="00545A20"/>
    <w:rsid w:val="00547997"/>
    <w:rsid w:val="00550FB4"/>
    <w:rsid w:val="00553301"/>
    <w:rsid w:val="00553873"/>
    <w:rsid w:val="0056022B"/>
    <w:rsid w:val="0056133D"/>
    <w:rsid w:val="00562E68"/>
    <w:rsid w:val="005657BC"/>
    <w:rsid w:val="005667D1"/>
    <w:rsid w:val="005820F8"/>
    <w:rsid w:val="005857B6"/>
    <w:rsid w:val="0058706C"/>
    <w:rsid w:val="00595CFD"/>
    <w:rsid w:val="005A6E40"/>
    <w:rsid w:val="005B1A72"/>
    <w:rsid w:val="005C31DB"/>
    <w:rsid w:val="005C54AF"/>
    <w:rsid w:val="005C76BF"/>
    <w:rsid w:val="005F115C"/>
    <w:rsid w:val="005F11E6"/>
    <w:rsid w:val="005F4FC3"/>
    <w:rsid w:val="005F6927"/>
    <w:rsid w:val="005F6C07"/>
    <w:rsid w:val="006137FA"/>
    <w:rsid w:val="0063225C"/>
    <w:rsid w:val="00633A5C"/>
    <w:rsid w:val="00661450"/>
    <w:rsid w:val="00663DE8"/>
    <w:rsid w:val="006677A7"/>
    <w:rsid w:val="0068353F"/>
    <w:rsid w:val="00690B4B"/>
    <w:rsid w:val="00692166"/>
    <w:rsid w:val="00696D9A"/>
    <w:rsid w:val="006A12D2"/>
    <w:rsid w:val="006B004F"/>
    <w:rsid w:val="006B12A1"/>
    <w:rsid w:val="006D4EA1"/>
    <w:rsid w:val="006D5EFA"/>
    <w:rsid w:val="006D688B"/>
    <w:rsid w:val="006E6321"/>
    <w:rsid w:val="006E7584"/>
    <w:rsid w:val="006F12C1"/>
    <w:rsid w:val="006F7DDF"/>
    <w:rsid w:val="00705200"/>
    <w:rsid w:val="0070636C"/>
    <w:rsid w:val="0071056E"/>
    <w:rsid w:val="0072287E"/>
    <w:rsid w:val="00730603"/>
    <w:rsid w:val="00734017"/>
    <w:rsid w:val="007416F2"/>
    <w:rsid w:val="00752A53"/>
    <w:rsid w:val="00755304"/>
    <w:rsid w:val="007621D8"/>
    <w:rsid w:val="00763CD2"/>
    <w:rsid w:val="00781B0C"/>
    <w:rsid w:val="00784CD1"/>
    <w:rsid w:val="00785E34"/>
    <w:rsid w:val="00790A21"/>
    <w:rsid w:val="00790F6B"/>
    <w:rsid w:val="00791C60"/>
    <w:rsid w:val="007A388F"/>
    <w:rsid w:val="007B2838"/>
    <w:rsid w:val="007C2514"/>
    <w:rsid w:val="007C612C"/>
    <w:rsid w:val="007D192E"/>
    <w:rsid w:val="007E484D"/>
    <w:rsid w:val="007F428E"/>
    <w:rsid w:val="00802D61"/>
    <w:rsid w:val="00813551"/>
    <w:rsid w:val="00815BEB"/>
    <w:rsid w:val="00817607"/>
    <w:rsid w:val="0082464C"/>
    <w:rsid w:val="008332A8"/>
    <w:rsid w:val="008354C1"/>
    <w:rsid w:val="008402D9"/>
    <w:rsid w:val="008509F9"/>
    <w:rsid w:val="00854B37"/>
    <w:rsid w:val="00865DA3"/>
    <w:rsid w:val="00874BC7"/>
    <w:rsid w:val="00885A1C"/>
    <w:rsid w:val="00886B0C"/>
    <w:rsid w:val="00891708"/>
    <w:rsid w:val="008B28CE"/>
    <w:rsid w:val="008C1A25"/>
    <w:rsid w:val="008C378A"/>
    <w:rsid w:val="008C37F0"/>
    <w:rsid w:val="008C3A1B"/>
    <w:rsid w:val="008D19DB"/>
    <w:rsid w:val="008E301D"/>
    <w:rsid w:val="008F12DF"/>
    <w:rsid w:val="008F56F8"/>
    <w:rsid w:val="008F724B"/>
    <w:rsid w:val="009129F6"/>
    <w:rsid w:val="0092598F"/>
    <w:rsid w:val="00936EEA"/>
    <w:rsid w:val="00937A78"/>
    <w:rsid w:val="00944A08"/>
    <w:rsid w:val="00956194"/>
    <w:rsid w:val="009614FC"/>
    <w:rsid w:val="00966562"/>
    <w:rsid w:val="0096707B"/>
    <w:rsid w:val="0097505F"/>
    <w:rsid w:val="00976972"/>
    <w:rsid w:val="0098015B"/>
    <w:rsid w:val="00984567"/>
    <w:rsid w:val="0098724C"/>
    <w:rsid w:val="009877A7"/>
    <w:rsid w:val="00987E4A"/>
    <w:rsid w:val="00992C7C"/>
    <w:rsid w:val="009933F6"/>
    <w:rsid w:val="00994BD5"/>
    <w:rsid w:val="009A4D52"/>
    <w:rsid w:val="009B240D"/>
    <w:rsid w:val="009B2E40"/>
    <w:rsid w:val="009B5311"/>
    <w:rsid w:val="009B5D46"/>
    <w:rsid w:val="009C0391"/>
    <w:rsid w:val="009D1EA4"/>
    <w:rsid w:val="009D7089"/>
    <w:rsid w:val="009D7860"/>
    <w:rsid w:val="009E05A1"/>
    <w:rsid w:val="009E4070"/>
    <w:rsid w:val="009E4656"/>
    <w:rsid w:val="009E557E"/>
    <w:rsid w:val="009F7020"/>
    <w:rsid w:val="00A04517"/>
    <w:rsid w:val="00A105FD"/>
    <w:rsid w:val="00A11396"/>
    <w:rsid w:val="00A1654C"/>
    <w:rsid w:val="00A21F68"/>
    <w:rsid w:val="00A35169"/>
    <w:rsid w:val="00A36E5A"/>
    <w:rsid w:val="00A40789"/>
    <w:rsid w:val="00A44599"/>
    <w:rsid w:val="00A509BC"/>
    <w:rsid w:val="00A53F14"/>
    <w:rsid w:val="00A743CC"/>
    <w:rsid w:val="00A7466D"/>
    <w:rsid w:val="00A8324F"/>
    <w:rsid w:val="00A8626E"/>
    <w:rsid w:val="00A96059"/>
    <w:rsid w:val="00A97F2D"/>
    <w:rsid w:val="00AA17E3"/>
    <w:rsid w:val="00AA7EC1"/>
    <w:rsid w:val="00AB2BAD"/>
    <w:rsid w:val="00AB4715"/>
    <w:rsid w:val="00AC4C07"/>
    <w:rsid w:val="00AC52CC"/>
    <w:rsid w:val="00AD1974"/>
    <w:rsid w:val="00AD71E0"/>
    <w:rsid w:val="00AE321E"/>
    <w:rsid w:val="00AE68A6"/>
    <w:rsid w:val="00AE7D53"/>
    <w:rsid w:val="00AF44BE"/>
    <w:rsid w:val="00B01739"/>
    <w:rsid w:val="00B17E3D"/>
    <w:rsid w:val="00B34352"/>
    <w:rsid w:val="00B43107"/>
    <w:rsid w:val="00B51082"/>
    <w:rsid w:val="00B534B2"/>
    <w:rsid w:val="00B54EA9"/>
    <w:rsid w:val="00B64CE4"/>
    <w:rsid w:val="00B70D33"/>
    <w:rsid w:val="00B710E4"/>
    <w:rsid w:val="00B721DE"/>
    <w:rsid w:val="00B72533"/>
    <w:rsid w:val="00B72A55"/>
    <w:rsid w:val="00B74F6B"/>
    <w:rsid w:val="00B86DCE"/>
    <w:rsid w:val="00B94C9D"/>
    <w:rsid w:val="00B962B3"/>
    <w:rsid w:val="00BA2199"/>
    <w:rsid w:val="00BB30CB"/>
    <w:rsid w:val="00BF38A5"/>
    <w:rsid w:val="00BF507F"/>
    <w:rsid w:val="00C14D9F"/>
    <w:rsid w:val="00C1671E"/>
    <w:rsid w:val="00C25255"/>
    <w:rsid w:val="00C2580B"/>
    <w:rsid w:val="00C30D17"/>
    <w:rsid w:val="00C36067"/>
    <w:rsid w:val="00C3663B"/>
    <w:rsid w:val="00C41DD9"/>
    <w:rsid w:val="00C52BB8"/>
    <w:rsid w:val="00C60922"/>
    <w:rsid w:val="00C66DEF"/>
    <w:rsid w:val="00C72AA3"/>
    <w:rsid w:val="00C743B0"/>
    <w:rsid w:val="00C76220"/>
    <w:rsid w:val="00C966E4"/>
    <w:rsid w:val="00CA4B9B"/>
    <w:rsid w:val="00CB4D23"/>
    <w:rsid w:val="00CC100A"/>
    <w:rsid w:val="00CD1E5B"/>
    <w:rsid w:val="00CD3223"/>
    <w:rsid w:val="00CD37BB"/>
    <w:rsid w:val="00CF5F8F"/>
    <w:rsid w:val="00CF61F3"/>
    <w:rsid w:val="00CF7161"/>
    <w:rsid w:val="00CF7BA6"/>
    <w:rsid w:val="00D02E99"/>
    <w:rsid w:val="00D16871"/>
    <w:rsid w:val="00D17F09"/>
    <w:rsid w:val="00D322CA"/>
    <w:rsid w:val="00D33BF2"/>
    <w:rsid w:val="00D36DB8"/>
    <w:rsid w:val="00D37CC2"/>
    <w:rsid w:val="00D43EDE"/>
    <w:rsid w:val="00D53943"/>
    <w:rsid w:val="00D750FF"/>
    <w:rsid w:val="00D7665A"/>
    <w:rsid w:val="00D81F5C"/>
    <w:rsid w:val="00D91C72"/>
    <w:rsid w:val="00D9511C"/>
    <w:rsid w:val="00D95BE2"/>
    <w:rsid w:val="00D97EA6"/>
    <w:rsid w:val="00DA2A04"/>
    <w:rsid w:val="00DA48C5"/>
    <w:rsid w:val="00DA61FA"/>
    <w:rsid w:val="00DA7173"/>
    <w:rsid w:val="00DB6FB1"/>
    <w:rsid w:val="00DC6A5C"/>
    <w:rsid w:val="00DD190E"/>
    <w:rsid w:val="00DD1BAD"/>
    <w:rsid w:val="00DD2970"/>
    <w:rsid w:val="00DD3865"/>
    <w:rsid w:val="00DE5263"/>
    <w:rsid w:val="00DE7A53"/>
    <w:rsid w:val="00E01A1A"/>
    <w:rsid w:val="00E20690"/>
    <w:rsid w:val="00E2774E"/>
    <w:rsid w:val="00E27B9C"/>
    <w:rsid w:val="00E41761"/>
    <w:rsid w:val="00E42398"/>
    <w:rsid w:val="00E50C90"/>
    <w:rsid w:val="00E50FC9"/>
    <w:rsid w:val="00E61BEB"/>
    <w:rsid w:val="00E6315B"/>
    <w:rsid w:val="00E63B1F"/>
    <w:rsid w:val="00E70F2F"/>
    <w:rsid w:val="00E8584A"/>
    <w:rsid w:val="00E86545"/>
    <w:rsid w:val="00E90B93"/>
    <w:rsid w:val="00E9538D"/>
    <w:rsid w:val="00E97230"/>
    <w:rsid w:val="00EA3E23"/>
    <w:rsid w:val="00EA7E1A"/>
    <w:rsid w:val="00EB2D41"/>
    <w:rsid w:val="00ED14C6"/>
    <w:rsid w:val="00ED23B2"/>
    <w:rsid w:val="00EE2D31"/>
    <w:rsid w:val="00EE4055"/>
    <w:rsid w:val="00EE62B1"/>
    <w:rsid w:val="00EF39B7"/>
    <w:rsid w:val="00EF65F1"/>
    <w:rsid w:val="00F1290F"/>
    <w:rsid w:val="00F21EA9"/>
    <w:rsid w:val="00F42088"/>
    <w:rsid w:val="00F42781"/>
    <w:rsid w:val="00F4372E"/>
    <w:rsid w:val="00F468C8"/>
    <w:rsid w:val="00F5096C"/>
    <w:rsid w:val="00F63C1F"/>
    <w:rsid w:val="00F659F5"/>
    <w:rsid w:val="00F70CF6"/>
    <w:rsid w:val="00F720E6"/>
    <w:rsid w:val="00F85372"/>
    <w:rsid w:val="00F91028"/>
    <w:rsid w:val="00FA6472"/>
    <w:rsid w:val="00FA69A3"/>
    <w:rsid w:val="00FA7250"/>
    <w:rsid w:val="00FB21A8"/>
    <w:rsid w:val="00FC2729"/>
    <w:rsid w:val="00FC40BF"/>
    <w:rsid w:val="00FC5198"/>
    <w:rsid w:val="00FC5F6C"/>
    <w:rsid w:val="00FD4463"/>
    <w:rsid w:val="00FD61EF"/>
    <w:rsid w:val="00FD67F6"/>
    <w:rsid w:val="00FE1D75"/>
    <w:rsid w:val="00FE2C3B"/>
    <w:rsid w:val="00FE6032"/>
    <w:rsid w:val="00FF5C16"/>
    <w:rsid w:val="012C55B0"/>
    <w:rsid w:val="01DB71E9"/>
    <w:rsid w:val="01F40824"/>
    <w:rsid w:val="027D71DE"/>
    <w:rsid w:val="02B61CFD"/>
    <w:rsid w:val="036A6141"/>
    <w:rsid w:val="043E76D1"/>
    <w:rsid w:val="044516FC"/>
    <w:rsid w:val="049F7641"/>
    <w:rsid w:val="053A3C74"/>
    <w:rsid w:val="057A20E1"/>
    <w:rsid w:val="05B747B5"/>
    <w:rsid w:val="06497B03"/>
    <w:rsid w:val="06B622BC"/>
    <w:rsid w:val="06D3561E"/>
    <w:rsid w:val="07087DA6"/>
    <w:rsid w:val="071E0F8F"/>
    <w:rsid w:val="0732501F"/>
    <w:rsid w:val="07D23847"/>
    <w:rsid w:val="07F2C8A1"/>
    <w:rsid w:val="07FB16D6"/>
    <w:rsid w:val="082F2E45"/>
    <w:rsid w:val="091249E1"/>
    <w:rsid w:val="0A3D7CCC"/>
    <w:rsid w:val="0A454E42"/>
    <w:rsid w:val="0A561C59"/>
    <w:rsid w:val="0A913826"/>
    <w:rsid w:val="0AF549EE"/>
    <w:rsid w:val="0B650DAD"/>
    <w:rsid w:val="0BE30377"/>
    <w:rsid w:val="0C6D10E8"/>
    <w:rsid w:val="0D66712E"/>
    <w:rsid w:val="0DA675E9"/>
    <w:rsid w:val="0DD8702C"/>
    <w:rsid w:val="0DFA16EA"/>
    <w:rsid w:val="0E774F05"/>
    <w:rsid w:val="0F0419EB"/>
    <w:rsid w:val="0F0F1DC6"/>
    <w:rsid w:val="0F17270B"/>
    <w:rsid w:val="0F376F6F"/>
    <w:rsid w:val="0FFE195E"/>
    <w:rsid w:val="11290C5D"/>
    <w:rsid w:val="114C3DC5"/>
    <w:rsid w:val="11D74823"/>
    <w:rsid w:val="11F9133B"/>
    <w:rsid w:val="1212349F"/>
    <w:rsid w:val="125E66E4"/>
    <w:rsid w:val="13097390"/>
    <w:rsid w:val="13720CA9"/>
    <w:rsid w:val="13C356D0"/>
    <w:rsid w:val="13D30D64"/>
    <w:rsid w:val="13D730CD"/>
    <w:rsid w:val="13F10443"/>
    <w:rsid w:val="141A15E2"/>
    <w:rsid w:val="144A500E"/>
    <w:rsid w:val="14B9726D"/>
    <w:rsid w:val="14C5664B"/>
    <w:rsid w:val="14F50573"/>
    <w:rsid w:val="150127BE"/>
    <w:rsid w:val="15D82087"/>
    <w:rsid w:val="15E23EF7"/>
    <w:rsid w:val="1606467B"/>
    <w:rsid w:val="170D2F35"/>
    <w:rsid w:val="17602C60"/>
    <w:rsid w:val="181532C3"/>
    <w:rsid w:val="18DC30BF"/>
    <w:rsid w:val="19985A64"/>
    <w:rsid w:val="1A512231"/>
    <w:rsid w:val="1B7F60A8"/>
    <w:rsid w:val="1CF94E07"/>
    <w:rsid w:val="1D097B94"/>
    <w:rsid w:val="1DC24961"/>
    <w:rsid w:val="1E3E386E"/>
    <w:rsid w:val="1EAF597E"/>
    <w:rsid w:val="1F6B41EE"/>
    <w:rsid w:val="1FF74156"/>
    <w:rsid w:val="209F6E60"/>
    <w:rsid w:val="22E771D2"/>
    <w:rsid w:val="234D3482"/>
    <w:rsid w:val="236A2572"/>
    <w:rsid w:val="24AE34FB"/>
    <w:rsid w:val="24C02970"/>
    <w:rsid w:val="24CA7BF3"/>
    <w:rsid w:val="24CB7396"/>
    <w:rsid w:val="2511408A"/>
    <w:rsid w:val="25953B42"/>
    <w:rsid w:val="25AD37B3"/>
    <w:rsid w:val="26832223"/>
    <w:rsid w:val="26E9139D"/>
    <w:rsid w:val="27AE6628"/>
    <w:rsid w:val="28C748FC"/>
    <w:rsid w:val="292F2731"/>
    <w:rsid w:val="2988513D"/>
    <w:rsid w:val="29F72338"/>
    <w:rsid w:val="2B0521C7"/>
    <w:rsid w:val="2B3C521A"/>
    <w:rsid w:val="2C0B194B"/>
    <w:rsid w:val="2C5002AE"/>
    <w:rsid w:val="2D065370"/>
    <w:rsid w:val="2D0C3CE8"/>
    <w:rsid w:val="2D9E64E4"/>
    <w:rsid w:val="2E1B7734"/>
    <w:rsid w:val="2E2B1F4D"/>
    <w:rsid w:val="2EE35A89"/>
    <w:rsid w:val="2F0D2930"/>
    <w:rsid w:val="2F5F632C"/>
    <w:rsid w:val="2FC260AC"/>
    <w:rsid w:val="2FCF1182"/>
    <w:rsid w:val="2FE7539E"/>
    <w:rsid w:val="2FFF56C6"/>
    <w:rsid w:val="30550CCF"/>
    <w:rsid w:val="3151075C"/>
    <w:rsid w:val="31CE345C"/>
    <w:rsid w:val="31F96FEB"/>
    <w:rsid w:val="32024DC4"/>
    <w:rsid w:val="324A1BF6"/>
    <w:rsid w:val="32523D36"/>
    <w:rsid w:val="32852D31"/>
    <w:rsid w:val="32A93956"/>
    <w:rsid w:val="33187F69"/>
    <w:rsid w:val="33244988"/>
    <w:rsid w:val="33266952"/>
    <w:rsid w:val="33270BD5"/>
    <w:rsid w:val="33B946B1"/>
    <w:rsid w:val="34884858"/>
    <w:rsid w:val="349B511E"/>
    <w:rsid w:val="34EA49FC"/>
    <w:rsid w:val="34F277F9"/>
    <w:rsid w:val="35696675"/>
    <w:rsid w:val="36165889"/>
    <w:rsid w:val="364B3A6D"/>
    <w:rsid w:val="36F65B4A"/>
    <w:rsid w:val="3796135E"/>
    <w:rsid w:val="38AD79C4"/>
    <w:rsid w:val="398A4638"/>
    <w:rsid w:val="3A3C3348"/>
    <w:rsid w:val="3AA36E31"/>
    <w:rsid w:val="3AFFAE88"/>
    <w:rsid w:val="3BA5584A"/>
    <w:rsid w:val="3CD45671"/>
    <w:rsid w:val="3D0F3322"/>
    <w:rsid w:val="3D801355"/>
    <w:rsid w:val="3DEA71A5"/>
    <w:rsid w:val="3F6F342F"/>
    <w:rsid w:val="3F975A12"/>
    <w:rsid w:val="3FF64DB8"/>
    <w:rsid w:val="404822D9"/>
    <w:rsid w:val="408A0FFA"/>
    <w:rsid w:val="41AB7ACC"/>
    <w:rsid w:val="41E023C2"/>
    <w:rsid w:val="427A0F0A"/>
    <w:rsid w:val="437839EC"/>
    <w:rsid w:val="44B21FC2"/>
    <w:rsid w:val="44FC154A"/>
    <w:rsid w:val="44FE58E8"/>
    <w:rsid w:val="45073AE8"/>
    <w:rsid w:val="46535859"/>
    <w:rsid w:val="46A17C81"/>
    <w:rsid w:val="47013481"/>
    <w:rsid w:val="470B6133"/>
    <w:rsid w:val="47743CD8"/>
    <w:rsid w:val="47D6754C"/>
    <w:rsid w:val="47DB4FB1"/>
    <w:rsid w:val="47E22BCA"/>
    <w:rsid w:val="482F232B"/>
    <w:rsid w:val="487C0AE6"/>
    <w:rsid w:val="488E4926"/>
    <w:rsid w:val="48A4573B"/>
    <w:rsid w:val="491F5604"/>
    <w:rsid w:val="49D96075"/>
    <w:rsid w:val="4A603341"/>
    <w:rsid w:val="4A683AF6"/>
    <w:rsid w:val="4A8B2E76"/>
    <w:rsid w:val="4AA02DBA"/>
    <w:rsid w:val="4AB81B18"/>
    <w:rsid w:val="4AD91AD9"/>
    <w:rsid w:val="4AF550ED"/>
    <w:rsid w:val="4B2A56BA"/>
    <w:rsid w:val="4B2B3F96"/>
    <w:rsid w:val="4B3C4B0D"/>
    <w:rsid w:val="4C0F5216"/>
    <w:rsid w:val="4DBD78F7"/>
    <w:rsid w:val="4E735359"/>
    <w:rsid w:val="4FDB4216"/>
    <w:rsid w:val="504541B3"/>
    <w:rsid w:val="5074560B"/>
    <w:rsid w:val="51D07D5D"/>
    <w:rsid w:val="51E9516C"/>
    <w:rsid w:val="51EA27FF"/>
    <w:rsid w:val="53047214"/>
    <w:rsid w:val="533B6098"/>
    <w:rsid w:val="53CD0A68"/>
    <w:rsid w:val="542904B1"/>
    <w:rsid w:val="5539030F"/>
    <w:rsid w:val="557A24A3"/>
    <w:rsid w:val="55DB0B04"/>
    <w:rsid w:val="56994E73"/>
    <w:rsid w:val="56D82506"/>
    <w:rsid w:val="56EE0C86"/>
    <w:rsid w:val="57B95737"/>
    <w:rsid w:val="57FBC49D"/>
    <w:rsid w:val="58253473"/>
    <w:rsid w:val="584F2E2E"/>
    <w:rsid w:val="592E43B7"/>
    <w:rsid w:val="597101AA"/>
    <w:rsid w:val="597261A3"/>
    <w:rsid w:val="5A582991"/>
    <w:rsid w:val="5A66022B"/>
    <w:rsid w:val="5BAA117E"/>
    <w:rsid w:val="5BC94459"/>
    <w:rsid w:val="5BF22FC6"/>
    <w:rsid w:val="5C395D70"/>
    <w:rsid w:val="5C850AD7"/>
    <w:rsid w:val="5D2C0F6F"/>
    <w:rsid w:val="5D2D69AC"/>
    <w:rsid w:val="5D7B774A"/>
    <w:rsid w:val="5EC245E4"/>
    <w:rsid w:val="608E3657"/>
    <w:rsid w:val="60987315"/>
    <w:rsid w:val="61623D8F"/>
    <w:rsid w:val="61806E09"/>
    <w:rsid w:val="6217167A"/>
    <w:rsid w:val="625D29E9"/>
    <w:rsid w:val="62D0508A"/>
    <w:rsid w:val="63D47B81"/>
    <w:rsid w:val="63ED4C26"/>
    <w:rsid w:val="645760BC"/>
    <w:rsid w:val="6532174D"/>
    <w:rsid w:val="65640CB2"/>
    <w:rsid w:val="65B93B2D"/>
    <w:rsid w:val="66187ACD"/>
    <w:rsid w:val="66837901"/>
    <w:rsid w:val="66865A41"/>
    <w:rsid w:val="66A54030"/>
    <w:rsid w:val="677D44D6"/>
    <w:rsid w:val="67C55605"/>
    <w:rsid w:val="68A4383E"/>
    <w:rsid w:val="69835257"/>
    <w:rsid w:val="69B971C4"/>
    <w:rsid w:val="6A423422"/>
    <w:rsid w:val="6A795333"/>
    <w:rsid w:val="6AD611D4"/>
    <w:rsid w:val="6B7F6169"/>
    <w:rsid w:val="6CCB618B"/>
    <w:rsid w:val="6D196FD6"/>
    <w:rsid w:val="6E062B8D"/>
    <w:rsid w:val="6E7F2DDF"/>
    <w:rsid w:val="6EAC84AF"/>
    <w:rsid w:val="6FEB57BA"/>
    <w:rsid w:val="6FEE3050"/>
    <w:rsid w:val="705F4540"/>
    <w:rsid w:val="706933FF"/>
    <w:rsid w:val="70E4517B"/>
    <w:rsid w:val="71C57441"/>
    <w:rsid w:val="72F43F19"/>
    <w:rsid w:val="73276346"/>
    <w:rsid w:val="75B23626"/>
    <w:rsid w:val="75E878C1"/>
    <w:rsid w:val="76027519"/>
    <w:rsid w:val="7648159B"/>
    <w:rsid w:val="76B83ABF"/>
    <w:rsid w:val="76CF47B8"/>
    <w:rsid w:val="77F7501B"/>
    <w:rsid w:val="785F67C0"/>
    <w:rsid w:val="787B0173"/>
    <w:rsid w:val="78800F1D"/>
    <w:rsid w:val="79256331"/>
    <w:rsid w:val="79815C5D"/>
    <w:rsid w:val="79EF56BA"/>
    <w:rsid w:val="7A100309"/>
    <w:rsid w:val="7A2465E9"/>
    <w:rsid w:val="7A8953D2"/>
    <w:rsid w:val="7A964216"/>
    <w:rsid w:val="7AFF18DC"/>
    <w:rsid w:val="7B9B0B2D"/>
    <w:rsid w:val="7BEB4301"/>
    <w:rsid w:val="7C2D5C29"/>
    <w:rsid w:val="7C892CAD"/>
    <w:rsid w:val="7D29176A"/>
    <w:rsid w:val="7D661DD3"/>
    <w:rsid w:val="7DDC7472"/>
    <w:rsid w:val="7E2C4EEC"/>
    <w:rsid w:val="7E46472C"/>
    <w:rsid w:val="7EE221B9"/>
    <w:rsid w:val="7EF9C1AC"/>
    <w:rsid w:val="7EFA5662"/>
    <w:rsid w:val="7EFDE82E"/>
    <w:rsid w:val="7F0B0A5C"/>
    <w:rsid w:val="7F0C04C5"/>
    <w:rsid w:val="7F233313"/>
    <w:rsid w:val="7FBF1A03"/>
    <w:rsid w:val="7FEB6B40"/>
    <w:rsid w:val="AFC5D078"/>
    <w:rsid w:val="C2DF01D5"/>
    <w:rsid w:val="CDB678FF"/>
    <w:rsid w:val="CFFF1A79"/>
    <w:rsid w:val="DEDF1375"/>
    <w:rsid w:val="DFDEAAA8"/>
    <w:rsid w:val="EFFDCC97"/>
    <w:rsid w:val="F75B96D5"/>
    <w:rsid w:val="F77B5BC2"/>
    <w:rsid w:val="FD7E1924"/>
    <w:rsid w:val="FF7EE9E4"/>
    <w:rsid w:val="FFDD8F71"/>
    <w:rsid w:val="FFEDFE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0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semiHidden="0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spacing w:before="50" w:beforeLines="50" w:after="50" w:afterLines="50" w:line="360" w:lineRule="auto"/>
      <w:ind w:firstLine="200" w:firstLineChars="200"/>
    </w:pPr>
    <w:rPr>
      <w:sz w:val="24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index 4"/>
    <w:basedOn w:val="1"/>
    <w:next w:val="1"/>
    <w:qFormat/>
    <w:uiPriority w:val="0"/>
    <w:pPr>
      <w:spacing w:line="360" w:lineRule="auto"/>
      <w:ind w:left="600" w:leftChars="600"/>
    </w:pPr>
    <w:rPr>
      <w:sz w:val="24"/>
      <w:szCs w:val="24"/>
    </w:rPr>
  </w:style>
  <w:style w:type="paragraph" w:styleId="8">
    <w:name w:val="Plain Text"/>
    <w:basedOn w:val="1"/>
    <w:link w:val="23"/>
    <w:qFormat/>
    <w:uiPriority w:val="0"/>
    <w:pPr>
      <w:widowControl w:val="0"/>
      <w:spacing w:before="156" w:beforeLines="50" w:after="156" w:afterLines="50" w:line="400" w:lineRule="exact"/>
      <w:jc w:val="both"/>
    </w:pPr>
    <w:rPr>
      <w:rFonts w:ascii="宋体" w:hAnsi="Courier New"/>
      <w:kern w:val="2"/>
      <w:szCs w:val="24"/>
    </w:rPr>
  </w:style>
  <w:style w:type="paragraph" w:styleId="9">
    <w:name w:val="Body Text Indent 2"/>
    <w:basedOn w:val="1"/>
    <w:link w:val="24"/>
    <w:qFormat/>
    <w:uiPriority w:val="0"/>
    <w:pPr>
      <w:widowControl w:val="0"/>
      <w:snapToGrid w:val="0"/>
      <w:spacing w:line="400" w:lineRule="exact"/>
      <w:ind w:firstLine="495"/>
      <w:jc w:val="both"/>
    </w:pPr>
    <w:rPr>
      <w:rFonts w:ascii="仿宋_GB2312" w:eastAsia="仿宋_GB2312"/>
      <w:kern w:val="2"/>
    </w:rPr>
  </w:style>
  <w:style w:type="paragraph" w:styleId="10">
    <w:name w:val="Balloon Text"/>
    <w:basedOn w:val="1"/>
    <w:link w:val="25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2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6"/>
    <w:basedOn w:val="1"/>
    <w:next w:val="1"/>
    <w:qFormat/>
    <w:uiPriority w:val="0"/>
    <w:pPr>
      <w:ind w:left="2100" w:leftChars="1000"/>
    </w:pPr>
    <w:rPr>
      <w:szCs w:val="22"/>
    </w:rPr>
  </w:style>
  <w:style w:type="paragraph" w:styleId="14">
    <w:name w:val="Body Text 2"/>
    <w:basedOn w:val="1"/>
    <w:qFormat/>
    <w:uiPriority w:val="0"/>
    <w:pPr>
      <w:spacing w:after="120" w:line="480" w:lineRule="auto"/>
    </w:pPr>
  </w:style>
  <w:style w:type="paragraph" w:styleId="15">
    <w:name w:val="Body Text First Indent"/>
    <w:basedOn w:val="5"/>
    <w:qFormat/>
    <w:uiPriority w:val="0"/>
    <w:pPr>
      <w:ind w:firstLine="420" w:firstLineChars="100"/>
    </w:pPr>
  </w:style>
  <w:style w:type="paragraph" w:styleId="16">
    <w:name w:val="Body Text First Indent 2"/>
    <w:basedOn w:val="6"/>
    <w:next w:val="15"/>
    <w:qFormat/>
    <w:uiPriority w:val="0"/>
    <w:pPr>
      <w:spacing w:before="100" w:beforeAutospacing="1" w:after="100" w:afterAutospacing="1"/>
      <w:ind w:left="0" w:leftChars="0"/>
      <w:jc w:val="left"/>
    </w:pPr>
  </w:style>
  <w:style w:type="table" w:styleId="18">
    <w:name w:val="Table Grid"/>
    <w:basedOn w:val="17"/>
    <w:qFormat/>
    <w:uiPriority w:val="0"/>
    <w:rPr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page number"/>
    <w:qFormat/>
    <w:uiPriority w:val="0"/>
    <w:rPr>
      <w:rFonts w:cs="Times New Roman"/>
    </w:rPr>
  </w:style>
  <w:style w:type="character" w:styleId="22">
    <w:name w:val="Hyperlink"/>
    <w:unhideWhenUsed/>
    <w:qFormat/>
    <w:uiPriority w:val="99"/>
    <w:rPr>
      <w:color w:val="0000FF"/>
      <w:u w:val="single"/>
    </w:rPr>
  </w:style>
  <w:style w:type="character" w:customStyle="1" w:styleId="23">
    <w:name w:val="纯文本 Char"/>
    <w:link w:val="8"/>
    <w:qFormat/>
    <w:uiPriority w:val="0"/>
    <w:rPr>
      <w:rFonts w:ascii="宋体" w:hAnsi="Courier New"/>
      <w:kern w:val="2"/>
      <w:sz w:val="24"/>
      <w:szCs w:val="24"/>
    </w:rPr>
  </w:style>
  <w:style w:type="character" w:customStyle="1" w:styleId="24">
    <w:name w:val="正文文本缩进 2 Char"/>
    <w:link w:val="9"/>
    <w:qFormat/>
    <w:uiPriority w:val="0"/>
    <w:rPr>
      <w:rFonts w:ascii="仿宋_GB2312" w:eastAsia="仿宋_GB2312"/>
      <w:kern w:val="2"/>
      <w:sz w:val="24"/>
    </w:rPr>
  </w:style>
  <w:style w:type="character" w:customStyle="1" w:styleId="25">
    <w:name w:val="批注框文本 Char"/>
    <w:link w:val="10"/>
    <w:qFormat/>
    <w:uiPriority w:val="0"/>
    <w:rPr>
      <w:rFonts w:cs="Times New Roman"/>
      <w:sz w:val="18"/>
      <w:szCs w:val="18"/>
    </w:rPr>
  </w:style>
  <w:style w:type="character" w:customStyle="1" w:styleId="26">
    <w:name w:val="页脚 Char"/>
    <w:link w:val="11"/>
    <w:qFormat/>
    <w:uiPriority w:val="99"/>
    <w:rPr>
      <w:rFonts w:cs="Times New Roman"/>
      <w:kern w:val="0"/>
      <w:sz w:val="18"/>
      <w:szCs w:val="18"/>
    </w:rPr>
  </w:style>
  <w:style w:type="character" w:customStyle="1" w:styleId="27">
    <w:name w:val="页眉 Char"/>
    <w:link w:val="12"/>
    <w:qFormat/>
    <w:uiPriority w:val="0"/>
    <w:rPr>
      <w:rFonts w:cs="Times New Roman"/>
      <w:sz w:val="18"/>
      <w:szCs w:val="18"/>
    </w:rPr>
  </w:style>
  <w:style w:type="paragraph" w:customStyle="1" w:styleId="28">
    <w:name w:val="正文（文本）"/>
    <w:qFormat/>
    <w:uiPriority w:val="0"/>
    <w:pPr>
      <w:widowControl w:val="0"/>
      <w:snapToGrid w:val="0"/>
      <w:spacing w:beforeLines="20" w:line="360" w:lineRule="auto"/>
      <w:jc w:val="center"/>
    </w:pPr>
    <w:rPr>
      <w:rFonts w:ascii="Times New Roman" w:hAnsi="宋体" w:eastAsia="宋体" w:cs="Times New Roman"/>
      <w:kern w:val="2"/>
      <w:sz w:val="28"/>
      <w:szCs w:val="28"/>
      <w:lang w:val="en-US" w:eastAsia="zh-CN" w:bidi="ar-SA"/>
    </w:rPr>
  </w:style>
  <w:style w:type="character" w:customStyle="1" w:styleId="29">
    <w:name w:val="纯文本 Char1"/>
    <w:semiHidden/>
    <w:qFormat/>
    <w:uiPriority w:val="99"/>
    <w:rPr>
      <w:rFonts w:ascii="宋体" w:hAnsi="Courier New" w:cs="Courier New"/>
      <w:sz w:val="21"/>
      <w:szCs w:val="21"/>
    </w:rPr>
  </w:style>
  <w:style w:type="paragraph" w:customStyle="1" w:styleId="30">
    <w:name w:val=" Char Char1 Char Char Char Char1 Char Char Char"/>
    <w:basedOn w:val="1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Tahoma" w:hAnsi="Tahoma"/>
      <w:kern w:val="2"/>
    </w:rPr>
  </w:style>
  <w:style w:type="table" w:customStyle="1" w:styleId="3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Table Text"/>
    <w:basedOn w:val="1"/>
    <w:semiHidden/>
    <w:qFormat/>
    <w:uiPriority w:val="0"/>
    <w:pPr>
      <w:spacing w:line="360" w:lineRule="auto"/>
      <w:ind w:left="106"/>
      <w:jc w:val="center"/>
    </w:pPr>
    <w:rPr>
      <w:rFonts w:ascii="宋体" w:hAnsi="宋体" w:eastAsia="宋体" w:cs="宋体"/>
    </w:rPr>
  </w:style>
  <w:style w:type="character" w:customStyle="1" w:styleId="34">
    <w:name w:val="font81"/>
    <w:basedOn w:val="19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35">
    <w:name w:val="font1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6">
    <w:name w:val="font7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7">
    <w:name w:val="font41"/>
    <w:basedOn w:val="19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paragraph" w:customStyle="1" w:styleId="3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9" Type="http://schemas.openxmlformats.org/officeDocument/2006/relationships/fontTable" Target="fontTable.xml"/><Relationship Id="rId48" Type="http://schemas.openxmlformats.org/officeDocument/2006/relationships/numbering" Target="numbering.xml"/><Relationship Id="rId47" Type="http://schemas.openxmlformats.org/officeDocument/2006/relationships/image" Target="media/image43.jpe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jpe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上海海事大学</Company>
  <Pages>33</Pages>
  <Words>8648</Words>
  <Characters>10414</Characters>
  <Lines>54</Lines>
  <Paragraphs>15</Paragraphs>
  <TotalTime>2</TotalTime>
  <ScaleCrop>false</ScaleCrop>
  <LinksUpToDate>false</LinksUpToDate>
  <CharactersWithSpaces>10810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2018-07-25T14:22:00Z</dcterms:created>
  <dc:creator>abc</dc:creator>
  <cp:lastModifiedBy>王婉婷</cp:lastModifiedBy>
  <cp:lastPrinted>2023-07-23T17:03:00Z</cp:lastPrinted>
  <dcterms:modified xsi:type="dcterms:W3CDTF">2026-10-19T08:42:02Z</dcterms:modified>
  <dc:title>销  售  合  同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716B32D1B1AA5EEE44C6D16A8255C22F_43</vt:lpwstr>
  </property>
  <property fmtid="{D5CDD505-2E9C-101B-9397-08002B2CF9AE}" pid="4" name="KSOTemplateDocerSaveRecord">
    <vt:lpwstr>eyJoZGlkIjoiYTRlOGQ0OWYxYjdlM2FhNmM5NzU0ZWY2ZDUwMWQyMzUiLCJ1c2VySWQiOiIzMjg5MjI3MzAifQ==</vt:lpwstr>
  </property>
</Properties>
</file>