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黑体" w:hAnsi="黑体" w:eastAsia="黑体" w:cs="黑体"/>
          <w:b/>
          <w:bCs/>
          <w:sz w:val="32"/>
          <w:szCs w:val="32"/>
          <w:lang w:val="en-US" w:eastAsia="zh-CN"/>
        </w:rPr>
      </w:pPr>
      <w:bookmarkStart w:id="0" w:name="_Toc63785461"/>
      <w:r>
        <w:rPr>
          <w:rFonts w:hint="eastAsia" w:ascii="黑体" w:hAnsi="黑体" w:eastAsia="黑体" w:cs="黑体"/>
          <w:b/>
          <w:bCs/>
          <w:sz w:val="32"/>
          <w:szCs w:val="32"/>
          <w:lang w:val="en-US" w:eastAsia="zh-CN"/>
        </w:rPr>
        <w:t>检察法律监督通用认知基础语言模型子系统</w:t>
      </w:r>
    </w:p>
    <w:p>
      <w:pPr>
        <w:spacing w:line="240" w:lineRule="auto"/>
        <w:ind w:firstLine="0" w:firstLineChars="0"/>
        <w:jc w:val="center"/>
        <w:rPr>
          <w:rFonts w:ascii="黑体" w:hAnsi="黑体" w:eastAsia="黑体" w:cs="黑体"/>
          <w:b/>
          <w:bCs/>
          <w:sz w:val="32"/>
          <w:szCs w:val="32"/>
        </w:rPr>
      </w:pPr>
      <w:r>
        <w:rPr>
          <w:rFonts w:hint="eastAsia" w:ascii="黑体" w:hAnsi="黑体" w:eastAsia="黑体" w:cs="黑体"/>
          <w:b/>
          <w:bCs/>
          <w:sz w:val="32"/>
          <w:szCs w:val="32"/>
          <w:lang w:val="en-US" w:eastAsia="zh-CN"/>
        </w:rPr>
        <w:t>（2026年升级改造）建设项目</w:t>
      </w:r>
      <w:r>
        <w:rPr>
          <w:rFonts w:hint="eastAsia" w:ascii="黑体" w:hAnsi="黑体" w:eastAsia="黑体" w:cs="黑体"/>
          <w:b/>
          <w:bCs/>
          <w:sz w:val="32"/>
          <w:szCs w:val="32"/>
        </w:rPr>
        <w:t>采购需求</w:t>
      </w:r>
    </w:p>
    <w:p>
      <w:pPr>
        <w:pStyle w:val="12"/>
        <w:ind w:left="0" w:leftChars="0" w:firstLine="0" w:firstLineChars="0"/>
        <w:rPr>
          <w:lang w:eastAsia="zh-CN"/>
        </w:rPr>
      </w:pPr>
      <w:bookmarkStart w:id="43" w:name="_GoBack"/>
      <w:bookmarkEnd w:id="43"/>
    </w:p>
    <w:p>
      <w:pPr>
        <w:pStyle w:val="2"/>
      </w:pPr>
      <w:r>
        <w:rPr>
          <w:rFonts w:hint="eastAsia"/>
        </w:rPr>
        <w:t>项目概况</w:t>
      </w:r>
      <w:bookmarkEnd w:id="0"/>
    </w:p>
    <w:p>
      <w:pPr>
        <w:rPr>
          <w:rFonts w:hint="eastAsia"/>
          <w:lang w:eastAsia="zh-CN"/>
        </w:rPr>
      </w:pPr>
      <w:r>
        <w:rPr>
          <w:rFonts w:hint="eastAsia"/>
          <w:lang w:eastAsia="zh-CN"/>
        </w:rPr>
        <w:t>习主席总书记在主持二十届中共中央政治局第二十次集体学习时强调，面对新一轮人工智能技术快速演进的新趋势，要充分发挥新型举国体制优势，坚持自立自强，突出应用导向，推动我国人工智能朝着有益、安全、公平方向健康有序发展。最高检于今年4月启动检察机关智能化建设及试点工作，聚焦办案、监督、管理、服务等重点应用场景，以点带面推进全国检察机关智能化水平的整体提升。要深刻领会习主席总书记关于人工智能的重要论述，加快落实一系列检察智能化建设重大决策部署及试点工作，抢占机遇、加大探索、塑造优势，以人工智能引领法律监督范式变革，为推动做实高质效办好每一个案件注入持久动能。</w:t>
      </w:r>
    </w:p>
    <w:p>
      <w:pPr>
        <w:pStyle w:val="6"/>
        <w:rPr>
          <w:rFonts w:hint="eastAsia"/>
          <w:lang w:eastAsia="zh-CN"/>
        </w:rPr>
      </w:pPr>
      <w:r>
        <w:rPr>
          <w:rFonts w:hint="eastAsia"/>
          <w:lang w:val="en-US" w:eastAsia="zh-CN"/>
        </w:rPr>
        <w:t>2025</w:t>
      </w:r>
      <w:r>
        <w:rPr>
          <w:rFonts w:hint="eastAsia"/>
          <w:lang w:eastAsia="zh-CN"/>
        </w:rPr>
        <w:t>年，最高人民检察院下发了《全国检察机关智能化建设及试点工作方案》，贯彻落实最高检党组有关要求，统筹推进全国检察机关智能化建设，深入推动现代化科技与法律监督工作深度融合，按照“业务指导、数据整合、技术支撑、重在应用”的数字检察工作机制有关要求，在“检察一张网”体系架构下，采用“</w:t>
      </w:r>
      <w:r>
        <w:rPr>
          <w:rFonts w:hint="eastAsia"/>
          <w:lang w:val="en-US" w:eastAsia="zh-CN"/>
        </w:rPr>
        <w:t>1+N</w:t>
      </w:r>
      <w:r>
        <w:rPr>
          <w:rFonts w:hint="eastAsia"/>
          <w:lang w:eastAsia="zh-CN"/>
        </w:rPr>
        <w:t>”建设模式（“</w:t>
      </w:r>
      <w:r>
        <w:rPr>
          <w:rFonts w:hint="eastAsia"/>
          <w:lang w:val="en-US" w:eastAsia="zh-CN"/>
        </w:rPr>
        <w:t>1</w:t>
      </w:r>
      <w:r>
        <w:rPr>
          <w:rFonts w:hint="eastAsia"/>
          <w:lang w:eastAsia="zh-CN"/>
        </w:rPr>
        <w:t>”指最高检、“</w:t>
      </w:r>
      <w:r>
        <w:rPr>
          <w:rFonts w:hint="eastAsia"/>
          <w:lang w:val="en-US" w:eastAsia="zh-CN"/>
        </w:rPr>
        <w:t>N</w:t>
      </w:r>
      <w:r>
        <w:rPr>
          <w:rFonts w:hint="eastAsia"/>
          <w:lang w:eastAsia="zh-CN"/>
        </w:rPr>
        <w:t>”指符合条件的</w:t>
      </w:r>
      <w:r>
        <w:rPr>
          <w:rFonts w:hint="eastAsia"/>
          <w:lang w:val="en-US" w:eastAsia="zh-CN"/>
        </w:rPr>
        <w:t>N</w:t>
      </w:r>
      <w:r>
        <w:rPr>
          <w:rFonts w:hint="eastAsia"/>
          <w:lang w:eastAsia="zh-CN"/>
        </w:rPr>
        <w:t>个省级），统筹最高检和地方检察软硬件资源、办案力量和技术能力，聚焦办案、监督、管理、服务等重点应用场景，研发建设一批符合业务需求的检察智能化辅助应用。</w:t>
      </w:r>
    </w:p>
    <w:p>
      <w:pPr>
        <w:pStyle w:val="6"/>
      </w:pPr>
      <w:r>
        <w:rPr>
          <w:rFonts w:hint="eastAsia" w:ascii="宋体" w:hAnsi="宋体" w:eastAsia="宋体" w:cs="Times New Roman"/>
          <w:kern w:val="2"/>
          <w:sz w:val="24"/>
          <w:szCs w:val="24"/>
          <w:lang w:val="en-US" w:eastAsia="zh-CN" w:bidi="ar-SA"/>
        </w:rPr>
        <w:t>本项目结合“数字政法”以及最高检的相关要求，基于全流程全息在线办案系统功能与全国检察业务应用系统2.0办案数据，利用检察法律监督通用认知基础语言模型子系统建设的大模型能力，推进数字检察深度应用。聚焦业务办案，完善司法办案辅助系统、大数据赋能系统，推进数字时代互联网检察办案工作。协同研究稳妥推行刑事案件在线审理机制，加强对在线审理案件的法律监督。推进检察管理和检察宣传的数字运用。整合检察机关互联网运用，增强检察公共服务供给，提升检察服务便捷性。</w:t>
      </w:r>
    </w:p>
    <w:p>
      <w:r>
        <w:rPr>
          <w:rFonts w:hint="eastAsia"/>
        </w:rPr>
        <w:t>本项目建设须符合</w:t>
      </w:r>
      <w:r>
        <w:rPr>
          <w:rFonts w:hint="eastAsia"/>
          <w:lang w:eastAsia="zh-CN"/>
        </w:rPr>
        <w:t>XC</w:t>
      </w:r>
      <w:r>
        <w:rPr>
          <w:rFonts w:hint="eastAsia"/>
        </w:rPr>
        <w:t>要求。</w:t>
      </w:r>
    </w:p>
    <w:p>
      <w:pPr>
        <w:pStyle w:val="2"/>
      </w:pPr>
      <w:bookmarkStart w:id="1" w:name="_Toc47539070"/>
      <w:bookmarkEnd w:id="1"/>
      <w:bookmarkStart w:id="2" w:name="_Toc47537134"/>
      <w:bookmarkEnd w:id="2"/>
      <w:bookmarkStart w:id="3" w:name="_Toc47531634"/>
      <w:bookmarkEnd w:id="3"/>
      <w:bookmarkStart w:id="4" w:name="_Toc47536272"/>
      <w:bookmarkEnd w:id="4"/>
      <w:bookmarkStart w:id="5" w:name="_Toc47533256"/>
      <w:bookmarkEnd w:id="5"/>
      <w:bookmarkStart w:id="6" w:name="_Toc47532891"/>
      <w:bookmarkEnd w:id="6"/>
      <w:bookmarkStart w:id="7" w:name="_Toc47532255"/>
      <w:bookmarkEnd w:id="7"/>
      <w:bookmarkStart w:id="8" w:name="_Toc47536644"/>
      <w:bookmarkEnd w:id="8"/>
      <w:bookmarkStart w:id="9" w:name="_Toc48223882"/>
      <w:bookmarkStart w:id="10" w:name="_Toc63785463"/>
      <w:r>
        <w:rPr>
          <w:rFonts w:hint="eastAsia"/>
        </w:rPr>
        <w:t>建设目标</w:t>
      </w:r>
      <w:bookmarkEnd w:id="9"/>
      <w:bookmarkEnd w:id="10"/>
    </w:p>
    <w:p>
      <w:pPr>
        <w:pStyle w:val="3"/>
        <w:ind w:left="480"/>
        <w:rPr>
          <w:rFonts w:hint="default" w:eastAsia="宋体"/>
          <w:bCs/>
          <w:lang w:val="en-US" w:eastAsia="zh-CN"/>
        </w:rPr>
      </w:pPr>
      <w:r>
        <w:rPr>
          <w:rFonts w:hint="eastAsia"/>
          <w:bCs/>
          <w:lang w:val="en-US" w:eastAsia="zh-CN"/>
        </w:rPr>
        <w:t>项目目标</w:t>
      </w:r>
    </w:p>
    <w:p>
      <w:pPr>
        <w:rPr>
          <w:rFonts w:hint="default"/>
          <w:lang w:val="en-US" w:eastAsia="zh-CN"/>
        </w:rPr>
      </w:pPr>
      <w:r>
        <w:rPr>
          <w:rFonts w:hint="default"/>
          <w:lang w:val="en-US" w:eastAsia="zh-CN"/>
        </w:rPr>
        <w:t>根据数字检察“一网运行、一网通办、一网统管、一网赋能、一网运维”的建设要求，综合考虑业务办案需要，选取危险驾驶罪、故意伤害罪、寻衅滋事罪、帮信罪、掩隐罪、诈骗罪、盗窃罪、毒品罪、故意毁坏财物罪、交通肇事罪、非法经营罪、介绍卖淫罪，聚焦关键业务场景和办案痛点，建设智能体、辅助办案类、辅助监督类、语料库等智能化建设。通过检察智能化建设，不断创新检察办案模式，积累检察智能化建设经验，以点带面推动检察机关智能化水平的整体提升，更好发挥科技在赋能法律监督智能化、规范化与高效化等方面重要作用，助力高质效办案每一个案件。</w:t>
      </w:r>
    </w:p>
    <w:p>
      <w:pPr>
        <w:rPr>
          <w:rFonts w:hint="eastAsia"/>
          <w:bCs/>
          <w:lang w:val="en-US" w:eastAsia="zh-CN"/>
        </w:rPr>
      </w:pPr>
      <w:r>
        <w:rPr>
          <w:rFonts w:hint="eastAsia"/>
          <w:bCs/>
          <w:lang w:val="en-US" w:eastAsia="zh-CN"/>
        </w:rPr>
        <w:t>构建全域智能办案体系：以“一网运行、一网通办”为核心，针对危险驾驶罪、故意伤害罪等12类高发案件，打造全流程贯通的智能办案体系，实现案件受理、证据审查、法律适用等环节的线上协同与智能辅助，确保办案流程标准化、数据流通无障碍，推动检察业务在数字化网络中高效运转。</w:t>
      </w:r>
    </w:p>
    <w:p>
      <w:pPr>
        <w:rPr>
          <w:rFonts w:hint="eastAsia"/>
          <w:bCs/>
          <w:lang w:val="en-US" w:eastAsia="zh-CN"/>
        </w:rPr>
      </w:pPr>
      <w:r>
        <w:rPr>
          <w:rFonts w:hint="eastAsia"/>
          <w:bCs/>
          <w:lang w:val="en-US" w:eastAsia="zh-CN"/>
        </w:rPr>
        <w:t>提升法律监督质效：基于“一网统管、一网赋能”要求，聚焦案件办理关键场景与痛点，开发智能体、辅助监督类系统，利用大数据分析、智能研判等技术，精准识别监督线索，实现对案件办理的动态监管与智能预警，将法律监督嵌入办案全流程，提升监督的及时性与精准度，推动法律监督从被动应对向主动防控转变。</w:t>
      </w:r>
    </w:p>
    <w:p>
      <w:pPr>
        <w:rPr>
          <w:rFonts w:hint="eastAsia"/>
          <w:bCs/>
          <w:lang w:val="en-US" w:eastAsia="zh-CN"/>
        </w:rPr>
      </w:pPr>
      <w:r>
        <w:rPr>
          <w:rFonts w:hint="eastAsia"/>
          <w:bCs/>
          <w:lang w:val="en-US" w:eastAsia="zh-CN"/>
        </w:rPr>
        <w:t>创新检察办案模式：通过辅助办案类工具、语料库等智能化建设，构建 “人机协同”新型办案模式，为检察官提供智能文书生成、类案推送、法律知识检索等服务，降低重复性劳动强度，提升复杂案件处理效率，形成以科技为支撑、以数据为驱动的现代化检察办案新范式。</w:t>
      </w:r>
    </w:p>
    <w:p>
      <w:pPr>
        <w:rPr>
          <w:rFonts w:hint="eastAsia"/>
          <w:bCs/>
          <w:lang w:val="en-US" w:eastAsia="zh-CN"/>
        </w:rPr>
      </w:pPr>
      <w:r>
        <w:rPr>
          <w:rFonts w:hint="eastAsia"/>
          <w:bCs/>
          <w:lang w:val="en-US" w:eastAsia="zh-CN"/>
        </w:rPr>
        <w:t>实现智能化水平整体跃升：以12类重点罪名案件智能化建设为突破口，积累可复制、可推广的检察智能化建设经验，逐步向其他业务领域拓展，完善“一网运维”保障机制，实现检察机关智能化建设从单点突破到全面覆盖，推动检察机关智能化水平整体提升，为高质效办好每一个案件提供坚实科技保障。</w:t>
      </w:r>
    </w:p>
    <w:p>
      <w:pPr>
        <w:rPr>
          <w:rFonts w:hint="eastAsia"/>
          <w:bCs/>
          <w:lang w:val="en-US" w:eastAsia="zh-CN"/>
        </w:rPr>
      </w:pPr>
      <w:r>
        <w:rPr>
          <w:rFonts w:hint="eastAsia"/>
          <w:bCs/>
          <w:lang w:val="en-US" w:eastAsia="zh-CN"/>
        </w:rPr>
        <w:t>推动法治建设数字化转型：发挥检察智能化建设示范效应，助力法治中国建设的数据化、网络化、智能化进程，强化与公安、法院、司法行政等部门的数据协同与业务联动，促进跨部门大数据协同办案，实现法治领域各类信息、数据、网络平台的优化整合，为法治中国建设贡献检察科技力量。</w:t>
      </w:r>
    </w:p>
    <w:p>
      <w:pPr>
        <w:pStyle w:val="3"/>
        <w:ind w:left="480"/>
        <w:rPr>
          <w:rFonts w:hint="default" w:eastAsia="宋体"/>
          <w:bCs/>
          <w:lang w:val="en-US" w:eastAsia="zh-CN"/>
        </w:rPr>
      </w:pPr>
      <w:r>
        <w:rPr>
          <w:rFonts w:hint="eastAsia"/>
          <w:bCs/>
          <w:lang w:val="en-US" w:eastAsia="zh-CN"/>
        </w:rPr>
        <w:t>绩效目标</w:t>
      </w:r>
    </w:p>
    <w:p>
      <w:pPr>
        <w:rPr>
          <w:rFonts w:hint="eastAsia"/>
          <w:bCs/>
          <w:lang w:val="en-US" w:eastAsia="zh-CN"/>
        </w:rPr>
      </w:pPr>
      <w:r>
        <w:rPr>
          <w:rFonts w:hint="eastAsia"/>
          <w:bCs/>
          <w:lang w:val="en-US" w:eastAsia="zh-CN"/>
        </w:rPr>
        <w:t>本项目建设完成后，需达成以下绩效目标：</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749"/>
        <w:gridCol w:w="749"/>
        <w:gridCol w:w="749"/>
        <w:gridCol w:w="4180"/>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一级指标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二级指标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三级指标</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四级指标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通用指标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产出质量</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软件开发完成率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一次性验收合格率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系统可靠性</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密码测试达标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软件测试达标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网络安全等级保护</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安全事件发生次数</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产出时效</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项目建设周期</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产出成本</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标准化内容支出比例</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效益指标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数据服务</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新增数据标签数量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≥3407个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完成数据融合的数据条数</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≥43800万条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大模型应用</w:t>
            </w:r>
          </w:p>
        </w:tc>
        <w:tc>
          <w:tcPr>
            <w:tcW w:w="2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形成语料库条目数</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≥20000万条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数据目录覆盖率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数据编目更新及时率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语料加工数据准确率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用户使用情况</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系统用户量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月活跃用户量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≥200人次/月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业务指标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产出数量</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建立知识库数量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建设智能体数量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产出质量</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支持并发量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支持同时在线用户数</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智能体平均响应时间</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≤500毫秒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智能体回答准确率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智能体流程类任务执行成功率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效益指标</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社会效益</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服务检察机关单位数量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每月支撑案件数量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智能体用户月均使用次数</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≥500人次/月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通过智能体每月生成文书数量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≥1000份/月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宋体" w:eastAsia="仿宋_GB2312" w:cs="仿宋_GB2312"/>
                <w:i w:val="0"/>
                <w:iCs w:val="0"/>
                <w:color w:val="000000"/>
                <w:sz w:val="24"/>
                <w:szCs w:val="24"/>
                <w:u w:val="none"/>
              </w:rPr>
            </w:pP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管理大模型数量</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≥1个</w:t>
            </w:r>
          </w:p>
        </w:tc>
      </w:tr>
    </w:tbl>
    <w:p>
      <w:pPr>
        <w:pStyle w:val="2"/>
      </w:pPr>
      <w:bookmarkStart w:id="11" w:name="_Toc47539102"/>
      <w:bookmarkEnd w:id="11"/>
      <w:bookmarkStart w:id="12" w:name="_Toc47537166"/>
      <w:bookmarkEnd w:id="12"/>
      <w:bookmarkStart w:id="13" w:name="_Toc47532923"/>
      <w:bookmarkEnd w:id="13"/>
      <w:bookmarkStart w:id="14" w:name="_Toc47533288"/>
      <w:bookmarkEnd w:id="14"/>
      <w:bookmarkStart w:id="15" w:name="_Toc47536676"/>
      <w:bookmarkEnd w:id="15"/>
      <w:bookmarkStart w:id="16" w:name="_Toc47536304"/>
      <w:bookmarkEnd w:id="16"/>
      <w:r>
        <w:rPr>
          <w:rFonts w:hint="eastAsia"/>
        </w:rPr>
        <w:t>项目建设内容</w:t>
      </w:r>
    </w:p>
    <w:p>
      <w:pPr>
        <w:pStyle w:val="3"/>
        <w:ind w:left="480"/>
      </w:pPr>
      <w:r>
        <w:rPr>
          <w:rFonts w:hint="eastAsia"/>
        </w:rPr>
        <w:t>总体架构</w:t>
      </w:r>
    </w:p>
    <w:p>
      <w:pPr>
        <w:pStyle w:val="6"/>
        <w:ind w:firstLine="480"/>
      </w:pPr>
      <w:r>
        <w:rPr>
          <w:rFonts w:hint="eastAsia"/>
        </w:rPr>
        <w:t>本系统</w:t>
      </w:r>
      <w:r>
        <w:rPr>
          <w:rFonts w:hint="eastAsia"/>
          <w:lang w:eastAsia="zh-CN"/>
        </w:rPr>
        <w:t>系统架构由下至上主要分为基础设施、基座模型、平台层、服务层、应用</w:t>
      </w:r>
      <w:r>
        <w:rPr>
          <w:rFonts w:hint="eastAsia"/>
          <w:lang w:val="en-US" w:eastAsia="zh-CN"/>
        </w:rPr>
        <w:t>层</w:t>
      </w:r>
      <w:r>
        <w:rPr>
          <w:rFonts w:hint="eastAsia"/>
        </w:rPr>
        <w:t>，具体内容为：</w:t>
      </w:r>
    </w:p>
    <w:p>
      <w:pPr>
        <w:pStyle w:val="6"/>
        <w:numPr>
          <w:ilvl w:val="0"/>
          <w:numId w:val="3"/>
        </w:numPr>
        <w:ind w:firstLine="480"/>
        <w:rPr>
          <w:rFonts w:hint="eastAsia"/>
          <w:lang w:val="en-US" w:eastAsia="zh-CN"/>
        </w:rPr>
      </w:pPr>
      <w:r>
        <w:rPr>
          <w:rFonts w:hint="eastAsia"/>
          <w:lang w:eastAsia="zh-CN"/>
        </w:rPr>
        <w:t>基础设施：基础设施主要包括计算、存储和操作系统等核心组件。</w:t>
      </w:r>
      <w:r>
        <w:rPr>
          <w:rFonts w:hint="eastAsia"/>
          <w:lang w:val="en-US" w:eastAsia="zh-CN"/>
        </w:rPr>
        <w:t>鉴于本项目业务应用需具备图像内容解析与提取能力，而现有大模型无法满足需求，经技术预研，需引入多模态大模型。评估显示，本次业务支撑需处理的文件规模庞大，大模型算力需求已超出既有资源容量，需扩展算力服务。本项目服务器资源以申请政务云资源为主，NPU算力建设则通过自行部署实现。</w:t>
      </w:r>
    </w:p>
    <w:p>
      <w:pPr>
        <w:pStyle w:val="6"/>
        <w:numPr>
          <w:ilvl w:val="0"/>
          <w:numId w:val="3"/>
        </w:numPr>
        <w:ind w:firstLine="480"/>
        <w:rPr>
          <w:rFonts w:hint="eastAsia"/>
          <w:lang w:eastAsia="zh-CN"/>
        </w:rPr>
      </w:pPr>
      <w:r>
        <w:rPr>
          <w:rFonts w:hint="eastAsia"/>
          <w:lang w:eastAsia="zh-CN"/>
        </w:rPr>
        <w:t>基座模型：基座模型</w:t>
      </w:r>
      <w:r>
        <w:rPr>
          <w:rFonts w:hint="eastAsia"/>
          <w:lang w:val="en-US" w:eastAsia="zh-CN"/>
        </w:rPr>
        <w:t>包含我单位已部署的各类模型。本次建设项目业务涉及海量电子卷宗图片解析，需识别印章、手写签名等图像特征，当前部署的大语言模型难以支撑该业务，亟需新增多模态大模型。</w:t>
      </w:r>
    </w:p>
    <w:p>
      <w:pPr>
        <w:pStyle w:val="6"/>
        <w:numPr>
          <w:ilvl w:val="0"/>
          <w:numId w:val="3"/>
        </w:numPr>
        <w:ind w:firstLine="480"/>
        <w:rPr>
          <w:rFonts w:hint="eastAsia"/>
          <w:lang w:eastAsia="zh-CN"/>
        </w:rPr>
      </w:pPr>
      <w:r>
        <w:rPr>
          <w:rFonts w:hint="eastAsia"/>
          <w:lang w:eastAsia="zh-CN"/>
        </w:rPr>
        <w:t>平台层：平台</w:t>
      </w:r>
      <w:r>
        <w:rPr>
          <w:rFonts w:hint="eastAsia"/>
          <w:lang w:val="en-US" w:eastAsia="zh-CN"/>
        </w:rPr>
        <w:t xml:space="preserve">负责采集、清洗、加工、处理及转换结构化和非结构化数据，实现对文本数据的要素提取与结构化入库应用。平台支持图像数据处理和要素提取能力，为卷宗要素提取提供技术支撑。  </w:t>
      </w:r>
    </w:p>
    <w:p>
      <w:pPr>
        <w:pStyle w:val="6"/>
        <w:numPr>
          <w:ilvl w:val="0"/>
          <w:numId w:val="3"/>
        </w:numPr>
        <w:ind w:firstLine="480"/>
        <w:rPr>
          <w:rFonts w:hint="eastAsia"/>
          <w:lang w:eastAsia="zh-CN"/>
        </w:rPr>
      </w:pPr>
      <w:r>
        <w:rPr>
          <w:rFonts w:hint="eastAsia"/>
          <w:lang w:eastAsia="zh-CN"/>
        </w:rPr>
        <w:t>服务层</w:t>
      </w:r>
      <w:r>
        <w:rPr>
          <w:rFonts w:hint="eastAsia"/>
          <w:lang w:val="en-US" w:eastAsia="zh-CN"/>
        </w:rPr>
        <w:t>：</w:t>
      </w:r>
      <w:r>
        <w:rPr>
          <w:rFonts w:hint="eastAsia"/>
          <w:lang w:eastAsia="zh-CN"/>
        </w:rPr>
        <w:t>服务层主要依托平台层的相关工具和能力，</w:t>
      </w:r>
      <w:r>
        <w:rPr>
          <w:rFonts w:hint="eastAsia"/>
          <w:lang w:val="en-US" w:eastAsia="zh-CN"/>
        </w:rPr>
        <w:t xml:space="preserve">获取支撑业务应用所需的数据，并将其以服务形式对外提供。该层包含数据服务与智能应用服务。  </w:t>
      </w:r>
    </w:p>
    <w:p>
      <w:pPr>
        <w:pStyle w:val="6"/>
        <w:numPr>
          <w:ilvl w:val="0"/>
          <w:numId w:val="4"/>
        </w:numPr>
        <w:ind w:left="420" w:leftChars="0" w:hanging="420" w:firstLineChars="0"/>
        <w:rPr>
          <w:rFonts w:hint="eastAsia"/>
          <w:lang w:val="en-US" w:eastAsia="zh-CN"/>
        </w:rPr>
      </w:pPr>
      <w:r>
        <w:rPr>
          <w:rFonts w:hint="eastAsia"/>
          <w:lang w:eastAsia="zh-CN"/>
        </w:rPr>
        <w:t>数据服务，</w:t>
      </w:r>
      <w:r>
        <w:rPr>
          <w:rFonts w:hint="eastAsia"/>
          <w:lang w:val="en-US" w:eastAsia="zh-CN"/>
        </w:rPr>
        <w:t xml:space="preserve">旨在提供应用所需的案件数据、文书要素信息等。本次建设新增了常用刑事卷宗要素解析数据服务及语料库数据服务，用以支撑证据审查类业务应用及语料库检索应用的开展。  </w:t>
      </w:r>
    </w:p>
    <w:p>
      <w:pPr>
        <w:pStyle w:val="6"/>
        <w:numPr>
          <w:ilvl w:val="0"/>
          <w:numId w:val="4"/>
        </w:numPr>
        <w:ind w:left="420" w:leftChars="0" w:hanging="420" w:firstLineChars="0"/>
      </w:pPr>
      <w:r>
        <w:rPr>
          <w:rFonts w:hint="eastAsia"/>
          <w:lang w:eastAsia="zh-CN"/>
        </w:rPr>
        <w:t>智能应用服务，</w:t>
      </w:r>
      <w:r>
        <w:rPr>
          <w:rFonts w:hint="eastAsia"/>
          <w:lang w:val="en-US" w:eastAsia="zh-CN"/>
        </w:rPr>
        <w:t>主要为办案和办公智能化应用提供能力支撑</w:t>
      </w:r>
      <w:r>
        <w:rPr>
          <w:rFonts w:hint="eastAsia"/>
          <w:lang w:eastAsia="zh-CN"/>
        </w:rPr>
        <w:t>，涵盖刑事办案智能体与办公智能体。</w:t>
      </w:r>
      <w:r>
        <w:rPr>
          <w:rFonts w:hint="eastAsia"/>
          <w:lang w:val="en-US" w:eastAsia="zh-CN"/>
        </w:rPr>
        <w:t>通过可视化页面配置，可快速完成智能体工作流的编排，提供卷宗预处理、辅助询问、文书生成、分类等服务能力，从而为上层业务应用提供支撑。智能应用服务为本项目新增建设内容。</w:t>
      </w:r>
    </w:p>
    <w:p>
      <w:pPr>
        <w:pStyle w:val="6"/>
        <w:numPr>
          <w:ilvl w:val="0"/>
          <w:numId w:val="3"/>
        </w:numPr>
        <w:ind w:firstLine="480"/>
        <w:rPr>
          <w:rFonts w:hint="eastAsia" w:cs="Times New Roman"/>
          <w:lang w:eastAsia="zh-CN"/>
        </w:rPr>
      </w:pPr>
      <w:r>
        <w:rPr>
          <w:rFonts w:hint="eastAsia" w:cs="Times New Roman"/>
          <w:lang w:eastAsia="zh-CN"/>
        </w:rPr>
        <w:t>应用</w:t>
      </w:r>
      <w:r>
        <w:rPr>
          <w:rFonts w:hint="eastAsia" w:cs="Times New Roman"/>
          <w:lang w:val="en-US" w:eastAsia="zh-CN"/>
        </w:rPr>
        <w:t>层</w:t>
      </w:r>
      <w:r>
        <w:rPr>
          <w:rFonts w:hint="eastAsia" w:cs="Times New Roman"/>
          <w:lang w:eastAsia="zh-CN"/>
        </w:rPr>
        <w:t>：</w:t>
      </w:r>
      <w:r>
        <w:rPr>
          <w:rFonts w:hint="eastAsia" w:cs="Times New Roman"/>
          <w:lang w:val="en-US" w:eastAsia="zh-CN"/>
        </w:rPr>
        <w:t>在检察法律监督通用认知基础语言模型子系统项目建设的基础上，新增智能讯问、刑事证据审查、审查报告生成等辅助办案功能，提升智能讯问与证据审查能力，完善智能辅助办案全流程；新增两项监督、司法鉴定证据审查、毒品案件辅助办案及语料检索等应用，强化立案监督、侦查活动监督线索主动发现能力及语料检索能力；同时优化量刑辅助、类案推送、文书生成、案卡回填、裁定结果审查等量刑智能辅助办案模型功能。</w:t>
      </w:r>
    </w:p>
    <w:p>
      <w:pPr>
        <w:pStyle w:val="3"/>
        <w:ind w:left="480"/>
      </w:pPr>
      <w:r>
        <w:rPr>
          <w:rFonts w:hint="eastAsia"/>
        </w:rPr>
        <w:t>建设原则</w:t>
      </w:r>
    </w:p>
    <w:p>
      <w:pPr>
        <w:rPr>
          <w:rFonts w:ascii="Tahoma" w:hAnsi="Tahoma"/>
          <w:szCs w:val="20"/>
        </w:rPr>
      </w:pPr>
      <w:r>
        <w:rPr>
          <w:rFonts w:hint="eastAsia" w:ascii="Tahoma" w:hAnsi="Tahoma"/>
          <w:szCs w:val="20"/>
        </w:rPr>
        <w:t>充分适应上海检察信息化发展的需要，遵循长远规划、基础规范、充分论证、可靠实用的理念，确保系统高效智能、操作简单、安全稳定、维护方便、升级灵活。需遵循以下原则：</w:t>
      </w:r>
    </w:p>
    <w:p>
      <w:pPr>
        <w:numPr>
          <w:ilvl w:val="0"/>
          <w:numId w:val="5"/>
        </w:numPr>
        <w:ind w:left="0" w:firstLine="480"/>
        <w:rPr>
          <w:szCs w:val="20"/>
        </w:rPr>
      </w:pPr>
      <w:r>
        <w:rPr>
          <w:rFonts w:hint="eastAsia"/>
          <w:szCs w:val="20"/>
        </w:rPr>
        <w:t>开放性和标准性原则</w:t>
      </w:r>
    </w:p>
    <w:p>
      <w:pPr>
        <w:rPr>
          <w:rFonts w:ascii="Tahoma" w:hAnsi="Tahoma"/>
          <w:szCs w:val="20"/>
        </w:rPr>
      </w:pPr>
      <w:r>
        <w:rPr>
          <w:rFonts w:hint="eastAsia" w:ascii="Tahoma" w:hAnsi="Tahoma"/>
          <w:szCs w:val="20"/>
        </w:rPr>
        <w:t xml:space="preserve">软件系统应具备良好的开放性，可以根据检察业务的需要，进行多种系统或多种设备的集成和拓展。系统设计要遵循开放性标准，符合上海检察机关信息化建设基础规范的要求，实现业务信息的输入、输出标准化，便于与其他系统之间的互联互通。 </w:t>
      </w:r>
    </w:p>
    <w:p>
      <w:pPr>
        <w:numPr>
          <w:ilvl w:val="0"/>
          <w:numId w:val="5"/>
        </w:numPr>
        <w:ind w:left="0" w:firstLine="480"/>
        <w:rPr>
          <w:szCs w:val="20"/>
        </w:rPr>
      </w:pPr>
      <w:bookmarkStart w:id="17" w:name="_Toc80859958"/>
      <w:bookmarkEnd w:id="17"/>
      <w:bookmarkStart w:id="18" w:name="_Toc80627411"/>
      <w:r>
        <w:rPr>
          <w:rFonts w:hint="eastAsia"/>
          <w:szCs w:val="20"/>
        </w:rPr>
        <w:t>先进性和实用性原则</w:t>
      </w:r>
      <w:bookmarkEnd w:id="18"/>
    </w:p>
    <w:p>
      <w:pPr>
        <w:rPr>
          <w:rFonts w:ascii="Tahoma" w:hAnsi="Tahoma"/>
          <w:szCs w:val="20"/>
        </w:rPr>
      </w:pPr>
      <w:r>
        <w:rPr>
          <w:rFonts w:hint="eastAsia" w:ascii="Tahoma" w:hAnsi="Tahoma"/>
          <w:szCs w:val="20"/>
        </w:rPr>
        <w:t>采用基于三层体系结构的系统构架和面向对象设计的应用软件；选用稳定可靠且通用的系统软件、数据库软件、中间件软件、工具软件等开发平台；选用技术领先、设备先进、质量可靠、性能价格比合理的设备。</w:t>
      </w:r>
    </w:p>
    <w:p>
      <w:pPr>
        <w:numPr>
          <w:ilvl w:val="0"/>
          <w:numId w:val="5"/>
        </w:numPr>
        <w:ind w:left="0" w:firstLine="480"/>
        <w:rPr>
          <w:szCs w:val="20"/>
        </w:rPr>
      </w:pPr>
      <w:bookmarkStart w:id="19" w:name="_Toc80627413"/>
      <w:bookmarkEnd w:id="19"/>
      <w:bookmarkStart w:id="20" w:name="_Toc80859960"/>
      <w:r>
        <w:rPr>
          <w:rFonts w:hint="eastAsia"/>
          <w:szCs w:val="20"/>
        </w:rPr>
        <w:t>扩展性和维护性原则</w:t>
      </w:r>
      <w:bookmarkEnd w:id="20"/>
    </w:p>
    <w:p>
      <w:pPr>
        <w:rPr>
          <w:rFonts w:ascii="Tahoma" w:hAnsi="Tahoma"/>
          <w:szCs w:val="20"/>
        </w:rPr>
      </w:pPr>
      <w:r>
        <w:rPr>
          <w:rFonts w:hint="eastAsia" w:ascii="Tahoma" w:hAnsi="Tahoma"/>
          <w:szCs w:val="20"/>
        </w:rPr>
        <w:t>系统采用的技术架构应具有较强的可扩展性与维护性，可根据业务需求变化进行灵活的功能调整和扩展，便于系统维护和故障排查。</w:t>
      </w:r>
    </w:p>
    <w:p>
      <w:pPr>
        <w:numPr>
          <w:ilvl w:val="0"/>
          <w:numId w:val="5"/>
        </w:numPr>
        <w:ind w:left="0" w:firstLine="480"/>
        <w:rPr>
          <w:szCs w:val="20"/>
        </w:rPr>
      </w:pPr>
      <w:bookmarkStart w:id="21" w:name="_Toc80627414"/>
      <w:bookmarkEnd w:id="21"/>
      <w:bookmarkStart w:id="22" w:name="_Toc80859961"/>
      <w:r>
        <w:rPr>
          <w:rFonts w:hint="eastAsia"/>
          <w:szCs w:val="20"/>
        </w:rPr>
        <w:t>安全性和可靠性原则</w:t>
      </w:r>
      <w:bookmarkEnd w:id="22"/>
    </w:p>
    <w:p>
      <w:pPr>
        <w:rPr>
          <w:rFonts w:ascii="Tahoma" w:hAnsi="Tahoma"/>
          <w:szCs w:val="20"/>
        </w:rPr>
      </w:pPr>
      <w:r>
        <w:rPr>
          <w:rFonts w:hint="eastAsia" w:ascii="Tahoma" w:hAnsi="Tahoma"/>
          <w:szCs w:val="20"/>
        </w:rPr>
        <w:t>必须保证系统与各相关系统之间数据传输的准确性、可靠性，不能出现数据丢失和错误的现象；充分考虑系统的备份与恢复。保证数据通信的安全，所有用户的操作应在授权下执行，不能越权操作数据。系统建立日志记录、运行监控等机制，保证系统安全可靠。</w:t>
      </w:r>
    </w:p>
    <w:p>
      <w:pPr>
        <w:pStyle w:val="3"/>
        <w:ind w:left="480"/>
      </w:pPr>
      <w:r>
        <w:rPr>
          <w:rFonts w:hint="eastAsia"/>
        </w:rPr>
        <w:t>建设规范</w:t>
      </w:r>
    </w:p>
    <w:p>
      <w:pPr>
        <w:rPr>
          <w:rFonts w:hint="eastAsia" w:ascii="Tahoma" w:hAnsi="Tahoma" w:cs="Times New Roman"/>
          <w:szCs w:val="20"/>
        </w:rPr>
      </w:pPr>
      <w:r>
        <w:rPr>
          <w:rFonts w:hint="eastAsia" w:ascii="Tahoma" w:hAnsi="Tahoma" w:cs="Times New Roman"/>
          <w:szCs w:val="20"/>
        </w:rPr>
        <w:t>本项目建设遵循《数字中国建设整体布局规划》</w:t>
      </w:r>
      <w:r>
        <w:rPr>
          <w:rFonts w:hint="eastAsia" w:ascii="Tahoma" w:hAnsi="Tahoma" w:cs="Times New Roman"/>
          <w:szCs w:val="20"/>
          <w:lang w:val="en-US" w:eastAsia="zh-CN"/>
        </w:rPr>
        <w:t>、《中共中央关于加强新时代检察机关法律监督工作的意见》</w:t>
      </w:r>
      <w:r>
        <w:rPr>
          <w:rFonts w:hint="eastAsia" w:ascii="Tahoma" w:hAnsi="Tahoma" w:cs="Times New Roman"/>
          <w:szCs w:val="20"/>
          <w:lang w:eastAsia="zh-CN"/>
        </w:rPr>
        <w:t>、《全国检察机关智能化建设及试点工作方案》（</w:t>
      </w:r>
      <w:r>
        <w:rPr>
          <w:rFonts w:hint="eastAsia" w:ascii="Tahoma" w:hAnsi="Tahoma" w:cs="Times New Roman"/>
          <w:szCs w:val="20"/>
          <w:lang w:val="en-US" w:eastAsia="zh-CN"/>
        </w:rPr>
        <w:t>2025年</w:t>
      </w:r>
      <w:r>
        <w:rPr>
          <w:rFonts w:hint="eastAsia" w:ascii="Tahoma" w:hAnsi="Tahoma" w:cs="Times New Roman"/>
          <w:szCs w:val="20"/>
          <w:lang w:eastAsia="zh-CN"/>
        </w:rPr>
        <w:t>）</w:t>
      </w:r>
      <w:r>
        <w:rPr>
          <w:rFonts w:hint="eastAsia" w:ascii="Tahoma" w:hAnsi="Tahoma" w:cs="Times New Roman"/>
          <w:szCs w:val="20"/>
        </w:rPr>
        <w:t>、</w:t>
      </w:r>
      <w:r>
        <w:rPr>
          <w:rFonts w:hint="eastAsia" w:ascii="Tahoma" w:hAnsi="Tahoma" w:cs="Times New Roman"/>
          <w:szCs w:val="20"/>
          <w:lang w:val="en-US" w:eastAsia="zh-CN"/>
        </w:rPr>
        <w:t>《全国检察机关智能化建设规范》、《2023—2027年检察改革工作规划》(2023年)</w:t>
      </w:r>
      <w:r>
        <w:rPr>
          <w:rFonts w:hint="eastAsia" w:ascii="Tahoma" w:hAnsi="Tahoma" w:cs="Times New Roman"/>
          <w:szCs w:val="20"/>
        </w:rPr>
        <w:t>。</w:t>
      </w:r>
    </w:p>
    <w:p>
      <w:pPr>
        <w:pStyle w:val="3"/>
        <w:ind w:left="480"/>
      </w:pPr>
      <w:r>
        <w:rPr>
          <w:rFonts w:hint="eastAsia"/>
        </w:rPr>
        <w:t>建设内容</w:t>
      </w:r>
    </w:p>
    <w:p>
      <w:pPr>
        <w:numPr>
          <w:ilvl w:val="0"/>
          <w:numId w:val="6"/>
        </w:numPr>
        <w:ind w:left="420" w:leftChars="0" w:hanging="420" w:firstLineChars="0"/>
        <w:rPr>
          <w:rFonts w:hint="eastAsia"/>
          <w:bCs/>
          <w:lang w:val="en-US" w:eastAsia="zh-CN"/>
        </w:rPr>
      </w:pPr>
      <w:bookmarkStart w:id="23" w:name="_Toc1084"/>
      <w:r>
        <w:rPr>
          <w:rFonts w:hint="eastAsia"/>
          <w:bCs/>
          <w:lang w:val="en-US" w:eastAsia="zh-CN"/>
        </w:rPr>
        <w:t>应用系统建设</w:t>
      </w:r>
      <w:bookmarkEnd w:id="23"/>
    </w:p>
    <w:p>
      <w:pPr>
        <w:rPr>
          <w:rFonts w:hint="eastAsia"/>
          <w:bCs/>
          <w:lang w:val="en-US" w:eastAsia="zh-CN"/>
        </w:rPr>
      </w:pPr>
      <w:r>
        <w:rPr>
          <w:rFonts w:hint="eastAsia"/>
          <w:bCs/>
          <w:lang w:val="en-US" w:eastAsia="zh-CN"/>
        </w:rPr>
        <w:t>本次项目建设内容需对前序项目中危险驾驶罪，故意伤害罪，盗窃罪三类案由的全量卷宗材料进行解析，并将业务范围扩展到走私、贩卖、运输、制造毒品罪，寻衅滋事罪，诈骗罪，帮助信息网络犯罪活动罪，掩饰、隐瞒犯罪所得、犯罪所得收益罪，交通肇事罪，故意毁坏财物罪，非法经营罪，引诱、容留、介绍卖淫罪，对以上十二类刑事案由的常见电子卷宗（侦（调）查机关移送给检察机关的电子卷宗）进行全量要素解析，支撑覆盖一审公诉询问讯问、证据审查、两项监督、审查结论、裁判监督的刑事业务流程全链条线上办理。应用系统建设包括刑事办案智能体，辅助办案智能应用，语料库管理（高质量数据集），模型安全管理，辅助办公智能体。</w:t>
      </w:r>
    </w:p>
    <w:p>
      <w:pPr>
        <w:numPr>
          <w:ilvl w:val="0"/>
          <w:numId w:val="6"/>
        </w:numPr>
        <w:ind w:left="420" w:leftChars="0" w:hanging="420" w:firstLineChars="0"/>
        <w:rPr>
          <w:rFonts w:hint="eastAsia"/>
          <w:bCs/>
          <w:lang w:val="en-US" w:eastAsia="zh-CN"/>
        </w:rPr>
      </w:pPr>
      <w:bookmarkStart w:id="24" w:name="_Toc12609"/>
      <w:r>
        <w:rPr>
          <w:rFonts w:hint="eastAsia"/>
          <w:bCs/>
          <w:lang w:val="en-US" w:eastAsia="zh-CN"/>
        </w:rPr>
        <w:t>数据服务建设</w:t>
      </w:r>
      <w:bookmarkEnd w:id="24"/>
    </w:p>
    <w:p>
      <w:pPr>
        <w:rPr>
          <w:rFonts w:hint="eastAsia"/>
          <w:bCs/>
          <w:lang w:val="en-US" w:eastAsia="zh-CN"/>
        </w:rPr>
      </w:pPr>
      <w:r>
        <w:rPr>
          <w:rFonts w:hint="eastAsia"/>
          <w:bCs/>
          <w:lang w:val="en-US" w:eastAsia="zh-CN"/>
        </w:rPr>
        <w:t>解析刑事卷宗证据材料。对危险驾驶罪，故意伤害罪，盗窃罪，走私、贩卖、运输、制造毒品罪，寻衅滋事罪，诈骗罪，帮助信息网络犯罪活动罪，掩饰、隐瞒犯罪所得、犯罪所得收益罪，交通肇事罪，故意毁坏财物罪，非法经营罪，引诱、容留、介绍卖淫罪十二类刑事案由历史案件的电子卷宗进行全面解析；对司法鉴定的卷宗、涉毒类案件的法律文书进行文书解析和要素提取；对常见的法律法规，办案参考的标准、案例，业务智能应用支撑的规则和规范成果的解析。本次需要处理的电子卷宗数量超过两千万页，处理过程包括卷宗采集、数据预处理、材料切分分类识别、要素提取、核对入库等。</w:t>
      </w:r>
    </w:p>
    <w:p>
      <w:pPr>
        <w:pStyle w:val="4"/>
        <w:numPr>
          <w:ilvl w:val="0"/>
          <w:numId w:val="7"/>
        </w:numPr>
      </w:pPr>
      <w:r>
        <w:rPr>
          <w:rFonts w:hint="eastAsia"/>
        </w:rPr>
        <w:t>软件开发清单</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725"/>
        <w:gridCol w:w="952"/>
        <w:gridCol w:w="1597"/>
        <w:gridCol w:w="4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blHead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子系统</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模块</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功能</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刑事办案智能体</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卷宗预处理智能体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文件格式识别能力</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支持自动识别常见电子卷宗文件格式，包括但不限于 PDF、DOC、DOCX、XLSX、PPTX、WPS、TXT、JPG、PNG、TIF、BMP、RAR、ZIP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智能解压处理引擎</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 ZIP、RAR、7Z、TAR、GZ 等主流压缩格式的自动解压；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文件质量检测能力</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能够检测图像类文件的清晰度、分辨率、是否模糊或倾斜；支持对 PDF 文件的可读性检测，如是否为扫描件、是否有加密限制；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格式转换中心</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支持将各类文档统一转换为标准PDF/A格式；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支持图像文件之间的相互转换（如TIFF转JPG、PNG转PDF等）；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图像智能抽取模块</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可从PDF、Word、PPT等复合文档中提取图像资源；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支持图像分割、裁剪、纠偏、去水印、去噪增强等基础预处理操作；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文本读取与提取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支持多种文档类型的纯文本提取，包括PDF（含扫描件）、Office文档、图片等；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卷宗识别智能体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文档图像识别增强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支持对扫描件、图像PDF、照片等非结构化文档进行高质量OCR识别；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多模态混合</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集成OCR、NLP、CV等多种人工智能技术，构建多模态协同识别模型；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智能化组份组段</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能够自动识别并切分法律文书中的逻辑组成部分，如标题、正文、当事人信息、案号、时间、法院名称、判决结果、附页说明等；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法律文书全面结构化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输出标准结构化数据格式（如JSON、XML、CSV等），便于后续系统调用与分析；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卷宗材料分类智能体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按卷宗材料进行分类</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支持对刑事类案件卷宗材料进行自动分类识别，覆盖不少于200种常见刑事卷宗材料类型；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关键信息提取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提取涉事主体名称、材料类型、序号、时间等核心要素，支持字段映射与结构化输出。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精细化命名机制</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根据提取信息生成标准化文件名，支持用户自定义命名模板及重名自动去重机制。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辅助讯问智能体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卷宗材料智能解析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解析卷宗材料形成案件事实框架、人物关系图谱、证据列表及矛盾点提示。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矛盾点智能挖掘</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发现时间逻辑、财物一致性、证词可信度等方面的矛盾，提示审查重点。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智能讯问提纲生成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自动生成具有逻辑性和针对性的讯问提纲，提升审讯效率。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实时讯问内容分析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实时分析语音转写文本，识别嫌疑人陈述矛盾，弹出提醒并推荐追问方向。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证据审查智能体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卷宗材料智能解析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结构化解析卷宗材料，提取涉案人员、时间、地点、行为过程、证据种类等要素。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法定审查点智能识别</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基于法规自动识别法定审查事项，标注是否符合要求，是否存在瑕疵或违法情形。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智能内容摘要与分析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自动生成案件摘要、证据链评估、问题清单及处理建议，提高审查效率。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审查结论自动生成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依据预设格式自动生成结构化审查报告，包含摘要、审查要点、问题分析、建议等。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文书生成智能体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用户意图分析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通过自然语言理解精准捕捉用户撰写文书的具体需求。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案件要素提取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自动提取案件关键要素信息，形成结构化案件要素清单，为文书生成提供基础数据。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文书模板匹配与定制</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匹配最合适文书模板，并支持本地定制化调整，满足特定案件需求。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文书自动生成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利用AI技术生成符合法律规范、逻辑严密、表述专业的法律文书草稿。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知识检索智能体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意图识别与语义解析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精准识别用户输入中的查询意图，支持模糊查询、同义替换等功能。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多源知识关联与检索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对接多源知识库，支持向量语义匹配、关键词索引等多种检索方式，结果融合展示。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信息整合与筛选</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对检索结果进行去重、排序、聚类，按相关性、权威性、时效性智能筛选。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数据归类与反馈呈现</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最终反馈应为结构化、有归类的数据集合，便于用户快速浏览与使用；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支持以列表、卡片、图表、摘要等方式可视化展示检索结果；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提供引用来源标注与原始链接跳转功能，确保信息可追溯。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两项监督智能体</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受案回执监督模型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监督侦查机关受案是否存在未按规定制发受案文书的违法违规行为。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拘留、逮捕监督措施鉴定模型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监督侦查机关拘传是否存在拘传超过法定期限的违法违规行为。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文书填写监督模型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监督侦查机关刑事拘留是否存在违法适用刑事拘留的违法违规行为：法律文书填写不完整、不规范。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未规定时间移送看守所监督模型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监督侦查机关刑事拘留是否存在违法适用刑事拘留的违法违规行为：未在二十四小时内将被拘留人送看守所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延迟羁押期限监督模型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监督侦查机关羁押是否存在捕后超期羁押的违法违规行为。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传唤鉴定模型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监督侦查机关讯问是否存在违反程序适用传唤的违法违规行为：传唤证填写不完整、不规范。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讯问/询问笔录监督模型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监督侦查机关讯问是否存在讯问笔录不完整、不规范的违法违规行为：讯问笔录高度雷同存在复制粘贴现象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未告知权利义务监督模型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监督侦查机关询问是否存在询问未依法保障证人、被害人合法权益的违法违规行为。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勘验鉴定模型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监督侦查机关勘验、检查是否存在勘验检查笔录不完整、不规范的违法违规行为：勘验检查笔录不规范、不完整、不准确。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搜查笔录记录不规范监督模型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监督侦查机关搜查是否存在搜查笔录不完整、不规范的违法违规行为。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监督侦查机关查封、扣押是否存在查封、扣押笔录、清单不规范的违法违规行为：查封扣押笔录、清单记录不规范、不完整、不准确。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鉴定鉴定模型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监督侦查机关鉴定是否存在未履行审查、通知义务的违法违规行为：未按规定将鉴定意见送达犯罪嫌疑人、被害人或者其家属。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辨认笔录监督模型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监督侦查机关辨认是否存在辨认文书不规范的违法违规行为：辨认笔录内容不规范、不完整、不准确。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言词证据未重新讯问、询问监督模型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监督侦查机关证据收集、调取、保全是否存在违法收集、调取、保全证据的违法违规行为：对行政机关收集的言词证据未重新讯问、询问的。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调取证据通知书不规范监督模型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监督侦查机关证据收集、调取、保全是否存在违法收集、调取、保全证据的违法违规行为：未规范制作调取证据通知书及清单，或无相关人员签字未注明原因。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证据特征监督模型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未（规范）收集、调取物证、书证的违法违规行为：物证的照片、录像、复制品或者书证的副本、复制件无制作人关于制作过程以及原物、原件存放于何处的文字说明和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物证制作监督模型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监督侦查机关证据收集、调取、保全是否存在未（规范）收集、调取物证、书证的违法违规行为：物证的照片、录像、复制品或者书证的副本、复制件非由二人以上制作。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制作不符合监督模型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监督侦查机关证据收集、调取、保全是否存在视听资料提取制作及复制不规范的违法违规行为：未写明制作人、持有人身份，制作的时间、地点、条件和方法。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证据未说明监督模型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监督侦查机关证据收集、调取、保全是否存在视听资料提取制作及复制不规范的违法违规行为：未附提取过程的说明，无法说明来源合法性。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补充侦查超期监督模型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监督侦查机关移送审查起诉是否存在未按规定补充侦查、提供证据材料的违法违规行为。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逮捕书未说明监督模型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监督侦查机关认罪认罚从宽程序是否存在未按规定在法律文书中说明认罪认罚情况的违法违规行为：提请批准逮捕书未说明认罪认罚情况。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起诉意见书不符合监督模型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监督侦查机关认罪认罚从宽程序是否存在未按规定在法律文书中说明认罪认罚情况的违法违规行为：起诉意见书未写明犯罪嫌疑人自愿认罪认罚情况。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辅助办案智能应用</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刑事案件智能审查</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辅助阅卷-辅助阅卷目录管理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卷目录分为原始目录、阅卷目录、证据目录几种类型，阅卷时支持在几种目录间进行模式切换。其中，原始目录与侦查机关移送的卷宗材料一致；阅卷目录以公安顺序卷为基础进行材料识别和精细化命名；证据目录将各卷材料按刑事案件八大类证据材料作分类，形成证据目录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辅助阅卷-精细化命名规则</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精细化命名规则包括命名要素获取、命名规则配置、命名检测验证功能。将卷宗材料分类智能体识别的材料要素信息按照命名规则进行组合，并检测名称的唯一性和合规性，支持人工调整验证。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辅助阅卷-卷宗材料浏览-卷宗文件获取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对接检察业务应用系统2.0，通过卷宗制作完成消息、2.0系统消息和数据接口，获取卷宗文件地址。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辅助阅卷-卷宗材料浏览-常用浏览工具</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人员在阅卷过程中，当认为材料展示的大小比例不合适时，支持缩小、放大、调整缩放比例、顺时针旋转、逆时针旋转功能，卷宗材料可连续翻页阅读，页面与卷宗目录树对应关系连动，对于未阅读的材料进行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辅助阅卷-卷宗材料浏览-图片文本转换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卷宗材料经识别处理后，已转换成比层PDF，办案人员在阅卷过程中，可直接查看证据材料的文本内容，将当前材料信息全部转换为文本展示，方便对内容进行批量复制引用。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辅助阅卷-卷宗材料浏览-材料双页对比</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办案人员在阅卷过程中，支持对两份材料进行内容对比，可设置成双页对比模式，界面展示多份证据材料，便于比对信息差异。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辅助阅卷-卷宗材料浏览-卷宗材料检索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卷宗材料检索功能，支持办案人员在阅卷过程中，对卷宗目录、卷宗材料全文检索指定关键字，检索命中的关键字在材料目录标记显示，打开材料后，显示对应的关键字位置信息。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辅助阅卷-基本事实梳理-事实证据关系</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事实证据关系是展现当前案件的事实证据关系，每笔事实具体区分物证、书证、证人证言、犯罪嫌疑人供述和辩解、鉴定意见等。证据信息支持定位到具体卷宗材料并打开材料。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辅助阅卷-基本事实梳理-案件事实解析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根据证据审查智能体对卷宗材料的要素提取，组合形成对每笔案件事实的分析结论、分析依据、疑点问题，其中，分析依据记录引用的证据材料信息，支持材料定位到卷宗材料目录并打开。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辅助阅卷-基本事实梳理-重点关注展现</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根据证据审查智能体对卷宗材料的要素提取，分析当前案件事实证据信息需要办案人员重点关注的问题点，如证据材料一致性缺陷问题点、存在的矛盾点，以及对应的材料定位。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证据智能审查-通用证据审查功能-材料解析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对接智能体能力，对引用证据材料生成的分析结论做重新解析；对于人工添加了新的引用材料后，可将当前所有引用的材料推给智能体能力做重新解析。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证据智能审查-通用证据审查功能-材料溯源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对引用证据材料分析出的证据摘要、证明信息，支持材料溯源功能，可在卷宗浏览区精确定位至对应证据材料中的具体文字位置，坐标位置由智能体能力提供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证据智能审查-通用证据审查功能-证据引用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引用证据材料分析出的证据摘要、证明信息，支持与卷宗材料引用源关系链接定位，对于一份材料有多页的，默认打开文件的首页。在阅卷过程中，也将当前阅读的卷宗文件添加到证据引用中，并支持引用材料删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证据智能审查-通用证据审查功能-解析结论确认</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智能体分析出的审查结论，支持人工对内容进行审核，审核通过后，默认打上已确认标记，同时，对应的文字编辑区域将变为只读，确认按钮将转变为取消按钮，而解析按钮将变为不可用状态。与之对应的，支持取消内容的确认状态，允许用户继续编辑文字区域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证据智能审查-通用证据审查功能-审查指引</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指引功能是根据刑事案件一审程序的案件审查报告标准模板，将该模板的每个章节详细使用说明信息配置到证据审查功能，支持自行配置，办案人员在使用证据审查功能的时候，可随时查看当前证据分类需要审查的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证据智能审查-通用证据审查功能-文字编辑</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文本段落，初始化通过刑事办案智能体解析组合生成，未确认前，所有证据分类的文本段落可人工编辑内容，修改原刑事办案智能体推出的内容后，溯源图标将不可用，但可以运用刑事办案智能体重新解析生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证据智能审查-通用证据审查功能-证据管理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支持人工编辑证据名称，人工删除一组证据功能；选择证据各类，可添加证据，浮窗显示阅卷目录、证据目录树卷宗材料，人工勾选后推用刑事办案智能体分析后返回展示。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证据智能审查-通用证据审查功能-提示词应用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办案人员选择具体证据材料，针对材料录入需要模型能力分析的内容，系统根据内容要点接入智能体，推断出相适应的证据摘要、证明信息、问题说明内容，提示词可多次调试验证，经确认后添加为一组引用证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证据智能审查-程序性证据审查功能-案件程序性审查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程序审查功能是根据案件受理材料、案件办理程序情况生成标准的全案程序审查情况内容。生成的信息可来源于文件材料、表单案卡、辩护与代理等信息，生成的信息内容包括收案情况、侦查机关移送材料情况、辩护代理告知情况、退查重报及延期审理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证据智能审查-程序性证据审查功能-嫌疑人基本信息情况审查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犯罪嫌疑人基本情况审查和被害人基本情况审理。其中，犯罪嫌疑人基本情况审查包括身份信息、职业信息、前科劣迹信息、强制措施信息及辩护人情况等；被害人基本信息包括身份信息、职业信息、诉讼代理人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证据智能审查-程序性证据审查功能-发破案经过审查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发破案经过审查是结合破案报告及案件其他证实犯罪嫌疑人归案的证据具体审查分析，包括案发经过、立案侦查情况、破案经过、抓获/到案情况等。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证据智能审查-程序性证据审查功能-侦查机关认定审查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侦查机关认定事实审查是通过解析其移送的起诉意见书信息，获取到侦查机关认定的事实内容，和对犯罪嫌疑人行为触犯的法律条文引用。对解析出的内容需要切换描述角度，如我局等用词，切换为检察机关角度的描述，如移送机关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证据智能审查-危险驾驶证事实证据审查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能力，对危险驾驶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证据智能审查-故意伤害罪证据审查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故意伤害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证据智能审查-寻衅滋事罪证据审查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寻衅滋事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证据智能审查-帮信罪证据审查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帮信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证据智能审查-掩隐罪证据审查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掩隐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证据智能审查-诈骗罪证据审查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诈骗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证据智能审查-盗窃罪证据审查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盗窃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证据智能审查-毒品罪证据审查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毒品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证据智能审查-故意毁坏财物罪证据审查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故意毁坏财物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证据智能审查-交通肇事罪证据审查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交通肇事罪涉及的事实证据作智能审查，通过证据链构建、证据材料摘要提取、证据证明力及问题情况分析，实现对审查认定的事实、证据及其分析的智能化处理，辅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证据智能审查-非法经营罪证据审查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非法经营罪涉及的事实证据作智能审查，通过证据链构建、证据材料摘要提取、证据证明力及问题情况分析，实现对审查认定的事实、证据及其分析的智能化处理，协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证据智能审查-介绍卖淫罪证据审查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智能体的能力，对引诱、容留、介绍卖淫罪涉及的事实证据作智能审查，通过证据链构建、证据材料摘要提取、证据证明力及问题情况分析，实现对审查认定的事实、证据及其分析的智能化处理，协助办案人员迅速进行案情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生成审查报告</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审查报告文书由案件基本信息、侦查意见、证据审查、审查认定、审查意见五个模块数据构成。由卷宗材料分类智能体、证据审查智能体结合文书生成智能体，生成各个模块的文本数据。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辅助阅卷-文书批注-文书预览</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实现文书转换、文书列表、文书浏览、文书放大/缩小、文字查找、纯文本展示、图片旋转等功能。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辅助阅卷-文书批注-文书矩形选取工具批注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实现矩形选取工具、边框颜色选择、边框粗细选择、自定义框选、框选内容批注、自动记录批注时间、修改框选批注内容、删除框选批注内容等功能。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辅助阅卷-文书批注-文书圆形选取工具批注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实现圆形选取工具批注、边框颜色选择、边框粗细选择、自定义框选、框选内容批注、自动记录批注时间、修改框选批注内容、删除框选批注内容等功能。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辅助阅卷-文书批注-文书画笔涂写工具批注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实现画笔涂写工具批注、画笔颜色选择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画笔粗细选择、画笔透明度选择、自定义绘制、画笔内容批注、自动记录批注时间、修改批注内容、删除批注内容等功能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辅助阅卷-文书批注-文书铅笔涂写工具批注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实现铅笔涂写工具批注、铅笔颜色选择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铅笔粗细选择、铅笔透明度选择、自定义绘制、铅笔内容批注、自动记录批注时间、修改批注内容、删除批改内容等功能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辅助阅卷-文书批注-文书自由文本工具批注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实现自由文本工具批注、文本字体选择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文本字号选择、自定义文本批注、文本备注、自动记录批注时间、修改批注内容、删除批注内容等功能。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辅助阅卷-文书批注-文书文字高亮工具批注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实现文字高亮工具批注、高亮颜色选择、高亮透明度选择、自定义原文高亮、高亮备注、自动记录批注时间、修改批注内容、删除批注内容等功能。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辅助阅卷-文书批注-文书快捷批注工具</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实现橡皮擦工具、抓手工具、原文检索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文本快速选择、一键复制文本、文字删除线、文字下划线等功能。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辅助阅卷-文书批注-文书批注管理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实现批注目录树展示、批注修改、批注删除、批注折叠、批注过滤、批注导出等功能。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辅助阅卷-卷宗批注-卷宗预览</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实现卷宗列表、卷宗浏览、卷宗放大/缩小、文字查找、纯文本展示、图片旋转等功能。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辅助阅卷-卷宗批注-卷宗矩形选取工具批注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实现矩形选取工具、边框颜色选择、边框粗细选择、自定义框选、框选内容批注、自动记录批注时间、修改框选批注内容、删除框选批注内容等功能。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辅助阅卷-卷宗批注-卷宗圆形选取工具批注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实现圆形选取工具批注、边框颜色选择、边框粗细选择、自定义框选、框选内容批注、自动记录批注时间、修改框选批注内容、删除框选批注内容等功能。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辅助阅卷-卷宗批注-卷宗画笔涂写工具批注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实现画笔涂写工具批注、画笔颜色选择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画笔粗细选择、画笔透明度选择、自定义绘制、画笔内容批注、自动记录批注时间、修改批注内容、删除批注内容等功能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辅助阅卷-卷宗批注-卷宗铅笔涂写工具批注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实现铅笔涂写工具批注、铅笔颜色选择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铅笔粗细选择、铅笔透明度选择、自定义绘制、铅笔内容批注、自动记录批注时间、修改批注内容、删除批改内容等功能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辅助阅卷-卷宗批注-卷宗自由文本工具批注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实现自由文本工具批注、文本字体选择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文本字号选择、自定义文本批注、文本备注、自动记录批注时间、修改批注内容、删除批注内容等功能。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辅助阅卷-卷宗批注-卷宗文字高亮工具批注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实现文字高亮工具批注、高亮颜色选择、高亮透明度选择、自定义原文高亮、高亮备注、自动记录批注时间、修改批注内容、删除批注内容等功能。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辅助阅卷-卷宗批注-卷宗批注快捷工具</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实现橡皮擦工具、抓手工具、原文检索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文本快速选择、一键复制文本、文字删除线、文字下划线等功能。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辅助阅卷-卷宗批注-卷宗批注管理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实现批注目录树展示、批注修改、批注删除、批注折叠、批注过滤、批注导出等功能。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辅助阅卷-团队批注-全部成员批注管理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实现查看批注、所有文件批注、当前文件批注、回复、查看其他人回复、删除本人回复等功能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辅助阅卷-团队批注-指定成员批注管理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实现选择成员、查看批注、所有文件批注、当前文件批注、回复、查看其他人回复、删除本人回复等功能。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辅助阅卷-团队批注-本人批注管理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实现选择本人、查看批注、所有文件批注、当前文件批注、批注内容回复、查看其他人回复、删除本人回复、删除批注、批量删除批注等功能。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智能讯问-讯问提纲制作</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犯罪嫌疑人角度，对每个人员制作生成讯问提纲。该功能是根据辅助阅卷过程中提炼出的嫌疑人案件事实情况，和智能分析出的侦查机关讯问笔录等证据中存在的缺陷、矛盾点信息，生成需要讯问的问题点提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智能讯问-讯问系统对接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讯问室系统对接，获取现场音视频信息，涉及多项关键功能点。首先是数据交互功能，确保能与讯问系统实现无缝对接，自动获取案件信息、卷宗材料等，包括犯罪嫌疑人、被害人等人员信息，发案经过，移送审查时间等案件基础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智能讯问-卷宗证据查询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证据查阅功能是获取到辅助阅卷相关功能，在制作讯问提纲和开展讯问的过程中，保障办案人员均能查看到案件卷宗材料。支持原始目录、阅卷目录、证据目录查看模式，同时提供符合刑检办案人员习惯的展示方式和摘录标注功能，辅助办案人员浏览和审查阅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智能讯问讯问语音转写</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机关讯问犯罪嫌疑人时的语音转写功能，涵盖实时精准转写，能以高准确率快速将讯问语音转化为文字，同步呈现在系统界面，降低记录延迟；具备智能纠错与标注功能，可自动检测语义矛盾、逻辑错误等，高亮标注关键信息，便于办案人员快速核查；提供多模态关联功能，将转写文字与讯问录像、笔录时间轴精准对应，实现音文同步回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智能讯问-讯问笔录分析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检察机关办案人员对犯罪嫌疑人讯问笔录的分析，涉及多维度功能。首先是内容检索与定位，能快速查找特定关键词、语句及关联内容，提高查阅效率。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智能讯问-证据分析引用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检察机关办案人员运用证据分析结果引用到讯问提纲。智能提取功能自动抓取证据中的矛盾点、关键细节等核心信息。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智能讯问-讯问笔录生成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支持办案人员文字录入、手动输入与格式排版，满足个性化记录需求；可将实时讯问语音转化为文字，提高记录效率；制作讯问笔录模板，快速填充案件基础信息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智能讯问-讯问辅助办理-案件关联</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实现案件基本信息自动载入，包括从数据库中智能提取案件编号、名称、类型、时间等核心数据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智能讯问-讯问辅助办理-讯问计划</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一个集成的系统工具，包括讯问提纲编写功能以辅助创建结构化讯问提纲、重点问题标记模块用于在文档中高亮关键问题、策略方案制定组件支持详细制定应对策略和方案、以及法律条款引用库提供便捷的法律条文搜索、检索和引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智能讯问-讯问辅助办理-讯问记录</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实现关键陈述的标记功能，便于快速识别和定位案件中的核心信息；自动生成详细的时间轴，直观展示事件发展序列和关键节点；支持多个办案人员同时进行协同编辑，确保团队高效协作和数据一致性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智能讯问-讯问辅助办理-审批备案</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系统能够高效实现延长讯问审批流程的自动化管理、便捷处理特殊措施申请请求、智能生成标准化法律文书以及提供安全可靠的电子签名认证功能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智能讯问-讯问辅助办理-文书自动化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实现询问笔录的自动生成功能，能够高效创建标准化笔录，减少人工录入错误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智能讯问-询问辅助办理-案件关联</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实现自动关联案件基本信息、一键调取涉案人员档案、提供证据材料快速预览功能，并支持历史询问记录回溯查询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智能讯问-询问辅助办理-询问规划</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实现智能询问大纲的自动生成，构建关键问题预设库以存储常见问题，提供个性化询问策略推荐，并智能匹配相关法律依据以支持决策过程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智能讯问-询问辅助办理-智能记录</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实现关键信息的智能自动标注功能，包括高效识别和精准标记；时间轴的实时同步记录机制，确保事件动态更新与存档；以及多人协同编辑审阅系统，支持团队成员同时在线操作、高效协作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智能讯问-询问辅助办理-文书自动化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实现自动生成询问笔录的功能，包括电子签名验证以确保数据真实性和完整性，支持法律文书的一键导出操作以简化流程，并提供智能生成询问报告的系统来提升工作效率和准确性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调取证据-调取申请</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实现申请发起子模块、在线申请表单（案件信息、调取原因、证据清单）、法律依据选择与关联、紧急程度标识、审批流程子模块、多级审批流程配置、电子签名认证、审批意见记录、审批时限提醒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调取证据-证据检索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实现证据定位子模块、证据编号精确查询、案件关联证据批量检索、证据保管位置查询、状态验证子模块、证据可用性检查、当前使用状态查询、调取历史记录查看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调取证据-证据交接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实现实物交接子模块、出库登记、交接双方电子签名、证据状态变更、交接影像记录、电子证据子模块、数字证书加密传输、水印添加功能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调取证据-使用监管</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实现使用追踪子模块，用于实时监控物品的使用状态和位置；调取使用记录功能，允许用户查询详细的历史使用数据和时间点；异常使用预警机制，监测不合规操作并自动触发警报通知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查封、扣押财物-扣押登记</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实现财物基本信息录入，包括名称、数量、特征、种类、状态和价值等具体字段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查封、扣押财物-财物保管</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实现保管场所的合理分配与优化配置，实时追踪保管物品的状态变化与位置更新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查封、扣押财物-财物处置</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实现规范化的处置审批流程，明确各级审批权限与时限要求；全面记录各类涉案财物的具体处置方式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查封、扣押财物-财物分析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实现多条件组合查询功能，帮助用户灵活筛选数据；对扣押财物进行实时状态统计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查询、冻结财物-冻结申请与审批</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支持执法机构、司法机关或授权单位提交冻结申请，并提供法律依据（如法院裁定、行政处罚决定等）。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查询、冻结财物-冻结执行</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根据审批通过的冻结指令，对目标财物实施冻结操作，并通知相关机构（如银行、不动产登记中心、证券公司等）。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查询、冻结财物-冻结状态管理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实时监控冻结状态，支持查询、变更或延长冻结期限。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查询、冻结财物-冻结解除</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在满足法定条件时，解除对财物的冻结，恢复其可交易状态。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查询、冻结财物-冻结记录与审计</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记录所有冻结操作，确保可追溯，并支持审计与统计分析。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智能辅助办案模型应用</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量刑辅助</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刑辅助是结合卷宗识别智能体与法律知识于一体的智能化量刑模型，它运用先进的算法模型，对案件卷宗及文书进行深度解析和量刑规则计算，实现规范化量刑和AI量刑等功能，显著提升办案效率与准确性，确保量刑的公正性与透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类案推送</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案推送是运用电子卷宗解析和卷宗识别智能体对加工处理后的数据，对当前案件和历史案件进行要素化分类，当办案人员根据案件认定的事实确认当前案件的要素后，与历史同罪案件判决书信息作要素匹配检索。支持对案件情况作出智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文书生成智能体对案件卷宗材料的解析处理结果，结合检察业务应用系统2.0案卡表单和文书模板，实现检察文书的智能生成与回传。文书生成主要包括案件基本数据获取、文书标签配置、文书模版管理、文书智能生成、文书回传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案卡回填</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卷宗识别智能体技术，解析刑事检察文书卷宗，对受理、办理、判决阶段案卡信息智能提取并回填至案卡，具有一键填、数据准、自动化等功能特点，帮助检察官快速完成案卡填录，从源头解决案件质量问题，提升办案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裁定结果审查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卷宗识别智能体，对起诉意见书、起诉书、判决书三类文书进行智能化要素解析与标准化，实现对关键性要素进行比对并展示的功能。主要功能分为比对要素获取、原文比对、要素回显、表格比对、差异项判断、比对结果审查、三书溯源、比对规则配置管理、要素重新解析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毒品监督智能应用</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监督侦查机关羁押是否存在捕后超期羁押的违法违规行为。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统计观测-案件数量</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监督侦查机关讯问是否存在违反程序适用传唤的违法违规行为：传唤证填写不完整、不规范。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统计观测-案由分布</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监督侦查机关讯问是否存在违反程序适用传唤的违法违规行为：传唤持续时间超过十二小时。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涉外犯罪分布</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监督侦查机关讯问是否存在违反程序适用传唤的违法违规行为：案情特别重大、复杂，需要采取拘留、逮捕措施的传唤持续的时间超过二十四小时。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办案毒品分析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监督侦查机关讯问是否存在讯问笔录不完整、不规范的违法违规行为：讯问笔录高度雷同存在复制粘贴现象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办案质效分析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监督侦查机关讯问是否存在讯问笔录不完整、不规范的违法违规行为：讯问笔录时间、地点等事项填写不完整、不规范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监督质效分析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监督侦查机关询问是否存在询问笔录不完整、不规范的违法违规行为。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毒品案件知识服务-法律法规</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监督侦查机关询问是否存在询问未依法保障证人、被害人合法权益的违法违规行为。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毒品案件知识服务-会议纪要</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监督侦查机关勘验、检查是否存在勘验检查笔录不完整、不规范的违法违规行为：参加勘验检查的人员、见证人未在笔录中签字、盖章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毒品案件知识服务-禁毒政策</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监督侦查机关勘验、检查是否存在勘验检查笔录不完整、不规范的违法违规行为：勘验检查笔录不规范、不完整、不准确。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毒品案件知识服务-涉外案件办理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监督侦查机关勘验、检查是否存在勘验检查笔录不完整、不规范的违法违规行为：勘验检查未制作笔录。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毒品案件知识服务-毒品案例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监督侦查机关勘验、检查是否存在勘验检查行为不规范的违法违规行为：未对与犯罪有关的场所、物品、人身、尸体进行勘验或者检查。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毒品案件知识服务-理论调研</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监督侦查机关勘验、检查是否存在勘验检查行为不规范的违法违规行为：勘验检查无见证人或见证人不符合法定条件，且未录音录像的。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毒品案件知识服务-毒品信息折算</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监督侦查机关搜查是否存在搜查笔录不完整、不规范的违法违规行为。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案件监督-公安立案信息</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监督侦查机关查封、扣押是否存在查封、扣押笔录、清单不规范的违法违规行为：查封扣押笔录、清单记录不规范、不完整、不准确。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强制措施信息</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监督侦查机关查封、扣押是否存在查封、扣押笔录、清单不规范的违法违规行为：查封、扣押未制作笔录或清单。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前科案件</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监督侦查机关查封、扣押是否存在查封、扣押笔录、清单不规范的违法违规行为：侦查人员、见证人、持有人未在扣押、登记保存笔录、清单签字或盖章。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涉毒前科</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监督侦查机关查封、扣押是否存在查封、扣押行为不规范的违法违规行为。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涉毒劣迹</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监督侦查机关鉴定是否存在未履行审查、通知义务的违法违规行为：未按规定将鉴定意见送达犯罪嫌疑人、被害人或者其家属。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不起诉案件</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监督侦查机关鉴定是否存在未履行审查、通知义务的违法违规行为：未审查发现鉴定文书缺签名、盖章或未附鉴定机构、鉴定人的资质证明。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公安撤回案件社会治理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监督侦查机关辨认是否存在辨认文书不规范的违法违规行为：辨认笔录内容不规范、不完整、不准确。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毒品案件社会治理管理-药物配领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监督侦查机关辨认是否存在辨认文书不规范的违法违规行为：辨认笔录无侦查人员、辨认人、见证人的签字或盖章。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毒品案件社会治理管理-异常污水检测</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监督侦查机关鉴定是否存在未履行审查、通知义务的违法违规行为：辨认未制作辨认笔录。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代配药</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监督侦查机关辨认是否存在辨认行为不规范的违法违规行为。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禁毒宣传</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监督侦查机关证据收集、调取、保全是否存在违法收集、调取、保全证据的违法违规行为：对行政机关收集的言词证据未重新讯问、询问的。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工作动态</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监督侦查机关证据收集、调取、保全是否存在违法收集、调取、保全证据的违法违规行为：未规范制作调取证据通知书及清单，或无相关人员签字未注明原因。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工作成果展示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未（规范）收集、调取物证、书证的违法违规行为：物证的照片、录像、复制品或者书证的副本、复制件无制作人关于制作过程以及原物、原件存放于何处的文字说明和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宣传视频展示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监督侦查机关证据收集、调取、保全是否存在未（规范）收集、调取物证、书证的违法违规行为：物证的照片、录像、复制品或者书证的副本、复制件非由二人以上制作。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司法鉴定证据审查</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鉴定意见书要是回填</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监督侦查机关证据收集、调取、保全是否存在视听资料提取制作及复制不规范的违法违规行为：未写明制作人、持有人身份，制作的时间、地点、条件和方法。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鉴定意见提示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监督侦查机关证据收集、调取、保全是否存在视听资料提取制作及复制不规范的违法违规行为：未附提取过程的说明，无法说明来源合法性。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司法鉴定文书生成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监督侦查机关移送审查起诉是否存在未按规定补充侦查、提供证据材料的违法违规行为。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鉴定标准知识库建设</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监督侦查机关认罪认罚从宽程序是否存在未按规定在法律文书中说明认罪认罚情况的违法违规行为：提请批准逮捕书未说明认罪认罚情况。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鉴定标准知识库应用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监督侦查机关认罪认罚从宽程序是否存在未按规定在法律文书中说明认罪认罚情况的违法违规行为：起诉意见书未写明犯罪嫌疑人自愿认罪认罚情况。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语料库</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语料库管理</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数据资源目录</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以数据为基础、信息为脉络、知识为核心、智慧为导向的综合性资源管理体系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分类分级</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检察业务数据的系统化梳理与精细化管理，构建覆盖全场景的数据资源管理体系，按照通识类、检察行业通用类、检察行业专用类三个维度进行分类组织。结合数据敏感程度和使用需求，实施科学的分级管理，通过数据脱敏和数据权限等手段保障数据安全与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质量评估-制定质量评估标准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围绕检察数据的真实性、准确性、完整性、时效性和一致性等核心质量维度，涵盖范围包括案件数据、人员信息、法律文书、办案流程、涉案财物等业务数据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质量评估-创建高质量数据集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以业务需求为导向，以数据治理为基础，围绕数据的准确性、完整性、一致性、及时性和规范性开展系统性工作。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语料管理-数据集管理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实现对语料库全生命周期集中化管理。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语料管理-知识图谱构建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通过汇聚多源异构数据，利用自然语言处理技术进行文本解析，自动或半自动抽取实体、属性及相互关系，实现人、案、事、法之间的智能关联与知识推理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语料管理-语料关联关系</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通过建立语料间的内在关联关系，打通数据孤岛，提升信息整合与语义理解能力。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语料管理-语料数据服务</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以接口调用方式对外提供语料数据服务能力，全面支撑类案推送、辅助量刑、监督线索发现等智慧检务应用场景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语料检索</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语料检索-AI类案件检索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AI类案件检索支持口语化输入提取关键词，输出相关案例并按多维度筛选结果。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语料检索-类案专题检索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类案专题检索聚焦四大检察业务，按案由和量刑要素等分类方式展示并交叉检索案例。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语料检索-检察案例库检索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检察案例库检索支持按要旨、基本案情等维度查询典型案例，并支持二次筛选结果。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语料检索-法律法规库检索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法律法规库检索支持按标题、内容等多维查询，并按效力位阶、时效性分组展示。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语料检索-历史文书要素库检索</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历史文书要素库检索通过关键字连接案件与文书要素，支持筛选结果并分类展示。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知识库管理</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内容型知识管理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实现内容分类管理、内容存储与管理、知识加工抽取、知识图谱构建、知识协同管理、、知识检索与推送、内容知识权限管理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规则型知识管理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实现规则采集与汇聚、规则审核与发布、规则内容修改、标准化转换、规则知识应用对接、规则版本控制、规则权限管理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模型安全管理</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多源日志采集与整合</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通过采集操作系统、数据库、中间件等异构日志，支持文件/API/消息队列协议，注入环境元数据（如地理位置、服务版本、依赖库指纹），实现跨服务日志关联。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日志特征工程</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对大模型输入上下文注入设备拓扑、业务标签等外部知识，增强语义理解。对日志文本进行词嵌入或句向量编码，生成特征向量。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日志分析模式发现与异常检测</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聚类算法归类相似事件，识别高频错误模式。基于历史日志训练行为基线模型。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根因定位与关联分析</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跨日志源关联分析（如系统日志+网络日志），构建攻击链或故障传播路径。大模型解析自然语言描述，自动生成根因假设。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日志分析结果应用与迭代</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自动生成根因报告及修复建议。闭环优化</w:t>
            </w:r>
            <w:r>
              <w:rPr>
                <w:rStyle w:val="23"/>
                <w:rFonts w:eastAsia="宋体"/>
                <w:lang w:val="en-US" w:eastAsia="zh-CN" w:bidi="ar"/>
              </w:rPr>
              <w:t>‌</w:t>
            </w:r>
            <w:r>
              <w:rPr>
                <w:rStyle w:val="24"/>
                <w:lang w:val="en-US" w:eastAsia="zh-CN" w:bidi="ar"/>
              </w:rPr>
              <w:t>存储分析结果至知识库，持续优化模型指令和特征提取规则。监控模型漂移（如日志分布变化），定期重训练适配新场景。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密码应用功能</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根据要求，完成密码接口改造开发。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辅助办公智能体</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智能体意图识别与任务分流</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智能体意图识别</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支持识别用户以下几种不同专业的意图：队伍管理、会议管理、车辆管理、系统运维、安全管理。在不同专业哪，系统同时支持进一步的专业相关意图识别。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智能体标准意图创建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根据识别出的意图识别，依托意图识别知识库，根据不同的智能体要求，结合用户输入文本及对话上下文，识别干警名字、运维数据库、大楼房间、会议主题、与会人员、用车要求、时间、地点等等实体库中可检索的实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智能体任务指令创建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支持在不同的智能体内，为该智能体创建相应的任务模版：安全管理任务（任务参数包括待生成的文书种类、文书参考模版、用户身份等等）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智能体上下文与多轮对话管理</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智能体对话管理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支持管理本智能体以及下属的队伍管理、会议管理、车辆管理、系统运维以及安全管理智能体的对话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智能体历史上下文记忆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以任务卡片形式按以下分类管理智能体历史上下文记忆：智能问答、队伍管理、会议管理、车辆管理、系统运维以及安全管理。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智能体多轮对话策略</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支持以下多轮对话策略：任务卡片内全量多轮对话、嵌套任务卡片摘要加入多轮对话、嵌套任务卡片全量对话记忆加入多选对话、嵌套任务卡片全量对话加内含文件加入多轮对话。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智能体回溯与补全</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支持用户进入新的对话任务卡片以后，自动根据任务卡片类型，从其他对话任务卡片中抽取对话内容加入本卡片对话，从而为本任务卡片内的对话提供完整的上下文。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任务执行与智能调度</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智能体判断用户想要的智能体（队伍管理、会议管理、车辆管理、系统运维、安全管理）后，根据收到的任务指令，调用相应的智能体，并自动进入该智能体。进入智能体后，智能体将自动纳入需要补全的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持续学习与优化</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智能体对话日志收集与标注及反馈学习</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每一次智能体答复提供一个对话反馈功能，支持用户输入关于本次答复的反馈意见，反馈包含打分及文字意见输入。对话及反馈日志分以下种类：意图识别（调用智能体）、实体识别（提取反馈）、文书生成反馈、智能问答反馈。支持精选反馈日志纳入智能体知识库，并支持根据用户输入的对话，依托RAG查询对应的智能体知识库，以获得对应功能的参考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智能体记忆体构建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针对以下对话内容（智能问答、队伍管理、会议管理、车辆管理、系统运维、安全管理）智能识别该对话涉及的对象，并将其纳入该对象有关的完整对话中，构建完整的智能体全息档案。支持自动归入全息档案的对象包括以下类型（未穷尽列举）：部门及干警（两级）、会议类型、院址/楼栋/房间（三级）、车队/车辆（两级）、系统/服务器/服务/数据表（非简单树状结构）、安保队伍/人员（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智能问答</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原生问答</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对用户提问的精准理解与深度推理。若用户对回答结果不满意，系统提供重新生成功能，模型将根据用户的负反馈，对内容进行优化并重新回答。若用户对问答结果表示满意，系统则支持将问答内容便捷地复制到系统剪切板，或下载为txt、doc等格式，以满足用户的多样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增强问答</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增强问答系统中，除了依托机构自有的语料数据进行内容问答外，还将对本次回答所引用的知识进行详尽的列举，并将其置于答案的下方。同时，在问答内容的呈现中，会对引用结果进行明确的标记，以实现问答结果的内容溯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知识溯源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溯源服务是以向量检索技术为核心的。该服务首先运用先进的向量模型，将用户提出的问题内容精准转化为数值向量，随后，依托高效的向量检索引擎，迅速筛选出与问题向量最为接近的语料内容及文献题录信息，并一并返回给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上下文管理</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上下文管理功能作为智能问答模块的核心支撑组件，其建设重点在于构建符合检察法律监督场景的多轮对话交互能力。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多轮对话</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多轮对话功能作为支撑智能交互的核心能力，聚焦于构建符合法律监督场景需求的连续对话服务。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问答反馈</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基于问答的效果，用户可以通过点赞和点踩以及反馈的方式进行反馈，反馈的结果将保存到管理后台，通过对反馈数据的分析，可以不断对模型进行优化，从而提高模型的回答效果。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智能写作</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公文写作-公文起草</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文写作汇聚15种法定公文和11类通用公文写作要素，依托千万级政府公文训练数据，针对公文写作过程中，写作效率低、过往知识沉淀利用率低等问题，提供生成提纲、生成全文、AI划词编辑、公文知识库管理的全方位公文写作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公文写作-内容审核</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检察法律监督通用认知基础语言模型敏感词库、常用字词库、常用标点库、校错库等，针对公文内容、行文、措辞、引用等不规范的问题，进行观点检查、涉政检查、文本检查、其他检查，可在线查看内容审校报告，同时支持在线报告的本地下载，确保公文内容的正确性与严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公文写作-公文排版</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支持WPS插件，含15种法定公文模板，可实现文档一键上传、智能识别要素、一键排版，支持公文要素自动识别与手动修改，简化公文排版工作。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其他类型文章写作-大纲生成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研究人员当前编辑的文档名称+输入的问题限定条件，AI理解用户意图自动生成文档大纲目录反馈给研究人员，确认后自动添加到文档目录中，支持多次生成大纲和二次编辑，给研究人员和业务人员提供研究成果写作框架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其他类型文章写作-文档一键生成</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根据生成并确定的文档大纲AI一次性生成全部章节的内容，生成时通过上下文带入，智能控制生成内容的逻辑性和连续性，生成与当前章节主题匹配的内容，可视化模拟人输入的方式生成段落并实时插入文档中。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其他类型文章写作-章节重写</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AI一键生成文档内容后，对生成内容不满意的章节支持重写功能，大模型利用当前已经生成内容为参考对本章节内容进行重新生成，并替换现有内容。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其他类型文章写作-内容续写</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内容续写将当前生成的内容作为上下文输入和背景知识，顺着当前章节内容的思路和逻辑进行扩写，从而在内容上更加丰富和完整。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其他类型文章写作-内容润色</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选中文档中的部分内容对文档选中内容的逻辑、结构、语言等方面进行精细的调整和改进，以提高文档的质量和表达效果。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其他类型文章写作-素材知识库</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调用检察法律监督通用认知基础语言模型子系统本地知识库，在编辑文档时为研究人员和业务人员提供嵌入式的写作相关知识查阅服务，支持在线阅读及素材内容直接引用功能，将所选内容直接插入到文档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其他类型文章写作-好句子提示</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实时获取研究人员和业务人员输入的内容，识别可能的写作主题，实时推送和提示高质量好句子，供研究人员和业务人员参考，实现类输入法模式的提示。开启用户思路，根据前半句联想到下半句如何去写，从而提高写作的效率和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其他类型文章写作-段落推送</w:t>
            </w: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进行智能写错的过程中，当用户完整写完一个句子时系统根据语义特征从知识库中自动搜索相关内容片段，智能推送给研究人员，帮助用户进一步优化和完善内容。可以从用户历史文档中发现可复用的知识，直接进行引用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队伍管理</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支持用户以智能问答的形式查看干警队伍情况，根据任意的指定条件查找干警，提供数据提取的思路，包括来源的数据表及筛选使用的字段，提供查询结果的人员清单。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会议智能管理</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根据当前会议议程，通过对话确定参加会议的人员，支持会议场所查阅、选择预订会议场所和删除预订、支持会议主题设置、所需物料设置、所需服务设置。支持会议管理卡片，并在卡片上展示会议召开状态及参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w:t>
            </w:r>
          </w:p>
        </w:tc>
        <w:tc>
          <w:tcPr>
            <w:tcW w:w="93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eastAsia" w:ascii="宋体" w:hAnsi="宋体" w:eastAsia="宋体" w:cs="宋体"/>
                <w:i w:val="0"/>
                <w:iCs w:val="0"/>
                <w:color w:val="000000"/>
                <w:sz w:val="22"/>
                <w:szCs w:val="22"/>
                <w:u w:val="none"/>
              </w:rPr>
            </w:pPr>
          </w:p>
        </w:tc>
        <w:tc>
          <w:tcPr>
            <w:tcW w:w="2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本模块包含四个二级模块：智能用车、车辆智能维护、用车情况智能分析、车辆情况智能分析。</w:t>
            </w:r>
          </w:p>
        </w:tc>
      </w:tr>
    </w:tbl>
    <w:p>
      <w:pPr>
        <w:ind w:left="0" w:leftChars="0" w:firstLine="0" w:firstLineChars="0"/>
      </w:pPr>
    </w:p>
    <w:p>
      <w:pPr>
        <w:pStyle w:val="4"/>
        <w:numPr>
          <w:ilvl w:val="0"/>
          <w:numId w:val="7"/>
        </w:numPr>
        <w:rPr>
          <w:rFonts w:hint="eastAsia"/>
          <w:lang w:val="en-US" w:eastAsia="zh-CN"/>
        </w:rPr>
      </w:pPr>
      <w:r>
        <w:rPr>
          <w:rFonts w:hint="eastAsia" w:cs="Times New Roman"/>
          <w:lang w:val="en-US" w:eastAsia="zh-CN"/>
        </w:rPr>
        <w:t>数据服务清单</w:t>
      </w:r>
    </w:p>
    <w:tbl>
      <w:tblPr>
        <w:tblStyle w:val="13"/>
        <w:tblW w:w="8986" w:type="dxa"/>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2"/>
        <w:gridCol w:w="1335"/>
        <w:gridCol w:w="7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数据标签</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1.建立通用电子卷宗文本数据集的标签库，根据通用电子卷宗文书所需要素建立所需标签；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将标签对应的文本内容在文本中进行标注，依据标签库所包含标签对对应的要素进行提取，结合业务需求指导，对通用电子卷宗中共计374万份文书，通过大模型提取其中的3407个关键要素，并对提取结果进行标准化等方式处理。帮助对大模型的训练，后续应用到增量文书的解析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对故意伤害类案件中共计18.3万份卷宗文件，通过大模型提取其中的352个关键要素，对卷宗材料进行图片文件转换、排列组分、文本段落化、数据标注提取、数据标准化、数据校核等处理。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对危险驾驶类案件中共计77.3万份卷宗，通过大模型提取其中的528个关键要素，对卷宗材料进行图片文件转换、排列组分、文本段落化、数据标注提取、数据标准化、数据校核等处理。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对毒品类案件中共计30万份卷宗，通过大模型提取关键要素，对卷宗材料进行图片文件转换、排列组分、文本段落化、数据标注提取、数据标准化、数据校核等处理。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对卖淫类案件中共计3.4万份卷宗，通过大模型提取其中的63个关键要素，对卷宗材料进行图片文件转换、排列组分、文本段落化、数据标注提取、数据标准化、数据校核等处理。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对非法经营类案件中共计8000份卷宗，通过大模型提取其中的25个关键要素，对卷宗材料进行图片文件转换、排列组分、文本段落化、数据标注提取、数据标准化、数据校核等处理。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对故意毁坏财物类案件中共计2400份卷宗，通过大模型提取其中的63个关键要素，对卷宗材料进行图片文件转换、排列组分、文本段落化、数据标注提取、数据标准化、数据校核等处理。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对所有罪名涉及到的电子卷宗通用内容，共计222.67万份卷宗，通过大模型提取其中的928个关键要素，并对提取结果进行标准化等方式处理。帮助对大模型的训练，后续应用到增量卷宗的解析中。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对司法鉴定中共计1万份卷宗，通过大模型提取其中的200个关键要素，对卷宗材料进行图片文件转换、排列组分、文本段落化、数据标注提取、数据标准化、数据校核等处理。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对走私、贩卖、运输、制造毒品罪材料中共计2.3万份卷宗，对卷宗材料进行图片文件转换、排列组分、文本段落化、数据标注提取、数据标准化、数据校核等处理。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对盗窃罪材料中共计5.3万份卷宗，对卷宗材料进行图片文件转换、排列组分、文本段落化、数据标注提取、数据标准化、数据校核等处理。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对帮助信息网络犯罪活动罪材料中共计3.4万份卷宗，对卷宗材料进行图片文件转换、排列组分、文本段落化、数据标注提取、数据标准化、数据校核等处理。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掩饰、隐瞒犯罪所得、犯罪所得收益罪材料中共计2.6万份卷宗，对卷宗材料进行图片文件转换、排列组分、文本段落化、数据标注提取、数据标准化、数据校核等处理。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对诈骗罪材料中共计3.5万份卷宗，对卷宗材料进行图片文件转换、排列组分、文本段落化、数据标注提取、数据标准化、数据校核等处理。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对交通肇事罪材料中共计0.69万份卷宗，对卷宗材料进行图片文件转换、排列组分、文本段落化、数据标注提取、数据标准化、数据校核等处理。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对寻衅滋事罪材料中共计2万份卷宗，对卷宗材料进行图片文件转换、排列组分、文本段落化、数据标注提取、数据标准化、数据校核等处理。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通过大模型提取法律法规中的500个关键要素，并对提取结果进行标准化等方式处理。帮助对大模型的训练，后续应用到增量文书的解析中。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知识库材料数据集需完成大规模、多源异构数据的采集与预处理，经评估，建设过程中涉及的数据总量预计为 1TB-2TB。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危险驾驶罪、故意伤害罪、寻衅滋事罪、帮信罪、掩隐罪、诈骗罪、盗窃罪、毒品罪、故意毁坏财物罪、交通肇事罪、非法经营罪、介绍卖淫罪案件的文书卷宗解析知识内容，结合法律法规、办案指引知识，根据辅助阅卷、证据审查等实际业务应用和向量检索的需求，为知识构建关联关系，形成深组织和可扩展应用的检察业务知识，构建全局关联关系，更多元，准确的对外提供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数据融合</w:t>
            </w:r>
          </w:p>
        </w:tc>
        <w:tc>
          <w:tcPr>
            <w:tcW w:w="70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检察行业基石语料库；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微调（SFT）语料库：建设包括法律知识问答、文书生成和罪责辅助研判等场景专业知识模型微调数据集，数据集围绕系统化、全面的知识库进行建设，涵盖文本类的理论、政策、法律法规、运行案例等问答对，以及检察专业术语与概念文本对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强推理（COT）语料库：强推理语料库重点建设形成分步推理的思维链数据。强推理数据集具有逻辑性和专业深度，以提升AI模型对检察领域复杂流程和任务的识别能力和理解能力；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评测语料库：模型应用评测数据集围绕检察大模型评测体系进行构建，形成总专项评测语料库。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22"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数据采集</w:t>
            </w:r>
          </w:p>
        </w:tc>
        <w:tc>
          <w:tcPr>
            <w:tcW w:w="702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主要包括期刊论文、书籍、科技报告、会议论文、课件、讲义、培训材料、指南、工作指导、政府报告、标准、方法、数据库、法律法规等。</w:t>
            </w:r>
          </w:p>
        </w:tc>
      </w:tr>
    </w:tbl>
    <w:p>
      <w:pPr>
        <w:pStyle w:val="2"/>
      </w:pPr>
      <w:bookmarkStart w:id="25" w:name="_Toc63785502"/>
      <w:r>
        <w:rPr>
          <w:rFonts w:hint="eastAsia"/>
        </w:rPr>
        <w:t>电子政务云资源需求</w:t>
      </w:r>
      <w:bookmarkEnd w:id="25"/>
    </w:p>
    <w:p>
      <w:pPr>
        <w:rPr>
          <w:rFonts w:hint="eastAsia" w:ascii="宋体" w:hAnsi="宋体" w:eastAsia="宋体"/>
        </w:rPr>
      </w:pPr>
      <w:r>
        <w:rPr>
          <w:rFonts w:hint="eastAsia" w:ascii="宋体" w:hAnsi="宋体" w:eastAsia="宋体"/>
        </w:rPr>
        <w:t>本项目建设拟向电子政务云申请2</w:t>
      </w:r>
      <w:r>
        <w:rPr>
          <w:rFonts w:hint="eastAsia"/>
          <w:lang w:val="en-US" w:eastAsia="zh-CN"/>
        </w:rPr>
        <w:t>9</w:t>
      </w:r>
      <w:r>
        <w:rPr>
          <w:rFonts w:hint="eastAsia" w:ascii="宋体" w:hAnsi="宋体" w:eastAsia="宋体"/>
        </w:rPr>
        <w:t xml:space="preserve">台服务器资源，其中CPU </w:t>
      </w:r>
      <w:r>
        <w:rPr>
          <w:rFonts w:hint="eastAsia"/>
          <w:lang w:val="en-US" w:eastAsia="zh-CN"/>
        </w:rPr>
        <w:t>524</w:t>
      </w:r>
      <w:r>
        <w:rPr>
          <w:rFonts w:hint="eastAsia" w:ascii="宋体" w:hAnsi="宋体" w:eastAsia="宋体"/>
        </w:rPr>
        <w:t>核、内存1</w:t>
      </w:r>
      <w:r>
        <w:rPr>
          <w:rFonts w:hint="eastAsia"/>
          <w:lang w:val="en-US" w:eastAsia="zh-CN"/>
        </w:rPr>
        <w:t>208</w:t>
      </w:r>
      <w:r>
        <w:rPr>
          <w:rFonts w:hint="eastAsia" w:ascii="宋体" w:hAnsi="宋体" w:eastAsia="宋体"/>
        </w:rPr>
        <w:t>G、存储</w:t>
      </w:r>
      <w:r>
        <w:rPr>
          <w:rFonts w:hint="eastAsia"/>
          <w:lang w:val="en-US" w:eastAsia="zh-CN"/>
        </w:rPr>
        <w:t>1</w:t>
      </w:r>
      <w:r>
        <w:rPr>
          <w:rFonts w:hint="eastAsia" w:ascii="宋体" w:hAnsi="宋体" w:eastAsia="宋体"/>
        </w:rPr>
        <w:t>9</w:t>
      </w:r>
      <w:r>
        <w:rPr>
          <w:rFonts w:hint="eastAsia"/>
          <w:lang w:val="en-US" w:eastAsia="zh-CN"/>
        </w:rPr>
        <w:t>75</w:t>
      </w:r>
      <w:r>
        <w:rPr>
          <w:rFonts w:hint="eastAsia" w:ascii="宋体" w:hAnsi="宋体" w:eastAsia="宋体"/>
        </w:rPr>
        <w:t>0</w:t>
      </w:r>
      <w:r>
        <w:rPr>
          <w:rFonts w:hint="eastAsia"/>
          <w:lang w:val="en-US" w:eastAsia="zh-CN"/>
        </w:rPr>
        <w:t>0</w:t>
      </w:r>
      <w:r>
        <w:rPr>
          <w:rFonts w:hint="eastAsia" w:ascii="宋体" w:hAnsi="宋体" w:eastAsia="宋体"/>
        </w:rPr>
        <w:t>GB，均为虚拟机，供应商需按照实际的资源批复完成本项目的部署。</w:t>
      </w:r>
    </w:p>
    <w:p>
      <w:pPr>
        <w:pStyle w:val="2"/>
      </w:pPr>
      <w:bookmarkStart w:id="26" w:name="_Toc63785503"/>
      <w:r>
        <w:rPr>
          <w:rFonts w:hint="eastAsia"/>
        </w:rPr>
        <w:t>其他工作要求</w:t>
      </w:r>
      <w:bookmarkEnd w:id="26"/>
    </w:p>
    <w:p>
      <w:pPr>
        <w:pStyle w:val="3"/>
        <w:ind w:left="480"/>
      </w:pPr>
      <w:r>
        <w:rPr>
          <w:rFonts w:hint="eastAsia"/>
        </w:rPr>
        <w:t>总体要求</w:t>
      </w:r>
    </w:p>
    <w:p>
      <w:pPr>
        <w:numPr>
          <w:ilvl w:val="0"/>
          <w:numId w:val="8"/>
        </w:numPr>
        <w:ind w:left="0" w:firstLine="480"/>
        <w:rPr>
          <w:b/>
          <w:bCs/>
          <w:szCs w:val="20"/>
        </w:rPr>
      </w:pPr>
      <w:r>
        <w:rPr>
          <w:rFonts w:hint="eastAsia"/>
          <w:szCs w:val="20"/>
        </w:rPr>
        <w:t>供应商需充分考虑满足采购项目的建设要求，根据采购人的详细需求，提出完整的项目管理、培训、项目验收、售后服务方案。</w:t>
      </w:r>
    </w:p>
    <w:p>
      <w:pPr>
        <w:numPr>
          <w:ilvl w:val="0"/>
          <w:numId w:val="8"/>
        </w:numPr>
        <w:ind w:left="0" w:firstLine="480"/>
        <w:rPr>
          <w:szCs w:val="20"/>
        </w:rPr>
      </w:pPr>
      <w:r>
        <w:rPr>
          <w:rFonts w:hint="eastAsia"/>
          <w:szCs w:val="20"/>
        </w:rPr>
        <w:t>供应商应本着认真负责态度，组织技术队伍，认真做好项目的实施工作。在签订合同前，提出具体实施、服务、维护以及今后技术支持的措施计划。</w:t>
      </w:r>
    </w:p>
    <w:p>
      <w:pPr>
        <w:numPr>
          <w:ilvl w:val="0"/>
          <w:numId w:val="8"/>
        </w:numPr>
        <w:ind w:left="0" w:firstLine="480"/>
        <w:rPr>
          <w:szCs w:val="20"/>
        </w:rPr>
      </w:pPr>
      <w:r>
        <w:rPr>
          <w:rFonts w:hint="eastAsia"/>
          <w:szCs w:val="20"/>
        </w:rPr>
        <w:t>供应商在中标并签署合同后，应通过谈话、现场考察、资料学习、座谈会等形式深度了解用户需求，进一步细化明确建设内容，优化技术方案，并组织邀请社会专家参加的方案论证会，系统开发或硬件、软件产品等采购前须制作需求规格说明书或硬件、软件产品采购清单，由用户方书面确认后实施。咨询论证等费用由成交单位承担。</w:t>
      </w:r>
    </w:p>
    <w:p>
      <w:pPr>
        <w:pStyle w:val="3"/>
        <w:ind w:left="480"/>
      </w:pPr>
      <w:r>
        <w:rPr>
          <w:rFonts w:hint="eastAsia"/>
        </w:rPr>
        <w:t>技术和性能要求</w:t>
      </w:r>
    </w:p>
    <w:p>
      <w:pPr>
        <w:numPr>
          <w:ilvl w:val="0"/>
          <w:numId w:val="9"/>
        </w:numPr>
        <w:ind w:left="0" w:firstLine="480"/>
        <w:rPr>
          <w:szCs w:val="20"/>
        </w:rPr>
      </w:pPr>
      <w:r>
        <w:rPr>
          <w:rFonts w:hint="eastAsia"/>
          <w:szCs w:val="20"/>
        </w:rPr>
        <w:t>系统支持</w:t>
      </w:r>
      <w:r>
        <w:rPr>
          <w:rFonts w:hint="eastAsia"/>
          <w:szCs w:val="20"/>
          <w:lang w:eastAsia="zh-CN"/>
        </w:rPr>
        <w:t>XC</w:t>
      </w:r>
      <w:r>
        <w:rPr>
          <w:rFonts w:hint="eastAsia"/>
          <w:szCs w:val="20"/>
        </w:rPr>
        <w:t>环境</w:t>
      </w:r>
      <w:bookmarkStart w:id="27" w:name="_Hlk97889730"/>
      <w:r>
        <w:rPr>
          <w:rFonts w:hint="eastAsia"/>
          <w:szCs w:val="20"/>
        </w:rPr>
        <w:t>。</w:t>
      </w:r>
      <w:bookmarkEnd w:id="27"/>
    </w:p>
    <w:p>
      <w:pPr>
        <w:numPr>
          <w:ilvl w:val="0"/>
          <w:numId w:val="9"/>
        </w:numPr>
        <w:ind w:left="0" w:firstLine="480"/>
        <w:rPr>
          <w:szCs w:val="20"/>
        </w:rPr>
      </w:pPr>
      <w:r>
        <w:rPr>
          <w:rFonts w:hint="eastAsia"/>
          <w:szCs w:val="20"/>
        </w:rPr>
        <w:t>系统具备良好的开放性，充分考虑今后功能扩展和应用系统集成。</w:t>
      </w:r>
    </w:p>
    <w:p>
      <w:pPr>
        <w:numPr>
          <w:ilvl w:val="0"/>
          <w:numId w:val="9"/>
        </w:numPr>
        <w:ind w:left="0" w:firstLine="480"/>
        <w:rPr>
          <w:szCs w:val="20"/>
        </w:rPr>
      </w:pPr>
      <w:r>
        <w:rPr>
          <w:rFonts w:hint="eastAsia"/>
          <w:szCs w:val="20"/>
        </w:rPr>
        <w:t>性能指标：</w:t>
      </w:r>
    </w:p>
    <w:p>
      <w:pPr>
        <w:numPr>
          <w:ilvl w:val="0"/>
          <w:numId w:val="10"/>
        </w:numPr>
        <w:ind w:left="480" w:firstLine="0" w:firstLineChars="0"/>
        <w:rPr>
          <w:szCs w:val="20"/>
        </w:rPr>
      </w:pPr>
      <w:r>
        <w:rPr>
          <w:rFonts w:hint="eastAsia"/>
          <w:szCs w:val="20"/>
        </w:rPr>
        <w:t>标准软硬件配置环境下简单操作响应时间小于等于2秒，复杂操作响应时间不超过10秒；</w:t>
      </w:r>
    </w:p>
    <w:p>
      <w:pPr>
        <w:numPr>
          <w:ilvl w:val="0"/>
          <w:numId w:val="10"/>
        </w:numPr>
        <w:ind w:left="480" w:firstLine="0" w:firstLineChars="0"/>
        <w:rPr>
          <w:szCs w:val="20"/>
        </w:rPr>
      </w:pPr>
      <w:r>
        <w:rPr>
          <w:rFonts w:hint="eastAsia"/>
          <w:szCs w:val="20"/>
        </w:rPr>
        <w:t>一般统计查询响应时间小于等于5秒，复杂查询提供进度状态标志，且响应时间小于15秒；</w:t>
      </w:r>
    </w:p>
    <w:p>
      <w:pPr>
        <w:numPr>
          <w:ilvl w:val="0"/>
          <w:numId w:val="10"/>
        </w:numPr>
        <w:ind w:left="480" w:firstLine="0" w:firstLineChars="0"/>
        <w:rPr>
          <w:szCs w:val="20"/>
        </w:rPr>
      </w:pPr>
      <w:r>
        <w:rPr>
          <w:rFonts w:hint="eastAsia"/>
          <w:szCs w:val="20"/>
        </w:rPr>
        <w:t>支持不少于100并发用户</w:t>
      </w:r>
      <w:r>
        <w:rPr>
          <w:rFonts w:hint="eastAsia"/>
          <w:szCs w:val="20"/>
          <w:lang w:eastAsia="zh-CN"/>
        </w:rPr>
        <w:t>，</w:t>
      </w:r>
      <w:r>
        <w:rPr>
          <w:rFonts w:hint="eastAsia"/>
          <w:szCs w:val="20"/>
          <w:lang w:val="en-US" w:eastAsia="zh-CN"/>
        </w:rPr>
        <w:t>总用户数不少于450人。</w:t>
      </w:r>
    </w:p>
    <w:p>
      <w:pPr>
        <w:numPr>
          <w:ilvl w:val="0"/>
          <w:numId w:val="9"/>
        </w:numPr>
        <w:ind w:left="0" w:firstLine="480"/>
        <w:rPr>
          <w:szCs w:val="20"/>
        </w:rPr>
      </w:pPr>
      <w:r>
        <w:rPr>
          <w:rFonts w:hint="eastAsia"/>
          <w:szCs w:val="20"/>
        </w:rPr>
        <w:t>本项目建设严格遵循等级保护等相关标准规范要求，依托于上海市电子政务云资源进行部署，做好信息安全防护。</w:t>
      </w:r>
    </w:p>
    <w:p>
      <w:pPr>
        <w:numPr>
          <w:ilvl w:val="0"/>
          <w:numId w:val="9"/>
        </w:numPr>
        <w:ind w:left="0" w:firstLine="480"/>
      </w:pPr>
      <w:r>
        <w:rPr>
          <w:rFonts w:hint="eastAsia"/>
          <w:szCs w:val="20"/>
        </w:rPr>
        <w:t>系统产生的电子文件符合电子归档的相关要求。</w:t>
      </w:r>
    </w:p>
    <w:p>
      <w:pPr>
        <w:keepNext/>
        <w:keepLines/>
        <w:numPr>
          <w:ilvl w:val="1"/>
          <w:numId w:val="11"/>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8" w:name="_Toc63151871"/>
      <w:bookmarkEnd w:id="28"/>
      <w:bookmarkStart w:id="29" w:name="_Toc62209488"/>
      <w:bookmarkEnd w:id="29"/>
      <w:bookmarkStart w:id="30" w:name="_Toc63585480"/>
      <w:bookmarkEnd w:id="30"/>
      <w:bookmarkStart w:id="31" w:name="_Toc63785439"/>
      <w:bookmarkEnd w:id="31"/>
      <w:bookmarkStart w:id="32" w:name="_Toc63762370"/>
      <w:bookmarkEnd w:id="32"/>
      <w:bookmarkStart w:id="33" w:name="_Toc61968111"/>
      <w:bookmarkEnd w:id="33"/>
      <w:bookmarkStart w:id="34" w:name="_Toc62219358"/>
      <w:bookmarkEnd w:id="34"/>
      <w:bookmarkStart w:id="35" w:name="_Toc63785504"/>
      <w:bookmarkEnd w:id="35"/>
    </w:p>
    <w:p>
      <w:pPr>
        <w:pStyle w:val="3"/>
        <w:ind w:left="480"/>
      </w:pPr>
      <w:bookmarkStart w:id="36" w:name="_Toc63785505"/>
      <w:r>
        <w:rPr>
          <w:rFonts w:hint="eastAsia"/>
        </w:rPr>
        <w:t>售后服务要求</w:t>
      </w:r>
      <w:bookmarkEnd w:id="36"/>
    </w:p>
    <w:p>
      <w:pPr>
        <w:widowControl/>
        <w:adjustRightInd w:val="0"/>
        <w:jc w:val="left"/>
        <w:rPr>
          <w:rFonts w:cs="宋体"/>
          <w:color w:val="000000"/>
          <w:kern w:val="0"/>
        </w:rPr>
      </w:pPr>
      <w:r>
        <w:rPr>
          <w:rFonts w:hint="eastAsia"/>
        </w:rPr>
        <w:t>本</w:t>
      </w:r>
      <w:r>
        <w:rPr>
          <w:rFonts w:hint="eastAsia" w:cs="宋体"/>
          <w:color w:val="000000"/>
          <w:kern w:val="0"/>
        </w:rPr>
        <w:t>项目验收通过后，提供一年的免费质量保证服务，承诺为系统提供终身技术支服务。服务对象为全市检察机关与项目相关的单位、部门和用户。为确保系统的正常运行，及时解决发生的各类问题，需结合项目实际，制定有效的运维保障方案和安全应急措施。并按约定，提供以下方式服务：</w:t>
      </w:r>
    </w:p>
    <w:p>
      <w:pPr>
        <w:numPr>
          <w:ilvl w:val="0"/>
          <w:numId w:val="12"/>
        </w:numPr>
        <w:ind w:firstLine="0" w:firstLineChars="0"/>
        <w:rPr>
          <w:b/>
          <w:bCs/>
          <w:szCs w:val="20"/>
        </w:rPr>
      </w:pPr>
      <w:r>
        <w:rPr>
          <w:rFonts w:hint="eastAsia"/>
          <w:b/>
          <w:bCs/>
          <w:szCs w:val="20"/>
        </w:rPr>
        <w:t>驻场技术服务</w:t>
      </w:r>
    </w:p>
    <w:p>
      <w:pPr>
        <w:widowControl/>
        <w:adjustRightInd w:val="0"/>
        <w:jc w:val="left"/>
        <w:rPr>
          <w:rFonts w:cs="宋体"/>
          <w:color w:val="000000"/>
          <w:kern w:val="0"/>
        </w:rPr>
      </w:pPr>
      <w:r>
        <w:rPr>
          <w:rFonts w:hint="eastAsia" w:cs="宋体"/>
          <w:color w:val="000000"/>
          <w:kern w:val="0"/>
        </w:rPr>
        <w:t>运维期间，根据系统运行的实际需求派驻现场工作人员，面向全市检察机关，对系统发生的事件、用户的要求进行及时响应；通过应用指导、运维保障和软件开发等多种方式提供高效和优质的综合技术服务。</w:t>
      </w:r>
    </w:p>
    <w:p>
      <w:pPr>
        <w:numPr>
          <w:ilvl w:val="0"/>
          <w:numId w:val="12"/>
        </w:numPr>
        <w:ind w:firstLine="0" w:firstLineChars="0"/>
        <w:rPr>
          <w:b/>
          <w:bCs/>
          <w:szCs w:val="20"/>
        </w:rPr>
      </w:pPr>
      <w:r>
        <w:rPr>
          <w:rFonts w:hint="eastAsia"/>
          <w:b/>
          <w:bCs/>
          <w:szCs w:val="20"/>
        </w:rPr>
        <w:t>重大活动伴随服务</w:t>
      </w:r>
    </w:p>
    <w:p>
      <w:pPr>
        <w:widowControl/>
        <w:adjustRightInd w:val="0"/>
        <w:jc w:val="left"/>
        <w:rPr>
          <w:rFonts w:cs="宋体"/>
          <w:color w:val="000000"/>
          <w:kern w:val="0"/>
        </w:rPr>
      </w:pPr>
      <w:r>
        <w:rPr>
          <w:rFonts w:hint="eastAsia" w:cs="宋体"/>
          <w:color w:val="000000"/>
          <w:kern w:val="0"/>
        </w:rPr>
        <w:t>用户若有跟系统相关的重大活动，项目组需提供活动所需专人进行事前调试和始终伴随服务，以确保系统的正常运行，最终实现用户活动的顺利完成。</w:t>
      </w:r>
    </w:p>
    <w:p>
      <w:pPr>
        <w:numPr>
          <w:ilvl w:val="0"/>
          <w:numId w:val="12"/>
        </w:numPr>
        <w:ind w:firstLine="0" w:firstLineChars="0"/>
        <w:rPr>
          <w:b/>
          <w:bCs/>
          <w:szCs w:val="20"/>
        </w:rPr>
      </w:pPr>
      <w:r>
        <w:rPr>
          <w:rFonts w:hint="eastAsia"/>
          <w:b/>
          <w:bCs/>
          <w:szCs w:val="20"/>
        </w:rPr>
        <w:t>巡检服务</w:t>
      </w:r>
    </w:p>
    <w:p>
      <w:pPr>
        <w:widowControl/>
        <w:adjustRightInd w:val="0"/>
        <w:jc w:val="left"/>
        <w:rPr>
          <w:rFonts w:cs="宋体"/>
          <w:color w:val="000000"/>
          <w:kern w:val="0"/>
        </w:rPr>
      </w:pPr>
      <w:r>
        <w:rPr>
          <w:rFonts w:hint="eastAsia" w:cs="宋体"/>
          <w:color w:val="000000"/>
          <w:kern w:val="0"/>
        </w:rPr>
        <w:t>每月进行一次巡检服务，由专业的技术支持人员上门通过专业的方式对系统运行状况进行全面检查测试，及时发现和排除隐患，确保数据备份的可靠性，保证系统可持续正常运行，并提交巡检报告。</w:t>
      </w:r>
    </w:p>
    <w:p>
      <w:pPr>
        <w:numPr>
          <w:ilvl w:val="0"/>
          <w:numId w:val="12"/>
        </w:numPr>
        <w:ind w:firstLine="0" w:firstLineChars="0"/>
        <w:rPr>
          <w:b/>
          <w:bCs/>
          <w:szCs w:val="20"/>
        </w:rPr>
      </w:pPr>
      <w:r>
        <w:rPr>
          <w:rFonts w:hint="eastAsia"/>
          <w:b/>
          <w:bCs/>
          <w:szCs w:val="20"/>
        </w:rPr>
        <w:t>远程支持服务</w:t>
      </w:r>
    </w:p>
    <w:p>
      <w:pPr>
        <w:pStyle w:val="17"/>
        <w:numPr>
          <w:ilvl w:val="0"/>
          <w:numId w:val="13"/>
        </w:numPr>
        <w:ind w:left="0" w:firstLine="480"/>
        <w:rPr>
          <w:rFonts w:eastAsia="宋体"/>
          <w:sz w:val="24"/>
          <w:szCs w:val="22"/>
        </w:rPr>
      </w:pPr>
      <w:r>
        <w:rPr>
          <w:rFonts w:hint="eastAsia" w:eastAsia="宋体"/>
          <w:sz w:val="24"/>
          <w:szCs w:val="22"/>
        </w:rPr>
        <w:t>热线电话服务</w:t>
      </w:r>
    </w:p>
    <w:p>
      <w:pPr>
        <w:widowControl/>
        <w:adjustRightInd w:val="0"/>
        <w:jc w:val="left"/>
        <w:rPr>
          <w:rFonts w:cs="宋体"/>
          <w:color w:val="000000"/>
          <w:kern w:val="0"/>
        </w:rPr>
      </w:pPr>
      <w:r>
        <w:rPr>
          <w:rFonts w:hint="eastAsia" w:cs="宋体"/>
          <w:color w:val="000000"/>
          <w:kern w:val="0"/>
        </w:rPr>
        <w:t>提供项目组技术人员的7*24小时服务热线；针对检察院提出的问题，通过电话解答咨询、指导应用和故障排除。对于无法解决的问题，及时受理登记，安排运维任务。</w:t>
      </w:r>
    </w:p>
    <w:p>
      <w:pPr>
        <w:pStyle w:val="17"/>
        <w:numPr>
          <w:ilvl w:val="0"/>
          <w:numId w:val="13"/>
        </w:numPr>
        <w:ind w:left="0" w:firstLine="480"/>
        <w:rPr>
          <w:rFonts w:eastAsia="宋体"/>
          <w:sz w:val="24"/>
          <w:szCs w:val="22"/>
        </w:rPr>
      </w:pPr>
      <w:r>
        <w:rPr>
          <w:rFonts w:hint="eastAsia" w:eastAsia="宋体"/>
          <w:sz w:val="24"/>
          <w:szCs w:val="22"/>
        </w:rPr>
        <w:t>电子邮件服务</w:t>
      </w:r>
    </w:p>
    <w:p>
      <w:pPr>
        <w:widowControl/>
        <w:adjustRightInd w:val="0"/>
        <w:jc w:val="left"/>
        <w:rPr>
          <w:rFonts w:cs="宋体"/>
          <w:color w:val="000000"/>
          <w:kern w:val="0"/>
        </w:rPr>
      </w:pPr>
      <w:r>
        <w:rPr>
          <w:rFonts w:hint="eastAsia" w:cs="宋体"/>
          <w:color w:val="000000"/>
          <w:kern w:val="0"/>
        </w:rPr>
        <w:t>提供项目组负责人邮箱地址，若遇到疑难的问题，用户可将问题通过E-mail的方式发给项目组相关负责人，项目组每天至少接收一次邮件，并在2个工作日内及时予以回复。</w:t>
      </w:r>
    </w:p>
    <w:p>
      <w:pPr>
        <w:numPr>
          <w:ilvl w:val="0"/>
          <w:numId w:val="12"/>
        </w:numPr>
        <w:ind w:firstLine="0" w:firstLineChars="0"/>
        <w:rPr>
          <w:b/>
          <w:bCs/>
          <w:szCs w:val="20"/>
        </w:rPr>
      </w:pPr>
      <w:r>
        <w:rPr>
          <w:rFonts w:hint="eastAsia"/>
          <w:b/>
          <w:bCs/>
          <w:szCs w:val="20"/>
        </w:rPr>
        <w:t>其它</w:t>
      </w:r>
    </w:p>
    <w:p>
      <w:pPr>
        <w:pStyle w:val="15"/>
        <w:snapToGrid w:val="0"/>
        <w:spacing w:line="360" w:lineRule="auto"/>
        <w:ind w:firstLine="480"/>
        <w:rPr>
          <w:rFonts w:ascii="宋体" w:hAnsi="宋体"/>
          <w:sz w:val="24"/>
          <w:szCs w:val="24"/>
        </w:rPr>
      </w:pPr>
      <w:r>
        <w:rPr>
          <w:rFonts w:hint="eastAsia" w:ascii="宋体" w:hAnsi="宋体" w:cs="宋体"/>
          <w:color w:val="000000"/>
          <w:kern w:val="0"/>
          <w:sz w:val="24"/>
        </w:rPr>
        <w:t>将各项运维服务纳入上海检察机关统一运维平台，实现问题统一受理、解决、反馈和汇总，所有运维工作均应在运维管理平台中全程详细记录，并不断丰富应用系统常见问题知识库。</w:t>
      </w:r>
    </w:p>
    <w:p>
      <w:pPr>
        <w:pStyle w:val="3"/>
        <w:ind w:left="480"/>
      </w:pPr>
      <w:bookmarkStart w:id="37" w:name="_Toc63785506"/>
      <w:r>
        <w:rPr>
          <w:rFonts w:hint="eastAsia"/>
        </w:rPr>
        <w:t>应急响应要求</w:t>
      </w:r>
      <w:bookmarkEnd w:id="37"/>
    </w:p>
    <w:p>
      <w:pPr>
        <w:pStyle w:val="15"/>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5"/>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15"/>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5"/>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5"/>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ind w:left="480"/>
      </w:pPr>
      <w:bookmarkStart w:id="38" w:name="_Toc63785507"/>
      <w:r>
        <w:rPr>
          <w:rFonts w:hint="eastAsia"/>
        </w:rPr>
        <w:t>培训要求</w:t>
      </w:r>
      <w:bookmarkEnd w:id="38"/>
    </w:p>
    <w:p>
      <w:pPr>
        <w:pStyle w:val="6"/>
        <w:ind w:firstLine="480"/>
        <w:rPr>
          <w:bCs/>
        </w:rPr>
      </w:pPr>
      <w:r>
        <w:rPr>
          <w:rFonts w:hint="eastAsia"/>
          <w:bCs/>
        </w:rPr>
        <w:t>根据用户的要求，针对系统用户，应该组织技术交流和培训，内容包括系统的功能升级、常见问题、配置说明、操作技巧等。</w:t>
      </w:r>
    </w:p>
    <w:p>
      <w:pPr>
        <w:rPr>
          <w:strike/>
          <w:szCs w:val="21"/>
        </w:rPr>
      </w:pPr>
      <w:r>
        <w:rPr>
          <w:rFonts w:hint="eastAsia"/>
          <w:bCs/>
        </w:rPr>
        <w:t>培训对象包括系统管理员、业务操作人员，其中系统管理员不少于2天培训，业务操作人员不少于3天培训。系统管理员，经培训后能够完成系统的日常管理维护工作；业务操作人员，经培训后能够熟练掌握使用本系统进行相关业务操作。</w:t>
      </w:r>
    </w:p>
    <w:p>
      <w:pPr>
        <w:pStyle w:val="3"/>
        <w:ind w:left="480"/>
      </w:pPr>
      <w:bookmarkStart w:id="39" w:name="_Toc63785509"/>
      <w:r>
        <w:rPr>
          <w:rFonts w:hint="eastAsia"/>
        </w:rPr>
        <w:t>进度要求</w:t>
      </w:r>
      <w:bookmarkEnd w:id="39"/>
    </w:p>
    <w:p>
      <w:pPr>
        <w:pStyle w:val="6"/>
        <w:ind w:firstLine="480"/>
        <w:rPr>
          <w:rFonts w:ascii="Tahoma" w:hAnsi="Tahoma"/>
          <w:szCs w:val="20"/>
        </w:rPr>
      </w:pPr>
      <w:r>
        <w:rPr>
          <w:rFonts w:hint="eastAsia"/>
          <w:szCs w:val="20"/>
        </w:rPr>
        <w:t>本项目要求合同签订后，供应商应根据用户方要求，及时整体或分批启动项目，在需求规格说明书确认后，按双方约定的时间节点完成项目。</w:t>
      </w:r>
    </w:p>
    <w:p>
      <w:r>
        <w:rPr>
          <w:rFonts w:hint="eastAsia" w:cs="宋体"/>
          <w:kern w:val="0"/>
        </w:rPr>
        <w:t>自合同签订之日起至</w:t>
      </w:r>
      <w:r>
        <w:rPr>
          <w:rFonts w:hint="eastAsia" w:cs="宋体"/>
          <w:kern w:val="0"/>
          <w:highlight w:val="none"/>
        </w:rPr>
        <w:t>202</w:t>
      </w:r>
      <w:r>
        <w:rPr>
          <w:rFonts w:hint="eastAsia" w:cs="宋体"/>
          <w:kern w:val="0"/>
          <w:highlight w:val="none"/>
          <w:lang w:val="en-US" w:eastAsia="zh-CN"/>
        </w:rPr>
        <w:t>7</w:t>
      </w:r>
      <w:r>
        <w:rPr>
          <w:rFonts w:hint="eastAsia" w:cs="宋体"/>
          <w:kern w:val="0"/>
          <w:highlight w:val="none"/>
        </w:rPr>
        <w:t>年</w:t>
      </w:r>
      <w:r>
        <w:rPr>
          <w:rFonts w:hint="eastAsia" w:cs="宋体"/>
          <w:kern w:val="0"/>
          <w:highlight w:val="none"/>
          <w:lang w:val="en-US" w:eastAsia="zh-CN"/>
        </w:rPr>
        <w:t>7</w:t>
      </w:r>
      <w:r>
        <w:rPr>
          <w:rFonts w:hint="eastAsia" w:cs="宋体"/>
          <w:kern w:val="0"/>
          <w:highlight w:val="none"/>
        </w:rPr>
        <w:t>月3</w:t>
      </w:r>
      <w:r>
        <w:rPr>
          <w:rFonts w:hint="eastAsia" w:cs="宋体"/>
          <w:kern w:val="0"/>
          <w:highlight w:val="none"/>
          <w:lang w:val="en-US" w:eastAsia="zh-CN"/>
        </w:rPr>
        <w:t>1</w:t>
      </w:r>
      <w:r>
        <w:rPr>
          <w:rFonts w:hint="eastAsia" w:cs="宋体"/>
          <w:kern w:val="0"/>
          <w:highlight w:val="none"/>
        </w:rPr>
        <w:t>日</w:t>
      </w:r>
      <w:r>
        <w:rPr>
          <w:rFonts w:hint="eastAsia" w:cs="宋体"/>
          <w:kern w:val="0"/>
        </w:rPr>
        <w:t>前完成系统建设并通过验收。</w:t>
      </w:r>
    </w:p>
    <w:p>
      <w:pPr>
        <w:pStyle w:val="3"/>
        <w:ind w:left="480"/>
      </w:pPr>
      <w:bookmarkStart w:id="40" w:name="_Toc63785510"/>
      <w:r>
        <w:rPr>
          <w:rFonts w:hint="eastAsia"/>
        </w:rPr>
        <w:t>项目团队及驻场人员要求</w:t>
      </w:r>
      <w:bookmarkEnd w:id="40"/>
    </w:p>
    <w:p>
      <w:pPr>
        <w:numPr>
          <w:ilvl w:val="0"/>
          <w:numId w:val="14"/>
        </w:numPr>
      </w:pPr>
      <w:r>
        <w:rPr>
          <w:rFonts w:hint="eastAsia"/>
        </w:rPr>
        <w:t>投标人须具有稳定的在职技术保障力量，能够提供及时的技术支援或服务，应针对本项目提供不少于</w:t>
      </w:r>
      <w:r>
        <w:rPr>
          <w:rFonts w:hint="eastAsia"/>
          <w:lang w:val="en-US" w:eastAsia="zh-CN"/>
        </w:rPr>
        <w:t>32</w:t>
      </w:r>
      <w:r>
        <w:rPr>
          <w:rFonts w:hint="eastAsia"/>
        </w:rPr>
        <w:t>人的项目服务团队（包括项目负责人、产品经理、技术负责人、研发、测试工程师、实施工程师），投标单位的相关服务人员需具备相应的服务能力，需提供相关证明</w:t>
      </w:r>
      <w:r>
        <w:t>。</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585"/>
        <w:gridCol w:w="1324"/>
        <w:gridCol w:w="1667"/>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0" w:type="dxa"/>
            <w:shd w:val="clear" w:color="auto" w:fill="auto"/>
            <w:noWrap/>
            <w:vAlign w:val="center"/>
          </w:tcPr>
          <w:p>
            <w:pPr>
              <w:widowControl/>
              <w:spacing w:line="240" w:lineRule="auto"/>
              <w:ind w:firstLine="0" w:firstLineChars="0"/>
              <w:jc w:val="center"/>
              <w:rPr>
                <w:b/>
              </w:rPr>
            </w:pPr>
            <w:r>
              <w:rPr>
                <w:rFonts w:hint="eastAsia"/>
                <w:b/>
              </w:rPr>
              <w:t>角色</w:t>
            </w:r>
          </w:p>
        </w:tc>
        <w:tc>
          <w:tcPr>
            <w:tcW w:w="2585"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324"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1667" w:type="dxa"/>
            <w:vAlign w:val="center"/>
          </w:tcPr>
          <w:p>
            <w:pPr>
              <w:widowControl/>
              <w:spacing w:line="240" w:lineRule="auto"/>
              <w:ind w:firstLine="0" w:firstLineChars="0"/>
              <w:jc w:val="center"/>
              <w:rPr>
                <w:b/>
              </w:rPr>
            </w:pPr>
            <w:r>
              <w:rPr>
                <w:rFonts w:hint="eastAsia"/>
                <w:b/>
              </w:rPr>
              <w:t>人员要求</w:t>
            </w:r>
          </w:p>
        </w:tc>
        <w:tc>
          <w:tcPr>
            <w:tcW w:w="1536"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0" w:type="dxa"/>
            <w:shd w:val="clear" w:color="auto" w:fill="auto"/>
            <w:noWrap/>
            <w:vAlign w:val="center"/>
          </w:tcPr>
          <w:p>
            <w:pPr>
              <w:widowControl/>
              <w:spacing w:line="240" w:lineRule="auto"/>
              <w:ind w:firstLine="0" w:firstLineChars="0"/>
              <w:jc w:val="center"/>
            </w:pPr>
            <w:r>
              <w:rPr>
                <w:rFonts w:hint="eastAsia" w:cs="宋体"/>
                <w:sz w:val="22"/>
                <w:szCs w:val="22"/>
              </w:rPr>
              <w:t>项目负责人</w:t>
            </w:r>
          </w:p>
        </w:tc>
        <w:tc>
          <w:tcPr>
            <w:tcW w:w="2585" w:type="dxa"/>
            <w:shd w:val="clear" w:color="auto" w:fill="auto"/>
            <w:vAlign w:val="center"/>
          </w:tcPr>
          <w:p>
            <w:pPr>
              <w:widowControl/>
              <w:spacing w:line="240" w:lineRule="auto"/>
              <w:ind w:firstLine="0" w:firstLineChars="0"/>
              <w:jc w:val="center"/>
            </w:pPr>
            <w:r>
              <w:rPr>
                <w:rFonts w:hint="eastAsia" w:cs="宋体"/>
                <w:sz w:val="22"/>
                <w:szCs w:val="22"/>
              </w:rPr>
              <w:t>负责项目规划与调度、风险管理、团队协调和沟通、质量管理、进度控制</w:t>
            </w:r>
          </w:p>
        </w:tc>
        <w:tc>
          <w:tcPr>
            <w:tcW w:w="1324" w:type="dxa"/>
            <w:shd w:val="clear" w:color="auto" w:fill="auto"/>
            <w:noWrap/>
            <w:vAlign w:val="center"/>
          </w:tcPr>
          <w:p>
            <w:pPr>
              <w:widowControl/>
              <w:spacing w:line="240" w:lineRule="auto"/>
              <w:ind w:firstLine="0" w:firstLineChars="0"/>
              <w:jc w:val="center"/>
            </w:pPr>
            <w:r>
              <w:rPr>
                <w:rFonts w:hint="eastAsia" w:cs="宋体"/>
                <w:sz w:val="22"/>
                <w:szCs w:val="22"/>
              </w:rPr>
              <w:t>1人</w:t>
            </w:r>
          </w:p>
        </w:tc>
        <w:tc>
          <w:tcPr>
            <w:tcW w:w="1667" w:type="dxa"/>
            <w:vAlign w:val="center"/>
          </w:tcPr>
          <w:p>
            <w:pPr>
              <w:widowControl/>
              <w:spacing w:line="240" w:lineRule="auto"/>
              <w:ind w:firstLine="0" w:firstLineChars="0"/>
              <w:jc w:val="center"/>
            </w:pPr>
            <w:r>
              <w:rPr>
                <w:rFonts w:hint="eastAsia" w:cs="宋体"/>
                <w:sz w:val="22"/>
                <w:szCs w:val="22"/>
              </w:rPr>
              <w:t>具备信息系统项目管理师证书，10年（含）以上类似经历</w:t>
            </w:r>
          </w:p>
        </w:tc>
        <w:tc>
          <w:tcPr>
            <w:tcW w:w="1536" w:type="dxa"/>
            <w:shd w:val="clear" w:color="auto" w:fill="auto"/>
            <w:noWrap/>
            <w:vAlign w:val="center"/>
          </w:tcPr>
          <w:p>
            <w:pPr>
              <w:widowControl/>
              <w:spacing w:line="240" w:lineRule="auto"/>
              <w:ind w:firstLine="0" w:firstLineChars="0"/>
              <w:jc w:val="center"/>
            </w:pPr>
            <w:r>
              <w:rPr>
                <w:rFonts w:hint="eastAsia"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410" w:type="dxa"/>
            <w:shd w:val="clear" w:color="auto" w:fill="auto"/>
            <w:noWrap/>
            <w:vAlign w:val="center"/>
          </w:tcPr>
          <w:p>
            <w:pPr>
              <w:widowControl/>
              <w:spacing w:line="240" w:lineRule="auto"/>
              <w:ind w:firstLine="0" w:firstLineChars="0"/>
              <w:jc w:val="center"/>
            </w:pPr>
            <w:r>
              <w:rPr>
                <w:rFonts w:hint="eastAsia" w:cs="宋体"/>
                <w:sz w:val="22"/>
                <w:szCs w:val="22"/>
              </w:rPr>
              <w:t>产品经理</w:t>
            </w:r>
          </w:p>
        </w:tc>
        <w:tc>
          <w:tcPr>
            <w:tcW w:w="2585" w:type="dxa"/>
            <w:shd w:val="clear" w:color="auto" w:fill="auto"/>
            <w:vAlign w:val="center"/>
          </w:tcPr>
          <w:p>
            <w:pPr>
              <w:widowControl/>
              <w:spacing w:line="240" w:lineRule="auto"/>
              <w:ind w:firstLine="0" w:firstLineChars="0"/>
              <w:jc w:val="center"/>
            </w:pPr>
            <w:r>
              <w:rPr>
                <w:rFonts w:hint="eastAsia" w:cs="宋体"/>
                <w:sz w:val="22"/>
                <w:szCs w:val="22"/>
              </w:rPr>
              <w:t>负责项目需求评估和架构设计</w:t>
            </w:r>
          </w:p>
        </w:tc>
        <w:tc>
          <w:tcPr>
            <w:tcW w:w="1324" w:type="dxa"/>
            <w:shd w:val="clear" w:color="auto" w:fill="auto"/>
            <w:noWrap/>
            <w:vAlign w:val="center"/>
          </w:tcPr>
          <w:p>
            <w:pPr>
              <w:widowControl/>
              <w:spacing w:line="240" w:lineRule="auto"/>
              <w:ind w:firstLine="0" w:firstLineChars="0"/>
              <w:jc w:val="center"/>
            </w:pPr>
            <w:r>
              <w:rPr>
                <w:rFonts w:hint="eastAsia" w:cs="宋体"/>
                <w:sz w:val="22"/>
                <w:szCs w:val="22"/>
              </w:rPr>
              <w:t>1人</w:t>
            </w:r>
          </w:p>
        </w:tc>
        <w:tc>
          <w:tcPr>
            <w:tcW w:w="1667" w:type="dxa"/>
            <w:vAlign w:val="center"/>
          </w:tcPr>
          <w:p>
            <w:pPr>
              <w:widowControl/>
              <w:spacing w:line="240" w:lineRule="auto"/>
              <w:ind w:firstLine="0" w:firstLineChars="0"/>
              <w:jc w:val="center"/>
            </w:pPr>
            <w:r>
              <w:rPr>
                <w:rFonts w:hint="eastAsia" w:cs="宋体"/>
                <w:sz w:val="22"/>
                <w:szCs w:val="22"/>
              </w:rPr>
              <w:t>具备系统分析师证书，10年（含）以上类似经历</w:t>
            </w:r>
          </w:p>
        </w:tc>
        <w:tc>
          <w:tcPr>
            <w:tcW w:w="1536" w:type="dxa"/>
            <w:shd w:val="clear" w:color="auto" w:fill="auto"/>
            <w:noWrap/>
            <w:vAlign w:val="center"/>
          </w:tcPr>
          <w:p>
            <w:pPr>
              <w:widowControl/>
              <w:spacing w:line="240" w:lineRule="auto"/>
              <w:ind w:firstLine="0" w:firstLineChars="0"/>
              <w:jc w:val="center"/>
            </w:pPr>
            <w:r>
              <w:rPr>
                <w:rFonts w:hint="eastAsia"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0" w:type="dxa"/>
            <w:shd w:val="clear" w:color="auto" w:fill="auto"/>
            <w:noWrap/>
            <w:vAlign w:val="center"/>
          </w:tcPr>
          <w:p>
            <w:pPr>
              <w:widowControl/>
              <w:spacing w:line="240" w:lineRule="auto"/>
              <w:ind w:firstLine="0" w:firstLineChars="0"/>
              <w:jc w:val="center"/>
            </w:pPr>
            <w:r>
              <w:rPr>
                <w:rFonts w:cs="宋体"/>
                <w:sz w:val="22"/>
                <w:szCs w:val="22"/>
              </w:rPr>
              <w:t>技术负责人</w:t>
            </w:r>
          </w:p>
        </w:tc>
        <w:tc>
          <w:tcPr>
            <w:tcW w:w="2585" w:type="dxa"/>
            <w:shd w:val="clear" w:color="auto" w:fill="auto"/>
            <w:noWrap/>
            <w:vAlign w:val="center"/>
          </w:tcPr>
          <w:p>
            <w:pPr>
              <w:widowControl/>
              <w:spacing w:line="240" w:lineRule="auto"/>
              <w:ind w:firstLine="0" w:firstLineChars="0"/>
              <w:jc w:val="center"/>
            </w:pPr>
            <w:r>
              <w:rPr>
                <w:rFonts w:hint="eastAsia" w:cs="宋体"/>
                <w:sz w:val="22"/>
                <w:szCs w:val="22"/>
              </w:rPr>
              <w:t>负责研发设计、评审、代码质量审核、研发管理等相关工作</w:t>
            </w:r>
          </w:p>
        </w:tc>
        <w:tc>
          <w:tcPr>
            <w:tcW w:w="1324" w:type="dxa"/>
            <w:shd w:val="clear" w:color="auto" w:fill="auto"/>
            <w:noWrap/>
            <w:vAlign w:val="center"/>
          </w:tcPr>
          <w:p>
            <w:pPr>
              <w:widowControl/>
              <w:spacing w:line="240" w:lineRule="auto"/>
              <w:ind w:firstLine="0" w:firstLineChars="0"/>
              <w:jc w:val="center"/>
            </w:pPr>
            <w:r>
              <w:rPr>
                <w:rFonts w:hint="eastAsia" w:cs="宋体"/>
                <w:sz w:val="22"/>
                <w:szCs w:val="22"/>
              </w:rPr>
              <w:t>1人</w:t>
            </w:r>
          </w:p>
        </w:tc>
        <w:tc>
          <w:tcPr>
            <w:tcW w:w="1667" w:type="dxa"/>
            <w:vAlign w:val="center"/>
          </w:tcPr>
          <w:p>
            <w:pPr>
              <w:widowControl/>
              <w:spacing w:line="240" w:lineRule="auto"/>
              <w:ind w:firstLine="0" w:firstLineChars="0"/>
              <w:jc w:val="center"/>
            </w:pPr>
            <w:r>
              <w:rPr>
                <w:rFonts w:hint="eastAsia" w:cs="宋体"/>
                <w:sz w:val="22"/>
                <w:szCs w:val="22"/>
              </w:rPr>
              <w:t>具备信息系统项目管理师证书，10年（含）以上类似经历</w:t>
            </w:r>
          </w:p>
        </w:tc>
        <w:tc>
          <w:tcPr>
            <w:tcW w:w="1536" w:type="dxa"/>
            <w:shd w:val="clear" w:color="auto" w:fill="auto"/>
            <w:noWrap/>
            <w:vAlign w:val="center"/>
          </w:tcPr>
          <w:p>
            <w:pPr>
              <w:widowControl/>
              <w:spacing w:line="240" w:lineRule="auto"/>
              <w:ind w:firstLine="0" w:firstLineChars="0"/>
              <w:jc w:val="center"/>
            </w:pPr>
            <w:r>
              <w:rPr>
                <w:rFonts w:hint="eastAsia"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0" w:type="dxa"/>
            <w:shd w:val="clear" w:color="auto" w:fill="auto"/>
            <w:noWrap/>
            <w:vAlign w:val="center"/>
          </w:tcPr>
          <w:p>
            <w:pPr>
              <w:widowControl/>
              <w:spacing w:line="240" w:lineRule="auto"/>
              <w:ind w:firstLine="0" w:firstLineChars="0"/>
              <w:jc w:val="center"/>
              <w:rPr>
                <w:rFonts w:cs="宋体"/>
                <w:sz w:val="22"/>
                <w:szCs w:val="22"/>
              </w:rPr>
            </w:pPr>
            <w:r>
              <w:rPr>
                <w:rFonts w:hint="eastAsia" w:cs="宋体"/>
                <w:sz w:val="22"/>
                <w:szCs w:val="22"/>
              </w:rPr>
              <w:t>需求工程师</w:t>
            </w:r>
          </w:p>
        </w:tc>
        <w:tc>
          <w:tcPr>
            <w:tcW w:w="2585" w:type="dxa"/>
            <w:shd w:val="clear" w:color="auto" w:fill="auto"/>
            <w:noWrap/>
            <w:vAlign w:val="center"/>
          </w:tcPr>
          <w:p>
            <w:pPr>
              <w:widowControl/>
              <w:spacing w:line="240" w:lineRule="auto"/>
              <w:ind w:firstLine="0" w:firstLineChars="0"/>
              <w:jc w:val="center"/>
              <w:rPr>
                <w:rFonts w:cs="宋体"/>
                <w:sz w:val="22"/>
                <w:szCs w:val="22"/>
              </w:rPr>
            </w:pPr>
            <w:r>
              <w:rPr>
                <w:rFonts w:hint="eastAsia" w:cs="宋体"/>
                <w:sz w:val="22"/>
                <w:szCs w:val="22"/>
              </w:rPr>
              <w:t>负责项目的需求调研、需求文档编写</w:t>
            </w:r>
          </w:p>
        </w:tc>
        <w:tc>
          <w:tcPr>
            <w:tcW w:w="1324" w:type="dxa"/>
            <w:shd w:val="clear" w:color="auto" w:fill="auto"/>
            <w:noWrap/>
            <w:vAlign w:val="center"/>
          </w:tcPr>
          <w:p>
            <w:pPr>
              <w:widowControl/>
              <w:spacing w:line="240" w:lineRule="auto"/>
              <w:ind w:firstLine="0" w:firstLineChars="0"/>
              <w:jc w:val="center"/>
              <w:rPr>
                <w:rFonts w:cs="宋体"/>
                <w:sz w:val="22"/>
                <w:szCs w:val="22"/>
              </w:rPr>
            </w:pPr>
            <w:r>
              <w:rPr>
                <w:rFonts w:hint="eastAsia" w:cs="宋体"/>
                <w:sz w:val="22"/>
                <w:szCs w:val="22"/>
                <w:lang w:val="en-US" w:eastAsia="zh-CN"/>
              </w:rPr>
              <w:t>5</w:t>
            </w:r>
            <w:r>
              <w:rPr>
                <w:rFonts w:hint="eastAsia" w:cs="宋体"/>
                <w:sz w:val="22"/>
                <w:szCs w:val="22"/>
              </w:rPr>
              <w:t>人</w:t>
            </w:r>
          </w:p>
        </w:tc>
        <w:tc>
          <w:tcPr>
            <w:tcW w:w="1667" w:type="dxa"/>
            <w:vAlign w:val="center"/>
          </w:tcPr>
          <w:p>
            <w:pPr>
              <w:widowControl/>
              <w:spacing w:line="240" w:lineRule="auto"/>
              <w:ind w:firstLine="0" w:firstLineChars="0"/>
              <w:jc w:val="center"/>
              <w:rPr>
                <w:rFonts w:cs="宋体"/>
                <w:sz w:val="22"/>
                <w:szCs w:val="22"/>
              </w:rPr>
            </w:pPr>
            <w:r>
              <w:rPr>
                <w:rFonts w:hint="eastAsia" w:cs="宋体"/>
                <w:sz w:val="22"/>
                <w:szCs w:val="22"/>
              </w:rPr>
              <w:t>至少</w:t>
            </w:r>
            <w:r>
              <w:rPr>
                <w:rFonts w:hint="eastAsia" w:cs="宋体"/>
                <w:sz w:val="22"/>
                <w:szCs w:val="22"/>
                <w:lang w:val="en-US" w:eastAsia="zh-CN"/>
              </w:rPr>
              <w:t>2</w:t>
            </w:r>
            <w:r>
              <w:rPr>
                <w:rFonts w:hint="eastAsia" w:cs="宋体"/>
                <w:sz w:val="22"/>
                <w:szCs w:val="22"/>
              </w:rPr>
              <w:t>人具备软件设计师证书</w:t>
            </w:r>
          </w:p>
        </w:tc>
        <w:tc>
          <w:tcPr>
            <w:tcW w:w="1536" w:type="dxa"/>
            <w:shd w:val="clear" w:color="auto" w:fill="auto"/>
            <w:noWrap/>
            <w:vAlign w:val="center"/>
          </w:tcPr>
          <w:p>
            <w:pPr>
              <w:widowControl/>
              <w:spacing w:line="240" w:lineRule="auto"/>
              <w:ind w:firstLine="0" w:firstLineChars="0"/>
              <w:jc w:val="center"/>
              <w:rPr>
                <w:rFonts w:cs="宋体"/>
                <w:sz w:val="22"/>
                <w:szCs w:val="22"/>
                <w:highlight w:val="yellow"/>
              </w:rPr>
            </w:pPr>
            <w:r>
              <w:rPr>
                <w:rFonts w:hint="eastAsia"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10" w:type="dxa"/>
            <w:shd w:val="clear" w:color="auto" w:fill="auto"/>
            <w:noWrap/>
            <w:vAlign w:val="center"/>
          </w:tcPr>
          <w:p>
            <w:pPr>
              <w:widowControl/>
              <w:spacing w:line="240" w:lineRule="auto"/>
              <w:ind w:firstLine="0" w:firstLineChars="0"/>
              <w:jc w:val="center"/>
            </w:pPr>
            <w:r>
              <w:rPr>
                <w:rFonts w:hint="eastAsia" w:cs="宋体"/>
                <w:sz w:val="22"/>
                <w:szCs w:val="22"/>
              </w:rPr>
              <w:t>研发工程师</w:t>
            </w:r>
          </w:p>
        </w:tc>
        <w:tc>
          <w:tcPr>
            <w:tcW w:w="2585" w:type="dxa"/>
            <w:shd w:val="clear" w:color="auto" w:fill="auto"/>
            <w:noWrap/>
            <w:vAlign w:val="center"/>
          </w:tcPr>
          <w:p>
            <w:pPr>
              <w:widowControl/>
              <w:spacing w:line="240" w:lineRule="auto"/>
              <w:ind w:firstLine="0" w:firstLineChars="0"/>
              <w:jc w:val="center"/>
            </w:pPr>
            <w:r>
              <w:rPr>
                <w:rFonts w:hint="eastAsia" w:cs="宋体"/>
                <w:sz w:val="22"/>
                <w:szCs w:val="22"/>
              </w:rPr>
              <w:t>负责项目功能开发</w:t>
            </w:r>
          </w:p>
        </w:tc>
        <w:tc>
          <w:tcPr>
            <w:tcW w:w="1324" w:type="dxa"/>
            <w:shd w:val="clear" w:color="auto" w:fill="auto"/>
            <w:noWrap/>
            <w:vAlign w:val="center"/>
          </w:tcPr>
          <w:p>
            <w:pPr>
              <w:widowControl/>
              <w:spacing w:line="240" w:lineRule="auto"/>
              <w:ind w:firstLine="0" w:firstLineChars="0"/>
              <w:jc w:val="center"/>
            </w:pPr>
            <w:r>
              <w:rPr>
                <w:rFonts w:hint="eastAsia" w:cs="宋体"/>
                <w:sz w:val="22"/>
                <w:szCs w:val="22"/>
              </w:rPr>
              <w:t>1</w:t>
            </w:r>
            <w:r>
              <w:rPr>
                <w:rFonts w:hint="eastAsia" w:cs="宋体"/>
                <w:sz w:val="22"/>
                <w:szCs w:val="22"/>
                <w:lang w:val="en-US" w:eastAsia="zh-CN"/>
              </w:rPr>
              <w:t>5</w:t>
            </w:r>
            <w:r>
              <w:rPr>
                <w:rFonts w:hint="eastAsia" w:cs="宋体"/>
                <w:sz w:val="22"/>
                <w:szCs w:val="22"/>
              </w:rPr>
              <w:t>人</w:t>
            </w:r>
          </w:p>
        </w:tc>
        <w:tc>
          <w:tcPr>
            <w:tcW w:w="1667" w:type="dxa"/>
            <w:vAlign w:val="center"/>
          </w:tcPr>
          <w:p>
            <w:pPr>
              <w:widowControl/>
              <w:spacing w:line="240" w:lineRule="auto"/>
              <w:ind w:firstLine="0" w:firstLineChars="0"/>
              <w:jc w:val="center"/>
            </w:pPr>
            <w:r>
              <w:rPr>
                <w:rFonts w:hint="eastAsia" w:cs="宋体"/>
                <w:sz w:val="22"/>
                <w:szCs w:val="22"/>
              </w:rPr>
              <w:t>至少3人具备软件设计师证书</w:t>
            </w:r>
          </w:p>
        </w:tc>
        <w:tc>
          <w:tcPr>
            <w:tcW w:w="1536" w:type="dxa"/>
            <w:shd w:val="clear" w:color="auto" w:fill="auto"/>
            <w:noWrap/>
            <w:vAlign w:val="center"/>
          </w:tcPr>
          <w:p>
            <w:pPr>
              <w:widowControl/>
              <w:spacing w:line="240" w:lineRule="auto"/>
              <w:ind w:firstLine="0" w:firstLineChars="0"/>
              <w:jc w:val="center"/>
            </w:pPr>
            <w:r>
              <w:rPr>
                <w:rFonts w:hint="eastAsia" w:cs="宋体"/>
                <w:sz w:val="22"/>
                <w:szCs w:val="22"/>
              </w:rPr>
              <w:t>不少于3人驻场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0" w:type="dxa"/>
            <w:shd w:val="clear" w:color="auto" w:fill="auto"/>
            <w:noWrap/>
            <w:vAlign w:val="center"/>
          </w:tcPr>
          <w:p>
            <w:pPr>
              <w:widowControl/>
              <w:spacing w:line="240" w:lineRule="auto"/>
              <w:ind w:firstLine="0" w:firstLineChars="0"/>
              <w:jc w:val="center"/>
            </w:pPr>
            <w:r>
              <w:rPr>
                <w:rFonts w:hint="eastAsia" w:cs="宋体"/>
                <w:sz w:val="22"/>
                <w:szCs w:val="22"/>
              </w:rPr>
              <w:t>测试工程师</w:t>
            </w:r>
          </w:p>
        </w:tc>
        <w:tc>
          <w:tcPr>
            <w:tcW w:w="2585" w:type="dxa"/>
            <w:shd w:val="clear" w:color="auto" w:fill="auto"/>
            <w:noWrap/>
            <w:vAlign w:val="center"/>
          </w:tcPr>
          <w:p>
            <w:pPr>
              <w:widowControl/>
              <w:spacing w:line="240" w:lineRule="auto"/>
              <w:ind w:firstLine="0" w:firstLineChars="0"/>
              <w:jc w:val="center"/>
            </w:pPr>
            <w:r>
              <w:rPr>
                <w:rFonts w:hint="eastAsia" w:cs="宋体"/>
                <w:sz w:val="22"/>
                <w:szCs w:val="22"/>
              </w:rPr>
              <w:t>负责项目具体测试与发布工作</w:t>
            </w:r>
          </w:p>
        </w:tc>
        <w:tc>
          <w:tcPr>
            <w:tcW w:w="1324" w:type="dxa"/>
            <w:shd w:val="clear" w:color="auto" w:fill="auto"/>
            <w:noWrap/>
            <w:vAlign w:val="center"/>
          </w:tcPr>
          <w:p>
            <w:pPr>
              <w:widowControl/>
              <w:spacing w:line="240" w:lineRule="auto"/>
              <w:ind w:firstLine="0" w:firstLineChars="0"/>
              <w:jc w:val="center"/>
            </w:pPr>
            <w:r>
              <w:rPr>
                <w:rFonts w:hint="eastAsia" w:cs="宋体"/>
                <w:sz w:val="22"/>
                <w:szCs w:val="22"/>
                <w:lang w:val="en-US" w:eastAsia="zh-CN"/>
              </w:rPr>
              <w:t>5</w:t>
            </w:r>
            <w:r>
              <w:rPr>
                <w:rFonts w:hint="eastAsia" w:cs="宋体"/>
                <w:sz w:val="22"/>
                <w:szCs w:val="22"/>
              </w:rPr>
              <w:t>人</w:t>
            </w:r>
          </w:p>
        </w:tc>
        <w:tc>
          <w:tcPr>
            <w:tcW w:w="1667" w:type="dxa"/>
            <w:vAlign w:val="center"/>
          </w:tcPr>
          <w:p>
            <w:pPr>
              <w:widowControl/>
              <w:spacing w:line="240" w:lineRule="auto"/>
              <w:ind w:firstLine="0" w:firstLineChars="0"/>
              <w:jc w:val="center"/>
            </w:pPr>
            <w:r>
              <w:rPr>
                <w:rFonts w:hint="eastAsia" w:cs="宋体"/>
                <w:sz w:val="22"/>
                <w:szCs w:val="22"/>
              </w:rPr>
              <w:t>至少1人具备软件评测师证书</w:t>
            </w:r>
          </w:p>
        </w:tc>
        <w:tc>
          <w:tcPr>
            <w:tcW w:w="1536" w:type="dxa"/>
            <w:shd w:val="clear" w:color="auto" w:fill="auto"/>
            <w:noWrap/>
            <w:vAlign w:val="center"/>
          </w:tcPr>
          <w:p>
            <w:pPr>
              <w:widowControl/>
              <w:spacing w:line="240" w:lineRule="auto"/>
              <w:ind w:firstLine="0" w:firstLineChars="0"/>
              <w:jc w:val="center"/>
            </w:pPr>
            <w:r>
              <w:rPr>
                <w:rFonts w:hint="eastAsia" w:cs="宋体"/>
                <w:sz w:val="22"/>
                <w:szCs w:val="22"/>
              </w:rPr>
              <w:t>不少于2人驻场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0" w:type="dxa"/>
            <w:shd w:val="clear" w:color="auto" w:fill="auto"/>
            <w:noWrap/>
            <w:vAlign w:val="center"/>
          </w:tcPr>
          <w:p>
            <w:pPr>
              <w:widowControl/>
              <w:spacing w:line="240" w:lineRule="auto"/>
              <w:ind w:firstLine="0" w:firstLineChars="0"/>
              <w:jc w:val="center"/>
            </w:pPr>
            <w:r>
              <w:rPr>
                <w:rFonts w:hint="eastAsia" w:cs="宋体"/>
                <w:sz w:val="22"/>
                <w:szCs w:val="22"/>
              </w:rPr>
              <w:t>实施工程师</w:t>
            </w:r>
          </w:p>
        </w:tc>
        <w:tc>
          <w:tcPr>
            <w:tcW w:w="2585" w:type="dxa"/>
            <w:shd w:val="clear" w:color="auto" w:fill="auto"/>
            <w:noWrap/>
            <w:vAlign w:val="center"/>
          </w:tcPr>
          <w:p>
            <w:pPr>
              <w:widowControl/>
              <w:spacing w:line="240" w:lineRule="auto"/>
              <w:ind w:firstLine="0" w:firstLineChars="0"/>
              <w:jc w:val="center"/>
            </w:pPr>
            <w:r>
              <w:rPr>
                <w:rFonts w:hint="eastAsia" w:cs="宋体"/>
                <w:sz w:val="22"/>
                <w:szCs w:val="22"/>
              </w:rPr>
              <w:t>负责项目的实施部署与技术支撑</w:t>
            </w:r>
          </w:p>
        </w:tc>
        <w:tc>
          <w:tcPr>
            <w:tcW w:w="1324" w:type="dxa"/>
            <w:shd w:val="clear" w:color="auto" w:fill="auto"/>
            <w:noWrap/>
            <w:vAlign w:val="center"/>
          </w:tcPr>
          <w:p>
            <w:pPr>
              <w:widowControl/>
              <w:spacing w:line="240" w:lineRule="auto"/>
              <w:ind w:firstLine="0" w:firstLineChars="0"/>
              <w:jc w:val="center"/>
            </w:pPr>
            <w:r>
              <w:rPr>
                <w:rFonts w:hint="eastAsia" w:cs="宋体"/>
                <w:sz w:val="22"/>
                <w:szCs w:val="22"/>
              </w:rPr>
              <w:t>4人</w:t>
            </w:r>
          </w:p>
        </w:tc>
        <w:tc>
          <w:tcPr>
            <w:tcW w:w="1667" w:type="dxa"/>
            <w:vAlign w:val="center"/>
          </w:tcPr>
          <w:p>
            <w:pPr>
              <w:widowControl/>
              <w:spacing w:line="240" w:lineRule="auto"/>
              <w:ind w:firstLine="0" w:firstLineChars="0"/>
              <w:jc w:val="center"/>
            </w:pPr>
            <w:r>
              <w:rPr>
                <w:rFonts w:hint="eastAsia" w:cs="宋体"/>
                <w:sz w:val="22"/>
                <w:szCs w:val="22"/>
              </w:rPr>
              <w:t>至少2人具备系统集成项目管理工程师证书</w:t>
            </w:r>
          </w:p>
        </w:tc>
        <w:tc>
          <w:tcPr>
            <w:tcW w:w="1536" w:type="dxa"/>
            <w:shd w:val="clear" w:color="auto" w:fill="auto"/>
            <w:noWrap/>
            <w:vAlign w:val="center"/>
          </w:tcPr>
          <w:p>
            <w:pPr>
              <w:widowControl/>
              <w:spacing w:line="240" w:lineRule="auto"/>
              <w:ind w:firstLine="0" w:firstLineChars="0"/>
              <w:jc w:val="center"/>
            </w:pPr>
            <w:r>
              <w:rPr>
                <w:rFonts w:hint="eastAsia" w:cs="宋体"/>
                <w:sz w:val="22"/>
                <w:szCs w:val="22"/>
              </w:rPr>
              <w:t>驻场</w:t>
            </w:r>
          </w:p>
        </w:tc>
      </w:tr>
    </w:tbl>
    <w:p>
      <w:pPr>
        <w:numPr>
          <w:ilvl w:val="0"/>
          <w:numId w:val="14"/>
        </w:numPr>
      </w:pPr>
      <w:r>
        <w:rPr>
          <w:rFonts w:hint="eastAsia"/>
        </w:rPr>
        <w:t>投标人应针对本项目提供不少于</w:t>
      </w:r>
      <w:r>
        <w:rPr>
          <w:rFonts w:hint="eastAsia"/>
          <w:lang w:val="en-US" w:eastAsia="zh-CN"/>
        </w:rPr>
        <w:t>3</w:t>
      </w:r>
      <w:r>
        <w:rPr>
          <w:rFonts w:hint="eastAsia"/>
        </w:rPr>
        <w:t>人的质保期间支撑团队（其中项目负责1人，运维人员不少于</w:t>
      </w:r>
      <w:r>
        <w:rPr>
          <w:rFonts w:hint="eastAsia"/>
          <w:lang w:val="en-US" w:eastAsia="zh-CN"/>
        </w:rPr>
        <w:t>2</w:t>
      </w:r>
      <w:r>
        <w:rPr>
          <w:rFonts w:hint="eastAsia"/>
        </w:rPr>
        <w:t>人），投标人的相关服务人员需具备相应的服务能力，需提供相关证明（最近一个季度依法缴纳社保费的证明）。</w:t>
      </w:r>
    </w:p>
    <w:tbl>
      <w:tblPr>
        <w:tblStyle w:val="1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843"/>
        <w:gridCol w:w="1180"/>
        <w:gridCol w:w="155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b/>
              </w:rPr>
            </w:pPr>
            <w:r>
              <w:rPr>
                <w:rFonts w:hint="eastAsia"/>
                <w:b/>
              </w:rPr>
              <w:t>角色</w:t>
            </w:r>
          </w:p>
        </w:tc>
        <w:tc>
          <w:tcPr>
            <w:tcW w:w="2843"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1180" w:type="dxa"/>
            <w:shd w:val="clear" w:color="auto" w:fill="auto"/>
            <w:noWrap/>
            <w:vAlign w:val="center"/>
          </w:tcPr>
          <w:p>
            <w:pPr>
              <w:widowControl/>
              <w:spacing w:line="240" w:lineRule="auto"/>
              <w:ind w:firstLine="0" w:firstLineChars="0"/>
              <w:jc w:val="center"/>
              <w:rPr>
                <w:b/>
              </w:rPr>
            </w:pPr>
            <w:r>
              <w:rPr>
                <w:rFonts w:hint="eastAsia"/>
                <w:b/>
              </w:rPr>
              <w:t>人员数量</w:t>
            </w:r>
          </w:p>
        </w:tc>
        <w:tc>
          <w:tcPr>
            <w:tcW w:w="1553" w:type="dxa"/>
            <w:vAlign w:val="center"/>
          </w:tcPr>
          <w:p>
            <w:pPr>
              <w:widowControl/>
              <w:spacing w:line="240" w:lineRule="auto"/>
              <w:ind w:firstLine="0" w:firstLineChars="0"/>
              <w:jc w:val="center"/>
              <w:rPr>
                <w:b/>
              </w:rPr>
            </w:pPr>
            <w:r>
              <w:rPr>
                <w:rFonts w:hint="eastAsia"/>
                <w:b/>
              </w:rPr>
              <w:t>人员要求</w:t>
            </w:r>
          </w:p>
        </w:tc>
        <w:tc>
          <w:tcPr>
            <w:tcW w:w="1536"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项目负责人</w:t>
            </w:r>
          </w:p>
        </w:tc>
        <w:tc>
          <w:tcPr>
            <w:tcW w:w="2843" w:type="dxa"/>
            <w:shd w:val="clear" w:color="auto" w:fill="auto"/>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负责整体项目质量和进度控制</w:t>
            </w:r>
          </w:p>
        </w:tc>
        <w:tc>
          <w:tcPr>
            <w:tcW w:w="1180" w:type="dxa"/>
            <w:shd w:val="clear" w:color="auto" w:fill="auto"/>
            <w:noWrap/>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1人</w:t>
            </w:r>
          </w:p>
        </w:tc>
        <w:tc>
          <w:tcPr>
            <w:tcW w:w="1553" w:type="dxa"/>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可与实施团队中项目负责人为同一人</w:t>
            </w:r>
          </w:p>
        </w:tc>
        <w:tc>
          <w:tcPr>
            <w:tcW w:w="1536" w:type="dxa"/>
            <w:shd w:val="clear" w:color="auto" w:fill="auto"/>
            <w:noWrap/>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运维人员</w:t>
            </w:r>
          </w:p>
        </w:tc>
        <w:tc>
          <w:tcPr>
            <w:tcW w:w="2843" w:type="dxa"/>
            <w:shd w:val="clear" w:color="auto" w:fill="auto"/>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负责项目具体运维</w:t>
            </w:r>
          </w:p>
        </w:tc>
        <w:tc>
          <w:tcPr>
            <w:tcW w:w="1180" w:type="dxa"/>
            <w:shd w:val="clear" w:color="auto" w:fill="auto"/>
            <w:noWrap/>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不少于</w:t>
            </w:r>
            <w:r>
              <w:rPr>
                <w:rFonts w:hint="eastAsia" w:cs="宋体"/>
                <w:color w:val="000000"/>
                <w:kern w:val="0"/>
                <w:sz w:val="22"/>
                <w:szCs w:val="22"/>
                <w:lang w:val="en-US" w:eastAsia="zh-CN"/>
              </w:rPr>
              <w:t>2</w:t>
            </w:r>
            <w:r>
              <w:rPr>
                <w:rFonts w:hint="eastAsia" w:cs="宋体"/>
                <w:color w:val="000000"/>
                <w:kern w:val="0"/>
                <w:sz w:val="22"/>
                <w:szCs w:val="22"/>
              </w:rPr>
              <w:t>人</w:t>
            </w:r>
          </w:p>
        </w:tc>
        <w:tc>
          <w:tcPr>
            <w:tcW w:w="1553" w:type="dxa"/>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rPr>
              <w:t>可与实施团队中研发实施人员为同一人</w:t>
            </w:r>
          </w:p>
        </w:tc>
        <w:tc>
          <w:tcPr>
            <w:tcW w:w="1536" w:type="dxa"/>
            <w:shd w:val="clear" w:color="auto" w:fill="auto"/>
            <w:noWrap/>
            <w:vAlign w:val="center"/>
          </w:tcPr>
          <w:p>
            <w:pPr>
              <w:widowControl/>
              <w:spacing w:line="240" w:lineRule="auto"/>
              <w:ind w:firstLine="0" w:firstLineChars="0"/>
              <w:jc w:val="center"/>
              <w:textAlignment w:val="center"/>
              <w:rPr>
                <w:rFonts w:cs="宋体"/>
                <w:color w:val="000000"/>
                <w:kern w:val="0"/>
                <w:sz w:val="22"/>
                <w:szCs w:val="22"/>
              </w:rPr>
            </w:pPr>
            <w:r>
              <w:rPr>
                <w:rFonts w:hint="eastAsia" w:cs="宋体"/>
                <w:color w:val="000000"/>
                <w:kern w:val="0"/>
                <w:sz w:val="22"/>
                <w:szCs w:val="22"/>
                <w:lang w:val="en-US" w:eastAsia="zh-CN"/>
              </w:rPr>
              <w:t>1人</w:t>
            </w:r>
            <w:r>
              <w:rPr>
                <w:rFonts w:hint="eastAsia" w:cs="宋体"/>
                <w:color w:val="000000"/>
                <w:kern w:val="0"/>
                <w:sz w:val="22"/>
                <w:szCs w:val="22"/>
              </w:rPr>
              <w:t>驻场</w:t>
            </w:r>
          </w:p>
        </w:tc>
      </w:tr>
    </w:tbl>
    <w:p>
      <w:pPr>
        <w:pStyle w:val="3"/>
        <w:ind w:left="480"/>
      </w:pPr>
      <w:bookmarkStart w:id="41" w:name="_Toc63785511"/>
      <w:r>
        <w:rPr>
          <w:rFonts w:hint="eastAsia"/>
        </w:rPr>
        <w:t>等级保护要求</w:t>
      </w:r>
      <w:bookmarkEnd w:id="41"/>
    </w:p>
    <w:p>
      <w:pPr>
        <w:ind w:firstLine="420" w:firstLineChars="0"/>
        <w:rPr>
          <w:rFonts w:hint="eastAsia" w:eastAsia="宋体"/>
          <w:lang w:eastAsia="zh-CN"/>
        </w:rPr>
      </w:pPr>
      <w:r>
        <w:rPr>
          <w:rFonts w:hint="eastAsia"/>
        </w:rPr>
        <w:t>本项目按照等保2.0第三级进行建设</w:t>
      </w:r>
      <w:r>
        <w:rPr>
          <w:rFonts w:hint="eastAsia"/>
          <w:lang w:eastAsia="zh-CN"/>
        </w:rPr>
        <w:t>，</w:t>
      </w:r>
      <w:r>
        <w:rPr>
          <w:rFonts w:hint="eastAsia"/>
          <w:bCs/>
        </w:rPr>
        <w:t>供应商需配合相关的测评工作，对测评中发现的安全问题进行整改</w:t>
      </w:r>
      <w:r>
        <w:rPr>
          <w:rFonts w:hint="eastAsia"/>
          <w:bCs/>
          <w:lang w:eastAsia="zh-CN"/>
        </w:rPr>
        <w:t>。</w:t>
      </w:r>
    </w:p>
    <w:p>
      <w:pPr>
        <w:pStyle w:val="3"/>
        <w:ind w:left="480"/>
      </w:pPr>
      <w:r>
        <w:rPr>
          <w:rFonts w:hint="eastAsia"/>
        </w:rPr>
        <w:t>商业密码应用需求</w:t>
      </w:r>
    </w:p>
    <w:p>
      <w:pPr>
        <w:pStyle w:val="6"/>
        <w:ind w:firstLine="480"/>
        <w:rPr>
          <w:rFonts w:hint="eastAsia"/>
          <w:bCs/>
          <w:lang w:val="en-US" w:eastAsia="zh-CN"/>
        </w:rPr>
      </w:pPr>
      <w:r>
        <w:rPr>
          <w:rFonts w:hint="eastAsia"/>
          <w:bCs/>
        </w:rPr>
        <w:t>本项目依据GB/T39786-2021《信息安全技术信息系统密码应用基本要求》</w:t>
      </w:r>
      <w:r>
        <w:rPr>
          <w:rFonts w:hint="eastAsia"/>
          <w:bCs/>
          <w:lang w:val="en-US" w:eastAsia="zh-CN"/>
        </w:rPr>
        <w:t>第</w:t>
      </w:r>
      <w:r>
        <w:rPr>
          <w:rFonts w:hint="eastAsia"/>
          <w:bCs/>
        </w:rPr>
        <w:t>三级</w:t>
      </w:r>
      <w:r>
        <w:rPr>
          <w:rFonts w:hint="eastAsia"/>
          <w:bCs/>
          <w:lang w:val="en-US" w:eastAsia="zh-CN"/>
        </w:rPr>
        <w:t>指标要求进行</w:t>
      </w:r>
      <w:r>
        <w:rPr>
          <w:rFonts w:hint="eastAsia"/>
          <w:bCs/>
        </w:rPr>
        <w:t>建设</w:t>
      </w:r>
      <w:r>
        <w:rPr>
          <w:rFonts w:hint="eastAsia"/>
          <w:bCs/>
          <w:lang w:eastAsia="zh-CN"/>
        </w:rPr>
        <w:t>，</w:t>
      </w:r>
      <w:r>
        <w:rPr>
          <w:rFonts w:hint="eastAsia"/>
          <w:bCs/>
        </w:rPr>
        <w:t>建设完成后需通过第三方密码应用测评，供应商需配合相关的测评工作，对测评中发现的安全问题进行整改，具备的密码应用功能应达到项目验收要求。</w:t>
      </w:r>
      <w:r>
        <w:rPr>
          <w:rFonts w:hint="eastAsia"/>
          <w:bCs/>
          <w:lang w:val="en-US" w:eastAsia="zh-CN"/>
        </w:rPr>
        <w:t>具体的需求如下：</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013"/>
        <w:gridCol w:w="1915"/>
        <w:gridCol w:w="3570"/>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安全层面</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指标要求</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系统密码应用需求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不适用说明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计算</w:t>
            </w:r>
            <w:r>
              <w:rPr>
                <w:rStyle w:val="20"/>
                <w:rFonts w:hint="eastAsia" w:ascii="仿宋" w:hAnsi="仿宋" w:eastAsia="仿宋" w:cs="仿宋"/>
                <w:snapToGrid w:val="0"/>
                <w:color w:val="000000"/>
                <w:sz w:val="22"/>
                <w:szCs w:val="22"/>
                <w:lang w:val="en-US" w:eastAsia="zh-CN" w:bidi="ar"/>
              </w:rPr>
              <w:t>平台安全</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物理和环境安全</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身份鉴别</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已符合密码应用要求。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电子门禁记录数据</w:t>
            </w:r>
            <w:r>
              <w:rPr>
                <w:rStyle w:val="20"/>
                <w:rFonts w:hint="eastAsia" w:ascii="仿宋" w:hAnsi="仿宋" w:eastAsia="仿宋" w:cs="仿宋"/>
                <w:snapToGrid w:val="0"/>
                <w:color w:val="000000"/>
                <w:sz w:val="22"/>
                <w:szCs w:val="22"/>
                <w:lang w:val="en-US" w:eastAsia="zh-CN" w:bidi="ar"/>
              </w:rPr>
              <w:t>完整性</w:t>
            </w:r>
          </w:p>
        </w:tc>
        <w:tc>
          <w:tcPr>
            <w:tcW w:w="2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已符合密码应用要求。</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视频监控记录数据</w:t>
            </w:r>
            <w:r>
              <w:rPr>
                <w:rStyle w:val="20"/>
                <w:rFonts w:hint="eastAsia" w:ascii="仿宋" w:hAnsi="仿宋" w:eastAsia="仿宋" w:cs="仿宋"/>
                <w:snapToGrid w:val="0"/>
                <w:color w:val="000000"/>
                <w:sz w:val="22"/>
                <w:szCs w:val="22"/>
                <w:lang w:val="en-US" w:eastAsia="zh-CN" w:bidi="ar"/>
              </w:rPr>
              <w:t>完整性</w:t>
            </w:r>
          </w:p>
        </w:tc>
        <w:tc>
          <w:tcPr>
            <w:tcW w:w="2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密码服务</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不适用。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无密码服务</w:t>
            </w:r>
            <w:r>
              <w:rPr>
                <w:rStyle w:val="20"/>
                <w:rFonts w:hint="eastAsia" w:ascii="仿宋" w:hAnsi="仿宋" w:eastAsia="仿宋" w:cs="仿宋"/>
                <w:snapToGrid w:val="0"/>
                <w:color w:val="000000"/>
                <w:sz w:val="22"/>
                <w:szCs w:val="22"/>
                <w:lang w:val="en-US" w:eastAsia="zh-CN" w:bidi="ar"/>
              </w:rPr>
              <w:t>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密码产品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采用的密码产品应达到GB/T</w:t>
            </w:r>
            <w:r>
              <w:rPr>
                <w:rStyle w:val="20"/>
                <w:rFonts w:hint="eastAsia" w:ascii="仿宋" w:hAnsi="仿宋" w:eastAsia="仿宋" w:cs="仿宋"/>
                <w:snapToGrid w:val="0"/>
                <w:color w:val="000000"/>
                <w:sz w:val="22"/>
                <w:szCs w:val="22"/>
                <w:lang w:val="en-US" w:eastAsia="zh-CN" w:bidi="ar"/>
              </w:rPr>
              <w:t>37092-2018二级及以上安全要求。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网络和通信安全</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身份鉴别</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已符合密码应用要求。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通信数据完整性</w:t>
            </w:r>
          </w:p>
        </w:tc>
        <w:tc>
          <w:tcPr>
            <w:tcW w:w="2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保护通信过程中重要业务数据的</w:t>
            </w:r>
            <w:r>
              <w:rPr>
                <w:rStyle w:val="20"/>
                <w:rFonts w:hint="eastAsia" w:ascii="仿宋" w:hAnsi="仿宋" w:eastAsia="仿宋" w:cs="仿宋"/>
                <w:snapToGrid w:val="0"/>
                <w:color w:val="000000"/>
                <w:sz w:val="22"/>
                <w:szCs w:val="22"/>
                <w:lang w:val="en-US" w:eastAsia="zh-CN" w:bidi="ar"/>
              </w:rPr>
              <w:t>完整性和机密性，防止数据被非授权篡改，防止重要数据泄露。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通信过程中重要数</w:t>
            </w:r>
            <w:r>
              <w:rPr>
                <w:rStyle w:val="20"/>
                <w:rFonts w:hint="eastAsia" w:ascii="仿宋" w:hAnsi="仿宋" w:eastAsia="仿宋" w:cs="仿宋"/>
                <w:snapToGrid w:val="0"/>
                <w:color w:val="000000"/>
                <w:sz w:val="22"/>
                <w:szCs w:val="22"/>
                <w:lang w:val="en-US" w:eastAsia="zh-CN" w:bidi="ar"/>
              </w:rPr>
              <w:t>据的机密性</w:t>
            </w:r>
          </w:p>
        </w:tc>
        <w:tc>
          <w:tcPr>
            <w:tcW w:w="2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网络边界访问控制</w:t>
            </w:r>
            <w:r>
              <w:rPr>
                <w:rStyle w:val="20"/>
                <w:rFonts w:hint="eastAsia" w:ascii="仿宋" w:hAnsi="仿宋" w:eastAsia="仿宋" w:cs="仿宋"/>
                <w:snapToGrid w:val="0"/>
                <w:color w:val="000000"/>
                <w:sz w:val="22"/>
                <w:szCs w:val="22"/>
                <w:lang w:val="en-US" w:eastAsia="zh-CN" w:bidi="ar"/>
              </w:rPr>
              <w:t>信息的完整性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保护互联网用户、检察工作网用户访问应用系统的</w:t>
            </w:r>
            <w:r>
              <w:rPr>
                <w:rStyle w:val="20"/>
                <w:rFonts w:hint="eastAsia" w:ascii="仿宋" w:hAnsi="仿宋" w:eastAsia="仿宋" w:cs="仿宋"/>
                <w:snapToGrid w:val="0"/>
                <w:color w:val="000000"/>
                <w:sz w:val="22"/>
                <w:szCs w:val="22"/>
                <w:lang w:val="en-US" w:eastAsia="zh-CN" w:bidi="ar"/>
              </w:rPr>
              <w:t>网络边界访问控制信息的完整性，防止被非授权篡改。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本项目不涉及互联网用户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安全接入认证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不适用。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无外部设备</w:t>
            </w:r>
            <w:r>
              <w:rPr>
                <w:rStyle w:val="20"/>
                <w:rFonts w:hint="eastAsia" w:ascii="仿宋" w:hAnsi="仿宋" w:eastAsia="仿宋" w:cs="仿宋"/>
                <w:snapToGrid w:val="0"/>
                <w:color w:val="000000"/>
                <w:sz w:val="22"/>
                <w:szCs w:val="22"/>
                <w:lang w:val="en-US" w:eastAsia="zh-CN" w:bidi="ar"/>
              </w:rPr>
              <w:t>接入本系统的需求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密码服务</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采用的数字证书由具有电子认证</w:t>
            </w:r>
            <w:r>
              <w:rPr>
                <w:rStyle w:val="20"/>
                <w:rFonts w:hint="eastAsia" w:ascii="仿宋" w:hAnsi="仿宋" w:eastAsia="仿宋" w:cs="仿宋"/>
                <w:snapToGrid w:val="0"/>
                <w:color w:val="000000"/>
                <w:sz w:val="22"/>
                <w:szCs w:val="22"/>
                <w:lang w:val="en-US" w:eastAsia="zh-CN" w:bidi="ar"/>
              </w:rPr>
              <w:t>服务资质的机构签发。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密码产品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采用的密码产品应达到GB/T</w:t>
            </w:r>
            <w:r>
              <w:rPr>
                <w:rStyle w:val="20"/>
                <w:rFonts w:hint="eastAsia" w:ascii="仿宋" w:hAnsi="仿宋" w:eastAsia="仿宋" w:cs="仿宋"/>
                <w:snapToGrid w:val="0"/>
                <w:color w:val="000000"/>
                <w:sz w:val="22"/>
                <w:szCs w:val="22"/>
                <w:lang w:val="en-US" w:eastAsia="zh-CN" w:bidi="ar"/>
              </w:rPr>
              <w:t>37092-2018二级及以上安全要求。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设备和计算安全</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身份鉴别</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管理员通过远程运维管理终端访</w:t>
            </w:r>
            <w:r>
              <w:rPr>
                <w:rStyle w:val="20"/>
                <w:rFonts w:hint="eastAsia" w:ascii="仿宋" w:hAnsi="仿宋" w:eastAsia="仿宋" w:cs="仿宋"/>
                <w:snapToGrid w:val="0"/>
                <w:color w:val="000000"/>
                <w:sz w:val="22"/>
                <w:szCs w:val="22"/>
                <w:lang w:val="en-US" w:eastAsia="zh-CN" w:bidi="ar"/>
              </w:rPr>
              <w:t>问堡垒机、服务器虚拟机、数据库、密码服务时，对其身份真实性进行识别和确认，防止假冒人员登录。</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远程管理通道安全</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在设备实施远程运维管理时，对设备的运维管理通道进行保护，防止</w:t>
            </w:r>
            <w:r>
              <w:rPr>
                <w:rStyle w:val="20"/>
                <w:rFonts w:hint="eastAsia" w:ascii="仿宋" w:hAnsi="仿宋" w:eastAsia="仿宋" w:cs="仿宋"/>
                <w:snapToGrid w:val="0"/>
                <w:color w:val="000000"/>
                <w:sz w:val="22"/>
                <w:szCs w:val="22"/>
                <w:lang w:val="en-US" w:eastAsia="zh-CN" w:bidi="ar"/>
              </w:rPr>
              <w:t>运维管理数据泄漏。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系统资源访问控制</w:t>
            </w:r>
            <w:r>
              <w:rPr>
                <w:rStyle w:val="20"/>
                <w:rFonts w:hint="eastAsia" w:ascii="仿宋" w:hAnsi="仿宋" w:eastAsia="仿宋" w:cs="仿宋"/>
                <w:snapToGrid w:val="0"/>
                <w:color w:val="000000"/>
                <w:sz w:val="22"/>
                <w:szCs w:val="22"/>
                <w:lang w:val="en-US" w:eastAsia="zh-CN" w:bidi="ar"/>
              </w:rPr>
              <w:t>信息完整性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保护系统中服务器虚拟机、数据</w:t>
            </w:r>
            <w:r>
              <w:rPr>
                <w:rStyle w:val="20"/>
                <w:rFonts w:hint="eastAsia" w:ascii="仿宋" w:hAnsi="仿宋" w:eastAsia="仿宋" w:cs="仿宋"/>
                <w:snapToGrid w:val="0"/>
                <w:color w:val="000000"/>
                <w:sz w:val="22"/>
                <w:szCs w:val="22"/>
                <w:lang w:val="en-US" w:eastAsia="zh-CN" w:bidi="ar"/>
              </w:rPr>
              <w:t>库、密码服务的访问控制信息的完整性，防止被非授权篡改。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重要信息资源安全</w:t>
            </w:r>
            <w:r>
              <w:rPr>
                <w:rStyle w:val="20"/>
                <w:rFonts w:hint="eastAsia" w:ascii="仿宋" w:hAnsi="仿宋" w:eastAsia="仿宋" w:cs="仿宋"/>
                <w:snapToGrid w:val="0"/>
                <w:color w:val="000000"/>
                <w:sz w:val="22"/>
                <w:szCs w:val="22"/>
                <w:lang w:val="en-US" w:eastAsia="zh-CN" w:bidi="ar"/>
              </w:rPr>
              <w:t>标记完整性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不适用。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设备没有安</w:t>
            </w:r>
            <w:r>
              <w:rPr>
                <w:rStyle w:val="20"/>
                <w:rFonts w:hint="eastAsia" w:ascii="仿宋" w:hAnsi="仿宋" w:eastAsia="仿宋" w:cs="仿宋"/>
                <w:snapToGrid w:val="0"/>
                <w:color w:val="000000"/>
                <w:sz w:val="22"/>
                <w:szCs w:val="22"/>
                <w:lang w:val="en-US" w:eastAsia="zh-CN" w:bidi="ar"/>
              </w:rPr>
              <w:t>全标记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日志记录完整性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保护系统中服务器虚拟机、数据</w:t>
            </w:r>
            <w:r>
              <w:rPr>
                <w:rStyle w:val="20"/>
                <w:rFonts w:hint="eastAsia" w:ascii="仿宋" w:hAnsi="仿宋" w:eastAsia="仿宋" w:cs="仿宋"/>
                <w:snapToGrid w:val="0"/>
                <w:color w:val="000000"/>
                <w:sz w:val="22"/>
                <w:szCs w:val="22"/>
                <w:lang w:val="en-US" w:eastAsia="zh-CN" w:bidi="ar"/>
              </w:rPr>
              <w:t>库、密码服务的日志记录的完整性，防止被非授权篡改。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重要可执行程序完整性、来源真实性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保护应用服务器等设备中部署的重要可执行程序的完整性和来源</w:t>
            </w:r>
            <w:r>
              <w:rPr>
                <w:rStyle w:val="20"/>
                <w:rFonts w:hint="eastAsia" w:ascii="仿宋" w:hAnsi="仿宋" w:eastAsia="仿宋" w:cs="仿宋"/>
                <w:snapToGrid w:val="0"/>
                <w:color w:val="000000"/>
                <w:sz w:val="22"/>
                <w:szCs w:val="22"/>
                <w:lang w:val="en-US" w:eastAsia="zh-CN" w:bidi="ar"/>
              </w:rPr>
              <w:t>真实性，防止被非授权篡改。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密码服务</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不适用。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无密码服务</w:t>
            </w:r>
            <w:r>
              <w:rPr>
                <w:rStyle w:val="20"/>
                <w:rFonts w:hint="eastAsia" w:ascii="仿宋" w:hAnsi="仿宋" w:eastAsia="仿宋" w:cs="仿宋"/>
                <w:snapToGrid w:val="0"/>
                <w:color w:val="000000"/>
                <w:sz w:val="22"/>
                <w:szCs w:val="22"/>
                <w:lang w:val="en-US" w:eastAsia="zh-CN" w:bidi="ar"/>
              </w:rPr>
              <w:t>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密码产品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采用的密码产品应达到GB/T</w:t>
            </w:r>
            <w:r>
              <w:rPr>
                <w:rStyle w:val="20"/>
                <w:rFonts w:hint="eastAsia" w:ascii="仿宋" w:hAnsi="仿宋" w:eastAsia="仿宋" w:cs="仿宋"/>
                <w:snapToGrid w:val="0"/>
                <w:color w:val="000000"/>
                <w:sz w:val="22"/>
                <w:szCs w:val="22"/>
                <w:lang w:val="en-US" w:eastAsia="zh-CN" w:bidi="ar"/>
              </w:rPr>
              <w:t>37092-2018二级及以上安全要求。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业务应用安全</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应用和数据安全</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身份鉴别</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确认应用系统用户身份的真实性，</w:t>
            </w:r>
            <w:r>
              <w:rPr>
                <w:rStyle w:val="20"/>
                <w:rFonts w:hint="eastAsia" w:ascii="仿宋" w:hAnsi="仿宋" w:eastAsia="仿宋" w:cs="仿宋"/>
                <w:snapToGrid w:val="0"/>
                <w:color w:val="000000"/>
                <w:sz w:val="22"/>
                <w:szCs w:val="22"/>
                <w:lang w:val="en-US" w:eastAsia="zh-CN" w:bidi="ar"/>
              </w:rPr>
              <w:t>防止假冒人员登录。</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访问控制信息完整</w:t>
            </w:r>
            <w:r>
              <w:rPr>
                <w:rStyle w:val="20"/>
                <w:rFonts w:hint="eastAsia" w:ascii="仿宋" w:hAnsi="仿宋" w:eastAsia="仿宋" w:cs="仿宋"/>
                <w:snapToGrid w:val="0"/>
                <w:color w:val="000000"/>
                <w:sz w:val="22"/>
                <w:szCs w:val="22"/>
                <w:lang w:val="en-US" w:eastAsia="zh-CN" w:bidi="ar"/>
              </w:rPr>
              <w:t>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对应用系统的访问权限控制列表</w:t>
            </w:r>
            <w:r>
              <w:rPr>
                <w:rStyle w:val="20"/>
                <w:rFonts w:hint="eastAsia" w:ascii="仿宋" w:hAnsi="仿宋" w:eastAsia="仿宋" w:cs="仿宋"/>
                <w:snapToGrid w:val="0"/>
                <w:color w:val="000000"/>
                <w:sz w:val="22"/>
                <w:szCs w:val="22"/>
                <w:lang w:val="en-US" w:eastAsia="zh-CN" w:bidi="ar"/>
              </w:rPr>
              <w:t>进行完整性保护，防止被非授权篡改。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重要信息资源安全</w:t>
            </w:r>
            <w:r>
              <w:rPr>
                <w:rStyle w:val="20"/>
                <w:rFonts w:hint="eastAsia" w:ascii="仿宋" w:hAnsi="仿宋" w:eastAsia="仿宋" w:cs="仿宋"/>
                <w:snapToGrid w:val="0"/>
                <w:color w:val="000000"/>
                <w:sz w:val="22"/>
                <w:szCs w:val="22"/>
                <w:lang w:val="en-US" w:eastAsia="zh-CN" w:bidi="ar"/>
              </w:rPr>
              <w:t>标记完整性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不适用。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应用没有安</w:t>
            </w:r>
            <w:r>
              <w:rPr>
                <w:rStyle w:val="20"/>
                <w:rFonts w:hint="eastAsia" w:ascii="仿宋" w:hAnsi="仿宋" w:eastAsia="仿宋" w:cs="仿宋"/>
                <w:snapToGrid w:val="0"/>
                <w:color w:val="000000"/>
                <w:sz w:val="22"/>
                <w:szCs w:val="22"/>
                <w:lang w:val="en-US" w:eastAsia="zh-CN" w:bidi="ar"/>
              </w:rPr>
              <w:t>全标记。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数据传输机密性</w:t>
            </w:r>
          </w:p>
        </w:tc>
        <w:tc>
          <w:tcPr>
            <w:tcW w:w="2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保护互联网客户端、检察工作网客户端与服务端之间传输和存储的用户登录身份鉴别</w:t>
            </w:r>
            <w:r>
              <w:rPr>
                <w:rStyle w:val="20"/>
                <w:rFonts w:hint="eastAsia" w:ascii="仿宋" w:hAnsi="仿宋" w:eastAsia="仿宋" w:cs="仿宋"/>
                <w:snapToGrid w:val="0"/>
                <w:color w:val="000000"/>
                <w:sz w:val="22"/>
                <w:szCs w:val="22"/>
                <w:lang w:val="en-US" w:eastAsia="zh-CN" w:bidi="ar"/>
              </w:rPr>
              <w:t>信息、信访事项数据等重要数据的机密性和完整性，防止数据泄露给非授权的个人、进程等。保护系统业务日志数据的完整性，防止该数据被非授权篡改。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数据存储机密性</w:t>
            </w:r>
          </w:p>
        </w:tc>
        <w:tc>
          <w:tcPr>
            <w:tcW w:w="2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数据传输完整性</w:t>
            </w:r>
          </w:p>
        </w:tc>
        <w:tc>
          <w:tcPr>
            <w:tcW w:w="2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数据存储完整性</w:t>
            </w:r>
          </w:p>
        </w:tc>
        <w:tc>
          <w:tcPr>
            <w:tcW w:w="2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不可否认性</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不适用。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应用系统没有不可否认性的相关需求。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密码服务</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采用的数字证书由具有电子认证</w:t>
            </w:r>
            <w:r>
              <w:rPr>
                <w:rStyle w:val="20"/>
                <w:rFonts w:hint="eastAsia" w:ascii="仿宋" w:hAnsi="仿宋" w:eastAsia="仿宋" w:cs="仿宋"/>
                <w:snapToGrid w:val="0"/>
                <w:color w:val="000000"/>
                <w:sz w:val="22"/>
                <w:szCs w:val="22"/>
                <w:lang w:val="en-US" w:eastAsia="zh-CN" w:bidi="ar"/>
              </w:rPr>
              <w:t>服务资质的机构签发。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i w:val="0"/>
                <w:iCs w:val="0"/>
                <w:color w:val="000000"/>
                <w:sz w:val="22"/>
                <w:szCs w:val="22"/>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密码产品</w:t>
            </w:r>
          </w:p>
        </w:tc>
        <w:tc>
          <w:tcPr>
            <w:tcW w:w="20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采用的密码产品，应达到</w:t>
            </w:r>
            <w:r>
              <w:rPr>
                <w:rStyle w:val="20"/>
                <w:rFonts w:hint="eastAsia" w:ascii="仿宋" w:hAnsi="仿宋" w:eastAsia="仿宋" w:cs="仿宋"/>
                <w:snapToGrid w:val="0"/>
                <w:color w:val="000000"/>
                <w:sz w:val="22"/>
                <w:szCs w:val="22"/>
                <w:lang w:val="en-US" w:eastAsia="zh-CN" w:bidi="ar"/>
              </w:rPr>
              <w:t>GB/T37092-2018二级及以上安全要求。</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无</w:t>
            </w:r>
          </w:p>
        </w:tc>
      </w:tr>
    </w:tbl>
    <w:p>
      <w:pPr>
        <w:pStyle w:val="3"/>
        <w:ind w:left="480"/>
      </w:pPr>
      <w:bookmarkStart w:id="42" w:name="_Toc63785512"/>
      <w:r>
        <w:rPr>
          <w:rFonts w:hint="eastAsia"/>
        </w:rPr>
        <w:t>技术文件要求</w:t>
      </w:r>
    </w:p>
    <w:bookmarkEnd w:id="42"/>
    <w:p>
      <w:pPr>
        <w:pStyle w:val="16"/>
        <w:ind w:firstLine="480"/>
      </w:pPr>
      <w:r>
        <w:rPr>
          <w:rFonts w:hint="eastAsia"/>
          <w:sz w:val="24"/>
          <w:szCs w:val="20"/>
        </w:rPr>
        <w:t>项目验收以用户书面确认的细化需求为依据，完成所有建设要求并通过一个月试运行，期间产生的所有问题都已解决且用户满意。须提交与本项目开发相关的所有文档，包括最终版本需求规格说明书、源代码、数据字典、概要设计文档、详细设计文档、数据库设计文档、安装部署文档、用户手册、维护手册、测试报告等。</w:t>
      </w:r>
    </w:p>
    <w:p>
      <w:pPr>
        <w:pStyle w:val="3"/>
        <w:ind w:left="480"/>
      </w:pPr>
      <w:r>
        <w:rPr>
          <w:rFonts w:hint="eastAsia"/>
        </w:rPr>
        <w:t>验收要求</w:t>
      </w:r>
    </w:p>
    <w:p>
      <w:pPr>
        <w:pStyle w:val="17"/>
        <w:numPr>
          <w:ilvl w:val="0"/>
          <w:numId w:val="13"/>
        </w:numPr>
        <w:ind w:left="0" w:firstLine="480"/>
        <w:rPr>
          <w:rFonts w:eastAsia="宋体"/>
          <w:sz w:val="24"/>
          <w:szCs w:val="22"/>
        </w:rPr>
      </w:pPr>
      <w:r>
        <w:rPr>
          <w:rFonts w:hint="eastAsia" w:eastAsia="宋体"/>
          <w:sz w:val="24"/>
          <w:szCs w:val="22"/>
        </w:rPr>
        <w:t>完成应用系统开发部署；</w:t>
      </w:r>
    </w:p>
    <w:p>
      <w:pPr>
        <w:pStyle w:val="17"/>
        <w:numPr>
          <w:ilvl w:val="0"/>
          <w:numId w:val="13"/>
        </w:numPr>
        <w:ind w:left="0" w:firstLine="480"/>
        <w:rPr>
          <w:rFonts w:eastAsia="宋体"/>
          <w:sz w:val="24"/>
          <w:szCs w:val="22"/>
        </w:rPr>
      </w:pPr>
      <w:r>
        <w:rPr>
          <w:rFonts w:hint="eastAsia" w:eastAsia="宋体"/>
          <w:sz w:val="24"/>
          <w:szCs w:val="22"/>
        </w:rPr>
        <w:t>试运行时出现的问题已解决；</w:t>
      </w:r>
    </w:p>
    <w:p>
      <w:pPr>
        <w:pStyle w:val="17"/>
        <w:numPr>
          <w:ilvl w:val="0"/>
          <w:numId w:val="13"/>
        </w:numPr>
        <w:ind w:left="0" w:firstLine="480"/>
        <w:rPr>
          <w:rFonts w:eastAsia="宋体"/>
          <w:sz w:val="24"/>
          <w:szCs w:val="22"/>
        </w:rPr>
      </w:pPr>
      <w:r>
        <w:rPr>
          <w:rFonts w:hint="eastAsia" w:eastAsia="宋体"/>
          <w:sz w:val="24"/>
          <w:szCs w:val="22"/>
        </w:rPr>
        <w:t>通过第三方软件测试、安全测评、密码应用测评；</w:t>
      </w:r>
    </w:p>
    <w:p>
      <w:pPr>
        <w:pStyle w:val="17"/>
        <w:numPr>
          <w:ilvl w:val="0"/>
          <w:numId w:val="13"/>
        </w:numPr>
        <w:ind w:left="0" w:firstLine="480"/>
        <w:rPr>
          <w:rFonts w:eastAsia="宋体"/>
          <w:sz w:val="24"/>
          <w:szCs w:val="22"/>
        </w:rPr>
      </w:pPr>
      <w:r>
        <w:rPr>
          <w:rFonts w:hint="eastAsia" w:eastAsia="宋体"/>
          <w:sz w:val="24"/>
          <w:szCs w:val="22"/>
        </w:rPr>
        <w:t>系统稳定运行后，由用户方组织项目验收；</w:t>
      </w:r>
    </w:p>
    <w:p>
      <w:pPr>
        <w:pStyle w:val="17"/>
        <w:numPr>
          <w:ilvl w:val="0"/>
          <w:numId w:val="13"/>
        </w:numPr>
        <w:ind w:left="0" w:firstLine="480"/>
        <w:rPr>
          <w:rFonts w:eastAsia="宋体"/>
          <w:sz w:val="24"/>
          <w:szCs w:val="22"/>
        </w:rPr>
      </w:pPr>
      <w:r>
        <w:rPr>
          <w:rFonts w:hint="eastAsia" w:eastAsia="宋体"/>
          <w:sz w:val="24"/>
          <w:szCs w:val="22"/>
        </w:rPr>
        <w:t>供应商需提供详细的相关技术文档、使用说明书、维护手册等文档资料。</w:t>
      </w:r>
    </w:p>
    <w:p>
      <w:pPr>
        <w:pStyle w:val="3"/>
        <w:ind w:left="480"/>
      </w:pPr>
      <w:r>
        <w:rPr>
          <w:rFonts w:hint="eastAsia"/>
        </w:rPr>
        <w:t>其它要求</w:t>
      </w:r>
    </w:p>
    <w:p>
      <w:pPr>
        <w:pStyle w:val="17"/>
        <w:numPr>
          <w:ilvl w:val="0"/>
          <w:numId w:val="13"/>
        </w:numPr>
        <w:ind w:left="0" w:firstLine="480"/>
        <w:rPr>
          <w:rFonts w:eastAsia="宋体"/>
          <w:sz w:val="24"/>
          <w:szCs w:val="22"/>
        </w:rPr>
      </w:pPr>
      <w:r>
        <w:rPr>
          <w:rFonts w:hint="eastAsia" w:eastAsia="宋体"/>
          <w:sz w:val="24"/>
          <w:szCs w:val="22"/>
        </w:rPr>
        <w:t>供应商需根据上海市人民检察院设计规划要求进行功能调整等工作</w:t>
      </w:r>
      <w:r>
        <w:rPr>
          <w:rFonts w:hint="eastAsia" w:eastAsia="宋体"/>
          <w:sz w:val="24"/>
          <w:szCs w:val="22"/>
          <w:lang w:eastAsia="zh-CN"/>
        </w:rPr>
        <w:t>；</w:t>
      </w:r>
    </w:p>
    <w:p>
      <w:pPr>
        <w:pStyle w:val="17"/>
        <w:numPr>
          <w:ilvl w:val="0"/>
          <w:numId w:val="13"/>
        </w:numPr>
        <w:ind w:left="0" w:firstLine="480"/>
      </w:pPr>
      <w:r>
        <w:rPr>
          <w:rFonts w:hint="eastAsia" w:eastAsia="宋体"/>
          <w:sz w:val="24"/>
          <w:szCs w:val="22"/>
        </w:rPr>
        <w:t>系统建设过程中需要配合监理方监督检查。</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Borders>
        <w:top w:val="none" w:sz="0" w:space="0"/>
        <w:left w:val="none" w:sz="0" w:space="0"/>
        <w:bottom w:val="none" w:sz="0" w:space="0"/>
        <w:right w:val="none" w:sz="0" w:space="0"/>
      </w:pgBorders>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KaiTi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AA2B0797"/>
    <w:multiLevelType w:val="multilevel"/>
    <w:tmpl w:val="AA2B0797"/>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C5714F9C"/>
    <w:multiLevelType w:val="singleLevel"/>
    <w:tmpl w:val="C5714F9C"/>
    <w:lvl w:ilvl="0" w:tentative="0">
      <w:start w:val="1"/>
      <w:numFmt w:val="decimal"/>
      <w:suff w:val="nothing"/>
      <w:lvlText w:val="%1、"/>
      <w:lvlJc w:val="left"/>
    </w:lvl>
  </w:abstractNum>
  <w:abstractNum w:abstractNumId="3">
    <w:nsid w:val="DF7835A1"/>
    <w:multiLevelType w:val="singleLevel"/>
    <w:tmpl w:val="DF7835A1"/>
    <w:lvl w:ilvl="0" w:tentative="0">
      <w:start w:val="1"/>
      <w:numFmt w:val="bullet"/>
      <w:lvlText w:val=""/>
      <w:lvlJc w:val="left"/>
      <w:pPr>
        <w:ind w:left="420" w:hanging="420"/>
      </w:pPr>
      <w:rPr>
        <w:rFonts w:hint="default" w:ascii="Wingdings" w:hAnsi="Wingdings"/>
      </w:rPr>
    </w:lvl>
  </w:abstractNum>
  <w:abstractNum w:abstractNumId="4">
    <w:nsid w:val="E025E159"/>
    <w:multiLevelType w:val="singleLevel"/>
    <w:tmpl w:val="E025E159"/>
    <w:lvl w:ilvl="0" w:tentative="0">
      <w:start w:val="1"/>
      <w:numFmt w:val="decimal"/>
      <w:suff w:val="nothing"/>
      <w:lvlText w:val="%1、"/>
      <w:lvlJc w:val="left"/>
    </w:lvl>
  </w:abstractNum>
  <w:abstractNum w:abstractNumId="5">
    <w:nsid w:val="FC2F375C"/>
    <w:multiLevelType w:val="singleLevel"/>
    <w:tmpl w:val="FC2F375C"/>
    <w:lvl w:ilvl="0" w:tentative="0">
      <w:start w:val="1"/>
      <w:numFmt w:val="decimal"/>
      <w:suff w:val="nothing"/>
      <w:lvlText w:val="%1）"/>
      <w:lvlJc w:val="left"/>
    </w:lvl>
  </w:abstractNum>
  <w:abstractNum w:abstractNumId="6">
    <w:nsid w:val="FDEBD78F"/>
    <w:multiLevelType w:val="multilevel"/>
    <w:tmpl w:val="FDEBD78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FFFA96EA"/>
    <w:multiLevelType w:val="multilevel"/>
    <w:tmpl w:val="FFFA96EA"/>
    <w:lvl w:ilvl="0" w:tentative="0">
      <w:start w:val="1"/>
      <w:numFmt w:val="decimal"/>
      <w:lvlText w:val="%1)"/>
      <w:lvlJc w:val="left"/>
      <w:pPr>
        <w:ind w:left="920" w:hanging="440"/>
      </w:pPr>
      <w:rPr>
        <w:rFonts w:hint="default"/>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0AE448ED"/>
    <w:multiLevelType w:val="singleLevel"/>
    <w:tmpl w:val="0AE448ED"/>
    <w:lvl w:ilvl="0" w:tentative="0">
      <w:start w:val="1"/>
      <w:numFmt w:val="bullet"/>
      <w:lvlText w:val=""/>
      <w:lvlJc w:val="left"/>
      <w:pPr>
        <w:ind w:left="420" w:hanging="420"/>
      </w:pPr>
      <w:rPr>
        <w:rFonts w:hint="default" w:ascii="Wingdings" w:hAnsi="Wingdings"/>
      </w:rPr>
    </w:lvl>
  </w:abstractNum>
  <w:abstractNum w:abstractNumId="9">
    <w:nsid w:val="0E4A502D"/>
    <w:multiLevelType w:val="multilevel"/>
    <w:tmpl w:val="0E4A502D"/>
    <w:lvl w:ilvl="0" w:tentative="0">
      <w:start w:val="1"/>
      <w:numFmt w:val="bullet"/>
      <w:lvlText w:val=""/>
      <w:lvlJc w:val="left"/>
      <w:pPr>
        <w:ind w:left="482" w:hanging="440"/>
      </w:pPr>
      <w:rPr>
        <w:rFonts w:hint="default" w:ascii="Wingdings" w:hAnsi="Wingdings"/>
      </w:rPr>
    </w:lvl>
    <w:lvl w:ilvl="1" w:tentative="0">
      <w:start w:val="1"/>
      <w:numFmt w:val="bullet"/>
      <w:lvlText w:val=""/>
      <w:lvlJc w:val="left"/>
      <w:pPr>
        <w:ind w:left="922" w:hanging="440"/>
      </w:pPr>
      <w:rPr>
        <w:rFonts w:hint="default" w:ascii="Wingdings" w:hAnsi="Wingdings"/>
      </w:rPr>
    </w:lvl>
    <w:lvl w:ilvl="2" w:tentative="0">
      <w:start w:val="1"/>
      <w:numFmt w:val="bullet"/>
      <w:lvlText w:val=""/>
      <w:lvlJc w:val="left"/>
      <w:pPr>
        <w:ind w:left="1362" w:hanging="440"/>
      </w:pPr>
      <w:rPr>
        <w:rFonts w:hint="default" w:ascii="Wingdings" w:hAnsi="Wingdings"/>
      </w:rPr>
    </w:lvl>
    <w:lvl w:ilvl="3" w:tentative="0">
      <w:start w:val="1"/>
      <w:numFmt w:val="bullet"/>
      <w:lvlText w:val=""/>
      <w:lvlJc w:val="left"/>
      <w:pPr>
        <w:ind w:left="1802" w:hanging="440"/>
      </w:pPr>
      <w:rPr>
        <w:rFonts w:hint="default" w:ascii="Wingdings" w:hAnsi="Wingdings"/>
      </w:rPr>
    </w:lvl>
    <w:lvl w:ilvl="4" w:tentative="0">
      <w:start w:val="1"/>
      <w:numFmt w:val="bullet"/>
      <w:lvlText w:val=""/>
      <w:lvlJc w:val="left"/>
      <w:pPr>
        <w:ind w:left="2242" w:hanging="440"/>
      </w:pPr>
      <w:rPr>
        <w:rFonts w:hint="default" w:ascii="Wingdings" w:hAnsi="Wingdings"/>
      </w:rPr>
    </w:lvl>
    <w:lvl w:ilvl="5" w:tentative="0">
      <w:start w:val="1"/>
      <w:numFmt w:val="bullet"/>
      <w:lvlText w:val=""/>
      <w:lvlJc w:val="left"/>
      <w:pPr>
        <w:ind w:left="2682" w:hanging="440"/>
      </w:pPr>
      <w:rPr>
        <w:rFonts w:hint="default" w:ascii="Wingdings" w:hAnsi="Wingdings"/>
      </w:rPr>
    </w:lvl>
    <w:lvl w:ilvl="6" w:tentative="0">
      <w:start w:val="1"/>
      <w:numFmt w:val="bullet"/>
      <w:lvlText w:val=""/>
      <w:lvlJc w:val="left"/>
      <w:pPr>
        <w:ind w:left="3122" w:hanging="440"/>
      </w:pPr>
      <w:rPr>
        <w:rFonts w:hint="default" w:ascii="Wingdings" w:hAnsi="Wingdings"/>
      </w:rPr>
    </w:lvl>
    <w:lvl w:ilvl="7" w:tentative="0">
      <w:start w:val="1"/>
      <w:numFmt w:val="bullet"/>
      <w:lvlText w:val=""/>
      <w:lvlJc w:val="left"/>
      <w:pPr>
        <w:ind w:left="3562" w:hanging="440"/>
      </w:pPr>
      <w:rPr>
        <w:rFonts w:hint="default" w:ascii="Wingdings" w:hAnsi="Wingdings"/>
      </w:rPr>
    </w:lvl>
    <w:lvl w:ilvl="8" w:tentative="0">
      <w:start w:val="1"/>
      <w:numFmt w:val="bullet"/>
      <w:lvlText w:val=""/>
      <w:lvlJc w:val="left"/>
      <w:pPr>
        <w:ind w:left="4002" w:hanging="440"/>
      </w:pPr>
      <w:rPr>
        <w:rFonts w:hint="default" w:ascii="Wingdings" w:hAnsi="Wingdings"/>
      </w:rPr>
    </w:lvl>
  </w:abstractNum>
  <w:abstractNum w:abstractNumId="10">
    <w:nsid w:val="66EC3AB1"/>
    <w:multiLevelType w:val="multilevel"/>
    <w:tmpl w:val="66EC3AB1"/>
    <w:lvl w:ilvl="0" w:tentative="0">
      <w:start w:val="1"/>
      <w:numFmt w:val="decimal"/>
      <w:lvlText w:val="%1)"/>
      <w:lvlJc w:val="left"/>
      <w:pPr>
        <w:tabs>
          <w:tab w:val="left" w:pos="-420"/>
        </w:tabs>
        <w:ind w:left="502" w:hanging="440"/>
      </w:pPr>
      <w:rPr>
        <w:rFonts w:hint="eastAsia"/>
      </w:rPr>
    </w:lvl>
    <w:lvl w:ilvl="1" w:tentative="0">
      <w:start w:val="1"/>
      <w:numFmt w:val="lowerLetter"/>
      <w:lvlText w:val="%2)"/>
      <w:lvlJc w:val="left"/>
      <w:pPr>
        <w:tabs>
          <w:tab w:val="left" w:pos="-420"/>
        </w:tabs>
        <w:ind w:left="460" w:hanging="440"/>
      </w:pPr>
    </w:lvl>
    <w:lvl w:ilvl="2" w:tentative="0">
      <w:start w:val="1"/>
      <w:numFmt w:val="lowerRoman"/>
      <w:lvlText w:val="%3."/>
      <w:lvlJc w:val="right"/>
      <w:pPr>
        <w:tabs>
          <w:tab w:val="left" w:pos="-420"/>
        </w:tabs>
        <w:ind w:left="900" w:hanging="440"/>
      </w:pPr>
    </w:lvl>
    <w:lvl w:ilvl="3" w:tentative="0">
      <w:start w:val="1"/>
      <w:numFmt w:val="decimal"/>
      <w:lvlText w:val="%4."/>
      <w:lvlJc w:val="left"/>
      <w:pPr>
        <w:tabs>
          <w:tab w:val="left" w:pos="-420"/>
        </w:tabs>
        <w:ind w:left="1340" w:hanging="440"/>
      </w:pPr>
    </w:lvl>
    <w:lvl w:ilvl="4" w:tentative="0">
      <w:start w:val="1"/>
      <w:numFmt w:val="lowerLetter"/>
      <w:lvlText w:val="%5)"/>
      <w:lvlJc w:val="left"/>
      <w:pPr>
        <w:tabs>
          <w:tab w:val="left" w:pos="-420"/>
        </w:tabs>
        <w:ind w:left="1780" w:hanging="440"/>
      </w:pPr>
    </w:lvl>
    <w:lvl w:ilvl="5" w:tentative="0">
      <w:start w:val="1"/>
      <w:numFmt w:val="lowerRoman"/>
      <w:lvlText w:val="%6."/>
      <w:lvlJc w:val="right"/>
      <w:pPr>
        <w:tabs>
          <w:tab w:val="left" w:pos="-420"/>
        </w:tabs>
        <w:ind w:left="2220" w:hanging="440"/>
      </w:pPr>
    </w:lvl>
    <w:lvl w:ilvl="6" w:tentative="0">
      <w:start w:val="1"/>
      <w:numFmt w:val="decimal"/>
      <w:lvlText w:val="%7."/>
      <w:lvlJc w:val="left"/>
      <w:pPr>
        <w:tabs>
          <w:tab w:val="left" w:pos="-420"/>
        </w:tabs>
        <w:ind w:left="2660" w:hanging="440"/>
      </w:pPr>
    </w:lvl>
    <w:lvl w:ilvl="7" w:tentative="0">
      <w:start w:val="1"/>
      <w:numFmt w:val="lowerLetter"/>
      <w:lvlText w:val="%8)"/>
      <w:lvlJc w:val="left"/>
      <w:pPr>
        <w:tabs>
          <w:tab w:val="left" w:pos="-420"/>
        </w:tabs>
        <w:ind w:left="3100" w:hanging="440"/>
      </w:pPr>
    </w:lvl>
    <w:lvl w:ilvl="8" w:tentative="0">
      <w:start w:val="1"/>
      <w:numFmt w:val="lowerRoman"/>
      <w:lvlText w:val="%9."/>
      <w:lvlJc w:val="right"/>
      <w:pPr>
        <w:tabs>
          <w:tab w:val="left" w:pos="-420"/>
        </w:tabs>
        <w:ind w:left="3540" w:hanging="440"/>
      </w:pPr>
    </w:lvl>
  </w:abstractNum>
  <w:abstractNum w:abstractNumId="1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2">
    <w:nsid w:val="7362488C"/>
    <w:multiLevelType w:val="multilevel"/>
    <w:tmpl w:val="7362488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7B8F2878"/>
    <w:multiLevelType w:val="singleLevel"/>
    <w:tmpl w:val="7B8F2878"/>
    <w:lvl w:ilvl="0" w:tentative="0">
      <w:start w:val="1"/>
      <w:numFmt w:val="bullet"/>
      <w:lvlText w:val=""/>
      <w:lvlJc w:val="left"/>
      <w:pPr>
        <w:ind w:left="420" w:hanging="420"/>
      </w:pPr>
      <w:rPr>
        <w:rFonts w:hint="default" w:ascii="Wingdings" w:hAnsi="Wingdings"/>
      </w:rPr>
    </w:lvl>
  </w:abstractNum>
  <w:num w:numId="1">
    <w:abstractNumId w:val="11"/>
  </w:num>
  <w:num w:numId="2">
    <w:abstractNumId w:val="1"/>
  </w:num>
  <w:num w:numId="3">
    <w:abstractNumId w:val="4"/>
  </w:num>
  <w:num w:numId="4">
    <w:abstractNumId w:val="13"/>
  </w:num>
  <w:num w:numId="5">
    <w:abstractNumId w:val="6"/>
  </w:num>
  <w:num w:numId="6">
    <w:abstractNumId w:val="8"/>
  </w:num>
  <w:num w:numId="7">
    <w:abstractNumId w:val="2"/>
  </w:num>
  <w:num w:numId="8">
    <w:abstractNumId w:val="7"/>
  </w:num>
  <w:num w:numId="9">
    <w:abstractNumId w:val="12"/>
  </w:num>
  <w:num w:numId="10">
    <w:abstractNumId w:val="9"/>
  </w:num>
  <w:num w:numId="11">
    <w:abstractNumId w:val="0"/>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6A3A50"/>
    <w:rsid w:val="00105437"/>
    <w:rsid w:val="0012015F"/>
    <w:rsid w:val="0016420E"/>
    <w:rsid w:val="001B4EB0"/>
    <w:rsid w:val="001D69BB"/>
    <w:rsid w:val="00276806"/>
    <w:rsid w:val="00461B1A"/>
    <w:rsid w:val="0049686B"/>
    <w:rsid w:val="0050059D"/>
    <w:rsid w:val="00580A07"/>
    <w:rsid w:val="00623B2E"/>
    <w:rsid w:val="006734FD"/>
    <w:rsid w:val="00682426"/>
    <w:rsid w:val="006A3A50"/>
    <w:rsid w:val="007841A8"/>
    <w:rsid w:val="0086708A"/>
    <w:rsid w:val="008C3462"/>
    <w:rsid w:val="0097257D"/>
    <w:rsid w:val="00A82CA6"/>
    <w:rsid w:val="00B06508"/>
    <w:rsid w:val="00B92525"/>
    <w:rsid w:val="00BD1D99"/>
    <w:rsid w:val="00BE1D7E"/>
    <w:rsid w:val="00C27049"/>
    <w:rsid w:val="00C72E2D"/>
    <w:rsid w:val="00D44A1C"/>
    <w:rsid w:val="00F67A98"/>
    <w:rsid w:val="00FF734C"/>
    <w:rsid w:val="04F7145B"/>
    <w:rsid w:val="077C5CCD"/>
    <w:rsid w:val="0AD75806"/>
    <w:rsid w:val="12615C1C"/>
    <w:rsid w:val="17FE6F3B"/>
    <w:rsid w:val="182E448E"/>
    <w:rsid w:val="1A5168E3"/>
    <w:rsid w:val="1CF3274B"/>
    <w:rsid w:val="1F7A2004"/>
    <w:rsid w:val="206E4BD9"/>
    <w:rsid w:val="210014BF"/>
    <w:rsid w:val="223E701A"/>
    <w:rsid w:val="3EE6514D"/>
    <w:rsid w:val="438C3071"/>
    <w:rsid w:val="492267EA"/>
    <w:rsid w:val="4AEF483C"/>
    <w:rsid w:val="531E7094"/>
    <w:rsid w:val="577EF9D5"/>
    <w:rsid w:val="579A19DD"/>
    <w:rsid w:val="5F7F0C37"/>
    <w:rsid w:val="63037662"/>
    <w:rsid w:val="63754E3A"/>
    <w:rsid w:val="645D785C"/>
    <w:rsid w:val="64FC8089"/>
    <w:rsid w:val="6EFFAB6B"/>
    <w:rsid w:val="73825A34"/>
    <w:rsid w:val="73FF2685"/>
    <w:rsid w:val="76BC2891"/>
    <w:rsid w:val="76FFF7FA"/>
    <w:rsid w:val="779C9624"/>
    <w:rsid w:val="77E771D0"/>
    <w:rsid w:val="797F9B33"/>
    <w:rsid w:val="7DBF8F19"/>
    <w:rsid w:val="7EDF1366"/>
    <w:rsid w:val="7FB56C11"/>
    <w:rsid w:val="7FDF4D0B"/>
    <w:rsid w:val="9F761DCF"/>
    <w:rsid w:val="BBFDC71C"/>
    <w:rsid w:val="BEFE4EB4"/>
    <w:rsid w:val="DE6F0614"/>
    <w:rsid w:val="DF7D647F"/>
    <w:rsid w:val="DFB3B4FE"/>
    <w:rsid w:val="FFFB9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unhideWhenUsed/>
    <w:qFormat/>
    <w:uiPriority w:val="0"/>
    <w:pPr>
      <w:outlineLvl w:val="2"/>
    </w:pPr>
    <w:rPr>
      <w:rFonts w:ascii="Tahoma" w:hAnsi="Tahoma"/>
      <w:szCs w:val="20"/>
    </w:rPr>
  </w:style>
  <w:style w:type="paragraph" w:styleId="5">
    <w:name w:val="heading 4"/>
    <w:basedOn w:val="1"/>
    <w:next w:val="1"/>
    <w:unhideWhenUsed/>
    <w:qFormat/>
    <w:uiPriority w:val="0"/>
    <w:pPr>
      <w:keepNext/>
      <w:keepLines/>
      <w:numPr>
        <w:ilvl w:val="3"/>
        <w:numId w:val="2"/>
      </w:numPr>
      <w:spacing w:before="240" w:after="240" w:line="360" w:lineRule="auto"/>
      <w:ind w:left="864" w:hanging="864"/>
      <w:outlineLvl w:val="3"/>
    </w:pPr>
    <w:rPr>
      <w:rFonts w:ascii="黑体" w:hAnsi="黑体" w:eastAsia="黑体" w:cstheme="majorBidi"/>
      <w:bCs/>
      <w:sz w:val="30"/>
      <w:szCs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Document Map"/>
    <w:basedOn w:val="1"/>
    <w:link w:val="18"/>
    <w:qFormat/>
    <w:uiPriority w:val="0"/>
    <w:rPr>
      <w:rFonts w:ascii="微软雅黑" w:eastAsia="微软雅黑"/>
      <w:sz w:val="18"/>
      <w:szCs w:val="18"/>
    </w:rPr>
  </w:style>
  <w:style w:type="paragraph" w:styleId="8">
    <w:name w:val="Body Text Indent"/>
    <w:basedOn w:val="1"/>
    <w:unhideWhenUsed/>
    <w:qFormat/>
    <w:uiPriority w:val="0"/>
    <w:pPr>
      <w:spacing w:after="120"/>
      <w:ind w:left="420" w:leftChars="200" w:firstLine="200"/>
    </w:pPr>
    <w:rPr>
      <w:szCs w:val="21"/>
    </w:rPr>
  </w:style>
  <w:style w:type="paragraph" w:styleId="9">
    <w:name w:val="footer"/>
    <w:basedOn w:val="1"/>
    <w:qFormat/>
    <w:uiPriority w:val="99"/>
    <w:pPr>
      <w:tabs>
        <w:tab w:val="center" w:pos="4320"/>
        <w:tab w:val="right" w:pos="8640"/>
      </w:tabs>
      <w:adjustRightInd w:val="0"/>
      <w:spacing w:line="240" w:lineRule="atLeast"/>
      <w:jc w:val="left"/>
    </w:pPr>
    <w:rPr>
      <w:kern w:val="0"/>
      <w:sz w:val="18"/>
      <w:szCs w:val="20"/>
    </w:rPr>
  </w:style>
  <w:style w:type="paragraph" w:styleId="10">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8"/>
    <w:next w:val="1"/>
    <w:unhideWhenUsed/>
    <w:qFormat/>
    <w:uiPriority w:val="0"/>
    <w:pPr>
      <w:ind w:firstLine="420"/>
    </w:pPr>
    <w:rPr>
      <w:rFonts w:ascii="Times New Roman" w:hAnsi="Times New Roman"/>
      <w:kern w:val="0"/>
      <w:szCs w:val="24"/>
      <w:lang w:val="en-GB" w:eastAsia="en-US"/>
    </w:rPr>
  </w:style>
  <w:style w:type="paragraph" w:customStyle="1" w:styleId="15">
    <w:name w:val="正文缩进1"/>
    <w:basedOn w:val="1"/>
    <w:qFormat/>
    <w:uiPriority w:val="0"/>
    <w:pPr>
      <w:spacing w:line="240" w:lineRule="auto"/>
      <w:ind w:firstLine="420"/>
    </w:pPr>
    <w:rPr>
      <w:rFonts w:ascii="Times New Roman" w:hAnsi="Times New Roman"/>
      <w:sz w:val="21"/>
      <w:szCs w:val="20"/>
    </w:rPr>
  </w:style>
  <w:style w:type="paragraph" w:customStyle="1" w:styleId="16">
    <w:name w:val="正文正文2"/>
    <w:basedOn w:val="1"/>
    <w:qFormat/>
    <w:uiPriority w:val="0"/>
    <w:pPr>
      <w:ind w:firstLine="460"/>
    </w:pPr>
    <w:rPr>
      <w:sz w:val="21"/>
      <w:szCs w:val="21"/>
    </w:rPr>
  </w:style>
  <w:style w:type="paragraph" w:styleId="17">
    <w:name w:val="List Paragraph"/>
    <w:basedOn w:val="1"/>
    <w:qFormat/>
    <w:uiPriority w:val="0"/>
    <w:pPr>
      <w:ind w:firstLine="420"/>
    </w:pPr>
    <w:rPr>
      <w:rFonts w:eastAsia="KaiTi_GB2312"/>
      <w:sz w:val="26"/>
      <w:szCs w:val="20"/>
    </w:rPr>
  </w:style>
  <w:style w:type="character" w:customStyle="1" w:styleId="18">
    <w:name w:val="文档结构图 Char"/>
    <w:basedOn w:val="14"/>
    <w:link w:val="7"/>
    <w:qFormat/>
    <w:uiPriority w:val="0"/>
    <w:rPr>
      <w:rFonts w:ascii="微软雅黑" w:hAnsi="宋体" w:eastAsia="微软雅黑"/>
      <w:kern w:val="2"/>
      <w:sz w:val="18"/>
      <w:szCs w:val="18"/>
    </w:rPr>
  </w:style>
  <w:style w:type="character" w:customStyle="1" w:styleId="19">
    <w:name w:val="font31"/>
    <w:basedOn w:val="14"/>
    <w:qFormat/>
    <w:uiPriority w:val="0"/>
    <w:rPr>
      <w:rFonts w:ascii="Arial" w:hAnsi="Arial" w:cs="Arial"/>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2"/>
      <w:szCs w:val="22"/>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rPr>
  </w:style>
  <w:style w:type="character" w:customStyle="1" w:styleId="23">
    <w:name w:val="font61"/>
    <w:basedOn w:val="14"/>
    <w:qFormat/>
    <w:uiPriority w:val="0"/>
    <w:rPr>
      <w:rFonts w:hint="default" w:ascii="Times New Roman" w:hAnsi="Times New Roman" w:cs="Times New Roman"/>
      <w:color w:val="000000"/>
      <w:sz w:val="22"/>
      <w:szCs w:val="22"/>
      <w:u w:val="none"/>
    </w:rPr>
  </w:style>
  <w:style w:type="character" w:customStyle="1" w:styleId="24">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39</Pages>
  <Words>26224</Words>
  <Characters>26936</Characters>
  <Lines>286</Lines>
  <Paragraphs>80</Paragraphs>
  <TotalTime>75</TotalTime>
  <ScaleCrop>false</ScaleCrop>
  <LinksUpToDate>false</LinksUpToDate>
  <CharactersWithSpaces>26952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2024-05-15T15:04:00Z</dcterms:created>
  <dc:creator>user</dc:creator>
  <cp:lastModifiedBy>朱  晨</cp:lastModifiedBy>
  <dcterms:modified xsi:type="dcterms:W3CDTF">2026-04-28T14:58:43Z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6A912C5C35D24BB58D4B736A9A322195_13</vt:lpwstr>
  </property>
  <property fmtid="{D5CDD505-2E9C-101B-9397-08002B2CF9AE}" pid="4" name="KSOTemplateDocerSaveRecord">
    <vt:lpwstr>eyJoZGlkIjoiOWYzNWUyYmJiMGNiNGIzNDJlNzAzOTBkMWE5NDhmMTYiLCJ1c2VySWQiOiIzMzE1MjkzOTcifQ==</vt:lpwstr>
  </property>
</Properties>
</file>