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8DAF3">
      <w:pPr>
        <w:spacing w:before="240" w:beforeLines="100" w:after="240" w:afterLines="100"/>
        <w:ind w:firstLine="0" w:firstLineChars="0"/>
        <w:jc w:val="center"/>
        <w:rPr>
          <w:sz w:val="32"/>
          <w:szCs w:val="32"/>
        </w:rPr>
      </w:pPr>
      <w:bookmarkStart w:id="0" w:name="_Hlk219814130"/>
      <w:r>
        <w:rPr>
          <w:rFonts w:hint="eastAsia"/>
          <w:sz w:val="32"/>
          <w:szCs w:val="32"/>
        </w:rPr>
        <w:t>上海理工大学军工路1100号校区学生宿舍家具</w:t>
      </w:r>
      <w:bookmarkEnd w:id="0"/>
      <w:r>
        <w:rPr>
          <w:rFonts w:hint="eastAsia"/>
          <w:sz w:val="32"/>
          <w:szCs w:val="32"/>
        </w:rPr>
        <w:t>采购需求</w:t>
      </w:r>
    </w:p>
    <w:p w14:paraId="49B45CA4">
      <w:r>
        <w:rPr>
          <w:rFonts w:hint="eastAsia"/>
        </w:rPr>
        <w:t>一、项目背景</w:t>
      </w:r>
    </w:p>
    <w:p w14:paraId="371BE9E3">
      <w:pPr>
        <w:pStyle w:val="2"/>
      </w:pPr>
      <w:r>
        <w:rPr>
          <w:rFonts w:hint="eastAsia"/>
        </w:rPr>
        <w:t>随着国家教育事业的持续发展及我校招生规模的不断扩大，学校面临宿舍资源紧张、现有住宿条件亟待改善的挑战。新建宿舍楼既是解决学生住宿压力的关键举措，也是提升学校整体硬件设施水平、优化育人环境的重要环节。本项目基于学校中长期发展规划及教育部门对高校基础设施建设的指导要求，启动三幢新宿舍楼的建设，以应对学生数量增长与住宿资源不足之间的矛盾，同时为学生创造更安全、舒适、功能齐全的居住环境。</w:t>
      </w:r>
    </w:p>
    <w:p w14:paraId="650F1BC4">
      <w:pPr>
        <w:pStyle w:val="2"/>
      </w:pPr>
      <w:r>
        <w:rPr>
          <w:rFonts w:hint="eastAsia"/>
        </w:rPr>
        <w:t>目前，军工路</w:t>
      </w:r>
      <w:r>
        <w:t>1100号</w:t>
      </w:r>
      <w:r>
        <w:rPr>
          <w:rFonts w:hint="eastAsia"/>
        </w:rPr>
        <w:t>校区三幢学生宿舍楼的基建工程已接近竣工，下一步的核心工作是完成宿舍内部家具的配置与安装，确保宿舍能够及时投入使用，满足即将入住学生的基本生活需求。若家具配置滞后，将直接影响新学期的学生安置计划，甚至制约学校整体招生与搬迁安排的推进。因此，家具采购与安装工作需紧跟工程进度，做到无缝衔接。本项目通过标准化、人性化的家具配置，能够显著提升学生的居住满意度与学习效率，增强学生对学校的归属感。此外，新宿舍楼的投入使用也将进一步完善校区的功能布局，为学校吸引优质生源、提升整体形象提供硬件支持。</w:t>
      </w:r>
    </w:p>
    <w:p w14:paraId="3096CD9B">
      <w:r>
        <w:rPr>
          <w:rFonts w:hint="eastAsia"/>
        </w:rPr>
        <w:t>二、需执行的国家相关标准、行业标准或其他标准、规范</w:t>
      </w:r>
    </w:p>
    <w:p w14:paraId="245A753F">
      <w:bookmarkStart w:id="1" w:name="_Toc8379"/>
      <w:bookmarkStart w:id="2" w:name="_Toc25898_WPSOffice_Level2"/>
      <w:r>
        <w:rPr>
          <w:rFonts w:hint="eastAsia"/>
        </w:rPr>
        <w:t>（一）强制性标准</w:t>
      </w:r>
      <w:bookmarkEnd w:id="1"/>
      <w:bookmarkEnd w:id="2"/>
    </w:p>
    <w:p w14:paraId="3308EB76">
      <w:pPr>
        <w:ind w:firstLine="420"/>
        <w:rPr>
          <w:b w:val="0"/>
          <w:bCs w:val="0"/>
        </w:rPr>
      </w:pPr>
      <w:bookmarkStart w:id="3" w:name="OLE_LINK1"/>
      <w:bookmarkStart w:id="4" w:name="_Toc227555682"/>
      <w:bookmarkStart w:id="5" w:name="_Toc16007"/>
      <w:bookmarkStart w:id="6" w:name="_Toc25730_WPSOffice_Level2"/>
      <w:r>
        <w:rPr>
          <w:rFonts w:hint="eastAsia"/>
          <w:b w:val="0"/>
          <w:bCs w:val="0"/>
        </w:rPr>
        <w:t>GB 18584-2024《家具中有害物质限量》（强制标准，2025年7月1日实施）</w:t>
      </w:r>
    </w:p>
    <w:p w14:paraId="783DC9BB">
      <w:pPr>
        <w:ind w:firstLine="420"/>
        <w:rPr>
          <w:b w:val="0"/>
          <w:bCs w:val="0"/>
        </w:rPr>
      </w:pPr>
      <w:r>
        <w:rPr>
          <w:b w:val="0"/>
          <w:bCs w:val="0"/>
        </w:rPr>
        <w:t>GB 28008-2024《家具结构安全技术规范》</w:t>
      </w:r>
      <w:r>
        <w:rPr>
          <w:rFonts w:hint="eastAsia"/>
          <w:b w:val="0"/>
          <w:bCs w:val="0"/>
        </w:rPr>
        <w:t>（强制标准，2025年7月1日实施）</w:t>
      </w:r>
    </w:p>
    <w:p w14:paraId="75711027">
      <w:pPr>
        <w:ind w:firstLine="420"/>
        <w:rPr>
          <w:b w:val="0"/>
          <w:bCs w:val="0"/>
        </w:rPr>
      </w:pPr>
      <w:r>
        <w:rPr>
          <w:b w:val="0"/>
          <w:bCs w:val="0"/>
        </w:rPr>
        <w:t>GB</w:t>
      </w:r>
      <w:r>
        <w:rPr>
          <w:rFonts w:hint="eastAsia"/>
          <w:b w:val="0"/>
          <w:bCs w:val="0"/>
        </w:rPr>
        <w:t xml:space="preserve"> </w:t>
      </w:r>
      <w:r>
        <w:rPr>
          <w:b w:val="0"/>
          <w:bCs w:val="0"/>
        </w:rPr>
        <w:t>17927-2024《家具阻燃性能安全技术规范》（</w:t>
      </w:r>
      <w:r>
        <w:rPr>
          <w:rFonts w:hint="eastAsia"/>
          <w:b w:val="0"/>
          <w:bCs w:val="0"/>
        </w:rPr>
        <w:t>强制标准，</w:t>
      </w:r>
      <w:r>
        <w:rPr>
          <w:b w:val="0"/>
          <w:bCs w:val="0"/>
        </w:rPr>
        <w:t>2025年9月1日实施</w:t>
      </w:r>
      <w:r>
        <w:rPr>
          <w:rFonts w:hint="eastAsia"/>
          <w:b w:val="0"/>
          <w:bCs w:val="0"/>
        </w:rPr>
        <w:t>）</w:t>
      </w:r>
    </w:p>
    <w:p w14:paraId="0D85A6E0">
      <w:pPr>
        <w:ind w:firstLine="420"/>
        <w:rPr>
          <w:b w:val="0"/>
          <w:bCs w:val="0"/>
        </w:rPr>
      </w:pPr>
      <w:r>
        <w:rPr>
          <w:rFonts w:hint="eastAsia"/>
          <w:b w:val="0"/>
          <w:bCs w:val="0"/>
        </w:rPr>
        <w:t>GB 18583-2008 《室内装饰装修材料 胶粘剂中有害物质限量》；</w:t>
      </w:r>
    </w:p>
    <w:p w14:paraId="5B5F98D8">
      <w:pPr>
        <w:ind w:firstLine="420"/>
        <w:rPr>
          <w:b w:val="0"/>
          <w:bCs w:val="0"/>
        </w:rPr>
      </w:pPr>
      <w:r>
        <w:rPr>
          <w:rFonts w:hint="eastAsia"/>
          <w:b w:val="0"/>
          <w:bCs w:val="0"/>
        </w:rPr>
        <w:t>GB 6566-2010 《建筑材料放射性核素限量》；</w:t>
      </w:r>
    </w:p>
    <w:p w14:paraId="7D777C85">
      <w:pPr>
        <w:ind w:firstLine="420"/>
        <w:rPr>
          <w:b w:val="0"/>
          <w:bCs w:val="0"/>
        </w:rPr>
      </w:pPr>
      <w:r>
        <w:rPr>
          <w:rFonts w:hint="eastAsia"/>
          <w:b w:val="0"/>
          <w:bCs w:val="0"/>
        </w:rPr>
        <w:t>GB 18584-2001《室内装饰装修材料木家具中有害物质限量》；</w:t>
      </w:r>
    </w:p>
    <w:p w14:paraId="6BF0E34A">
      <w:pPr>
        <w:ind w:firstLine="420"/>
        <w:rPr>
          <w:b w:val="0"/>
          <w:bCs w:val="0"/>
        </w:rPr>
      </w:pPr>
      <w:r>
        <w:rPr>
          <w:rFonts w:hint="eastAsia"/>
          <w:b w:val="0"/>
          <w:bCs w:val="0"/>
        </w:rPr>
        <w:t>GB 18580-2017 《室内装饰装修材料人造板及其制品中甲醛释放限量》；</w:t>
      </w:r>
    </w:p>
    <w:p w14:paraId="134C7A28">
      <w:pPr>
        <w:ind w:firstLine="420"/>
        <w:rPr>
          <w:b w:val="0"/>
          <w:bCs w:val="0"/>
        </w:rPr>
      </w:pPr>
      <w:r>
        <w:rPr>
          <w:rFonts w:hint="eastAsia"/>
          <w:b w:val="0"/>
          <w:bCs w:val="0"/>
        </w:rPr>
        <w:t>GB 18581-2020《木器涂料中有害物质限量》；</w:t>
      </w:r>
    </w:p>
    <w:p w14:paraId="77F71623">
      <w:pPr>
        <w:ind w:firstLine="420"/>
        <w:rPr>
          <w:b w:val="0"/>
          <w:bCs w:val="0"/>
        </w:rPr>
      </w:pPr>
      <w:r>
        <w:rPr>
          <w:rFonts w:hint="eastAsia"/>
          <w:b w:val="0"/>
          <w:bCs w:val="0"/>
        </w:rPr>
        <w:t>GB 18581-2009《室内装饰装修材料溶剂型木器涂料中有害物质限量》；</w:t>
      </w:r>
    </w:p>
    <w:p w14:paraId="5D19331A">
      <w:pPr>
        <w:ind w:firstLine="420"/>
        <w:rPr>
          <w:b w:val="0"/>
          <w:bCs w:val="0"/>
        </w:rPr>
      </w:pPr>
      <w:r>
        <w:rPr>
          <w:rFonts w:hint="eastAsia"/>
          <w:b w:val="0"/>
          <w:bCs w:val="0"/>
        </w:rPr>
        <w:t>GB 18401-2010《国家纺织产品基本安全技术规范》；</w:t>
      </w:r>
    </w:p>
    <w:p w14:paraId="6FC1AC10">
      <w:pPr>
        <w:ind w:firstLine="420"/>
        <w:rPr>
          <w:b w:val="0"/>
          <w:bCs w:val="0"/>
        </w:rPr>
      </w:pPr>
      <w:r>
        <w:rPr>
          <w:rFonts w:hint="eastAsia"/>
          <w:b w:val="0"/>
          <w:bCs w:val="0"/>
        </w:rPr>
        <w:t>GB 16799-2018《家具用皮革》</w:t>
      </w:r>
      <w:bookmarkEnd w:id="3"/>
      <w:r>
        <w:rPr>
          <w:rFonts w:hint="eastAsia"/>
          <w:b w:val="0"/>
          <w:bCs w:val="0"/>
        </w:rPr>
        <w:t>。</w:t>
      </w:r>
    </w:p>
    <w:p w14:paraId="59565877">
      <w:r>
        <w:rPr>
          <w:rFonts w:hint="eastAsia"/>
        </w:rPr>
        <w:t>（二）质量及技术标准</w:t>
      </w:r>
      <w:bookmarkEnd w:id="4"/>
      <w:bookmarkEnd w:id="5"/>
      <w:bookmarkEnd w:id="6"/>
    </w:p>
    <w:p w14:paraId="26B274B2">
      <w:pPr>
        <w:ind w:firstLine="420"/>
        <w:rPr>
          <w:b w:val="0"/>
          <w:bCs w:val="0"/>
        </w:rPr>
      </w:pPr>
      <w:bookmarkStart w:id="7" w:name="_Hlk216775855"/>
      <w:r>
        <w:rPr>
          <w:rFonts w:hint="eastAsia"/>
          <w:b w:val="0"/>
          <w:bCs w:val="0"/>
        </w:rPr>
        <w:t>重要标准：</w:t>
      </w:r>
    </w:p>
    <w:p w14:paraId="2733A8DB">
      <w:pPr>
        <w:ind w:firstLine="420"/>
        <w:rPr>
          <w:b w:val="0"/>
          <w:bCs w:val="0"/>
        </w:rPr>
      </w:pPr>
      <w:r>
        <w:rPr>
          <w:rFonts w:hint="eastAsia"/>
          <w:b w:val="0"/>
          <w:bCs w:val="0"/>
        </w:rPr>
        <w:t>GB/T 35607-2024《绿色产品评价家具》；</w:t>
      </w:r>
    </w:p>
    <w:p w14:paraId="03E1AB62">
      <w:pPr>
        <w:ind w:firstLine="420"/>
        <w:rPr>
          <w:b w:val="0"/>
          <w:bCs w:val="0"/>
        </w:rPr>
      </w:pPr>
      <w:r>
        <w:rPr>
          <w:b w:val="0"/>
          <w:bCs w:val="0"/>
        </w:rPr>
        <w:t>GB/T 3325-2024</w:t>
      </w:r>
      <w:r>
        <w:rPr>
          <w:rFonts w:hint="eastAsia"/>
          <w:b w:val="0"/>
          <w:bCs w:val="0"/>
        </w:rPr>
        <w:t>《金属家具通用技术条件》；</w:t>
      </w:r>
    </w:p>
    <w:p w14:paraId="03788F92">
      <w:pPr>
        <w:ind w:firstLine="420"/>
        <w:rPr>
          <w:b w:val="0"/>
          <w:bCs w:val="0"/>
        </w:rPr>
      </w:pPr>
      <w:r>
        <w:rPr>
          <w:b w:val="0"/>
          <w:bCs w:val="0"/>
        </w:rPr>
        <w:t>GB/T 3324-2024《木家具通用技术条件》；</w:t>
      </w:r>
    </w:p>
    <w:p w14:paraId="432873A9">
      <w:pPr>
        <w:ind w:firstLine="420"/>
        <w:rPr>
          <w:b w:val="0"/>
          <w:bCs w:val="0"/>
        </w:rPr>
      </w:pPr>
      <w:r>
        <w:rPr>
          <w:rFonts w:hint="eastAsia"/>
          <w:b w:val="0"/>
          <w:bCs w:val="0"/>
        </w:rPr>
        <w:t>其他标准：</w:t>
      </w:r>
    </w:p>
    <w:p w14:paraId="01E9E6E7">
      <w:pPr>
        <w:ind w:firstLine="420"/>
        <w:rPr>
          <w:b w:val="0"/>
          <w:bCs w:val="0"/>
        </w:rPr>
      </w:pPr>
      <w:r>
        <w:rPr>
          <w:rFonts w:hint="eastAsia"/>
          <w:b w:val="0"/>
          <w:bCs w:val="0"/>
        </w:rPr>
        <w:t>GB/T 15102-2017《浸渍胶膜纸饰面纤维板和刨花板》；</w:t>
      </w:r>
    </w:p>
    <w:p w14:paraId="054BCA7E">
      <w:pPr>
        <w:ind w:firstLine="420"/>
        <w:rPr>
          <w:b w:val="0"/>
          <w:bCs w:val="0"/>
        </w:rPr>
      </w:pPr>
      <w:r>
        <w:rPr>
          <w:rFonts w:hint="eastAsia"/>
          <w:b w:val="0"/>
          <w:bCs w:val="0"/>
        </w:rPr>
        <w:t>GB/T 29525-2013《座椅升降气弹簧 技术条件》；</w:t>
      </w:r>
    </w:p>
    <w:p w14:paraId="47A3FB73">
      <w:pPr>
        <w:ind w:firstLine="420"/>
        <w:rPr>
          <w:b w:val="0"/>
          <w:bCs w:val="0"/>
        </w:rPr>
      </w:pPr>
      <w:r>
        <w:rPr>
          <w:rFonts w:hint="eastAsia"/>
          <w:b w:val="0"/>
          <w:bCs w:val="0"/>
        </w:rPr>
        <w:t>GB/T 10802-2023《通用软质聚氨酯泡沫塑料》；</w:t>
      </w:r>
    </w:p>
    <w:p w14:paraId="78F233AC">
      <w:pPr>
        <w:ind w:firstLine="420"/>
        <w:rPr>
          <w:b w:val="0"/>
          <w:bCs w:val="0"/>
        </w:rPr>
      </w:pPr>
      <w:r>
        <w:rPr>
          <w:b w:val="0"/>
          <w:bCs w:val="0"/>
        </w:rPr>
        <w:t>GB/T 35601-2024</w:t>
      </w:r>
      <w:r>
        <w:rPr>
          <w:rFonts w:hint="eastAsia"/>
          <w:b w:val="0"/>
          <w:bCs w:val="0"/>
        </w:rPr>
        <w:t>《绿色产品评价</w:t>
      </w:r>
      <w:r>
        <w:rPr>
          <w:b w:val="0"/>
          <w:bCs w:val="0"/>
        </w:rPr>
        <w:t xml:space="preserve"> </w:t>
      </w:r>
      <w:r>
        <w:rPr>
          <w:rFonts w:hint="eastAsia"/>
          <w:b w:val="0"/>
          <w:bCs w:val="0"/>
        </w:rPr>
        <w:t>人造板和木质地板》；</w:t>
      </w:r>
    </w:p>
    <w:p w14:paraId="7EB53448">
      <w:pPr>
        <w:ind w:firstLine="420"/>
        <w:rPr>
          <w:b w:val="0"/>
          <w:bCs w:val="0"/>
        </w:rPr>
      </w:pPr>
      <w:r>
        <w:rPr>
          <w:b w:val="0"/>
          <w:bCs w:val="0"/>
        </w:rPr>
        <w:t xml:space="preserve">QB/T 2189-2013《家具五金 </w:t>
      </w:r>
      <w:r>
        <w:rPr>
          <w:rFonts w:hint="eastAsia"/>
          <w:b w:val="0"/>
          <w:bCs w:val="0"/>
        </w:rPr>
        <w:t>杯状暗铰链》；</w:t>
      </w:r>
    </w:p>
    <w:p w14:paraId="08A3B674">
      <w:pPr>
        <w:ind w:firstLine="420"/>
        <w:rPr>
          <w:b w:val="0"/>
          <w:bCs w:val="0"/>
        </w:rPr>
      </w:pPr>
      <w:r>
        <w:rPr>
          <w:b w:val="0"/>
          <w:bCs w:val="0"/>
        </w:rPr>
        <w:t>GB/T 11718-2021 《中密度纤维板》；</w:t>
      </w:r>
    </w:p>
    <w:p w14:paraId="0B9B4334">
      <w:pPr>
        <w:ind w:firstLine="420"/>
        <w:rPr>
          <w:b w:val="0"/>
          <w:bCs w:val="0"/>
        </w:rPr>
      </w:pPr>
      <w:r>
        <w:rPr>
          <w:b w:val="0"/>
          <w:bCs w:val="0"/>
        </w:rPr>
        <w:t xml:space="preserve">QB/T 1621-2015 </w:t>
      </w:r>
      <w:r>
        <w:rPr>
          <w:rFonts w:hint="eastAsia"/>
          <w:b w:val="0"/>
          <w:bCs w:val="0"/>
        </w:rPr>
        <w:t>《家具锁》；</w:t>
      </w:r>
    </w:p>
    <w:p w14:paraId="5E6DEB2B">
      <w:pPr>
        <w:ind w:firstLine="420"/>
        <w:rPr>
          <w:b w:val="0"/>
          <w:bCs w:val="0"/>
        </w:rPr>
      </w:pPr>
      <w:r>
        <w:rPr>
          <w:b w:val="0"/>
          <w:bCs w:val="0"/>
        </w:rPr>
        <w:t xml:space="preserve">GB/T 2454-2013 </w:t>
      </w:r>
      <w:r>
        <w:rPr>
          <w:rFonts w:hint="eastAsia"/>
          <w:b w:val="0"/>
          <w:bCs w:val="0"/>
        </w:rPr>
        <w:t>《家具五金</w:t>
      </w:r>
      <w:r>
        <w:rPr>
          <w:b w:val="0"/>
          <w:bCs w:val="0"/>
        </w:rPr>
        <w:t xml:space="preserve"> </w:t>
      </w:r>
      <w:r>
        <w:rPr>
          <w:rFonts w:hint="eastAsia"/>
          <w:b w:val="0"/>
          <w:bCs w:val="0"/>
        </w:rPr>
        <w:t>抽屉导轨》；</w:t>
      </w:r>
    </w:p>
    <w:p w14:paraId="39E3C330">
      <w:pPr>
        <w:ind w:firstLine="420"/>
        <w:rPr>
          <w:b w:val="0"/>
          <w:bCs w:val="0"/>
        </w:rPr>
      </w:pPr>
      <w:r>
        <w:rPr>
          <w:b w:val="0"/>
          <w:bCs w:val="0"/>
        </w:rPr>
        <w:t xml:space="preserve">GB/T 4765-2014 </w:t>
      </w:r>
      <w:r>
        <w:rPr>
          <w:rFonts w:hint="eastAsia"/>
          <w:b w:val="0"/>
          <w:bCs w:val="0"/>
        </w:rPr>
        <w:t>《家具用脚轮》；</w:t>
      </w:r>
    </w:p>
    <w:p w14:paraId="71C3D7DC">
      <w:pPr>
        <w:ind w:firstLine="420"/>
        <w:rPr>
          <w:b w:val="0"/>
          <w:bCs w:val="0"/>
        </w:rPr>
      </w:pPr>
      <w:r>
        <w:rPr>
          <w:b w:val="0"/>
          <w:bCs w:val="0"/>
        </w:rPr>
        <w:t xml:space="preserve">QB/T 2280-2016《办公家具 </w:t>
      </w:r>
      <w:r>
        <w:rPr>
          <w:rFonts w:hint="eastAsia"/>
          <w:b w:val="0"/>
          <w:bCs w:val="0"/>
        </w:rPr>
        <w:t>办公椅》；</w:t>
      </w:r>
    </w:p>
    <w:p w14:paraId="013D0172">
      <w:pPr>
        <w:ind w:firstLine="420"/>
        <w:rPr>
          <w:b w:val="0"/>
          <w:bCs w:val="0"/>
        </w:rPr>
      </w:pPr>
      <w:r>
        <w:rPr>
          <w:b w:val="0"/>
          <w:bCs w:val="0"/>
        </w:rPr>
        <w:t xml:space="preserve">QB/T 1952.1-2023《软体家具 </w:t>
      </w:r>
      <w:r>
        <w:rPr>
          <w:rFonts w:hint="eastAsia"/>
          <w:b w:val="0"/>
          <w:bCs w:val="0"/>
        </w:rPr>
        <w:t>沙发》。</w:t>
      </w:r>
    </w:p>
    <w:bookmarkEnd w:id="7"/>
    <w:p w14:paraId="6222D618">
      <w:pPr>
        <w:rPr>
          <w:b w:val="0"/>
          <w:bCs w:val="0"/>
        </w:rPr>
      </w:pPr>
      <w:r>
        <w:rPr>
          <w:rFonts w:hint="eastAsia"/>
        </w:rPr>
        <w:t>及其他与本次采购的家具相关的现行最新标准；采购需求内所涉及到的标准若与现行标准冲突，均以现行的最新版本为准。</w:t>
      </w:r>
    </w:p>
    <w:p w14:paraId="61D5816A"/>
    <w:p w14:paraId="56D2AC14"/>
    <w:p w14:paraId="6B205CAC"/>
    <w:p w14:paraId="5390116B"/>
    <w:p w14:paraId="58F9151B"/>
    <w:p w14:paraId="66AB817A"/>
    <w:p w14:paraId="5C9308E6"/>
    <w:p w14:paraId="326A9C56">
      <w:r>
        <w:rPr>
          <w:rFonts w:hint="eastAsia"/>
        </w:rPr>
        <w:br w:type="page"/>
      </w:r>
    </w:p>
    <w:p w14:paraId="0FC948C2">
      <w:pPr>
        <w:ind w:firstLine="0" w:firstLineChars="0"/>
      </w:pPr>
      <w:r>
        <w:rPr>
          <w:rFonts w:hint="eastAsia"/>
        </w:rPr>
        <w:t>三、采购品目分类、参考样式、规格、基本组成、质量标准等要求</w:t>
      </w:r>
    </w:p>
    <w:tbl>
      <w:tblPr>
        <w:tblStyle w:val="7"/>
        <w:tblW w:w="2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1842"/>
        <w:gridCol w:w="1560"/>
        <w:gridCol w:w="1701"/>
        <w:gridCol w:w="992"/>
        <w:gridCol w:w="11398"/>
        <w:gridCol w:w="761"/>
        <w:gridCol w:w="655"/>
        <w:gridCol w:w="948"/>
      </w:tblGrid>
      <w:tr w14:paraId="5A64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916" w:type="dxa"/>
            <w:noWrap/>
            <w:vAlign w:val="center"/>
          </w:tcPr>
          <w:p w14:paraId="70A19E5C">
            <w:pPr>
              <w:spacing w:line="240" w:lineRule="auto"/>
              <w:ind w:firstLine="0" w:firstLineChars="0"/>
              <w:jc w:val="center"/>
              <w:rPr>
                <w:b w:val="0"/>
                <w:bCs w:val="0"/>
              </w:rPr>
            </w:pPr>
            <w:r>
              <w:rPr>
                <w:rFonts w:hint="eastAsia"/>
                <w:b w:val="0"/>
                <w:bCs w:val="0"/>
              </w:rPr>
              <w:t>序号</w:t>
            </w:r>
          </w:p>
        </w:tc>
        <w:tc>
          <w:tcPr>
            <w:tcW w:w="1842" w:type="dxa"/>
            <w:noWrap/>
            <w:vAlign w:val="center"/>
          </w:tcPr>
          <w:p w14:paraId="03452690">
            <w:pPr>
              <w:spacing w:line="240" w:lineRule="auto"/>
              <w:ind w:firstLine="0" w:firstLineChars="0"/>
              <w:jc w:val="center"/>
              <w:rPr>
                <w:b w:val="0"/>
                <w:bCs w:val="0"/>
              </w:rPr>
            </w:pPr>
            <w:r>
              <w:rPr>
                <w:rFonts w:hint="eastAsia"/>
                <w:b w:val="0"/>
                <w:bCs w:val="0"/>
              </w:rPr>
              <w:t>示意图片</w:t>
            </w:r>
          </w:p>
        </w:tc>
        <w:tc>
          <w:tcPr>
            <w:tcW w:w="1560" w:type="dxa"/>
            <w:noWrap/>
            <w:vAlign w:val="center"/>
          </w:tcPr>
          <w:p w14:paraId="0EE50E99">
            <w:pPr>
              <w:spacing w:line="240" w:lineRule="auto"/>
              <w:ind w:firstLine="0" w:firstLineChars="0"/>
              <w:jc w:val="center"/>
              <w:rPr>
                <w:b w:val="0"/>
                <w:bCs w:val="0"/>
              </w:rPr>
            </w:pPr>
            <w:r>
              <w:rPr>
                <w:rFonts w:hint="eastAsia"/>
                <w:b w:val="0"/>
                <w:bCs w:val="0"/>
              </w:rPr>
              <w:t>产品名称</w:t>
            </w:r>
          </w:p>
        </w:tc>
        <w:tc>
          <w:tcPr>
            <w:tcW w:w="1701" w:type="dxa"/>
            <w:vAlign w:val="center"/>
          </w:tcPr>
          <w:p w14:paraId="046DC47A">
            <w:pPr>
              <w:spacing w:line="240" w:lineRule="auto"/>
              <w:ind w:firstLine="0" w:firstLineChars="0"/>
              <w:jc w:val="center"/>
              <w:rPr>
                <w:b w:val="0"/>
                <w:bCs w:val="0"/>
              </w:rPr>
            </w:pPr>
            <w:r>
              <w:rPr>
                <w:rFonts w:hint="eastAsia"/>
                <w:b w:val="0"/>
                <w:bCs w:val="0"/>
              </w:rPr>
              <w:t>规格（mm）</w:t>
            </w:r>
          </w:p>
        </w:tc>
        <w:tc>
          <w:tcPr>
            <w:tcW w:w="992" w:type="dxa"/>
            <w:noWrap/>
            <w:vAlign w:val="center"/>
          </w:tcPr>
          <w:p w14:paraId="02172BFB">
            <w:pPr>
              <w:spacing w:line="240" w:lineRule="auto"/>
              <w:ind w:firstLine="0" w:firstLineChars="0"/>
              <w:jc w:val="center"/>
              <w:rPr>
                <w:b w:val="0"/>
                <w:bCs w:val="0"/>
              </w:rPr>
            </w:pPr>
            <w:r>
              <w:rPr>
                <w:rFonts w:hint="eastAsia"/>
                <w:b w:val="0"/>
                <w:bCs w:val="0"/>
              </w:rPr>
              <w:t>颜色</w:t>
            </w:r>
          </w:p>
        </w:tc>
        <w:tc>
          <w:tcPr>
            <w:tcW w:w="11398" w:type="dxa"/>
            <w:vAlign w:val="center"/>
          </w:tcPr>
          <w:p w14:paraId="4DFEDD60">
            <w:pPr>
              <w:spacing w:line="240" w:lineRule="auto"/>
              <w:ind w:firstLine="0" w:firstLineChars="0"/>
              <w:jc w:val="center"/>
              <w:rPr>
                <w:b w:val="0"/>
                <w:bCs w:val="0"/>
              </w:rPr>
            </w:pPr>
            <w:r>
              <w:rPr>
                <w:rFonts w:hint="eastAsia"/>
                <w:b w:val="0"/>
                <w:bCs w:val="0"/>
              </w:rPr>
              <w:t>材　质</w:t>
            </w:r>
          </w:p>
        </w:tc>
        <w:tc>
          <w:tcPr>
            <w:tcW w:w="761" w:type="dxa"/>
            <w:vAlign w:val="center"/>
          </w:tcPr>
          <w:p w14:paraId="7C39C4B8">
            <w:pPr>
              <w:spacing w:line="240" w:lineRule="auto"/>
              <w:ind w:firstLine="0" w:firstLineChars="0"/>
              <w:jc w:val="center"/>
              <w:rPr>
                <w:b w:val="0"/>
                <w:bCs w:val="0"/>
              </w:rPr>
            </w:pPr>
            <w:r>
              <w:rPr>
                <w:rFonts w:hint="eastAsia"/>
                <w:b w:val="0"/>
                <w:bCs w:val="0"/>
              </w:rPr>
              <w:t>单位</w:t>
            </w:r>
          </w:p>
        </w:tc>
        <w:tc>
          <w:tcPr>
            <w:tcW w:w="655" w:type="dxa"/>
            <w:vAlign w:val="center"/>
          </w:tcPr>
          <w:p w14:paraId="457F97A0">
            <w:pPr>
              <w:spacing w:line="240" w:lineRule="auto"/>
              <w:ind w:firstLine="0" w:firstLineChars="0"/>
              <w:jc w:val="center"/>
              <w:rPr>
                <w:b w:val="0"/>
                <w:bCs w:val="0"/>
              </w:rPr>
            </w:pPr>
            <w:r>
              <w:rPr>
                <w:rFonts w:hint="eastAsia"/>
                <w:b w:val="0"/>
                <w:bCs w:val="0"/>
              </w:rPr>
              <w:t>数量</w:t>
            </w:r>
          </w:p>
        </w:tc>
        <w:tc>
          <w:tcPr>
            <w:tcW w:w="948" w:type="dxa"/>
            <w:vAlign w:val="center"/>
          </w:tcPr>
          <w:p w14:paraId="4AE8A73F">
            <w:pPr>
              <w:spacing w:line="240" w:lineRule="auto"/>
              <w:ind w:firstLine="0" w:firstLineChars="0"/>
              <w:jc w:val="center"/>
              <w:rPr>
                <w:b w:val="0"/>
                <w:bCs w:val="0"/>
              </w:rPr>
            </w:pPr>
            <w:r>
              <w:rPr>
                <w:rFonts w:hint="eastAsia"/>
                <w:b w:val="0"/>
                <w:bCs w:val="0"/>
              </w:rPr>
              <w:t>备注</w:t>
            </w:r>
          </w:p>
        </w:tc>
      </w:tr>
      <w:tr w14:paraId="58B8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16" w:type="dxa"/>
            <w:noWrap/>
            <w:vAlign w:val="center"/>
          </w:tcPr>
          <w:p w14:paraId="6826FE21">
            <w:pPr>
              <w:spacing w:line="240" w:lineRule="auto"/>
              <w:ind w:firstLine="0" w:firstLineChars="0"/>
              <w:jc w:val="center"/>
              <w:rPr>
                <w:b w:val="0"/>
                <w:bCs w:val="0"/>
              </w:rPr>
            </w:pPr>
            <w:r>
              <w:rPr>
                <w:rFonts w:hint="eastAsia"/>
                <w:b w:val="0"/>
                <w:bCs w:val="0"/>
              </w:rPr>
              <w:t>1</w:t>
            </w:r>
          </w:p>
        </w:tc>
        <w:tc>
          <w:tcPr>
            <w:tcW w:w="1842" w:type="dxa"/>
            <w:noWrap/>
            <w:vAlign w:val="center"/>
          </w:tcPr>
          <w:p w14:paraId="3AF02A7B">
            <w:pPr>
              <w:spacing w:line="240" w:lineRule="auto"/>
              <w:ind w:firstLine="0" w:firstLineChars="0"/>
              <w:rPr>
                <w:b w:val="0"/>
                <w:bCs w:val="0"/>
              </w:rPr>
            </w:pPr>
            <w:r>
              <w:rPr>
                <w:snapToGrid/>
              </w:rPr>
              <w:drawing>
                <wp:inline distT="0" distB="0" distL="0" distR="0">
                  <wp:extent cx="1032510" cy="68961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1032510" cy="689610"/>
                          </a:xfrm>
                          <a:prstGeom prst="rect">
                            <a:avLst/>
                          </a:prstGeom>
                          <a:noFill/>
                          <a:ln w="9525">
                            <a:noFill/>
                          </a:ln>
                        </pic:spPr>
                      </pic:pic>
                    </a:graphicData>
                  </a:graphic>
                </wp:inline>
              </w:drawing>
            </w:r>
          </w:p>
        </w:tc>
        <w:tc>
          <w:tcPr>
            <w:tcW w:w="1560" w:type="dxa"/>
            <w:noWrap/>
            <w:vAlign w:val="center"/>
          </w:tcPr>
          <w:p w14:paraId="408A1165">
            <w:pPr>
              <w:spacing w:line="240" w:lineRule="auto"/>
              <w:ind w:firstLine="0" w:firstLineChars="0"/>
              <w:jc w:val="center"/>
              <w:rPr>
                <w:b w:val="0"/>
                <w:bCs w:val="0"/>
              </w:rPr>
            </w:pPr>
            <w:r>
              <w:rPr>
                <w:rFonts w:hint="eastAsia"/>
                <w:b w:val="0"/>
                <w:bCs w:val="0"/>
              </w:rPr>
              <w:t>二人位公寓床（步梯款）</w:t>
            </w:r>
          </w:p>
          <w:p w14:paraId="2A9A7924">
            <w:pPr>
              <w:spacing w:line="240" w:lineRule="auto"/>
              <w:ind w:firstLine="0" w:firstLineChars="0"/>
              <w:jc w:val="center"/>
              <w:rPr>
                <w:b w:val="0"/>
                <w:bCs w:val="0"/>
              </w:rPr>
            </w:pPr>
            <w:r>
              <w:rPr>
                <w:rFonts w:hint="eastAsia"/>
                <w:b w:val="0"/>
                <w:bCs w:val="0"/>
              </w:rPr>
              <w:t>（样品）</w:t>
            </w:r>
          </w:p>
        </w:tc>
        <w:tc>
          <w:tcPr>
            <w:tcW w:w="1701" w:type="dxa"/>
            <w:vAlign w:val="center"/>
          </w:tcPr>
          <w:p w14:paraId="0326265C">
            <w:pPr>
              <w:spacing w:line="240" w:lineRule="auto"/>
              <w:ind w:firstLine="0" w:firstLineChars="0"/>
              <w:jc w:val="center"/>
              <w:rPr>
                <w:b w:val="0"/>
                <w:bCs w:val="0"/>
              </w:rPr>
            </w:pPr>
            <w:r>
              <w:rPr>
                <w:rFonts w:hint="eastAsia"/>
                <w:b w:val="0"/>
                <w:bCs w:val="0"/>
              </w:rPr>
              <w:t>4585*916*2110（含蚊帐架高3000）（±</w:t>
            </w:r>
            <w:r>
              <w:rPr>
                <w:b w:val="0"/>
                <w:bCs w:val="0"/>
              </w:rPr>
              <w:t>5mm）</w:t>
            </w:r>
          </w:p>
        </w:tc>
        <w:tc>
          <w:tcPr>
            <w:tcW w:w="992" w:type="dxa"/>
            <w:noWrap/>
            <w:vAlign w:val="center"/>
          </w:tcPr>
          <w:p w14:paraId="699A4773">
            <w:pPr>
              <w:spacing w:line="240" w:lineRule="auto"/>
              <w:ind w:firstLine="0" w:firstLineChars="0"/>
              <w:jc w:val="center"/>
              <w:rPr>
                <w:b w:val="0"/>
                <w:bCs w:val="0"/>
              </w:rPr>
            </w:pPr>
            <w:r>
              <w:rPr>
                <w:rFonts w:hint="eastAsia"/>
                <w:b w:val="0"/>
                <w:bCs w:val="0"/>
              </w:rPr>
              <w:t>可选</w:t>
            </w:r>
          </w:p>
        </w:tc>
        <w:tc>
          <w:tcPr>
            <w:tcW w:w="11398" w:type="dxa"/>
            <w:vAlign w:val="center"/>
          </w:tcPr>
          <w:p w14:paraId="72A617CA">
            <w:pPr>
              <w:spacing w:line="240" w:lineRule="auto"/>
              <w:ind w:firstLine="0" w:firstLineChars="0"/>
              <w:rPr>
                <w:b w:val="0"/>
                <w:bCs w:val="0"/>
              </w:rPr>
            </w:pPr>
            <w:r>
              <w:rPr>
                <w:b w:val="0"/>
                <w:bCs w:val="0"/>
              </w:rPr>
              <w:t>1.床架：立柱采用截面规格≥80*69*1.2mm的高频焊接封口异形型材，端口采用优质PP塑料的静音下内塞。长横梁采用截面规格≥94*39*1.2mm的高频焊接封口型管材，中间一根凸起的加强筋，四边倒圆角，特别是床厅前段倒较大的圆角，保证使用者的安全。短横梁采用30*60*1.0mm方管，蚊帐架采用φ19*1.0mm圆管。采用卡式连接件连接，规格29*39*210mm（±3mm），采用壁厚≥2.0mm冷轧钢板，连接处无焊接痕迹，且方便拆装。安装时卡式连接件与立柱齐平，安装快捷，整体美观。床厅横梁采用20*30*1.0mm高频焊接内外镀锌闭口型管材，截面为矩形，床厅横梁5根；床厅横梁插入床厅内，与床厅左右两面接触受力，牢固不脱落；床厅横梁上下两面均不接触床厅，静音防噪，消音垫采用PP全新塑料制作，卡扣式连接与床厅的连接更加稳固，保障使用安全。床厅护栏：长度按照两立柱间距*高度400mm，采用25*25*1.0mm方管，挡板采用E0级三聚氰胺饰面刨花板，厚度≥18mm，甲醛释放量≤0.050mg/m³，外露面采用1mm厚优质PVC封边条封边，前床厅护栏上加装一个椭圆形滑动观察框，规格400*130*30mm（±3mm），观察口规格208*107mm（±3mm），采用一级环保PP塑料，通过改性后一次注塑成型。上下静音内塞采用工业锁紧技术应用，防滑设计；蚊帐杆高低调节快捷方便，可任意位置安装固定。蚊帐杆底座内外套与立柱嵌入连接，结构牢固，不易拔出。底座上部为圆锥形多舌胀紧片设计，底座下端内部有加强筋，确保蚊帐杆稳定不易晃动。下脚套采用外盖式，采用全新PP塑料一体射出成型。</w:t>
            </w:r>
          </w:p>
          <w:p w14:paraId="68EB98A4">
            <w:pPr>
              <w:spacing w:line="240" w:lineRule="auto"/>
              <w:ind w:firstLine="0" w:firstLineChars="0"/>
              <w:rPr>
                <w:b w:val="0"/>
                <w:bCs w:val="0"/>
              </w:rPr>
            </w:pPr>
            <w:r>
              <w:rPr>
                <w:b w:val="0"/>
                <w:bCs w:val="0"/>
              </w:rPr>
              <w:t>2.钢架采用二氧化碳气体保护焊工艺，表面经酸洗磷化，静电喷涂，各零件、组合件表面应光滑、平整、不得有尖角突起；焊接件应牢固，无焊渣、无虚焊、无焊穿、焊痕光滑平整；喷塑涂层不脱落，漆膜无橘皮，无流挂，无返锈，色泽均匀。</w:t>
            </w:r>
          </w:p>
          <w:p w14:paraId="314BB9F3">
            <w:pPr>
              <w:spacing w:line="240" w:lineRule="auto"/>
              <w:ind w:firstLine="0" w:firstLineChars="0"/>
              <w:rPr>
                <w:b w:val="0"/>
                <w:bCs w:val="0"/>
              </w:rPr>
            </w:pPr>
            <w:r>
              <w:rPr>
                <w:b w:val="0"/>
                <w:bCs w:val="0"/>
              </w:rPr>
              <w:t>3.步梯：框架采用25*25*1.0mm方管，踏板采用中空吹塑材质，尺寸：520*230*20（±3mm），脚踏处设置一体防滑条和六颗圆形反光颗粒，四周圆角设计，可减少碰撞损伤。其余部位采用E0级三聚氰胺饰面刨花板，厚度≥18mm，甲醛释放量≤0.050mg/m³，外露面采用1mm厚优质PVC封边条封边，正前方板材上装有一体成型ABS拉手，里面可储物，步梯分为4层，顶层处靠墙侧装有栏杆及扶手。</w:t>
            </w:r>
          </w:p>
          <w:p w14:paraId="4129681C">
            <w:pPr>
              <w:spacing w:line="240" w:lineRule="auto"/>
              <w:ind w:firstLine="0" w:firstLineChars="0"/>
              <w:rPr>
                <w:b w:val="0"/>
                <w:bCs w:val="0"/>
              </w:rPr>
            </w:pPr>
            <w:r>
              <w:rPr>
                <w:b w:val="0"/>
                <w:bCs w:val="0"/>
              </w:rPr>
              <w:t>4.床板：规格为1930*838*25mm（±3mm），采用PE耐冲击塑料一级新料吹塑一次成型，并合理设计产品加强筋，双曲面弧形设计,长时间整块床板也不会变形，方便搬运拆卸，床板留有透气孔，防止床铺潮湿。</w:t>
            </w:r>
          </w:p>
          <w:p w14:paraId="5EB3F12D">
            <w:pPr>
              <w:spacing w:line="240" w:lineRule="auto"/>
              <w:ind w:firstLine="0" w:firstLineChars="0"/>
              <w:rPr>
                <w:b w:val="0"/>
                <w:bCs w:val="0"/>
              </w:rPr>
            </w:pPr>
            <w:r>
              <w:rPr>
                <w:b w:val="0"/>
                <w:bCs w:val="0"/>
              </w:rPr>
              <w:t>5.床下组合柜：整体规格为1930*600*1635mm（±3mm），衣柜规格为630*600*1635mm（±3mm），内部上置1根铝合金挂衣杆，下部设1块活动层板，书架规格为1300*300*300mm（±3mm），均分为2格，书桌规格为1300*600*750mm（±3mm），一斗一门设计，门内设1块活动层板，靠墙侧桌面有50mm高度挡条，基材均采用E0级优质刨花板，正反三聚氰胺贴面，表面不可留有压痕、划伤、斑点和凹凸不平，同批产品不得出现明显色差。桌面厚度≥25mm，其余部位除斗底板外厚度均≥18mm，甲醛释放量≤0.050mg/m³。桌面采用2mm优质PVC封边条封边，其余采用1mm厚优质封边条封边。洞洞板规格为1280*350*20mm（±3mm），壁厚≥1.2mm，采用优质冷轧钢板一次冲压成型。衣柜拉手采用铝合金一体压铸成型，规格132*88*20mm（±3mm），采用双色涂装，光滑安全。书桌抽斗及门拉手采用ABS一次成型，规格为21*160*15mm（±3mm），光滑安全。抽斗采用优质阻尼导轨，门采用优质阻尼铰链。</w:t>
            </w:r>
          </w:p>
        </w:tc>
        <w:tc>
          <w:tcPr>
            <w:tcW w:w="761" w:type="dxa"/>
            <w:vAlign w:val="center"/>
          </w:tcPr>
          <w:p w14:paraId="2E238B50">
            <w:pPr>
              <w:spacing w:line="240" w:lineRule="auto"/>
              <w:ind w:firstLine="0" w:firstLineChars="0"/>
              <w:jc w:val="center"/>
              <w:rPr>
                <w:b w:val="0"/>
                <w:bCs w:val="0"/>
              </w:rPr>
            </w:pPr>
            <w:r>
              <w:rPr>
                <w:rFonts w:hint="eastAsia"/>
                <w:b w:val="0"/>
                <w:bCs w:val="0"/>
              </w:rPr>
              <w:t>人位</w:t>
            </w:r>
          </w:p>
        </w:tc>
        <w:tc>
          <w:tcPr>
            <w:tcW w:w="655" w:type="dxa"/>
            <w:vAlign w:val="center"/>
          </w:tcPr>
          <w:p w14:paraId="3838397E">
            <w:pPr>
              <w:spacing w:line="240" w:lineRule="auto"/>
              <w:ind w:firstLine="0" w:firstLineChars="0"/>
              <w:jc w:val="center"/>
              <w:rPr>
                <w:b w:val="0"/>
                <w:bCs w:val="0"/>
              </w:rPr>
            </w:pPr>
            <w:r>
              <w:rPr>
                <w:b w:val="0"/>
                <w:bCs w:val="0"/>
              </w:rPr>
              <w:t>2448</w:t>
            </w:r>
          </w:p>
        </w:tc>
        <w:tc>
          <w:tcPr>
            <w:tcW w:w="948" w:type="dxa"/>
            <w:vAlign w:val="center"/>
          </w:tcPr>
          <w:p w14:paraId="6002710F">
            <w:pPr>
              <w:spacing w:line="240" w:lineRule="auto"/>
              <w:ind w:firstLine="0" w:firstLineChars="0"/>
              <w:jc w:val="center"/>
              <w:rPr>
                <w:b w:val="0"/>
                <w:bCs w:val="0"/>
              </w:rPr>
            </w:pPr>
          </w:p>
        </w:tc>
      </w:tr>
      <w:tr w14:paraId="34FE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16" w:type="dxa"/>
            <w:noWrap/>
            <w:vAlign w:val="center"/>
          </w:tcPr>
          <w:p w14:paraId="11F49845">
            <w:pPr>
              <w:spacing w:line="240" w:lineRule="auto"/>
              <w:ind w:firstLine="0" w:firstLineChars="0"/>
              <w:jc w:val="center"/>
              <w:rPr>
                <w:b w:val="0"/>
                <w:bCs w:val="0"/>
              </w:rPr>
            </w:pPr>
            <w:r>
              <w:rPr>
                <w:rFonts w:hint="eastAsia"/>
                <w:b w:val="0"/>
                <w:bCs w:val="0"/>
              </w:rPr>
              <w:t>2</w:t>
            </w:r>
          </w:p>
        </w:tc>
        <w:tc>
          <w:tcPr>
            <w:tcW w:w="1842" w:type="dxa"/>
            <w:noWrap/>
            <w:vAlign w:val="center"/>
          </w:tcPr>
          <w:p w14:paraId="6F8258F1">
            <w:pPr>
              <w:spacing w:line="240" w:lineRule="auto"/>
              <w:ind w:firstLine="0" w:firstLineChars="0"/>
              <w:jc w:val="center"/>
              <w:rPr>
                <w:b w:val="0"/>
                <w:bCs w:val="0"/>
              </w:rPr>
            </w:pPr>
            <w:r>
              <w:rPr>
                <w:snapToGrid/>
              </w:rPr>
              <w:drawing>
                <wp:inline distT="0" distB="0" distL="0" distR="0">
                  <wp:extent cx="810895" cy="793750"/>
                  <wp:effectExtent l="0" t="0" r="8255" b="635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3"/>
                          <a:stretch>
                            <a:fillRect/>
                          </a:stretch>
                        </pic:blipFill>
                        <pic:spPr>
                          <a:xfrm>
                            <a:off x="0" y="0"/>
                            <a:ext cx="810895" cy="793750"/>
                          </a:xfrm>
                          <a:prstGeom prst="rect">
                            <a:avLst/>
                          </a:prstGeom>
                          <a:noFill/>
                          <a:ln w="9525">
                            <a:noFill/>
                          </a:ln>
                        </pic:spPr>
                      </pic:pic>
                    </a:graphicData>
                  </a:graphic>
                </wp:inline>
              </w:drawing>
            </w:r>
          </w:p>
        </w:tc>
        <w:tc>
          <w:tcPr>
            <w:tcW w:w="1560" w:type="dxa"/>
            <w:noWrap/>
            <w:vAlign w:val="center"/>
          </w:tcPr>
          <w:p w14:paraId="4BB69369">
            <w:pPr>
              <w:spacing w:line="240" w:lineRule="auto"/>
              <w:ind w:firstLine="0" w:firstLineChars="0"/>
              <w:jc w:val="center"/>
              <w:rPr>
                <w:b w:val="0"/>
                <w:bCs w:val="0"/>
              </w:rPr>
            </w:pPr>
            <w:r>
              <w:rPr>
                <w:rFonts w:hint="eastAsia"/>
                <w:b w:val="0"/>
                <w:bCs w:val="0"/>
              </w:rPr>
              <w:t>椅子</w:t>
            </w:r>
          </w:p>
          <w:p w14:paraId="769B197F">
            <w:pPr>
              <w:spacing w:line="240" w:lineRule="auto"/>
              <w:ind w:firstLine="0" w:firstLineChars="0"/>
              <w:jc w:val="center"/>
              <w:rPr>
                <w:b w:val="0"/>
                <w:bCs w:val="0"/>
              </w:rPr>
            </w:pPr>
            <w:r>
              <w:rPr>
                <w:rFonts w:hint="eastAsia"/>
                <w:b w:val="0"/>
                <w:bCs w:val="0"/>
              </w:rPr>
              <w:t>（样品）</w:t>
            </w:r>
          </w:p>
        </w:tc>
        <w:tc>
          <w:tcPr>
            <w:tcW w:w="1701" w:type="dxa"/>
            <w:vAlign w:val="center"/>
          </w:tcPr>
          <w:p w14:paraId="372E1865">
            <w:pPr>
              <w:spacing w:line="240" w:lineRule="auto"/>
              <w:ind w:firstLine="0" w:firstLineChars="0"/>
              <w:jc w:val="center"/>
              <w:rPr>
                <w:b w:val="0"/>
                <w:bCs w:val="0"/>
              </w:rPr>
            </w:pPr>
            <w:r>
              <w:rPr>
                <w:b w:val="0"/>
                <w:bCs w:val="0"/>
              </w:rPr>
              <w:t>400*527*855（±5mm）</w:t>
            </w:r>
          </w:p>
        </w:tc>
        <w:tc>
          <w:tcPr>
            <w:tcW w:w="992" w:type="dxa"/>
            <w:noWrap/>
            <w:vAlign w:val="center"/>
          </w:tcPr>
          <w:p w14:paraId="7E6AACE2">
            <w:pPr>
              <w:spacing w:line="240" w:lineRule="auto"/>
              <w:ind w:firstLine="0" w:firstLineChars="0"/>
              <w:jc w:val="center"/>
              <w:rPr>
                <w:b w:val="0"/>
                <w:bCs w:val="0"/>
              </w:rPr>
            </w:pPr>
            <w:r>
              <w:rPr>
                <w:rFonts w:hint="eastAsia"/>
                <w:b w:val="0"/>
                <w:bCs w:val="0"/>
              </w:rPr>
              <w:t>可选</w:t>
            </w:r>
          </w:p>
        </w:tc>
        <w:tc>
          <w:tcPr>
            <w:tcW w:w="11398" w:type="dxa"/>
            <w:vAlign w:val="center"/>
          </w:tcPr>
          <w:p w14:paraId="22FC4F24">
            <w:pPr>
              <w:spacing w:line="240" w:lineRule="auto"/>
              <w:ind w:firstLine="0" w:firstLineChars="0"/>
              <w:jc w:val="both"/>
              <w:rPr>
                <w:b w:val="0"/>
                <w:bCs w:val="0"/>
              </w:rPr>
            </w:pPr>
            <w:r>
              <w:rPr>
                <w:rFonts w:hint="eastAsia"/>
                <w:b w:val="0"/>
                <w:bCs w:val="0"/>
              </w:rPr>
              <w:t>椅架：采用优质钢管，直径</w:t>
            </w:r>
            <w:r>
              <w:rPr>
                <w:b w:val="0"/>
                <w:bCs w:val="0"/>
              </w:rPr>
              <w:t>19圆管，壁厚≥1.5mm，二氧化碳气体保护焊工艺，表面经酸洗磷化，电镀处理。</w:t>
            </w:r>
          </w:p>
          <w:p w14:paraId="5D776445">
            <w:pPr>
              <w:spacing w:line="240" w:lineRule="auto"/>
              <w:ind w:firstLine="0" w:firstLineChars="0"/>
              <w:jc w:val="both"/>
              <w:rPr>
                <w:b w:val="0"/>
                <w:bCs w:val="0"/>
              </w:rPr>
            </w:pPr>
            <w:r>
              <w:rPr>
                <w:rFonts w:hint="eastAsia"/>
                <w:b w:val="0"/>
                <w:bCs w:val="0"/>
              </w:rPr>
              <w:t>靠背及座板：优质多层曲木板一体成型，厚度≥</w:t>
            </w:r>
            <w:r>
              <w:rPr>
                <w:b w:val="0"/>
                <w:bCs w:val="0"/>
              </w:rPr>
              <w:t>12mm，双贴榉木木皮，优质环保清漆。</w:t>
            </w:r>
          </w:p>
        </w:tc>
        <w:tc>
          <w:tcPr>
            <w:tcW w:w="761" w:type="dxa"/>
            <w:vAlign w:val="center"/>
          </w:tcPr>
          <w:p w14:paraId="2730CDEE">
            <w:pPr>
              <w:spacing w:line="240" w:lineRule="auto"/>
              <w:ind w:firstLine="0" w:firstLineChars="0"/>
              <w:jc w:val="center"/>
              <w:rPr>
                <w:b w:val="0"/>
                <w:bCs w:val="0"/>
              </w:rPr>
            </w:pPr>
            <w:r>
              <w:rPr>
                <w:rFonts w:hint="eastAsia"/>
                <w:b w:val="0"/>
                <w:bCs w:val="0"/>
              </w:rPr>
              <w:t>把</w:t>
            </w:r>
          </w:p>
        </w:tc>
        <w:tc>
          <w:tcPr>
            <w:tcW w:w="655" w:type="dxa"/>
            <w:vAlign w:val="center"/>
          </w:tcPr>
          <w:p w14:paraId="484E82CF">
            <w:pPr>
              <w:spacing w:line="240" w:lineRule="auto"/>
              <w:ind w:firstLine="0" w:firstLineChars="0"/>
              <w:jc w:val="center"/>
              <w:rPr>
                <w:b w:val="0"/>
                <w:bCs w:val="0"/>
              </w:rPr>
            </w:pPr>
            <w:r>
              <w:rPr>
                <w:rFonts w:hint="eastAsia"/>
                <w:b w:val="0"/>
                <w:bCs w:val="0"/>
              </w:rPr>
              <w:t>24</w:t>
            </w:r>
            <w:r>
              <w:rPr>
                <w:b w:val="0"/>
                <w:bCs w:val="0"/>
              </w:rPr>
              <w:t>48</w:t>
            </w:r>
          </w:p>
        </w:tc>
        <w:tc>
          <w:tcPr>
            <w:tcW w:w="948" w:type="dxa"/>
            <w:vAlign w:val="center"/>
          </w:tcPr>
          <w:p w14:paraId="06FD0D94">
            <w:pPr>
              <w:spacing w:line="240" w:lineRule="auto"/>
              <w:ind w:firstLine="0" w:firstLineChars="0"/>
              <w:jc w:val="center"/>
              <w:rPr>
                <w:b w:val="0"/>
                <w:bCs w:val="0"/>
              </w:rPr>
            </w:pPr>
          </w:p>
        </w:tc>
      </w:tr>
      <w:tr w14:paraId="0EEB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16" w:type="dxa"/>
            <w:noWrap/>
            <w:vAlign w:val="center"/>
          </w:tcPr>
          <w:p w14:paraId="4EFE167A">
            <w:pPr>
              <w:spacing w:line="240" w:lineRule="auto"/>
              <w:ind w:firstLine="0" w:firstLineChars="0"/>
              <w:jc w:val="center"/>
              <w:rPr>
                <w:b w:val="0"/>
                <w:bCs w:val="0"/>
              </w:rPr>
            </w:pPr>
            <w:r>
              <w:rPr>
                <w:rFonts w:hint="eastAsia"/>
                <w:b w:val="0"/>
                <w:bCs w:val="0"/>
              </w:rPr>
              <w:t>3</w:t>
            </w:r>
          </w:p>
        </w:tc>
        <w:tc>
          <w:tcPr>
            <w:tcW w:w="1842" w:type="dxa"/>
            <w:noWrap/>
            <w:vAlign w:val="center"/>
          </w:tcPr>
          <w:p w14:paraId="04B13272">
            <w:pPr>
              <w:spacing w:line="240" w:lineRule="auto"/>
              <w:ind w:firstLine="0" w:firstLineChars="0"/>
              <w:jc w:val="center"/>
              <w:rPr>
                <w:b w:val="0"/>
                <w:bCs w:val="0"/>
              </w:rPr>
            </w:pPr>
            <w:r>
              <w:rPr>
                <w:snapToGrid/>
              </w:rPr>
              <w:drawing>
                <wp:inline distT="0" distB="0" distL="0" distR="0">
                  <wp:extent cx="882650" cy="663575"/>
                  <wp:effectExtent l="0" t="0" r="0"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882650" cy="663575"/>
                          </a:xfrm>
                          <a:prstGeom prst="rect">
                            <a:avLst/>
                          </a:prstGeom>
                          <a:noFill/>
                          <a:ln w="9525">
                            <a:noFill/>
                          </a:ln>
                        </pic:spPr>
                      </pic:pic>
                    </a:graphicData>
                  </a:graphic>
                </wp:inline>
              </w:drawing>
            </w:r>
          </w:p>
        </w:tc>
        <w:tc>
          <w:tcPr>
            <w:tcW w:w="1560" w:type="dxa"/>
            <w:noWrap/>
            <w:vAlign w:val="center"/>
          </w:tcPr>
          <w:p w14:paraId="1CE8F703">
            <w:pPr>
              <w:spacing w:line="240" w:lineRule="auto"/>
              <w:ind w:firstLine="0" w:firstLineChars="0"/>
              <w:jc w:val="center"/>
              <w:rPr>
                <w:b w:val="0"/>
                <w:bCs w:val="0"/>
              </w:rPr>
            </w:pPr>
            <w:r>
              <w:rPr>
                <w:rFonts w:hint="eastAsia"/>
                <w:b w:val="0"/>
                <w:bCs w:val="0"/>
              </w:rPr>
              <w:t>床</w:t>
            </w:r>
          </w:p>
        </w:tc>
        <w:tc>
          <w:tcPr>
            <w:tcW w:w="1701" w:type="dxa"/>
            <w:vAlign w:val="center"/>
          </w:tcPr>
          <w:p w14:paraId="3058FF63">
            <w:pPr>
              <w:spacing w:line="240" w:lineRule="auto"/>
              <w:ind w:firstLine="0" w:firstLineChars="0"/>
              <w:jc w:val="center"/>
              <w:rPr>
                <w:b w:val="0"/>
                <w:bCs w:val="0"/>
              </w:rPr>
            </w:pPr>
            <w:r>
              <w:rPr>
                <w:b w:val="0"/>
                <w:bCs w:val="0"/>
              </w:rPr>
              <w:t>2000*1000*450（±5mm）</w:t>
            </w:r>
          </w:p>
        </w:tc>
        <w:tc>
          <w:tcPr>
            <w:tcW w:w="992" w:type="dxa"/>
            <w:noWrap/>
            <w:vAlign w:val="center"/>
          </w:tcPr>
          <w:p w14:paraId="614A55E0">
            <w:pPr>
              <w:spacing w:line="240" w:lineRule="auto"/>
              <w:ind w:firstLine="0" w:firstLineChars="0"/>
              <w:jc w:val="center"/>
              <w:rPr>
                <w:b w:val="0"/>
                <w:bCs w:val="0"/>
              </w:rPr>
            </w:pPr>
            <w:r>
              <w:rPr>
                <w:rFonts w:hint="eastAsia"/>
                <w:b w:val="0"/>
                <w:bCs w:val="0"/>
              </w:rPr>
              <w:t>可选</w:t>
            </w:r>
          </w:p>
        </w:tc>
        <w:tc>
          <w:tcPr>
            <w:tcW w:w="11398" w:type="dxa"/>
            <w:vAlign w:val="center"/>
          </w:tcPr>
          <w:p w14:paraId="6DAE00F0">
            <w:pPr>
              <w:spacing w:line="240" w:lineRule="auto"/>
              <w:ind w:firstLine="0" w:firstLineChars="0"/>
              <w:rPr>
                <w:b w:val="0"/>
                <w:bCs w:val="0"/>
              </w:rPr>
            </w:pPr>
            <w:r>
              <w:rPr>
                <w:rFonts w:hint="eastAsia"/>
                <w:b w:val="0"/>
                <w:bCs w:val="0"/>
              </w:rPr>
              <w:t>基材：采用</w:t>
            </w:r>
            <w:r>
              <w:rPr>
                <w:b w:val="0"/>
                <w:bCs w:val="0"/>
              </w:rPr>
              <w:t>E0级优质刨花板，厚度≥18mm，甲醛释放量≤0.050mg/m³。</w:t>
            </w:r>
          </w:p>
          <w:p w14:paraId="4766F631">
            <w:pPr>
              <w:spacing w:line="240" w:lineRule="auto"/>
              <w:ind w:firstLine="0" w:firstLineChars="0"/>
              <w:rPr>
                <w:b w:val="0"/>
                <w:bCs w:val="0"/>
              </w:rPr>
            </w:pPr>
            <w:r>
              <w:rPr>
                <w:rFonts w:hint="eastAsia"/>
                <w:b w:val="0"/>
                <w:bCs w:val="0"/>
              </w:rPr>
              <w:t>饰面：正反三聚氰胺贴面，表面不可留有压痕、划伤、斑点和凹凸不平，同批产品不得出现明显色差。</w:t>
            </w:r>
          </w:p>
          <w:p w14:paraId="53FF8B25">
            <w:pPr>
              <w:spacing w:line="240" w:lineRule="auto"/>
              <w:ind w:firstLine="0" w:firstLineChars="0"/>
              <w:rPr>
                <w:b w:val="0"/>
                <w:bCs w:val="0"/>
              </w:rPr>
            </w:pPr>
            <w:r>
              <w:rPr>
                <w:rFonts w:hint="eastAsia"/>
                <w:b w:val="0"/>
                <w:bCs w:val="0"/>
              </w:rPr>
              <w:t>封边：优质</w:t>
            </w:r>
            <w:r>
              <w:rPr>
                <w:b w:val="0"/>
                <w:bCs w:val="0"/>
              </w:rPr>
              <w:t>PVC封边条封边。</w:t>
            </w:r>
          </w:p>
          <w:p w14:paraId="0D89E003">
            <w:pPr>
              <w:spacing w:line="240" w:lineRule="auto"/>
              <w:ind w:firstLine="0" w:firstLineChars="0"/>
              <w:rPr>
                <w:b w:val="0"/>
                <w:bCs w:val="0"/>
              </w:rPr>
            </w:pPr>
            <w:r>
              <w:rPr>
                <w:rFonts w:hint="eastAsia"/>
                <w:b w:val="0"/>
                <w:bCs w:val="0"/>
              </w:rPr>
              <w:t>胶水：环保型胶水。</w:t>
            </w:r>
          </w:p>
          <w:p w14:paraId="7BCD5534">
            <w:pPr>
              <w:spacing w:line="240" w:lineRule="auto"/>
              <w:ind w:firstLine="0" w:firstLineChars="0"/>
              <w:rPr>
                <w:b w:val="0"/>
                <w:bCs w:val="0"/>
              </w:rPr>
            </w:pPr>
            <w:r>
              <w:rPr>
                <w:rFonts w:hint="eastAsia"/>
                <w:b w:val="0"/>
                <w:bCs w:val="0"/>
              </w:rPr>
              <w:t>其他：（不含床垫被褥等）</w:t>
            </w:r>
          </w:p>
        </w:tc>
        <w:tc>
          <w:tcPr>
            <w:tcW w:w="761" w:type="dxa"/>
            <w:vAlign w:val="center"/>
          </w:tcPr>
          <w:p w14:paraId="0F4A9C23">
            <w:pPr>
              <w:spacing w:line="240" w:lineRule="auto"/>
              <w:ind w:firstLine="0" w:firstLineChars="0"/>
              <w:jc w:val="center"/>
              <w:rPr>
                <w:b w:val="0"/>
                <w:bCs w:val="0"/>
              </w:rPr>
            </w:pPr>
            <w:r>
              <w:rPr>
                <w:rFonts w:hint="eastAsia"/>
                <w:b w:val="0"/>
                <w:bCs w:val="0"/>
              </w:rPr>
              <w:t>张</w:t>
            </w:r>
          </w:p>
        </w:tc>
        <w:tc>
          <w:tcPr>
            <w:tcW w:w="655" w:type="dxa"/>
            <w:vAlign w:val="center"/>
          </w:tcPr>
          <w:p w14:paraId="3C54A216">
            <w:pPr>
              <w:spacing w:line="240" w:lineRule="auto"/>
              <w:ind w:firstLine="0" w:firstLineChars="0"/>
              <w:jc w:val="center"/>
              <w:rPr>
                <w:b w:val="0"/>
                <w:bCs w:val="0"/>
              </w:rPr>
            </w:pPr>
            <w:r>
              <w:rPr>
                <w:rFonts w:hint="eastAsia"/>
                <w:b w:val="0"/>
                <w:bCs w:val="0"/>
              </w:rPr>
              <w:t>12</w:t>
            </w:r>
          </w:p>
        </w:tc>
        <w:tc>
          <w:tcPr>
            <w:tcW w:w="948" w:type="dxa"/>
            <w:vAlign w:val="center"/>
          </w:tcPr>
          <w:p w14:paraId="15DB08C0">
            <w:pPr>
              <w:spacing w:line="240" w:lineRule="auto"/>
              <w:ind w:firstLine="0" w:firstLineChars="0"/>
              <w:jc w:val="center"/>
              <w:rPr>
                <w:b w:val="0"/>
                <w:bCs w:val="0"/>
              </w:rPr>
            </w:pPr>
          </w:p>
        </w:tc>
      </w:tr>
      <w:tr w14:paraId="11C9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16" w:type="dxa"/>
            <w:noWrap/>
            <w:vAlign w:val="center"/>
          </w:tcPr>
          <w:p w14:paraId="2E1605F6">
            <w:pPr>
              <w:spacing w:line="240" w:lineRule="auto"/>
              <w:ind w:firstLine="0" w:firstLineChars="0"/>
              <w:jc w:val="center"/>
              <w:rPr>
                <w:b w:val="0"/>
                <w:bCs w:val="0"/>
              </w:rPr>
            </w:pPr>
            <w:r>
              <w:rPr>
                <w:rFonts w:hint="eastAsia"/>
                <w:b w:val="0"/>
                <w:bCs w:val="0"/>
              </w:rPr>
              <w:t>4</w:t>
            </w:r>
          </w:p>
        </w:tc>
        <w:tc>
          <w:tcPr>
            <w:tcW w:w="1842" w:type="dxa"/>
            <w:noWrap/>
            <w:vAlign w:val="center"/>
          </w:tcPr>
          <w:p w14:paraId="1DEF6B23">
            <w:pPr>
              <w:spacing w:line="240" w:lineRule="auto"/>
              <w:ind w:firstLine="0" w:firstLineChars="0"/>
              <w:jc w:val="center"/>
              <w:rPr>
                <w:b w:val="0"/>
                <w:bCs w:val="0"/>
              </w:rPr>
            </w:pPr>
            <w:r>
              <w:rPr>
                <w:snapToGrid/>
              </w:rPr>
              <w:drawing>
                <wp:inline distT="0" distB="0" distL="0" distR="0">
                  <wp:extent cx="482600" cy="80772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5"/>
                          <a:stretch>
                            <a:fillRect/>
                          </a:stretch>
                        </pic:blipFill>
                        <pic:spPr>
                          <a:xfrm>
                            <a:off x="0" y="0"/>
                            <a:ext cx="485064" cy="811955"/>
                          </a:xfrm>
                          <a:prstGeom prst="rect">
                            <a:avLst/>
                          </a:prstGeom>
                          <a:noFill/>
                          <a:ln w="9525">
                            <a:noFill/>
                          </a:ln>
                        </pic:spPr>
                      </pic:pic>
                    </a:graphicData>
                  </a:graphic>
                </wp:inline>
              </w:drawing>
            </w:r>
          </w:p>
        </w:tc>
        <w:tc>
          <w:tcPr>
            <w:tcW w:w="1560" w:type="dxa"/>
            <w:noWrap/>
            <w:vAlign w:val="center"/>
          </w:tcPr>
          <w:p w14:paraId="04EDDD1C">
            <w:pPr>
              <w:spacing w:line="240" w:lineRule="auto"/>
              <w:ind w:firstLine="0" w:firstLineChars="0"/>
              <w:jc w:val="center"/>
              <w:rPr>
                <w:b w:val="0"/>
                <w:bCs w:val="0"/>
              </w:rPr>
            </w:pPr>
            <w:r>
              <w:rPr>
                <w:rFonts w:hint="eastAsia"/>
                <w:b w:val="0"/>
                <w:bCs w:val="0"/>
              </w:rPr>
              <w:t>衣柜</w:t>
            </w:r>
          </w:p>
        </w:tc>
        <w:tc>
          <w:tcPr>
            <w:tcW w:w="1701" w:type="dxa"/>
            <w:vAlign w:val="center"/>
          </w:tcPr>
          <w:p w14:paraId="344821E9">
            <w:pPr>
              <w:spacing w:line="240" w:lineRule="auto"/>
              <w:ind w:firstLine="0" w:firstLineChars="0"/>
              <w:jc w:val="center"/>
              <w:rPr>
                <w:b w:val="0"/>
                <w:bCs w:val="0"/>
              </w:rPr>
            </w:pPr>
            <w:r>
              <w:rPr>
                <w:b w:val="0"/>
                <w:bCs w:val="0"/>
              </w:rPr>
              <w:t>1000*500*200</w:t>
            </w:r>
            <w:r>
              <w:rPr>
                <w:rFonts w:hint="eastAsia"/>
                <w:b w:val="0"/>
                <w:bCs w:val="0"/>
              </w:rPr>
              <w:t>0（±</w:t>
            </w:r>
            <w:r>
              <w:rPr>
                <w:b w:val="0"/>
                <w:bCs w:val="0"/>
              </w:rPr>
              <w:t>5mm）</w:t>
            </w:r>
          </w:p>
        </w:tc>
        <w:tc>
          <w:tcPr>
            <w:tcW w:w="992" w:type="dxa"/>
            <w:noWrap/>
            <w:vAlign w:val="center"/>
          </w:tcPr>
          <w:p w14:paraId="4E49BDF6">
            <w:pPr>
              <w:spacing w:line="240" w:lineRule="auto"/>
              <w:ind w:firstLine="0" w:firstLineChars="0"/>
              <w:jc w:val="center"/>
              <w:rPr>
                <w:b w:val="0"/>
                <w:bCs w:val="0"/>
              </w:rPr>
            </w:pPr>
            <w:r>
              <w:rPr>
                <w:rFonts w:hint="eastAsia"/>
                <w:b w:val="0"/>
                <w:bCs w:val="0"/>
              </w:rPr>
              <w:t>可选</w:t>
            </w:r>
          </w:p>
        </w:tc>
        <w:tc>
          <w:tcPr>
            <w:tcW w:w="11398" w:type="dxa"/>
            <w:vAlign w:val="center"/>
          </w:tcPr>
          <w:p w14:paraId="4F50AC98">
            <w:pPr>
              <w:spacing w:line="240" w:lineRule="auto"/>
              <w:ind w:firstLine="0" w:firstLineChars="0"/>
              <w:rPr>
                <w:b w:val="0"/>
                <w:bCs w:val="0"/>
              </w:rPr>
            </w:pPr>
            <w:r>
              <w:rPr>
                <w:rFonts w:hint="eastAsia"/>
                <w:b w:val="0"/>
                <w:bCs w:val="0"/>
              </w:rPr>
              <w:t>基材：采用</w:t>
            </w:r>
            <w:r>
              <w:rPr>
                <w:b w:val="0"/>
                <w:bCs w:val="0"/>
              </w:rPr>
              <w:t>E0级优质刨花板，厚度≥18mm，甲醛释放量≤0.050mg/m³。</w:t>
            </w:r>
          </w:p>
          <w:p w14:paraId="64FA188F">
            <w:pPr>
              <w:spacing w:line="240" w:lineRule="auto"/>
              <w:ind w:firstLine="0" w:firstLineChars="0"/>
              <w:rPr>
                <w:b w:val="0"/>
                <w:bCs w:val="0"/>
              </w:rPr>
            </w:pPr>
            <w:r>
              <w:rPr>
                <w:rFonts w:hint="eastAsia"/>
                <w:b w:val="0"/>
                <w:bCs w:val="0"/>
              </w:rPr>
              <w:t>饰面：正反三聚氰胺贴面，表面不可留有压痕、划伤、斑点和凹凸不平，同批产品不得出现明显色差。</w:t>
            </w:r>
          </w:p>
          <w:p w14:paraId="698D21E1">
            <w:pPr>
              <w:spacing w:line="240" w:lineRule="auto"/>
              <w:ind w:firstLine="0" w:firstLineChars="0"/>
              <w:rPr>
                <w:b w:val="0"/>
                <w:bCs w:val="0"/>
              </w:rPr>
            </w:pPr>
            <w:r>
              <w:rPr>
                <w:rFonts w:hint="eastAsia"/>
                <w:b w:val="0"/>
                <w:bCs w:val="0"/>
              </w:rPr>
              <w:t>封边：优质</w:t>
            </w:r>
            <w:r>
              <w:rPr>
                <w:b w:val="0"/>
                <w:bCs w:val="0"/>
              </w:rPr>
              <w:t>PVC封边条封边。</w:t>
            </w:r>
          </w:p>
          <w:p w14:paraId="66599F36">
            <w:pPr>
              <w:spacing w:line="240" w:lineRule="auto"/>
              <w:ind w:firstLine="0" w:firstLineChars="0"/>
              <w:rPr>
                <w:b w:val="0"/>
                <w:bCs w:val="0"/>
              </w:rPr>
            </w:pPr>
            <w:r>
              <w:rPr>
                <w:rFonts w:hint="eastAsia"/>
                <w:b w:val="0"/>
                <w:bCs w:val="0"/>
              </w:rPr>
              <w:t>胶水：环保型胶水。</w:t>
            </w:r>
          </w:p>
          <w:p w14:paraId="173DB8BB">
            <w:pPr>
              <w:spacing w:line="240" w:lineRule="auto"/>
              <w:ind w:firstLine="0" w:firstLineChars="0"/>
              <w:rPr>
                <w:b w:val="0"/>
                <w:bCs w:val="0"/>
              </w:rPr>
            </w:pPr>
            <w:r>
              <w:rPr>
                <w:rFonts w:hint="eastAsia"/>
                <w:b w:val="0"/>
                <w:bCs w:val="0"/>
              </w:rPr>
              <w:t>五金件：阻尼铰链等五金配件。</w:t>
            </w:r>
          </w:p>
          <w:p w14:paraId="7E0969CB">
            <w:pPr>
              <w:spacing w:line="240" w:lineRule="auto"/>
              <w:ind w:firstLine="0" w:firstLineChars="0"/>
              <w:rPr>
                <w:b w:val="0"/>
                <w:bCs w:val="0"/>
              </w:rPr>
            </w:pPr>
            <w:r>
              <w:rPr>
                <w:rFonts w:hint="eastAsia"/>
                <w:b w:val="0"/>
                <w:bCs w:val="0"/>
              </w:rPr>
              <w:t>其他要求：柜内上部配置</w:t>
            </w:r>
            <w:r>
              <w:rPr>
                <w:b w:val="0"/>
                <w:bCs w:val="0"/>
              </w:rPr>
              <w:t>1根铝合金挂衣杆，中部1块固定层板，下部1块活动层板。</w:t>
            </w:r>
          </w:p>
        </w:tc>
        <w:tc>
          <w:tcPr>
            <w:tcW w:w="761" w:type="dxa"/>
            <w:vAlign w:val="center"/>
          </w:tcPr>
          <w:p w14:paraId="4A2C925F">
            <w:pPr>
              <w:spacing w:line="240" w:lineRule="auto"/>
              <w:ind w:firstLine="0" w:firstLineChars="0"/>
              <w:jc w:val="center"/>
              <w:rPr>
                <w:b w:val="0"/>
                <w:bCs w:val="0"/>
              </w:rPr>
            </w:pPr>
            <w:r>
              <w:rPr>
                <w:rFonts w:hint="eastAsia"/>
                <w:b w:val="0"/>
                <w:bCs w:val="0"/>
              </w:rPr>
              <w:t>只</w:t>
            </w:r>
          </w:p>
        </w:tc>
        <w:tc>
          <w:tcPr>
            <w:tcW w:w="655" w:type="dxa"/>
            <w:vAlign w:val="center"/>
          </w:tcPr>
          <w:p w14:paraId="2AF829A5">
            <w:pPr>
              <w:spacing w:line="240" w:lineRule="auto"/>
              <w:ind w:firstLine="0" w:firstLineChars="0"/>
              <w:jc w:val="center"/>
              <w:rPr>
                <w:b w:val="0"/>
                <w:bCs w:val="0"/>
              </w:rPr>
            </w:pPr>
            <w:r>
              <w:rPr>
                <w:rFonts w:hint="eastAsia"/>
                <w:b w:val="0"/>
                <w:bCs w:val="0"/>
              </w:rPr>
              <w:t>12</w:t>
            </w:r>
          </w:p>
        </w:tc>
        <w:tc>
          <w:tcPr>
            <w:tcW w:w="948" w:type="dxa"/>
            <w:vAlign w:val="center"/>
          </w:tcPr>
          <w:p w14:paraId="0D625E56">
            <w:pPr>
              <w:spacing w:line="240" w:lineRule="auto"/>
              <w:ind w:firstLine="0" w:firstLineChars="0"/>
              <w:jc w:val="center"/>
              <w:rPr>
                <w:b w:val="0"/>
                <w:bCs w:val="0"/>
              </w:rPr>
            </w:pPr>
          </w:p>
        </w:tc>
      </w:tr>
      <w:tr w14:paraId="34A4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16" w:type="dxa"/>
            <w:noWrap/>
            <w:vAlign w:val="center"/>
          </w:tcPr>
          <w:p w14:paraId="431216E5">
            <w:pPr>
              <w:spacing w:line="240" w:lineRule="auto"/>
              <w:ind w:firstLine="0" w:firstLineChars="0"/>
              <w:jc w:val="center"/>
              <w:rPr>
                <w:b w:val="0"/>
                <w:bCs w:val="0"/>
              </w:rPr>
            </w:pPr>
            <w:r>
              <w:rPr>
                <w:rFonts w:hint="eastAsia"/>
                <w:b w:val="0"/>
                <w:bCs w:val="0"/>
              </w:rPr>
              <w:t>5</w:t>
            </w:r>
          </w:p>
        </w:tc>
        <w:tc>
          <w:tcPr>
            <w:tcW w:w="1842" w:type="dxa"/>
            <w:noWrap/>
            <w:vAlign w:val="center"/>
          </w:tcPr>
          <w:p w14:paraId="280526B6">
            <w:pPr>
              <w:spacing w:line="240" w:lineRule="auto"/>
              <w:ind w:firstLine="0" w:firstLineChars="0"/>
              <w:jc w:val="center"/>
              <w:rPr>
                <w:b w:val="0"/>
                <w:bCs w:val="0"/>
              </w:rPr>
            </w:pPr>
            <w:r>
              <w:rPr>
                <w:snapToGrid/>
              </w:rPr>
              <w:drawing>
                <wp:inline distT="0" distB="0" distL="0" distR="0">
                  <wp:extent cx="968375" cy="633095"/>
                  <wp:effectExtent l="0" t="0" r="3175"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6"/>
                          <a:stretch>
                            <a:fillRect/>
                          </a:stretch>
                        </pic:blipFill>
                        <pic:spPr>
                          <a:xfrm>
                            <a:off x="0" y="0"/>
                            <a:ext cx="968375" cy="633095"/>
                          </a:xfrm>
                          <a:prstGeom prst="rect">
                            <a:avLst/>
                          </a:prstGeom>
                          <a:noFill/>
                          <a:ln w="9525">
                            <a:noFill/>
                          </a:ln>
                        </pic:spPr>
                      </pic:pic>
                    </a:graphicData>
                  </a:graphic>
                </wp:inline>
              </w:drawing>
            </w:r>
          </w:p>
        </w:tc>
        <w:tc>
          <w:tcPr>
            <w:tcW w:w="1560" w:type="dxa"/>
            <w:noWrap/>
            <w:vAlign w:val="center"/>
          </w:tcPr>
          <w:p w14:paraId="68AACD96">
            <w:pPr>
              <w:spacing w:line="240" w:lineRule="auto"/>
              <w:ind w:firstLine="0" w:firstLineChars="0"/>
              <w:jc w:val="center"/>
              <w:rPr>
                <w:b w:val="0"/>
                <w:bCs w:val="0"/>
              </w:rPr>
            </w:pPr>
            <w:r>
              <w:rPr>
                <w:rFonts w:hint="eastAsia"/>
                <w:b w:val="0"/>
                <w:bCs w:val="0"/>
              </w:rPr>
              <w:t>写字台</w:t>
            </w:r>
          </w:p>
        </w:tc>
        <w:tc>
          <w:tcPr>
            <w:tcW w:w="1701" w:type="dxa"/>
            <w:vAlign w:val="center"/>
          </w:tcPr>
          <w:p w14:paraId="7B9DD98B">
            <w:pPr>
              <w:spacing w:line="240" w:lineRule="auto"/>
              <w:ind w:firstLine="0" w:firstLineChars="0"/>
              <w:jc w:val="center"/>
              <w:rPr>
                <w:b w:val="0"/>
                <w:bCs w:val="0"/>
              </w:rPr>
            </w:pPr>
            <w:r>
              <w:rPr>
                <w:b w:val="0"/>
                <w:bCs w:val="0"/>
              </w:rPr>
              <w:t>1400*600*750</w:t>
            </w:r>
            <w:r>
              <w:rPr>
                <w:rFonts w:hint="eastAsia"/>
                <w:b w:val="0"/>
                <w:bCs w:val="0"/>
              </w:rPr>
              <w:t>（±</w:t>
            </w:r>
            <w:r>
              <w:rPr>
                <w:b w:val="0"/>
                <w:bCs w:val="0"/>
              </w:rPr>
              <w:t>5mm）</w:t>
            </w:r>
          </w:p>
        </w:tc>
        <w:tc>
          <w:tcPr>
            <w:tcW w:w="992" w:type="dxa"/>
            <w:noWrap/>
            <w:vAlign w:val="center"/>
          </w:tcPr>
          <w:p w14:paraId="0F7A7248">
            <w:pPr>
              <w:spacing w:line="240" w:lineRule="auto"/>
              <w:ind w:firstLine="0" w:firstLineChars="0"/>
              <w:jc w:val="center"/>
              <w:rPr>
                <w:b w:val="0"/>
                <w:bCs w:val="0"/>
              </w:rPr>
            </w:pPr>
            <w:r>
              <w:rPr>
                <w:rFonts w:hint="eastAsia"/>
                <w:b w:val="0"/>
                <w:bCs w:val="0"/>
              </w:rPr>
              <w:t>可选</w:t>
            </w:r>
          </w:p>
          <w:p w14:paraId="71AF9278">
            <w:pPr>
              <w:spacing w:line="240" w:lineRule="auto"/>
              <w:ind w:firstLine="420"/>
              <w:jc w:val="center"/>
              <w:rPr>
                <w:b w:val="0"/>
                <w:bCs w:val="0"/>
              </w:rPr>
            </w:pPr>
          </w:p>
        </w:tc>
        <w:tc>
          <w:tcPr>
            <w:tcW w:w="11398" w:type="dxa"/>
            <w:vAlign w:val="center"/>
          </w:tcPr>
          <w:p w14:paraId="7EEA5200">
            <w:pPr>
              <w:spacing w:line="240" w:lineRule="auto"/>
              <w:ind w:firstLine="0" w:firstLineChars="0"/>
              <w:rPr>
                <w:b w:val="0"/>
                <w:bCs w:val="0"/>
              </w:rPr>
            </w:pPr>
            <w:r>
              <w:rPr>
                <w:rFonts w:hint="eastAsia"/>
                <w:b w:val="0"/>
                <w:bCs w:val="0"/>
              </w:rPr>
              <w:t>基材：采用</w:t>
            </w:r>
            <w:r>
              <w:rPr>
                <w:b w:val="0"/>
                <w:bCs w:val="0"/>
              </w:rPr>
              <w:t xml:space="preserve">E0级优质刨花板，桌面厚≥25mm。其余部件板材除斗底板外均≥18mm厚，甲醛释放量≤0.050mg/m³。 </w:t>
            </w:r>
          </w:p>
          <w:p w14:paraId="7E58C5B4">
            <w:pPr>
              <w:spacing w:line="240" w:lineRule="auto"/>
              <w:ind w:firstLine="0" w:firstLineChars="0"/>
              <w:rPr>
                <w:b w:val="0"/>
                <w:bCs w:val="0"/>
              </w:rPr>
            </w:pPr>
            <w:r>
              <w:rPr>
                <w:rFonts w:hint="eastAsia"/>
                <w:b w:val="0"/>
                <w:bCs w:val="0"/>
              </w:rPr>
              <w:t>饰面：正反三聚氰胺贴面，表面不可留有压痕、划伤、斑点和凹凸不平，同批产品不得出现明显色差。</w:t>
            </w:r>
          </w:p>
          <w:p w14:paraId="2EA58666">
            <w:pPr>
              <w:spacing w:line="240" w:lineRule="auto"/>
              <w:ind w:firstLine="0" w:firstLineChars="0"/>
              <w:rPr>
                <w:b w:val="0"/>
                <w:bCs w:val="0"/>
              </w:rPr>
            </w:pPr>
            <w:r>
              <w:rPr>
                <w:rFonts w:hint="eastAsia"/>
                <w:b w:val="0"/>
                <w:bCs w:val="0"/>
              </w:rPr>
              <w:t>封边：优质</w:t>
            </w:r>
            <w:r>
              <w:rPr>
                <w:b w:val="0"/>
                <w:bCs w:val="0"/>
              </w:rPr>
              <w:t>PVC封边条封边。</w:t>
            </w:r>
          </w:p>
          <w:p w14:paraId="1F21C236">
            <w:pPr>
              <w:spacing w:line="240" w:lineRule="auto"/>
              <w:ind w:firstLine="0" w:firstLineChars="0"/>
              <w:rPr>
                <w:b w:val="0"/>
                <w:bCs w:val="0"/>
              </w:rPr>
            </w:pPr>
            <w:r>
              <w:rPr>
                <w:rFonts w:hint="eastAsia"/>
                <w:b w:val="0"/>
                <w:bCs w:val="0"/>
              </w:rPr>
              <w:t>胶水：优质环保型胶水。</w:t>
            </w:r>
          </w:p>
          <w:p w14:paraId="6D244C35">
            <w:pPr>
              <w:spacing w:line="240" w:lineRule="auto"/>
              <w:ind w:firstLine="0" w:firstLineChars="0"/>
              <w:rPr>
                <w:b w:val="0"/>
                <w:bCs w:val="0"/>
              </w:rPr>
            </w:pPr>
            <w:r>
              <w:rPr>
                <w:rFonts w:hint="eastAsia"/>
                <w:b w:val="0"/>
                <w:bCs w:val="0"/>
              </w:rPr>
              <w:t>五金件：三节导轨、阻尼铰链等优质五金配件。</w:t>
            </w:r>
          </w:p>
          <w:p w14:paraId="7792F1DD">
            <w:pPr>
              <w:spacing w:line="240" w:lineRule="auto"/>
              <w:ind w:firstLine="0" w:firstLineChars="0"/>
              <w:rPr>
                <w:b w:val="0"/>
                <w:bCs w:val="0"/>
              </w:rPr>
            </w:pPr>
            <w:r>
              <w:rPr>
                <w:rFonts w:hint="eastAsia"/>
                <w:b w:val="0"/>
                <w:bCs w:val="0"/>
              </w:rPr>
              <w:t>其他要求：写字台为</w:t>
            </w:r>
            <w:r>
              <w:rPr>
                <w:b w:val="0"/>
                <w:bCs w:val="0"/>
              </w:rPr>
              <w:t>1斗一门，门内1块活动层板。</w:t>
            </w:r>
          </w:p>
        </w:tc>
        <w:tc>
          <w:tcPr>
            <w:tcW w:w="761" w:type="dxa"/>
            <w:vAlign w:val="center"/>
          </w:tcPr>
          <w:p w14:paraId="5B559741">
            <w:pPr>
              <w:spacing w:line="240" w:lineRule="auto"/>
              <w:ind w:firstLine="0" w:firstLineChars="0"/>
              <w:jc w:val="center"/>
              <w:rPr>
                <w:b w:val="0"/>
                <w:bCs w:val="0"/>
              </w:rPr>
            </w:pPr>
            <w:r>
              <w:rPr>
                <w:rFonts w:hint="eastAsia"/>
                <w:b w:val="0"/>
                <w:bCs w:val="0"/>
              </w:rPr>
              <w:t>张</w:t>
            </w:r>
          </w:p>
        </w:tc>
        <w:tc>
          <w:tcPr>
            <w:tcW w:w="655" w:type="dxa"/>
            <w:vAlign w:val="center"/>
          </w:tcPr>
          <w:p w14:paraId="7D988F12">
            <w:pPr>
              <w:spacing w:line="240" w:lineRule="auto"/>
              <w:ind w:firstLine="0" w:firstLineChars="0"/>
              <w:jc w:val="center"/>
              <w:rPr>
                <w:b w:val="0"/>
                <w:bCs w:val="0"/>
              </w:rPr>
            </w:pPr>
            <w:r>
              <w:rPr>
                <w:rFonts w:hint="eastAsia"/>
                <w:b w:val="0"/>
                <w:bCs w:val="0"/>
              </w:rPr>
              <w:t>12</w:t>
            </w:r>
          </w:p>
        </w:tc>
        <w:tc>
          <w:tcPr>
            <w:tcW w:w="948" w:type="dxa"/>
            <w:vAlign w:val="center"/>
          </w:tcPr>
          <w:p w14:paraId="60B5AC69">
            <w:pPr>
              <w:spacing w:line="240" w:lineRule="auto"/>
              <w:ind w:firstLine="0" w:firstLineChars="0"/>
              <w:jc w:val="center"/>
              <w:rPr>
                <w:b w:val="0"/>
                <w:bCs w:val="0"/>
              </w:rPr>
            </w:pPr>
          </w:p>
        </w:tc>
      </w:tr>
      <w:tr w14:paraId="70639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16" w:type="dxa"/>
            <w:noWrap/>
            <w:vAlign w:val="center"/>
          </w:tcPr>
          <w:p w14:paraId="42BC93CF">
            <w:pPr>
              <w:spacing w:line="240" w:lineRule="auto"/>
              <w:ind w:firstLine="0" w:firstLineChars="0"/>
              <w:jc w:val="center"/>
              <w:rPr>
                <w:b w:val="0"/>
                <w:bCs w:val="0"/>
              </w:rPr>
            </w:pPr>
            <w:r>
              <w:rPr>
                <w:rFonts w:hint="eastAsia"/>
                <w:b w:val="0"/>
                <w:bCs w:val="0"/>
              </w:rPr>
              <w:t>6</w:t>
            </w:r>
          </w:p>
        </w:tc>
        <w:tc>
          <w:tcPr>
            <w:tcW w:w="1842" w:type="dxa"/>
            <w:noWrap/>
            <w:vAlign w:val="center"/>
          </w:tcPr>
          <w:p w14:paraId="577F3196">
            <w:pPr>
              <w:spacing w:line="240" w:lineRule="auto"/>
              <w:ind w:firstLine="0" w:firstLineChars="0"/>
              <w:jc w:val="center"/>
              <w:rPr>
                <w:b w:val="0"/>
                <w:bCs w:val="0"/>
              </w:rPr>
            </w:pPr>
            <w:r>
              <w:rPr>
                <w:snapToGrid/>
              </w:rPr>
              <w:drawing>
                <wp:inline distT="0" distB="0" distL="0" distR="0">
                  <wp:extent cx="774700" cy="705485"/>
                  <wp:effectExtent l="0" t="0" r="63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tretch>
                            <a:fillRect/>
                          </a:stretch>
                        </pic:blipFill>
                        <pic:spPr>
                          <a:xfrm>
                            <a:off x="0" y="0"/>
                            <a:ext cx="775246" cy="705960"/>
                          </a:xfrm>
                          <a:prstGeom prst="rect">
                            <a:avLst/>
                          </a:prstGeom>
                        </pic:spPr>
                      </pic:pic>
                    </a:graphicData>
                  </a:graphic>
                </wp:inline>
              </w:drawing>
            </w:r>
          </w:p>
        </w:tc>
        <w:tc>
          <w:tcPr>
            <w:tcW w:w="1560" w:type="dxa"/>
            <w:noWrap/>
            <w:vAlign w:val="center"/>
          </w:tcPr>
          <w:p w14:paraId="459E199D">
            <w:pPr>
              <w:spacing w:line="240" w:lineRule="auto"/>
              <w:ind w:firstLine="0" w:firstLineChars="0"/>
              <w:jc w:val="center"/>
              <w:rPr>
                <w:b w:val="0"/>
                <w:bCs w:val="0"/>
              </w:rPr>
            </w:pPr>
            <w:r>
              <w:rPr>
                <w:rFonts w:hint="eastAsia"/>
                <w:b w:val="0"/>
                <w:bCs w:val="0"/>
              </w:rPr>
              <w:t>休闲桌</w:t>
            </w:r>
          </w:p>
        </w:tc>
        <w:tc>
          <w:tcPr>
            <w:tcW w:w="1701" w:type="dxa"/>
            <w:vAlign w:val="center"/>
          </w:tcPr>
          <w:p w14:paraId="5D4978DF">
            <w:pPr>
              <w:spacing w:line="240" w:lineRule="auto"/>
              <w:ind w:firstLine="0" w:firstLineChars="0"/>
              <w:jc w:val="center"/>
              <w:rPr>
                <w:b w:val="0"/>
                <w:bCs w:val="0"/>
              </w:rPr>
            </w:pPr>
            <w:r>
              <w:rPr>
                <w:rFonts w:hint="eastAsia"/>
                <w:b w:val="0"/>
                <w:bCs w:val="0"/>
              </w:rPr>
              <w:t>直径600*750（±</w:t>
            </w:r>
            <w:r>
              <w:rPr>
                <w:b w:val="0"/>
                <w:bCs w:val="0"/>
              </w:rPr>
              <w:t>5mm）</w:t>
            </w:r>
          </w:p>
        </w:tc>
        <w:tc>
          <w:tcPr>
            <w:tcW w:w="992" w:type="dxa"/>
            <w:noWrap/>
            <w:vAlign w:val="center"/>
          </w:tcPr>
          <w:p w14:paraId="66AEDEDF">
            <w:pPr>
              <w:spacing w:line="240" w:lineRule="auto"/>
              <w:ind w:firstLine="0" w:firstLineChars="0"/>
              <w:jc w:val="center"/>
              <w:rPr>
                <w:b w:val="0"/>
                <w:bCs w:val="0"/>
              </w:rPr>
            </w:pPr>
            <w:r>
              <w:rPr>
                <w:rFonts w:hint="eastAsia"/>
                <w:b w:val="0"/>
                <w:bCs w:val="0"/>
              </w:rPr>
              <w:t>可选</w:t>
            </w:r>
          </w:p>
        </w:tc>
        <w:tc>
          <w:tcPr>
            <w:tcW w:w="11398" w:type="dxa"/>
            <w:vAlign w:val="center"/>
          </w:tcPr>
          <w:p w14:paraId="72C18ABB">
            <w:pPr>
              <w:spacing w:line="240" w:lineRule="auto"/>
              <w:ind w:firstLine="0" w:firstLineChars="0"/>
              <w:rPr>
                <w:b w:val="0"/>
                <w:bCs w:val="0"/>
              </w:rPr>
            </w:pPr>
            <w:r>
              <w:rPr>
                <w:rFonts w:hint="eastAsia"/>
                <w:b w:val="0"/>
                <w:bCs w:val="0"/>
              </w:rPr>
              <w:t>桌面：采用</w:t>
            </w:r>
            <w:r>
              <w:rPr>
                <w:b w:val="0"/>
                <w:bCs w:val="0"/>
              </w:rPr>
              <w:t xml:space="preserve">E0级优质刨花板，厚度≥25mm，甲醛释放量≤0.050mg/m³ 。 </w:t>
            </w:r>
          </w:p>
          <w:p w14:paraId="05F42D76">
            <w:pPr>
              <w:spacing w:line="240" w:lineRule="auto"/>
              <w:ind w:firstLine="0" w:firstLineChars="0"/>
              <w:rPr>
                <w:b w:val="0"/>
                <w:bCs w:val="0"/>
              </w:rPr>
            </w:pPr>
            <w:r>
              <w:rPr>
                <w:rFonts w:hint="eastAsia"/>
                <w:b w:val="0"/>
                <w:bCs w:val="0"/>
              </w:rPr>
              <w:t>饰面：正反三聚氰胺贴面，表面不可留有压痕、划伤、斑点和凹凸不平，同批产品不得出现明显色差。</w:t>
            </w:r>
          </w:p>
          <w:p w14:paraId="0380AF5C">
            <w:pPr>
              <w:spacing w:line="240" w:lineRule="auto"/>
              <w:ind w:firstLine="0" w:firstLineChars="0"/>
              <w:rPr>
                <w:b w:val="0"/>
                <w:bCs w:val="0"/>
              </w:rPr>
            </w:pPr>
            <w:r>
              <w:rPr>
                <w:rFonts w:hint="eastAsia"/>
                <w:b w:val="0"/>
                <w:bCs w:val="0"/>
              </w:rPr>
              <w:t>封边：优质</w:t>
            </w:r>
            <w:r>
              <w:rPr>
                <w:b w:val="0"/>
                <w:bCs w:val="0"/>
              </w:rPr>
              <w:t>PVC封边条封边。</w:t>
            </w:r>
          </w:p>
          <w:p w14:paraId="7AD40554">
            <w:pPr>
              <w:spacing w:line="240" w:lineRule="auto"/>
              <w:ind w:firstLine="0" w:firstLineChars="0"/>
              <w:rPr>
                <w:b w:val="0"/>
                <w:bCs w:val="0"/>
              </w:rPr>
            </w:pPr>
            <w:r>
              <w:rPr>
                <w:rFonts w:hint="eastAsia"/>
                <w:b w:val="0"/>
                <w:bCs w:val="0"/>
              </w:rPr>
              <w:t>胶水：优质环保型胶水。</w:t>
            </w:r>
          </w:p>
          <w:p w14:paraId="5DA90560">
            <w:pPr>
              <w:spacing w:line="240" w:lineRule="auto"/>
              <w:ind w:firstLine="0" w:firstLineChars="0"/>
              <w:rPr>
                <w:b w:val="0"/>
                <w:bCs w:val="0"/>
              </w:rPr>
            </w:pPr>
            <w:r>
              <w:rPr>
                <w:rFonts w:hint="eastAsia"/>
                <w:b w:val="0"/>
                <w:bCs w:val="0"/>
              </w:rPr>
              <w:t>桌架：采用优质钢管，φ</w:t>
            </w:r>
            <w:r>
              <w:rPr>
                <w:b w:val="0"/>
                <w:bCs w:val="0"/>
              </w:rPr>
              <w:t>60圆管，壁厚≥1.5mm。二氧化碳气体保护焊工艺，表面经酸洗磷化，静电喷涂。直径500圆形底盘。</w:t>
            </w:r>
          </w:p>
        </w:tc>
        <w:tc>
          <w:tcPr>
            <w:tcW w:w="761" w:type="dxa"/>
            <w:vAlign w:val="center"/>
          </w:tcPr>
          <w:p w14:paraId="38401116">
            <w:pPr>
              <w:spacing w:line="240" w:lineRule="auto"/>
              <w:ind w:firstLine="0" w:firstLineChars="0"/>
              <w:jc w:val="center"/>
              <w:rPr>
                <w:b w:val="0"/>
                <w:bCs w:val="0"/>
              </w:rPr>
            </w:pPr>
            <w:r>
              <w:rPr>
                <w:rFonts w:hint="eastAsia"/>
                <w:b w:val="0"/>
                <w:bCs w:val="0"/>
              </w:rPr>
              <w:t>张</w:t>
            </w:r>
          </w:p>
        </w:tc>
        <w:tc>
          <w:tcPr>
            <w:tcW w:w="655" w:type="dxa"/>
            <w:vAlign w:val="center"/>
          </w:tcPr>
          <w:p w14:paraId="0CDC5156">
            <w:pPr>
              <w:spacing w:line="240" w:lineRule="auto"/>
              <w:ind w:firstLine="0" w:firstLineChars="0"/>
              <w:jc w:val="center"/>
              <w:rPr>
                <w:b w:val="0"/>
                <w:bCs w:val="0"/>
              </w:rPr>
            </w:pPr>
            <w:r>
              <w:rPr>
                <w:b w:val="0"/>
                <w:bCs w:val="0"/>
              </w:rPr>
              <w:t>17</w:t>
            </w:r>
          </w:p>
        </w:tc>
        <w:tc>
          <w:tcPr>
            <w:tcW w:w="948" w:type="dxa"/>
            <w:vAlign w:val="center"/>
          </w:tcPr>
          <w:p w14:paraId="7B2909A2">
            <w:pPr>
              <w:spacing w:line="240" w:lineRule="auto"/>
              <w:ind w:firstLine="0" w:firstLineChars="0"/>
              <w:jc w:val="center"/>
              <w:rPr>
                <w:b w:val="0"/>
                <w:bCs w:val="0"/>
              </w:rPr>
            </w:pPr>
          </w:p>
        </w:tc>
      </w:tr>
      <w:tr w14:paraId="28A7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916" w:type="dxa"/>
            <w:noWrap/>
            <w:vAlign w:val="center"/>
          </w:tcPr>
          <w:p w14:paraId="11FC0F6F">
            <w:pPr>
              <w:spacing w:line="240" w:lineRule="auto"/>
              <w:ind w:firstLine="0" w:firstLineChars="0"/>
              <w:jc w:val="center"/>
              <w:rPr>
                <w:b w:val="0"/>
                <w:bCs w:val="0"/>
              </w:rPr>
            </w:pPr>
            <w:r>
              <w:rPr>
                <w:rFonts w:hint="eastAsia"/>
                <w:b w:val="0"/>
                <w:bCs w:val="0"/>
              </w:rPr>
              <w:t>7</w:t>
            </w:r>
          </w:p>
        </w:tc>
        <w:tc>
          <w:tcPr>
            <w:tcW w:w="1842" w:type="dxa"/>
            <w:noWrap/>
            <w:vAlign w:val="center"/>
          </w:tcPr>
          <w:p w14:paraId="0DE8DCCF">
            <w:pPr>
              <w:spacing w:line="240" w:lineRule="auto"/>
              <w:rPr>
                <w:b w:val="0"/>
                <w:bCs w:val="0"/>
              </w:rPr>
            </w:pPr>
            <w:r>
              <w:rPr>
                <w:snapToGrid/>
              </w:rPr>
              <w:drawing>
                <wp:inline distT="0" distB="0" distL="0" distR="0">
                  <wp:extent cx="552450" cy="71247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559348" cy="721047"/>
                          </a:xfrm>
                          <a:prstGeom prst="rect">
                            <a:avLst/>
                          </a:prstGeom>
                        </pic:spPr>
                      </pic:pic>
                    </a:graphicData>
                  </a:graphic>
                </wp:inline>
              </w:drawing>
            </w:r>
          </w:p>
        </w:tc>
        <w:tc>
          <w:tcPr>
            <w:tcW w:w="1560" w:type="dxa"/>
            <w:noWrap/>
            <w:vAlign w:val="center"/>
          </w:tcPr>
          <w:p w14:paraId="396BAF9D">
            <w:pPr>
              <w:spacing w:line="240" w:lineRule="auto"/>
              <w:ind w:firstLine="0" w:firstLineChars="0"/>
              <w:jc w:val="center"/>
              <w:rPr>
                <w:b w:val="0"/>
                <w:bCs w:val="0"/>
              </w:rPr>
            </w:pPr>
            <w:r>
              <w:rPr>
                <w:rFonts w:hint="eastAsia"/>
                <w:b w:val="0"/>
                <w:bCs w:val="0"/>
              </w:rPr>
              <w:t>休闲椅</w:t>
            </w:r>
          </w:p>
        </w:tc>
        <w:tc>
          <w:tcPr>
            <w:tcW w:w="1701" w:type="dxa"/>
            <w:vAlign w:val="center"/>
          </w:tcPr>
          <w:p w14:paraId="733CFFA3">
            <w:pPr>
              <w:spacing w:line="240" w:lineRule="auto"/>
              <w:ind w:firstLine="0" w:firstLineChars="0"/>
              <w:jc w:val="center"/>
              <w:rPr>
                <w:b w:val="0"/>
                <w:bCs w:val="0"/>
              </w:rPr>
            </w:pPr>
            <w:r>
              <w:rPr>
                <w:rFonts w:hint="eastAsia"/>
                <w:b w:val="0"/>
                <w:bCs w:val="0"/>
              </w:rPr>
              <w:t>560*470*800（±</w:t>
            </w:r>
            <w:r>
              <w:rPr>
                <w:b w:val="0"/>
                <w:bCs w:val="0"/>
              </w:rPr>
              <w:t>5mm）</w:t>
            </w:r>
          </w:p>
        </w:tc>
        <w:tc>
          <w:tcPr>
            <w:tcW w:w="992" w:type="dxa"/>
            <w:noWrap/>
            <w:vAlign w:val="center"/>
          </w:tcPr>
          <w:p w14:paraId="0627F5BF">
            <w:pPr>
              <w:spacing w:line="240" w:lineRule="auto"/>
              <w:ind w:firstLine="0" w:firstLineChars="0"/>
              <w:jc w:val="center"/>
              <w:rPr>
                <w:b w:val="0"/>
                <w:bCs w:val="0"/>
              </w:rPr>
            </w:pPr>
            <w:r>
              <w:rPr>
                <w:rFonts w:hint="eastAsia"/>
                <w:b w:val="0"/>
                <w:bCs w:val="0"/>
              </w:rPr>
              <w:t>可选</w:t>
            </w:r>
          </w:p>
        </w:tc>
        <w:tc>
          <w:tcPr>
            <w:tcW w:w="11398" w:type="dxa"/>
            <w:vAlign w:val="center"/>
          </w:tcPr>
          <w:p w14:paraId="5A1B89F4">
            <w:pPr>
              <w:spacing w:line="240" w:lineRule="auto"/>
              <w:ind w:firstLine="0" w:firstLineChars="0"/>
              <w:rPr>
                <w:b w:val="0"/>
                <w:bCs w:val="0"/>
              </w:rPr>
            </w:pPr>
            <w:r>
              <w:rPr>
                <w:rFonts w:hint="eastAsia"/>
                <w:b w:val="0"/>
                <w:bCs w:val="0"/>
              </w:rPr>
              <w:t>椅架：采用优质山毛榉实木，经干燥处理，含水率达国家标准。实木须无开裂、虫蛀、节子、腐朽和缺棱等缺陷。</w:t>
            </w:r>
          </w:p>
          <w:p w14:paraId="6D883446">
            <w:pPr>
              <w:spacing w:line="240" w:lineRule="auto"/>
              <w:ind w:firstLine="0" w:firstLineChars="0"/>
              <w:rPr>
                <w:b w:val="0"/>
                <w:bCs w:val="0"/>
              </w:rPr>
            </w:pPr>
            <w:r>
              <w:rPr>
                <w:rFonts w:hint="eastAsia"/>
                <w:b w:val="0"/>
                <w:bCs w:val="0"/>
              </w:rPr>
              <w:t>油漆：优质环保型水性漆。三底两面工艺，全封闭。成品表面达到木纹清晰，色泽悦目，漆膜丰满，光滑耐磨。</w:t>
            </w:r>
          </w:p>
          <w:p w14:paraId="1D4A4B15">
            <w:pPr>
              <w:spacing w:line="240" w:lineRule="auto"/>
              <w:ind w:firstLine="0" w:firstLineChars="0"/>
              <w:rPr>
                <w:b w:val="0"/>
                <w:bCs w:val="0"/>
              </w:rPr>
            </w:pPr>
            <w:r>
              <w:rPr>
                <w:rFonts w:hint="eastAsia"/>
                <w:b w:val="0"/>
                <w:bCs w:val="0"/>
              </w:rPr>
              <w:t>坐靠板：采用优质</w:t>
            </w:r>
            <w:r>
              <w:rPr>
                <w:b w:val="0"/>
                <w:bCs w:val="0"/>
              </w:rPr>
              <w:t>PP塑料一次成型。</w:t>
            </w:r>
          </w:p>
          <w:p w14:paraId="460B58A8">
            <w:pPr>
              <w:spacing w:line="240" w:lineRule="auto"/>
              <w:ind w:firstLine="0" w:firstLineChars="0"/>
              <w:rPr>
                <w:b w:val="0"/>
                <w:bCs w:val="0"/>
              </w:rPr>
            </w:pPr>
            <w:r>
              <w:rPr>
                <w:rFonts w:hint="eastAsia"/>
                <w:b w:val="0"/>
                <w:bCs w:val="0"/>
              </w:rPr>
              <w:t>胶水：优质环保型胶水。</w:t>
            </w:r>
          </w:p>
        </w:tc>
        <w:tc>
          <w:tcPr>
            <w:tcW w:w="761" w:type="dxa"/>
            <w:vAlign w:val="center"/>
          </w:tcPr>
          <w:p w14:paraId="3C550EAE">
            <w:pPr>
              <w:spacing w:line="240" w:lineRule="auto"/>
              <w:ind w:firstLine="0" w:firstLineChars="0"/>
              <w:jc w:val="center"/>
              <w:rPr>
                <w:b w:val="0"/>
                <w:bCs w:val="0"/>
              </w:rPr>
            </w:pPr>
            <w:r>
              <w:rPr>
                <w:rFonts w:hint="eastAsia"/>
                <w:b w:val="0"/>
                <w:bCs w:val="0"/>
              </w:rPr>
              <w:t>把</w:t>
            </w:r>
          </w:p>
        </w:tc>
        <w:tc>
          <w:tcPr>
            <w:tcW w:w="655" w:type="dxa"/>
            <w:vAlign w:val="center"/>
          </w:tcPr>
          <w:p w14:paraId="26210766">
            <w:pPr>
              <w:spacing w:line="240" w:lineRule="auto"/>
              <w:ind w:firstLine="0" w:firstLineChars="0"/>
              <w:jc w:val="center"/>
              <w:rPr>
                <w:b w:val="0"/>
                <w:bCs w:val="0"/>
              </w:rPr>
            </w:pPr>
            <w:r>
              <w:rPr>
                <w:b w:val="0"/>
                <w:bCs w:val="0"/>
              </w:rPr>
              <w:t>34</w:t>
            </w:r>
          </w:p>
        </w:tc>
        <w:tc>
          <w:tcPr>
            <w:tcW w:w="948" w:type="dxa"/>
            <w:vAlign w:val="center"/>
          </w:tcPr>
          <w:p w14:paraId="5C2593E4">
            <w:pPr>
              <w:spacing w:line="240" w:lineRule="auto"/>
              <w:ind w:firstLine="0" w:firstLineChars="0"/>
              <w:jc w:val="center"/>
              <w:rPr>
                <w:b w:val="0"/>
                <w:bCs w:val="0"/>
              </w:rPr>
            </w:pPr>
          </w:p>
        </w:tc>
      </w:tr>
    </w:tbl>
    <w:p w14:paraId="762E4728">
      <w:pPr>
        <w:ind w:firstLine="420"/>
        <w:rPr>
          <w:b w:val="0"/>
          <w:bCs w:val="0"/>
        </w:rPr>
      </w:pPr>
      <w:r>
        <w:rPr>
          <w:rFonts w:hint="eastAsia"/>
          <w:b w:val="0"/>
          <w:bCs w:val="0"/>
        </w:rPr>
        <w:t>注：</w:t>
      </w:r>
    </w:p>
    <w:p w14:paraId="686CBC78">
      <w:pPr>
        <w:ind w:firstLine="420"/>
        <w:rPr>
          <w:b w:val="0"/>
          <w:bCs w:val="0"/>
        </w:rPr>
      </w:pPr>
      <w:r>
        <w:rPr>
          <w:rFonts w:hint="eastAsia"/>
          <w:b w:val="0"/>
          <w:bCs w:val="0"/>
        </w:rPr>
        <w:t>（1）投标方应对投标货物品牌、尺寸规格、颜色、材料、质量、性能等作出说明，提供所投产品的技术参数偏离表，按实际情况注明以上清单产品各项技术参数偏离情况（正偏离/满足/负偏离），技术要求偏离表不能违背真实的参数和指标。</w:t>
      </w:r>
    </w:p>
    <w:p w14:paraId="2E873A03">
      <w:pPr>
        <w:ind w:firstLine="420"/>
        <w:rPr>
          <w:b w:val="0"/>
          <w:bCs w:val="0"/>
        </w:rPr>
      </w:pPr>
      <w:r>
        <w:rPr>
          <w:rFonts w:hint="eastAsia"/>
          <w:b w:val="0"/>
          <w:bCs w:val="0"/>
        </w:rPr>
        <w:t>（2）项目需求中指出的工艺、材料和货物的标准以及参照的技术参数、图片或型号仅起说明作用，并没有任何限制性和排他性，响应方在投标中可以选用其他替代标准、技术参数或型号，但这些替代应以不影响产品质量或功能实现为前提。</w:t>
      </w:r>
    </w:p>
    <w:p w14:paraId="14C94695">
      <w:pPr>
        <w:ind w:firstLine="420"/>
        <w:rPr>
          <w:b w:val="0"/>
          <w:bCs w:val="0"/>
        </w:rPr>
      </w:pPr>
      <w:r>
        <w:rPr>
          <w:rFonts w:hint="eastAsia"/>
          <w:b w:val="0"/>
          <w:bCs w:val="0"/>
        </w:rPr>
        <w:t>（3）项目需求中指出的技术标准与规范如有更新，应以最新的标准规范实施。</w:t>
      </w:r>
    </w:p>
    <w:p w14:paraId="08A56C2B">
      <w:pPr>
        <w:ind w:firstLine="420"/>
        <w:rPr>
          <w:b w:val="0"/>
          <w:bCs w:val="0"/>
        </w:rPr>
      </w:pPr>
      <w:r>
        <w:rPr>
          <w:rFonts w:hint="eastAsia"/>
          <w:b w:val="0"/>
          <w:bCs w:val="0"/>
        </w:rPr>
        <w:t>（4）所有采购家具产品，均需经使用方确认最终的色样方可采购或制作。</w:t>
      </w:r>
    </w:p>
    <w:p w14:paraId="73C3E1CF"/>
    <w:p w14:paraId="3CBABBBC">
      <w:r>
        <w:rPr>
          <w:rFonts w:hint="eastAsia"/>
        </w:rPr>
        <w:t>四、材料要求</w:t>
      </w:r>
    </w:p>
    <w:p w14:paraId="62C0E6BF">
      <w:pPr>
        <w:ind w:firstLine="420"/>
        <w:rPr>
          <w:b w:val="0"/>
          <w:bCs w:val="0"/>
        </w:rPr>
      </w:pPr>
      <w:r>
        <w:rPr>
          <w:rFonts w:hint="eastAsia"/>
          <w:b w:val="0"/>
          <w:bCs w:val="0"/>
        </w:rPr>
        <w:t>本项目采用的材料需符合以下要求：</w:t>
      </w:r>
    </w:p>
    <w:p w14:paraId="339D7159">
      <w:pPr>
        <w:rPr>
          <w:b w:val="0"/>
          <w:bCs w:val="0"/>
        </w:rPr>
      </w:pPr>
      <w:r>
        <w:rPr>
          <w:rFonts w:hint="eastAsia"/>
        </w:rPr>
        <w:t>（一）饰面刨花板：</w:t>
      </w:r>
      <w:bookmarkStart w:id="8" w:name="OLE_LINK2"/>
      <w:r>
        <w:rPr>
          <w:rFonts w:hint="eastAsia"/>
          <w:b w:val="0"/>
          <w:bCs w:val="0"/>
        </w:rPr>
        <w:t>符合GB/T 39600-2021、</w:t>
      </w:r>
      <w:bookmarkEnd w:id="8"/>
      <w:r>
        <w:rPr>
          <w:rFonts w:hint="eastAsia"/>
          <w:b w:val="0"/>
          <w:bCs w:val="0"/>
        </w:rPr>
        <w:t>GB/T 17657-2013、GB/T 29899-2024、GB/T 31762-2015标准，其中甲醛释放量≤0.025mg/m³，静曲强度≥12 Mpa，弹性模量≥2800Mpa，内结合强度≥0.35Mpa，表面胶合强度≥0.9Mpa，2h吸水厚度膨胀率≤6.0%,板内密度偏差±10.0%,板面握螺钉力≥1000N、板边握螺钉力≥750N，苯酚释放量未检出，挥发性有机化合物释放浓度（7d</w:t>
      </w:r>
      <w:r>
        <w:rPr>
          <w:b w:val="0"/>
          <w:bCs w:val="0"/>
        </w:rPr>
        <w:t>）</w:t>
      </w:r>
      <w:r>
        <w:rPr>
          <w:rFonts w:hint="eastAsia"/>
          <w:b w:val="0"/>
          <w:bCs w:val="0"/>
        </w:rPr>
        <w:t>中（苯、甲苯、二甲苯、总挥发性有机化合物（TVOC））均未检出。</w:t>
      </w:r>
    </w:p>
    <w:p w14:paraId="1D6A69DC">
      <w:pPr>
        <w:rPr>
          <w:b w:val="0"/>
          <w:bCs w:val="0"/>
        </w:rPr>
      </w:pPr>
      <w:r>
        <w:rPr>
          <w:rFonts w:hint="eastAsia"/>
        </w:rPr>
        <w:t>（二）多层板：</w:t>
      </w:r>
      <w:r>
        <w:rPr>
          <w:rFonts w:hint="eastAsia"/>
          <w:b w:val="0"/>
          <w:bCs w:val="0"/>
        </w:rPr>
        <w:t>符合GB/T 39600-2021、GB/T 34722-2017标准，其中甲醛释放量≤0.025mg/m³，胶合强度指标值≥1.20MPa，胶合强度合格率≥100%。</w:t>
      </w:r>
    </w:p>
    <w:p w14:paraId="40CA737D">
      <w:pPr>
        <w:rPr>
          <w:b w:val="0"/>
          <w:bCs w:val="0"/>
        </w:rPr>
      </w:pPr>
      <w:r>
        <w:rPr>
          <w:rFonts w:hint="eastAsia"/>
        </w:rPr>
        <w:t>（三）阻尼铰链：</w:t>
      </w:r>
      <w:r>
        <w:rPr>
          <w:rFonts w:hint="eastAsia"/>
          <w:b w:val="0"/>
          <w:bCs w:val="0"/>
        </w:rPr>
        <w:t>符合QB/T 2189-2013标准，其中功能试验（关闭力、打开力、下沉量、垂直静载荷、水平静载荷、耐久性-商用型）均合格，耐腐蚀要求合格。</w:t>
      </w:r>
    </w:p>
    <w:p w14:paraId="31BD4E04">
      <w:pPr>
        <w:rPr>
          <w:b w:val="0"/>
          <w:bCs w:val="0"/>
        </w:rPr>
      </w:pPr>
      <w:r>
        <w:rPr>
          <w:rFonts w:hint="eastAsia"/>
        </w:rPr>
        <w:t>（四）阻尼导轨：</w:t>
      </w:r>
      <w:r>
        <w:rPr>
          <w:rFonts w:hint="eastAsia"/>
          <w:b w:val="0"/>
          <w:bCs w:val="0"/>
        </w:rPr>
        <w:t>符合QB/T 2454-2013、QB/T 3832-1999、QB/T 3827-1999、QB/T 3826-1999标准，其中过载要求（垂直向下静载荷、水平侧向静载荷、猛关、猛开）均合格，功能试验（抽屉导轨组件底部变形、抽屉导轨组件结构强度、操作力-推力、操作力-拉力、耐久性-商用型、下沉量、垂直向下静载荷、水平侧向静载荷、猛关、猛开、拉出安全性）均合格，耐腐蚀（中性盐雾试验360h达到10级、乙酸盐雾试验120h达到10级）。</w:t>
      </w:r>
    </w:p>
    <w:p w14:paraId="4666AD7E">
      <w:pPr>
        <w:rPr>
          <w:b w:val="0"/>
          <w:bCs w:val="0"/>
        </w:rPr>
      </w:pPr>
      <w:r>
        <w:rPr>
          <w:rFonts w:hint="eastAsia"/>
        </w:rPr>
        <w:t>（五）三合一连接件：</w:t>
      </w:r>
      <w:r>
        <w:rPr>
          <w:rFonts w:hint="eastAsia"/>
          <w:b w:val="0"/>
          <w:bCs w:val="0"/>
        </w:rPr>
        <w:t>符合GB/T 28203-2011标准，其中金属镀层抗盐雾合格，三合一偏心连接件偏心体抗压强度≥280N，三合一偏心连接件预埋螺母抗拉强度应≥650N，三合一偏心连接件中连接螺杆螺纹与预埋螺母的抗拉强度应≥950N，三合一偏心连接件中偏心体与连接螺杆的扭矩≥9N·m。</w:t>
      </w:r>
    </w:p>
    <w:p w14:paraId="4CA9B536">
      <w:pPr>
        <w:tabs>
          <w:tab w:val="left" w:pos="10526"/>
        </w:tabs>
        <w:rPr>
          <w:b w:val="0"/>
          <w:bCs w:val="0"/>
        </w:rPr>
      </w:pPr>
      <w:r>
        <w:rPr>
          <w:rFonts w:hint="eastAsia"/>
        </w:rPr>
        <w:t>（六）钢管：</w:t>
      </w:r>
      <w:r>
        <w:rPr>
          <w:rFonts w:hint="eastAsia"/>
          <w:b w:val="0"/>
          <w:bCs w:val="0"/>
        </w:rPr>
        <w:t>符合GB/T 3325-2024、QB/T 4767-2014标准，其中产品表面理化性能-金属喷漆（塑）涂层中硬度、冲击强度、耐盐浴、附着力均合格，材料厚度不低于1.5mm。</w:t>
      </w:r>
    </w:p>
    <w:p w14:paraId="40C52369">
      <w:pPr>
        <w:rPr>
          <w:b w:val="0"/>
          <w:bCs w:val="0"/>
        </w:rPr>
      </w:pPr>
      <w:r>
        <w:rPr>
          <w:rFonts w:hint="eastAsia"/>
        </w:rPr>
        <w:t>（七）PVC封边：</w:t>
      </w:r>
      <w:r>
        <w:rPr>
          <w:rFonts w:hint="eastAsia"/>
          <w:b w:val="0"/>
          <w:bCs w:val="0"/>
        </w:rPr>
        <w:t>符合QB/T 4463-2013标准，其中甲醛释放量未检出，氯乙烯单体未检出，可迁移元素（可溶性重金属）中铅（Pb）、镉（Cd）、铬（Cr）、汞（Hg）、砷（As）、钡（Ba）、锑（Sb）、硒（Se）均未检出。</w:t>
      </w:r>
    </w:p>
    <w:p w14:paraId="2A199B15">
      <w:pPr>
        <w:rPr>
          <w:b w:val="0"/>
          <w:bCs w:val="0"/>
        </w:rPr>
      </w:pPr>
      <w:r>
        <w:rPr>
          <w:rFonts w:hint="eastAsia"/>
        </w:rPr>
        <w:t>（八）喷涂粉末：</w:t>
      </w:r>
      <w:r>
        <w:rPr>
          <w:rFonts w:hint="eastAsia"/>
          <w:b w:val="0"/>
          <w:bCs w:val="0"/>
        </w:rPr>
        <w:t>符合GB 30981-2020标准，其中重金属含量中铅（Pb）含量、镉（Cd）含量、六价铬（Cr</w:t>
      </w:r>
      <w:r>
        <w:rPr>
          <w:rFonts w:hint="eastAsia"/>
          <w:b w:val="0"/>
          <w:bCs w:val="0"/>
          <w:vertAlign w:val="superscript"/>
        </w:rPr>
        <w:t>6+</w:t>
      </w:r>
      <w:r>
        <w:rPr>
          <w:rFonts w:hint="eastAsia"/>
          <w:b w:val="0"/>
          <w:bCs w:val="0"/>
        </w:rPr>
        <w:t>）含量、汞（Hg）含量均未检出。</w:t>
      </w:r>
    </w:p>
    <w:p w14:paraId="65EC523A"/>
    <w:p w14:paraId="60423A41">
      <w:pPr>
        <w:ind w:firstLine="420"/>
        <w:rPr>
          <w:b w:val="0"/>
          <w:bCs w:val="0"/>
        </w:rPr>
      </w:pPr>
      <w:r>
        <w:rPr>
          <w:rFonts w:hint="eastAsia"/>
          <w:b w:val="0"/>
          <w:bCs w:val="0"/>
        </w:rPr>
        <w:t>说明：</w:t>
      </w:r>
    </w:p>
    <w:p w14:paraId="67C1CB8B">
      <w:pPr>
        <w:ind w:firstLine="420"/>
        <w:rPr>
          <w:b w:val="0"/>
          <w:bCs w:val="0"/>
        </w:rPr>
      </w:pPr>
      <w:r>
        <w:rPr>
          <w:rFonts w:hint="eastAsia"/>
          <w:b w:val="0"/>
          <w:bCs w:val="0"/>
        </w:rPr>
        <w:t>（1）上述原材料要求如与“三、采购品目分类、参考样式、规格、基本组成、质量标准等要求”不一致，以上述要求为准，检测报告原件备查；</w:t>
      </w:r>
    </w:p>
    <w:p w14:paraId="10AA7DF9">
      <w:pPr>
        <w:ind w:firstLine="420"/>
        <w:rPr>
          <w:b w:val="0"/>
          <w:bCs w:val="0"/>
        </w:rPr>
      </w:pPr>
      <w:r>
        <w:rPr>
          <w:rFonts w:hint="eastAsia"/>
          <w:b w:val="0"/>
          <w:bCs w:val="0"/>
        </w:rPr>
        <w:t>（2）针对不同叫法的同一原材料，其检测报告均予认可（如名称不一致，需注明需求中对应的原材料名称）。</w:t>
      </w:r>
    </w:p>
    <w:p w14:paraId="77AF7133">
      <w:pPr>
        <w:ind w:firstLine="420"/>
        <w:rPr>
          <w:b w:val="0"/>
          <w:bCs w:val="0"/>
        </w:rPr>
      </w:pPr>
      <w:r>
        <w:rPr>
          <w:rFonts w:hint="eastAsia"/>
          <w:b w:val="0"/>
          <w:bCs w:val="0"/>
        </w:rPr>
        <w:t>（3）检测报告上的委托单位(受检单位)名称必须与投标人或投标产品的生产厂家或原材料生产厂家一致。每份检测报告均需带有CMA标识。报告签发时间不早于2025年1月1日。</w:t>
      </w:r>
    </w:p>
    <w:p w14:paraId="599EA4C1">
      <w:pPr>
        <w:ind w:firstLine="420"/>
        <w:rPr>
          <w:b w:val="0"/>
          <w:bCs w:val="0"/>
        </w:rPr>
      </w:pPr>
      <w:r>
        <w:rPr>
          <w:rFonts w:hint="eastAsia"/>
          <w:b w:val="0"/>
          <w:bCs w:val="0"/>
        </w:rPr>
        <w:t>（4）投标人需提供承诺函，承诺货物生产过程中，拟投入的原材料不低于上述检测报告结果，未提供承诺函及相应检测报告者不得分。</w:t>
      </w:r>
    </w:p>
    <w:p w14:paraId="799C0B6C"/>
    <w:p w14:paraId="36237501">
      <w:r>
        <w:rPr>
          <w:rFonts w:hint="eastAsia"/>
        </w:rPr>
        <w:t>五、颜色要求</w:t>
      </w:r>
    </w:p>
    <w:p w14:paraId="094C7FA2">
      <w:pPr>
        <w:ind w:firstLine="420"/>
        <w:rPr>
          <w:b w:val="0"/>
          <w:bCs w:val="0"/>
        </w:rPr>
      </w:pPr>
      <w:r>
        <w:rPr>
          <w:rFonts w:hint="eastAsia"/>
          <w:b w:val="0"/>
          <w:bCs w:val="0"/>
        </w:rPr>
        <w:t>宿舍家具颜色应与建筑内装饰风格相适应，以单色为主，不宜过于鲜艳，主体颜色投标时暂按以下要求考虑，中标后具体颜色须待采购人明确后方可下单制作。（请投标人注意，中标后价格不因具体颜色的调整而改变，报价时应综合考虑该因素）</w:t>
      </w:r>
    </w:p>
    <w:tbl>
      <w:tblPr>
        <w:tblStyle w:val="8"/>
        <w:tblW w:w="12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5"/>
        <w:gridCol w:w="9580"/>
      </w:tblGrid>
      <w:tr w14:paraId="23CD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085" w:type="dxa"/>
            <w:vAlign w:val="center"/>
          </w:tcPr>
          <w:p w14:paraId="010DB41A">
            <w:pPr>
              <w:spacing w:line="240" w:lineRule="auto"/>
              <w:ind w:firstLine="420"/>
              <w:jc w:val="both"/>
              <w:rPr>
                <w:b w:val="0"/>
                <w:bCs w:val="0"/>
              </w:rPr>
            </w:pPr>
            <w:r>
              <w:rPr>
                <w:rFonts w:hint="eastAsia"/>
                <w:b w:val="0"/>
                <w:bCs w:val="0"/>
              </w:rPr>
              <w:t>分类</w:t>
            </w:r>
          </w:p>
        </w:tc>
        <w:tc>
          <w:tcPr>
            <w:tcW w:w="9580" w:type="dxa"/>
            <w:vAlign w:val="center"/>
          </w:tcPr>
          <w:p w14:paraId="05C2ED7D">
            <w:pPr>
              <w:spacing w:line="240" w:lineRule="auto"/>
              <w:ind w:firstLine="420"/>
              <w:jc w:val="both"/>
              <w:rPr>
                <w:b w:val="0"/>
                <w:bCs w:val="0"/>
              </w:rPr>
            </w:pPr>
            <w:r>
              <w:rPr>
                <w:rFonts w:hint="eastAsia"/>
                <w:b w:val="0"/>
                <w:bCs w:val="0"/>
              </w:rPr>
              <w:t>主体颜色</w:t>
            </w:r>
          </w:p>
        </w:tc>
      </w:tr>
      <w:tr w14:paraId="5697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3085" w:type="dxa"/>
            <w:vAlign w:val="center"/>
          </w:tcPr>
          <w:p w14:paraId="64123430">
            <w:pPr>
              <w:spacing w:line="240" w:lineRule="auto"/>
              <w:ind w:firstLine="420"/>
              <w:jc w:val="both"/>
              <w:rPr>
                <w:b w:val="0"/>
                <w:bCs w:val="0"/>
              </w:rPr>
            </w:pPr>
            <w:r>
              <w:rPr>
                <w:rFonts w:hint="eastAsia"/>
                <w:b w:val="0"/>
                <w:bCs w:val="0"/>
              </w:rPr>
              <w:t>木制</w:t>
            </w:r>
          </w:p>
        </w:tc>
        <w:tc>
          <w:tcPr>
            <w:tcW w:w="9580" w:type="dxa"/>
            <w:vAlign w:val="center"/>
          </w:tcPr>
          <w:p w14:paraId="1465D22B">
            <w:pPr>
              <w:spacing w:line="240" w:lineRule="auto"/>
              <w:ind w:firstLine="420"/>
              <w:jc w:val="both"/>
              <w:rPr>
                <w:b w:val="0"/>
                <w:bCs w:val="0"/>
              </w:rPr>
            </w:pPr>
            <w:r>
              <w:rPr>
                <w:rFonts w:hint="eastAsia"/>
                <w:b w:val="0"/>
                <w:bCs w:val="0"/>
              </w:rPr>
              <w:t>纹路：木皮保留天然纹路感。</w:t>
            </w:r>
          </w:p>
          <w:p w14:paraId="29691095">
            <w:pPr>
              <w:spacing w:line="240" w:lineRule="auto"/>
              <w:ind w:firstLine="420"/>
              <w:jc w:val="both"/>
              <w:rPr>
                <w:b w:val="0"/>
                <w:bCs w:val="0"/>
              </w:rPr>
            </w:pPr>
            <w:r>
              <w:rPr>
                <w:rFonts w:hint="eastAsia"/>
                <w:b w:val="0"/>
                <w:bCs w:val="0"/>
              </w:rPr>
              <w:t>颜色：浅木纹色</w:t>
            </w:r>
          </w:p>
        </w:tc>
      </w:tr>
      <w:tr w14:paraId="1B9C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085" w:type="dxa"/>
            <w:vAlign w:val="center"/>
          </w:tcPr>
          <w:p w14:paraId="341A4316">
            <w:pPr>
              <w:spacing w:line="240" w:lineRule="auto"/>
              <w:ind w:firstLine="420"/>
              <w:jc w:val="both"/>
              <w:rPr>
                <w:b w:val="0"/>
                <w:bCs w:val="0"/>
              </w:rPr>
            </w:pPr>
            <w:r>
              <w:rPr>
                <w:rFonts w:hint="eastAsia"/>
                <w:b w:val="0"/>
                <w:bCs w:val="0"/>
              </w:rPr>
              <w:t>钢制</w:t>
            </w:r>
          </w:p>
        </w:tc>
        <w:tc>
          <w:tcPr>
            <w:tcW w:w="9580" w:type="dxa"/>
            <w:vAlign w:val="center"/>
          </w:tcPr>
          <w:p w14:paraId="6E8C6D2B">
            <w:pPr>
              <w:spacing w:line="240" w:lineRule="auto"/>
              <w:ind w:firstLine="420"/>
              <w:jc w:val="both"/>
              <w:rPr>
                <w:b w:val="0"/>
                <w:bCs w:val="0"/>
              </w:rPr>
            </w:pPr>
            <w:r>
              <w:rPr>
                <w:rFonts w:hint="eastAsia"/>
                <w:b w:val="0"/>
                <w:bCs w:val="0"/>
              </w:rPr>
              <w:t>颜色：灰白</w:t>
            </w:r>
          </w:p>
        </w:tc>
      </w:tr>
      <w:tr w14:paraId="1EE09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3085" w:type="dxa"/>
            <w:vAlign w:val="center"/>
          </w:tcPr>
          <w:p w14:paraId="1EBA5E0A">
            <w:pPr>
              <w:spacing w:line="240" w:lineRule="auto"/>
              <w:ind w:firstLine="420"/>
              <w:jc w:val="both"/>
              <w:rPr>
                <w:b w:val="0"/>
                <w:bCs w:val="0"/>
              </w:rPr>
            </w:pPr>
            <w:r>
              <w:rPr>
                <w:rFonts w:hint="eastAsia"/>
                <w:b w:val="0"/>
                <w:bCs w:val="0"/>
              </w:rPr>
              <w:t>椅子</w:t>
            </w:r>
          </w:p>
        </w:tc>
        <w:tc>
          <w:tcPr>
            <w:tcW w:w="9580" w:type="dxa"/>
            <w:vAlign w:val="center"/>
          </w:tcPr>
          <w:p w14:paraId="6EB67940">
            <w:pPr>
              <w:spacing w:line="240" w:lineRule="auto"/>
              <w:ind w:firstLine="420"/>
              <w:jc w:val="both"/>
              <w:rPr>
                <w:b w:val="0"/>
                <w:bCs w:val="0"/>
              </w:rPr>
            </w:pPr>
            <w:r>
              <w:rPr>
                <w:rFonts w:hint="eastAsia"/>
                <w:b w:val="0"/>
                <w:bCs w:val="0"/>
              </w:rPr>
              <w:t>颜色：浅木纹色</w:t>
            </w:r>
          </w:p>
        </w:tc>
      </w:tr>
      <w:tr w14:paraId="031D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085" w:type="dxa"/>
            <w:vAlign w:val="center"/>
          </w:tcPr>
          <w:p w14:paraId="3B5158AD">
            <w:pPr>
              <w:spacing w:line="240" w:lineRule="auto"/>
              <w:ind w:firstLine="420"/>
              <w:jc w:val="both"/>
              <w:rPr>
                <w:b w:val="0"/>
                <w:bCs w:val="0"/>
              </w:rPr>
            </w:pPr>
            <w:r>
              <w:rPr>
                <w:rFonts w:hint="eastAsia"/>
                <w:b w:val="0"/>
                <w:bCs w:val="0"/>
              </w:rPr>
              <w:t>休闲椅</w:t>
            </w:r>
          </w:p>
        </w:tc>
        <w:tc>
          <w:tcPr>
            <w:tcW w:w="9580" w:type="dxa"/>
            <w:vAlign w:val="center"/>
          </w:tcPr>
          <w:p w14:paraId="3AC3C308">
            <w:pPr>
              <w:spacing w:line="240" w:lineRule="auto"/>
              <w:ind w:firstLine="420"/>
              <w:jc w:val="both"/>
              <w:rPr>
                <w:b w:val="0"/>
                <w:bCs w:val="0"/>
              </w:rPr>
            </w:pPr>
            <w:r>
              <w:rPr>
                <w:rFonts w:hint="eastAsia"/>
                <w:b w:val="0"/>
                <w:bCs w:val="0"/>
              </w:rPr>
              <w:t>颜色：木纹色、白色</w:t>
            </w:r>
          </w:p>
        </w:tc>
      </w:tr>
    </w:tbl>
    <w:p w14:paraId="226E3BA4"/>
    <w:p w14:paraId="4898988F">
      <w:r>
        <w:rPr>
          <w:rFonts w:hint="eastAsia"/>
        </w:rPr>
        <w:t>六、样品要求</w:t>
      </w:r>
    </w:p>
    <w:tbl>
      <w:tblPr>
        <w:tblStyle w:val="8"/>
        <w:tblW w:w="12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4536"/>
        <w:gridCol w:w="7179"/>
      </w:tblGrid>
      <w:tr w14:paraId="0A33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2" w:type="dxa"/>
            <w:vAlign w:val="center"/>
          </w:tcPr>
          <w:p w14:paraId="0BF7460B">
            <w:pPr>
              <w:ind w:firstLine="0" w:firstLineChars="0"/>
              <w:jc w:val="both"/>
              <w:rPr>
                <w:b w:val="0"/>
              </w:rPr>
            </w:pPr>
            <w:r>
              <w:rPr>
                <w:rFonts w:hint="eastAsia"/>
                <w:b w:val="0"/>
              </w:rPr>
              <w:t>序号</w:t>
            </w:r>
          </w:p>
        </w:tc>
        <w:tc>
          <w:tcPr>
            <w:tcW w:w="4536" w:type="dxa"/>
            <w:vAlign w:val="center"/>
          </w:tcPr>
          <w:p w14:paraId="2846D124">
            <w:pPr>
              <w:ind w:firstLine="0" w:firstLineChars="0"/>
              <w:jc w:val="both"/>
              <w:rPr>
                <w:b w:val="0"/>
              </w:rPr>
            </w:pPr>
            <w:r>
              <w:rPr>
                <w:rFonts w:hint="eastAsia"/>
                <w:b w:val="0"/>
              </w:rPr>
              <w:t>样品名称</w:t>
            </w:r>
          </w:p>
        </w:tc>
        <w:tc>
          <w:tcPr>
            <w:tcW w:w="7179" w:type="dxa"/>
            <w:vAlign w:val="center"/>
          </w:tcPr>
          <w:p w14:paraId="3FD20DF2">
            <w:pPr>
              <w:ind w:firstLine="0" w:firstLineChars="0"/>
              <w:jc w:val="both"/>
              <w:rPr>
                <w:b w:val="0"/>
              </w:rPr>
            </w:pPr>
            <w:r>
              <w:rPr>
                <w:rFonts w:hint="eastAsia"/>
                <w:b w:val="0"/>
              </w:rPr>
              <w:t>样品要求</w:t>
            </w:r>
          </w:p>
        </w:tc>
      </w:tr>
      <w:tr w14:paraId="4E7A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1002" w:type="dxa"/>
            <w:vAlign w:val="center"/>
          </w:tcPr>
          <w:p w14:paraId="12AA75BF">
            <w:pPr>
              <w:ind w:firstLine="0" w:firstLineChars="0"/>
              <w:jc w:val="both"/>
              <w:rPr>
                <w:b w:val="0"/>
              </w:rPr>
            </w:pPr>
            <w:r>
              <w:rPr>
                <w:rFonts w:hint="eastAsia"/>
                <w:b w:val="0"/>
              </w:rPr>
              <w:t>1</w:t>
            </w:r>
          </w:p>
        </w:tc>
        <w:tc>
          <w:tcPr>
            <w:tcW w:w="4536" w:type="dxa"/>
            <w:vAlign w:val="center"/>
          </w:tcPr>
          <w:p w14:paraId="3073E313">
            <w:pPr>
              <w:ind w:firstLine="0" w:firstLineChars="0"/>
              <w:jc w:val="both"/>
              <w:rPr>
                <w:b w:val="0"/>
              </w:rPr>
            </w:pPr>
            <w:r>
              <w:rPr>
                <w:rFonts w:hint="eastAsia"/>
                <w:b w:val="0"/>
              </w:rPr>
              <w:t>二人位公寓床（步梯款）</w:t>
            </w:r>
          </w:p>
        </w:tc>
        <w:tc>
          <w:tcPr>
            <w:tcW w:w="7179" w:type="dxa"/>
            <w:vAlign w:val="center"/>
          </w:tcPr>
          <w:p w14:paraId="5E24B35F">
            <w:pPr>
              <w:ind w:firstLine="0" w:firstLineChars="0"/>
              <w:jc w:val="both"/>
              <w:rPr>
                <w:b w:val="0"/>
              </w:rPr>
            </w:pPr>
            <w:r>
              <w:rPr>
                <w:rFonts w:hint="eastAsia"/>
                <w:b w:val="0"/>
              </w:rPr>
              <w:t>详见“三、采购清单及技术参数要求</w:t>
            </w:r>
          </w:p>
          <w:p w14:paraId="41022418">
            <w:pPr>
              <w:ind w:firstLine="0" w:firstLineChars="0"/>
              <w:jc w:val="both"/>
              <w:rPr>
                <w:b w:val="0"/>
              </w:rPr>
            </w:pPr>
            <w:r>
              <w:rPr>
                <w:rFonts w:hint="eastAsia"/>
                <w:b w:val="0"/>
              </w:rPr>
              <w:t>序号1</w:t>
            </w:r>
            <w:r>
              <w:rPr>
                <w:b w:val="0"/>
              </w:rPr>
              <w:t>/</w:t>
            </w:r>
            <w:r>
              <w:rPr>
                <w:rFonts w:hint="eastAsia"/>
                <w:b w:val="0"/>
              </w:rPr>
              <w:t>二人位公寓床（步梯款）</w:t>
            </w:r>
          </w:p>
          <w:p w14:paraId="68DB1CB4">
            <w:pPr>
              <w:ind w:firstLine="0" w:firstLineChars="0"/>
              <w:jc w:val="both"/>
              <w:rPr>
                <w:b w:val="0"/>
              </w:rPr>
            </w:pPr>
            <w:r>
              <w:rPr>
                <w:rFonts w:hint="eastAsia"/>
                <w:b w:val="0"/>
              </w:rPr>
              <w:t>1组</w:t>
            </w:r>
          </w:p>
        </w:tc>
      </w:tr>
      <w:tr w14:paraId="2F28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002" w:type="dxa"/>
            <w:vAlign w:val="center"/>
          </w:tcPr>
          <w:p w14:paraId="4415F3FB">
            <w:pPr>
              <w:ind w:firstLine="0" w:firstLineChars="0"/>
              <w:jc w:val="both"/>
              <w:rPr>
                <w:b w:val="0"/>
              </w:rPr>
            </w:pPr>
            <w:r>
              <w:rPr>
                <w:rFonts w:hint="eastAsia"/>
                <w:b w:val="0"/>
              </w:rPr>
              <w:t>2</w:t>
            </w:r>
          </w:p>
        </w:tc>
        <w:tc>
          <w:tcPr>
            <w:tcW w:w="4536" w:type="dxa"/>
            <w:vAlign w:val="center"/>
          </w:tcPr>
          <w:p w14:paraId="193DBC27">
            <w:pPr>
              <w:ind w:firstLine="0" w:firstLineChars="0"/>
              <w:jc w:val="both"/>
              <w:rPr>
                <w:b w:val="0"/>
              </w:rPr>
            </w:pPr>
            <w:r>
              <w:rPr>
                <w:rFonts w:hint="eastAsia"/>
                <w:b w:val="0"/>
              </w:rPr>
              <w:t>椅子</w:t>
            </w:r>
          </w:p>
        </w:tc>
        <w:tc>
          <w:tcPr>
            <w:tcW w:w="7179" w:type="dxa"/>
            <w:vAlign w:val="center"/>
          </w:tcPr>
          <w:p w14:paraId="4F37E540">
            <w:pPr>
              <w:ind w:firstLine="0" w:firstLineChars="0"/>
              <w:jc w:val="both"/>
              <w:rPr>
                <w:b w:val="0"/>
              </w:rPr>
            </w:pPr>
            <w:r>
              <w:rPr>
                <w:rFonts w:hint="eastAsia"/>
                <w:b w:val="0"/>
              </w:rPr>
              <w:t>详见“三、采购清单及技术参数要求</w:t>
            </w:r>
          </w:p>
          <w:p w14:paraId="2E62B5B9">
            <w:pPr>
              <w:ind w:firstLine="0" w:firstLineChars="0"/>
              <w:jc w:val="both"/>
              <w:rPr>
                <w:b w:val="0"/>
              </w:rPr>
            </w:pPr>
            <w:r>
              <w:rPr>
                <w:rFonts w:hint="eastAsia"/>
                <w:b w:val="0"/>
              </w:rPr>
              <w:t>序号2/椅子</w:t>
            </w:r>
          </w:p>
          <w:p w14:paraId="7067E115">
            <w:pPr>
              <w:ind w:firstLine="0" w:firstLineChars="0"/>
              <w:jc w:val="both"/>
              <w:rPr>
                <w:b w:val="0"/>
              </w:rPr>
            </w:pPr>
            <w:r>
              <w:rPr>
                <w:rFonts w:hint="eastAsia"/>
                <w:b w:val="0"/>
              </w:rPr>
              <w:t>1把</w:t>
            </w:r>
          </w:p>
        </w:tc>
      </w:tr>
    </w:tbl>
    <w:p w14:paraId="2A75A413">
      <w:pPr>
        <w:ind w:firstLine="420"/>
        <w:rPr>
          <w:b w:val="0"/>
          <w:bCs w:val="0"/>
        </w:rPr>
      </w:pPr>
    </w:p>
    <w:p w14:paraId="38F6F3B2">
      <w:pPr>
        <w:ind w:firstLine="420"/>
        <w:rPr>
          <w:b w:val="0"/>
          <w:bCs w:val="0"/>
        </w:rPr>
      </w:pPr>
      <w:r>
        <w:rPr>
          <w:rFonts w:hint="eastAsia"/>
          <w:b w:val="0"/>
          <w:bCs w:val="0"/>
        </w:rPr>
        <w:t>说明：</w:t>
      </w:r>
    </w:p>
    <w:p w14:paraId="74EFD2D2">
      <w:pPr>
        <w:ind w:firstLine="420"/>
        <w:rPr>
          <w:b w:val="0"/>
          <w:bCs w:val="0"/>
        </w:rPr>
      </w:pPr>
      <w:r>
        <w:rPr>
          <w:rFonts w:hint="eastAsia"/>
          <w:b w:val="0"/>
          <w:bCs w:val="0"/>
        </w:rPr>
        <w:t>1、投标人需在标书中提供样品清单（格式自拟）：列出此次样品涉及的材料品牌、五金配件品牌、型号、制造厂商。</w:t>
      </w:r>
    </w:p>
    <w:p w14:paraId="2F77B65B">
      <w:pPr>
        <w:ind w:firstLine="420"/>
        <w:rPr>
          <w:b w:val="0"/>
          <w:bCs w:val="0"/>
        </w:rPr>
      </w:pPr>
      <w:r>
        <w:rPr>
          <w:rFonts w:hint="eastAsia"/>
          <w:b w:val="0"/>
          <w:bCs w:val="0"/>
        </w:rPr>
        <w:t>2、尺寸和规格可根据情况合理波动。投标人中标后需按照采购需求中要求的规格尺寸生产，不得影响交付正常使用。</w:t>
      </w:r>
    </w:p>
    <w:p w14:paraId="1E9B8279">
      <w:pPr>
        <w:ind w:firstLine="420"/>
        <w:rPr>
          <w:b w:val="0"/>
          <w:bCs w:val="0"/>
        </w:rPr>
      </w:pPr>
      <w:r>
        <w:rPr>
          <w:rFonts w:hint="eastAsia"/>
          <w:b w:val="0"/>
          <w:bCs w:val="0"/>
        </w:rPr>
        <w:t>3、投标实样送达地点：</w:t>
      </w:r>
      <w:bookmarkStart w:id="9" w:name="_GoBack"/>
      <w:bookmarkEnd w:id="9"/>
      <w:r>
        <w:rPr>
          <w:rFonts w:hint="eastAsia"/>
          <w:b w:val="0"/>
          <w:bCs w:val="0"/>
          <w:color w:val="FF0000"/>
        </w:rPr>
        <w:t>上海理工大学军工路1100号，联系人：龚老师，联系电话：021-55272602。</w:t>
      </w:r>
      <w:r>
        <w:rPr>
          <w:rFonts w:hint="eastAsia"/>
          <w:b w:val="0"/>
          <w:bCs w:val="0"/>
        </w:rPr>
        <w:t>样品接受时间：所有实样在投标截止前2天内的每天9点-17点送达并完成现场搭样，逾期不再接受任何实样。实样上应注明投标人的名称。</w:t>
      </w:r>
    </w:p>
    <w:p w14:paraId="13774FF5"/>
    <w:p w14:paraId="5D357140">
      <w:pPr>
        <w:rPr>
          <w:rFonts w:hint="eastAsia"/>
        </w:rPr>
      </w:pPr>
    </w:p>
    <w:p w14:paraId="6974F64E">
      <w:pPr>
        <w:rPr>
          <w:rFonts w:hint="eastAsia"/>
        </w:rPr>
      </w:pPr>
    </w:p>
    <w:p w14:paraId="192E65C8">
      <w:r>
        <w:rPr>
          <w:rFonts w:hint="eastAsia"/>
        </w:rPr>
        <w:t>七、供货及验收</w:t>
      </w:r>
    </w:p>
    <w:p w14:paraId="24036BAC"/>
    <w:tbl>
      <w:tblPr>
        <w:tblStyle w:val="11"/>
        <w:tblW w:w="204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23"/>
        <w:gridCol w:w="17996"/>
      </w:tblGrid>
      <w:tr w14:paraId="05DB6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jc w:val="center"/>
        </w:trPr>
        <w:tc>
          <w:tcPr>
            <w:tcW w:w="2423" w:type="dxa"/>
            <w:vAlign w:val="center"/>
          </w:tcPr>
          <w:p w14:paraId="324659EF">
            <w:pPr>
              <w:ind w:firstLine="0" w:firstLineChars="0"/>
              <w:jc w:val="center"/>
              <w:rPr>
                <w:b w:val="0"/>
              </w:rPr>
            </w:pPr>
            <w:r>
              <w:rPr>
                <w:rFonts w:hint="eastAsia"/>
                <w:b w:val="0"/>
              </w:rPr>
              <w:t>分类</w:t>
            </w:r>
          </w:p>
        </w:tc>
        <w:tc>
          <w:tcPr>
            <w:tcW w:w="17996" w:type="dxa"/>
            <w:vAlign w:val="center"/>
          </w:tcPr>
          <w:p w14:paraId="4FF5055B">
            <w:pPr>
              <w:ind w:firstLine="420"/>
              <w:jc w:val="center"/>
              <w:rPr>
                <w:b w:val="0"/>
              </w:rPr>
            </w:pPr>
            <w:r>
              <w:rPr>
                <w:rFonts w:hint="eastAsia"/>
                <w:b w:val="0"/>
              </w:rPr>
              <w:t>内容</w:t>
            </w:r>
          </w:p>
        </w:tc>
      </w:tr>
      <w:tr w14:paraId="3CD55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8" w:hRule="atLeast"/>
          <w:jc w:val="center"/>
        </w:trPr>
        <w:tc>
          <w:tcPr>
            <w:tcW w:w="2423" w:type="dxa"/>
            <w:vAlign w:val="center"/>
          </w:tcPr>
          <w:p w14:paraId="7978D954">
            <w:pPr>
              <w:ind w:firstLine="0" w:firstLineChars="0"/>
              <w:jc w:val="center"/>
              <w:rPr>
                <w:b w:val="0"/>
              </w:rPr>
            </w:pPr>
            <w:r>
              <w:rPr>
                <w:rFonts w:hint="eastAsia"/>
                <w:b w:val="0"/>
              </w:rPr>
              <w:t>供货要求</w:t>
            </w:r>
          </w:p>
        </w:tc>
        <w:tc>
          <w:tcPr>
            <w:tcW w:w="17996" w:type="dxa"/>
            <w:vAlign w:val="center"/>
          </w:tcPr>
          <w:p w14:paraId="2C365E88">
            <w:pPr>
              <w:ind w:firstLine="420"/>
              <w:jc w:val="both"/>
              <w:rPr>
                <w:b w:val="0"/>
              </w:rPr>
            </w:pPr>
            <w:r>
              <w:rPr>
                <w:rFonts w:hint="eastAsia"/>
                <w:b w:val="0"/>
              </w:rPr>
              <w:t>供应商应当在合同签订后</w:t>
            </w:r>
            <w:r>
              <w:rPr>
                <w:rFonts w:hint="eastAsia"/>
                <w:b w:val="0"/>
                <w:u w:val="single"/>
              </w:rPr>
              <w:t xml:space="preserve"> 50 </w:t>
            </w:r>
            <w:r>
              <w:rPr>
                <w:rFonts w:hint="eastAsia"/>
                <w:b w:val="0"/>
              </w:rPr>
              <w:t>个自然日内供货及安装完毕。供应商所提供的货物应符合国家相关质量标准；货物名称、型号规格、数量、颜色、外观等符合采购人要求，不得有损毁或损坏。</w:t>
            </w:r>
          </w:p>
        </w:tc>
      </w:tr>
      <w:tr w14:paraId="723BA6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1" w:hRule="atLeast"/>
          <w:jc w:val="center"/>
        </w:trPr>
        <w:tc>
          <w:tcPr>
            <w:tcW w:w="2423" w:type="dxa"/>
            <w:vAlign w:val="center"/>
          </w:tcPr>
          <w:p w14:paraId="49DC5C66">
            <w:pPr>
              <w:ind w:firstLine="0" w:firstLineChars="0"/>
              <w:jc w:val="center"/>
              <w:rPr>
                <w:b w:val="0"/>
              </w:rPr>
            </w:pPr>
            <w:r>
              <w:rPr>
                <w:rFonts w:hint="eastAsia"/>
                <w:b w:val="0"/>
              </w:rPr>
              <w:t>包装要求</w:t>
            </w:r>
          </w:p>
        </w:tc>
        <w:tc>
          <w:tcPr>
            <w:tcW w:w="17996" w:type="dxa"/>
            <w:vAlign w:val="center"/>
          </w:tcPr>
          <w:p w14:paraId="25D1872E">
            <w:pPr>
              <w:ind w:firstLine="420"/>
              <w:jc w:val="both"/>
              <w:rPr>
                <w:b w:val="0"/>
              </w:rPr>
            </w:pPr>
            <w:r>
              <w:rPr>
                <w:rFonts w:hint="eastAsia"/>
                <w:b w:val="0"/>
              </w:rPr>
              <w:t>采购中如涉及商品包装和快递包装的，其包装需求标准应不低于《关于印发&lt;商品包装政府采购需求标准(试行)&gt;、&lt;快递包装政府采购需求标准(试行)&gt;的通知》(财办库〔2020〕123号)规定的包装要求。采购人、供应商双方签订合同及验收环节，应包含上述包装要求的条款。</w:t>
            </w:r>
          </w:p>
        </w:tc>
      </w:tr>
      <w:tr w14:paraId="6D573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2423" w:type="dxa"/>
            <w:vAlign w:val="center"/>
          </w:tcPr>
          <w:p w14:paraId="756334EF">
            <w:pPr>
              <w:ind w:firstLine="0" w:firstLineChars="0"/>
              <w:jc w:val="center"/>
              <w:rPr>
                <w:b w:val="0"/>
              </w:rPr>
            </w:pPr>
            <w:r>
              <w:rPr>
                <w:rFonts w:hint="eastAsia"/>
                <w:b w:val="0"/>
              </w:rPr>
              <w:t>验收要求</w:t>
            </w:r>
          </w:p>
        </w:tc>
        <w:tc>
          <w:tcPr>
            <w:tcW w:w="17996" w:type="dxa"/>
            <w:vAlign w:val="center"/>
          </w:tcPr>
          <w:p w14:paraId="79F2A956">
            <w:pPr>
              <w:ind w:firstLine="420"/>
              <w:jc w:val="both"/>
              <w:rPr>
                <w:b w:val="0"/>
              </w:rPr>
            </w:pPr>
            <w:r>
              <w:rPr>
                <w:rFonts w:hint="eastAsia"/>
                <w:b w:val="0"/>
              </w:rPr>
              <w:t>宿舍家具安装、调试后，由供、需双方按照合同约定对家具进行验收。验收包括清点型号、数量、检查外观等，供应商应当提供家具清单(各类家具分项开立并标注详细数量)、原产地证明、具出厂日期证明、家具环保证明等文件。</w:t>
            </w:r>
          </w:p>
        </w:tc>
      </w:tr>
    </w:tbl>
    <w:p w14:paraId="3DD146BE"/>
    <w:p w14:paraId="3CD2F770">
      <w:r>
        <w:rPr>
          <w:rFonts w:hint="eastAsia"/>
        </w:rPr>
        <w:t>八、服务要求</w:t>
      </w:r>
    </w:p>
    <w:tbl>
      <w:tblPr>
        <w:tblStyle w:val="11"/>
        <w:tblW w:w="204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86"/>
        <w:gridCol w:w="18850"/>
      </w:tblGrid>
      <w:tr w14:paraId="2B0B7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jc w:val="center"/>
        </w:trPr>
        <w:tc>
          <w:tcPr>
            <w:tcW w:w="1586" w:type="dxa"/>
            <w:vAlign w:val="center"/>
          </w:tcPr>
          <w:p w14:paraId="26547131">
            <w:pPr>
              <w:ind w:firstLine="0" w:firstLineChars="0"/>
              <w:jc w:val="center"/>
              <w:rPr>
                <w:b w:val="0"/>
              </w:rPr>
            </w:pPr>
            <w:r>
              <w:rPr>
                <w:rFonts w:hint="eastAsia"/>
                <w:b w:val="0"/>
              </w:rPr>
              <w:t>分类</w:t>
            </w:r>
          </w:p>
        </w:tc>
        <w:tc>
          <w:tcPr>
            <w:tcW w:w="18850" w:type="dxa"/>
            <w:vAlign w:val="center"/>
          </w:tcPr>
          <w:p w14:paraId="1087210C">
            <w:pPr>
              <w:ind w:firstLine="420"/>
              <w:jc w:val="center"/>
              <w:rPr>
                <w:b w:val="0"/>
              </w:rPr>
            </w:pPr>
            <w:r>
              <w:rPr>
                <w:rFonts w:hint="eastAsia"/>
                <w:b w:val="0"/>
              </w:rPr>
              <w:t>内容</w:t>
            </w:r>
          </w:p>
        </w:tc>
      </w:tr>
      <w:tr w14:paraId="55461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525" w:hRule="atLeast"/>
          <w:jc w:val="center"/>
        </w:trPr>
        <w:tc>
          <w:tcPr>
            <w:tcW w:w="1586" w:type="dxa"/>
            <w:vAlign w:val="center"/>
          </w:tcPr>
          <w:p w14:paraId="72FA6CD3">
            <w:pPr>
              <w:ind w:firstLine="0" w:firstLineChars="0"/>
              <w:jc w:val="center"/>
              <w:rPr>
                <w:b w:val="0"/>
              </w:rPr>
            </w:pPr>
            <w:r>
              <w:rPr>
                <w:rFonts w:hint="eastAsia"/>
                <w:b w:val="0"/>
              </w:rPr>
              <w:t>保修服务</w:t>
            </w:r>
          </w:p>
        </w:tc>
        <w:tc>
          <w:tcPr>
            <w:tcW w:w="18850" w:type="dxa"/>
          </w:tcPr>
          <w:p w14:paraId="59403CEF">
            <w:pPr>
              <w:ind w:firstLine="420"/>
              <w:rPr>
                <w:b w:val="0"/>
              </w:rPr>
            </w:pPr>
          </w:p>
          <w:p w14:paraId="0C2DD4B7">
            <w:pPr>
              <w:ind w:firstLine="420"/>
              <w:rPr>
                <w:b w:val="0"/>
              </w:rPr>
            </w:pPr>
            <w:r>
              <w:rPr>
                <w:rFonts w:hint="eastAsia"/>
                <w:b w:val="0"/>
              </w:rPr>
              <w:t>宿舍家具免费保修期应当至少不低于</w:t>
            </w:r>
            <w:r>
              <w:rPr>
                <w:b w:val="0"/>
              </w:rPr>
              <w:t>15</w:t>
            </w:r>
            <w:r>
              <w:rPr>
                <w:rFonts w:hint="eastAsia"/>
                <w:b w:val="0"/>
              </w:rPr>
              <w:t>年。免费保修期内，除采购人因非正常使用造成家具损坏外，损坏维修以及所涉及的零部件更换，应当由供应商免费提供，供应商应当承诺每年对所供宿舍家具进行巡检。免费保修期满后，供应商保证以优惠价格提供宿舍家具所需零配件和维修服务。</w:t>
            </w:r>
          </w:p>
        </w:tc>
      </w:tr>
      <w:tr w14:paraId="39796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1586" w:type="dxa"/>
            <w:vAlign w:val="center"/>
          </w:tcPr>
          <w:p w14:paraId="7E4306A8">
            <w:pPr>
              <w:ind w:firstLine="0" w:firstLineChars="0"/>
              <w:jc w:val="center"/>
              <w:rPr>
                <w:b w:val="0"/>
              </w:rPr>
            </w:pPr>
            <w:r>
              <w:rPr>
                <w:rFonts w:hint="eastAsia"/>
                <w:b w:val="0"/>
              </w:rPr>
              <w:t>应急能力</w:t>
            </w:r>
          </w:p>
        </w:tc>
        <w:tc>
          <w:tcPr>
            <w:tcW w:w="18850" w:type="dxa"/>
            <w:vAlign w:val="center"/>
          </w:tcPr>
          <w:p w14:paraId="6C635324">
            <w:pPr>
              <w:ind w:firstLine="420"/>
              <w:rPr>
                <w:b w:val="0"/>
              </w:rPr>
            </w:pPr>
            <w:r>
              <w:rPr>
                <w:rFonts w:hint="eastAsia"/>
                <w:b w:val="0"/>
              </w:rPr>
              <w:t>供应商应当拥有维修服务能力，提供售后服务支持。如遇质量问题，供应商应当在接到通知2小时内予以响应，并于8小时内解决完毕或提供代用产品。</w:t>
            </w:r>
          </w:p>
        </w:tc>
      </w:tr>
    </w:tbl>
    <w:p w14:paraId="46491409"/>
    <w:sectPr>
      <w:headerReference r:id="rId7" w:type="first"/>
      <w:footerReference r:id="rId10" w:type="first"/>
      <w:headerReference r:id="rId5" w:type="default"/>
      <w:footerReference r:id="rId8" w:type="default"/>
      <w:headerReference r:id="rId6" w:type="even"/>
      <w:footerReference r:id="rId9" w:type="even"/>
      <w:pgSz w:w="23808" w:h="16840" w:orient="landscape"/>
      <w:pgMar w:top="1797" w:right="1440" w:bottom="1797" w:left="144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2"/>
      </w:pPr>
      <w:r>
        <w:separator/>
      </w:r>
    </w:p>
  </w:endnote>
  <w:endnote w:type="continuationSeparator" w:id="1">
    <w:p>
      <w:pPr>
        <w:spacing w:line="240" w:lineRule="auto"/>
        <w:ind w:firstLine="42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DD2F6">
    <w:pPr>
      <w:pStyle w:val="5"/>
      <w:ind w:firstLine="3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C7DD4">
    <w:pPr>
      <w:pStyle w:val="5"/>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3D553">
    <w:pPr>
      <w:pStyle w:val="5"/>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2"/>
      </w:pPr>
      <w:r>
        <w:separator/>
      </w:r>
    </w:p>
  </w:footnote>
  <w:footnote w:type="continuationSeparator" w:id="1">
    <w:p>
      <w:pPr>
        <w:spacing w:line="360" w:lineRule="auto"/>
        <w:ind w:firstLine="42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B4405">
    <w:pPr>
      <w:pStyle w:val="6"/>
      <w:ind w:firstLine="36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86FD3">
    <w:pPr>
      <w:pStyle w:val="6"/>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C814B">
    <w:pPr>
      <w:pStyle w:val="6"/>
      <w:ind w:firstLine="36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NmMWI4ZjhmZjFiNjc2NmJkZTZiMDJkYjZjZGE3YWQifQ=="/>
  </w:docVars>
  <w:rsids>
    <w:rsidRoot w:val="F32BEA20"/>
    <w:rsid w:val="00085CFF"/>
    <w:rsid w:val="00094E2C"/>
    <w:rsid w:val="000B7219"/>
    <w:rsid w:val="000C710B"/>
    <w:rsid w:val="000C7DB2"/>
    <w:rsid w:val="000D0202"/>
    <w:rsid w:val="000D10E6"/>
    <w:rsid w:val="000E7E1A"/>
    <w:rsid w:val="000F7CE3"/>
    <w:rsid w:val="001022C3"/>
    <w:rsid w:val="00262B1D"/>
    <w:rsid w:val="002D11C6"/>
    <w:rsid w:val="002E4214"/>
    <w:rsid w:val="00303362"/>
    <w:rsid w:val="00303376"/>
    <w:rsid w:val="00311C29"/>
    <w:rsid w:val="00335619"/>
    <w:rsid w:val="00343070"/>
    <w:rsid w:val="00370CD3"/>
    <w:rsid w:val="00373E3B"/>
    <w:rsid w:val="00394763"/>
    <w:rsid w:val="003B70E8"/>
    <w:rsid w:val="003E251D"/>
    <w:rsid w:val="003F3F7F"/>
    <w:rsid w:val="00452223"/>
    <w:rsid w:val="00463BB9"/>
    <w:rsid w:val="00467FB6"/>
    <w:rsid w:val="00477ADE"/>
    <w:rsid w:val="00491D0C"/>
    <w:rsid w:val="004A65F7"/>
    <w:rsid w:val="004B24BC"/>
    <w:rsid w:val="004C1B3E"/>
    <w:rsid w:val="004D7B65"/>
    <w:rsid w:val="004E2372"/>
    <w:rsid w:val="004E3009"/>
    <w:rsid w:val="00502A07"/>
    <w:rsid w:val="00525F6B"/>
    <w:rsid w:val="00541D04"/>
    <w:rsid w:val="00580DE9"/>
    <w:rsid w:val="005827BC"/>
    <w:rsid w:val="005A1244"/>
    <w:rsid w:val="005A232D"/>
    <w:rsid w:val="005B35D4"/>
    <w:rsid w:val="00632BB4"/>
    <w:rsid w:val="00633781"/>
    <w:rsid w:val="00651C9D"/>
    <w:rsid w:val="00653245"/>
    <w:rsid w:val="00663F66"/>
    <w:rsid w:val="00680904"/>
    <w:rsid w:val="00685933"/>
    <w:rsid w:val="006A5F7B"/>
    <w:rsid w:val="006F31B1"/>
    <w:rsid w:val="006F51A9"/>
    <w:rsid w:val="007217F7"/>
    <w:rsid w:val="007368BA"/>
    <w:rsid w:val="00742D7B"/>
    <w:rsid w:val="007647A5"/>
    <w:rsid w:val="007D660F"/>
    <w:rsid w:val="007E77B9"/>
    <w:rsid w:val="007F51C4"/>
    <w:rsid w:val="007F586F"/>
    <w:rsid w:val="00817BF8"/>
    <w:rsid w:val="00824ACA"/>
    <w:rsid w:val="00837B26"/>
    <w:rsid w:val="00852E3C"/>
    <w:rsid w:val="008634A5"/>
    <w:rsid w:val="008F78A6"/>
    <w:rsid w:val="00931AA9"/>
    <w:rsid w:val="009347B3"/>
    <w:rsid w:val="0095703D"/>
    <w:rsid w:val="009702B9"/>
    <w:rsid w:val="0097083A"/>
    <w:rsid w:val="009F7424"/>
    <w:rsid w:val="00A0161A"/>
    <w:rsid w:val="00A21C0E"/>
    <w:rsid w:val="00A22C06"/>
    <w:rsid w:val="00A342C1"/>
    <w:rsid w:val="00A50927"/>
    <w:rsid w:val="00A5171D"/>
    <w:rsid w:val="00A604E2"/>
    <w:rsid w:val="00A87052"/>
    <w:rsid w:val="00AA3C6C"/>
    <w:rsid w:val="00AB0786"/>
    <w:rsid w:val="00AE497C"/>
    <w:rsid w:val="00B01454"/>
    <w:rsid w:val="00B02363"/>
    <w:rsid w:val="00BB7455"/>
    <w:rsid w:val="00BD5D1A"/>
    <w:rsid w:val="00BE63EC"/>
    <w:rsid w:val="00BF21A4"/>
    <w:rsid w:val="00BF39F8"/>
    <w:rsid w:val="00C111EA"/>
    <w:rsid w:val="00C16242"/>
    <w:rsid w:val="00C17B63"/>
    <w:rsid w:val="00C316D2"/>
    <w:rsid w:val="00C37AD6"/>
    <w:rsid w:val="00C451DB"/>
    <w:rsid w:val="00C60463"/>
    <w:rsid w:val="00C77647"/>
    <w:rsid w:val="00C8567A"/>
    <w:rsid w:val="00CA3442"/>
    <w:rsid w:val="00CA7E27"/>
    <w:rsid w:val="00CC45F4"/>
    <w:rsid w:val="00CD1EF8"/>
    <w:rsid w:val="00CD3DCD"/>
    <w:rsid w:val="00CD6E21"/>
    <w:rsid w:val="00CD7B56"/>
    <w:rsid w:val="00CE02A4"/>
    <w:rsid w:val="00CE429B"/>
    <w:rsid w:val="00CF0CF1"/>
    <w:rsid w:val="00CF2D63"/>
    <w:rsid w:val="00D13C5E"/>
    <w:rsid w:val="00D209B7"/>
    <w:rsid w:val="00D32A77"/>
    <w:rsid w:val="00D32CD3"/>
    <w:rsid w:val="00D41933"/>
    <w:rsid w:val="00D85EC2"/>
    <w:rsid w:val="00DA0A02"/>
    <w:rsid w:val="00DB0728"/>
    <w:rsid w:val="00DB1722"/>
    <w:rsid w:val="00DC60BB"/>
    <w:rsid w:val="00E135EB"/>
    <w:rsid w:val="00E4202B"/>
    <w:rsid w:val="00E52451"/>
    <w:rsid w:val="00E52E48"/>
    <w:rsid w:val="00E6065C"/>
    <w:rsid w:val="00EA44B0"/>
    <w:rsid w:val="00EC08BD"/>
    <w:rsid w:val="00EE0FE9"/>
    <w:rsid w:val="00EF78E1"/>
    <w:rsid w:val="00F66440"/>
    <w:rsid w:val="00FC4822"/>
    <w:rsid w:val="00FC4D10"/>
    <w:rsid w:val="00FD664B"/>
    <w:rsid w:val="0ED56EC0"/>
    <w:rsid w:val="1EFF8184"/>
    <w:rsid w:val="296F3171"/>
    <w:rsid w:val="388157A3"/>
    <w:rsid w:val="3B9F11A4"/>
    <w:rsid w:val="3D5CBD80"/>
    <w:rsid w:val="3F5AB3C8"/>
    <w:rsid w:val="3FDE82F7"/>
    <w:rsid w:val="3FEBE777"/>
    <w:rsid w:val="436C43ED"/>
    <w:rsid w:val="4545333A"/>
    <w:rsid w:val="47FFDCAD"/>
    <w:rsid w:val="4EF61F46"/>
    <w:rsid w:val="57BF3926"/>
    <w:rsid w:val="59FF9E14"/>
    <w:rsid w:val="5BFF5FD2"/>
    <w:rsid w:val="5CEBF368"/>
    <w:rsid w:val="5DBF5DC0"/>
    <w:rsid w:val="5DEF1908"/>
    <w:rsid w:val="5F7D427D"/>
    <w:rsid w:val="5FFF8E82"/>
    <w:rsid w:val="6E4BC4BD"/>
    <w:rsid w:val="75FBCD7E"/>
    <w:rsid w:val="777FCD40"/>
    <w:rsid w:val="77B74889"/>
    <w:rsid w:val="7A1EF845"/>
    <w:rsid w:val="7C35AD77"/>
    <w:rsid w:val="7DEB81F6"/>
    <w:rsid w:val="7E7C4598"/>
    <w:rsid w:val="7E7F4B16"/>
    <w:rsid w:val="7EDAB6D1"/>
    <w:rsid w:val="BBFB8DC5"/>
    <w:rsid w:val="BFEEBC32"/>
    <w:rsid w:val="BFF6FB84"/>
    <w:rsid w:val="D75D7127"/>
    <w:rsid w:val="DCFF6989"/>
    <w:rsid w:val="DFCDF6B7"/>
    <w:rsid w:val="DFFDAC87"/>
    <w:rsid w:val="E5F57EB6"/>
    <w:rsid w:val="E5FB5E7F"/>
    <w:rsid w:val="E7D5ED3A"/>
    <w:rsid w:val="E7EF1F2D"/>
    <w:rsid w:val="E9BF572B"/>
    <w:rsid w:val="EEED27AF"/>
    <w:rsid w:val="EFF210A5"/>
    <w:rsid w:val="F32BEA20"/>
    <w:rsid w:val="F4DB9A57"/>
    <w:rsid w:val="F79F4D83"/>
    <w:rsid w:val="F7BF3339"/>
    <w:rsid w:val="F7FFACF7"/>
    <w:rsid w:val="F9E7476A"/>
    <w:rsid w:val="FB8F55DC"/>
    <w:rsid w:val="FBCF7ABF"/>
    <w:rsid w:val="FCF7F34B"/>
    <w:rsid w:val="FE3F271B"/>
    <w:rsid w:val="FEBFC356"/>
    <w:rsid w:val="FFDFE0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360" w:lineRule="auto"/>
      <w:ind w:firstLine="422" w:firstLineChars="200"/>
      <w:textAlignment w:val="baseline"/>
    </w:pPr>
    <w:rPr>
      <w:rFonts w:ascii="宋体" w:hAnsi="宋体" w:eastAsia="宋体" w:cs="宋体"/>
      <w:b/>
      <w:bCs/>
      <w:snapToGrid w:val="0"/>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pPr>
      <w:ind w:firstLine="420"/>
      <w:jc w:val="both"/>
    </w:pPr>
    <w:rPr>
      <w:b w:val="0"/>
      <w:bCs w:val="0"/>
    </w:rPr>
  </w:style>
  <w:style w:type="paragraph" w:styleId="3">
    <w:name w:val="index 4"/>
    <w:basedOn w:val="1"/>
    <w:next w:val="1"/>
    <w:autoRedefine/>
    <w:qFormat/>
    <w:uiPriority w:val="0"/>
    <w:pPr>
      <w:ind w:left="600" w:leftChars="600"/>
    </w:pPr>
    <w:rPr>
      <w:sz w:val="24"/>
      <w:szCs w:val="24"/>
    </w:rPr>
  </w:style>
  <w:style w:type="paragraph" w:styleId="4">
    <w:name w:val="Balloon Text"/>
    <w:basedOn w:val="1"/>
    <w:link w:val="15"/>
    <w:autoRedefine/>
    <w:qFormat/>
    <w:uiPriority w:val="0"/>
    <w:rPr>
      <w:sz w:val="18"/>
      <w:szCs w:val="18"/>
    </w:rPr>
  </w:style>
  <w:style w:type="paragraph" w:styleId="5">
    <w:name w:val="footer"/>
    <w:basedOn w:val="1"/>
    <w:link w:val="14"/>
    <w:autoRedefine/>
    <w:qFormat/>
    <w:uiPriority w:val="0"/>
    <w:pPr>
      <w:tabs>
        <w:tab w:val="center" w:pos="4153"/>
        <w:tab w:val="right" w:pos="8306"/>
      </w:tabs>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Table Text"/>
    <w:basedOn w:val="1"/>
    <w:autoRedefine/>
    <w:semiHidden/>
    <w:qFormat/>
    <w:uiPriority w:val="0"/>
    <w:rPr>
      <w:sz w:val="28"/>
      <w:szCs w:val="28"/>
    </w:rPr>
  </w:style>
  <w:style w:type="table" w:customStyle="1" w:styleId="11">
    <w:name w:val="Table Normal"/>
    <w:autoRedefine/>
    <w:semiHidden/>
    <w:unhideWhenUsed/>
    <w:qFormat/>
    <w:uiPriority w:val="0"/>
    <w:tblPr>
      <w:tblCellMar>
        <w:top w:w="0" w:type="dxa"/>
        <w:left w:w="0" w:type="dxa"/>
        <w:bottom w:w="0" w:type="dxa"/>
        <w:right w:w="0" w:type="dxa"/>
      </w:tblCellMar>
    </w:tblPr>
  </w:style>
  <w:style w:type="paragraph" w:customStyle="1" w:styleId="12">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3">
    <w:name w:val="页眉 字符"/>
    <w:basedOn w:val="9"/>
    <w:link w:val="6"/>
    <w:autoRedefine/>
    <w:qFormat/>
    <w:uiPriority w:val="0"/>
    <w:rPr>
      <w:rFonts w:ascii="Arial" w:hAnsi="Arial" w:cs="Arial"/>
      <w:snapToGrid w:val="0"/>
      <w:color w:val="000000"/>
      <w:sz w:val="18"/>
      <w:szCs w:val="18"/>
      <w:lang w:eastAsia="en-US"/>
    </w:rPr>
  </w:style>
  <w:style w:type="character" w:customStyle="1" w:styleId="14">
    <w:name w:val="页脚 字符"/>
    <w:basedOn w:val="9"/>
    <w:link w:val="5"/>
    <w:autoRedefine/>
    <w:qFormat/>
    <w:uiPriority w:val="0"/>
    <w:rPr>
      <w:rFonts w:ascii="Arial" w:hAnsi="Arial" w:cs="Arial"/>
      <w:snapToGrid w:val="0"/>
      <w:color w:val="000000"/>
      <w:sz w:val="18"/>
      <w:szCs w:val="18"/>
      <w:lang w:eastAsia="en-US"/>
    </w:rPr>
  </w:style>
  <w:style w:type="character" w:customStyle="1" w:styleId="15">
    <w:name w:val="批注框文本 字符"/>
    <w:basedOn w:val="9"/>
    <w:link w:val="4"/>
    <w:autoRedefine/>
    <w:qFormat/>
    <w:uiPriority w:val="0"/>
    <w:rPr>
      <w:rFonts w:ascii="Arial" w:hAnsi="Arial" w:cs="Arial"/>
      <w:snapToGrid w:val="0"/>
      <w:color w:val="000000"/>
      <w:sz w:val="18"/>
      <w:szCs w:val="18"/>
      <w:lang w:eastAsia="en-US"/>
    </w:rPr>
  </w:style>
  <w:style w:type="paragraph" w:styleId="1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1036</Words>
  <Characters>5906</Characters>
  <Lines>49</Lines>
  <Paragraphs>13</Paragraphs>
  <TotalTime>426</TotalTime>
  <ScaleCrop>false</ScaleCrop>
  <LinksUpToDate>false</LinksUpToDate>
  <CharactersWithSpaces>6929</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2024-04-22T17:59:00Z</dcterms:created>
  <dc:creator>user</dc:creator>
  <cp:lastModifiedBy>王国林</cp:lastModifiedBy>
  <dcterms:modified xsi:type="dcterms:W3CDTF">2026-04-10T13:37:40Z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F26C71F7954E457FBE172A46320B4B2D_13</vt:lpwstr>
  </property>
</Properties>
</file>