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36850">
      <w:pPr>
        <w:jc w:val="center"/>
        <w:rPr>
          <w:rFonts w:ascii="Times New Roman" w:hAnsi="Times New Roman" w:eastAsia="黑体" w:cs="Times New Roman"/>
          <w:sz w:val="52"/>
          <w:szCs w:val="52"/>
          <w:lang w:bidi="ar"/>
        </w:rPr>
      </w:pPr>
      <w:bookmarkStart w:id="5" w:name="_GoBack"/>
      <w:bookmarkEnd w:id="5"/>
      <w:r>
        <w:rPr>
          <w:rFonts w:ascii="Times New Roman" w:hAnsi="Times New Roman" w:eastAsia="黑体" w:cs="Times New Roman"/>
          <w:sz w:val="52"/>
          <w:szCs w:val="52"/>
          <w:lang w:bidi="ar"/>
        </w:rPr>
        <w:t>上海市危险废物管理信息系统（新建）（2026升级改造）项目需求</w:t>
      </w:r>
    </w:p>
    <w:p w14:paraId="4A24BF3B">
      <w:pPr>
        <w:jc w:val="center"/>
        <w:rPr>
          <w:rFonts w:ascii="Times New Roman" w:hAnsi="Times New Roman" w:eastAsia="黑体" w:cs="Times New Roman"/>
          <w:sz w:val="52"/>
          <w:szCs w:val="52"/>
          <w:lang w:bidi="ar"/>
        </w:rPr>
      </w:pPr>
    </w:p>
    <w:p w14:paraId="6CAE6AAE">
      <w:pPr>
        <w:pStyle w:val="2"/>
      </w:pPr>
      <w:r>
        <w:t>项目背景</w:t>
      </w:r>
    </w:p>
    <w:p w14:paraId="55256486">
      <w:pPr>
        <w:pStyle w:val="3"/>
      </w:pPr>
      <w:r>
        <w:t>项目来源</w:t>
      </w:r>
    </w:p>
    <w:p w14:paraId="278757C6">
      <w:pPr>
        <w:ind w:firstLine="480" w:firstLineChars="200"/>
        <w:rPr>
          <w:rFonts w:hint="eastAsia" w:ascii="Times New Roman" w:hAnsi="Times New Roman" w:cs="Times New Roman"/>
        </w:rPr>
      </w:pPr>
      <w:r>
        <w:rPr>
          <w:rFonts w:hint="eastAsia" w:ascii="Times New Roman" w:hAnsi="Times New Roman" w:cs="Times New Roman"/>
        </w:rPr>
        <w:t>为贯彻落实生态环境部《关于进一步加强危险废物环境治理 严密防控环境风险的指导意见》（环固体〔2025〕10 号）要求，按照全国危险废物全过程环境管理信息系统试点建设部署，以上海市《关于全面加强本市固体废物综合治理的工作方案》为指导，重点推进一般工业固废全过程可追溯、危险废物全过程智能物联升级、一企一档多标签综合管理、固体废物数智化监管应用等模块建设，全面提升本市固体废物监管与服务水平，为环境决策、监管执法及企业合规提供精准、高效、有力的数据支撑。</w:t>
      </w:r>
    </w:p>
    <w:p w14:paraId="6EE5AD1A">
      <w:pPr>
        <w:pStyle w:val="3"/>
      </w:pPr>
      <w:r>
        <w:t>项目概况</w:t>
      </w:r>
    </w:p>
    <w:p w14:paraId="58267FBD">
      <w:pPr>
        <w:pStyle w:val="4"/>
      </w:pPr>
      <w:r>
        <w:t>项目单位职能</w:t>
      </w:r>
    </w:p>
    <w:p w14:paraId="49B49627">
      <w:pPr>
        <w:ind w:firstLine="480" w:firstLineChars="200"/>
        <w:jc w:val="left"/>
        <w:rPr>
          <w:rFonts w:ascii="Times New Roman" w:hAnsi="Times New Roman" w:cs="Times New Roman"/>
        </w:rPr>
      </w:pPr>
      <w:r>
        <w:rPr>
          <w:rFonts w:ascii="Times New Roman" w:hAnsi="Times New Roman" w:cs="Times New Roman"/>
        </w:rPr>
        <w:t>上海市固体废物与化学品管理技术中心负责固体废物污染防治规划和管理的技术支持</w:t>
      </w:r>
      <w:r>
        <w:rPr>
          <w:rFonts w:hint="eastAsia" w:ascii="Times New Roman" w:hAnsi="Times New Roman" w:cs="Times New Roman"/>
        </w:rPr>
        <w:t>，其中包括负责一般工业固废、危险废物和医疗废物信息化系统的建设管理和应用；</w:t>
      </w:r>
      <w:r>
        <w:rPr>
          <w:rFonts w:ascii="Times New Roman" w:hAnsi="Times New Roman" w:cs="Times New Roman"/>
        </w:rPr>
        <w:t>负责化学品环境管理技术支持</w:t>
      </w:r>
      <w:r>
        <w:rPr>
          <w:rFonts w:hint="eastAsia" w:ascii="Times New Roman" w:hAnsi="Times New Roman" w:cs="Times New Roman"/>
        </w:rPr>
        <w:t>，</w:t>
      </w:r>
      <w:r>
        <w:rPr>
          <w:rFonts w:ascii="Times New Roman" w:hAnsi="Times New Roman" w:cs="Times New Roman"/>
        </w:rPr>
        <w:t>负责相关污染事故防范和应急处置技术支持。</w:t>
      </w:r>
    </w:p>
    <w:p w14:paraId="122DD19D">
      <w:pPr>
        <w:pStyle w:val="4"/>
      </w:pPr>
      <w:r>
        <w:t>项目所涉业务领域概况</w:t>
      </w:r>
    </w:p>
    <w:p w14:paraId="6548CD9C">
      <w:pPr>
        <w:ind w:firstLine="480" w:firstLineChars="200"/>
        <w:jc w:val="left"/>
        <w:rPr>
          <w:rFonts w:ascii="Times New Roman" w:hAnsi="Times New Roman" w:cs="Times New Roman"/>
        </w:rPr>
      </w:pPr>
      <w:r>
        <w:rPr>
          <w:rFonts w:hint="eastAsia" w:ascii="Times New Roman" w:hAnsi="Times New Roman" w:cs="Times New Roman"/>
        </w:rPr>
        <w:t>近年来，国家高度重视固体废物污染防治与信息化监管工作，先后出台《固体废物综合治理行动计划》《国家危险废物名录（2025年版）》等一系列政策文件，明确要求加强固体废物全生命周期信息化监管，推进危险废物全过程实时动态监控，督促调整完善固体废物管理信息系统相关数据，推进危险废物产生单位“五即”规范化建设，强化二维码全过程跟踪信息化管理，并选取上海市作为危险废物全过程环境管理信息系统建设试点，重点开展“五即”规范化和“一码贯通”应用建设，做好与国家新系统的联网对接工作，为固体废物治理数字化转型提供了明确的政策指引和根本遵循。</w:t>
      </w:r>
    </w:p>
    <w:p w14:paraId="03692AFA">
      <w:pPr>
        <w:ind w:firstLine="480" w:firstLineChars="200"/>
        <w:jc w:val="left"/>
        <w:rPr>
          <w:rFonts w:ascii="Times New Roman" w:hAnsi="Times New Roman" w:cs="Times New Roman"/>
        </w:rPr>
      </w:pPr>
      <w:r>
        <w:rPr>
          <w:rFonts w:hint="eastAsia" w:ascii="Times New Roman" w:hAnsi="Times New Roman" w:cs="Times New Roman"/>
        </w:rPr>
        <w:t>上海作为特大型城市，产业集聚度高，固体废物产生量大、种类全，其中危险废物来源广、性质复杂、环境风险高，固体废物污染防治工作直接关系城市生态安全和高质量发展。市委、市政府高度重视固体废物综合治理工作，印发相关工作方案，明确以数字化智慧监管手段为支撑，全方位构建固体废物“减量化、资源化、无害化”管理体系，持续强化固体废物全过程闭环监管。</w:t>
      </w:r>
    </w:p>
    <w:p w14:paraId="273D9CCF">
      <w:pPr>
        <w:ind w:firstLine="480" w:firstLineChars="200"/>
        <w:jc w:val="left"/>
        <w:rPr>
          <w:rFonts w:ascii="Times New Roman" w:hAnsi="Times New Roman" w:cs="Times New Roman"/>
        </w:rPr>
      </w:pPr>
      <w:r>
        <w:rPr>
          <w:rFonts w:hint="eastAsia" w:ascii="Times New Roman" w:hAnsi="Times New Roman" w:cs="Times New Roman"/>
        </w:rPr>
        <w:t>我市重点强化一般工业固废和危险废物全过程管理，对一般工业固废产生单位实施分级分类管理，督促企业落实各项合规责任，探索建立工业固废电子反馈单制度，构建完善的一般工业固废闭环监管体系；对危险废物则聚焦产生、收集、贮存、转移、利用、处置全流程，严格落实电子联单制度，利用电子标签、电子磅秤等技术手段，全面推进“五即”（即产生、即包装、即称重、即打码、即入库）规范化建设，强化“一码贯通”全过程跟踪，严防危险废物失控失管。同时，立足数字化转型要求，积极探索固体废物数智分析服务，依托信息化系统整合各类监管数据，提升固体废物治理的智能化水平。</w:t>
      </w:r>
    </w:p>
    <w:p w14:paraId="3D7F0C16">
      <w:pPr>
        <w:pStyle w:val="4"/>
      </w:pPr>
      <w:r>
        <w:t>项目所涉业务领域信息化建设概况</w:t>
      </w:r>
    </w:p>
    <w:p w14:paraId="3F708A6B">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上海市危险废物管理信息系统已经建设三期并全部完成验收。整个系统重点围绕危险废物全过程监管进行建设，同时将医疗废物和一般工业固废一同纳入了监管范围，数据来源上总体以全过程流程业务和数据管理为主，数据获取方式主要依靠人工填报。</w:t>
      </w:r>
    </w:p>
    <w:p w14:paraId="41AFB10C">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1）在危险废物方面，系统主要实现了危废由纸质申报向网上登记的转变。产废单位作为危险废物管理责任主体，企业按要求主动申报，落实企业主体责任，主要功能有基础信息、管理计划、危废产生、转移、库存等定期填报、分析和统计。转移管理主要是实现对危险废物转移联单的管理，危险废物每一次从产废单位向处置单位的转移行为，均通过信息平台生成和确认转移联单进行转移联单的报送和备案登记。经营单位管理主要实现对危险废物利用处置单位日常经营行为的台账式管理，以经营台账日报和许可证管理为中心，包括处置单位基本信息管理、日常经营信息上报、库存明细管理等。</w:t>
      </w:r>
    </w:p>
    <w:p w14:paraId="5DDF4E48">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（2）在医疗废物方面， 系统与卫健部门信息化系统有机衔接，运行医疗废物电子转移联单，实现医疗废物收运处置信息共享互通。</w:t>
      </w:r>
    </w:p>
    <w:p w14:paraId="2C1538F0">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（3）在一般工业固体废物方面，为产废单位提供了基础申报功能，实现了包括一般工业固废基础信息、贮存设施信息、自行利用处置设施信息及最终接收单位信息的统一管理。</w:t>
      </w:r>
    </w:p>
    <w:p w14:paraId="69315320">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4）系统统计分析功能主要是按时间、地区、行业、危废种类等方式汇总产生量、贮存量、转移量、经营量、许可证情况等数量信息（支持数据及图表的导出），为生态环境管理部门了解辖区固废的接收、贮存、利用、处置情况提供依据。</w:t>
      </w:r>
    </w:p>
    <w:p w14:paraId="2DFEC7D6">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（5）系统实现与上海市“一网通办”系统中“危险废物管理计划备案”和“危险废物转移联单”模块的对接，并将“一网通办”系统中的危险废物管理计划备案信息和转移联单信息导入至本平台。</w:t>
      </w:r>
    </w:p>
    <w:p w14:paraId="0BAF2FB7">
      <w:pPr>
        <w:pStyle w:val="4"/>
      </w:pPr>
      <w:r>
        <w:t>项目与已有系统的关系</w:t>
      </w:r>
    </w:p>
    <w:p w14:paraId="21EE2D16">
      <w:pPr>
        <w:ind w:firstLine="480" w:firstLineChars="200"/>
        <w:rPr>
          <w:rFonts w:ascii="Times New Roman" w:hAnsi="Times New Roman" w:cs="Times New Roman"/>
          <w:szCs w:val="24"/>
          <w:lang w:bidi="ar"/>
        </w:rPr>
      </w:pPr>
      <w:r>
        <w:rPr>
          <w:rFonts w:ascii="Times New Roman" w:hAnsi="Times New Roman" w:cs="Times New Roman"/>
          <w:szCs w:val="24"/>
          <w:lang w:bidi="ar"/>
        </w:rPr>
        <w:t>上海市危险废物管理信息系统（202</w:t>
      </w:r>
      <w:r>
        <w:rPr>
          <w:rFonts w:hint="eastAsia" w:ascii="Times New Roman" w:hAnsi="Times New Roman" w:cs="Times New Roman"/>
          <w:szCs w:val="24"/>
          <w:lang w:bidi="ar"/>
        </w:rPr>
        <w:t>4</w:t>
      </w:r>
      <w:r>
        <w:rPr>
          <w:rFonts w:ascii="Times New Roman" w:hAnsi="Times New Roman" w:cs="Times New Roman"/>
          <w:szCs w:val="24"/>
          <w:lang w:bidi="ar"/>
        </w:rPr>
        <w:t>升级改造）项目已完成验收。</w:t>
      </w:r>
    </w:p>
    <w:p w14:paraId="4B176DC5">
      <w:pPr>
        <w:ind w:firstLine="480" w:firstLineChars="200"/>
        <w:rPr>
          <w:rFonts w:ascii="Times New Roman" w:hAnsi="Times New Roman" w:cs="Times New Roman"/>
        </w:rPr>
      </w:pPr>
      <w:r>
        <w:rPr>
          <w:rFonts w:ascii="Times New Roman" w:hAnsi="Times New Roman" w:cs="Times New Roman"/>
          <w:szCs w:val="24"/>
          <w:lang w:bidi="ar"/>
        </w:rPr>
        <w:t>本次系统的升级改造在原有的功能模块基础上，根据国家及上海</w:t>
      </w:r>
      <w:r>
        <w:rPr>
          <w:rFonts w:hint="eastAsia" w:ascii="Times New Roman" w:hAnsi="Times New Roman" w:cs="Times New Roman"/>
          <w:szCs w:val="24"/>
          <w:lang w:bidi="ar"/>
        </w:rPr>
        <w:t>最新的</w:t>
      </w:r>
      <w:r>
        <w:rPr>
          <w:rFonts w:ascii="Times New Roman" w:hAnsi="Times New Roman" w:cs="Times New Roman"/>
          <w:szCs w:val="24"/>
          <w:lang w:bidi="ar"/>
        </w:rPr>
        <w:t>固体废物管理要求，</w:t>
      </w:r>
      <w:r>
        <w:rPr>
          <w:rFonts w:hint="eastAsia" w:ascii="Times New Roman" w:hAnsi="Times New Roman" w:cs="Times New Roman"/>
          <w:szCs w:val="24"/>
          <w:lang w:bidi="ar"/>
        </w:rPr>
        <w:t>在</w:t>
      </w:r>
      <w:r>
        <w:rPr>
          <w:rFonts w:ascii="Times New Roman" w:hAnsi="Times New Roman" w:cs="Times New Roman"/>
          <w:szCs w:val="24"/>
          <w:lang w:bidi="ar"/>
        </w:rPr>
        <w:t>原有模块</w:t>
      </w:r>
      <w:r>
        <w:rPr>
          <w:rFonts w:hint="eastAsia" w:ascii="Times New Roman" w:hAnsi="Times New Roman" w:cs="Times New Roman"/>
          <w:szCs w:val="24"/>
          <w:lang w:bidi="ar"/>
        </w:rPr>
        <w:t>的基础上，</w:t>
      </w:r>
      <w:r>
        <w:rPr>
          <w:rFonts w:ascii="Times New Roman" w:hAnsi="Times New Roman" w:cs="Times New Roman"/>
          <w:szCs w:val="24"/>
          <w:lang w:bidi="ar"/>
        </w:rPr>
        <w:t>增加一些新的功能模块，具体的建设内容包括以下几个部分：一般工业固废全过程可追溯管理</w:t>
      </w:r>
      <w:r>
        <w:rPr>
          <w:rFonts w:hint="eastAsia" w:ascii="Times New Roman" w:hAnsi="Times New Roman" w:cs="Times New Roman"/>
          <w:szCs w:val="24"/>
          <w:lang w:bidi="ar"/>
        </w:rPr>
        <w:t>、</w:t>
      </w:r>
      <w:r>
        <w:rPr>
          <w:rFonts w:ascii="Times New Roman" w:hAnsi="Times New Roman" w:cs="Times New Roman"/>
          <w:szCs w:val="24"/>
          <w:lang w:bidi="ar"/>
        </w:rPr>
        <w:t>危险废物全过程智能物联应用升级</w:t>
      </w:r>
      <w:r>
        <w:rPr>
          <w:rFonts w:hint="eastAsia" w:ascii="Times New Roman" w:hAnsi="Times New Roman" w:cs="Times New Roman"/>
          <w:szCs w:val="24"/>
          <w:lang w:bidi="ar"/>
        </w:rPr>
        <w:t>、</w:t>
      </w:r>
      <w:r>
        <w:rPr>
          <w:rFonts w:ascii="Times New Roman" w:hAnsi="Times New Roman" w:cs="Times New Roman"/>
          <w:szCs w:val="24"/>
          <w:lang w:bidi="ar"/>
        </w:rPr>
        <w:t>一企一档多标签综合管理</w:t>
      </w:r>
      <w:r>
        <w:rPr>
          <w:rFonts w:hint="eastAsia" w:ascii="Times New Roman" w:hAnsi="Times New Roman" w:cs="Times New Roman"/>
          <w:szCs w:val="24"/>
          <w:lang w:bidi="ar"/>
        </w:rPr>
        <w:t>和</w:t>
      </w:r>
      <w:r>
        <w:rPr>
          <w:rFonts w:ascii="Times New Roman" w:hAnsi="Times New Roman" w:cs="Times New Roman"/>
          <w:szCs w:val="24"/>
          <w:lang w:bidi="ar"/>
        </w:rPr>
        <w:t>固体废物数智化监管应用。</w:t>
      </w:r>
    </w:p>
    <w:p w14:paraId="65D703D0">
      <w:pPr>
        <w:pStyle w:val="2"/>
      </w:pPr>
      <w:r>
        <w:t>项目建设目标、内容和要求</w:t>
      </w:r>
    </w:p>
    <w:p w14:paraId="70DBA906">
      <w:pPr>
        <w:pStyle w:val="3"/>
      </w:pPr>
      <w:r>
        <w:t>项目建设目标</w:t>
      </w:r>
    </w:p>
    <w:p w14:paraId="4E4FC7B2">
      <w:pPr>
        <w:ind w:firstLine="480" w:firstLineChars="200"/>
        <w:rPr>
          <w:rFonts w:ascii="Times New Roman" w:hAnsi="Times New Roman" w:cs="Times New Roman"/>
        </w:rPr>
      </w:pPr>
      <w:r>
        <w:rPr>
          <w:rFonts w:ascii="Times New Roman" w:hAnsi="Times New Roman" w:cs="Times New Roman"/>
        </w:rPr>
        <w:t>拟开展上海市危险废物管理信息系统（新建）（2026升级改造）建设工作，全力提升全市固体废物监管与服务水平，</w:t>
      </w:r>
      <w:r>
        <w:rPr>
          <w:rFonts w:hint="eastAsia" w:ascii="Times New Roman" w:hAnsi="Times New Roman" w:cs="Times New Roman"/>
        </w:rPr>
        <w:t>聚焦一般工业固废信息化管理，深化危险废物全过程智能物联应用，汇聚多源数据强化分析研判能力，提升固体废物数智化监管应用水平</w:t>
      </w:r>
      <w:r>
        <w:rPr>
          <w:rFonts w:ascii="Times New Roman" w:hAnsi="Times New Roman" w:cs="Times New Roman"/>
        </w:rPr>
        <w:t>，为管理决策、地方监管以及服务提供更为有力的数据支撑。</w:t>
      </w:r>
    </w:p>
    <w:p w14:paraId="10710407">
      <w:pPr>
        <w:pStyle w:val="3"/>
      </w:pPr>
      <w:r>
        <w:t>项目建设内容</w:t>
      </w:r>
    </w:p>
    <w:p w14:paraId="76FDFCB9">
      <w:pPr>
        <w:ind w:firstLine="480" w:firstLineChars="200"/>
        <w:rPr>
          <w:rFonts w:ascii="宋体" w:hAnsi="宋体"/>
        </w:rPr>
      </w:pPr>
      <w:r>
        <w:rPr>
          <w:rFonts w:hint="eastAsia" w:ascii="宋体" w:hAnsi="宋体"/>
        </w:rPr>
        <w:t>结合国家及上海市相关政策要求，本次系统升级改造聚焦固体废物数字化监管，核心涵盖四项业务内容，具体如下：</w:t>
      </w:r>
    </w:p>
    <w:p w14:paraId="0F6B6E77">
      <w:pPr>
        <w:ind w:firstLine="480" w:firstLineChars="200"/>
        <w:rPr>
          <w:rFonts w:ascii="宋体" w:hAnsi="宋体"/>
        </w:rPr>
      </w:pPr>
      <w:r>
        <w:rPr>
          <w:rFonts w:hint="eastAsia" w:ascii="宋体" w:hAnsi="宋体"/>
        </w:rPr>
        <w:t>（1）一般工业固废全过程可追溯管理</w:t>
      </w:r>
    </w:p>
    <w:p w14:paraId="60082A29">
      <w:pPr>
        <w:ind w:firstLine="480" w:firstLineChars="200"/>
        <w:rPr>
          <w:rFonts w:ascii="宋体" w:hAnsi="宋体"/>
        </w:rPr>
      </w:pPr>
      <w:r>
        <w:rPr>
          <w:rFonts w:hint="eastAsia" w:ascii="宋体" w:hAnsi="宋体"/>
        </w:rPr>
        <w:t>依据沪府办发〔2024〕30号文、《关于加强本市一般工业固体废物管理的通知》等要求，构建一般工业固废全过程可追溯闭环管理体系。对产废单位实施分级分类管理，规范电子管理台账申报、跨省转移利用备案及电子反馈单执行。项目将搭建数字化应用系统，提供上述全流程管理功能，完善统计报表、优化业务大屏，支撑全市一般工业固废全过程监管。</w:t>
      </w:r>
    </w:p>
    <w:p w14:paraId="561313BF">
      <w:pPr>
        <w:ind w:firstLine="480" w:firstLineChars="200"/>
        <w:rPr>
          <w:rFonts w:ascii="宋体" w:hAnsi="宋体"/>
        </w:rPr>
      </w:pPr>
      <w:r>
        <w:rPr>
          <w:rFonts w:hint="eastAsia" w:ascii="宋体" w:hAnsi="宋体"/>
        </w:rPr>
        <w:t>（2）危险废物全过程智能物联应用升级</w:t>
      </w:r>
    </w:p>
    <w:p w14:paraId="62DE3115">
      <w:pPr>
        <w:ind w:firstLine="480" w:firstLineChars="200"/>
        <w:rPr>
          <w:rFonts w:ascii="宋体" w:hAnsi="宋体"/>
        </w:rPr>
      </w:pPr>
      <w:r>
        <w:rPr>
          <w:rFonts w:hint="eastAsia" w:ascii="宋体" w:hAnsi="宋体"/>
        </w:rPr>
        <w:t>依据</w:t>
      </w:r>
      <w:r>
        <w:rPr>
          <w:rFonts w:ascii="宋体" w:hAnsi="宋体"/>
        </w:rPr>
        <w:t>《固体废物综合治理行动计划》（国发〔2025〕14号）</w:t>
      </w:r>
      <w:r>
        <w:rPr>
          <w:rFonts w:hint="eastAsia" w:ascii="宋体" w:hAnsi="宋体"/>
        </w:rPr>
        <w:t>、</w:t>
      </w:r>
      <w:r>
        <w:rPr>
          <w:rFonts w:ascii="宋体" w:hAnsi="宋体"/>
        </w:rPr>
        <w:t>《关于进一步加强危险废物环境治理 严密防控环境风险的指导意见》(环固体〔2025〕10号)</w:t>
      </w:r>
      <w:r>
        <w:rPr>
          <w:rFonts w:hint="eastAsia" w:ascii="宋体" w:hAnsi="宋体"/>
        </w:rPr>
        <w:t>、</w:t>
      </w:r>
      <w:r>
        <w:rPr>
          <w:rFonts w:ascii="宋体" w:hAnsi="宋体"/>
        </w:rPr>
        <w:t>《关于请配合做好危险废物全过程环境管理信息系统建设有关对接工作的通知》</w:t>
      </w:r>
      <w:r>
        <w:rPr>
          <w:rFonts w:hint="eastAsia" w:ascii="宋体" w:hAnsi="宋体"/>
        </w:rPr>
        <w:t>等相关政策，依托现有市危险废物管理信息系统，推行产废端“五即”规范化建设，打通危险废物包装赋码后入库、转移、接收、利用处置全环节实时扫码流转，实现“一码贯通”，确保废物流与信息流合一。</w:t>
      </w:r>
    </w:p>
    <w:p w14:paraId="2EF5A080">
      <w:pPr>
        <w:ind w:firstLine="480" w:firstLineChars="200"/>
        <w:rPr>
          <w:rFonts w:ascii="宋体" w:hAnsi="宋体"/>
        </w:rPr>
      </w:pPr>
      <w:r>
        <w:rPr>
          <w:rFonts w:hint="eastAsia" w:ascii="宋体" w:hAnsi="宋体"/>
        </w:rPr>
        <w:t>（3）一企一档多标签综合管理</w:t>
      </w:r>
    </w:p>
    <w:p w14:paraId="450D81D7">
      <w:pPr>
        <w:ind w:firstLine="480" w:firstLineChars="200"/>
        <w:rPr>
          <w:rFonts w:ascii="宋体" w:hAnsi="宋体"/>
        </w:rPr>
      </w:pPr>
      <w:r>
        <w:rPr>
          <w:rFonts w:hint="eastAsia" w:ascii="宋体" w:hAnsi="宋体"/>
        </w:rPr>
        <w:t>为助力监管部门掌握固废监管底数，项目将归口污染源企业基础数据管理，汇聚危险废物、一般工业固废、医疗废物及其他环保监管数据，构建企业基础档案管理系统，实现业务归一申报、数据统一标准、信息共享。通过实时采集企业申报及环保行为数据，保障监管部门精准掌握涉废企业动态；加强“一企一档”数据挖掘，提升数据对管理决策的支撑能力，使其成为监管执法、企业环境行为评价的重要依据。</w:t>
      </w:r>
    </w:p>
    <w:p w14:paraId="1CD68540">
      <w:pPr>
        <w:ind w:firstLine="480" w:firstLineChars="200"/>
        <w:rPr>
          <w:rFonts w:ascii="宋体" w:hAnsi="宋体"/>
        </w:rPr>
      </w:pPr>
      <w:r>
        <w:rPr>
          <w:rFonts w:hint="eastAsia" w:ascii="宋体" w:hAnsi="宋体"/>
        </w:rPr>
        <w:t>（4）固体废物数智化监管应用</w:t>
      </w:r>
    </w:p>
    <w:p w14:paraId="369EA6EA">
      <w:pPr>
        <w:ind w:firstLine="480" w:firstLineChars="200"/>
        <w:rPr>
          <w:rFonts w:ascii="宋体" w:hAnsi="宋体"/>
        </w:rPr>
      </w:pPr>
      <w:r>
        <w:rPr>
          <w:rFonts w:hint="eastAsia" w:ascii="宋体" w:hAnsi="宋体"/>
        </w:rPr>
        <w:t>依据相关政策及年度工作部署，依托数字化智慧监管手段，深度挖掘数据应用，丰富预警规则与数据分析手段，提升业务分析精准度，提升监管智能化水平。</w:t>
      </w:r>
    </w:p>
    <w:p w14:paraId="203AA15A">
      <w:pPr>
        <w:pStyle w:val="3"/>
      </w:pPr>
      <w:r>
        <w:t>系统总体技术要求</w:t>
      </w:r>
    </w:p>
    <w:p w14:paraId="25AA9DD3">
      <w:pPr>
        <w:ind w:firstLine="480" w:firstLineChars="200"/>
        <w:rPr>
          <w:rFonts w:ascii="Times New Roman" w:hAnsi="Times New Roman" w:cs="Times New Roman"/>
        </w:rPr>
      </w:pPr>
      <w:r>
        <w:rPr>
          <w:rFonts w:ascii="Times New Roman" w:hAnsi="Times New Roman" w:cs="Times New Roman"/>
          <w:szCs w:val="24"/>
          <w:lang w:bidi="ar"/>
        </w:rPr>
        <w:t>平台的开发须按软件工程的实施规范进行，保证系统选型先进、操作方便、维护简单、实施规范，具体要求如下：</w:t>
      </w:r>
    </w:p>
    <w:p w14:paraId="529342B3">
      <w:pPr>
        <w:ind w:firstLine="480" w:firstLineChars="200"/>
        <w:rPr>
          <w:rFonts w:ascii="Times New Roman" w:hAnsi="Times New Roman" w:cs="Times New Roman"/>
        </w:rPr>
      </w:pPr>
      <w:r>
        <w:rPr>
          <w:rFonts w:ascii="Times New Roman" w:hAnsi="Times New Roman" w:cs="Times New Roman"/>
          <w:szCs w:val="24"/>
          <w:lang w:bidi="ar"/>
        </w:rPr>
        <w:t>（1）平台应采用组件化的开发方式，各模块之间相互独立，模块接口开放、明确，任何一个应用模块的损坏和更换均不能影响其它模块的使用。</w:t>
      </w:r>
    </w:p>
    <w:p w14:paraId="251A9A9A">
      <w:pPr>
        <w:ind w:firstLine="480" w:firstLineChars="200"/>
        <w:rPr>
          <w:rFonts w:ascii="Times New Roman" w:hAnsi="Times New Roman" w:cs="Times New Roman"/>
        </w:rPr>
      </w:pPr>
      <w:r>
        <w:rPr>
          <w:rFonts w:ascii="Times New Roman" w:hAnsi="Times New Roman" w:cs="Times New Roman"/>
          <w:szCs w:val="24"/>
          <w:lang w:bidi="ar"/>
        </w:rPr>
        <w:t>（2）平台应采用SOA架构，采用主流数据库。服务模块设置要合理，保证不会由于功能模块的增加或改变而影响数据库的独立性和完整性。</w:t>
      </w:r>
    </w:p>
    <w:p w14:paraId="78F106C8">
      <w:pPr>
        <w:ind w:firstLine="480" w:firstLineChars="200"/>
        <w:rPr>
          <w:rFonts w:ascii="Times New Roman" w:hAnsi="Times New Roman" w:cs="Times New Roman"/>
          <w:szCs w:val="24"/>
          <w:lang w:bidi="ar"/>
        </w:rPr>
      </w:pPr>
      <w:r>
        <w:rPr>
          <w:rFonts w:ascii="Times New Roman" w:hAnsi="Times New Roman" w:cs="Times New Roman"/>
          <w:szCs w:val="24"/>
          <w:lang w:bidi="ar"/>
        </w:rPr>
        <w:t>（3）平台应具备良好的兼容性，客户端支持各种流行的软、硬件平台；服务器端可以无需修改、或者做小的调整就能在主流硬件平台和操作系统上运行。</w:t>
      </w:r>
    </w:p>
    <w:p w14:paraId="25AACAF3">
      <w:pPr>
        <w:pStyle w:val="3"/>
      </w:pPr>
      <w:r>
        <w:t>项目开发应用模块需求</w:t>
      </w:r>
    </w:p>
    <w:p w14:paraId="5F5599B1">
      <w:pPr>
        <w:pStyle w:val="4"/>
        <w:spacing w:before="120" w:after="120"/>
      </w:pPr>
      <w:bookmarkStart w:id="0" w:name="_Toc199173091"/>
      <w:r>
        <w:rPr>
          <w:rFonts w:hint="eastAsia"/>
        </w:rPr>
        <w:t>一般工业固废全过程可追溯管理</w:t>
      </w:r>
      <w:bookmarkEnd w:id="0"/>
    </w:p>
    <w:p w14:paraId="7F8D5B66">
      <w:pPr>
        <w:pStyle w:val="5"/>
        <w:spacing w:before="120" w:after="120"/>
      </w:pPr>
      <w:r>
        <w:rPr>
          <w:rFonts w:hint="eastAsia"/>
        </w:rPr>
        <w:t>单位分级分类管理</w:t>
      </w:r>
    </w:p>
    <w:p w14:paraId="35118000">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提供产废单位分级分类管理功能，满足动态调整产废单位分级分类清单的管理需求。</w:t>
      </w:r>
      <w:r>
        <w:rPr>
          <w:rFonts w:ascii="Times New Roman" w:hAnsi="Times New Roman" w:cs="Times New Roman"/>
          <w:szCs w:val="24"/>
          <w:lang w:bidi="ar"/>
        </w:rPr>
        <w:t xml:space="preserve"> </w:t>
      </w:r>
    </w:p>
    <w:p w14:paraId="7034A498">
      <w:pPr>
        <w:pStyle w:val="5"/>
        <w:spacing w:before="120" w:after="120"/>
      </w:pPr>
      <w:r>
        <w:rPr>
          <w:rFonts w:hint="eastAsia"/>
        </w:rPr>
        <w:t>接收/处置利用单位注册管理</w:t>
      </w:r>
    </w:p>
    <w:p w14:paraId="2C5C5EF2">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提供接收单位（含市外）一般工业固废接收单位注册管理服务，满足转出单位绑定收集单位关系需求。同时，提供</w:t>
      </w:r>
      <w:r>
        <w:rPr>
          <w:rFonts w:hint="eastAsia"/>
        </w:rPr>
        <w:t>处置利用单位登记利用处置类型信息。</w:t>
      </w:r>
    </w:p>
    <w:p w14:paraId="2CF2660F">
      <w:pPr>
        <w:pStyle w:val="5"/>
        <w:spacing w:before="120" w:after="120"/>
      </w:pPr>
      <w:r>
        <w:rPr>
          <w:rFonts w:hint="eastAsia"/>
        </w:rPr>
        <w:t>收集单位评估管理</w:t>
      </w:r>
    </w:p>
    <w:p w14:paraId="73F62FDE">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提供收集单位评估管理功能，满足收集单位管理指标管理以及常态化评价工作。具体功能评估对象清单管理、自评指标管理、企业自评任务、企业自评及相关统计查询服务。</w:t>
      </w:r>
    </w:p>
    <w:p w14:paraId="215013DB">
      <w:pPr>
        <w:pStyle w:val="5"/>
        <w:spacing w:before="120" w:after="120"/>
      </w:pPr>
      <w:r>
        <w:rPr>
          <w:rFonts w:hint="eastAsia"/>
        </w:rPr>
        <w:t>电子转移联单</w:t>
      </w:r>
    </w:p>
    <w:p w14:paraId="7CF98258">
      <w:pPr>
        <w:ind w:firstLine="480" w:firstLineChars="200"/>
        <w:rPr>
          <w:rFonts w:ascii="Times New Roman" w:hAnsi="Times New Roman" w:cs="Times New Roman"/>
          <w:b/>
          <w:bCs/>
          <w:szCs w:val="24"/>
          <w:lang w:bidi="ar"/>
        </w:rPr>
      </w:pPr>
      <w:r>
        <w:rPr>
          <w:rFonts w:hint="eastAsia" w:ascii="Times New Roman" w:hAnsi="Times New Roman" w:cs="Times New Roman"/>
          <w:szCs w:val="24"/>
          <w:lang w:bidi="ar"/>
        </w:rPr>
        <w:t>根据《一般工业固体废物信息化监管试点方案》最新要求，</w:t>
      </w:r>
      <w:r>
        <w:rPr>
          <w:rFonts w:ascii="Times New Roman" w:hAnsi="Times New Roman" w:cs="Times New Roman"/>
          <w:szCs w:val="24"/>
          <w:lang w:bidi="ar"/>
        </w:rPr>
        <w:t>探索建立全流程信息化闭环监管平台</w:t>
      </w:r>
      <w:r>
        <w:rPr>
          <w:rFonts w:hint="eastAsia" w:ascii="Times New Roman" w:hAnsi="Times New Roman" w:cs="Times New Roman"/>
          <w:szCs w:val="24"/>
          <w:lang w:bidi="ar"/>
        </w:rPr>
        <w:t>。主要功能包括月度电子反馈单发起申报、月度电子反馈单确认申报。</w:t>
      </w:r>
      <w:r>
        <w:rPr>
          <w:rFonts w:ascii="Times New Roman" w:hAnsi="Times New Roman" w:cs="Times New Roman"/>
          <w:szCs w:val="24"/>
          <w:lang w:bidi="ar"/>
        </w:rPr>
        <w:t>同一张电子反馈单应覆盖从产废单位直至最终利用处置单位的全部转移过程，流转数据应逻辑平衡，实现闭环跟踪。</w:t>
      </w:r>
    </w:p>
    <w:p w14:paraId="628042FF">
      <w:pPr>
        <w:pStyle w:val="5"/>
        <w:spacing w:before="120" w:after="120"/>
      </w:pPr>
      <w:r>
        <w:rPr>
          <w:rFonts w:hint="eastAsia"/>
        </w:rPr>
        <w:t>一般工业固废规范化评估</w:t>
      </w:r>
    </w:p>
    <w:p w14:paraId="73867FF4">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本期拟对危险废物规范化评估建设内容改造，允许同时支持危险废物和一般工业固废规范化管理。初始化一般工业固废规范化管理要求，提供清单式任务下发至企业，指导企业完成规范化管理和隐患排查。</w:t>
      </w:r>
    </w:p>
    <w:p w14:paraId="24706D45">
      <w:pPr>
        <w:pStyle w:val="5"/>
        <w:spacing w:before="120" w:after="120"/>
      </w:pPr>
      <w:r>
        <w:rPr>
          <w:rFonts w:hint="eastAsia"/>
        </w:rPr>
        <w:t>管理计划优化填报</w:t>
      </w:r>
    </w:p>
    <w:p w14:paraId="15C6F65E">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为减少企业管理计划重复信息的填报工作，基于企业已申报的管理计划历史数据和上年度申报数据，系统提供“一键带出”功能，自动填充已有数据项。企业按需修改预填信息、或补充新信息项即可完成本年度管理计划申报。</w:t>
      </w:r>
    </w:p>
    <w:p w14:paraId="6C4CA86A">
      <w:pPr>
        <w:pStyle w:val="5"/>
        <w:spacing w:before="120" w:after="120"/>
      </w:pPr>
      <w:r>
        <w:rPr>
          <w:rFonts w:hint="eastAsia"/>
        </w:rPr>
        <w:t>跨省转移办理数据对接分析</w:t>
      </w:r>
    </w:p>
    <w:p w14:paraId="6F6E9253">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与市审批系统对接，获取一般固废跨省转移利用备案信息和一般固体废物跨省贮存、处置审批信息，并打通电子反馈单的各环节。针对回流信息中申请单位、接收单位，应与市系统内单位进行匹配，确保数据可用。</w:t>
      </w:r>
    </w:p>
    <w:p w14:paraId="0A96C741">
      <w:pPr>
        <w:pStyle w:val="5"/>
        <w:spacing w:before="120" w:after="120"/>
      </w:pPr>
      <w:r>
        <w:rPr>
          <w:rFonts w:hint="eastAsia"/>
        </w:rPr>
        <w:t>统计查询报表专题</w:t>
      </w:r>
    </w:p>
    <w:p w14:paraId="7BDE73DB">
      <w:pPr>
        <w:ind w:firstLine="480" w:firstLineChars="200"/>
        <w:rPr>
          <w:sz w:val="28"/>
          <w:szCs w:val="28"/>
        </w:rPr>
      </w:pPr>
      <w:r>
        <w:rPr>
          <w:rFonts w:hint="eastAsia" w:ascii="Times New Roman" w:hAnsi="Times New Roman" w:cs="Times New Roman"/>
          <w:szCs w:val="24"/>
          <w:lang w:bidi="ar"/>
        </w:rPr>
        <w:t>新增一般工业固体废物统计分析、一般工业固废电子反馈单等情况统计，提供报表支持导出功能。</w:t>
      </w:r>
    </w:p>
    <w:p w14:paraId="256B9DD2">
      <w:pPr>
        <w:pStyle w:val="5"/>
        <w:spacing w:before="120" w:after="120"/>
      </w:pPr>
      <w:r>
        <w:rPr>
          <w:rFonts w:hint="eastAsia"/>
        </w:rPr>
        <w:t>一般工业固废全过程监管大屏</w:t>
      </w:r>
    </w:p>
    <w:p w14:paraId="3C090D75">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通过监管大屏展示产废企业数量、处置企业数量、产生总量、运输单位数量、利用处置量、贮存量、利用处置率、转移批次、完成批次、转移完成率等核心数据。功能包括产生动态、转移追踪、末端处置、预警信息、电子地图和转移反馈单等专题。</w:t>
      </w:r>
    </w:p>
    <w:p w14:paraId="78CD60B4">
      <w:pPr>
        <w:pStyle w:val="4"/>
        <w:spacing w:before="120" w:after="120"/>
      </w:pPr>
      <w:bookmarkStart w:id="1" w:name="_Toc199173092"/>
      <w:r>
        <w:rPr>
          <w:rFonts w:hint="eastAsia"/>
        </w:rPr>
        <w:t>危险废物全过程智能物联应用升级</w:t>
      </w:r>
      <w:bookmarkEnd w:id="1"/>
    </w:p>
    <w:p w14:paraId="22D226F0">
      <w:pPr>
        <w:pStyle w:val="5"/>
        <w:spacing w:before="120" w:after="120"/>
      </w:pPr>
      <w:r>
        <w:rPr>
          <w:rFonts w:hint="eastAsia"/>
        </w:rPr>
        <w:t>危险废物名录（2025年版）升级</w:t>
      </w:r>
    </w:p>
    <w:p w14:paraId="05412F39">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新增危废名录动态管理功能。面向管理人员提供危废名录新增（导入）、更新、作废（删除）等管理。系统提供与老名录匹配功能，满足危险废物名录合并或拆分需求。</w:t>
      </w:r>
    </w:p>
    <w:p w14:paraId="4E5198BB">
      <w:pPr>
        <w:pStyle w:val="5"/>
        <w:spacing w:before="120" w:after="120"/>
        <w:rPr>
          <w:rFonts w:ascii="Times New Roman" w:hAnsi="Times New Roman" w:cs="Times New Roman"/>
          <w:szCs w:val="24"/>
          <w:lang w:bidi="ar"/>
        </w:rPr>
      </w:pPr>
      <w:r>
        <w:rPr>
          <w:rFonts w:ascii="Times New Roman" w:hAnsi="Times New Roman" w:cs="Times New Roman"/>
          <w:szCs w:val="24"/>
          <w:lang w:bidi="ar"/>
        </w:rPr>
        <w:t>豁免名录动态管理</w:t>
      </w:r>
    </w:p>
    <w:p w14:paraId="325F3098">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新增豁免名录动态管理。面向管理人员提供危险废物豁免清单、豁免条件动态维护功能。实现纳入系统管理的豁免危险废物的豁免环节、豁免条件结构化管理，指导申请单位按条件提供相关材料服务备案，系统自动提醒和校核企业备案材料。</w:t>
      </w:r>
    </w:p>
    <w:p w14:paraId="43CAC9A2">
      <w:pPr>
        <w:pStyle w:val="5"/>
        <w:spacing w:before="120" w:after="120"/>
        <w:rPr>
          <w:rFonts w:ascii="Times New Roman" w:hAnsi="Times New Roman" w:cs="Times New Roman"/>
          <w:szCs w:val="24"/>
          <w:lang w:bidi="ar"/>
        </w:rPr>
      </w:pPr>
      <w:r>
        <w:rPr>
          <w:rFonts w:hint="eastAsia" w:ascii="Times New Roman" w:hAnsi="Times New Roman" w:cs="Times New Roman"/>
          <w:szCs w:val="24"/>
          <w:lang w:bidi="ar"/>
        </w:rPr>
        <w:t>危废名录升级可视化监控</w:t>
      </w:r>
    </w:p>
    <w:p w14:paraId="47B49B8B">
      <w:pPr>
        <w:ind w:firstLine="480" w:firstLineChars="200"/>
        <w:rPr>
          <w:rFonts w:ascii="Times New Roman" w:hAnsi="Times New Roman" w:cs="Times New Roman"/>
          <w:szCs w:val="24"/>
          <w:lang w:bidi="ar"/>
        </w:rPr>
      </w:pPr>
      <w:r>
        <w:rPr>
          <w:rFonts w:hint="eastAsia" w:ascii="Times New Roman" w:hAnsi="Times New Roman" w:cs="Times New Roman"/>
          <w:szCs w:val="24"/>
          <w:lang w:bidi="ar"/>
        </w:rPr>
        <w:t>新旧名录切换结果可视化菜单，可查看涉及修订的危废基本信息对比记录，并支持查询对应库存的详细包装信息。提供数据迁移任务执行日志监控，查询备份文件。</w:t>
      </w:r>
    </w:p>
    <w:p w14:paraId="3FB5E334">
      <w:pPr>
        <w:pStyle w:val="5"/>
        <w:spacing w:before="120" w:after="120"/>
      </w:pPr>
      <w:r>
        <w:rPr>
          <w:rFonts w:hint="eastAsia"/>
        </w:rPr>
        <w:t>“五即”规范化建设</w:t>
      </w:r>
    </w:p>
    <w:p w14:paraId="4BA1E71F">
      <w:pPr>
        <w:ind w:firstLine="480" w:firstLineChars="200"/>
        <w:rPr>
          <w:rFonts w:ascii="宋体" w:hAnsi="宋体" w:cs="Times New Roman"/>
          <w:szCs w:val="24"/>
          <w:lang w:bidi="ar"/>
        </w:rPr>
      </w:pPr>
      <w:bookmarkStart w:id="2" w:name="_Hlk213765061"/>
      <w:r>
        <w:rPr>
          <w:rFonts w:hint="eastAsia" w:ascii="宋体" w:hAnsi="宋体" w:cs="Times New Roman"/>
          <w:szCs w:val="24"/>
          <w:lang w:bidi="ar"/>
        </w:rPr>
        <w:t>1、智能物联设备联网管理。为动态管理我市“五即”规范化建设进度，掌握全市“五即”规范化建设质量，系统应提供全市智能终端联网名单管理、全市智能终端联网进度、全市智能终端联网“一张图”功能。</w:t>
      </w:r>
    </w:p>
    <w:p w14:paraId="5065D856">
      <w:pPr>
        <w:ind w:firstLine="480" w:firstLineChars="200"/>
        <w:rPr>
          <w:rFonts w:hint="eastAsia" w:ascii="宋体" w:hAnsi="宋体" w:cs="Times New Roman"/>
          <w:szCs w:val="24"/>
          <w:lang w:bidi="ar"/>
        </w:rPr>
      </w:pPr>
      <w:r>
        <w:rPr>
          <w:rFonts w:hint="eastAsia" w:ascii="宋体" w:hAnsi="宋体" w:cs="Times New Roman"/>
          <w:szCs w:val="24"/>
          <w:lang w:bidi="ar"/>
        </w:rPr>
        <w:t>2、智能物联设备联网管理。为规范智能物联设备联网技术规范，系统应提供智能物联设备接口管理、智能物理设备接口改造功能。</w:t>
      </w:r>
    </w:p>
    <w:bookmarkEnd w:id="2"/>
    <w:p w14:paraId="048D0CDF">
      <w:pPr>
        <w:pStyle w:val="5"/>
        <w:spacing w:before="120" w:after="120"/>
      </w:pPr>
      <w:r>
        <w:rPr>
          <w:rFonts w:hint="eastAsia"/>
        </w:rPr>
        <w:t>“一码贯通”应用升级</w:t>
      </w:r>
    </w:p>
    <w:p w14:paraId="47E09D82">
      <w:pPr>
        <w:ind w:firstLine="480" w:firstLineChars="200"/>
        <w:rPr>
          <w:rFonts w:ascii="宋体" w:hAnsi="宋体" w:cs="Times New Roman"/>
          <w:szCs w:val="24"/>
          <w:lang w:bidi="ar"/>
        </w:rPr>
      </w:pPr>
      <w:r>
        <w:rPr>
          <w:rFonts w:hint="eastAsia" w:ascii="宋体" w:hAnsi="宋体" w:cs="Times New Roman"/>
          <w:szCs w:val="24"/>
          <w:lang w:bidi="ar"/>
        </w:rPr>
        <w:t>1、产生环节升级（立产立清）</w:t>
      </w:r>
    </w:p>
    <w:p w14:paraId="58BE3B98">
      <w:pPr>
        <w:ind w:firstLine="480" w:firstLineChars="200"/>
        <w:rPr>
          <w:rFonts w:ascii="宋体" w:hAnsi="宋体" w:cs="Times New Roman"/>
          <w:szCs w:val="24"/>
          <w:lang w:bidi="ar"/>
        </w:rPr>
      </w:pPr>
      <w:r>
        <w:rPr>
          <w:rFonts w:hint="eastAsia" w:ascii="宋体" w:hAnsi="宋体" w:cs="Times New Roman"/>
          <w:szCs w:val="24"/>
          <w:lang w:bidi="ar"/>
        </w:rPr>
        <w:t>提供危险废物产生后直接发起自行利用处置或转移服务。支持扫码危废包装物二维码发起委外利用处置转移或自行利用处置。</w:t>
      </w:r>
    </w:p>
    <w:p w14:paraId="64ED2860">
      <w:pPr>
        <w:ind w:firstLine="480" w:firstLineChars="200"/>
        <w:rPr>
          <w:rFonts w:ascii="宋体" w:hAnsi="宋体" w:cs="Times New Roman"/>
          <w:szCs w:val="24"/>
          <w:lang w:bidi="ar"/>
        </w:rPr>
      </w:pPr>
      <w:r>
        <w:rPr>
          <w:rFonts w:hint="eastAsia" w:ascii="宋体" w:hAnsi="宋体" w:cs="Times New Roman"/>
          <w:szCs w:val="24"/>
          <w:lang w:bidi="ar"/>
        </w:rPr>
        <w:t>2、转移环节实时监控。优化运输车辆GPS数据接入服务，展示危废运输车辆GPS实时接入情况。通过选择任意一联单或运输车辆可以查询历史行驶轨迹。</w:t>
      </w:r>
    </w:p>
    <w:p w14:paraId="56D8712E">
      <w:pPr>
        <w:ind w:firstLine="480" w:firstLineChars="200"/>
        <w:rPr>
          <w:rFonts w:ascii="宋体" w:hAnsi="宋体" w:cs="Times New Roman"/>
          <w:szCs w:val="24"/>
          <w:lang w:bidi="ar"/>
        </w:rPr>
      </w:pPr>
      <w:r>
        <w:rPr>
          <w:rFonts w:hint="eastAsia" w:ascii="宋体" w:hAnsi="宋体" w:cs="Times New Roman"/>
          <w:szCs w:val="24"/>
          <w:lang w:bidi="ar"/>
        </w:rPr>
        <w:t>3、签收环节升级。提供危险废物到厂签收后直接发起利用处置服务。支持扫码扫码危废包装物二维码发起利用处置。</w:t>
      </w:r>
    </w:p>
    <w:p w14:paraId="46392BCB">
      <w:pPr>
        <w:ind w:firstLine="480" w:firstLineChars="200"/>
        <w:rPr>
          <w:rFonts w:ascii="宋体" w:hAnsi="宋体" w:cs="Times New Roman"/>
          <w:szCs w:val="24"/>
          <w:lang w:bidi="ar"/>
        </w:rPr>
      </w:pPr>
      <w:r>
        <w:rPr>
          <w:rFonts w:hint="eastAsia" w:ascii="宋体" w:hAnsi="宋体" w:cs="Times New Roman"/>
          <w:szCs w:val="24"/>
          <w:lang w:bidi="ar"/>
        </w:rPr>
        <w:t>4、危废扫码应用升级</w:t>
      </w:r>
    </w:p>
    <w:p w14:paraId="7EC2431F">
      <w:pPr>
        <w:ind w:firstLine="480" w:firstLineChars="200"/>
        <w:rPr>
          <w:rFonts w:ascii="宋体" w:hAnsi="宋体" w:cs="Times New Roman"/>
          <w:szCs w:val="24"/>
          <w:lang w:bidi="ar"/>
        </w:rPr>
      </w:pPr>
      <w:r>
        <w:rPr>
          <w:rFonts w:hint="eastAsia" w:ascii="宋体" w:hAnsi="宋体" w:cs="Times New Roman"/>
          <w:szCs w:val="24"/>
          <w:lang w:bidi="ar"/>
        </w:rPr>
        <w:t>（1）企业移动工作台集成。实现危险废物提醒预警消息、待办任务等内容与企业移动工作台集成。危废企业在移动工作台可以访问通知公告、查询企业“一企一档”以及授权可以访问的业务应用。</w:t>
      </w:r>
    </w:p>
    <w:p w14:paraId="4A356C44">
      <w:pPr>
        <w:ind w:firstLine="480" w:firstLineChars="200"/>
        <w:rPr>
          <w:rFonts w:ascii="宋体" w:hAnsi="宋体" w:cs="Times New Roman"/>
          <w:szCs w:val="24"/>
          <w:lang w:bidi="ar"/>
        </w:rPr>
      </w:pPr>
      <w:r>
        <w:rPr>
          <w:rFonts w:hint="eastAsia" w:ascii="宋体" w:hAnsi="宋体" w:cs="Times New Roman"/>
          <w:szCs w:val="24"/>
          <w:lang w:bidi="ar"/>
        </w:rPr>
        <w:t>（2）危废次生产废申报，提供线下扫码申报功能。当有危险废物产生时，企业现场操作人员可使用移动端扫描产废设施二维码，进入申报界面，实现危废即产生即申报。</w:t>
      </w:r>
    </w:p>
    <w:p w14:paraId="339F85DC">
      <w:pPr>
        <w:ind w:firstLine="480" w:firstLineChars="200"/>
        <w:rPr>
          <w:rFonts w:ascii="宋体" w:hAnsi="宋体" w:cs="Times New Roman"/>
          <w:szCs w:val="24"/>
          <w:lang w:bidi="ar"/>
        </w:rPr>
      </w:pPr>
      <w:r>
        <w:rPr>
          <w:rFonts w:hint="eastAsia" w:ascii="宋体" w:hAnsi="宋体" w:cs="Times New Roman"/>
          <w:szCs w:val="24"/>
          <w:lang w:bidi="ar"/>
        </w:rPr>
        <w:t>（3）危废次生产废</w:t>
      </w:r>
      <w:r>
        <w:rPr>
          <w:rFonts w:ascii="宋体" w:hAnsi="宋体" w:cs="Times New Roman"/>
          <w:szCs w:val="24"/>
          <w:lang w:bidi="ar"/>
        </w:rPr>
        <w:t>入库</w:t>
      </w:r>
      <w:r>
        <w:rPr>
          <w:rFonts w:hint="eastAsia" w:ascii="宋体" w:hAnsi="宋体" w:cs="Times New Roman"/>
          <w:szCs w:val="24"/>
          <w:lang w:bidi="ar"/>
        </w:rPr>
        <w:t>申报，当有危险废物包装需要入库时，扫描贮存设施二维码进入入库申报界面，实现危险废物入库台账申报</w:t>
      </w:r>
      <w:r>
        <w:rPr>
          <w:rFonts w:ascii="宋体" w:hAnsi="宋体" w:cs="Times New Roman"/>
          <w:szCs w:val="24"/>
          <w:lang w:bidi="ar"/>
        </w:rPr>
        <w:t>。</w:t>
      </w:r>
    </w:p>
    <w:p w14:paraId="109BAD0F">
      <w:pPr>
        <w:ind w:firstLine="480" w:firstLineChars="200"/>
        <w:rPr>
          <w:rFonts w:ascii="宋体" w:hAnsi="宋体" w:cs="Times New Roman"/>
          <w:szCs w:val="24"/>
          <w:lang w:bidi="ar"/>
        </w:rPr>
      </w:pPr>
      <w:r>
        <w:rPr>
          <w:rFonts w:hint="eastAsia" w:ascii="宋体" w:hAnsi="宋体" w:cs="Times New Roman"/>
          <w:szCs w:val="24"/>
          <w:lang w:bidi="ar"/>
        </w:rPr>
        <w:t>（4）转移联单与运单系统联网，根据与交通运管部门数据对接方案，完成转移联单主要环节与运单系统进行衔接。基于运输单位移动端应用在已有转移联单操作界面，完善对接要求的数据采集，避免运输单位多头多次报送。</w:t>
      </w:r>
    </w:p>
    <w:p w14:paraId="3C7416F2">
      <w:pPr>
        <w:ind w:firstLine="480" w:firstLineChars="200"/>
        <w:rPr>
          <w:rFonts w:ascii="宋体" w:hAnsi="宋体" w:cs="Times New Roman"/>
          <w:szCs w:val="24"/>
          <w:lang w:bidi="ar"/>
        </w:rPr>
      </w:pPr>
      <w:r>
        <w:rPr>
          <w:rFonts w:hint="eastAsia" w:ascii="宋体" w:hAnsi="宋体" w:cs="Times New Roman"/>
          <w:szCs w:val="24"/>
          <w:lang w:bidi="ar"/>
        </w:rPr>
        <w:t>（5）危废联单扫码入库。经营单位操作人员使用移动端扫描贮存设施，再逐个扫描危废包装二维码进行入库操作。</w:t>
      </w:r>
    </w:p>
    <w:p w14:paraId="4FC0772F">
      <w:pPr>
        <w:ind w:firstLine="480" w:firstLineChars="200"/>
        <w:rPr>
          <w:rFonts w:ascii="宋体" w:hAnsi="宋体" w:cs="Times New Roman"/>
          <w:szCs w:val="24"/>
          <w:lang w:bidi="ar"/>
        </w:rPr>
      </w:pPr>
      <w:r>
        <w:rPr>
          <w:rFonts w:hint="eastAsia" w:ascii="宋体" w:hAnsi="宋体" w:cs="Times New Roman"/>
          <w:szCs w:val="24"/>
          <w:lang w:bidi="ar"/>
        </w:rPr>
        <w:t>（6）自行利用处置/利用处置申报。经营单位操作人员</w:t>
      </w:r>
      <w:r>
        <w:rPr>
          <w:rFonts w:ascii="宋体" w:hAnsi="宋体" w:cs="Times New Roman"/>
          <w:szCs w:val="24"/>
          <w:lang w:bidi="ar"/>
        </w:rPr>
        <w:t>在</w:t>
      </w:r>
      <w:r>
        <w:rPr>
          <w:rFonts w:hint="eastAsia" w:ascii="宋体" w:hAnsi="宋体" w:cs="Times New Roman"/>
          <w:szCs w:val="24"/>
          <w:lang w:bidi="ar"/>
        </w:rPr>
        <w:t>移动端</w:t>
      </w:r>
      <w:r>
        <w:rPr>
          <w:rFonts w:ascii="宋体" w:hAnsi="宋体" w:cs="Times New Roman"/>
          <w:szCs w:val="24"/>
          <w:lang w:bidi="ar"/>
        </w:rPr>
        <w:t>进行</w:t>
      </w:r>
      <w:r>
        <w:rPr>
          <w:rFonts w:hint="eastAsia" w:ascii="宋体" w:hAnsi="宋体" w:cs="Times New Roman"/>
          <w:szCs w:val="24"/>
          <w:lang w:bidi="ar"/>
        </w:rPr>
        <w:t>处置利用登记。</w:t>
      </w:r>
    </w:p>
    <w:p w14:paraId="065485DE">
      <w:pPr>
        <w:ind w:firstLine="480" w:firstLineChars="200"/>
        <w:rPr>
          <w:rFonts w:ascii="宋体" w:hAnsi="宋体" w:cs="Times New Roman"/>
          <w:szCs w:val="24"/>
          <w:lang w:bidi="ar"/>
        </w:rPr>
      </w:pPr>
      <w:r>
        <w:rPr>
          <w:rFonts w:hint="eastAsia" w:ascii="宋体" w:hAnsi="宋体" w:cs="Times New Roman"/>
          <w:szCs w:val="24"/>
          <w:lang w:bidi="ar"/>
        </w:rPr>
        <w:t>（7）危险废物移动查询。在企业移动工作台“一企一档”移动应用模块中增加危险废物档案查询。</w:t>
      </w:r>
    </w:p>
    <w:p w14:paraId="73057BC8">
      <w:pPr>
        <w:pStyle w:val="5"/>
        <w:spacing w:before="120" w:after="120"/>
      </w:pPr>
      <w:r>
        <w:rPr>
          <w:rFonts w:hint="eastAsia"/>
        </w:rPr>
        <w:t>国家系统联网改造</w:t>
      </w:r>
    </w:p>
    <w:p w14:paraId="6603152F">
      <w:pPr>
        <w:ind w:firstLine="480" w:firstLineChars="200"/>
        <w:rPr>
          <w:rFonts w:ascii="宋体" w:hAnsi="宋体" w:cs="Times New Roman"/>
          <w:szCs w:val="24"/>
          <w:lang w:bidi="ar"/>
        </w:rPr>
      </w:pPr>
      <w:r>
        <w:rPr>
          <w:rFonts w:ascii="宋体" w:hAnsi="宋体" w:cs="Times New Roman"/>
          <w:szCs w:val="24"/>
          <w:lang w:bidi="ar"/>
        </w:rPr>
        <w:t>按照《危险废物全过程环境管理信息系统数据采集与对接技术要点》</w:t>
      </w:r>
      <w:r>
        <w:rPr>
          <w:rFonts w:hint="eastAsia" w:ascii="宋体" w:hAnsi="宋体" w:cs="Times New Roman"/>
          <w:szCs w:val="24"/>
          <w:lang w:bidi="ar"/>
        </w:rPr>
        <w:t>等技术规范</w:t>
      </w:r>
      <w:r>
        <w:rPr>
          <w:rFonts w:ascii="宋体" w:hAnsi="宋体" w:cs="Times New Roman"/>
          <w:szCs w:val="24"/>
          <w:lang w:bidi="ar"/>
        </w:rPr>
        <w:t>，</w:t>
      </w:r>
      <w:r>
        <w:rPr>
          <w:rFonts w:hint="eastAsia" w:ascii="宋体" w:hAnsi="宋体" w:cs="Times New Roman"/>
          <w:szCs w:val="24"/>
          <w:lang w:bidi="ar"/>
        </w:rPr>
        <w:t>完成与</w:t>
      </w:r>
      <w:r>
        <w:rPr>
          <w:rFonts w:ascii="宋体" w:hAnsi="宋体" w:cs="Times New Roman"/>
          <w:szCs w:val="24"/>
          <w:lang w:bidi="ar"/>
        </w:rPr>
        <w:t>国家</w:t>
      </w:r>
      <w:r>
        <w:rPr>
          <w:rFonts w:hint="eastAsia" w:ascii="宋体" w:hAnsi="宋体" w:cs="Times New Roman"/>
          <w:szCs w:val="24"/>
          <w:lang w:bidi="ar"/>
        </w:rPr>
        <w:t>新</w:t>
      </w:r>
      <w:r>
        <w:rPr>
          <w:rFonts w:ascii="宋体" w:hAnsi="宋体" w:cs="Times New Roman"/>
          <w:szCs w:val="24"/>
          <w:lang w:bidi="ar"/>
        </w:rPr>
        <w:t>系统对接，满足“五即”规范化、“一码贯通”对接要求。</w:t>
      </w:r>
      <w:r>
        <w:rPr>
          <w:rFonts w:hint="eastAsia" w:ascii="宋体" w:hAnsi="宋体" w:cs="Times New Roman"/>
          <w:szCs w:val="24"/>
          <w:lang w:bidi="ar"/>
        </w:rPr>
        <w:t>同时，根据</w:t>
      </w:r>
      <w:r>
        <w:rPr>
          <w:rFonts w:hint="eastAsia" w:ascii="宋体" w:hAnsi="宋体"/>
          <w:szCs w:val="24"/>
        </w:rPr>
        <w:t>《电子管理台账技术要点》、《电子转移联单技术要点》以及《电子记录簿技术要点》等要点，对现有功能升级改造。</w:t>
      </w:r>
    </w:p>
    <w:p w14:paraId="3809B788">
      <w:pPr>
        <w:pStyle w:val="4"/>
        <w:spacing w:before="120" w:after="120"/>
      </w:pPr>
      <w:bookmarkStart w:id="3" w:name="_Toc199173093"/>
      <w:r>
        <w:rPr>
          <w:rFonts w:hint="eastAsia"/>
        </w:rPr>
        <w:t>一企一档多标签综合管理</w:t>
      </w:r>
      <w:bookmarkEnd w:id="3"/>
    </w:p>
    <w:p w14:paraId="04C6057E">
      <w:pPr>
        <w:pStyle w:val="5"/>
        <w:spacing w:before="120" w:after="120"/>
      </w:pPr>
      <w:r>
        <w:rPr>
          <w:rFonts w:hint="eastAsia"/>
        </w:rPr>
        <w:t>“一企一档”外部数据汇聚</w:t>
      </w:r>
    </w:p>
    <w:p w14:paraId="4C6F1DF5">
      <w:pPr>
        <w:ind w:firstLine="480" w:firstLineChars="200"/>
        <w:rPr>
          <w:rFonts w:ascii="宋体" w:hAnsi="宋体" w:cs="Times New Roman"/>
          <w:szCs w:val="24"/>
          <w:lang w:bidi="ar"/>
        </w:rPr>
      </w:pPr>
      <w:r>
        <w:rPr>
          <w:rFonts w:hint="eastAsia" w:ascii="宋体" w:hAnsi="宋体" w:cs="Times New Roman"/>
          <w:szCs w:val="24"/>
          <w:lang w:bidi="ar"/>
        </w:rPr>
        <w:t>1、本项目通过与市固定污染源“一企一档”开展匹配服务，完成与排污许可证等其他业务实现一企一码、一物一码的标准化对接。</w:t>
      </w:r>
    </w:p>
    <w:p w14:paraId="1982B3B3">
      <w:pPr>
        <w:ind w:firstLine="480" w:firstLineChars="200"/>
        <w:rPr>
          <w:rFonts w:ascii="宋体" w:hAnsi="宋体" w:cs="Times New Roman"/>
          <w:szCs w:val="24"/>
          <w:lang w:bidi="ar"/>
        </w:rPr>
      </w:pPr>
      <w:r>
        <w:rPr>
          <w:rFonts w:hint="eastAsia" w:ascii="宋体" w:hAnsi="宋体" w:cs="Times New Roman"/>
          <w:szCs w:val="24"/>
          <w:lang w:bidi="ar"/>
        </w:rPr>
        <w:t>2、根据匹配结果，市系统通过市大数据中心通过获取企业排污许可证相关信息。</w:t>
      </w:r>
    </w:p>
    <w:p w14:paraId="7547EC4D">
      <w:pPr>
        <w:ind w:firstLine="480" w:firstLineChars="200"/>
        <w:rPr>
          <w:rFonts w:ascii="宋体" w:hAnsi="宋体" w:cs="Times New Roman"/>
          <w:szCs w:val="24"/>
          <w:lang w:bidi="ar"/>
        </w:rPr>
      </w:pPr>
      <w:r>
        <w:rPr>
          <w:rFonts w:hint="eastAsia" w:ascii="宋体" w:hAnsi="宋体" w:cs="Times New Roman"/>
          <w:szCs w:val="24"/>
          <w:lang w:bidi="ar"/>
        </w:rPr>
        <w:t>3、企业厂区平面空间标绘。系统提供企业平面图层信息标绘工具，企业可在线标注企业生产设施、自行利用处置设施、贮存设施、视频点位、智能终端分布等，方便监管人员对企业分布一目了然，提升监管效率。</w:t>
      </w:r>
    </w:p>
    <w:p w14:paraId="1B171E16">
      <w:pPr>
        <w:pStyle w:val="5"/>
        <w:spacing w:before="120" w:after="120"/>
      </w:pPr>
      <w:r>
        <w:rPr>
          <w:rFonts w:hint="eastAsia"/>
        </w:rPr>
        <w:t>企业标签整合改造</w:t>
      </w:r>
    </w:p>
    <w:p w14:paraId="31B61490">
      <w:pPr>
        <w:ind w:firstLine="480" w:firstLineChars="200"/>
        <w:rPr>
          <w:rFonts w:ascii="宋体" w:hAnsi="宋体" w:cs="Times New Roman"/>
          <w:szCs w:val="24"/>
          <w:lang w:bidi="ar"/>
        </w:rPr>
      </w:pPr>
      <w:r>
        <w:rPr>
          <w:rFonts w:hint="eastAsia" w:ascii="宋体" w:hAnsi="宋体" w:cs="Times New Roman"/>
          <w:szCs w:val="24"/>
          <w:lang w:bidi="ar"/>
        </w:rPr>
        <w:t>完善现有标签体系和功能，推动标签由“统计查询”向“挖掘分析”提升，实现科学监管和规范监管，提升危废监管水平。包括企业标签管理、标签属性设置、自动标签服务、标签统计分析、基于标签的分级分类管理等功能。</w:t>
      </w:r>
    </w:p>
    <w:p w14:paraId="4E05ABA6">
      <w:pPr>
        <w:pStyle w:val="5"/>
        <w:spacing w:before="120" w:after="120"/>
      </w:pPr>
      <w:r>
        <w:rPr>
          <w:rFonts w:hint="eastAsia"/>
        </w:rPr>
        <w:t>企业固体废物档案应用升级</w:t>
      </w:r>
    </w:p>
    <w:p w14:paraId="2B056AC0">
      <w:pPr>
        <w:pStyle w:val="6"/>
      </w:pPr>
      <w:r>
        <w:rPr>
          <w:rFonts w:hint="eastAsia"/>
        </w:rPr>
        <w:t>企业“一企一档”综合展示</w:t>
      </w:r>
    </w:p>
    <w:p w14:paraId="1AA17A2F">
      <w:pPr>
        <w:ind w:firstLine="480" w:firstLineChars="200"/>
        <w:rPr>
          <w:rFonts w:ascii="宋体" w:hAnsi="宋体" w:cs="Times New Roman"/>
          <w:szCs w:val="24"/>
          <w:lang w:bidi="ar"/>
        </w:rPr>
      </w:pPr>
      <w:r>
        <w:rPr>
          <w:rFonts w:hint="eastAsia" w:ascii="宋体" w:hAnsi="宋体" w:cs="Times New Roman"/>
          <w:szCs w:val="24"/>
          <w:lang w:bidi="ar"/>
        </w:rPr>
        <w:t>1、全市涉废单位统计</w:t>
      </w:r>
    </w:p>
    <w:p w14:paraId="0D9CA174">
      <w:pPr>
        <w:ind w:firstLine="480" w:firstLineChars="200"/>
        <w:rPr>
          <w:rFonts w:ascii="宋体" w:hAnsi="宋体" w:cs="Times New Roman"/>
          <w:szCs w:val="24"/>
          <w:lang w:bidi="ar"/>
        </w:rPr>
      </w:pPr>
      <w:r>
        <w:rPr>
          <w:rFonts w:hint="eastAsia" w:ascii="宋体" w:hAnsi="宋体" w:cs="Times New Roman"/>
          <w:szCs w:val="24"/>
          <w:lang w:bidi="ar"/>
        </w:rPr>
        <w:t>提供区域纳入本系统的企业数字统计，展示企业底数，便于管理人员快速掌握区域业务范围内企业底数，进一步查询企业详细数据。结合GIS掌握分布情况，展示全市不同维度企业的空间分布情况。基于全文检索技术，开发全局检索服务，方便方便管理人员快速找到企业。</w:t>
      </w:r>
    </w:p>
    <w:p w14:paraId="17337942">
      <w:pPr>
        <w:ind w:firstLine="480" w:firstLineChars="200"/>
        <w:rPr>
          <w:rFonts w:ascii="宋体" w:hAnsi="宋体" w:cs="Times New Roman"/>
          <w:szCs w:val="24"/>
          <w:lang w:bidi="ar"/>
        </w:rPr>
      </w:pPr>
      <w:r>
        <w:rPr>
          <w:rFonts w:hint="eastAsia" w:ascii="宋体" w:hAnsi="宋体" w:cs="Times New Roman"/>
          <w:szCs w:val="24"/>
          <w:lang w:bidi="ar"/>
        </w:rPr>
        <w:t>2、企业基础信息自定义查询</w:t>
      </w:r>
    </w:p>
    <w:p w14:paraId="3FD85166">
      <w:pPr>
        <w:ind w:firstLine="480" w:firstLineChars="200"/>
        <w:rPr>
          <w:rFonts w:ascii="宋体" w:hAnsi="宋体" w:cs="Times New Roman"/>
          <w:szCs w:val="24"/>
          <w:lang w:bidi="ar"/>
        </w:rPr>
      </w:pPr>
      <w:r>
        <w:rPr>
          <w:rFonts w:hint="eastAsia" w:ascii="宋体" w:hAnsi="宋体" w:cs="Times New Roman"/>
          <w:szCs w:val="24"/>
          <w:lang w:bidi="ar"/>
        </w:rPr>
        <w:t>（1）涉废企业信息自定义查询。通过梳理涉废单位信息数据视图（对原“列设置”进行扩充），系统向用户展示涉废单位可查询全部信息项。系统提供所选信息项和数据内容的导出服务。</w:t>
      </w:r>
    </w:p>
    <w:p w14:paraId="7F576087">
      <w:pPr>
        <w:ind w:firstLine="480" w:firstLineChars="200"/>
        <w:rPr>
          <w:sz w:val="28"/>
          <w:szCs w:val="28"/>
        </w:rPr>
      </w:pPr>
      <w:r>
        <w:rPr>
          <w:rFonts w:hint="eastAsia" w:ascii="宋体" w:hAnsi="宋体" w:cs="Times New Roman"/>
          <w:szCs w:val="24"/>
          <w:lang w:bidi="ar"/>
        </w:rPr>
        <w:t>（2）企业设施信息自定义查询。对危险废物、一般工业固废、医疗废物等企业的生产设施、贮存设施、利用处置设施等信息整合,分别增加管理端展示专题查询，实现按照设施展示区域企业信息。展示区域设施数量、设施状态、设施类型、设施能力统计等服务。</w:t>
      </w:r>
    </w:p>
    <w:p w14:paraId="4E50BE2A">
      <w:pPr>
        <w:ind w:firstLine="480" w:firstLineChars="200"/>
        <w:rPr>
          <w:rFonts w:ascii="宋体" w:hAnsi="宋体" w:cs="Times New Roman"/>
          <w:szCs w:val="24"/>
          <w:lang w:bidi="ar"/>
        </w:rPr>
      </w:pPr>
      <w:r>
        <w:rPr>
          <w:rFonts w:hint="eastAsia" w:ascii="宋体" w:hAnsi="宋体" w:cs="Times New Roman"/>
          <w:szCs w:val="24"/>
          <w:lang w:bidi="ar"/>
        </w:rPr>
        <w:t>3、区域风险防范查询专题</w:t>
      </w:r>
    </w:p>
    <w:p w14:paraId="50E8B45A">
      <w:pPr>
        <w:ind w:firstLine="480" w:firstLineChars="200"/>
        <w:rPr>
          <w:rFonts w:ascii="宋体" w:hAnsi="宋体" w:cs="Times New Roman"/>
          <w:szCs w:val="24"/>
          <w:lang w:bidi="ar"/>
        </w:rPr>
      </w:pPr>
      <w:r>
        <w:rPr>
          <w:rFonts w:hint="eastAsia" w:ascii="宋体" w:hAnsi="宋体" w:cs="Times New Roman"/>
          <w:szCs w:val="24"/>
          <w:lang w:bidi="ar"/>
        </w:rPr>
        <w:t>提供全市企业危险废物、一般工业固废、医疗废物、规范化检查等业务环节提醒、预警、检查问题的查询统计服务，实现地图可视联动。支持按照提醒预警级别、处理状态、排序等筛选条件。</w:t>
      </w:r>
    </w:p>
    <w:p w14:paraId="0A143842">
      <w:pPr>
        <w:ind w:firstLine="480" w:firstLineChars="200"/>
        <w:rPr>
          <w:rFonts w:ascii="宋体" w:hAnsi="宋体" w:cs="Times New Roman"/>
          <w:szCs w:val="24"/>
          <w:lang w:bidi="ar"/>
        </w:rPr>
      </w:pPr>
      <w:r>
        <w:rPr>
          <w:rFonts w:hint="eastAsia" w:ascii="宋体" w:hAnsi="宋体" w:cs="Times New Roman"/>
          <w:szCs w:val="24"/>
          <w:lang w:bidi="ar"/>
        </w:rPr>
        <w:t>4、区域企业任务查询专题</w:t>
      </w:r>
    </w:p>
    <w:p w14:paraId="6B64E3FE">
      <w:pPr>
        <w:ind w:firstLine="480" w:firstLineChars="200"/>
        <w:rPr>
          <w:rFonts w:ascii="宋体" w:hAnsi="宋体" w:cs="Times New Roman"/>
          <w:szCs w:val="24"/>
          <w:lang w:bidi="ar"/>
        </w:rPr>
      </w:pPr>
      <w:r>
        <w:rPr>
          <w:rFonts w:hint="eastAsia" w:ascii="宋体" w:hAnsi="宋体" w:cs="Times New Roman"/>
          <w:szCs w:val="24"/>
          <w:lang w:bidi="ar"/>
        </w:rPr>
        <w:t>提供企业规范化检查、工作调度等任务专项统计。用户可以进一步进入企业查看明细。</w:t>
      </w:r>
    </w:p>
    <w:p w14:paraId="5E7EC87B">
      <w:pPr>
        <w:pStyle w:val="6"/>
      </w:pPr>
      <w:r>
        <w:rPr>
          <w:rFonts w:hint="eastAsia"/>
        </w:rPr>
        <w:t>单企业“一企一档”数据展示</w:t>
      </w:r>
    </w:p>
    <w:p w14:paraId="1D6E2538">
      <w:pPr>
        <w:ind w:firstLine="480" w:firstLineChars="200"/>
        <w:rPr>
          <w:rFonts w:ascii="宋体" w:hAnsi="宋体" w:cs="Times New Roman"/>
          <w:szCs w:val="24"/>
          <w:lang w:bidi="ar"/>
        </w:rPr>
      </w:pPr>
      <w:r>
        <w:rPr>
          <w:rFonts w:hint="eastAsia" w:ascii="宋体" w:hAnsi="宋体" w:cs="Times New Roman"/>
          <w:szCs w:val="24"/>
          <w:lang w:bidi="ar"/>
        </w:rPr>
        <w:t>通过企业列表或企业检索服务，进入单个企业提供一站式查询“一企一档”数据功能服务。系统会自动根据企业所属业务动态加载该企业数据菜单，确保更贴合企业实际的展示数据。</w:t>
      </w:r>
    </w:p>
    <w:p w14:paraId="0060DD87">
      <w:pPr>
        <w:ind w:firstLine="480" w:firstLineChars="200"/>
        <w:rPr>
          <w:rFonts w:hint="eastAsia" w:ascii="宋体" w:hAnsi="宋体" w:cs="Times New Roman"/>
          <w:szCs w:val="24"/>
          <w:lang w:bidi="ar"/>
        </w:rPr>
      </w:pPr>
      <w:r>
        <w:rPr>
          <w:rFonts w:hint="eastAsia" w:ascii="宋体" w:hAnsi="宋体" w:cs="Times New Roman"/>
          <w:szCs w:val="24"/>
          <w:lang w:bidi="ar"/>
        </w:rPr>
        <w:t>1、企业运行概况。提供单企业基础信息及业务信息概览，方便管理人员快速了解企业运行情况。包括企业基础信息、审批或许可信息、业务台账、智能联网、报警（问题）及运行状态等。</w:t>
      </w:r>
    </w:p>
    <w:p w14:paraId="3FC72D46">
      <w:pPr>
        <w:ind w:firstLine="480" w:firstLineChars="200"/>
        <w:rPr>
          <w:rFonts w:ascii="宋体" w:hAnsi="宋体" w:cs="Times New Roman"/>
          <w:szCs w:val="24"/>
          <w:lang w:bidi="ar"/>
        </w:rPr>
      </w:pPr>
      <w:r>
        <w:rPr>
          <w:rFonts w:hint="eastAsia" w:ascii="宋体" w:hAnsi="宋体" w:cs="Times New Roman"/>
          <w:szCs w:val="24"/>
          <w:lang w:bidi="ar"/>
        </w:rPr>
        <w:t>2、企业基础数据综合改造。通过升级或整合已有功能，融合展示企业跨业务基本数据。</w:t>
      </w:r>
    </w:p>
    <w:p w14:paraId="79D7025B">
      <w:pPr>
        <w:ind w:firstLine="480" w:firstLineChars="200"/>
        <w:rPr>
          <w:rFonts w:ascii="宋体" w:hAnsi="宋体" w:cs="Times New Roman"/>
          <w:szCs w:val="24"/>
          <w:lang w:bidi="ar"/>
        </w:rPr>
      </w:pPr>
      <w:r>
        <w:rPr>
          <w:rFonts w:hint="eastAsia" w:ascii="宋体" w:hAnsi="宋体" w:cs="Times New Roman"/>
          <w:szCs w:val="24"/>
          <w:lang w:bidi="ar"/>
        </w:rPr>
        <w:t>3、企业固废数据专题升级。动态集成一般工业固废、危险废物等业务档案数据。</w:t>
      </w:r>
    </w:p>
    <w:p w14:paraId="1F3F3C09">
      <w:pPr>
        <w:ind w:firstLine="480" w:firstLineChars="200"/>
        <w:rPr>
          <w:rFonts w:ascii="宋体" w:hAnsi="宋体" w:cs="Times New Roman"/>
          <w:szCs w:val="24"/>
          <w:lang w:bidi="ar"/>
        </w:rPr>
      </w:pPr>
      <w:r>
        <w:rPr>
          <w:rFonts w:hint="eastAsia" w:ascii="宋体" w:hAnsi="宋体" w:cs="Times New Roman"/>
          <w:szCs w:val="24"/>
          <w:lang w:bidi="ar"/>
        </w:rPr>
        <w:t>4、新增企业动态监控专题。新增智能终端信息与监控展示，对已接入的智能终端、监控视频、工况监控等已有页面进行集成改造。</w:t>
      </w:r>
    </w:p>
    <w:p w14:paraId="7BC37EB7">
      <w:pPr>
        <w:ind w:firstLine="480" w:firstLineChars="200"/>
        <w:rPr>
          <w:rFonts w:ascii="宋体" w:hAnsi="宋体" w:cs="Times New Roman"/>
          <w:szCs w:val="24"/>
          <w:lang w:bidi="ar"/>
        </w:rPr>
      </w:pPr>
      <w:r>
        <w:rPr>
          <w:rFonts w:hint="eastAsia" w:ascii="宋体" w:hAnsi="宋体" w:cs="Times New Roman"/>
          <w:szCs w:val="24"/>
          <w:lang w:bidi="ar"/>
        </w:rPr>
        <w:t>5、其他环保档案展示。通过汇聚市局“一企一档”数据，系统提供相关数据展示。包括排污许可、涉废执法处罚、涉废举报投诉等展示模块。</w:t>
      </w:r>
    </w:p>
    <w:p w14:paraId="2DF4E885">
      <w:pPr>
        <w:ind w:firstLine="480" w:firstLineChars="200"/>
        <w:rPr>
          <w:rFonts w:hint="eastAsia" w:ascii="宋体" w:hAnsi="宋体" w:cs="Times New Roman"/>
          <w:szCs w:val="24"/>
          <w:lang w:bidi="ar"/>
        </w:rPr>
      </w:pPr>
      <w:r>
        <w:rPr>
          <w:rFonts w:hint="eastAsia" w:ascii="宋体" w:hAnsi="宋体" w:cs="Times New Roman"/>
          <w:szCs w:val="24"/>
          <w:lang w:bidi="ar"/>
        </w:rPr>
        <w:t>6、企业业务动态时光轴。以时光轴形式展示涉废企业信息的动态更新情况，展示不同时间段更新的业务动态、更新时间、变更基本信息。</w:t>
      </w:r>
    </w:p>
    <w:p w14:paraId="039E17A7">
      <w:pPr>
        <w:pStyle w:val="4"/>
        <w:spacing w:before="120" w:after="120"/>
      </w:pPr>
      <w:bookmarkStart w:id="4" w:name="_Toc199173094"/>
      <w:r>
        <w:rPr>
          <w:rFonts w:hint="eastAsia"/>
        </w:rPr>
        <w:t>固体废物数智化监管应用</w:t>
      </w:r>
      <w:bookmarkEnd w:id="4"/>
    </w:p>
    <w:p w14:paraId="1FC71A6F">
      <w:pPr>
        <w:pStyle w:val="5"/>
        <w:spacing w:before="120" w:after="120"/>
      </w:pPr>
      <w:r>
        <w:rPr>
          <w:rFonts w:hint="eastAsia"/>
        </w:rPr>
        <w:t>数据挖掘分析改造</w:t>
      </w:r>
    </w:p>
    <w:p w14:paraId="52251775">
      <w:pPr>
        <w:ind w:firstLine="480" w:firstLineChars="200"/>
        <w:rPr>
          <w:rFonts w:ascii="宋体" w:hAnsi="宋体" w:cs="Times New Roman"/>
          <w:szCs w:val="24"/>
          <w:lang w:bidi="ar"/>
        </w:rPr>
      </w:pPr>
      <w:r>
        <w:rPr>
          <w:rFonts w:hint="eastAsia" w:ascii="宋体" w:hAnsi="宋体" w:cs="Times New Roman"/>
          <w:szCs w:val="24"/>
          <w:lang w:bidi="ar"/>
        </w:rPr>
        <w:t>参照《</w:t>
      </w:r>
      <w:r>
        <w:rPr>
          <w:rFonts w:ascii="宋体" w:hAnsi="宋体" w:cs="Times New Roman"/>
          <w:szCs w:val="24"/>
          <w:lang w:bidi="ar"/>
        </w:rPr>
        <w:t>上海市固体废物污染防治月报</w:t>
      </w:r>
      <w:r>
        <w:rPr>
          <w:rFonts w:hint="eastAsia" w:ascii="宋体" w:hAnsi="宋体" w:cs="Times New Roman"/>
          <w:szCs w:val="24"/>
          <w:lang w:bidi="ar"/>
        </w:rPr>
        <w:t>》等常用简报模板，实现固体废物污染环境防治信息预生成，并有管理人员补充确认后可以导出。</w:t>
      </w:r>
    </w:p>
    <w:p w14:paraId="2A663F97">
      <w:pPr>
        <w:pStyle w:val="5"/>
        <w:spacing w:before="120" w:after="120"/>
      </w:pPr>
      <w:r>
        <w:rPr>
          <w:rFonts w:hint="eastAsia"/>
        </w:rPr>
        <w:t>危险废物预警规则升级</w:t>
      </w:r>
    </w:p>
    <w:p w14:paraId="35F156BB">
      <w:pPr>
        <w:ind w:firstLine="480" w:firstLineChars="200"/>
      </w:pPr>
      <w:r>
        <w:rPr>
          <w:rFonts w:hint="eastAsia" w:ascii="宋体" w:hAnsi="宋体" w:cs="Times New Roman"/>
          <w:szCs w:val="24"/>
          <w:lang w:bidi="ar"/>
        </w:rPr>
        <w:t>对危险废物预警规则省级，包括产生台账异常预警、转移风险预警和处置风险预警等，提供预警规则阈值管理，满足用户自定义规则。</w:t>
      </w:r>
    </w:p>
    <w:p w14:paraId="4F27DF18">
      <w:pPr>
        <w:pStyle w:val="5"/>
        <w:spacing w:before="120" w:after="120"/>
      </w:pPr>
      <w:r>
        <w:rPr>
          <w:rFonts w:hint="eastAsia"/>
        </w:rPr>
        <w:t>危废多维数据碰撞分析</w:t>
      </w:r>
    </w:p>
    <w:p w14:paraId="3B1C4031">
      <w:pPr>
        <w:ind w:firstLine="480" w:firstLineChars="200"/>
        <w:rPr>
          <w:rFonts w:ascii="宋体" w:hAnsi="宋体" w:cs="Times New Roman"/>
          <w:szCs w:val="24"/>
          <w:lang w:bidi="ar"/>
        </w:rPr>
      </w:pPr>
      <w:r>
        <w:rPr>
          <w:rFonts w:hint="eastAsia" w:ascii="宋体" w:hAnsi="宋体" w:cs="Times New Roman"/>
          <w:szCs w:val="24"/>
          <w:lang w:bidi="ar"/>
        </w:rPr>
        <w:t>通过汇聚“一企一档”数据，通过排污许可、废水或废气在线监控、执法处罚等业务数据，与企业危废申报数据进行碰撞，重点识别疑似“应纳未纳”、“应报未报”等企业异常行为。</w:t>
      </w:r>
    </w:p>
    <w:p w14:paraId="2F6F6F2A">
      <w:pPr>
        <w:ind w:firstLine="480" w:firstLineChars="200"/>
        <w:rPr>
          <w:rFonts w:ascii="宋体" w:hAnsi="宋体" w:cs="Times New Roman"/>
          <w:szCs w:val="24"/>
          <w:lang w:bidi="ar"/>
        </w:rPr>
      </w:pPr>
      <w:r>
        <w:rPr>
          <w:rFonts w:hint="eastAsia" w:ascii="宋体" w:hAnsi="宋体" w:cs="Times New Roman"/>
          <w:szCs w:val="24"/>
          <w:lang w:bidi="ar"/>
        </w:rPr>
        <w:t>1、排污许可证危险废物情况碰撞分析。针对发证企业，通过数据回流获取排污许可证副本数据，对排污许可证涉废信息与企业申报情况碰撞分析。</w:t>
      </w:r>
    </w:p>
    <w:p w14:paraId="7713E149">
      <w:pPr>
        <w:ind w:firstLine="480" w:firstLineChars="200"/>
        <w:rPr>
          <w:rFonts w:ascii="宋体" w:hAnsi="宋体" w:cs="Times New Roman"/>
          <w:szCs w:val="24"/>
          <w:lang w:bidi="ar"/>
        </w:rPr>
      </w:pPr>
      <w:r>
        <w:rPr>
          <w:rFonts w:hint="eastAsia" w:ascii="宋体" w:hAnsi="宋体" w:cs="Times New Roman"/>
          <w:szCs w:val="24"/>
          <w:lang w:bidi="ar"/>
        </w:rPr>
        <w:t>2、企业“三废”数据碰撞分析。提供废水、废气、危废历史数据（近三年）数据情况，系统根据废水、废气等排放情况，判定企业能报未报。是否存在缺报或申报量波动大等情况。</w:t>
      </w:r>
    </w:p>
    <w:p w14:paraId="62ED8DB7">
      <w:pPr>
        <w:ind w:firstLine="480" w:firstLineChars="200"/>
        <w:rPr>
          <w:rFonts w:hint="eastAsia" w:ascii="宋体" w:hAnsi="宋体" w:cs="Times New Roman"/>
          <w:szCs w:val="24"/>
          <w:lang w:bidi="ar"/>
        </w:rPr>
      </w:pPr>
      <w:r>
        <w:rPr>
          <w:rFonts w:hint="eastAsia" w:ascii="宋体" w:hAnsi="宋体" w:cs="Times New Roman"/>
          <w:szCs w:val="24"/>
          <w:lang w:bidi="ar"/>
        </w:rPr>
        <w:t>3、企业历史监管数据碰撞分析。提供该企业执法检查、行政处罚、举报投诉等历史数据，系统识别监业务中涉废线索并与企业申报数据碰撞分析。</w:t>
      </w:r>
    </w:p>
    <w:p w14:paraId="520F2698">
      <w:pPr>
        <w:pStyle w:val="5"/>
        <w:spacing w:before="120" w:after="120"/>
      </w:pPr>
      <w:r>
        <w:rPr>
          <w:rFonts w:hint="eastAsia"/>
        </w:rPr>
        <w:t>电子任务工单管理</w:t>
      </w:r>
    </w:p>
    <w:p w14:paraId="774A8551">
      <w:pPr>
        <w:numPr>
          <w:ilvl w:val="0"/>
          <w:numId w:val="2"/>
        </w:numPr>
        <w:rPr>
          <w:rFonts w:hint="eastAsia" w:ascii="宋体" w:hAnsi="宋体" w:cs="Times New Roman"/>
          <w:szCs w:val="24"/>
          <w:lang w:bidi="ar"/>
        </w:rPr>
      </w:pPr>
      <w:r>
        <w:rPr>
          <w:rFonts w:hint="eastAsia" w:ascii="宋体" w:hAnsi="宋体" w:cs="Times New Roman"/>
          <w:szCs w:val="24"/>
          <w:lang w:bidi="ar"/>
        </w:rPr>
        <w:t>电子任务工单。</w:t>
      </w:r>
      <w:r>
        <w:rPr>
          <w:rFonts w:ascii="宋体" w:hAnsi="宋体" w:cs="Times New Roman"/>
          <w:szCs w:val="24"/>
          <w:lang w:bidi="ar"/>
        </w:rPr>
        <w:t>通过</w:t>
      </w:r>
      <w:r>
        <w:rPr>
          <w:rFonts w:hint="eastAsia" w:ascii="宋体" w:hAnsi="宋体" w:cs="Times New Roman"/>
          <w:szCs w:val="24"/>
          <w:lang w:bidi="ar"/>
        </w:rPr>
        <w:t>构建</w:t>
      </w:r>
      <w:r>
        <w:rPr>
          <w:rFonts w:ascii="宋体" w:hAnsi="宋体" w:cs="Times New Roman"/>
          <w:szCs w:val="24"/>
          <w:lang w:bidi="ar"/>
        </w:rPr>
        <w:t>任务</w:t>
      </w:r>
      <w:r>
        <w:rPr>
          <w:rFonts w:hint="eastAsia" w:ascii="宋体" w:hAnsi="宋体" w:cs="Times New Roman"/>
          <w:szCs w:val="24"/>
          <w:lang w:bidi="ar"/>
        </w:rPr>
        <w:t>电子</w:t>
      </w:r>
      <w:r>
        <w:rPr>
          <w:rFonts w:ascii="宋体" w:hAnsi="宋体" w:cs="Times New Roman"/>
          <w:szCs w:val="24"/>
          <w:lang w:bidi="ar"/>
        </w:rPr>
        <w:t>工单，串联预警问题、线索登记、任务派发、任务办理、任务完成等全过程节点，帮助管理人员掌握任务全过程数据</w:t>
      </w:r>
      <w:r>
        <w:rPr>
          <w:rFonts w:hint="eastAsia" w:ascii="宋体" w:hAnsi="宋体" w:cs="Times New Roman"/>
          <w:szCs w:val="24"/>
          <w:lang w:bidi="ar"/>
        </w:rPr>
        <w:t>。用户通过任务流转或指派、下发等方式将任务送达至办理人员待办任务中，并开展任务跟踪，直至完成销号。</w:t>
      </w:r>
    </w:p>
    <w:p w14:paraId="06F31F3C">
      <w:pPr>
        <w:numPr>
          <w:ilvl w:val="-1"/>
          <w:numId w:val="0"/>
        </w:numPr>
      </w:pPr>
      <w:r>
        <w:rPr>
          <w:rFonts w:hint="eastAsia" w:ascii="宋体" w:hAnsi="宋体" w:cs="Times New Roman"/>
          <w:szCs w:val="24"/>
          <w:lang w:bidi="ar"/>
        </w:rPr>
        <w:t>2、任务统计与考核。根据任务登记与完成情况，开展任务统计汇总、办理单位或企业任务办理考核统计。</w:t>
      </w:r>
    </w:p>
    <w:p w14:paraId="166346C3">
      <w:pPr>
        <w:ind w:firstLine="480" w:firstLineChars="200"/>
        <w:rPr>
          <w:rFonts w:hint="eastAsia" w:ascii="宋体" w:hAnsi="宋体" w:cs="Times New Roman"/>
          <w:szCs w:val="24"/>
          <w:lang w:bidi="ar"/>
        </w:rPr>
      </w:pPr>
    </w:p>
    <w:p w14:paraId="6250E408">
      <w:pPr>
        <w:pStyle w:val="3"/>
      </w:pPr>
      <w:r>
        <w:rPr>
          <w:rFonts w:hint="eastAsia"/>
        </w:rPr>
        <w:t>性能要求</w:t>
      </w:r>
    </w:p>
    <w:p w14:paraId="7DD77D10">
      <w:pPr>
        <w:ind w:firstLine="480" w:firstLineChars="200"/>
        <w:jc w:val="left"/>
        <w:rPr>
          <w:rFonts w:ascii="Times New Roman" w:hAnsi="Times New Roman" w:cs="Times New Roman"/>
          <w:szCs w:val="24"/>
          <w:lang w:bidi="ar"/>
        </w:rPr>
      </w:pPr>
      <w:r>
        <w:rPr>
          <w:rFonts w:ascii="Times New Roman" w:hAnsi="Times New Roman" w:cs="Times New Roman"/>
          <w:szCs w:val="24"/>
          <w:lang w:bidi="ar"/>
        </w:rPr>
        <w:t>平台应支持不少于</w:t>
      </w:r>
      <w:r>
        <w:rPr>
          <w:rFonts w:hint="eastAsia" w:ascii="Times New Roman" w:hAnsi="Times New Roman" w:cs="Times New Roman"/>
          <w:szCs w:val="24"/>
          <w:lang w:bidi="ar"/>
        </w:rPr>
        <w:t>2000</w:t>
      </w:r>
      <w:r>
        <w:rPr>
          <w:rFonts w:ascii="Times New Roman" w:hAnsi="Times New Roman" w:cs="Times New Roman"/>
          <w:szCs w:val="24"/>
          <w:lang w:bidi="ar"/>
        </w:rPr>
        <w:t>用户在线登录，满足50</w:t>
      </w:r>
      <w:r>
        <w:rPr>
          <w:rFonts w:hint="eastAsia" w:ascii="Times New Roman" w:hAnsi="Times New Roman" w:cs="Times New Roman"/>
          <w:szCs w:val="24"/>
          <w:lang w:bidi="ar"/>
        </w:rPr>
        <w:t>0</w:t>
      </w:r>
      <w:r>
        <w:rPr>
          <w:rFonts w:ascii="Times New Roman" w:hAnsi="Times New Roman" w:cs="Times New Roman"/>
          <w:szCs w:val="24"/>
          <w:lang w:bidi="ar"/>
        </w:rPr>
        <w:t>个用户并发访问，一般查询和写入操作响应时间小于等于</w:t>
      </w:r>
      <w:r>
        <w:rPr>
          <w:rFonts w:hint="eastAsia" w:ascii="Times New Roman" w:hAnsi="Times New Roman" w:cs="Times New Roman"/>
          <w:szCs w:val="24"/>
          <w:lang w:bidi="ar"/>
        </w:rPr>
        <w:t>2</w:t>
      </w:r>
      <w:r>
        <w:rPr>
          <w:rFonts w:ascii="Times New Roman" w:hAnsi="Times New Roman" w:cs="Times New Roman"/>
          <w:szCs w:val="24"/>
          <w:lang w:bidi="ar"/>
        </w:rPr>
        <w:t>秒，报表统计类操作响应时间小于等于</w:t>
      </w:r>
      <w:r>
        <w:rPr>
          <w:rFonts w:hint="eastAsia" w:ascii="Times New Roman" w:hAnsi="Times New Roman" w:cs="Times New Roman"/>
          <w:szCs w:val="24"/>
          <w:lang w:bidi="ar"/>
        </w:rPr>
        <w:t>5</w:t>
      </w:r>
      <w:r>
        <w:rPr>
          <w:rFonts w:ascii="Times New Roman" w:hAnsi="Times New Roman" w:cs="Times New Roman"/>
          <w:szCs w:val="24"/>
          <w:lang w:bidi="ar"/>
        </w:rPr>
        <w:t>秒。</w:t>
      </w:r>
    </w:p>
    <w:p w14:paraId="52FDD22F">
      <w:pPr>
        <w:pStyle w:val="3"/>
      </w:pPr>
      <w:r>
        <w:rPr>
          <w:rFonts w:hint="eastAsia"/>
        </w:rPr>
        <w:t>系统部署要求</w:t>
      </w:r>
    </w:p>
    <w:p w14:paraId="418C43A1">
      <w:pPr>
        <w:ind w:firstLine="480" w:firstLineChars="200"/>
      </w:pPr>
      <w:r>
        <w:t>本系统部署在上海市政务云环境，系统部署必须遵循国家信息技术创新的要求和电子政务云相关标准规范。</w:t>
      </w:r>
    </w:p>
    <w:p w14:paraId="43746FA4">
      <w:pPr>
        <w:pStyle w:val="3"/>
      </w:pPr>
      <w:r>
        <w:rPr>
          <w:rFonts w:hint="eastAsia"/>
        </w:rPr>
        <w:t>系统安全要求</w:t>
      </w:r>
    </w:p>
    <w:p w14:paraId="645D8CB8">
      <w:pPr>
        <w:ind w:firstLine="480" w:firstLineChars="200"/>
        <w:jc w:val="left"/>
        <w:rPr>
          <w:rFonts w:ascii="Times New Roman" w:hAnsi="Times New Roman" w:cs="Times New Roman"/>
          <w:szCs w:val="24"/>
          <w:lang w:bidi="ar"/>
        </w:rPr>
      </w:pPr>
      <w:r>
        <w:rPr>
          <w:rFonts w:ascii="Times New Roman" w:hAnsi="Times New Roman" w:cs="Times New Roman"/>
          <w:szCs w:val="24"/>
          <w:lang w:bidi="ar"/>
        </w:rPr>
        <w:t>本项目等级保护要求：参照等保二级要求建设。</w:t>
      </w:r>
    </w:p>
    <w:p w14:paraId="09DFD3D6">
      <w:pPr>
        <w:pStyle w:val="3"/>
      </w:pPr>
      <w:r>
        <w:rPr>
          <w:rFonts w:hint="eastAsia"/>
        </w:rPr>
        <w:t>密码应用要求</w:t>
      </w:r>
    </w:p>
    <w:p w14:paraId="0B497D78">
      <w:pPr>
        <w:ind w:firstLine="480" w:firstLineChars="200"/>
        <w:jc w:val="left"/>
        <w:rPr>
          <w:rFonts w:ascii="Times New Roman" w:hAnsi="Times New Roman" w:cs="Times New Roman"/>
          <w:szCs w:val="24"/>
          <w:lang w:bidi="ar"/>
        </w:rPr>
      </w:pPr>
      <w:r>
        <w:rPr>
          <w:rFonts w:hint="eastAsia" w:ascii="Times New Roman" w:hAnsi="Times New Roman" w:cs="Times New Roman"/>
          <w:szCs w:val="24"/>
          <w:lang w:bidi="ar"/>
        </w:rPr>
        <w:t>本项目</w:t>
      </w:r>
      <w:r>
        <w:rPr>
          <w:rFonts w:ascii="Times New Roman" w:hAnsi="Times New Roman" w:cs="Times New Roman"/>
          <w:szCs w:val="24"/>
          <w:lang w:bidi="ar"/>
        </w:rPr>
        <w:t>达到</w:t>
      </w:r>
      <w:r>
        <w:rPr>
          <w:rFonts w:hint="eastAsia" w:ascii="Times New Roman" w:hAnsi="Times New Roman" w:cs="Times New Roman"/>
          <w:szCs w:val="24"/>
          <w:lang w:bidi="ar"/>
        </w:rPr>
        <w:t>信息系统</w:t>
      </w:r>
      <w:r>
        <w:rPr>
          <w:rFonts w:ascii="Times New Roman" w:hAnsi="Times New Roman" w:cs="Times New Roman"/>
          <w:szCs w:val="24"/>
          <w:lang w:bidi="ar"/>
        </w:rPr>
        <w:t>密码应用</w:t>
      </w:r>
      <w:r>
        <w:rPr>
          <w:rFonts w:hint="eastAsia" w:ascii="Times New Roman" w:hAnsi="Times New Roman" w:cs="Times New Roman"/>
          <w:szCs w:val="24"/>
          <w:lang w:bidi="ar"/>
        </w:rPr>
        <w:t>测评</w:t>
      </w:r>
      <w:r>
        <w:rPr>
          <w:rFonts w:ascii="Times New Roman" w:hAnsi="Times New Roman" w:cs="Times New Roman"/>
          <w:szCs w:val="24"/>
          <w:lang w:bidi="ar"/>
        </w:rPr>
        <w:t>要求中二级要求。</w:t>
      </w:r>
    </w:p>
    <w:p w14:paraId="64A3294A">
      <w:pPr>
        <w:pStyle w:val="2"/>
      </w:pPr>
      <w:r>
        <w:t>项目管理要求</w:t>
      </w:r>
    </w:p>
    <w:p w14:paraId="3AB64CC4">
      <w:pPr>
        <w:pStyle w:val="3"/>
      </w:pPr>
      <w:r>
        <w:t>项目实施进度要求</w:t>
      </w:r>
    </w:p>
    <w:p w14:paraId="6E26AF06">
      <w:pPr>
        <w:ind w:firstLine="480" w:firstLineChars="200"/>
        <w:jc w:val="left"/>
        <w:rPr>
          <w:rFonts w:ascii="Times New Roman" w:hAnsi="Times New Roman" w:cs="Times New Roman"/>
          <w:szCs w:val="24"/>
          <w:lang w:bidi="ar"/>
        </w:rPr>
      </w:pPr>
      <w:r>
        <w:rPr>
          <w:rFonts w:hint="eastAsia" w:ascii="Times New Roman" w:hAnsi="Times New Roman" w:cs="Times New Roman"/>
          <w:szCs w:val="24"/>
          <w:lang w:bidi="ar"/>
        </w:rPr>
        <w:t>按照统筹规划、稳步推进的原则，自合同签订之日起，有序完成应用系统开发、测试部署及落地实施等全部工作，随后开展为期</w:t>
      </w:r>
      <w:r>
        <w:rPr>
          <w:rFonts w:hint="eastAsia" w:ascii="Times New Roman" w:hAnsi="Times New Roman" w:cs="Times New Roman"/>
          <w:szCs w:val="24"/>
          <w:lang w:eastAsia="zh-CN" w:bidi="ar"/>
        </w:rPr>
        <w:t>1</w:t>
      </w:r>
      <w:r>
        <w:rPr>
          <w:rFonts w:hint="eastAsia" w:ascii="Times New Roman" w:hAnsi="Times New Roman" w:cs="Times New Roman"/>
          <w:szCs w:val="24"/>
          <w:lang w:bidi="ar"/>
        </w:rPr>
        <w:t>个月的系统试运行。试运行期间若未出现重大缺陷、重大故障，满足上线运行标准，即可启动项目正式验收流程，全部验收工作须于</w:t>
      </w:r>
      <w:r>
        <w:rPr>
          <w:rFonts w:hint="eastAsia" w:ascii="Times New Roman" w:hAnsi="Times New Roman" w:cs="Times New Roman"/>
          <w:szCs w:val="24"/>
          <w:lang w:eastAsia="zh-CN" w:bidi="ar"/>
        </w:rPr>
        <w:t>2</w:t>
      </w:r>
      <w:r>
        <w:rPr>
          <w:rFonts w:hint="eastAsia" w:ascii="Times New Roman" w:hAnsi="Times New Roman" w:cs="Times New Roman"/>
          <w:szCs w:val="24"/>
          <w:lang w:val="en-US" w:eastAsia="zh-CN" w:bidi="ar"/>
        </w:rPr>
        <w:t>026</w:t>
      </w:r>
      <w:r>
        <w:rPr>
          <w:rFonts w:hint="eastAsia" w:ascii="Times New Roman" w:hAnsi="Times New Roman" w:cs="Times New Roman"/>
          <w:szCs w:val="24"/>
          <w:lang w:bidi="ar"/>
        </w:rPr>
        <w:t>年</w:t>
      </w:r>
      <w:r>
        <w:rPr>
          <w:rFonts w:hint="eastAsia" w:ascii="Times New Roman" w:hAnsi="Times New Roman" w:cs="Times New Roman"/>
          <w:szCs w:val="24"/>
          <w:lang w:eastAsia="zh-CN" w:bidi="ar"/>
        </w:rPr>
        <w:t>1</w:t>
      </w:r>
      <w:r>
        <w:rPr>
          <w:rFonts w:hint="eastAsia" w:ascii="Times New Roman" w:hAnsi="Times New Roman" w:cs="Times New Roman"/>
          <w:szCs w:val="24"/>
          <w:lang w:val="en-US" w:eastAsia="zh-CN" w:bidi="ar"/>
        </w:rPr>
        <w:t>2</w:t>
      </w:r>
      <w:r>
        <w:rPr>
          <w:rFonts w:hint="eastAsia" w:ascii="Times New Roman" w:hAnsi="Times New Roman" w:cs="Times New Roman"/>
          <w:szCs w:val="24"/>
          <w:lang w:bidi="ar"/>
        </w:rPr>
        <w:t>月</w:t>
      </w:r>
      <w:r>
        <w:rPr>
          <w:rFonts w:hint="eastAsia" w:ascii="Times New Roman" w:hAnsi="Times New Roman" w:cs="Times New Roman"/>
          <w:szCs w:val="24"/>
          <w:lang w:eastAsia="zh-CN" w:bidi="ar"/>
        </w:rPr>
        <w:t>3</w:t>
      </w:r>
      <w:r>
        <w:rPr>
          <w:rFonts w:hint="eastAsia" w:ascii="Times New Roman" w:hAnsi="Times New Roman" w:cs="Times New Roman"/>
          <w:szCs w:val="24"/>
          <w:lang w:val="en-US" w:eastAsia="zh-CN" w:bidi="ar"/>
        </w:rPr>
        <w:t>1</w:t>
      </w:r>
      <w:r>
        <w:rPr>
          <w:rFonts w:hint="eastAsia" w:ascii="Times New Roman" w:hAnsi="Times New Roman" w:cs="Times New Roman"/>
          <w:szCs w:val="24"/>
          <w:lang w:bidi="ar"/>
        </w:rPr>
        <w:t>日前完成。</w:t>
      </w:r>
    </w:p>
    <w:p w14:paraId="68CC744C">
      <w:pPr>
        <w:pStyle w:val="3"/>
      </w:pPr>
      <w:r>
        <w:t>第三方测评要求</w:t>
      </w:r>
    </w:p>
    <w:p w14:paraId="6C9647BB">
      <w:pPr>
        <w:ind w:firstLine="480" w:firstLineChars="200"/>
        <w:jc w:val="left"/>
        <w:rPr>
          <w:rFonts w:ascii="Times New Roman" w:hAnsi="Times New Roman" w:cs="Times New Roman"/>
          <w:szCs w:val="24"/>
          <w:lang w:bidi="ar"/>
        </w:rPr>
      </w:pPr>
      <w:r>
        <w:rPr>
          <w:rFonts w:ascii="Times New Roman" w:hAnsi="Times New Roman" w:cs="Times New Roman"/>
          <w:szCs w:val="24"/>
          <w:lang w:bidi="ar"/>
        </w:rPr>
        <w:t>采购人完成对系统功能确认后，由采购人组织第三方测评机构完成软测、安测和密测，出具第三方软件测评报告，第三方测评费用由采购人另行支付。投标人需配合测评机构完成</w:t>
      </w:r>
      <w:r>
        <w:rPr>
          <w:rFonts w:hint="eastAsia" w:ascii="Times New Roman" w:hAnsi="Times New Roman" w:cs="Times New Roman"/>
          <w:szCs w:val="24"/>
          <w:lang w:bidi="ar"/>
        </w:rPr>
        <w:t>测评相关</w:t>
      </w:r>
      <w:r>
        <w:rPr>
          <w:rFonts w:ascii="Times New Roman" w:hAnsi="Times New Roman" w:cs="Times New Roman"/>
          <w:szCs w:val="24"/>
          <w:lang w:bidi="ar"/>
        </w:rPr>
        <w:t>整改工作。</w:t>
      </w:r>
    </w:p>
    <w:p w14:paraId="2615D638">
      <w:pPr>
        <w:pStyle w:val="3"/>
      </w:pPr>
      <w:r>
        <w:t>系统验收要求</w:t>
      </w:r>
    </w:p>
    <w:p w14:paraId="5C3DF366">
      <w:pPr>
        <w:ind w:firstLine="480" w:firstLineChars="200"/>
        <w:jc w:val="left"/>
        <w:rPr>
          <w:rFonts w:ascii="Times New Roman" w:hAnsi="Times New Roman" w:cs="Times New Roman"/>
        </w:rPr>
      </w:pPr>
      <w:r>
        <w:rPr>
          <w:rFonts w:ascii="Times New Roman" w:hAnsi="Times New Roman" w:cs="Times New Roman"/>
          <w:szCs w:val="24"/>
          <w:lang w:bidi="ar"/>
        </w:rPr>
        <w:t>试运行结束15 日内，由采购人组织项目验收。系统的开发、测试、安装、调试过程中相关的技术文档必须按照采购人的要求，提交相应的规范文件，提交给采购人统一管理。</w:t>
      </w:r>
    </w:p>
    <w:p w14:paraId="3295ECDB">
      <w:pPr>
        <w:pStyle w:val="3"/>
      </w:pPr>
      <w:r>
        <w:t>售后服务要求</w:t>
      </w:r>
    </w:p>
    <w:p w14:paraId="3465F4D7">
      <w:pPr>
        <w:ind w:firstLine="480" w:firstLineChars="200"/>
        <w:jc w:val="left"/>
        <w:rPr>
          <w:rFonts w:ascii="Times New Roman" w:hAnsi="Times New Roman" w:cs="Times New Roman"/>
        </w:rPr>
      </w:pPr>
      <w:r>
        <w:rPr>
          <w:rFonts w:ascii="Times New Roman" w:hAnsi="Times New Roman" w:cs="Times New Roman"/>
          <w:szCs w:val="24"/>
          <w:lang w:bidi="ar"/>
        </w:rPr>
        <w:t>自验收完成之日起，系统质保一年。投标人需提供自验收完成之日起一年的免费售后服务。如果软件系统在质保期内发生故障，投标人应在 2 小时内予以响应并进行处理。故障远程解决不了时，要求接到采购人通知后 6 小时内到达现场，最迟在 48 小时内修复完毕。</w:t>
      </w:r>
    </w:p>
    <w:p w14:paraId="21180DEB">
      <w:pPr>
        <w:pStyle w:val="3"/>
      </w:pPr>
      <w:r>
        <w:t>项目培训要求</w:t>
      </w:r>
    </w:p>
    <w:p w14:paraId="31E3AF6F">
      <w:pPr>
        <w:ind w:firstLine="480" w:firstLineChars="200"/>
        <w:jc w:val="left"/>
        <w:rPr>
          <w:rFonts w:ascii="Times New Roman" w:hAnsi="Times New Roman" w:cs="Times New Roman"/>
          <w:szCs w:val="24"/>
          <w:lang w:bidi="ar"/>
        </w:rPr>
      </w:pPr>
      <w:r>
        <w:rPr>
          <w:rFonts w:ascii="Times New Roman" w:hAnsi="Times New Roman" w:cs="Times New Roman"/>
          <w:szCs w:val="24"/>
          <w:lang w:bidi="ar"/>
        </w:rPr>
        <w:t>投标人应对采购人进行技术培训，使采购人技术人员及业务使用人员能独立进行系统管理、操作、故障处理、日常测试维护等工作，确保系统能正常安全运行。投标人负责提供给培训人员实际的操作环境和培训资料、提供相应的师资。</w:t>
      </w:r>
    </w:p>
    <w:p w14:paraId="6600DB32">
      <w:pPr>
        <w:pStyle w:val="3"/>
      </w:pPr>
      <w:r>
        <w:rPr>
          <w:rFonts w:hint="eastAsia"/>
        </w:rPr>
        <w:t>安全保密</w:t>
      </w:r>
      <w:r>
        <w:t>要求</w:t>
      </w:r>
    </w:p>
    <w:p w14:paraId="0A763727">
      <w:pPr>
        <w:ind w:firstLine="480" w:firstLineChars="200"/>
        <w:jc w:val="left"/>
        <w:rPr>
          <w:rFonts w:ascii="Times New Roman" w:hAnsi="Times New Roman" w:cs="Times New Roman"/>
          <w:szCs w:val="24"/>
          <w:lang w:bidi="ar"/>
        </w:rPr>
      </w:pPr>
      <w:r>
        <w:rPr>
          <w:rFonts w:ascii="Times New Roman" w:hAnsi="Times New Roman" w:cs="Times New Roman"/>
          <w:szCs w:val="24"/>
          <w:lang w:bidi="ar"/>
        </w:rPr>
        <w:t>由采购人向供应商提供的采购项目内容等所有资料，供应商获得后，应对其保密。除非采购人同意，供应商不得向第三方透露或将其用于本次投标以外的任何用途。</w:t>
      </w:r>
    </w:p>
    <w:p w14:paraId="04AEB053">
      <w:pPr>
        <w:pStyle w:val="3"/>
      </w:pPr>
      <w:r>
        <w:t>项目团队要求</w:t>
      </w:r>
    </w:p>
    <w:p w14:paraId="1C09336E">
      <w:pPr>
        <w:ind w:firstLine="480" w:firstLineChars="200"/>
        <w:jc w:val="left"/>
        <w:rPr>
          <w:rFonts w:ascii="Times New Roman" w:hAnsi="Times New Roman" w:cs="Times New Roman"/>
        </w:rPr>
      </w:pPr>
      <w:r>
        <w:rPr>
          <w:rFonts w:ascii="Times New Roman" w:hAnsi="Times New Roman" w:cs="Times New Roman"/>
          <w:szCs w:val="24"/>
          <w:lang w:bidi="ar"/>
        </w:rPr>
        <w:t>在项目实施的阶段，投标人需成立合理的组织机构，建立健全保障项目顺利实施的各项管理制度和质量保证体系；安排足够的高素质专业技术人员参加本项目开发工作</w:t>
      </w:r>
      <w:r>
        <w:rPr>
          <w:rFonts w:hint="eastAsia" w:ascii="Times New Roman" w:hAnsi="Times New Roman" w:cs="Times New Roman"/>
          <w:szCs w:val="24"/>
          <w:lang w:bidi="ar"/>
        </w:rPr>
        <w:t>。</w:t>
      </w:r>
    </w:p>
    <w:p w14:paraId="53D1FCAD">
      <w:pPr>
        <w:ind w:firstLine="480" w:firstLineChars="200"/>
        <w:jc w:val="left"/>
        <w:rPr>
          <w:rFonts w:hint="eastAsia" w:ascii="Times New Roman" w:hAnsi="Times New Roman" w:cs="Times New Roman"/>
          <w:szCs w:val="24"/>
          <w:lang w:bidi="ar"/>
        </w:rPr>
      </w:pPr>
      <w:r>
        <w:rPr>
          <w:rFonts w:hint="eastAsia" w:ascii="Times New Roman" w:hAnsi="Times New Roman" w:cs="Times New Roman"/>
          <w:szCs w:val="24"/>
          <w:lang w:bidi="ar"/>
        </w:rPr>
        <w:t>投标人须提供完整的人员配置及管理计划，须各配备1名具备丰富同类项目从业经验的项目经理与项目技术负责人。项目经理需具备扎实的专业能力，持有系统集成项目管理工程师、软件设计师者优先考虑；项目技术负责人持有系统集成项目管理工程师、</w:t>
      </w:r>
      <w:r>
        <w:rPr>
          <w:rFonts w:hint="eastAsia" w:ascii="宋体" w:hAnsi="宋体" w:eastAsia="宋体" w:cs="宋体"/>
          <w:color w:val="auto"/>
          <w:kern w:val="0"/>
          <w:sz w:val="24"/>
          <w:szCs w:val="24"/>
          <w:highlight w:val="none"/>
          <w:vertAlign w:val="baseline"/>
          <w:lang w:eastAsia="zh-CN" w:bidi="ar"/>
        </w:rPr>
        <w:t>信息系统监理师</w:t>
      </w:r>
      <w:r>
        <w:rPr>
          <w:rFonts w:hint="eastAsia" w:ascii="Times New Roman" w:hAnsi="Times New Roman" w:cs="Times New Roman"/>
          <w:szCs w:val="24"/>
          <w:lang w:bidi="ar"/>
        </w:rPr>
        <w:t>证书者优先考虑。</w:t>
      </w:r>
    </w:p>
    <w:p w14:paraId="16562B35">
      <w:pPr>
        <w:ind w:firstLine="480" w:firstLineChars="200"/>
        <w:jc w:val="left"/>
        <w:rPr>
          <w:rFonts w:ascii="Times New Roman" w:hAnsi="Times New Roman" w:cs="Times New Roman"/>
          <w:szCs w:val="24"/>
          <w:lang w:bidi="ar"/>
        </w:rPr>
      </w:pPr>
      <w:r>
        <w:rPr>
          <w:rFonts w:ascii="Times New Roman" w:hAnsi="Times New Roman" w:cs="Times New Roman"/>
          <w:szCs w:val="24"/>
          <w:lang w:bidi="ar"/>
        </w:rPr>
        <w:t xml:space="preserve">投标人为本项目组建项目团队（不含项目经理、项目技术负责人），项目实施团队（除项目经理、项目技术负责人外）不少于 </w:t>
      </w:r>
      <w:r>
        <w:rPr>
          <w:rFonts w:hint="eastAsia" w:ascii="Times New Roman" w:hAnsi="Times New Roman" w:cs="Times New Roman"/>
          <w:szCs w:val="24"/>
          <w:lang w:bidi="ar"/>
        </w:rPr>
        <w:t>7</w:t>
      </w:r>
      <w:r>
        <w:rPr>
          <w:rFonts w:ascii="Times New Roman" w:hAnsi="Times New Roman" w:cs="Times New Roman"/>
          <w:szCs w:val="24"/>
          <w:lang w:bidi="ar"/>
        </w:rPr>
        <w:t xml:space="preserve"> 名</w:t>
      </w:r>
      <w:r>
        <w:rPr>
          <w:rFonts w:hint="eastAsia" w:ascii="Times New Roman" w:hAnsi="Times New Roman" w:cs="Times New Roman"/>
          <w:szCs w:val="24"/>
          <w:lang w:eastAsia="zh-CN" w:bidi="ar"/>
        </w:rPr>
        <w:t>，无需驻场</w:t>
      </w:r>
      <w:r>
        <w:rPr>
          <w:rFonts w:ascii="Times New Roman" w:hAnsi="Times New Roman" w:cs="Times New Roman"/>
          <w:szCs w:val="24"/>
          <w:lang w:bidi="ar"/>
        </w:rPr>
        <w:t>。项目团队中</w:t>
      </w:r>
      <w:r>
        <w:rPr>
          <w:rFonts w:hint="eastAsia" w:ascii="Times New Roman" w:hAnsi="Times New Roman" w:cs="Times New Roman"/>
          <w:szCs w:val="24"/>
          <w:lang w:bidi="ar"/>
        </w:rPr>
        <w:t>宜</w:t>
      </w:r>
      <w:r>
        <w:rPr>
          <w:rFonts w:ascii="Times New Roman" w:hAnsi="Times New Roman" w:cs="Times New Roman"/>
          <w:szCs w:val="24"/>
          <w:lang w:bidi="ar"/>
        </w:rPr>
        <w:t>设置信息系统项目管理师</w:t>
      </w:r>
      <w:r>
        <w:rPr>
          <w:rFonts w:hint="eastAsia" w:ascii="Times New Roman" w:hAnsi="Times New Roman" w:cs="Times New Roman"/>
          <w:szCs w:val="24"/>
          <w:lang w:bidi="ar"/>
        </w:rPr>
        <w:t>、系统集成项目管理工程师证书、</w:t>
      </w:r>
      <w:r>
        <w:rPr>
          <w:rFonts w:ascii="Times New Roman" w:hAnsi="Times New Roman" w:cs="Times New Roman"/>
          <w:szCs w:val="24"/>
          <w:lang w:bidi="ar"/>
        </w:rPr>
        <w:t>软件设计师、网络工程师、数据库系统工程师等关键岗位</w:t>
      </w:r>
      <w:r>
        <w:rPr>
          <w:rFonts w:hint="eastAsia" w:ascii="Times New Roman" w:hAnsi="Times New Roman" w:cs="Times New Roman"/>
          <w:szCs w:val="24"/>
          <w:lang w:bidi="ar"/>
        </w:rPr>
        <w:t>，一人只能承担一种岗位角色</w:t>
      </w:r>
      <w:r>
        <w:rPr>
          <w:rFonts w:ascii="Times New Roman" w:hAnsi="Times New Roman" w:cs="Times New Roman"/>
          <w:szCs w:val="24"/>
          <w:lang w:bidi="ar"/>
        </w:rPr>
        <w:t>。项目团队成员需具备与本项目所涉功能或应用相类似案例的工作经验。</w:t>
      </w:r>
    </w:p>
    <w:p w14:paraId="7029E25C">
      <w:pPr>
        <w:ind w:firstLine="480" w:firstLineChars="200"/>
        <w:jc w:val="left"/>
        <w:rPr>
          <w:rFonts w:ascii="Times New Roman" w:hAnsi="Times New Roman" w:cs="Times New Roman"/>
          <w:szCs w:val="24"/>
          <w:lang w:bidi="ar"/>
        </w:rPr>
      </w:pPr>
      <w:r>
        <w:rPr>
          <w:rFonts w:ascii="Times New Roman" w:hAnsi="Times New Roman" w:cs="Times New Roman"/>
          <w:szCs w:val="24"/>
          <w:lang w:bidi="ar"/>
        </w:rPr>
        <w:t>项目经理和项目技术负责人不得兼任其他岗位，未经</w:t>
      </w:r>
      <w:r>
        <w:rPr>
          <w:rFonts w:hint="eastAsia" w:ascii="Times New Roman" w:hAnsi="Times New Roman" w:cs="Times New Roman"/>
          <w:szCs w:val="24"/>
          <w:lang w:bidi="ar"/>
        </w:rPr>
        <w:t>采购人</w:t>
      </w:r>
      <w:r>
        <w:rPr>
          <w:rFonts w:ascii="Times New Roman" w:hAnsi="Times New Roman" w:cs="Times New Roman"/>
          <w:szCs w:val="24"/>
          <w:lang w:bidi="ar"/>
        </w:rPr>
        <w:t>同意不得更换；项目团队人员在非</w:t>
      </w:r>
      <w:r>
        <w:rPr>
          <w:rFonts w:hint="eastAsia" w:ascii="Times New Roman" w:hAnsi="Times New Roman" w:cs="Times New Roman"/>
          <w:szCs w:val="24"/>
          <w:lang w:bidi="ar"/>
        </w:rPr>
        <w:t>采购人</w:t>
      </w:r>
      <w:r>
        <w:rPr>
          <w:rFonts w:ascii="Times New Roman" w:hAnsi="Times New Roman" w:cs="Times New Roman"/>
          <w:szCs w:val="24"/>
          <w:lang w:bidi="ar"/>
        </w:rPr>
        <w:t>认可下，不得随意调整。</w:t>
      </w:r>
    </w:p>
    <w:p w14:paraId="027DBF47">
      <w:pPr>
        <w:pStyle w:val="3"/>
      </w:pPr>
      <w:r>
        <w:rPr>
          <w:rFonts w:hint="eastAsia"/>
        </w:rPr>
        <w:t>版权、知识产权及其他权益</w:t>
      </w:r>
    </w:p>
    <w:p w14:paraId="0A047C0C">
      <w:pPr>
        <w:ind w:firstLine="480" w:firstLineChars="200"/>
        <w:jc w:val="left"/>
        <w:rPr>
          <w:rFonts w:ascii="Times New Roman" w:hAnsi="Times New Roman" w:cs="Times New Roman"/>
          <w:szCs w:val="24"/>
          <w:lang w:bidi="ar"/>
        </w:rPr>
      </w:pPr>
      <w:r>
        <w:rPr>
          <w:rFonts w:ascii="Times New Roman" w:hAnsi="Times New Roman" w:cs="Times New Roman"/>
          <w:szCs w:val="24"/>
          <w:lang w:bidi="ar"/>
        </w:rPr>
        <w:t>在本项目建设过程中，投标人为本项目所产生的设计方案、应用软件、管理文档、管理制度，其版权归采购人所有。</w:t>
      </w:r>
    </w:p>
    <w:p w14:paraId="495C7680">
      <w:pPr>
        <w:ind w:firstLine="480" w:firstLineChars="200"/>
        <w:jc w:val="left"/>
        <w:rPr>
          <w:rFonts w:ascii="Times New Roman" w:hAnsi="Times New Roman" w:cs="Times New Roman"/>
          <w:szCs w:val="24"/>
          <w:lang w:bidi="ar"/>
        </w:rPr>
      </w:pPr>
      <w:r>
        <w:rPr>
          <w:rFonts w:ascii="Times New Roman" w:hAnsi="Times New Roman" w:cs="Times New Roman"/>
          <w:szCs w:val="24"/>
          <w:lang w:bidi="ar"/>
        </w:rPr>
        <w:t>除了投标人在投标书中明确知识产权权属的产品外，所有应用软件开发，包括二次开发的成果和知识产权应归采购人所有。</w:t>
      </w:r>
    </w:p>
    <w:p w14:paraId="4BFB4B8C">
      <w:pPr>
        <w:ind w:firstLine="480" w:firstLineChars="200"/>
        <w:jc w:val="left"/>
        <w:rPr>
          <w:rFonts w:ascii="Times New Roman" w:hAnsi="Times New Roman" w:cs="Times New Roman"/>
          <w:szCs w:val="24"/>
          <w:lang w:bidi="ar"/>
        </w:rPr>
      </w:pPr>
      <w:r>
        <w:rPr>
          <w:rFonts w:ascii="Times New Roman" w:hAnsi="Times New Roman" w:cs="Times New Roman"/>
          <w:szCs w:val="24"/>
          <w:lang w:bidi="ar"/>
        </w:rPr>
        <w:t>投标人按照合同交付采购人的所有软件产品（包括有可能涉及的数字资源产品）不得侵犯任何第三方的知识产权和其他合法权益。投标人对采购人正常使用这些交付物的合法性负责。为合法使用这些交付物，如果投标人需要采购人支付与所签合同总额以外的费用，该投标人应该事先在其投标文件中说明。</w:t>
      </w:r>
    </w:p>
    <w:p w14:paraId="1BF4BA29">
      <w:pPr>
        <w:pStyle w:val="2"/>
      </w:pPr>
      <w:r>
        <w:rPr>
          <w:rFonts w:hint="eastAsia"/>
          <w:lang w:eastAsia="zh-CN"/>
        </w:rPr>
        <w:t>投标人综合实力</w:t>
      </w:r>
      <w:r>
        <w:t>要求</w:t>
      </w:r>
    </w:p>
    <w:p w14:paraId="2C2777A6">
      <w:pPr>
        <w:ind w:firstLine="480" w:firstLineChars="200"/>
        <w:jc w:val="left"/>
        <w:rPr>
          <w:rFonts w:hint="eastAsia" w:ascii="Times New Roman" w:hAnsi="Times New Roman" w:cs="Times New Roman"/>
          <w:szCs w:val="24"/>
          <w:lang w:bidi="ar"/>
        </w:rPr>
      </w:pPr>
      <w:r>
        <w:rPr>
          <w:rFonts w:hint="eastAsia" w:ascii="Times New Roman" w:hAnsi="Times New Roman" w:cs="Times New Roman"/>
          <w:szCs w:val="24"/>
          <w:lang w:bidi="ar"/>
        </w:rPr>
        <w:t>参与本项目</w:t>
      </w:r>
      <w:r>
        <w:rPr>
          <w:rFonts w:hint="eastAsia" w:ascii="Times New Roman" w:hAnsi="Times New Roman" w:cs="Times New Roman"/>
          <w:szCs w:val="24"/>
          <w:lang w:eastAsia="zh-CN" w:bidi="ar"/>
        </w:rPr>
        <w:t>的投标人</w:t>
      </w:r>
      <w:r>
        <w:rPr>
          <w:rFonts w:hint="eastAsia" w:ascii="Times New Roman" w:hAnsi="Times New Roman" w:cs="Times New Roman"/>
          <w:szCs w:val="24"/>
          <w:lang w:bidi="ar"/>
        </w:rPr>
        <w:t>须具备同类项目实施经验</w:t>
      </w:r>
      <w:r>
        <w:rPr>
          <w:rFonts w:hint="eastAsia" w:ascii="Times New Roman" w:hAnsi="Times New Roman" w:cs="Times New Roman"/>
          <w:szCs w:val="24"/>
          <w:lang w:eastAsia="zh-CN" w:bidi="ar"/>
        </w:rPr>
        <w:t>。</w:t>
      </w:r>
      <w:r>
        <w:rPr>
          <w:rFonts w:hint="eastAsia" w:ascii="Times New Roman" w:hAnsi="Times New Roman" w:cs="Times New Roman"/>
          <w:szCs w:val="24"/>
          <w:lang w:bidi="ar"/>
        </w:rPr>
        <w:t>拥有</w:t>
      </w:r>
      <w:r>
        <w:rPr>
          <w:rFonts w:hint="eastAsia" w:ascii="Times New Roman" w:hAnsi="Times New Roman" w:cs="Times New Roman"/>
          <w:szCs w:val="24"/>
          <w:lang w:val="en-US" w:eastAsia="zh-CN" w:bidi="ar"/>
        </w:rPr>
        <w:t>2023</w:t>
      </w:r>
      <w:r>
        <w:rPr>
          <w:rFonts w:hint="eastAsia" w:ascii="Times New Roman" w:hAnsi="Times New Roman" w:cs="Times New Roman"/>
          <w:szCs w:val="24"/>
          <w:lang w:bidi="ar"/>
        </w:rPr>
        <w:t>年</w:t>
      </w:r>
      <w:r>
        <w:rPr>
          <w:rFonts w:hint="eastAsia" w:ascii="Times New Roman" w:hAnsi="Times New Roman" w:cs="Times New Roman"/>
          <w:szCs w:val="24"/>
          <w:lang w:val="en-US" w:eastAsia="zh-CN" w:bidi="ar"/>
        </w:rPr>
        <w:t>1</w:t>
      </w:r>
      <w:r>
        <w:rPr>
          <w:rFonts w:hint="eastAsia" w:ascii="Times New Roman" w:hAnsi="Times New Roman" w:cs="Times New Roman"/>
          <w:szCs w:val="24"/>
          <w:lang w:bidi="ar"/>
        </w:rPr>
        <w:t>月</w:t>
      </w:r>
      <w:r>
        <w:rPr>
          <w:rFonts w:hint="eastAsia" w:ascii="Times New Roman" w:hAnsi="Times New Roman" w:cs="Times New Roman"/>
          <w:szCs w:val="24"/>
          <w:lang w:val="en-US" w:eastAsia="zh-CN" w:bidi="ar"/>
        </w:rPr>
        <w:t>1</w:t>
      </w:r>
      <w:r>
        <w:rPr>
          <w:rFonts w:hint="eastAsia" w:ascii="Times New Roman" w:hAnsi="Times New Roman" w:cs="Times New Roman"/>
          <w:szCs w:val="24"/>
          <w:lang w:bidi="ar"/>
        </w:rPr>
        <w:t>日以来类似成功项目案例的，将予以优先考虑。</w:t>
      </w:r>
    </w:p>
    <w:p w14:paraId="2AD25995">
      <w:pPr>
        <w:pStyle w:val="46"/>
        <w:widowControl/>
        <w:ind w:firstLine="0"/>
      </w:pPr>
    </w:p>
    <w:p w14:paraId="176CF040">
      <w:pPr>
        <w:rPr>
          <w:rFonts w:ascii="Times New Roman" w:hAnsi="Times New Roman" w:cs="Times New Roman"/>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E676A"/>
    <w:multiLevelType w:val="singleLevel"/>
    <w:tmpl w:val="F37E676A"/>
    <w:lvl w:ilvl="0" w:tentative="0">
      <w:start w:val="1"/>
      <w:numFmt w:val="decimal"/>
      <w:suff w:val="nothing"/>
      <w:lvlText w:val="%1、"/>
      <w:lvlJc w:val="left"/>
    </w:lvl>
  </w:abstractNum>
  <w:abstractNum w:abstractNumId="1">
    <w:nsid w:val="774F64CD"/>
    <w:multiLevelType w:val="multilevel"/>
    <w:tmpl w:val="774F64CD"/>
    <w:lvl w:ilvl="0" w:tentative="0">
      <w:start w:val="1"/>
      <w:numFmt w:val="decimal"/>
      <w:pStyle w:val="2"/>
      <w:lvlText w:val="%1"/>
      <w:lvlJc w:val="left"/>
      <w:pPr>
        <w:ind w:left="425" w:hanging="425"/>
      </w:pPr>
      <w:rPr>
        <w:rFonts w:hint="eastAsia"/>
      </w:rPr>
    </w:lvl>
    <w:lvl w:ilvl="1" w:tentative="0">
      <w:start w:val="1"/>
      <w:numFmt w:val="decimal"/>
      <w:pStyle w:val="3"/>
      <w:lvlText w:val="%1.%2"/>
      <w:lvlJc w:val="left"/>
      <w:pPr>
        <w:ind w:left="425" w:hanging="425"/>
      </w:pPr>
      <w:rPr>
        <w:rFonts w:hint="eastAsia"/>
      </w:rPr>
    </w:lvl>
    <w:lvl w:ilvl="2" w:tentative="0">
      <w:start w:val="1"/>
      <w:numFmt w:val="decimal"/>
      <w:pStyle w:val="4"/>
      <w:lvlText w:val="%1.%2.%3"/>
      <w:lvlJc w:val="left"/>
      <w:pPr>
        <w:ind w:left="425" w:hanging="425"/>
      </w:pPr>
      <w:rPr>
        <w:rFonts w:hint="eastAsia"/>
      </w:rPr>
    </w:lvl>
    <w:lvl w:ilvl="3" w:tentative="0">
      <w:start w:val="1"/>
      <w:numFmt w:val="decimal"/>
      <w:pStyle w:val="5"/>
      <w:lvlText w:val="%1.%2.%3.%4"/>
      <w:lvlJc w:val="left"/>
      <w:pPr>
        <w:ind w:left="425" w:hanging="425"/>
      </w:pPr>
      <w:rPr>
        <w:rFonts w:hint="default"/>
        <w:b w:val="0"/>
        <w:bCs w:val="0"/>
      </w:rPr>
    </w:lvl>
    <w:lvl w:ilvl="4" w:tentative="0">
      <w:start w:val="1"/>
      <w:numFmt w:val="decimal"/>
      <w:pStyle w:val="6"/>
      <w:lvlText w:val="%1.%2.%3.%4.%5"/>
      <w:lvlJc w:val="left"/>
      <w:pPr>
        <w:ind w:left="425" w:hanging="425"/>
      </w:pPr>
      <w:rPr>
        <w:rFonts w:hint="eastAsia"/>
      </w:rPr>
    </w:lvl>
    <w:lvl w:ilvl="5" w:tentative="0">
      <w:start w:val="1"/>
      <w:numFmt w:val="decimal"/>
      <w:pStyle w:val="7"/>
      <w:lvlText w:val="%1.%2.%3.%4.%5.%6"/>
      <w:lvlJc w:val="left"/>
      <w:pPr>
        <w:ind w:left="425" w:hanging="425"/>
      </w:pPr>
      <w:rPr>
        <w:rFonts w:hint="eastAsia"/>
      </w:rPr>
    </w:lvl>
    <w:lvl w:ilvl="6" w:tentative="0">
      <w:start w:val="1"/>
      <w:numFmt w:val="decimal"/>
      <w:pStyle w:val="8"/>
      <w:lvlText w:val="%1.%2.%3.%4.%5.%6.%7"/>
      <w:lvlJc w:val="left"/>
      <w:pPr>
        <w:ind w:left="425" w:hanging="425"/>
      </w:pPr>
      <w:rPr>
        <w:rFonts w:hint="eastAsia"/>
      </w:rPr>
    </w:lvl>
    <w:lvl w:ilvl="7" w:tentative="0">
      <w:start w:val="1"/>
      <w:numFmt w:val="decimal"/>
      <w:pStyle w:val="9"/>
      <w:lvlText w:val="%1.%2.%3.%4.%5.%6.%7.%8"/>
      <w:lvlJc w:val="left"/>
      <w:pPr>
        <w:ind w:left="425" w:hanging="425"/>
      </w:pPr>
      <w:rPr>
        <w:rFonts w:hint="eastAsia"/>
      </w:rPr>
    </w:lvl>
    <w:lvl w:ilvl="8" w:tentative="0">
      <w:start w:val="1"/>
      <w:numFmt w:val="decimal"/>
      <w:pStyle w:val="10"/>
      <w:lvlText w:val="%1.%2.%3.%4.%5.%6.%7.%8.%9"/>
      <w:lvlJc w:val="left"/>
      <w:pPr>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12232E"/>
    <w:rsid w:val="00024480"/>
    <w:rsid w:val="0009585C"/>
    <w:rsid w:val="000A0082"/>
    <w:rsid w:val="000E1512"/>
    <w:rsid w:val="0010472E"/>
    <w:rsid w:val="0012232E"/>
    <w:rsid w:val="00145B25"/>
    <w:rsid w:val="001513C2"/>
    <w:rsid w:val="001539BE"/>
    <w:rsid w:val="00172397"/>
    <w:rsid w:val="00172DEB"/>
    <w:rsid w:val="00173116"/>
    <w:rsid w:val="001A5260"/>
    <w:rsid w:val="001F36E0"/>
    <w:rsid w:val="00206DFC"/>
    <w:rsid w:val="00227816"/>
    <w:rsid w:val="00265806"/>
    <w:rsid w:val="00291760"/>
    <w:rsid w:val="002D062B"/>
    <w:rsid w:val="002D1AAF"/>
    <w:rsid w:val="00361DEA"/>
    <w:rsid w:val="003827E3"/>
    <w:rsid w:val="003C668A"/>
    <w:rsid w:val="003E4643"/>
    <w:rsid w:val="00414BD3"/>
    <w:rsid w:val="0046075A"/>
    <w:rsid w:val="00465AE0"/>
    <w:rsid w:val="00477AB2"/>
    <w:rsid w:val="004D04A5"/>
    <w:rsid w:val="004E62EC"/>
    <w:rsid w:val="00517EE8"/>
    <w:rsid w:val="0056310C"/>
    <w:rsid w:val="00592BD9"/>
    <w:rsid w:val="005D2854"/>
    <w:rsid w:val="005E06DC"/>
    <w:rsid w:val="005E0F35"/>
    <w:rsid w:val="0064376A"/>
    <w:rsid w:val="00645EC2"/>
    <w:rsid w:val="00646315"/>
    <w:rsid w:val="00736C89"/>
    <w:rsid w:val="00774258"/>
    <w:rsid w:val="0077736A"/>
    <w:rsid w:val="007E4E6A"/>
    <w:rsid w:val="007F6D36"/>
    <w:rsid w:val="00814B96"/>
    <w:rsid w:val="00824C11"/>
    <w:rsid w:val="00871478"/>
    <w:rsid w:val="008C36A6"/>
    <w:rsid w:val="009040BB"/>
    <w:rsid w:val="00966237"/>
    <w:rsid w:val="00967E00"/>
    <w:rsid w:val="00984E28"/>
    <w:rsid w:val="009D61E1"/>
    <w:rsid w:val="009D64F1"/>
    <w:rsid w:val="00A501EE"/>
    <w:rsid w:val="00A61D2F"/>
    <w:rsid w:val="00A84DBF"/>
    <w:rsid w:val="00A93358"/>
    <w:rsid w:val="00B20455"/>
    <w:rsid w:val="00B50C33"/>
    <w:rsid w:val="00B6547F"/>
    <w:rsid w:val="00B806D2"/>
    <w:rsid w:val="00BA6D24"/>
    <w:rsid w:val="00BD2653"/>
    <w:rsid w:val="00BD79E9"/>
    <w:rsid w:val="00BF6F25"/>
    <w:rsid w:val="00C1697C"/>
    <w:rsid w:val="00C3092F"/>
    <w:rsid w:val="00C35118"/>
    <w:rsid w:val="00C36421"/>
    <w:rsid w:val="00C40699"/>
    <w:rsid w:val="00C7262A"/>
    <w:rsid w:val="00C93408"/>
    <w:rsid w:val="00CA264F"/>
    <w:rsid w:val="00CA3A08"/>
    <w:rsid w:val="00CA3F95"/>
    <w:rsid w:val="00D075E7"/>
    <w:rsid w:val="00D20BC9"/>
    <w:rsid w:val="00D23FD5"/>
    <w:rsid w:val="00D36F0F"/>
    <w:rsid w:val="00D51D73"/>
    <w:rsid w:val="00D5373D"/>
    <w:rsid w:val="00D726E3"/>
    <w:rsid w:val="00D8287C"/>
    <w:rsid w:val="00D84650"/>
    <w:rsid w:val="00DA6476"/>
    <w:rsid w:val="00DE07B5"/>
    <w:rsid w:val="00DE1018"/>
    <w:rsid w:val="00E2638F"/>
    <w:rsid w:val="00E47C88"/>
    <w:rsid w:val="00E53A14"/>
    <w:rsid w:val="00F84C52"/>
    <w:rsid w:val="00F86CFC"/>
    <w:rsid w:val="00FC3155"/>
    <w:rsid w:val="00FF5116"/>
    <w:rsid w:val="01F5721A"/>
    <w:rsid w:val="020E2058"/>
    <w:rsid w:val="09BC76D1"/>
    <w:rsid w:val="0F87344A"/>
    <w:rsid w:val="14883EEC"/>
    <w:rsid w:val="15ED5A39"/>
    <w:rsid w:val="17400AAE"/>
    <w:rsid w:val="186E7067"/>
    <w:rsid w:val="1973ED8B"/>
    <w:rsid w:val="1CC6494A"/>
    <w:rsid w:val="22AA7723"/>
    <w:rsid w:val="278079DC"/>
    <w:rsid w:val="2BDA3EB7"/>
    <w:rsid w:val="2C361B6F"/>
    <w:rsid w:val="2EA414CB"/>
    <w:rsid w:val="2EC6302C"/>
    <w:rsid w:val="2F0F2DE8"/>
    <w:rsid w:val="2FF7FF2D"/>
    <w:rsid w:val="318551F1"/>
    <w:rsid w:val="32775FA5"/>
    <w:rsid w:val="33FE7CD4"/>
    <w:rsid w:val="37B3D41E"/>
    <w:rsid w:val="3A1C0AAF"/>
    <w:rsid w:val="3DA60B71"/>
    <w:rsid w:val="3DAFDC81"/>
    <w:rsid w:val="3DD812DF"/>
    <w:rsid w:val="3FF04570"/>
    <w:rsid w:val="4166379D"/>
    <w:rsid w:val="43FE4DB5"/>
    <w:rsid w:val="54E81862"/>
    <w:rsid w:val="59464DA9"/>
    <w:rsid w:val="5FBF9D55"/>
    <w:rsid w:val="607A52CD"/>
    <w:rsid w:val="673E54E3"/>
    <w:rsid w:val="6A890F99"/>
    <w:rsid w:val="72722685"/>
    <w:rsid w:val="77027CA7"/>
    <w:rsid w:val="777E617C"/>
    <w:rsid w:val="77DFA778"/>
    <w:rsid w:val="77FF7286"/>
    <w:rsid w:val="785D684A"/>
    <w:rsid w:val="78895B4B"/>
    <w:rsid w:val="7994006B"/>
    <w:rsid w:val="7A447530"/>
    <w:rsid w:val="7ABF8B8F"/>
    <w:rsid w:val="7DE46BE2"/>
    <w:rsid w:val="7DF50A27"/>
    <w:rsid w:val="7E263255"/>
    <w:rsid w:val="7F001350"/>
    <w:rsid w:val="7F7F05A7"/>
    <w:rsid w:val="7F9A6DA7"/>
    <w:rsid w:val="7FC92B67"/>
    <w:rsid w:val="BD6200D1"/>
    <w:rsid w:val="CDEDF15F"/>
    <w:rsid w:val="D76F9CCD"/>
    <w:rsid w:val="D78F6388"/>
    <w:rsid w:val="DFEFF4F7"/>
    <w:rsid w:val="E5EFE44F"/>
    <w:rsid w:val="EBEB7519"/>
    <w:rsid w:val="EF3C2F9D"/>
    <w:rsid w:val="FE9D60FA"/>
    <w:rsid w:val="FEEFA9AA"/>
    <w:rsid w:val="FFFFB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9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rFonts w:ascii="Times New Roman" w:hAnsi="Times New Roman" w:cs="Times New Roman"/>
      <w:b/>
      <w:bCs/>
      <w:kern w:val="44"/>
      <w:sz w:val="48"/>
      <w:szCs w:val="44"/>
    </w:rPr>
  </w:style>
  <w:style w:type="paragraph" w:styleId="3">
    <w:name w:val="heading 2"/>
    <w:basedOn w:val="1"/>
    <w:next w:val="1"/>
    <w:link w:val="25"/>
    <w:unhideWhenUsed/>
    <w:qFormat/>
    <w:uiPriority w:val="99"/>
    <w:pPr>
      <w:keepNext/>
      <w:keepLines/>
      <w:numPr>
        <w:ilvl w:val="1"/>
        <w:numId w:val="1"/>
      </w:numPr>
      <w:spacing w:before="260" w:after="260" w:line="416" w:lineRule="auto"/>
      <w:outlineLvl w:val="1"/>
    </w:pPr>
    <w:rPr>
      <w:rFonts w:ascii="Times New Roman" w:hAnsi="Times New Roman" w:cs="Times New Roman"/>
      <w:b/>
      <w:bCs/>
      <w:sz w:val="44"/>
      <w:szCs w:val="32"/>
    </w:rPr>
  </w:style>
  <w:style w:type="paragraph" w:styleId="4">
    <w:name w:val="heading 3"/>
    <w:basedOn w:val="1"/>
    <w:next w:val="1"/>
    <w:link w:val="26"/>
    <w:unhideWhenUsed/>
    <w:qFormat/>
    <w:uiPriority w:val="99"/>
    <w:pPr>
      <w:keepNext/>
      <w:keepLines/>
      <w:numPr>
        <w:ilvl w:val="2"/>
        <w:numId w:val="1"/>
      </w:numPr>
      <w:spacing w:before="260" w:after="260" w:line="416" w:lineRule="auto"/>
      <w:outlineLvl w:val="2"/>
    </w:pPr>
    <w:rPr>
      <w:rFonts w:ascii="Times New Roman" w:hAnsi="Times New Roman" w:cs="Times New Roman"/>
      <w:b/>
      <w:bCs/>
      <w:sz w:val="36"/>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cstheme="majorBidi"/>
      <w:b/>
      <w:bCs/>
      <w:sz w:val="30"/>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cstheme="majorBidi"/>
      <w:b/>
      <w:bCs/>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cstheme="majorBidi"/>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cstheme="majorBidi"/>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1"/>
    <w:semiHidden/>
    <w:unhideWhenUsed/>
    <w:qFormat/>
    <w:uiPriority w:val="0"/>
    <w:pPr>
      <w:widowControl/>
      <w:spacing w:line="240" w:lineRule="auto"/>
      <w:ind w:firstLine="420"/>
      <w:jc w:val="left"/>
    </w:pPr>
    <w:rPr>
      <w:rFonts w:eastAsiaTheme="minorEastAsia"/>
      <w:sz w:val="21"/>
    </w:rPr>
  </w:style>
  <w:style w:type="paragraph" w:styleId="12">
    <w:name w:val="annotation text"/>
    <w:basedOn w:val="1"/>
    <w:link w:val="37"/>
    <w:unhideWhenUsed/>
    <w:qFormat/>
    <w:uiPriority w:val="99"/>
    <w:pPr>
      <w:ind w:firstLine="480" w:firstLineChars="200"/>
      <w:jc w:val="left"/>
    </w:pPr>
    <w:rPr>
      <w:rFonts w:ascii="Times New Roman" w:hAnsi="Times New Roman" w:cs="Times New Roman"/>
      <w:szCs w:val="24"/>
    </w:rPr>
  </w:style>
  <w:style w:type="paragraph" w:styleId="13">
    <w:name w:val="Body Text"/>
    <w:basedOn w:val="1"/>
    <w:link w:val="44"/>
    <w:semiHidden/>
    <w:unhideWhenUsed/>
    <w:qFormat/>
    <w:uiPriority w:val="99"/>
    <w:pPr>
      <w:spacing w:after="120"/>
      <w:jc w:val="left"/>
    </w:pPr>
    <w:rPr>
      <w:rFonts w:ascii="Times New Roman" w:hAnsi="Times New Roman" w:cs="Times New Roman"/>
      <w:szCs w:val="24"/>
    </w:rPr>
  </w:style>
  <w:style w:type="paragraph" w:styleId="14">
    <w:name w:val="Body Text Indent"/>
    <w:basedOn w:val="1"/>
    <w:link w:val="45"/>
    <w:semiHidden/>
    <w:unhideWhenUsed/>
    <w:qFormat/>
    <w:uiPriority w:val="99"/>
    <w:pPr>
      <w:spacing w:beforeAutospacing="1" w:after="120"/>
      <w:ind w:left="420" w:leftChars="200"/>
      <w:jc w:val="left"/>
    </w:pPr>
    <w:rPr>
      <w:rFonts w:ascii="Times New Roman" w:hAnsi="Times New Roman" w:cs="Times New Roman"/>
      <w:szCs w:val="24"/>
    </w:rPr>
  </w:style>
  <w:style w:type="paragraph" w:styleId="15">
    <w:name w:val="Balloon Text"/>
    <w:basedOn w:val="1"/>
    <w:link w:val="38"/>
    <w:semiHidden/>
    <w:unhideWhenUsed/>
    <w:qFormat/>
    <w:uiPriority w:val="99"/>
    <w:pPr>
      <w:spacing w:line="240" w:lineRule="auto"/>
    </w:pPr>
    <w:rPr>
      <w:sz w:val="18"/>
      <w:szCs w:val="18"/>
    </w:rPr>
  </w:style>
  <w:style w:type="paragraph" w:styleId="16">
    <w:name w:val="footer"/>
    <w:basedOn w:val="1"/>
    <w:link w:val="3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Cs w:val="24"/>
    </w:rPr>
  </w:style>
  <w:style w:type="paragraph" w:styleId="19">
    <w:name w:val="annotation subject"/>
    <w:basedOn w:val="12"/>
    <w:next w:val="12"/>
    <w:link w:val="42"/>
    <w:semiHidden/>
    <w:unhideWhenUsed/>
    <w:qFormat/>
    <w:uiPriority w:val="99"/>
    <w:pPr>
      <w:ind w:firstLine="0" w:firstLineChars="0"/>
    </w:pPr>
    <w:rPr>
      <w:rFonts w:asciiTheme="minorHAnsi" w:hAnsiTheme="minorHAnsi" w:cstheme="minorBidi"/>
      <w:b/>
      <w:bCs/>
      <w:szCs w:val="22"/>
    </w:rPr>
  </w:style>
  <w:style w:type="table" w:styleId="21">
    <w:name w:val="Table Grid"/>
    <w:basedOn w:val="20"/>
    <w:qFormat/>
    <w:uiPriority w:val="3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3">
    <w:name w:val="annotation reference"/>
    <w:basedOn w:val="22"/>
    <w:semiHidden/>
    <w:unhideWhenUsed/>
    <w:qFormat/>
    <w:uiPriority w:val="99"/>
    <w:rPr>
      <w:sz w:val="21"/>
      <w:szCs w:val="21"/>
    </w:rPr>
  </w:style>
  <w:style w:type="character" w:customStyle="1" w:styleId="24">
    <w:name w:val="标题 1 字符"/>
    <w:link w:val="2"/>
    <w:qFormat/>
    <w:uiPriority w:val="9"/>
    <w:rPr>
      <w:rFonts w:ascii="Times New Roman" w:hAnsi="Times New Roman" w:eastAsia="宋体" w:cs="Times New Roman"/>
      <w:b/>
      <w:bCs/>
      <w:kern w:val="44"/>
      <w:sz w:val="48"/>
      <w:szCs w:val="44"/>
      <w:lang w:val="en-US" w:eastAsia="zh-CN" w:bidi="ar-SA"/>
    </w:rPr>
  </w:style>
  <w:style w:type="character" w:customStyle="1" w:styleId="25">
    <w:name w:val="标题 2 字符"/>
    <w:link w:val="3"/>
    <w:qFormat/>
    <w:uiPriority w:val="9"/>
    <w:rPr>
      <w:rFonts w:ascii="Times New Roman" w:hAnsi="Times New Roman" w:eastAsia="宋体" w:cs="Times New Roman"/>
      <w:b/>
      <w:bCs/>
      <w:kern w:val="2"/>
      <w:sz w:val="44"/>
      <w:szCs w:val="32"/>
      <w:lang w:val="en-US" w:eastAsia="zh-CN" w:bidi="ar-SA"/>
    </w:rPr>
  </w:style>
  <w:style w:type="character" w:customStyle="1" w:styleId="26">
    <w:name w:val="标题 3 字符"/>
    <w:link w:val="4"/>
    <w:qFormat/>
    <w:uiPriority w:val="9"/>
    <w:rPr>
      <w:rFonts w:ascii="Times New Roman" w:hAnsi="Times New Roman" w:eastAsia="宋体" w:cs="Times New Roman"/>
      <w:b/>
      <w:bCs/>
      <w:kern w:val="2"/>
      <w:sz w:val="36"/>
      <w:szCs w:val="32"/>
      <w:lang w:val="en-US" w:eastAsia="zh-CN" w:bidi="ar-SA"/>
    </w:rPr>
  </w:style>
  <w:style w:type="character" w:customStyle="1" w:styleId="27">
    <w:name w:val="标题 4 字符"/>
    <w:basedOn w:val="22"/>
    <w:link w:val="5"/>
    <w:qFormat/>
    <w:uiPriority w:val="9"/>
    <w:rPr>
      <w:rFonts w:eastAsia="宋体" w:asciiTheme="majorHAnsi" w:hAnsiTheme="majorHAnsi" w:cstheme="majorBidi"/>
      <w:b/>
      <w:bCs/>
      <w:sz w:val="30"/>
      <w:szCs w:val="28"/>
    </w:rPr>
  </w:style>
  <w:style w:type="character" w:customStyle="1" w:styleId="28">
    <w:name w:val="标题 5 字符"/>
    <w:basedOn w:val="22"/>
    <w:link w:val="6"/>
    <w:qFormat/>
    <w:uiPriority w:val="9"/>
    <w:rPr>
      <w:b/>
      <w:bCs/>
      <w:sz w:val="28"/>
      <w:szCs w:val="28"/>
    </w:rPr>
  </w:style>
  <w:style w:type="character" w:customStyle="1" w:styleId="29">
    <w:name w:val="标题 6 字符"/>
    <w:basedOn w:val="22"/>
    <w:link w:val="7"/>
    <w:qFormat/>
    <w:uiPriority w:val="9"/>
    <w:rPr>
      <w:rFonts w:eastAsia="宋体" w:asciiTheme="majorHAnsi" w:hAnsiTheme="majorHAnsi" w:cstheme="majorBidi"/>
      <w:b/>
      <w:bCs/>
      <w:sz w:val="24"/>
      <w:szCs w:val="24"/>
    </w:rPr>
  </w:style>
  <w:style w:type="character" w:customStyle="1" w:styleId="30">
    <w:name w:val="标题 7 字符"/>
    <w:basedOn w:val="22"/>
    <w:link w:val="8"/>
    <w:qFormat/>
    <w:uiPriority w:val="9"/>
    <w:rPr>
      <w:b/>
      <w:bCs/>
      <w:sz w:val="24"/>
      <w:szCs w:val="24"/>
    </w:rPr>
  </w:style>
  <w:style w:type="character" w:customStyle="1" w:styleId="31">
    <w:name w:val="标题 8 字符"/>
    <w:basedOn w:val="22"/>
    <w:link w:val="9"/>
    <w:semiHidden/>
    <w:qFormat/>
    <w:uiPriority w:val="9"/>
    <w:rPr>
      <w:rFonts w:eastAsia="宋体" w:asciiTheme="majorHAnsi" w:hAnsiTheme="majorHAnsi" w:cstheme="majorBidi"/>
      <w:sz w:val="24"/>
      <w:szCs w:val="24"/>
    </w:rPr>
  </w:style>
  <w:style w:type="character" w:customStyle="1" w:styleId="32">
    <w:name w:val="标题 9 字符"/>
    <w:basedOn w:val="22"/>
    <w:link w:val="10"/>
    <w:qFormat/>
    <w:uiPriority w:val="9"/>
    <w:rPr>
      <w:rFonts w:eastAsia="宋体" w:asciiTheme="majorHAnsi" w:hAnsiTheme="majorHAnsi" w:cstheme="majorBidi"/>
      <w:sz w:val="24"/>
      <w:szCs w:val="21"/>
    </w:rPr>
  </w:style>
  <w:style w:type="character" w:customStyle="1" w:styleId="33">
    <w:name w:val="页眉 字符"/>
    <w:basedOn w:val="22"/>
    <w:link w:val="17"/>
    <w:qFormat/>
    <w:uiPriority w:val="99"/>
    <w:rPr>
      <w:rFonts w:eastAsia="宋体"/>
      <w:sz w:val="18"/>
      <w:szCs w:val="18"/>
    </w:rPr>
  </w:style>
  <w:style w:type="character" w:customStyle="1" w:styleId="34">
    <w:name w:val="页脚 字符"/>
    <w:basedOn w:val="22"/>
    <w:link w:val="16"/>
    <w:qFormat/>
    <w:uiPriority w:val="99"/>
    <w:rPr>
      <w:rFonts w:eastAsia="宋体"/>
      <w:sz w:val="18"/>
      <w:szCs w:val="18"/>
    </w:rPr>
  </w:style>
  <w:style w:type="paragraph" w:styleId="35">
    <w:name w:val="List Paragraph"/>
    <w:basedOn w:val="1"/>
    <w:link w:val="36"/>
    <w:qFormat/>
    <w:uiPriority w:val="34"/>
    <w:pPr>
      <w:ind w:firstLine="420" w:firstLineChars="200"/>
    </w:pPr>
    <w:rPr>
      <w:rFonts w:ascii="Times New Roman" w:hAnsi="Times New Roman" w:cs="Times New Roman"/>
      <w:szCs w:val="24"/>
    </w:rPr>
  </w:style>
  <w:style w:type="character" w:customStyle="1" w:styleId="36">
    <w:name w:val="列表段落 字符1"/>
    <w:link w:val="35"/>
    <w:qFormat/>
    <w:uiPriority w:val="34"/>
    <w:rPr>
      <w:rFonts w:ascii="Times New Roman" w:hAnsi="Times New Roman" w:eastAsia="宋体" w:cs="Times New Roman"/>
      <w:sz w:val="24"/>
      <w:szCs w:val="24"/>
    </w:rPr>
  </w:style>
  <w:style w:type="character" w:customStyle="1" w:styleId="37">
    <w:name w:val="批注文字 字符"/>
    <w:basedOn w:val="22"/>
    <w:link w:val="12"/>
    <w:qFormat/>
    <w:uiPriority w:val="99"/>
    <w:rPr>
      <w:rFonts w:ascii="Times New Roman" w:hAnsi="Times New Roman" w:eastAsia="宋体" w:cs="Times New Roman"/>
      <w:sz w:val="24"/>
      <w:szCs w:val="24"/>
    </w:rPr>
  </w:style>
  <w:style w:type="character" w:customStyle="1" w:styleId="38">
    <w:name w:val="批注框文本 字符"/>
    <w:basedOn w:val="22"/>
    <w:link w:val="15"/>
    <w:semiHidden/>
    <w:qFormat/>
    <w:uiPriority w:val="99"/>
    <w:rPr>
      <w:rFonts w:eastAsia="宋体"/>
      <w:sz w:val="18"/>
      <w:szCs w:val="18"/>
    </w:rPr>
  </w:style>
  <w:style w:type="character" w:customStyle="1" w:styleId="39">
    <w:name w:val="列表段落 字符"/>
    <w:link w:val="40"/>
    <w:qFormat/>
    <w:uiPriority w:val="34"/>
    <w:rPr>
      <w:rFonts w:ascii="Times New Roman" w:hAnsi="Times New Roman" w:eastAsia="宋体" w:cs="Times New Roman"/>
      <w:sz w:val="24"/>
      <w:szCs w:val="21"/>
    </w:rPr>
  </w:style>
  <w:style w:type="paragraph" w:customStyle="1" w:styleId="40">
    <w:name w:val="_Style 33"/>
    <w:basedOn w:val="1"/>
    <w:next w:val="35"/>
    <w:link w:val="39"/>
    <w:qFormat/>
    <w:uiPriority w:val="34"/>
    <w:pPr>
      <w:ind w:firstLine="420" w:firstLineChars="200"/>
    </w:pPr>
    <w:rPr>
      <w:rFonts w:ascii="Times New Roman" w:hAnsi="Times New Roman" w:cs="Times New Roman"/>
      <w:szCs w:val="21"/>
    </w:rPr>
  </w:style>
  <w:style w:type="character" w:customStyle="1" w:styleId="41">
    <w:name w:val="正文缩进 字符"/>
    <w:link w:val="11"/>
    <w:semiHidden/>
    <w:qFormat/>
    <w:locked/>
    <w:uiPriority w:val="0"/>
  </w:style>
  <w:style w:type="character" w:customStyle="1" w:styleId="42">
    <w:name w:val="批注主题 字符"/>
    <w:basedOn w:val="37"/>
    <w:link w:val="19"/>
    <w:semiHidden/>
    <w:qFormat/>
    <w:uiPriority w:val="99"/>
    <w:rPr>
      <w:rFonts w:ascii="Times New Roman" w:hAnsi="Times New Roman" w:eastAsia="宋体" w:cs="Times New Roman"/>
      <w:b/>
      <w:bCs/>
      <w:sz w:val="24"/>
      <w:szCs w:val="24"/>
    </w:rPr>
  </w:style>
  <w:style w:type="paragraph" w:customStyle="1" w:styleId="43">
    <w:name w:val="纯文本11"/>
    <w:basedOn w:val="1"/>
    <w:qFormat/>
    <w:uiPriority w:val="0"/>
    <w:pPr>
      <w:adjustRightInd w:val="0"/>
      <w:spacing w:line="240" w:lineRule="auto"/>
    </w:pPr>
    <w:rPr>
      <w:rFonts w:ascii="宋体" w:hAnsi="Courier New" w:eastAsia="楷体_GB2312" w:cs="Times New Roman"/>
      <w:kern w:val="0"/>
      <w:sz w:val="26"/>
      <w:szCs w:val="24"/>
    </w:rPr>
  </w:style>
  <w:style w:type="character" w:customStyle="1" w:styleId="44">
    <w:name w:val="正文文本 字符"/>
    <w:basedOn w:val="22"/>
    <w:link w:val="13"/>
    <w:qFormat/>
    <w:uiPriority w:val="0"/>
    <w:rPr>
      <w:rFonts w:hint="default" w:ascii="Times New Roman" w:hAnsi="Times New Roman" w:eastAsia="宋体" w:cs="Times New Roman"/>
      <w:kern w:val="2"/>
      <w:sz w:val="24"/>
      <w:szCs w:val="24"/>
    </w:rPr>
  </w:style>
  <w:style w:type="character" w:customStyle="1" w:styleId="45">
    <w:name w:val="正文文本缩进 字符"/>
    <w:basedOn w:val="22"/>
    <w:link w:val="14"/>
    <w:qFormat/>
    <w:uiPriority w:val="0"/>
    <w:rPr>
      <w:rFonts w:hint="default" w:ascii="Times New Roman" w:hAnsi="Times New Roman" w:eastAsia="宋体" w:cs="Times New Roman"/>
      <w:kern w:val="2"/>
      <w:sz w:val="24"/>
      <w:szCs w:val="24"/>
    </w:rPr>
  </w:style>
  <w:style w:type="paragraph" w:customStyle="1" w:styleId="46">
    <w:name w:val="列出段落1"/>
    <w:basedOn w:val="1"/>
    <w:qFormat/>
    <w:uiPriority w:val="0"/>
    <w:pPr>
      <w:ind w:firstLine="420"/>
      <w:jc w:val="left"/>
    </w:pPr>
    <w:rPr>
      <w:rFonts w:ascii="Times New Roman" w:hAnsi="Times New Roman" w:cs="Times New Roman"/>
      <w:szCs w:val="24"/>
    </w:rPr>
  </w:style>
  <w:style w:type="paragraph" w:customStyle="1" w:styleId="47">
    <w:name w:val="修订1"/>
    <w:hidden/>
    <w:semiHidden/>
    <w:qFormat/>
    <w:uiPriority w:val="99"/>
    <w:rPr>
      <w:rFonts w:eastAsia="宋体" w:asciiTheme="minorHAnsi" w:hAnsiTheme="minorHAnsi" w:cstheme="minorBidi"/>
      <w:kern w:val="2"/>
      <w:sz w:val="24"/>
      <w:szCs w:val="22"/>
      <w:lang w:val="en-US" w:eastAsia="zh-CN" w:bidi="ar-SA"/>
    </w:rPr>
  </w:style>
  <w:style w:type="paragraph" w:customStyle="1" w:styleId="48">
    <w:name w:val="Revision"/>
    <w:hidden/>
    <w:unhideWhenUsed/>
    <w:qFormat/>
    <w:uiPriority w:val="99"/>
    <w:rPr>
      <w:rFonts w:eastAsia="宋体" w:asciiTheme="minorHAnsi"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8762</Words>
  <Characters>8835</Characters>
  <Lines>68</Lines>
  <Paragraphs>19</Paragraphs>
  <TotalTime>147</TotalTime>
  <ScaleCrop>false</ScaleCrop>
  <LinksUpToDate>false</LinksUpToDate>
  <CharactersWithSpaces>8859</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2021-03-21T17:38:00Z</dcterms:created>
  <dc:creator>Lenovo</dc:creator>
  <cp:lastModifiedBy>李修辞</cp:lastModifiedBy>
  <cp:lastPrinted>2021-11-28T00:35:00Z</cp:lastPrinted>
  <dcterms:modified xsi:type="dcterms:W3CDTF">2026-04-21T13:31:26Z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5C1369A1BF9142D3A0F94FA920967D3C_13</vt:lpwstr>
  </property>
  <property fmtid="{D5CDD505-2E9C-101B-9397-08002B2CF9AE}" pid="4" name="KSOTemplateDocerSaveRecord">
    <vt:lpwstr>eyJoZGlkIjoiYThkMTRlNmExNzQ3ZjVjMjg1Y2U4YjBlNGY2ZjZmMjAiLCJ1c2VySWQiOiI1NTcyNzExNTgifQ==</vt:lpwstr>
  </property>
</Properties>
</file>