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60" w:lineRule="exact"/>
        <w:jc w:val="center"/>
        <w:rPr>
          <w:b/>
          <w:sz w:val="48"/>
          <w:szCs w:val="48"/>
        </w:rPr>
      </w:pPr>
    </w:p>
    <w:p>
      <w:pPr>
        <w:spacing w:line="960" w:lineRule="exact"/>
        <w:jc w:val="center"/>
        <w:rPr>
          <w:b/>
          <w:sz w:val="48"/>
          <w:szCs w:val="48"/>
        </w:rPr>
      </w:pPr>
    </w:p>
    <w:p>
      <w:pPr>
        <w:jc w:val="center"/>
        <w:rPr>
          <w:rFonts w:hAnsi="宋体"/>
          <w:b/>
          <w:sz w:val="48"/>
          <w:szCs w:val="48"/>
        </w:rPr>
      </w:pPr>
      <w:r>
        <w:rPr>
          <w:rFonts w:hAnsi="宋体"/>
          <w:b/>
          <w:sz w:val="48"/>
          <w:szCs w:val="48"/>
        </w:rPr>
        <w:t>上海市信访办公室</w:t>
      </w:r>
    </w:p>
    <w:p>
      <w:pPr>
        <w:jc w:val="center"/>
        <w:rPr>
          <w:rFonts w:hAnsi="宋体"/>
          <w:b/>
          <w:sz w:val="48"/>
          <w:szCs w:val="48"/>
        </w:rPr>
      </w:pPr>
      <w:r>
        <w:rPr>
          <w:rFonts w:hAnsi="宋体"/>
          <w:b/>
          <w:sz w:val="48"/>
          <w:szCs w:val="48"/>
        </w:rPr>
        <w:t>全国网上信访信息系统（上海分系统）</w:t>
      </w:r>
    </w:p>
    <w:p>
      <w:pPr>
        <w:jc w:val="center"/>
        <w:rPr>
          <w:rFonts w:hAnsi="宋体"/>
          <w:b/>
          <w:sz w:val="48"/>
          <w:szCs w:val="48"/>
        </w:rPr>
      </w:pPr>
      <w:r>
        <w:rPr>
          <w:rFonts w:hAnsi="宋体"/>
          <w:b/>
          <w:sz w:val="48"/>
          <w:szCs w:val="48"/>
        </w:rPr>
        <w:t>（2026年升级改造）</w:t>
      </w:r>
    </w:p>
    <w:p>
      <w:pPr>
        <w:jc w:val="both"/>
        <w:rPr>
          <w:b/>
          <w:sz w:val="44"/>
        </w:rPr>
      </w:pPr>
    </w:p>
    <w:p>
      <w:pPr>
        <w:spacing w:line="240" w:lineRule="auto"/>
        <w:jc w:val="center"/>
        <w:rPr>
          <w:b/>
          <w:sz w:val="84"/>
          <w:szCs w:val="84"/>
        </w:rPr>
      </w:pPr>
      <w:r>
        <w:rPr>
          <w:rFonts w:hint="eastAsia" w:hAnsi="宋体"/>
          <w:b/>
          <w:sz w:val="84"/>
          <w:szCs w:val="84"/>
        </w:rPr>
        <w:t>采购需求</w:t>
      </w:r>
    </w:p>
    <w:p>
      <w:pPr>
        <w:spacing w:before="120" w:beforeLines="50" w:line="360" w:lineRule="auto"/>
        <w:jc w:val="center"/>
        <w:rPr>
          <w:b/>
          <w:sz w:val="32"/>
          <w:szCs w:val="32"/>
        </w:rPr>
      </w:pPr>
    </w:p>
    <w:p>
      <w:pPr>
        <w:spacing w:line="360" w:lineRule="auto"/>
        <w:jc w:val="center"/>
        <w:rPr>
          <w:b/>
          <w:sz w:val="44"/>
        </w:rPr>
      </w:pPr>
    </w:p>
    <w:p>
      <w:pPr>
        <w:jc w:val="center"/>
        <w:rPr>
          <w:b/>
          <w:sz w:val="44"/>
        </w:rPr>
      </w:pPr>
    </w:p>
    <w:p>
      <w:pPr>
        <w:jc w:val="center"/>
        <w:rPr>
          <w:b/>
          <w:sz w:val="44"/>
        </w:rPr>
      </w:pPr>
    </w:p>
    <w:p>
      <w:pPr>
        <w:jc w:val="center"/>
        <w:rPr>
          <w:b/>
          <w:sz w:val="32"/>
        </w:rPr>
      </w:pPr>
    </w:p>
    <w:p>
      <w:pPr>
        <w:jc w:val="center"/>
        <w:rPr>
          <w:b/>
          <w:sz w:val="32"/>
        </w:rPr>
      </w:pPr>
    </w:p>
    <w:p>
      <w:pPr>
        <w:jc w:val="center"/>
        <w:rPr>
          <w:b/>
          <w:sz w:val="32"/>
        </w:rPr>
      </w:pPr>
    </w:p>
    <w:p>
      <w:pPr>
        <w:jc w:val="center"/>
        <w:rPr>
          <w:b/>
          <w:sz w:val="32"/>
        </w:rPr>
      </w:pPr>
    </w:p>
    <w:p>
      <w:pPr>
        <w:jc w:val="center"/>
        <w:rPr>
          <w:b/>
          <w:sz w:val="32"/>
        </w:rPr>
      </w:pPr>
    </w:p>
    <w:p>
      <w:pPr>
        <w:spacing w:line="360" w:lineRule="auto"/>
        <w:jc w:val="center"/>
        <w:rPr>
          <w:b/>
          <w:sz w:val="32"/>
          <w:szCs w:val="32"/>
        </w:rPr>
      </w:pPr>
      <w:r>
        <w:rPr>
          <w:rFonts w:hAnsi="宋体"/>
          <w:b/>
          <w:sz w:val="32"/>
          <w:szCs w:val="32"/>
        </w:rPr>
        <w:t>上海市信访办公室</w:t>
      </w:r>
    </w:p>
    <w:p>
      <w:pPr>
        <w:jc w:val="center"/>
        <w:rPr>
          <w:b/>
          <w:sz w:val="28"/>
        </w:rPr>
      </w:pPr>
      <w:r>
        <w:rPr>
          <w:b/>
          <w:sz w:val="28"/>
        </w:rPr>
        <w:br w:type="page"/>
      </w:r>
    </w:p>
    <w:p>
      <w:pPr>
        <w:jc w:val="center"/>
        <w:rPr>
          <w:b/>
          <w:sz w:val="28"/>
          <w:szCs w:val="28"/>
        </w:rPr>
      </w:pPr>
      <w:bookmarkStart w:id="0" w:name="_Toc279475800"/>
      <w:bookmarkStart w:id="1" w:name="_Toc216173240"/>
      <w:bookmarkStart w:id="2" w:name="_Toc225771428"/>
      <w:bookmarkStart w:id="3" w:name="_Toc225827423"/>
      <w:bookmarkStart w:id="4" w:name="_Toc225827471"/>
      <w:bookmarkStart w:id="5" w:name="_Toc469850120"/>
      <w:bookmarkStart w:id="6" w:name="_Toc225827725"/>
      <w:bookmarkStart w:id="7" w:name="_Toc225827872"/>
      <w:r>
        <w:rPr>
          <w:rFonts w:hAnsi="宋体"/>
          <w:b/>
          <w:sz w:val="28"/>
          <w:szCs w:val="28"/>
        </w:rPr>
        <w:t>技术及服务要求</w:t>
      </w:r>
    </w:p>
    <w:p>
      <w:pPr>
        <w:pStyle w:val="2"/>
        <w:tabs>
          <w:tab w:val="left" w:pos="432"/>
        </w:tabs>
        <w:adjustRightInd/>
        <w:spacing w:before="0" w:after="0" w:line="360" w:lineRule="auto"/>
        <w:ind w:left="432" w:hanging="432"/>
        <w:jc w:val="both"/>
        <w:textAlignment w:val="auto"/>
        <w:rPr>
          <w:rFonts w:ascii="宋体" w:hAnsi="宋体"/>
          <w:sz w:val="21"/>
          <w:szCs w:val="21"/>
        </w:rPr>
      </w:pPr>
      <w:bookmarkStart w:id="8" w:name="_Toc477966101"/>
      <w:r>
        <w:rPr>
          <w:rFonts w:ascii="宋体" w:hAnsi="宋体"/>
          <w:sz w:val="21"/>
          <w:szCs w:val="21"/>
        </w:rPr>
        <w:t>项目概述</w:t>
      </w:r>
    </w:p>
    <w:p>
      <w:pPr>
        <w:pStyle w:val="3"/>
        <w:numPr>
          <w:ilvl w:val="0"/>
          <w:numId w:val="22"/>
        </w:numPr>
        <w:autoSpaceDE/>
        <w:autoSpaceDN/>
        <w:adjustRightInd/>
        <w:spacing w:before="0"/>
        <w:jc w:val="both"/>
        <w:textAlignment w:val="auto"/>
        <w:rPr>
          <w:rFonts w:ascii="宋体" w:hAnsi="宋体"/>
          <w:bCs/>
          <w:sz w:val="21"/>
          <w:szCs w:val="21"/>
        </w:rPr>
      </w:pPr>
      <w:r>
        <w:rPr>
          <w:rFonts w:ascii="宋体" w:hAnsi="宋体"/>
          <w:bCs/>
          <w:sz w:val="21"/>
          <w:szCs w:val="21"/>
        </w:rPr>
        <w:t>项目名称</w:t>
      </w:r>
    </w:p>
    <w:p>
      <w:pPr>
        <w:pStyle w:val="306"/>
      </w:pPr>
      <w:r>
        <w:rPr>
          <w:rFonts w:hint="eastAsia"/>
        </w:rPr>
        <w:t>全国网上信访信息系统（上海分系统）（2026年升级改造）</w:t>
      </w:r>
    </w:p>
    <w:p>
      <w:pPr>
        <w:pStyle w:val="306"/>
      </w:pPr>
    </w:p>
    <w:p>
      <w:pPr>
        <w:pStyle w:val="3"/>
        <w:numPr>
          <w:ilvl w:val="0"/>
          <w:numId w:val="22"/>
        </w:numPr>
        <w:autoSpaceDE/>
        <w:autoSpaceDN/>
        <w:adjustRightInd/>
        <w:spacing w:before="0"/>
        <w:jc w:val="both"/>
        <w:textAlignment w:val="auto"/>
        <w:rPr>
          <w:rFonts w:ascii="宋体" w:hAnsi="宋体"/>
          <w:bCs/>
          <w:sz w:val="21"/>
          <w:szCs w:val="21"/>
        </w:rPr>
      </w:pPr>
      <w:r>
        <w:rPr>
          <w:rFonts w:ascii="宋体" w:hAnsi="宋体"/>
          <w:bCs/>
          <w:sz w:val="21"/>
          <w:szCs w:val="21"/>
        </w:rPr>
        <w:t>项目概述</w:t>
      </w:r>
    </w:p>
    <w:p>
      <w:pPr>
        <w:pStyle w:val="306"/>
        <w:ind w:firstLine="420" w:firstLineChars="200"/>
      </w:pPr>
      <w:r>
        <w:rPr>
          <w:rFonts w:hint="eastAsia"/>
        </w:rPr>
        <w:t>全国网上信访信息系统（上海分系统）（以下简称“上海分系统”）于2018年建成并投入使用至今, 系统采用B/S架构，基于统信OS，使用信创中间件，系统部署于上海市大数据中心电信云机房的上海市政务外网网段，并在电子政务外网上正常运行。</w:t>
      </w:r>
    </w:p>
    <w:p>
      <w:pPr>
        <w:pStyle w:val="306"/>
        <w:ind w:firstLine="420" w:firstLineChars="200"/>
      </w:pPr>
      <w:r>
        <w:rPr>
          <w:rFonts w:hint="eastAsia"/>
        </w:rPr>
        <w:t>为响应国家信访局和本市社会治理相关工作要求，进一步完善上海分系统功能，基于以下建设背景对上海分系统进行升级改造，包括业务功能模块新增、升级、改造和核心交换机设备替换。</w:t>
      </w:r>
    </w:p>
    <w:p>
      <w:pPr>
        <w:pStyle w:val="306"/>
        <w:ind w:firstLine="420" w:firstLineChars="200"/>
      </w:pPr>
      <w:r>
        <w:rPr>
          <w:rFonts w:hint="eastAsia"/>
        </w:rPr>
        <w:t>（1）新增功能模块</w:t>
      </w:r>
    </w:p>
    <w:p>
      <w:pPr>
        <w:pStyle w:val="306"/>
        <w:ind w:firstLine="420" w:firstLineChars="200"/>
      </w:pPr>
      <w:r>
        <w:rPr>
          <w:rFonts w:hint="eastAsia"/>
        </w:rPr>
        <w:t>新增调解和解、国家规范化治理、领导接待、矛盾排查、秩序维护、三项建议、依法终结库、监督追责、信访事项查询、</w:t>
      </w:r>
      <w:r>
        <w:rPr>
          <w:rFonts w:hint="eastAsia"/>
          <w:lang w:eastAsia="zh-CN"/>
        </w:rPr>
        <w:t>联动治理</w:t>
      </w:r>
      <w:r>
        <w:rPr>
          <w:rFonts w:hint="eastAsia"/>
        </w:rPr>
        <w:t>、第三方数据接口等功能模块。</w:t>
      </w:r>
    </w:p>
    <w:p>
      <w:pPr>
        <w:pStyle w:val="306"/>
        <w:ind w:left="0" w:leftChars="0" w:firstLine="420" w:firstLineChars="200"/>
      </w:pPr>
      <w:r>
        <w:rPr>
          <w:rFonts w:hint="eastAsia"/>
        </w:rPr>
        <w:t>（2）改造功能模块</w:t>
      </w:r>
    </w:p>
    <w:p>
      <w:pPr>
        <w:pStyle w:val="306"/>
        <w:ind w:left="0" w:leftChars="0" w:firstLine="420" w:firstLineChars="200"/>
      </w:pPr>
      <w:r>
        <w:rPr>
          <w:rFonts w:hint="eastAsia"/>
        </w:rPr>
        <w:t>对上海分系统复查、复核、信访事项查询（事项蓝腰带）、绩效考核、上级抄告、短信平台、实名认证等功能模块进行改造。</w:t>
      </w:r>
    </w:p>
    <w:p>
      <w:pPr>
        <w:pStyle w:val="306"/>
        <w:ind w:left="0" w:leftChars="0" w:firstLine="420" w:firstLineChars="200"/>
      </w:pPr>
      <w:r>
        <w:rPr>
          <w:rFonts w:hint="eastAsia"/>
        </w:rPr>
        <w:t>（3）升级功能模块</w:t>
      </w:r>
    </w:p>
    <w:p>
      <w:pPr>
        <w:pStyle w:val="306"/>
        <w:ind w:left="0" w:leftChars="0" w:firstLine="420" w:firstLineChars="200"/>
      </w:pPr>
      <w:r>
        <w:rPr>
          <w:rFonts w:hint="eastAsia"/>
        </w:rPr>
        <w:t>对上海分系统我的工作台、信访登记、信访办理、信访答复、督查督办、深化源头治理、领导桌面、流程记录、在线文书、综合查询、国家局数据交换上下行、互联网应用、信访政务、安全加固等模块进行升级和优化。</w:t>
      </w:r>
    </w:p>
    <w:p>
      <w:pPr>
        <w:pStyle w:val="306"/>
        <w:ind w:left="0" w:leftChars="0" w:firstLine="420" w:firstLineChars="200"/>
      </w:pPr>
      <w:r>
        <w:rPr>
          <w:rFonts w:hint="eastAsia"/>
        </w:rPr>
        <w:t>（4）设备替换</w:t>
      </w:r>
    </w:p>
    <w:p>
      <w:pPr>
        <w:pStyle w:val="306"/>
        <w:ind w:left="0" w:leftChars="0" w:firstLine="420" w:firstLineChars="200"/>
      </w:pPr>
      <w:r>
        <w:rPr>
          <w:rFonts w:hint="eastAsia"/>
        </w:rPr>
        <w:t>对本地机房使用到期且故障频发的2台核心交换机进行替换。</w:t>
      </w:r>
    </w:p>
    <w:p>
      <w:pPr>
        <w:pStyle w:val="3"/>
        <w:numPr>
          <w:ilvl w:val="0"/>
          <w:numId w:val="22"/>
        </w:numPr>
        <w:autoSpaceDE/>
        <w:autoSpaceDN/>
        <w:adjustRightInd/>
        <w:spacing w:before="0"/>
        <w:jc w:val="both"/>
        <w:textAlignment w:val="auto"/>
        <w:rPr>
          <w:rFonts w:ascii="宋体" w:hAnsi="宋体"/>
          <w:bCs/>
          <w:sz w:val="21"/>
          <w:szCs w:val="21"/>
        </w:rPr>
      </w:pPr>
      <w:r>
        <w:rPr>
          <w:rFonts w:ascii="宋体" w:hAnsi="宋体"/>
          <w:bCs/>
          <w:sz w:val="21"/>
          <w:szCs w:val="21"/>
        </w:rPr>
        <w:t>建设目标</w:t>
      </w:r>
    </w:p>
    <w:p>
      <w:pPr>
        <w:pStyle w:val="306"/>
        <w:ind w:firstLine="420" w:firstLineChars="200"/>
      </w:pPr>
      <w:r>
        <w:rPr>
          <w:rFonts w:hint="eastAsia"/>
        </w:rPr>
        <w:t>贯彻落实《信访工作条例》要求，全面推进信访工作法治化，为保障中国式现代化作出新的更大贡献；贯彻落实《国家信访信息系统数据交换技术规范》和信访件办理规范化要求，解决信访工作的基础性问题；贯彻落实市领导指示精神，实现信访件、信访事项业务办理规范化目标，促进信访矛盾治理的科学化和精细化，维护社会稳定。</w:t>
      </w:r>
    </w:p>
    <w:p>
      <w:pPr>
        <w:pStyle w:val="3"/>
        <w:numPr>
          <w:ilvl w:val="0"/>
          <w:numId w:val="22"/>
        </w:numPr>
        <w:autoSpaceDE/>
        <w:autoSpaceDN/>
        <w:adjustRightInd/>
        <w:spacing w:before="0"/>
        <w:jc w:val="both"/>
        <w:textAlignment w:val="auto"/>
        <w:rPr>
          <w:rFonts w:ascii="宋体" w:hAnsi="宋体"/>
          <w:bCs/>
          <w:sz w:val="21"/>
          <w:szCs w:val="21"/>
        </w:rPr>
      </w:pPr>
      <w:r>
        <w:rPr>
          <w:rFonts w:ascii="宋体" w:hAnsi="宋体"/>
          <w:bCs/>
          <w:sz w:val="21"/>
          <w:szCs w:val="21"/>
        </w:rPr>
        <w:t>建设内容</w:t>
      </w:r>
    </w:p>
    <w:p>
      <w:pPr>
        <w:pStyle w:val="306"/>
      </w:pPr>
      <w:r>
        <w:rPr>
          <w:rFonts w:hint="eastAsia"/>
        </w:rPr>
        <w:t>（1）新增功能模块</w:t>
      </w:r>
    </w:p>
    <w:p>
      <w:pPr>
        <w:pStyle w:val="306"/>
      </w:pPr>
      <w:r>
        <w:rPr>
          <w:rFonts w:hint="eastAsia"/>
        </w:rPr>
        <w:t>新增调解和解、国家规范化治理、领导接待、矛盾排查、秩序维护、三项建议、依法终结库、监督追责、信访事项查询、</w:t>
      </w:r>
      <w:r>
        <w:rPr>
          <w:rFonts w:hint="eastAsia"/>
          <w:lang w:eastAsia="zh-CN"/>
        </w:rPr>
        <w:t>联动治理</w:t>
      </w:r>
      <w:r>
        <w:rPr>
          <w:rFonts w:hint="eastAsia"/>
        </w:rPr>
        <w:t>、第三方数据接口等功能模块。</w:t>
      </w:r>
    </w:p>
    <w:p>
      <w:pPr>
        <w:pStyle w:val="306"/>
      </w:pPr>
      <w:r>
        <w:rPr>
          <w:rFonts w:hint="eastAsia"/>
        </w:rPr>
        <w:t>（2）改造功能模块</w:t>
      </w:r>
    </w:p>
    <w:p>
      <w:pPr>
        <w:pStyle w:val="306"/>
      </w:pPr>
      <w:r>
        <w:rPr>
          <w:rFonts w:hint="eastAsia"/>
        </w:rPr>
        <w:t>对上海分系统复查、复核、信访事项查询（事项蓝腰带）、绩效考核、上级抄告、短信平台、实名认证等功能模块进行改造。</w:t>
      </w:r>
    </w:p>
    <w:p>
      <w:pPr>
        <w:pStyle w:val="306"/>
      </w:pPr>
      <w:r>
        <w:rPr>
          <w:rFonts w:hint="eastAsia"/>
        </w:rPr>
        <w:t>（3）升级功能模块</w:t>
      </w:r>
    </w:p>
    <w:p>
      <w:pPr>
        <w:pStyle w:val="306"/>
      </w:pPr>
      <w:r>
        <w:rPr>
          <w:rFonts w:hint="eastAsia"/>
        </w:rPr>
        <w:t>对上海分系统我的工作台、信访登记、信访办理、信访答复、督查督办、深化源头治理、领导桌面、流程记录、在线文书、综合查询、国家局数据交换上下行、互联网应用、信访政务、安全加固等模块进行升级和优化。</w:t>
      </w:r>
    </w:p>
    <w:p>
      <w:pPr>
        <w:pStyle w:val="306"/>
      </w:pPr>
      <w:r>
        <w:rPr>
          <w:rFonts w:hint="eastAsia"/>
        </w:rPr>
        <w:t>（4）设备替换</w:t>
      </w:r>
    </w:p>
    <w:p>
      <w:pPr>
        <w:pStyle w:val="306"/>
        <w:ind w:firstLine="420" w:firstLineChars="200"/>
      </w:pPr>
      <w:r>
        <w:rPr>
          <w:rFonts w:hint="eastAsia"/>
        </w:rPr>
        <w:t>对本地机房使用到期且故障频发的2台核心交换机进行替换。</w:t>
      </w:r>
    </w:p>
    <w:p>
      <w:pPr>
        <w:pStyle w:val="3"/>
        <w:numPr>
          <w:ilvl w:val="0"/>
          <w:numId w:val="22"/>
        </w:numPr>
        <w:autoSpaceDE/>
        <w:autoSpaceDN/>
        <w:adjustRightInd/>
        <w:spacing w:before="0"/>
        <w:jc w:val="both"/>
        <w:textAlignment w:val="auto"/>
        <w:rPr>
          <w:rFonts w:ascii="宋体" w:hAnsi="宋体"/>
          <w:bCs/>
          <w:sz w:val="21"/>
          <w:szCs w:val="21"/>
        </w:rPr>
      </w:pPr>
      <w:r>
        <w:rPr>
          <w:rFonts w:ascii="宋体" w:hAnsi="宋体"/>
          <w:bCs/>
          <w:sz w:val="21"/>
          <w:szCs w:val="21"/>
        </w:rPr>
        <w:t>建设原则</w:t>
      </w:r>
    </w:p>
    <w:p>
      <w:pPr>
        <w:pStyle w:val="306"/>
      </w:pPr>
      <w:r>
        <w:t>本次项目建设应遵循以下原则：</w:t>
      </w:r>
    </w:p>
    <w:p>
      <w:pPr>
        <w:pStyle w:val="306"/>
      </w:pPr>
      <w:r>
        <w:rPr>
          <w:rFonts w:hint="eastAsia"/>
        </w:rPr>
        <w:t>（1）聚焦目标、重点突破</w:t>
      </w:r>
    </w:p>
    <w:p>
      <w:pPr>
        <w:pStyle w:val="306"/>
        <w:ind w:firstLine="420" w:firstLineChars="200"/>
      </w:pPr>
      <w:r>
        <w:rPr>
          <w:rFonts w:hint="eastAsia"/>
        </w:rPr>
        <w:t>根据国家信访局全面推开信访工作规范化治理，精准规范转送、交办、督办信访事项,严格按照《信访工作条例》要求。各级信访工作联席会议要牵头推进工作，抓统筹、抓督导、抓落实，各级信访部门要转变思想观念、转变工作方式、转变工作作风，带头落实好信访工作规范化要求。上海分系统需要增加新功能模块，这些新功能将有助于规范信访流程，强化办理信访事项的能力，确保信访工作在规范轨道上健康运行，进一步增强公众对信访工作的信任和满意度。</w:t>
      </w:r>
    </w:p>
    <w:p>
      <w:pPr>
        <w:pStyle w:val="306"/>
      </w:pPr>
      <w:r>
        <w:rPr>
          <w:rFonts w:hint="eastAsia"/>
        </w:rPr>
        <w:t>（2）标准实用、先进易用</w:t>
      </w:r>
    </w:p>
    <w:p>
      <w:pPr>
        <w:pStyle w:val="306"/>
        <w:ind w:firstLine="420" w:firstLineChars="200"/>
      </w:pPr>
      <w:r>
        <w:rPr>
          <w:rFonts w:hint="eastAsia"/>
        </w:rPr>
        <w:t>在保证成熟性、实用性、可靠性的前提下，采用国际上成熟的流行开发技术，以用户需求为导向，对不同用户角色采用不同用户操作界面，具有多途径获取帮助、智能导航等功能，并且界面简洁、通俗易懂。</w:t>
      </w:r>
    </w:p>
    <w:p>
      <w:pPr>
        <w:pStyle w:val="306"/>
      </w:pPr>
      <w:r>
        <w:rPr>
          <w:rFonts w:hint="eastAsia"/>
        </w:rPr>
        <w:t>（3）提高效率、安全可靠</w:t>
      </w:r>
    </w:p>
    <w:p>
      <w:pPr>
        <w:pStyle w:val="306"/>
        <w:ind w:firstLine="420" w:firstLineChars="200"/>
      </w:pPr>
      <w:r>
        <w:rPr>
          <w:rFonts w:hint="eastAsia"/>
        </w:rPr>
        <w:t>充分利用现代信息技术手段，通过协同优化业务流程，提高政府办事效率，准确、快速、高效地为上海信访业务服务。逐步提高信息的利用率、扩大服务面，面向社会公众提供多种形式、多项内容的信息服务。由于信访信息存在一定的安全性要求，因此必须以安全、实用为前提，首选成熟可靠、适应上海信访特点的信息技术，在满足本系统的安全等级保护自身需要的前提下，实现信访业务信息的交换和应用服务。</w:t>
      </w:r>
    </w:p>
    <w:p>
      <w:pPr>
        <w:pStyle w:val="306"/>
      </w:pPr>
    </w:p>
    <w:p>
      <w:pPr>
        <w:pStyle w:val="2"/>
        <w:tabs>
          <w:tab w:val="left" w:pos="432"/>
        </w:tabs>
        <w:adjustRightInd/>
        <w:spacing w:before="0" w:after="0" w:line="360" w:lineRule="auto"/>
        <w:ind w:left="432" w:hanging="432"/>
        <w:jc w:val="both"/>
        <w:textAlignment w:val="auto"/>
        <w:rPr>
          <w:rFonts w:ascii="宋体" w:hAnsi="宋体"/>
          <w:sz w:val="21"/>
          <w:szCs w:val="21"/>
        </w:rPr>
      </w:pPr>
      <w:r>
        <w:rPr>
          <w:rFonts w:ascii="宋体" w:hAnsi="宋体"/>
          <w:sz w:val="21"/>
          <w:szCs w:val="21"/>
        </w:rPr>
        <w:t>项目建设</w:t>
      </w:r>
    </w:p>
    <w:p>
      <w:pPr>
        <w:pStyle w:val="3"/>
        <w:numPr>
          <w:ilvl w:val="0"/>
          <w:numId w:val="23"/>
        </w:numPr>
        <w:autoSpaceDE/>
        <w:autoSpaceDN/>
        <w:adjustRightInd/>
        <w:spacing w:before="0"/>
        <w:jc w:val="both"/>
        <w:textAlignment w:val="auto"/>
        <w:rPr>
          <w:rFonts w:ascii="宋体" w:hAnsi="宋体"/>
          <w:bCs/>
          <w:sz w:val="21"/>
          <w:szCs w:val="21"/>
        </w:rPr>
      </w:pPr>
      <w:r>
        <w:rPr>
          <w:rFonts w:ascii="宋体" w:hAnsi="宋体"/>
          <w:bCs/>
          <w:sz w:val="21"/>
          <w:szCs w:val="21"/>
        </w:rPr>
        <w:t>系统总体架构需求</w:t>
      </w:r>
    </w:p>
    <w:p>
      <w:pPr>
        <w:tabs>
          <w:tab w:val="left" w:pos="860"/>
        </w:tabs>
        <w:spacing w:line="360" w:lineRule="auto"/>
        <w:ind w:firstLine="375" w:firstLineChars="179"/>
        <w:rPr>
          <w:rFonts w:ascii="宋体" w:hAnsi="宋体"/>
          <w:sz w:val="21"/>
          <w:szCs w:val="21"/>
        </w:rPr>
      </w:pPr>
      <w:r>
        <w:rPr>
          <w:rFonts w:hint="eastAsia" w:ascii="宋体" w:hAnsi="宋体"/>
          <w:sz w:val="21"/>
          <w:szCs w:val="21"/>
        </w:rPr>
        <w:t>全国网上信访信息系统（上海分系统）（以下简称“上海分系统”）于2018年建成并投入使用至今, 系统采用B/S架构，服务器基于统信OS，使用信创中间件，系统部署于上海市大数据中心电信云机房的上海市政务外网网段，并在电子政务外网和互联网上正常运行，系统整体架构（见图1）：</w:t>
      </w:r>
    </w:p>
    <w:p>
      <w:pPr>
        <w:tabs>
          <w:tab w:val="left" w:pos="860"/>
        </w:tabs>
        <w:spacing w:line="360" w:lineRule="auto"/>
        <w:ind w:firstLine="141" w:firstLineChars="59"/>
        <w:jc w:val="center"/>
      </w:pPr>
      <w:r>
        <w:t xml:space="preserve"> </w:t>
      </w:r>
      <w:r>
        <w:drawing>
          <wp:inline distT="0" distB="0" distL="114300" distR="114300">
            <wp:extent cx="5488940" cy="2923540"/>
            <wp:effectExtent l="0" t="0" r="16510" b="1016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stretch>
                      <a:fillRect/>
                    </a:stretch>
                  </pic:blipFill>
                  <pic:spPr>
                    <a:xfrm>
                      <a:off x="0" y="0"/>
                      <a:ext cx="5488940" cy="2923540"/>
                    </a:xfrm>
                    <a:prstGeom prst="rect">
                      <a:avLst/>
                    </a:prstGeom>
                    <a:noFill/>
                    <a:ln>
                      <a:noFill/>
                    </a:ln>
                  </pic:spPr>
                </pic:pic>
              </a:graphicData>
            </a:graphic>
          </wp:inline>
        </w:drawing>
      </w:r>
    </w:p>
    <w:p>
      <w:pPr>
        <w:tabs>
          <w:tab w:val="left" w:pos="860"/>
        </w:tabs>
        <w:spacing w:line="360" w:lineRule="auto"/>
        <w:ind w:firstLine="141" w:firstLineChars="59"/>
        <w:jc w:val="center"/>
      </w:pPr>
      <w:r>
        <w:rPr>
          <w:rFonts w:hint="eastAsia"/>
        </w:rPr>
        <w:t>图1系统架构图</w:t>
      </w:r>
    </w:p>
    <w:p>
      <w:pPr>
        <w:tabs>
          <w:tab w:val="left" w:pos="860"/>
        </w:tabs>
        <w:spacing w:line="360" w:lineRule="auto"/>
        <w:ind w:firstLine="420" w:firstLineChars="200"/>
        <w:rPr>
          <w:rFonts w:ascii="宋体" w:hAnsi="宋体"/>
          <w:sz w:val="21"/>
          <w:szCs w:val="21"/>
        </w:rPr>
      </w:pPr>
      <w:r>
        <w:rPr>
          <w:rFonts w:hint="eastAsia" w:ascii="宋体" w:hAnsi="宋体"/>
          <w:sz w:val="21"/>
          <w:szCs w:val="21"/>
        </w:rPr>
        <w:t>本系统架构分为物理设施层、IaaS层（基础设施即服务）、PaaS层（平台即服务）、SaaS层（软件即服务）和云安全体系。</w:t>
      </w:r>
    </w:p>
    <w:p>
      <w:pPr>
        <w:tabs>
          <w:tab w:val="left" w:pos="860"/>
        </w:tabs>
        <w:spacing w:line="360" w:lineRule="auto"/>
        <w:ind w:firstLine="420" w:firstLineChars="200"/>
        <w:rPr>
          <w:rFonts w:ascii="宋体" w:hAnsi="宋体"/>
          <w:sz w:val="21"/>
          <w:szCs w:val="21"/>
        </w:rPr>
      </w:pPr>
      <w:r>
        <w:rPr>
          <w:rFonts w:hint="eastAsia" w:ascii="宋体" w:hAnsi="宋体"/>
          <w:sz w:val="21"/>
          <w:szCs w:val="21"/>
        </w:rPr>
        <w:t>物理设施层：物理设施层由基于AK CPU 的计算设备、存储设备、网络设备等组成。物理设施层为IaaS 层提供基础的设备资源。</w:t>
      </w:r>
    </w:p>
    <w:p>
      <w:pPr>
        <w:tabs>
          <w:tab w:val="left" w:pos="860"/>
        </w:tabs>
        <w:spacing w:line="360" w:lineRule="auto"/>
        <w:ind w:firstLine="420" w:firstLineChars="200"/>
        <w:rPr>
          <w:rFonts w:ascii="宋体" w:hAnsi="宋体"/>
          <w:sz w:val="21"/>
          <w:szCs w:val="21"/>
        </w:rPr>
      </w:pPr>
      <w:r>
        <w:rPr>
          <w:rFonts w:hint="eastAsia" w:ascii="宋体" w:hAnsi="宋体"/>
          <w:sz w:val="21"/>
          <w:szCs w:val="21"/>
        </w:rPr>
        <w:t>IaaS 层：在物理设施层之上，以服务的形式提供虚拟硬件资源，如CPU、内存、硬盘、网络等。用户通过租赁方式即可获得云服务，如云主机、云存储、云防火墙、云负载均衡和云网络（租户子网/IP/域名等）。IaaS层服务向PaaS层提供开放API接口调用。</w:t>
      </w:r>
    </w:p>
    <w:p>
      <w:pPr>
        <w:tabs>
          <w:tab w:val="left" w:pos="860"/>
        </w:tabs>
        <w:spacing w:line="360" w:lineRule="auto"/>
        <w:ind w:firstLine="420" w:firstLineChars="200"/>
        <w:rPr>
          <w:rFonts w:ascii="宋体" w:hAnsi="宋体"/>
          <w:sz w:val="21"/>
          <w:szCs w:val="21"/>
        </w:rPr>
      </w:pPr>
      <w:r>
        <w:rPr>
          <w:rFonts w:hint="eastAsia" w:ascii="宋体" w:hAnsi="宋体"/>
          <w:sz w:val="21"/>
          <w:szCs w:val="21"/>
        </w:rPr>
        <w:t>PaaS 层：是基于云计算基础设施，涵盖高可用架构、基础云服务、政务云服务、服务接入与管理、应用容器服务、CA认证服务等模块，借助云存储、虚拟化、计算、CA体系等技术，为上层政务应用提供标准、统一的平台层服务，例如编程语言运行环境、信创数据库、信创中间件等。PaaS 层隔离了应用软件和底层硬件。应用软件只需要利用PaaS 层提供的软件环境进行开发部署，不需要再关注物理CPU 类型。</w:t>
      </w:r>
    </w:p>
    <w:p>
      <w:pPr>
        <w:tabs>
          <w:tab w:val="left" w:pos="860"/>
        </w:tabs>
        <w:spacing w:line="360" w:lineRule="auto"/>
        <w:ind w:firstLine="420" w:firstLineChars="200"/>
        <w:rPr>
          <w:rFonts w:ascii="宋体" w:hAnsi="宋体"/>
          <w:sz w:val="21"/>
          <w:szCs w:val="21"/>
        </w:rPr>
      </w:pPr>
      <w:r>
        <w:rPr>
          <w:rFonts w:hint="eastAsia" w:ascii="宋体" w:hAnsi="宋体"/>
          <w:sz w:val="21"/>
          <w:szCs w:val="21"/>
        </w:rPr>
        <w:t>SaaS 层：主要是为各子系统共性需求提供应用服务（同时满足单位应用的个性化需求）、共享服务，使这个应用系统以SaaS的形式为需要的单位提供相应的服务。</w:t>
      </w:r>
    </w:p>
    <w:p>
      <w:pPr>
        <w:tabs>
          <w:tab w:val="left" w:pos="860"/>
        </w:tabs>
        <w:spacing w:line="360" w:lineRule="auto"/>
        <w:ind w:firstLine="420" w:firstLineChars="200"/>
        <w:rPr>
          <w:rFonts w:hAnsi="宋体"/>
          <w:sz w:val="21"/>
          <w:szCs w:val="21"/>
        </w:rPr>
      </w:pPr>
      <w:r>
        <w:rPr>
          <w:rFonts w:hint="eastAsia" w:ascii="宋体" w:hAnsi="宋体"/>
          <w:sz w:val="21"/>
          <w:szCs w:val="21"/>
        </w:rPr>
        <w:t>基础设施层：除以上云架构外，</w:t>
      </w:r>
      <w:r>
        <w:rPr>
          <w:rFonts w:hAnsi="宋体"/>
          <w:sz w:val="21"/>
          <w:szCs w:val="21"/>
        </w:rPr>
        <w:t>基础设施层主要是构建平台的网络环境与运行环境，通过安全系统、网络系统、主机系统、存储系统等硬件设备的支撑，为平台提供安全保障、网络联通、服务运行、数据存储等方面的支持。</w:t>
      </w:r>
    </w:p>
    <w:p>
      <w:pPr>
        <w:tabs>
          <w:tab w:val="left" w:pos="860"/>
        </w:tabs>
        <w:spacing w:line="360" w:lineRule="auto"/>
        <w:ind w:firstLine="420" w:firstLineChars="200"/>
        <w:rPr>
          <w:rFonts w:hAnsi="宋体"/>
          <w:sz w:val="21"/>
          <w:szCs w:val="21"/>
        </w:rPr>
      </w:pPr>
      <w:r>
        <w:rPr>
          <w:rFonts w:hint="eastAsia" w:hAnsi="宋体"/>
          <w:sz w:val="21"/>
          <w:szCs w:val="21"/>
        </w:rPr>
        <w:t>系统关系图</w:t>
      </w:r>
      <w:r>
        <w:rPr>
          <w:rFonts w:hint="eastAsia" w:ascii="宋体" w:hAnsi="宋体"/>
          <w:sz w:val="21"/>
          <w:szCs w:val="21"/>
        </w:rPr>
        <w:t>（见图2）</w:t>
      </w:r>
      <w:r>
        <w:rPr>
          <w:rFonts w:hint="eastAsia" w:hAnsi="宋体"/>
          <w:sz w:val="21"/>
          <w:szCs w:val="21"/>
        </w:rPr>
        <w:t>：</w:t>
      </w:r>
    </w:p>
    <w:p>
      <w:pPr>
        <w:tabs>
          <w:tab w:val="left" w:pos="860"/>
        </w:tabs>
        <w:spacing w:line="360" w:lineRule="auto"/>
        <w:ind w:firstLine="123" w:firstLineChars="59"/>
        <w:rPr>
          <w:rFonts w:hAnsi="宋体"/>
          <w:sz w:val="21"/>
          <w:szCs w:val="21"/>
        </w:rPr>
      </w:pPr>
      <w:r>
        <w:rPr>
          <w:rFonts w:hint="eastAsia" w:hAnsi="宋体"/>
          <w:sz w:val="21"/>
          <w:szCs w:val="21"/>
        </w:rPr>
        <w:drawing>
          <wp:inline distT="0" distB="0" distL="114300" distR="114300">
            <wp:extent cx="5399405" cy="3817620"/>
            <wp:effectExtent l="0" t="0" r="10795" b="11430"/>
            <wp:docPr id="5" name="图片 2" descr="云-应用关系图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云-应用关系图_00"/>
                    <pic:cNvPicPr>
                      <a:picLocks noChangeAspect="1"/>
                    </pic:cNvPicPr>
                  </pic:nvPicPr>
                  <pic:blipFill>
                    <a:blip r:embed="rId10"/>
                    <a:stretch>
                      <a:fillRect/>
                    </a:stretch>
                  </pic:blipFill>
                  <pic:spPr>
                    <a:xfrm>
                      <a:off x="0" y="0"/>
                      <a:ext cx="5399405" cy="3817620"/>
                    </a:xfrm>
                    <a:prstGeom prst="rect">
                      <a:avLst/>
                    </a:prstGeom>
                    <a:noFill/>
                    <a:ln>
                      <a:noFill/>
                    </a:ln>
                  </pic:spPr>
                </pic:pic>
              </a:graphicData>
            </a:graphic>
          </wp:inline>
        </w:drawing>
      </w:r>
    </w:p>
    <w:p>
      <w:pPr>
        <w:tabs>
          <w:tab w:val="left" w:pos="860"/>
        </w:tabs>
        <w:spacing w:line="360" w:lineRule="auto"/>
        <w:ind w:firstLine="123" w:firstLineChars="59"/>
        <w:jc w:val="center"/>
        <w:rPr>
          <w:rFonts w:hAnsi="宋体"/>
          <w:sz w:val="21"/>
          <w:szCs w:val="21"/>
        </w:rPr>
      </w:pPr>
      <w:r>
        <w:rPr>
          <w:rFonts w:hint="eastAsia" w:hAnsi="宋体"/>
          <w:sz w:val="21"/>
          <w:szCs w:val="21"/>
        </w:rPr>
        <w:t>图2系统关系图</w:t>
      </w:r>
    </w:p>
    <w:p>
      <w:pPr>
        <w:pStyle w:val="3"/>
        <w:numPr>
          <w:ilvl w:val="0"/>
          <w:numId w:val="23"/>
        </w:numPr>
        <w:autoSpaceDE/>
        <w:autoSpaceDN/>
        <w:adjustRightInd/>
        <w:spacing w:before="0"/>
        <w:ind w:left="0" w:firstLine="0"/>
        <w:jc w:val="both"/>
        <w:textAlignment w:val="auto"/>
        <w:rPr>
          <w:rFonts w:ascii="宋体" w:hAnsi="宋体"/>
          <w:bCs/>
          <w:sz w:val="21"/>
          <w:szCs w:val="21"/>
        </w:rPr>
      </w:pPr>
      <w:r>
        <w:rPr>
          <w:rFonts w:ascii="宋体" w:hAnsi="宋体"/>
          <w:bCs/>
          <w:sz w:val="21"/>
          <w:szCs w:val="21"/>
        </w:rPr>
        <w:t>应用软件需求</w:t>
      </w:r>
    </w:p>
    <w:p>
      <w:pPr>
        <w:pStyle w:val="4"/>
        <w:numPr>
          <w:ilvl w:val="1"/>
          <w:numId w:val="23"/>
        </w:numPr>
        <w:autoSpaceDE/>
        <w:autoSpaceDN/>
        <w:adjustRightInd/>
        <w:spacing w:before="0" w:after="0" w:line="360" w:lineRule="auto"/>
        <w:ind w:left="0" w:firstLine="0"/>
        <w:jc w:val="both"/>
        <w:textAlignment w:val="auto"/>
        <w:rPr>
          <w:rFonts w:ascii="宋体" w:hAnsi="宋体"/>
          <w:szCs w:val="21"/>
        </w:rPr>
      </w:pPr>
      <w:r>
        <w:rPr>
          <w:rFonts w:ascii="宋体" w:hAnsi="宋体"/>
          <w:szCs w:val="21"/>
        </w:rPr>
        <w:t>新增业务功能</w:t>
      </w:r>
    </w:p>
    <w:p>
      <w:pPr>
        <w:tabs>
          <w:tab w:val="left" w:pos="860"/>
        </w:tabs>
        <w:spacing w:line="360" w:lineRule="auto"/>
        <w:ind w:firstLine="420" w:firstLineChars="200"/>
        <w:rPr>
          <w:rFonts w:ascii="宋体" w:hAnsi="宋体"/>
          <w:sz w:val="21"/>
          <w:szCs w:val="21"/>
        </w:rPr>
      </w:pPr>
    </w:p>
    <w:p>
      <w:pPr>
        <w:pStyle w:val="4"/>
        <w:numPr>
          <w:ilvl w:val="2"/>
          <w:numId w:val="23"/>
        </w:numPr>
        <w:autoSpaceDE/>
        <w:autoSpaceDN/>
        <w:adjustRightInd/>
        <w:spacing w:before="0" w:after="0" w:line="360" w:lineRule="auto"/>
        <w:ind w:hanging="1560"/>
        <w:jc w:val="both"/>
        <w:textAlignment w:val="auto"/>
        <w:rPr>
          <w:rFonts w:ascii="宋体" w:hAnsi="宋体"/>
          <w:szCs w:val="21"/>
        </w:rPr>
      </w:pPr>
      <w:r>
        <w:rPr>
          <w:rFonts w:hint="eastAsia" w:ascii="宋体" w:hAnsi="宋体"/>
          <w:szCs w:val="21"/>
        </w:rPr>
        <w:t>调解和解</w:t>
      </w:r>
    </w:p>
    <w:p>
      <w:pPr>
        <w:tabs>
          <w:tab w:val="left" w:pos="860"/>
        </w:tabs>
        <w:spacing w:line="360" w:lineRule="auto"/>
        <w:ind w:firstLine="420" w:firstLineChars="200"/>
        <w:rPr>
          <w:rFonts w:ascii="宋体" w:hAnsi="宋体"/>
          <w:sz w:val="21"/>
          <w:szCs w:val="21"/>
        </w:rPr>
      </w:pPr>
      <w:r>
        <w:rPr>
          <w:rFonts w:hint="eastAsia" w:ascii="宋体" w:hAnsi="宋体"/>
          <w:sz w:val="21"/>
          <w:szCs w:val="21"/>
        </w:rPr>
        <w:t>根据国家信访局要求，新增信访调解模块，旨在促进矛盾纠纷的有效化解，实现社会和谐稳定。模块重点覆盖调解结果的分类管理，包括“已调解并达成协议”和“已调解未达成协议”两种情况。</w:t>
      </w:r>
    </w:p>
    <w:p>
      <w:pPr>
        <w:pStyle w:val="4"/>
        <w:numPr>
          <w:ilvl w:val="2"/>
          <w:numId w:val="23"/>
        </w:numPr>
        <w:autoSpaceDE/>
        <w:autoSpaceDN/>
        <w:adjustRightInd/>
        <w:spacing w:before="0" w:after="0" w:line="360" w:lineRule="auto"/>
        <w:ind w:hanging="1560"/>
        <w:jc w:val="both"/>
        <w:textAlignment w:val="auto"/>
        <w:rPr>
          <w:rFonts w:ascii="宋体" w:hAnsi="宋体"/>
          <w:szCs w:val="21"/>
        </w:rPr>
      </w:pPr>
      <w:r>
        <w:rPr>
          <w:rFonts w:hint="eastAsia" w:ascii="宋体" w:hAnsi="宋体"/>
          <w:szCs w:val="21"/>
        </w:rPr>
        <w:t>国家规范化治理</w:t>
      </w:r>
    </w:p>
    <w:p>
      <w:pPr>
        <w:spacing w:line="360" w:lineRule="auto"/>
        <w:ind w:firstLine="420" w:firstLineChars="200"/>
        <w:rPr>
          <w:rFonts w:ascii="宋体" w:hAnsi="宋体"/>
          <w:sz w:val="21"/>
          <w:szCs w:val="21"/>
        </w:rPr>
      </w:pPr>
      <w:r>
        <w:rPr>
          <w:rFonts w:hint="eastAsia" w:ascii="宋体" w:hAnsi="宋体"/>
          <w:sz w:val="21"/>
          <w:szCs w:val="21"/>
        </w:rPr>
        <w:t>国家局下发的规范化治理件专库管理模块用于对国家信访局分批次下发的规范化治理信访件进行统一入库、分类管理和全流程跟踪。系统支持按批次建立专库，集中管理件单信息，关联本地处理过程，实现受理、办理、反馈等环节的动态跟踪与节点预警。模块具备灵活的查询检索功能，支持多维度统计分析，生成各类报表，提升督办和评估效率。通过统一管理与全流程监管，推动信访业务规范化、信息化水平提升，增强治理能力和办理透明度。</w:t>
      </w:r>
    </w:p>
    <w:p>
      <w:pPr>
        <w:pStyle w:val="4"/>
        <w:numPr>
          <w:ilvl w:val="2"/>
          <w:numId w:val="23"/>
        </w:numPr>
        <w:autoSpaceDE/>
        <w:autoSpaceDN/>
        <w:adjustRightInd/>
        <w:spacing w:before="0" w:after="0" w:line="360" w:lineRule="auto"/>
        <w:ind w:hanging="1560"/>
        <w:jc w:val="both"/>
        <w:textAlignment w:val="auto"/>
        <w:rPr>
          <w:rFonts w:ascii="宋体" w:hAnsi="宋体"/>
          <w:szCs w:val="21"/>
        </w:rPr>
      </w:pPr>
      <w:r>
        <w:rPr>
          <w:rFonts w:hint="eastAsia" w:ascii="宋体" w:hAnsi="宋体"/>
          <w:szCs w:val="21"/>
        </w:rPr>
        <w:t>领导接待</w:t>
      </w:r>
    </w:p>
    <w:p>
      <w:pPr>
        <w:spacing w:line="360" w:lineRule="auto"/>
        <w:ind w:firstLine="420" w:firstLineChars="200"/>
        <w:rPr>
          <w:rFonts w:ascii="宋体" w:hAnsi="宋体"/>
          <w:sz w:val="21"/>
          <w:szCs w:val="21"/>
        </w:rPr>
      </w:pPr>
      <w:r>
        <w:rPr>
          <w:rFonts w:hint="eastAsia" w:ascii="宋体" w:hAnsi="宋体"/>
          <w:sz w:val="21"/>
          <w:szCs w:val="21"/>
        </w:rPr>
        <w:t>新增信访领导接待模块，用于规范和支撑各级领导干部接待来访群众工作，提升接访工作的计划性、可视性与闭环管理水平。</w:t>
      </w:r>
    </w:p>
    <w:p>
      <w:pPr>
        <w:pStyle w:val="4"/>
        <w:numPr>
          <w:ilvl w:val="2"/>
          <w:numId w:val="23"/>
        </w:numPr>
        <w:autoSpaceDE/>
        <w:autoSpaceDN/>
        <w:adjustRightInd/>
        <w:spacing w:before="0" w:after="0" w:line="360" w:lineRule="auto"/>
        <w:ind w:hanging="1560"/>
        <w:jc w:val="both"/>
        <w:textAlignment w:val="auto"/>
        <w:rPr>
          <w:rFonts w:ascii="宋体" w:hAnsi="宋体"/>
          <w:szCs w:val="21"/>
        </w:rPr>
      </w:pPr>
      <w:r>
        <w:rPr>
          <w:rFonts w:hint="eastAsia" w:ascii="宋体" w:hAnsi="宋体"/>
          <w:szCs w:val="21"/>
        </w:rPr>
        <w:t>矛盾排查</w:t>
      </w:r>
    </w:p>
    <w:p>
      <w:pPr>
        <w:spacing w:line="360" w:lineRule="auto"/>
        <w:ind w:firstLine="420" w:firstLineChars="200"/>
        <w:rPr>
          <w:rFonts w:ascii="宋体" w:hAnsi="宋体"/>
          <w:sz w:val="21"/>
          <w:szCs w:val="21"/>
        </w:rPr>
      </w:pPr>
      <w:r>
        <w:rPr>
          <w:rFonts w:hint="eastAsia" w:ascii="宋体" w:hAnsi="宋体"/>
          <w:sz w:val="21"/>
          <w:szCs w:val="21"/>
        </w:rPr>
        <w:t>新增矛盾排查模块，包括个人矛盾排查和集体矛盾排查，用于聚焦个人矛盾和集体矛盾的系统化发现、登记、分析与化解，助力信访矛盾的源头治理和风险防控。</w:t>
      </w:r>
    </w:p>
    <w:p>
      <w:pPr>
        <w:pStyle w:val="4"/>
        <w:numPr>
          <w:ilvl w:val="2"/>
          <w:numId w:val="23"/>
        </w:numPr>
        <w:autoSpaceDE/>
        <w:autoSpaceDN/>
        <w:adjustRightInd/>
        <w:spacing w:before="0" w:after="0" w:line="360" w:lineRule="auto"/>
        <w:ind w:hanging="1560"/>
        <w:jc w:val="both"/>
        <w:textAlignment w:val="auto"/>
        <w:rPr>
          <w:rFonts w:ascii="宋体" w:hAnsi="宋体"/>
          <w:szCs w:val="21"/>
        </w:rPr>
      </w:pPr>
      <w:r>
        <w:rPr>
          <w:rFonts w:hint="eastAsia" w:ascii="宋体" w:hAnsi="宋体"/>
          <w:szCs w:val="21"/>
        </w:rPr>
        <w:t>秩序维护</w:t>
      </w:r>
    </w:p>
    <w:p>
      <w:pPr>
        <w:spacing w:line="360" w:lineRule="auto"/>
        <w:ind w:firstLine="420" w:firstLineChars="200"/>
        <w:rPr>
          <w:rFonts w:ascii="宋体" w:hAnsi="宋体"/>
          <w:sz w:val="21"/>
          <w:szCs w:val="21"/>
        </w:rPr>
      </w:pPr>
      <w:r>
        <w:rPr>
          <w:rFonts w:hint="eastAsia" w:ascii="宋体" w:hAnsi="宋体"/>
          <w:sz w:val="21"/>
          <w:szCs w:val="21"/>
        </w:rPr>
        <w:t>新增秩序维护模块，旨在加强信访接待、集访秩序，保障信访工作场所和办理秩序稳定有序。</w:t>
      </w:r>
    </w:p>
    <w:p>
      <w:pPr>
        <w:pStyle w:val="4"/>
        <w:numPr>
          <w:ilvl w:val="2"/>
          <w:numId w:val="23"/>
        </w:numPr>
        <w:autoSpaceDE/>
        <w:autoSpaceDN/>
        <w:adjustRightInd/>
        <w:spacing w:before="0" w:after="0" w:line="360" w:lineRule="auto"/>
        <w:ind w:hanging="1560"/>
        <w:jc w:val="both"/>
        <w:textAlignment w:val="auto"/>
        <w:rPr>
          <w:rFonts w:ascii="宋体" w:hAnsi="宋体"/>
          <w:szCs w:val="21"/>
        </w:rPr>
      </w:pPr>
      <w:r>
        <w:rPr>
          <w:rFonts w:hint="eastAsia" w:ascii="宋体" w:hAnsi="宋体"/>
          <w:szCs w:val="21"/>
        </w:rPr>
        <w:t>三项建议</w:t>
      </w:r>
    </w:p>
    <w:p>
      <w:pPr>
        <w:spacing w:line="360" w:lineRule="auto"/>
        <w:ind w:firstLine="420" w:firstLineChars="200"/>
        <w:rPr>
          <w:rFonts w:ascii="宋体" w:hAnsi="宋体"/>
          <w:sz w:val="21"/>
          <w:szCs w:val="21"/>
        </w:rPr>
      </w:pPr>
      <w:r>
        <w:rPr>
          <w:rFonts w:hint="eastAsia" w:ascii="宋体" w:hAnsi="宋体"/>
          <w:sz w:val="21"/>
          <w:szCs w:val="21"/>
        </w:rPr>
        <w:t>根据国家信访局要求，新增三项建议模块，旨在落实信访事项办理结果的闭环管理和成果运用，围绕“改进工作、完善政策、追究责任”三个方面，推动问题解决向源头治理延伸。</w:t>
      </w:r>
    </w:p>
    <w:p>
      <w:pPr>
        <w:pStyle w:val="4"/>
        <w:numPr>
          <w:ilvl w:val="2"/>
          <w:numId w:val="23"/>
        </w:numPr>
        <w:autoSpaceDE/>
        <w:autoSpaceDN/>
        <w:adjustRightInd/>
        <w:spacing w:before="0" w:after="0" w:line="360" w:lineRule="auto"/>
        <w:ind w:hanging="1560"/>
        <w:jc w:val="both"/>
        <w:textAlignment w:val="auto"/>
        <w:rPr>
          <w:rFonts w:ascii="宋体" w:hAnsi="宋体"/>
          <w:szCs w:val="21"/>
        </w:rPr>
      </w:pPr>
      <w:r>
        <w:rPr>
          <w:rFonts w:hint="eastAsia" w:ascii="宋体" w:hAnsi="宋体"/>
          <w:szCs w:val="21"/>
        </w:rPr>
        <w:t>依法终结库</w:t>
      </w:r>
    </w:p>
    <w:p>
      <w:pPr>
        <w:spacing w:line="360" w:lineRule="auto"/>
        <w:ind w:firstLine="420" w:firstLineChars="200"/>
        <w:rPr>
          <w:rFonts w:ascii="宋体" w:hAnsi="宋体"/>
          <w:sz w:val="21"/>
          <w:szCs w:val="21"/>
        </w:rPr>
      </w:pPr>
      <w:r>
        <w:rPr>
          <w:rFonts w:hint="eastAsia" w:ascii="宋体" w:hAnsi="宋体"/>
          <w:sz w:val="21"/>
          <w:szCs w:val="21"/>
        </w:rPr>
        <w:t>根据信访法治化路线图要求，新增依法终结库管理模块，用于对已由公安机关、人民法院、检察院、司法行政机关依法处理并终结的信访事项进行集中归集和管理，防止重复反映、反复办理，提升信访工作法治化和源头治理水平。</w:t>
      </w:r>
    </w:p>
    <w:p>
      <w:pPr>
        <w:pStyle w:val="4"/>
        <w:numPr>
          <w:ilvl w:val="2"/>
          <w:numId w:val="23"/>
        </w:numPr>
        <w:autoSpaceDE/>
        <w:autoSpaceDN/>
        <w:adjustRightInd/>
        <w:spacing w:before="0" w:after="0" w:line="360" w:lineRule="auto"/>
        <w:ind w:hanging="1560"/>
        <w:jc w:val="both"/>
        <w:textAlignment w:val="auto"/>
        <w:rPr>
          <w:rFonts w:ascii="宋体" w:hAnsi="宋体"/>
          <w:szCs w:val="21"/>
        </w:rPr>
      </w:pPr>
      <w:r>
        <w:rPr>
          <w:rFonts w:hint="eastAsia" w:ascii="宋体" w:hAnsi="宋体"/>
          <w:szCs w:val="21"/>
        </w:rPr>
        <w:t>监督追责</w:t>
      </w:r>
    </w:p>
    <w:p>
      <w:pPr>
        <w:spacing w:line="360" w:lineRule="auto"/>
        <w:ind w:firstLine="420" w:firstLineChars="200"/>
        <w:rPr>
          <w:rFonts w:ascii="宋体" w:hAnsi="宋体"/>
          <w:sz w:val="21"/>
          <w:szCs w:val="21"/>
        </w:rPr>
      </w:pPr>
      <w:r>
        <w:rPr>
          <w:rFonts w:hint="eastAsia" w:ascii="宋体" w:hAnsi="宋体"/>
          <w:sz w:val="21"/>
          <w:szCs w:val="21"/>
        </w:rPr>
        <w:t>根据国家信访局要求，新增监督追责模块，用于强化信访事项办理过程中的责任落实与问责管理，提升办理质量与效率。</w:t>
      </w:r>
    </w:p>
    <w:p>
      <w:pPr>
        <w:pStyle w:val="4"/>
        <w:numPr>
          <w:ilvl w:val="2"/>
          <w:numId w:val="23"/>
        </w:numPr>
        <w:autoSpaceDE/>
        <w:autoSpaceDN/>
        <w:adjustRightInd/>
        <w:spacing w:before="0" w:after="0" w:line="360" w:lineRule="auto"/>
        <w:ind w:hanging="1560"/>
        <w:jc w:val="both"/>
        <w:textAlignment w:val="auto"/>
        <w:rPr>
          <w:rFonts w:ascii="宋体" w:hAnsi="宋体"/>
          <w:szCs w:val="21"/>
        </w:rPr>
      </w:pPr>
      <w:r>
        <w:rPr>
          <w:rFonts w:hint="eastAsia" w:ascii="宋体" w:hAnsi="宋体"/>
          <w:szCs w:val="21"/>
          <w:lang w:eastAsia="zh-CN"/>
        </w:rPr>
        <w:t>联动</w:t>
      </w:r>
      <w:r>
        <w:rPr>
          <w:rFonts w:hint="eastAsia" w:ascii="宋体" w:hAnsi="宋体"/>
          <w:szCs w:val="21"/>
        </w:rPr>
        <w:t>治理</w:t>
      </w:r>
    </w:p>
    <w:p>
      <w:pPr>
        <w:spacing w:line="360" w:lineRule="auto"/>
        <w:ind w:firstLine="420" w:firstLineChars="200"/>
        <w:rPr>
          <w:rFonts w:ascii="宋体" w:hAnsi="宋体"/>
          <w:sz w:val="21"/>
          <w:szCs w:val="21"/>
        </w:rPr>
      </w:pPr>
      <w:r>
        <w:rPr>
          <w:rFonts w:hint="eastAsia" w:ascii="宋体" w:hAnsi="宋体"/>
          <w:sz w:val="21"/>
          <w:szCs w:val="21"/>
        </w:rPr>
        <w:t>对信访事项中涉及越级访等进行智能识别、系统归集、联动处理和结果反馈，提升主动发现、精准治理和责任落实能力，强化属地责任压实，降低信访风险。包括治理库建立，专项治理和领导桌面展示等。</w:t>
      </w:r>
    </w:p>
    <w:p>
      <w:pPr>
        <w:pStyle w:val="4"/>
        <w:numPr>
          <w:ilvl w:val="1"/>
          <w:numId w:val="23"/>
        </w:numPr>
        <w:autoSpaceDE/>
        <w:autoSpaceDN/>
        <w:adjustRightInd/>
        <w:spacing w:before="0" w:after="0" w:line="360" w:lineRule="auto"/>
        <w:ind w:left="0" w:firstLine="0"/>
        <w:jc w:val="both"/>
        <w:textAlignment w:val="auto"/>
        <w:rPr>
          <w:rFonts w:ascii="宋体" w:hAnsi="宋体"/>
          <w:szCs w:val="21"/>
        </w:rPr>
      </w:pPr>
      <w:r>
        <w:rPr>
          <w:rFonts w:hint="eastAsia" w:ascii="宋体" w:hAnsi="宋体"/>
          <w:szCs w:val="21"/>
        </w:rPr>
        <w:t>改造业务功能</w:t>
      </w:r>
    </w:p>
    <w:p>
      <w:pPr>
        <w:pStyle w:val="4"/>
        <w:numPr>
          <w:ilvl w:val="2"/>
          <w:numId w:val="23"/>
        </w:numPr>
        <w:autoSpaceDE/>
        <w:autoSpaceDN/>
        <w:adjustRightInd/>
        <w:spacing w:before="0" w:after="0" w:line="360" w:lineRule="auto"/>
        <w:ind w:hanging="1560"/>
        <w:jc w:val="both"/>
        <w:textAlignment w:val="auto"/>
        <w:rPr>
          <w:rFonts w:ascii="宋体" w:hAnsi="宋体"/>
          <w:szCs w:val="21"/>
        </w:rPr>
      </w:pPr>
      <w:r>
        <w:rPr>
          <w:rFonts w:hint="eastAsia" w:ascii="宋体" w:hAnsi="宋体"/>
          <w:szCs w:val="21"/>
        </w:rPr>
        <w:t>复查</w:t>
      </w:r>
    </w:p>
    <w:p>
      <w:pPr>
        <w:spacing w:line="360" w:lineRule="auto"/>
        <w:ind w:firstLine="420" w:firstLineChars="200"/>
        <w:rPr>
          <w:rFonts w:ascii="宋体" w:hAnsi="宋体"/>
          <w:sz w:val="21"/>
          <w:szCs w:val="21"/>
        </w:rPr>
      </w:pPr>
      <w:r>
        <w:rPr>
          <w:rFonts w:hint="eastAsia" w:ascii="宋体" w:hAnsi="宋体"/>
          <w:sz w:val="21"/>
          <w:szCs w:val="21"/>
        </w:rPr>
        <w:t>为全面对接国家信访局及上海市关于信访复查工作的新要求，本项目对原有复查业务流程进行全面梳理和功能改造，构建覆盖“复查申请、受理审核、复查办理、退回重办、不予受理、不再受理”等环节的完整业务闭环。系统新增“复查状态”和“办理情形”字段，用于动态标识复查事项在不同处理阶段的状态变更和适用的办理情形，提升复查事项的流程透明度与办理可控性。同时，优化流程逻辑与系统交互体验，增强流程节点的强控校验与提示机制，确保各阶段信息完备、操作规范，实现复查业务的全程精细化管理与数据留痕。</w:t>
      </w:r>
    </w:p>
    <w:p>
      <w:pPr>
        <w:pStyle w:val="4"/>
        <w:numPr>
          <w:ilvl w:val="2"/>
          <w:numId w:val="23"/>
        </w:numPr>
        <w:autoSpaceDE/>
        <w:autoSpaceDN/>
        <w:adjustRightInd/>
        <w:spacing w:before="0" w:after="0" w:line="360" w:lineRule="auto"/>
        <w:ind w:hanging="1560"/>
        <w:jc w:val="both"/>
        <w:textAlignment w:val="auto"/>
        <w:rPr>
          <w:rFonts w:ascii="宋体" w:hAnsi="宋体"/>
          <w:szCs w:val="21"/>
        </w:rPr>
      </w:pPr>
      <w:r>
        <w:rPr>
          <w:rFonts w:hint="eastAsia" w:ascii="宋体" w:hAnsi="宋体"/>
          <w:szCs w:val="21"/>
        </w:rPr>
        <w:t>复核</w:t>
      </w:r>
    </w:p>
    <w:p>
      <w:pPr>
        <w:spacing w:line="360" w:lineRule="auto"/>
        <w:ind w:firstLine="420" w:firstLineChars="200"/>
        <w:rPr>
          <w:rFonts w:ascii="宋体" w:hAnsi="宋体"/>
          <w:sz w:val="21"/>
          <w:szCs w:val="21"/>
        </w:rPr>
      </w:pPr>
      <w:r>
        <w:rPr>
          <w:rFonts w:hint="eastAsia" w:ascii="宋体" w:hAnsi="宋体"/>
          <w:sz w:val="21"/>
          <w:szCs w:val="21"/>
        </w:rPr>
        <w:t>为全面对接国家信访局及上海市关于信访复核工作的新要求，本项目对原有复核业务流程进行全面梳理和功能改造，同复查类似，新增“复核状态”和“办理情形”字段，用于动态标识复核事项在不同处理阶段的状态变更和适用的办理情形，提升复核事项的流程透明度与办理可控性，同时，新增“办结定性”功能，用于在复核事项办结时，对复核结论进行明确定性，如办理不规范或其他原因等，确保复核结论的权威性、规范性与数据可统计性。通过系统化的标识，为信访业务统计分析、质效评估及考核提供有力支撑。</w:t>
      </w:r>
    </w:p>
    <w:p>
      <w:pPr>
        <w:pStyle w:val="4"/>
        <w:numPr>
          <w:ilvl w:val="2"/>
          <w:numId w:val="23"/>
        </w:numPr>
        <w:autoSpaceDE/>
        <w:autoSpaceDN/>
        <w:adjustRightInd/>
        <w:spacing w:before="0" w:after="0" w:line="360" w:lineRule="auto"/>
        <w:ind w:hanging="1560"/>
        <w:jc w:val="both"/>
        <w:textAlignment w:val="auto"/>
        <w:rPr>
          <w:rFonts w:ascii="宋体" w:hAnsi="宋体"/>
          <w:szCs w:val="21"/>
        </w:rPr>
      </w:pPr>
      <w:r>
        <w:rPr>
          <w:rFonts w:hint="eastAsia" w:ascii="宋体" w:hAnsi="宋体"/>
          <w:szCs w:val="21"/>
        </w:rPr>
        <w:t>信访事项查询（事项蓝腰带）</w:t>
      </w:r>
    </w:p>
    <w:p>
      <w:pPr>
        <w:spacing w:line="360" w:lineRule="auto"/>
        <w:ind w:firstLine="420" w:firstLineChars="200"/>
        <w:rPr>
          <w:rFonts w:ascii="宋体" w:hAnsi="宋体"/>
          <w:sz w:val="21"/>
          <w:szCs w:val="21"/>
        </w:rPr>
      </w:pPr>
      <w:r>
        <w:rPr>
          <w:rFonts w:hint="eastAsia" w:ascii="宋体" w:hAnsi="宋体"/>
          <w:sz w:val="21"/>
          <w:szCs w:val="21"/>
        </w:rPr>
        <w:t>为实现对信访事项办理过程的全景式掌握和系统性分析，提升信访业务办理的规范化、精细化和数字化管理水平，对原信访事项详细页面进行升级改造，拟新增“信访事项状态标识”模块，对信访事项生命周期中的关键环节状态进行系统标识和记录。</w:t>
      </w:r>
    </w:p>
    <w:p>
      <w:pPr>
        <w:spacing w:line="360" w:lineRule="auto"/>
        <w:ind w:firstLine="420" w:firstLineChars="200"/>
        <w:rPr>
          <w:rFonts w:ascii="宋体" w:hAnsi="宋体"/>
          <w:sz w:val="21"/>
          <w:szCs w:val="21"/>
        </w:rPr>
      </w:pPr>
      <w:r>
        <w:rPr>
          <w:rFonts w:hint="eastAsia" w:ascii="宋体" w:hAnsi="宋体"/>
          <w:sz w:val="21"/>
          <w:szCs w:val="21"/>
        </w:rPr>
        <w:t>该模块将围绕信访事项从受理、办理到归档的全流程，对是否经过调解达成、信访受理、信访处理等状态进行明确定义与系统性标注。同时，结合实际管理需求，还将补充标识专项工作参与、领导接访、秩序维护措施、全部附件情况以及历次信访行为轨迹等内容，实现对信访事项的多维度特征归集与标签化管理。</w:t>
      </w:r>
    </w:p>
    <w:p>
      <w:pPr>
        <w:spacing w:line="360" w:lineRule="auto"/>
        <w:ind w:firstLine="420" w:firstLineChars="200"/>
        <w:rPr>
          <w:rFonts w:ascii="宋体" w:hAnsi="宋体"/>
          <w:sz w:val="21"/>
          <w:szCs w:val="21"/>
        </w:rPr>
      </w:pPr>
      <w:r>
        <w:rPr>
          <w:rFonts w:hint="eastAsia" w:ascii="宋体" w:hAnsi="宋体"/>
          <w:sz w:val="21"/>
          <w:szCs w:val="21"/>
        </w:rPr>
        <w:t>通过该模块建设，可支撑信访业务多视角分析、研判、统计考核指标归集与监督管理应用，为高层决策、信访态势分析等提供全面、准确、结构化的基础数据支撑。</w:t>
      </w:r>
    </w:p>
    <w:p>
      <w:pPr>
        <w:pStyle w:val="4"/>
        <w:numPr>
          <w:ilvl w:val="2"/>
          <w:numId w:val="23"/>
        </w:numPr>
        <w:autoSpaceDE/>
        <w:autoSpaceDN/>
        <w:adjustRightInd/>
        <w:spacing w:before="0" w:after="0" w:line="360" w:lineRule="auto"/>
        <w:ind w:hanging="1560"/>
        <w:jc w:val="both"/>
        <w:textAlignment w:val="auto"/>
        <w:rPr>
          <w:rFonts w:ascii="宋体" w:hAnsi="宋体"/>
          <w:szCs w:val="21"/>
        </w:rPr>
      </w:pPr>
      <w:r>
        <w:rPr>
          <w:rFonts w:hint="eastAsia" w:ascii="宋体" w:hAnsi="宋体"/>
          <w:szCs w:val="21"/>
        </w:rPr>
        <w:t>绩效考核</w:t>
      </w:r>
    </w:p>
    <w:p>
      <w:pPr>
        <w:spacing w:line="360" w:lineRule="auto"/>
        <w:ind w:firstLine="420" w:firstLineChars="200"/>
        <w:rPr>
          <w:rFonts w:ascii="宋体" w:hAnsi="宋体"/>
          <w:sz w:val="21"/>
          <w:szCs w:val="21"/>
        </w:rPr>
      </w:pPr>
      <w:r>
        <w:rPr>
          <w:rFonts w:hint="eastAsia" w:ascii="宋体" w:hAnsi="宋体"/>
          <w:sz w:val="21"/>
          <w:szCs w:val="21"/>
        </w:rPr>
        <w:t>为全面对接国家信访局和上海市关于信访工作绩效考核的新要求，提升考核工作的针对性、精细度和可操作性，上海分系统升级改造项目将对绩效考核模块进行深入升级，新增13项考核指标，并优化原有5项考核内容，强化对信访办理质量、效率、规范性的全过程量化评估。</w:t>
      </w:r>
    </w:p>
    <w:p>
      <w:pPr>
        <w:pStyle w:val="4"/>
        <w:numPr>
          <w:ilvl w:val="2"/>
          <w:numId w:val="23"/>
        </w:numPr>
        <w:autoSpaceDE/>
        <w:autoSpaceDN/>
        <w:adjustRightInd/>
        <w:spacing w:before="0" w:after="0" w:line="360" w:lineRule="auto"/>
        <w:ind w:hanging="1560"/>
        <w:jc w:val="both"/>
        <w:textAlignment w:val="auto"/>
        <w:rPr>
          <w:rFonts w:ascii="宋体" w:hAnsi="宋体"/>
          <w:szCs w:val="21"/>
        </w:rPr>
      </w:pPr>
      <w:r>
        <w:rPr>
          <w:rFonts w:hint="eastAsia" w:ascii="宋体" w:hAnsi="宋体"/>
          <w:szCs w:val="21"/>
        </w:rPr>
        <w:t>上级抄告</w:t>
      </w:r>
    </w:p>
    <w:p>
      <w:pPr>
        <w:spacing w:line="360" w:lineRule="auto"/>
        <w:ind w:firstLine="420" w:firstLineChars="200"/>
        <w:rPr>
          <w:rFonts w:ascii="宋体" w:hAnsi="宋体"/>
          <w:sz w:val="21"/>
          <w:szCs w:val="21"/>
        </w:rPr>
      </w:pPr>
      <w:r>
        <w:rPr>
          <w:rFonts w:hint="eastAsia" w:ascii="宋体" w:hAnsi="宋体"/>
          <w:sz w:val="21"/>
          <w:szCs w:val="21"/>
        </w:rPr>
        <w:t>为进一步提升信访事项流转过程中的规范性与可控性，增强各层级单位在抄告件处理中的责任闭环与联动能力，拟对原有“上级抄告”功能模块进行全面升级改造。</w:t>
      </w:r>
    </w:p>
    <w:p>
      <w:pPr>
        <w:spacing w:line="360" w:lineRule="auto"/>
        <w:ind w:firstLine="420" w:firstLineChars="200"/>
        <w:rPr>
          <w:rFonts w:ascii="宋体" w:hAnsi="宋体"/>
          <w:sz w:val="21"/>
          <w:szCs w:val="21"/>
        </w:rPr>
      </w:pPr>
      <w:r>
        <w:rPr>
          <w:rFonts w:hint="eastAsia" w:ascii="宋体" w:hAnsi="宋体"/>
          <w:sz w:val="21"/>
          <w:szCs w:val="21"/>
        </w:rPr>
        <w:t>原系统中的上级抄告仅为单向通知性质，无法对下级单位办理情况形成有效跟踪。为适应当前信访工作制度改革及责任落实的要求，本次升级将构建“可逐级传递、明确要求、反馈闭环”的抄告办理机制。</w:t>
      </w:r>
    </w:p>
    <w:p>
      <w:pPr>
        <w:pStyle w:val="4"/>
        <w:numPr>
          <w:ilvl w:val="2"/>
          <w:numId w:val="23"/>
        </w:numPr>
        <w:autoSpaceDE/>
        <w:autoSpaceDN/>
        <w:adjustRightInd/>
        <w:spacing w:before="0" w:after="0" w:line="360" w:lineRule="auto"/>
        <w:ind w:hanging="1560"/>
        <w:jc w:val="both"/>
        <w:textAlignment w:val="auto"/>
        <w:rPr>
          <w:rFonts w:ascii="宋体" w:hAnsi="宋体"/>
          <w:szCs w:val="21"/>
        </w:rPr>
      </w:pPr>
      <w:r>
        <w:rPr>
          <w:rFonts w:hint="eastAsia" w:ascii="宋体" w:hAnsi="宋体"/>
          <w:szCs w:val="21"/>
        </w:rPr>
        <w:t>实名认证</w:t>
      </w:r>
    </w:p>
    <w:p>
      <w:pPr>
        <w:spacing w:line="360" w:lineRule="auto"/>
        <w:ind w:firstLine="420" w:firstLineChars="200"/>
        <w:rPr>
          <w:rFonts w:ascii="宋体" w:hAnsi="宋体"/>
          <w:sz w:val="21"/>
          <w:szCs w:val="21"/>
        </w:rPr>
      </w:pPr>
      <w:r>
        <w:rPr>
          <w:rFonts w:hint="eastAsia" w:ascii="宋体" w:hAnsi="宋体"/>
          <w:sz w:val="21"/>
          <w:szCs w:val="21"/>
        </w:rPr>
        <w:t>为进一步落实《信访工作条例》《关于加强信访事项依法分类处理的意见》等规范化、法治化信访办理要求，提升系统对接国家信访平台的能力，强化用户身份真实性管理，现对原实名认证平台进行全面升级改造。</w:t>
      </w:r>
    </w:p>
    <w:p>
      <w:pPr>
        <w:spacing w:line="360" w:lineRule="auto"/>
        <w:ind w:firstLine="420" w:firstLineChars="200"/>
        <w:rPr>
          <w:rFonts w:ascii="宋体" w:hAnsi="宋体"/>
          <w:sz w:val="21"/>
          <w:szCs w:val="21"/>
        </w:rPr>
      </w:pPr>
      <w:r>
        <w:rPr>
          <w:rFonts w:hint="eastAsia" w:ascii="宋体" w:hAnsi="宋体"/>
          <w:sz w:val="21"/>
          <w:szCs w:val="21"/>
        </w:rPr>
        <w:t>原实名认证平台仅支持本市身份验证范围和能力受限，无法满足国家信访局跨区域实名办理统一要求，且难以适应全国信访渠道整合、业务协同的趋势。</w:t>
      </w:r>
    </w:p>
    <w:p>
      <w:pPr>
        <w:spacing w:line="360" w:lineRule="auto"/>
        <w:ind w:firstLine="420" w:firstLineChars="200"/>
        <w:rPr>
          <w:rFonts w:ascii="宋体" w:hAnsi="宋体"/>
          <w:sz w:val="21"/>
          <w:szCs w:val="21"/>
        </w:rPr>
      </w:pPr>
      <w:r>
        <w:rPr>
          <w:rFonts w:hint="eastAsia" w:ascii="宋体" w:hAnsi="宋体"/>
          <w:sz w:val="21"/>
          <w:szCs w:val="21"/>
        </w:rPr>
        <w:t>为此，拟替换原实名认证服务，统一接入上海市大数据中心个人多人认证PaaS平台，实现跨地域、高准确率的实名认证服务，并同步升级系统身份认证逻辑。</w:t>
      </w:r>
    </w:p>
    <w:p>
      <w:pPr>
        <w:spacing w:line="360" w:lineRule="auto"/>
        <w:ind w:firstLine="420" w:firstLineChars="200"/>
        <w:rPr>
          <w:rFonts w:ascii="宋体" w:hAnsi="宋体"/>
          <w:sz w:val="21"/>
          <w:szCs w:val="21"/>
        </w:rPr>
      </w:pPr>
      <w:r>
        <w:rPr>
          <w:rFonts w:hint="eastAsia" w:ascii="宋体" w:hAnsi="宋体"/>
          <w:sz w:val="21"/>
          <w:szCs w:val="21"/>
        </w:rPr>
        <w:t>通过本模块改造，系统将具备全国统一、权威可信、安全合规的实名认证能力，为进一步推动实名信访、依法办理、跨地域协同奠定坚实基础。</w:t>
      </w:r>
    </w:p>
    <w:p>
      <w:pPr>
        <w:pStyle w:val="4"/>
        <w:numPr>
          <w:ilvl w:val="2"/>
          <w:numId w:val="23"/>
        </w:numPr>
        <w:autoSpaceDE/>
        <w:autoSpaceDN/>
        <w:adjustRightInd/>
        <w:spacing w:before="0" w:after="0" w:line="360" w:lineRule="auto"/>
        <w:ind w:hanging="1560"/>
        <w:jc w:val="both"/>
        <w:textAlignment w:val="auto"/>
        <w:rPr>
          <w:rFonts w:ascii="宋体" w:hAnsi="宋体"/>
          <w:szCs w:val="21"/>
        </w:rPr>
      </w:pPr>
      <w:r>
        <w:rPr>
          <w:rFonts w:hint="eastAsia" w:ascii="宋体" w:hAnsi="宋体"/>
          <w:szCs w:val="21"/>
        </w:rPr>
        <w:t>短信平台</w:t>
      </w:r>
    </w:p>
    <w:p>
      <w:pPr>
        <w:spacing w:line="360" w:lineRule="auto"/>
        <w:ind w:firstLine="420" w:firstLineChars="200"/>
        <w:rPr>
          <w:rFonts w:ascii="宋体" w:hAnsi="宋体"/>
          <w:sz w:val="21"/>
          <w:szCs w:val="21"/>
        </w:rPr>
      </w:pPr>
      <w:r>
        <w:rPr>
          <w:rFonts w:hint="eastAsia" w:ascii="宋体" w:hAnsi="宋体"/>
          <w:sz w:val="21"/>
          <w:szCs w:val="21"/>
        </w:rPr>
        <w:t>为进一步落实本市数字政府建设和信访业务统一通信通道的总体要求，提升系统合规性、可控性与运维效率，计划对现有短信平台进行改造升级。原短信平台采用第三方通信接口，存在接口管理分散、审计留痕不足、成本控制困难等问题，难以满足当前信访业务高安全性、统一监管和消息可追溯等多方面要求。</w:t>
      </w:r>
    </w:p>
    <w:p>
      <w:pPr>
        <w:spacing w:line="360" w:lineRule="auto"/>
        <w:ind w:firstLine="420" w:firstLineChars="200"/>
        <w:rPr>
          <w:rFonts w:ascii="宋体" w:hAnsi="宋体"/>
          <w:sz w:val="21"/>
          <w:szCs w:val="21"/>
        </w:rPr>
      </w:pPr>
      <w:r>
        <w:rPr>
          <w:rFonts w:hint="eastAsia" w:ascii="宋体" w:hAnsi="宋体"/>
          <w:sz w:val="21"/>
          <w:szCs w:val="21"/>
        </w:rPr>
        <w:t>本次改造将全面替换原短信通道，统一接入上海市大数据中心提供的短信PaaS服务平台，并对相关调用逻辑与接口方式进行适配性升级。</w:t>
      </w:r>
    </w:p>
    <w:p>
      <w:pPr>
        <w:pStyle w:val="4"/>
        <w:numPr>
          <w:ilvl w:val="1"/>
          <w:numId w:val="23"/>
        </w:numPr>
        <w:autoSpaceDE/>
        <w:autoSpaceDN/>
        <w:adjustRightInd/>
        <w:spacing w:before="0" w:after="0" w:line="360" w:lineRule="auto"/>
        <w:ind w:left="0" w:firstLine="0"/>
        <w:jc w:val="both"/>
        <w:textAlignment w:val="auto"/>
        <w:rPr>
          <w:rFonts w:ascii="宋体" w:hAnsi="宋体"/>
          <w:szCs w:val="21"/>
        </w:rPr>
      </w:pPr>
      <w:r>
        <w:rPr>
          <w:rFonts w:hint="eastAsia" w:ascii="宋体" w:hAnsi="宋体"/>
          <w:szCs w:val="21"/>
        </w:rPr>
        <w:t>升级业务功能</w:t>
      </w:r>
    </w:p>
    <w:p>
      <w:pPr>
        <w:pStyle w:val="4"/>
        <w:numPr>
          <w:ilvl w:val="2"/>
          <w:numId w:val="23"/>
        </w:numPr>
        <w:autoSpaceDE/>
        <w:autoSpaceDN/>
        <w:adjustRightInd/>
        <w:spacing w:before="0" w:after="0" w:line="360" w:lineRule="auto"/>
        <w:ind w:hanging="1560"/>
        <w:jc w:val="both"/>
        <w:textAlignment w:val="auto"/>
        <w:rPr>
          <w:rFonts w:ascii="宋体" w:hAnsi="宋体"/>
          <w:szCs w:val="21"/>
        </w:rPr>
      </w:pPr>
      <w:r>
        <w:rPr>
          <w:rFonts w:hint="eastAsia" w:ascii="宋体" w:hAnsi="宋体"/>
          <w:szCs w:val="21"/>
        </w:rPr>
        <w:t>个人工作台</w:t>
      </w:r>
    </w:p>
    <w:p>
      <w:pPr>
        <w:spacing w:line="360" w:lineRule="auto"/>
        <w:ind w:firstLine="420" w:firstLineChars="200"/>
        <w:rPr>
          <w:rFonts w:ascii="宋体" w:hAnsi="宋体"/>
          <w:sz w:val="21"/>
          <w:szCs w:val="21"/>
        </w:rPr>
      </w:pPr>
      <w:r>
        <w:rPr>
          <w:rFonts w:hint="eastAsia" w:ascii="宋体" w:hAnsi="宋体"/>
          <w:sz w:val="21"/>
          <w:szCs w:val="21"/>
        </w:rPr>
        <w:t>为进一步提升信访业务办理规范化和源头治理能力，上海分系统对个人工作台进行功能升级，重点围绕收件箱、在办箱、发件箱等模块，增强信息标识能力、查询效率和用户体验。</w:t>
      </w:r>
    </w:p>
    <w:p>
      <w:pPr>
        <w:pStyle w:val="4"/>
        <w:numPr>
          <w:ilvl w:val="2"/>
          <w:numId w:val="23"/>
        </w:numPr>
        <w:autoSpaceDE/>
        <w:autoSpaceDN/>
        <w:adjustRightInd/>
        <w:spacing w:before="0" w:after="0" w:line="360" w:lineRule="auto"/>
        <w:ind w:hanging="1560"/>
        <w:jc w:val="both"/>
        <w:textAlignment w:val="auto"/>
        <w:rPr>
          <w:rFonts w:ascii="宋体" w:hAnsi="宋体"/>
          <w:szCs w:val="21"/>
        </w:rPr>
      </w:pPr>
      <w:r>
        <w:rPr>
          <w:rFonts w:hint="eastAsia" w:ascii="宋体" w:hAnsi="宋体"/>
          <w:szCs w:val="21"/>
        </w:rPr>
        <w:t>信访登记</w:t>
      </w:r>
    </w:p>
    <w:p>
      <w:pPr>
        <w:spacing w:line="360" w:lineRule="auto"/>
        <w:ind w:firstLine="420" w:firstLineChars="200"/>
        <w:rPr>
          <w:rFonts w:ascii="宋体" w:hAnsi="宋体"/>
          <w:sz w:val="21"/>
          <w:szCs w:val="21"/>
        </w:rPr>
      </w:pPr>
      <w:r>
        <w:rPr>
          <w:rFonts w:hint="eastAsia" w:ascii="宋体" w:hAnsi="宋体"/>
          <w:sz w:val="21"/>
          <w:szCs w:val="21"/>
        </w:rPr>
        <w:t>为落实信访工作法治化、规范化、数字化要求，提升信访事项受理环节的准确性与处理效率，上海分系统对“来信、来访、网上信访”登记模块进行功能升级，重点包括办理提醒、强制校验、智能判重与依法终结内容带入等功能。</w:t>
      </w:r>
    </w:p>
    <w:p>
      <w:pPr>
        <w:pStyle w:val="4"/>
        <w:numPr>
          <w:ilvl w:val="2"/>
          <w:numId w:val="23"/>
        </w:numPr>
        <w:autoSpaceDE/>
        <w:autoSpaceDN/>
        <w:adjustRightInd/>
        <w:spacing w:before="0" w:after="0" w:line="360" w:lineRule="auto"/>
        <w:ind w:hanging="1560"/>
        <w:jc w:val="both"/>
        <w:textAlignment w:val="auto"/>
        <w:rPr>
          <w:rFonts w:ascii="宋体" w:hAnsi="宋体"/>
          <w:szCs w:val="21"/>
        </w:rPr>
      </w:pPr>
      <w:r>
        <w:rPr>
          <w:rFonts w:hint="eastAsia" w:ascii="宋体" w:hAnsi="宋体"/>
          <w:szCs w:val="21"/>
        </w:rPr>
        <w:t>信访办理</w:t>
      </w:r>
    </w:p>
    <w:p>
      <w:pPr>
        <w:spacing w:line="360" w:lineRule="auto"/>
        <w:ind w:firstLine="420" w:firstLineChars="200"/>
        <w:rPr>
          <w:rFonts w:ascii="宋体" w:hAnsi="宋体"/>
          <w:sz w:val="21"/>
          <w:szCs w:val="21"/>
        </w:rPr>
      </w:pPr>
      <w:r>
        <w:rPr>
          <w:rFonts w:hint="eastAsia" w:ascii="宋体" w:hAnsi="宋体"/>
          <w:sz w:val="21"/>
          <w:szCs w:val="21"/>
        </w:rPr>
        <w:t>为落实国家信访局关于信访事项办理流程的新规范要求，进一步提升信访业务办理的标准化、规范化与智能化水平，上海分系统对办理模块进行全面升级。主要功能优化包括：办理提醒、强制校验、办理方式规范化调整、自动识别事项来源（国家信访局转送、本市自登、上级交督办等），并根据来源设定处理权限与规则进行差异化办理。</w:t>
      </w:r>
    </w:p>
    <w:p>
      <w:pPr>
        <w:pStyle w:val="4"/>
        <w:numPr>
          <w:ilvl w:val="2"/>
          <w:numId w:val="23"/>
        </w:numPr>
        <w:autoSpaceDE/>
        <w:autoSpaceDN/>
        <w:adjustRightInd/>
        <w:spacing w:before="0" w:after="0" w:line="360" w:lineRule="auto"/>
        <w:ind w:hanging="1560"/>
        <w:jc w:val="both"/>
        <w:textAlignment w:val="auto"/>
        <w:rPr>
          <w:rFonts w:ascii="宋体" w:hAnsi="宋体"/>
          <w:szCs w:val="21"/>
        </w:rPr>
      </w:pPr>
      <w:r>
        <w:rPr>
          <w:rFonts w:hint="eastAsia" w:ascii="宋体" w:hAnsi="宋体"/>
          <w:szCs w:val="21"/>
        </w:rPr>
        <w:t>信访答复</w:t>
      </w:r>
    </w:p>
    <w:p>
      <w:pPr>
        <w:spacing w:line="360" w:lineRule="auto"/>
        <w:ind w:firstLine="420" w:firstLineChars="200"/>
        <w:rPr>
          <w:rFonts w:ascii="宋体" w:hAnsi="宋体"/>
          <w:sz w:val="21"/>
          <w:szCs w:val="21"/>
        </w:rPr>
      </w:pPr>
      <w:r>
        <w:rPr>
          <w:rFonts w:hint="eastAsia" w:ascii="宋体" w:hAnsi="宋体"/>
          <w:sz w:val="21"/>
          <w:szCs w:val="21"/>
        </w:rPr>
        <w:t>为增强信访调解和解及确保符合新版数据规范，本项目在信访答复环节新增以下功能：一是增加“调解”启动机制，在前置环节未启动调解流程时，允许在信访处理环节启动调解和解，需选择调解情形，完成后将调解方式交换至国家信访局，并录入调解结果。二是新增“基本诉求内容、调查核实情况、政策法规依据”字段，在信访答复环节录入并作为必填项。三是优化答复自动化处理机制，如已完成调解和解并上传协议，答复环节相关字段将自动带入固定文字“调解和解”，不可修改，并生成标准意见书，调解附件同步附入，实现业务闭环与信息一致性。</w:t>
      </w:r>
    </w:p>
    <w:p>
      <w:pPr>
        <w:pStyle w:val="4"/>
        <w:numPr>
          <w:ilvl w:val="2"/>
          <w:numId w:val="23"/>
        </w:numPr>
        <w:autoSpaceDE/>
        <w:autoSpaceDN/>
        <w:adjustRightInd/>
        <w:spacing w:before="0" w:after="0" w:line="360" w:lineRule="auto"/>
        <w:ind w:hanging="1560"/>
        <w:jc w:val="both"/>
        <w:textAlignment w:val="auto"/>
        <w:rPr>
          <w:rFonts w:ascii="宋体" w:hAnsi="宋体"/>
          <w:szCs w:val="21"/>
        </w:rPr>
      </w:pPr>
      <w:r>
        <w:rPr>
          <w:rFonts w:hint="eastAsia" w:ascii="宋体" w:hAnsi="宋体"/>
          <w:szCs w:val="21"/>
        </w:rPr>
        <w:t>督查督办</w:t>
      </w:r>
    </w:p>
    <w:p>
      <w:pPr>
        <w:spacing w:line="360" w:lineRule="auto"/>
        <w:ind w:firstLine="420" w:firstLineChars="200"/>
        <w:rPr>
          <w:rFonts w:ascii="宋体" w:hAnsi="宋体"/>
          <w:sz w:val="21"/>
          <w:szCs w:val="21"/>
        </w:rPr>
      </w:pPr>
      <w:r>
        <w:rPr>
          <w:rFonts w:hint="eastAsia" w:ascii="宋体" w:hAnsi="宋体"/>
          <w:sz w:val="21"/>
          <w:szCs w:val="21"/>
        </w:rPr>
        <w:t>为进一步提升信访事项督查督办工作的制度化、流程化与闭环化水平，上海分系统将对督查督办模块进行升级，围绕督查督办任务发起、过程跟踪、报告反馈等关键环节，构建高效、智能的督查督办管理机制。</w:t>
      </w:r>
    </w:p>
    <w:p>
      <w:pPr>
        <w:pStyle w:val="4"/>
        <w:numPr>
          <w:ilvl w:val="2"/>
          <w:numId w:val="23"/>
        </w:numPr>
        <w:autoSpaceDE/>
        <w:autoSpaceDN/>
        <w:adjustRightInd/>
        <w:spacing w:before="0" w:after="0" w:line="360" w:lineRule="auto"/>
        <w:ind w:hanging="1560"/>
        <w:jc w:val="both"/>
        <w:textAlignment w:val="auto"/>
        <w:rPr>
          <w:rFonts w:ascii="宋体" w:hAnsi="宋体"/>
          <w:szCs w:val="21"/>
        </w:rPr>
      </w:pPr>
      <w:r>
        <w:rPr>
          <w:rFonts w:hint="eastAsia" w:ascii="宋体" w:hAnsi="宋体"/>
          <w:szCs w:val="21"/>
        </w:rPr>
        <w:t>深化源头治理</w:t>
      </w:r>
    </w:p>
    <w:p>
      <w:pPr>
        <w:spacing w:line="360" w:lineRule="auto"/>
        <w:ind w:firstLine="420" w:firstLineChars="200"/>
        <w:rPr>
          <w:rFonts w:ascii="宋体" w:hAnsi="宋体"/>
          <w:sz w:val="21"/>
          <w:szCs w:val="21"/>
        </w:rPr>
      </w:pPr>
      <w:r>
        <w:rPr>
          <w:rFonts w:hint="eastAsia" w:ascii="宋体" w:hAnsi="宋体"/>
          <w:sz w:val="21"/>
          <w:szCs w:val="21"/>
        </w:rPr>
        <w:t>根据国家信访局关于深化源头治理工作的要求，本项目将新增源头治理件管理功能。支持按批次建立源头治理案件库，实现信访事项的集中归集、统一建档、动态管理，便于后续业务办理、查询统计和分析研判。</w:t>
      </w:r>
    </w:p>
    <w:p>
      <w:pPr>
        <w:pStyle w:val="4"/>
        <w:numPr>
          <w:ilvl w:val="2"/>
          <w:numId w:val="23"/>
        </w:numPr>
        <w:autoSpaceDE/>
        <w:autoSpaceDN/>
        <w:adjustRightInd/>
        <w:spacing w:before="0" w:after="0" w:line="360" w:lineRule="auto"/>
        <w:ind w:hanging="1560"/>
        <w:jc w:val="both"/>
        <w:textAlignment w:val="auto"/>
        <w:rPr>
          <w:rFonts w:ascii="宋体" w:hAnsi="宋体"/>
          <w:szCs w:val="21"/>
        </w:rPr>
      </w:pPr>
      <w:r>
        <w:rPr>
          <w:rFonts w:hint="eastAsia" w:ascii="宋体" w:hAnsi="宋体"/>
          <w:szCs w:val="21"/>
        </w:rPr>
        <w:t>领导桌面</w:t>
      </w:r>
    </w:p>
    <w:p>
      <w:pPr>
        <w:spacing w:line="360" w:lineRule="auto"/>
        <w:ind w:firstLine="420" w:firstLineChars="200"/>
        <w:rPr>
          <w:rFonts w:ascii="宋体" w:hAnsi="宋体"/>
          <w:sz w:val="21"/>
          <w:szCs w:val="21"/>
        </w:rPr>
      </w:pPr>
      <w:r>
        <w:rPr>
          <w:rFonts w:hint="eastAsia" w:ascii="宋体" w:hAnsi="宋体"/>
          <w:sz w:val="21"/>
          <w:szCs w:val="21"/>
        </w:rPr>
        <w:t>为进一步提升各级领导对信访业务运行态势的宏观掌控能力，加强对重点事项和基层履职情况的精准监测，拟对现有领导桌面的“总量统计”、“监控预警”板块进行扩展和升级，新增重点事项、简单登记、教育疏导、领导接待、人民网等模块的全市各类汇总数据统计和展示，各数据块可进一步下钻到各区、各街镇，直到信访件列表页面;新增和优化上级抄告、人民网、好差评、交办、督办业务模块的监控预警，提升上海市信访信息系统对基层单位业务运行状态的掌握能力，重点面向区级、街镇级等基层单位信访管理部门，强化信访业务全流程的实时监管、智能预警与精细化管理能力。</w:t>
      </w:r>
    </w:p>
    <w:p>
      <w:pPr>
        <w:spacing w:line="360" w:lineRule="auto"/>
        <w:ind w:firstLine="420" w:firstLineChars="200"/>
        <w:rPr>
          <w:rFonts w:ascii="宋体" w:hAnsi="宋体"/>
          <w:sz w:val="21"/>
          <w:szCs w:val="21"/>
        </w:rPr>
      </w:pPr>
      <w:r>
        <w:rPr>
          <w:rFonts w:hint="eastAsia" w:ascii="宋体" w:hAnsi="宋体"/>
          <w:sz w:val="21"/>
          <w:szCs w:val="21"/>
        </w:rPr>
        <w:t>本模块围绕信访治理重点领域与新增业务模块，建设多维度、可下钻的综合统计与展示功能，打造具有全局视野与业务穿透力的信访业务驾驶舱。</w:t>
      </w:r>
    </w:p>
    <w:p>
      <w:pPr>
        <w:pStyle w:val="4"/>
        <w:numPr>
          <w:ilvl w:val="2"/>
          <w:numId w:val="23"/>
        </w:numPr>
        <w:autoSpaceDE/>
        <w:autoSpaceDN/>
        <w:adjustRightInd/>
        <w:spacing w:before="0" w:after="0" w:line="360" w:lineRule="auto"/>
        <w:ind w:hanging="1560"/>
        <w:jc w:val="both"/>
        <w:textAlignment w:val="auto"/>
        <w:rPr>
          <w:rFonts w:ascii="宋体" w:hAnsi="宋体"/>
          <w:szCs w:val="21"/>
        </w:rPr>
      </w:pPr>
      <w:r>
        <w:rPr>
          <w:rFonts w:hint="eastAsia" w:ascii="宋体" w:hAnsi="宋体"/>
          <w:szCs w:val="21"/>
        </w:rPr>
        <w:t>流程记录</w:t>
      </w:r>
    </w:p>
    <w:p>
      <w:pPr>
        <w:spacing w:line="360" w:lineRule="auto"/>
        <w:ind w:firstLine="420" w:firstLineChars="200"/>
        <w:rPr>
          <w:rFonts w:ascii="宋体" w:hAnsi="宋体"/>
          <w:sz w:val="21"/>
          <w:szCs w:val="21"/>
        </w:rPr>
      </w:pPr>
      <w:r>
        <w:rPr>
          <w:rFonts w:hint="eastAsia" w:ascii="宋体" w:hAnsi="宋体"/>
          <w:sz w:val="21"/>
          <w:szCs w:val="21"/>
        </w:rPr>
        <w:t>为提升信访事项办理过程的透明度、可追溯性与用户体验，上海分系统拟对“流程记录”模块进行升级，强化全过程记录，展示与多角色查看功能，支撑信访业务的标准化与闭环管理。主要升级内容包括流程全节点记录优化，节点信息分层查看等。</w:t>
      </w:r>
    </w:p>
    <w:p>
      <w:pPr>
        <w:pStyle w:val="4"/>
        <w:numPr>
          <w:ilvl w:val="2"/>
          <w:numId w:val="23"/>
        </w:numPr>
        <w:autoSpaceDE/>
        <w:autoSpaceDN/>
        <w:adjustRightInd/>
        <w:spacing w:before="0" w:after="0" w:line="360" w:lineRule="auto"/>
        <w:ind w:hanging="1560"/>
        <w:jc w:val="both"/>
        <w:textAlignment w:val="auto"/>
        <w:rPr>
          <w:rFonts w:ascii="宋体" w:hAnsi="宋体"/>
          <w:szCs w:val="21"/>
        </w:rPr>
      </w:pPr>
      <w:r>
        <w:rPr>
          <w:rFonts w:hint="eastAsia" w:ascii="宋体" w:hAnsi="宋体"/>
          <w:szCs w:val="21"/>
        </w:rPr>
        <w:t>在线文书</w:t>
      </w:r>
    </w:p>
    <w:p>
      <w:pPr>
        <w:spacing w:line="360" w:lineRule="auto"/>
        <w:ind w:firstLine="420" w:firstLineChars="200"/>
        <w:rPr>
          <w:rFonts w:ascii="宋体" w:hAnsi="宋体"/>
          <w:sz w:val="21"/>
          <w:szCs w:val="21"/>
        </w:rPr>
      </w:pPr>
      <w:r>
        <w:rPr>
          <w:rFonts w:hint="eastAsia" w:ascii="宋体" w:hAnsi="宋体"/>
          <w:sz w:val="21"/>
          <w:szCs w:val="21"/>
        </w:rPr>
        <w:t>为提升信访业务过程中各类文书处理的标准化、智能化和用户体验水平，拟对现有“在线文书处理”模块进行功能增强与系统适配升级。该模块作为业务环节的重要组成部分，承担信访事项处置过程中各类通知、告知、函件、汇报等电子文书的在线生成、编辑、签章和归档功能，是保障信访事项依法依规办理的关键支撑。</w:t>
      </w:r>
    </w:p>
    <w:p>
      <w:pPr>
        <w:pStyle w:val="4"/>
        <w:numPr>
          <w:ilvl w:val="2"/>
          <w:numId w:val="23"/>
        </w:numPr>
        <w:autoSpaceDE/>
        <w:autoSpaceDN/>
        <w:adjustRightInd/>
        <w:spacing w:before="0" w:after="0" w:line="360" w:lineRule="auto"/>
        <w:ind w:hanging="1560"/>
        <w:jc w:val="both"/>
        <w:textAlignment w:val="auto"/>
        <w:rPr>
          <w:rFonts w:ascii="宋体" w:hAnsi="宋体"/>
          <w:szCs w:val="21"/>
        </w:rPr>
      </w:pPr>
      <w:r>
        <w:rPr>
          <w:rFonts w:hint="eastAsia" w:ascii="宋体" w:hAnsi="宋体"/>
          <w:szCs w:val="21"/>
        </w:rPr>
        <w:t>综合查询</w:t>
      </w:r>
    </w:p>
    <w:p>
      <w:pPr>
        <w:spacing w:line="360" w:lineRule="auto"/>
        <w:ind w:firstLine="420" w:firstLineChars="200"/>
        <w:rPr>
          <w:rFonts w:ascii="宋体" w:hAnsi="宋体"/>
          <w:sz w:val="21"/>
          <w:szCs w:val="21"/>
        </w:rPr>
      </w:pPr>
      <w:r>
        <w:rPr>
          <w:rFonts w:hint="eastAsia" w:ascii="宋体" w:hAnsi="宋体"/>
          <w:sz w:val="21"/>
          <w:szCs w:val="21"/>
        </w:rPr>
        <w:t>为全面提升信访数据的分析研判能力和支撑决策水平，上海分系统升级改造项目将对查询统计模块进行升级改造，重点优化查询维度、丰富统计口径、增强展示形式与导出能力，实现信访数据的多维度挖掘、灵活组合和高效呈现，为业务规范化治理、绩效考核、态势分析等提供有力支撑。</w:t>
      </w:r>
    </w:p>
    <w:p>
      <w:pPr>
        <w:pStyle w:val="4"/>
        <w:numPr>
          <w:ilvl w:val="2"/>
          <w:numId w:val="23"/>
        </w:numPr>
        <w:autoSpaceDE/>
        <w:autoSpaceDN/>
        <w:adjustRightInd/>
        <w:spacing w:before="0" w:after="0" w:line="360" w:lineRule="auto"/>
        <w:ind w:hanging="1560"/>
        <w:jc w:val="both"/>
        <w:textAlignment w:val="auto"/>
        <w:rPr>
          <w:rFonts w:ascii="宋体" w:hAnsi="宋体"/>
          <w:szCs w:val="21"/>
        </w:rPr>
      </w:pPr>
      <w:r>
        <w:rPr>
          <w:rFonts w:hint="eastAsia" w:ascii="宋体" w:hAnsi="宋体"/>
          <w:szCs w:val="21"/>
        </w:rPr>
        <w:t>国家局数据上下行</w:t>
      </w:r>
    </w:p>
    <w:p>
      <w:pPr>
        <w:spacing w:line="360" w:lineRule="auto"/>
        <w:ind w:firstLine="420" w:firstLineChars="200"/>
        <w:rPr>
          <w:rFonts w:ascii="宋体" w:hAnsi="宋体"/>
          <w:sz w:val="21"/>
          <w:szCs w:val="21"/>
        </w:rPr>
      </w:pPr>
      <w:r>
        <w:rPr>
          <w:rFonts w:hint="eastAsia" w:ascii="宋体" w:hAnsi="宋体"/>
          <w:sz w:val="21"/>
          <w:szCs w:val="21"/>
        </w:rPr>
        <w:t>为全面对接国家信访局发布的新版数据交换规范要求，上海分系统在本次升级改造中对数据上行、下行、状态同步、交换机制、校验等方面进行全面优化，确保与国家系统实现高效对接、规范交换、准确同步，为信访业务的全国联动办理和属地化执行提供坚实保障。</w:t>
      </w:r>
    </w:p>
    <w:p>
      <w:pPr>
        <w:pStyle w:val="4"/>
        <w:numPr>
          <w:ilvl w:val="2"/>
          <w:numId w:val="23"/>
        </w:numPr>
        <w:autoSpaceDE/>
        <w:autoSpaceDN/>
        <w:adjustRightInd/>
        <w:spacing w:before="0" w:after="0" w:line="360" w:lineRule="auto"/>
        <w:ind w:hanging="1560"/>
        <w:jc w:val="both"/>
        <w:textAlignment w:val="auto"/>
        <w:rPr>
          <w:rFonts w:ascii="宋体" w:hAnsi="宋体"/>
          <w:szCs w:val="21"/>
        </w:rPr>
      </w:pPr>
      <w:r>
        <w:rPr>
          <w:rFonts w:hint="eastAsia" w:ascii="宋体" w:hAnsi="宋体"/>
          <w:szCs w:val="21"/>
        </w:rPr>
        <w:t>互联网应用</w:t>
      </w:r>
    </w:p>
    <w:p>
      <w:pPr>
        <w:spacing w:line="360" w:lineRule="auto"/>
        <w:ind w:firstLine="420" w:firstLineChars="200"/>
        <w:rPr>
          <w:rFonts w:ascii="宋体" w:hAnsi="宋体"/>
          <w:sz w:val="21"/>
          <w:szCs w:val="21"/>
        </w:rPr>
      </w:pPr>
      <w:r>
        <w:rPr>
          <w:rFonts w:hint="eastAsia" w:ascii="宋体" w:hAnsi="宋体"/>
          <w:sz w:val="21"/>
          <w:szCs w:val="21"/>
        </w:rPr>
        <w:t>为进一步拓宽群众信访渠道、提升线上办理便利性与服务体验，计划对上海分系统的互联网子系统进行升级改造。此次优化覆盖微信公众平台、各区信访门户网站、各委办信访门户网站、随申办、微信/支付宝小程序、政务一体化平台等，构建统一、便捷、安全、智能的互联网信访服务体系。</w:t>
      </w:r>
    </w:p>
    <w:p>
      <w:pPr>
        <w:pStyle w:val="4"/>
        <w:numPr>
          <w:ilvl w:val="2"/>
          <w:numId w:val="23"/>
        </w:numPr>
        <w:autoSpaceDE/>
        <w:autoSpaceDN/>
        <w:adjustRightInd/>
        <w:spacing w:before="0" w:after="0" w:line="360" w:lineRule="auto"/>
        <w:ind w:hanging="1560"/>
        <w:jc w:val="both"/>
        <w:textAlignment w:val="auto"/>
        <w:rPr>
          <w:rFonts w:ascii="宋体" w:hAnsi="宋体"/>
          <w:szCs w:val="21"/>
        </w:rPr>
      </w:pPr>
      <w:r>
        <w:rPr>
          <w:rFonts w:hint="eastAsia" w:ascii="宋体" w:hAnsi="宋体"/>
          <w:szCs w:val="21"/>
        </w:rPr>
        <w:t>信访政务</w:t>
      </w:r>
    </w:p>
    <w:p>
      <w:pPr>
        <w:spacing w:line="360" w:lineRule="auto"/>
        <w:ind w:firstLine="420" w:firstLineChars="200"/>
        <w:rPr>
          <w:rFonts w:ascii="宋体" w:hAnsi="宋体"/>
          <w:sz w:val="21"/>
          <w:szCs w:val="21"/>
        </w:rPr>
      </w:pPr>
      <w:r>
        <w:rPr>
          <w:rFonts w:hint="eastAsia" w:ascii="宋体" w:hAnsi="宋体"/>
          <w:sz w:val="21"/>
          <w:szCs w:val="21"/>
        </w:rPr>
        <w:t>为更好支持本市信访业务移动端服务能力提升，上海分系统升级改造项目将对已接入上海市一体化平台的“信访政务”进行优化升级，重点聚焦账号体系统一、区县领导用户支持、业务功能对齐等方面，提升平台在领导移动办公、指挥调度、考核监督等场景下的实用性与稳定性。包括：支持区县领导接入、移动端绩效考核、业务监控向PC版领导桌面对齐等。</w:t>
      </w:r>
    </w:p>
    <w:p>
      <w:pPr>
        <w:spacing w:line="360" w:lineRule="auto"/>
        <w:ind w:firstLine="420" w:firstLineChars="200"/>
        <w:rPr>
          <w:rFonts w:ascii="宋体" w:hAnsi="宋体"/>
          <w:sz w:val="21"/>
          <w:szCs w:val="21"/>
        </w:rPr>
      </w:pPr>
    </w:p>
    <w:p>
      <w:pPr>
        <w:pStyle w:val="3"/>
        <w:numPr>
          <w:ilvl w:val="0"/>
          <w:numId w:val="23"/>
        </w:numPr>
        <w:autoSpaceDE/>
        <w:autoSpaceDN/>
        <w:adjustRightInd/>
        <w:spacing w:before="0"/>
        <w:jc w:val="both"/>
        <w:textAlignment w:val="auto"/>
        <w:rPr>
          <w:rFonts w:ascii="宋体" w:hAnsi="宋体"/>
          <w:bCs/>
          <w:sz w:val="21"/>
          <w:szCs w:val="21"/>
        </w:rPr>
      </w:pPr>
      <w:r>
        <w:rPr>
          <w:rFonts w:ascii="宋体" w:hAnsi="宋体"/>
          <w:bCs/>
          <w:sz w:val="21"/>
          <w:szCs w:val="21"/>
        </w:rPr>
        <w:t>系统</w:t>
      </w:r>
      <w:r>
        <w:rPr>
          <w:rFonts w:hint="eastAsia" w:ascii="宋体" w:hAnsi="宋体"/>
          <w:bCs/>
          <w:sz w:val="21"/>
          <w:szCs w:val="21"/>
        </w:rPr>
        <w:t>软</w:t>
      </w:r>
      <w:r>
        <w:rPr>
          <w:rFonts w:ascii="宋体" w:hAnsi="宋体"/>
          <w:bCs/>
          <w:sz w:val="21"/>
          <w:szCs w:val="21"/>
        </w:rPr>
        <w:t>硬件需求</w:t>
      </w:r>
    </w:p>
    <w:p>
      <w:pPr>
        <w:pStyle w:val="4"/>
        <w:numPr>
          <w:ilvl w:val="1"/>
          <w:numId w:val="23"/>
        </w:numPr>
        <w:autoSpaceDE/>
        <w:autoSpaceDN/>
        <w:adjustRightInd/>
        <w:spacing w:before="0" w:after="0" w:line="360" w:lineRule="auto"/>
        <w:ind w:left="0" w:firstLine="0"/>
        <w:jc w:val="both"/>
        <w:textAlignment w:val="auto"/>
        <w:rPr>
          <w:rFonts w:ascii="宋体" w:hAnsi="宋体"/>
          <w:szCs w:val="21"/>
        </w:rPr>
      </w:pPr>
      <w:r>
        <w:rPr>
          <w:rFonts w:ascii="宋体" w:hAnsi="宋体"/>
          <w:szCs w:val="21"/>
        </w:rPr>
        <w:t>现有网络与安全系统</w:t>
      </w:r>
    </w:p>
    <w:p>
      <w:pPr>
        <w:spacing w:line="360" w:lineRule="auto"/>
        <w:rPr>
          <w:rFonts w:ascii="宋体" w:hAnsi="宋体"/>
          <w:sz w:val="21"/>
          <w:szCs w:val="21"/>
        </w:rPr>
      </w:pPr>
      <w:r>
        <w:rPr>
          <w:rFonts w:hint="eastAsia" w:ascii="宋体" w:hAnsi="宋体"/>
          <w:sz w:val="21"/>
          <w:szCs w:val="21"/>
        </w:rPr>
        <w:t>网络拓扑图（见图3）：</w:t>
      </w:r>
    </w:p>
    <w:p>
      <w:r>
        <w:drawing>
          <wp:inline distT="0" distB="0" distL="114300" distR="114300">
            <wp:extent cx="5483225" cy="5589905"/>
            <wp:effectExtent l="0" t="0" r="3175" b="1079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1"/>
                    <a:stretch>
                      <a:fillRect/>
                    </a:stretch>
                  </pic:blipFill>
                  <pic:spPr>
                    <a:xfrm>
                      <a:off x="0" y="0"/>
                      <a:ext cx="5483225" cy="5589905"/>
                    </a:xfrm>
                    <a:prstGeom prst="rect">
                      <a:avLst/>
                    </a:prstGeom>
                    <a:noFill/>
                    <a:ln>
                      <a:noFill/>
                    </a:ln>
                  </pic:spPr>
                </pic:pic>
              </a:graphicData>
            </a:graphic>
          </wp:inline>
        </w:drawing>
      </w:r>
    </w:p>
    <w:p>
      <w:pPr>
        <w:spacing w:line="360" w:lineRule="auto"/>
        <w:jc w:val="center"/>
        <w:rPr>
          <w:rFonts w:ascii="宋体" w:hAnsi="宋体"/>
          <w:sz w:val="21"/>
          <w:szCs w:val="21"/>
        </w:rPr>
      </w:pPr>
      <w:r>
        <w:rPr>
          <w:rFonts w:ascii="宋体" w:hAnsi="宋体"/>
          <w:sz w:val="21"/>
          <w:szCs w:val="21"/>
        </w:rPr>
        <w:t>图3网络拓扑结构</w:t>
      </w:r>
    </w:p>
    <w:p>
      <w:pPr>
        <w:spacing w:line="360" w:lineRule="auto"/>
        <w:ind w:firstLine="420" w:firstLineChars="200"/>
        <w:rPr>
          <w:rFonts w:ascii="宋体" w:hAnsi="宋体"/>
          <w:sz w:val="21"/>
          <w:szCs w:val="21"/>
        </w:rPr>
      </w:pPr>
      <w:r>
        <w:rPr>
          <w:rFonts w:hint="eastAsia" w:ascii="宋体" w:hAnsi="宋体"/>
          <w:sz w:val="21"/>
          <w:szCs w:val="21"/>
        </w:rPr>
        <w:t>上海信访整个网络构架抽象为核心业务区、汇聚业务区和接入业务区等几个部分。每个区域具备不同的功能，安全要求、组网方式、以及采用的技术均有不同。</w:t>
      </w:r>
    </w:p>
    <w:p>
      <w:pPr>
        <w:spacing w:line="360" w:lineRule="auto"/>
        <w:ind w:firstLine="420" w:firstLineChars="200"/>
        <w:rPr>
          <w:rFonts w:ascii="宋体" w:hAnsi="宋体"/>
          <w:sz w:val="21"/>
          <w:szCs w:val="21"/>
        </w:rPr>
      </w:pPr>
      <w:r>
        <w:rPr>
          <w:rFonts w:hint="eastAsia" w:ascii="宋体" w:hAnsi="宋体"/>
          <w:sz w:val="21"/>
          <w:szCs w:val="21"/>
        </w:rPr>
        <w:t>上海市信访办在本地机房网络边界使用4台边界防火墙，分别与通往互联网（东方有线）和上海市政务外网的边界设备连通。边界防火墙为三层路由+主备冗余方式部署，对进出网络边界的流量进行安全控制，Nat地址转换和对外映射服务。使用2台内部防火墙对市信访办终端区域进行安全管控。</w:t>
      </w:r>
    </w:p>
    <w:p>
      <w:pPr>
        <w:spacing w:line="360" w:lineRule="auto"/>
        <w:ind w:firstLine="420" w:firstLineChars="200"/>
        <w:rPr>
          <w:rFonts w:ascii="宋体" w:hAnsi="宋体"/>
          <w:sz w:val="21"/>
          <w:szCs w:val="21"/>
        </w:rPr>
      </w:pPr>
      <w:r>
        <w:rPr>
          <w:rFonts w:hint="eastAsia" w:ascii="宋体" w:hAnsi="宋体"/>
          <w:sz w:val="21"/>
          <w:szCs w:val="21"/>
        </w:rPr>
        <w:t>内部分为服务器区和用户接入区，其中用户接入区使用2台内部防火墙，主备模式部署，对办公区域的进出流量进行安全控制。</w:t>
      </w:r>
    </w:p>
    <w:p>
      <w:pPr>
        <w:spacing w:line="360" w:lineRule="auto"/>
        <w:ind w:firstLine="420" w:firstLineChars="200"/>
        <w:rPr>
          <w:rFonts w:ascii="宋体" w:hAnsi="宋体"/>
          <w:sz w:val="21"/>
          <w:szCs w:val="21"/>
        </w:rPr>
      </w:pPr>
      <w:r>
        <w:rPr>
          <w:rFonts w:hint="eastAsia" w:ascii="宋体" w:hAnsi="宋体"/>
          <w:sz w:val="21"/>
          <w:szCs w:val="21"/>
        </w:rPr>
        <w:t>配置1台堡垒机作为网络的安全网关，对接入的用户进行身份认证、访问控制、操作审计与日志记录等，防止未授权访问，提高网络安全性。</w:t>
      </w:r>
    </w:p>
    <w:p>
      <w:pPr>
        <w:spacing w:line="360" w:lineRule="auto"/>
        <w:ind w:firstLine="420" w:firstLineChars="200"/>
        <w:rPr>
          <w:rFonts w:ascii="宋体" w:hAnsi="宋体"/>
          <w:sz w:val="21"/>
          <w:szCs w:val="21"/>
        </w:rPr>
      </w:pPr>
      <w:r>
        <w:rPr>
          <w:rFonts w:hint="eastAsia" w:ascii="宋体" w:hAnsi="宋体"/>
          <w:sz w:val="21"/>
          <w:szCs w:val="21"/>
        </w:rPr>
        <w:t>配置1台日志审计设备，对各服务器、网络设备、安全设备进行统一日志管理。</w:t>
      </w:r>
    </w:p>
    <w:p>
      <w:pPr>
        <w:spacing w:line="360" w:lineRule="auto"/>
        <w:ind w:firstLine="420" w:firstLineChars="200"/>
        <w:rPr>
          <w:rFonts w:ascii="宋体" w:hAnsi="宋体"/>
          <w:sz w:val="21"/>
          <w:szCs w:val="21"/>
        </w:rPr>
      </w:pPr>
      <w:r>
        <w:rPr>
          <w:rFonts w:hint="eastAsia" w:ascii="宋体" w:hAnsi="宋体"/>
          <w:sz w:val="21"/>
          <w:szCs w:val="21"/>
        </w:rPr>
        <w:t>政务外网内部划分为2个区域用户接入区和服务器区，其中服务器区包括核心业务区、数据存储区。</w:t>
      </w:r>
    </w:p>
    <w:p>
      <w:pPr>
        <w:spacing w:line="360" w:lineRule="auto"/>
        <w:ind w:firstLine="420" w:firstLineChars="200"/>
        <w:rPr>
          <w:rFonts w:ascii="宋体" w:hAnsi="宋体"/>
          <w:sz w:val="21"/>
          <w:szCs w:val="21"/>
        </w:rPr>
      </w:pPr>
      <w:r>
        <w:rPr>
          <w:rFonts w:hint="eastAsia" w:ascii="宋体" w:hAnsi="宋体"/>
          <w:sz w:val="21"/>
          <w:szCs w:val="21"/>
        </w:rPr>
        <w:t>政务外网应用区部署1台千兆入侵检测设备，对进入政务外网区的应用数据流量进行分析，跟踪网络流量异常，发现网络攻击行为，审计非授权网络访问。</w:t>
      </w:r>
    </w:p>
    <w:p>
      <w:pPr>
        <w:spacing w:line="360" w:lineRule="auto"/>
        <w:ind w:firstLine="420" w:firstLineChars="200"/>
        <w:rPr>
          <w:rFonts w:ascii="宋体" w:hAnsi="宋体"/>
          <w:sz w:val="21"/>
          <w:szCs w:val="21"/>
        </w:rPr>
      </w:pPr>
      <w:r>
        <w:rPr>
          <w:rFonts w:hint="eastAsia" w:ascii="宋体" w:hAnsi="宋体"/>
          <w:sz w:val="21"/>
          <w:szCs w:val="21"/>
        </w:rPr>
        <w:t>政务外网用户接入区配备1台上网行为管理设备，控制终端用户对政务外网的使用，包括对网页访问过滤、网络应用控制、带宽流量管理、信息收发审计、用户行为分析。</w:t>
      </w:r>
    </w:p>
    <w:p>
      <w:pPr>
        <w:pStyle w:val="4"/>
        <w:numPr>
          <w:ilvl w:val="1"/>
          <w:numId w:val="23"/>
        </w:numPr>
        <w:autoSpaceDE/>
        <w:autoSpaceDN/>
        <w:adjustRightInd/>
        <w:spacing w:before="0" w:after="0" w:line="360" w:lineRule="auto"/>
        <w:ind w:left="0" w:firstLine="0"/>
        <w:jc w:val="both"/>
        <w:textAlignment w:val="auto"/>
        <w:rPr>
          <w:rFonts w:ascii="宋体" w:hAnsi="宋体"/>
          <w:szCs w:val="21"/>
        </w:rPr>
      </w:pPr>
      <w:r>
        <w:rPr>
          <w:rFonts w:hint="eastAsia" w:ascii="宋体" w:hAnsi="宋体"/>
          <w:szCs w:val="21"/>
        </w:rPr>
        <w:t>硬件</w:t>
      </w:r>
      <w:r>
        <w:rPr>
          <w:rFonts w:ascii="宋体" w:hAnsi="宋体"/>
          <w:szCs w:val="21"/>
        </w:rPr>
        <w:t>产品需求</w:t>
      </w:r>
    </w:p>
    <w:p>
      <w:pPr>
        <w:pStyle w:val="4"/>
        <w:numPr>
          <w:ilvl w:val="2"/>
          <w:numId w:val="23"/>
        </w:numPr>
        <w:autoSpaceDE/>
        <w:autoSpaceDN/>
        <w:adjustRightInd/>
        <w:spacing w:before="0" w:after="0" w:line="360" w:lineRule="auto"/>
        <w:ind w:hanging="1418"/>
        <w:jc w:val="both"/>
        <w:textAlignment w:val="auto"/>
        <w:rPr>
          <w:rFonts w:ascii="宋体" w:hAnsi="宋体"/>
          <w:szCs w:val="21"/>
        </w:rPr>
      </w:pPr>
      <w:r>
        <w:rPr>
          <w:rFonts w:hint="eastAsia" w:ascii="宋体" w:hAnsi="宋体"/>
          <w:szCs w:val="21"/>
        </w:rPr>
        <w:t>核心交换机</w:t>
      </w:r>
    </w:p>
    <w:p>
      <w:pPr>
        <w:spacing w:line="360" w:lineRule="auto"/>
        <w:ind w:firstLine="420" w:firstLineChars="200"/>
        <w:rPr>
          <w:rFonts w:ascii="宋体" w:hAnsi="宋体"/>
          <w:sz w:val="21"/>
          <w:szCs w:val="21"/>
        </w:rPr>
      </w:pPr>
      <w:r>
        <w:rPr>
          <w:rFonts w:ascii="宋体" w:hAnsi="宋体"/>
          <w:sz w:val="21"/>
          <w:szCs w:val="21"/>
        </w:rPr>
        <w:t>本次上海分系统升级改造项目</w:t>
      </w:r>
      <w:r>
        <w:rPr>
          <w:rFonts w:hint="eastAsia" w:ascii="宋体" w:hAnsi="宋体"/>
          <w:sz w:val="21"/>
          <w:szCs w:val="21"/>
        </w:rPr>
        <w:t>新增2台核心交换机，替换现有核心交换机设备，并配置高可用架构。网络技术架构简述如下：</w:t>
      </w:r>
    </w:p>
    <w:p>
      <w:pPr>
        <w:spacing w:line="360" w:lineRule="auto"/>
        <w:ind w:firstLine="420" w:firstLineChars="200"/>
        <w:rPr>
          <w:rFonts w:ascii="宋体" w:hAnsi="宋体"/>
          <w:sz w:val="21"/>
          <w:szCs w:val="21"/>
        </w:rPr>
      </w:pPr>
      <w:r>
        <w:rPr>
          <w:rFonts w:hint="eastAsia" w:ascii="宋体" w:hAnsi="宋体"/>
          <w:sz w:val="21"/>
          <w:szCs w:val="21"/>
        </w:rPr>
        <w:t>（1）新增2台三槽核心交换机，支持热插拔与冗余电源；</w:t>
      </w:r>
    </w:p>
    <w:p>
      <w:pPr>
        <w:spacing w:line="360" w:lineRule="auto"/>
        <w:ind w:firstLine="420" w:firstLineChars="200"/>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561340</wp:posOffset>
            </wp:positionH>
            <wp:positionV relativeFrom="paragraph">
              <wp:posOffset>591820</wp:posOffset>
            </wp:positionV>
            <wp:extent cx="4089400" cy="2992755"/>
            <wp:effectExtent l="0" t="0" r="6350" b="17145"/>
            <wp:wrapTopAndBottom/>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12"/>
                    <a:stretch>
                      <a:fillRect/>
                    </a:stretch>
                  </pic:blipFill>
                  <pic:spPr>
                    <a:xfrm>
                      <a:off x="0" y="0"/>
                      <a:ext cx="4089400" cy="2992755"/>
                    </a:xfrm>
                    <a:prstGeom prst="rect">
                      <a:avLst/>
                    </a:prstGeom>
                    <a:noFill/>
                    <a:ln>
                      <a:noFill/>
                    </a:ln>
                  </pic:spPr>
                </pic:pic>
              </a:graphicData>
            </a:graphic>
          </wp:anchor>
        </w:drawing>
      </w:r>
      <w:r>
        <w:rPr>
          <w:rFonts w:hint="eastAsia" w:ascii="宋体" w:hAnsi="宋体"/>
          <w:sz w:val="21"/>
          <w:szCs w:val="21"/>
        </w:rPr>
        <w:t>（2）采用双机互为主备架构；</w:t>
      </w:r>
    </w:p>
    <w:p>
      <w:pPr>
        <w:spacing w:line="360" w:lineRule="auto"/>
        <w:ind w:firstLine="420" w:firstLineChars="200"/>
        <w:rPr>
          <w:rFonts w:ascii="宋体" w:hAnsi="宋体"/>
          <w:sz w:val="21"/>
          <w:szCs w:val="21"/>
        </w:rPr>
      </w:pPr>
      <w:r>
        <w:rPr>
          <w:rFonts w:hint="eastAsia" w:ascii="宋体" w:hAnsi="宋体"/>
          <w:sz w:val="21"/>
          <w:szCs w:val="21"/>
        </w:rPr>
        <w:t>（3）接入层及汇聚层设备保持现状，连接迁移至新核心交换机。</w:t>
      </w:r>
    </w:p>
    <w:p>
      <w:pPr>
        <w:spacing w:line="360" w:lineRule="auto"/>
        <w:ind w:firstLine="420" w:firstLineChars="200"/>
        <w:rPr>
          <w:rFonts w:ascii="宋体" w:hAnsi="宋体"/>
          <w:sz w:val="21"/>
          <w:szCs w:val="21"/>
        </w:rPr>
      </w:pPr>
    </w:p>
    <w:p>
      <w:pPr>
        <w:spacing w:line="360" w:lineRule="auto"/>
        <w:ind w:firstLine="420" w:firstLineChars="200"/>
        <w:rPr>
          <w:rFonts w:ascii="宋体" w:hAnsi="宋体"/>
          <w:sz w:val="21"/>
          <w:szCs w:val="21"/>
        </w:rPr>
      </w:pPr>
    </w:p>
    <w:p>
      <w:pPr>
        <w:pStyle w:val="3"/>
        <w:numPr>
          <w:ilvl w:val="0"/>
          <w:numId w:val="23"/>
        </w:numPr>
        <w:autoSpaceDE/>
        <w:autoSpaceDN/>
        <w:adjustRightInd/>
        <w:spacing w:before="0"/>
        <w:jc w:val="both"/>
        <w:textAlignment w:val="auto"/>
        <w:rPr>
          <w:rFonts w:ascii="宋体" w:hAnsi="宋体"/>
          <w:bCs/>
          <w:sz w:val="21"/>
          <w:szCs w:val="21"/>
        </w:rPr>
      </w:pPr>
      <w:r>
        <w:rPr>
          <w:rFonts w:ascii="宋体" w:hAnsi="宋体"/>
          <w:bCs/>
          <w:sz w:val="21"/>
          <w:szCs w:val="21"/>
        </w:rPr>
        <w:t>软硬件采购清单</w:t>
      </w:r>
    </w:p>
    <w:p>
      <w:pPr>
        <w:pStyle w:val="4"/>
        <w:numPr>
          <w:ilvl w:val="1"/>
          <w:numId w:val="23"/>
        </w:numPr>
        <w:autoSpaceDE/>
        <w:autoSpaceDN/>
        <w:adjustRightInd/>
        <w:spacing w:before="0" w:after="0" w:line="360" w:lineRule="auto"/>
        <w:ind w:left="0" w:firstLine="0"/>
        <w:jc w:val="both"/>
        <w:textAlignment w:val="auto"/>
        <w:rPr>
          <w:rFonts w:ascii="宋体" w:hAnsi="宋体"/>
          <w:szCs w:val="21"/>
        </w:rPr>
      </w:pPr>
      <w:r>
        <w:rPr>
          <w:rFonts w:ascii="宋体" w:hAnsi="宋体"/>
          <w:szCs w:val="21"/>
        </w:rPr>
        <w:t>应用软件</w:t>
      </w:r>
    </w:p>
    <w:tbl>
      <w:tblPr>
        <w:tblStyle w:val="5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2900"/>
        <w:gridCol w:w="3144"/>
        <w:gridCol w:w="1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9" w:type="pct"/>
            <w:shd w:val="clear" w:color="auto" w:fill="auto"/>
            <w:vAlign w:val="center"/>
          </w:tcPr>
          <w:p>
            <w:pPr>
              <w:widowControl/>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序号</w:t>
            </w:r>
          </w:p>
        </w:tc>
        <w:tc>
          <w:tcPr>
            <w:tcW w:w="1663" w:type="pct"/>
            <w:shd w:val="clear" w:color="auto" w:fill="auto"/>
            <w:vAlign w:val="center"/>
          </w:tcPr>
          <w:p>
            <w:pPr>
              <w:widowControl/>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模块名称</w:t>
            </w:r>
          </w:p>
        </w:tc>
        <w:tc>
          <w:tcPr>
            <w:tcW w:w="1802" w:type="pct"/>
            <w:shd w:val="clear" w:color="auto" w:fill="auto"/>
            <w:vAlign w:val="center"/>
          </w:tcPr>
          <w:p>
            <w:pPr>
              <w:widowControl/>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功能名称</w:t>
            </w:r>
          </w:p>
        </w:tc>
        <w:tc>
          <w:tcPr>
            <w:tcW w:w="1114" w:type="pct"/>
            <w:shd w:val="clear" w:color="auto" w:fill="auto"/>
            <w:vAlign w:val="center"/>
          </w:tcPr>
          <w:p>
            <w:pPr>
              <w:widowControl/>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工作量（人月）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w:t>
            </w:r>
          </w:p>
        </w:tc>
        <w:tc>
          <w:tcPr>
            <w:tcW w:w="1663" w:type="pct"/>
            <w:vMerge w:val="restar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调解和解</w:t>
            </w: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办理方式扩展</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2</w:t>
            </w:r>
          </w:p>
        </w:tc>
        <w:tc>
          <w:tcPr>
            <w:tcW w:w="1663" w:type="pct"/>
            <w:vMerge w:val="continue"/>
            <w:shd w:val="clear" w:color="auto" w:fill="auto"/>
            <w:vAlign w:val="center"/>
          </w:tcPr>
          <w:p>
            <w:pPr>
              <w:widowControl/>
              <w:jc w:val="center"/>
              <w:rPr>
                <w:rFonts w:asciiTheme="minorEastAsia" w:hAnsiTheme="minorEastAsia" w:eastAsiaTheme="minorEastAsia" w:cstheme="minorEastAsia"/>
                <w:sz w:val="21"/>
                <w:szCs w:val="21"/>
              </w:rPr>
            </w:pP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调解结果与业务融合</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3</w:t>
            </w:r>
          </w:p>
        </w:tc>
        <w:tc>
          <w:tcPr>
            <w:tcW w:w="1663" w:type="pct"/>
            <w:vMerge w:val="continue"/>
            <w:shd w:val="clear" w:color="auto" w:fill="auto"/>
            <w:vAlign w:val="center"/>
          </w:tcPr>
          <w:p>
            <w:pPr>
              <w:widowControl/>
              <w:jc w:val="center"/>
              <w:rPr>
                <w:rFonts w:asciiTheme="minorEastAsia" w:hAnsiTheme="minorEastAsia" w:eastAsiaTheme="minorEastAsia" w:cstheme="minorEastAsia"/>
                <w:sz w:val="21"/>
                <w:szCs w:val="21"/>
              </w:rPr>
            </w:pP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与国家局数据交换</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4</w:t>
            </w:r>
          </w:p>
        </w:tc>
        <w:tc>
          <w:tcPr>
            <w:tcW w:w="1663" w:type="pct"/>
            <w:vMerge w:val="restar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国家规范化治理</w:t>
            </w: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专项库管理</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5</w:t>
            </w:r>
          </w:p>
        </w:tc>
        <w:tc>
          <w:tcPr>
            <w:tcW w:w="1663" w:type="pct"/>
            <w:vMerge w:val="continue"/>
            <w:shd w:val="clear" w:color="auto" w:fill="auto"/>
            <w:vAlign w:val="center"/>
          </w:tcPr>
          <w:p>
            <w:pPr>
              <w:widowControl/>
              <w:jc w:val="center"/>
              <w:rPr>
                <w:rFonts w:asciiTheme="minorEastAsia" w:hAnsiTheme="minorEastAsia" w:eastAsiaTheme="minorEastAsia" w:cstheme="minorEastAsia"/>
                <w:sz w:val="21"/>
                <w:szCs w:val="21"/>
              </w:rPr>
            </w:pP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补信访处理</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6</w:t>
            </w:r>
          </w:p>
        </w:tc>
        <w:tc>
          <w:tcPr>
            <w:tcW w:w="1663" w:type="pct"/>
            <w:vMerge w:val="continue"/>
            <w:shd w:val="clear" w:color="auto" w:fill="auto"/>
            <w:vAlign w:val="center"/>
          </w:tcPr>
          <w:p>
            <w:pPr>
              <w:widowControl/>
              <w:jc w:val="center"/>
              <w:rPr>
                <w:rFonts w:asciiTheme="minorEastAsia" w:hAnsiTheme="minorEastAsia" w:eastAsiaTheme="minorEastAsia" w:cstheme="minorEastAsia"/>
                <w:sz w:val="21"/>
                <w:szCs w:val="21"/>
              </w:rPr>
            </w:pP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重复甄别</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7</w:t>
            </w:r>
          </w:p>
        </w:tc>
        <w:tc>
          <w:tcPr>
            <w:tcW w:w="1663" w:type="pct"/>
            <w:vMerge w:val="continue"/>
            <w:shd w:val="clear" w:color="auto" w:fill="auto"/>
            <w:vAlign w:val="center"/>
          </w:tcPr>
          <w:p>
            <w:pPr>
              <w:widowControl/>
              <w:jc w:val="center"/>
              <w:rPr>
                <w:rFonts w:asciiTheme="minorEastAsia" w:hAnsiTheme="minorEastAsia" w:eastAsiaTheme="minorEastAsia" w:cstheme="minorEastAsia"/>
                <w:sz w:val="21"/>
                <w:szCs w:val="21"/>
              </w:rPr>
            </w:pP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规范化业务办理</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8</w:t>
            </w:r>
          </w:p>
        </w:tc>
        <w:tc>
          <w:tcPr>
            <w:tcW w:w="1663" w:type="pct"/>
            <w:vMerge w:val="continue"/>
            <w:shd w:val="clear" w:color="auto" w:fill="auto"/>
            <w:vAlign w:val="center"/>
          </w:tcPr>
          <w:p>
            <w:pPr>
              <w:widowControl/>
              <w:jc w:val="center"/>
              <w:rPr>
                <w:rFonts w:asciiTheme="minorEastAsia" w:hAnsiTheme="minorEastAsia" w:eastAsiaTheme="minorEastAsia" w:cstheme="minorEastAsia"/>
                <w:sz w:val="21"/>
                <w:szCs w:val="21"/>
              </w:rPr>
            </w:pP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规范化治理核减</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9</w:t>
            </w:r>
          </w:p>
        </w:tc>
        <w:tc>
          <w:tcPr>
            <w:tcW w:w="1663" w:type="pct"/>
            <w:vMerge w:val="continue"/>
            <w:shd w:val="clear" w:color="auto" w:fill="auto"/>
            <w:vAlign w:val="center"/>
          </w:tcPr>
          <w:p>
            <w:pPr>
              <w:widowControl/>
              <w:jc w:val="center"/>
              <w:rPr>
                <w:rFonts w:asciiTheme="minorEastAsia" w:hAnsiTheme="minorEastAsia" w:eastAsiaTheme="minorEastAsia" w:cstheme="minorEastAsia"/>
                <w:sz w:val="21"/>
                <w:szCs w:val="21"/>
              </w:rPr>
            </w:pP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规范化治理化解和倒流</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10</w:t>
            </w:r>
          </w:p>
        </w:tc>
        <w:tc>
          <w:tcPr>
            <w:tcW w:w="1663" w:type="pct"/>
            <w:vMerge w:val="restar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领导接待</w:t>
            </w: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领导接待库建立</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11</w:t>
            </w:r>
          </w:p>
        </w:tc>
        <w:tc>
          <w:tcPr>
            <w:tcW w:w="1663" w:type="pct"/>
            <w:vMerge w:val="continue"/>
            <w:shd w:val="clear" w:color="auto" w:fill="auto"/>
            <w:vAlign w:val="center"/>
          </w:tcPr>
          <w:p>
            <w:pPr>
              <w:widowControl/>
              <w:jc w:val="center"/>
              <w:rPr>
                <w:rFonts w:asciiTheme="minorEastAsia" w:hAnsiTheme="minorEastAsia" w:eastAsiaTheme="minorEastAsia" w:cstheme="minorEastAsia"/>
                <w:sz w:val="21"/>
                <w:szCs w:val="21"/>
              </w:rPr>
            </w:pP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领导接待列表</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12</w:t>
            </w:r>
          </w:p>
        </w:tc>
        <w:tc>
          <w:tcPr>
            <w:tcW w:w="1663" w:type="pct"/>
            <w:vMerge w:val="continue"/>
            <w:shd w:val="clear" w:color="auto" w:fill="auto"/>
            <w:vAlign w:val="center"/>
          </w:tcPr>
          <w:p>
            <w:pPr>
              <w:widowControl/>
              <w:jc w:val="center"/>
              <w:rPr>
                <w:rFonts w:asciiTheme="minorEastAsia" w:hAnsiTheme="minorEastAsia" w:eastAsiaTheme="minorEastAsia" w:cstheme="minorEastAsia"/>
                <w:sz w:val="21"/>
                <w:szCs w:val="21"/>
              </w:rPr>
            </w:pP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领导接待登记</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13</w:t>
            </w:r>
          </w:p>
        </w:tc>
        <w:tc>
          <w:tcPr>
            <w:tcW w:w="1663" w:type="pct"/>
            <w:vMerge w:val="continue"/>
            <w:shd w:val="clear" w:color="auto" w:fill="auto"/>
            <w:vAlign w:val="center"/>
          </w:tcPr>
          <w:p>
            <w:pPr>
              <w:widowControl/>
              <w:jc w:val="center"/>
              <w:rPr>
                <w:rFonts w:asciiTheme="minorEastAsia" w:hAnsiTheme="minorEastAsia" w:eastAsiaTheme="minorEastAsia" w:cstheme="minorEastAsia"/>
                <w:sz w:val="21"/>
                <w:szCs w:val="21"/>
              </w:rPr>
            </w:pP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领导接待办理</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14</w:t>
            </w:r>
          </w:p>
        </w:tc>
        <w:tc>
          <w:tcPr>
            <w:tcW w:w="1663" w:type="pct"/>
            <w:vMerge w:val="continue"/>
            <w:shd w:val="clear" w:color="auto" w:fill="auto"/>
            <w:vAlign w:val="center"/>
          </w:tcPr>
          <w:p>
            <w:pPr>
              <w:widowControl/>
              <w:jc w:val="center"/>
              <w:rPr>
                <w:rFonts w:asciiTheme="minorEastAsia" w:hAnsiTheme="minorEastAsia" w:eastAsiaTheme="minorEastAsia" w:cstheme="minorEastAsia"/>
                <w:sz w:val="21"/>
                <w:szCs w:val="21"/>
              </w:rPr>
            </w:pP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领导接待统计（一级下发）</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Cs/>
                <w:color w:val="000000"/>
                <w:sz w:val="21"/>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15</w:t>
            </w:r>
          </w:p>
        </w:tc>
        <w:tc>
          <w:tcPr>
            <w:tcW w:w="1663" w:type="pct"/>
            <w:vMerge w:val="continue"/>
            <w:shd w:val="clear" w:color="auto" w:fill="auto"/>
            <w:vAlign w:val="center"/>
          </w:tcPr>
          <w:p>
            <w:pPr>
              <w:widowControl/>
              <w:jc w:val="center"/>
              <w:rPr>
                <w:rFonts w:asciiTheme="minorEastAsia" w:hAnsiTheme="minorEastAsia" w:eastAsiaTheme="minorEastAsia" w:cstheme="minorEastAsia"/>
                <w:sz w:val="21"/>
                <w:szCs w:val="21"/>
              </w:rPr>
            </w:pP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领导接待统计（二级自登）</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Cs/>
                <w:color w:val="000000"/>
                <w:sz w:val="21"/>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16</w:t>
            </w:r>
          </w:p>
        </w:tc>
        <w:tc>
          <w:tcPr>
            <w:tcW w:w="1663" w:type="pct"/>
            <w:vMerge w:val="restar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矛盾排查</w:t>
            </w: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个人矛盾排查</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17</w:t>
            </w:r>
          </w:p>
        </w:tc>
        <w:tc>
          <w:tcPr>
            <w:tcW w:w="1663" w:type="pct"/>
            <w:vMerge w:val="continue"/>
            <w:shd w:val="clear" w:color="auto" w:fill="auto"/>
            <w:vAlign w:val="center"/>
          </w:tcPr>
          <w:p>
            <w:pPr>
              <w:widowControl/>
              <w:jc w:val="center"/>
              <w:rPr>
                <w:rFonts w:asciiTheme="minorEastAsia" w:hAnsiTheme="minorEastAsia" w:eastAsiaTheme="minorEastAsia" w:cstheme="minorEastAsia"/>
                <w:sz w:val="21"/>
                <w:szCs w:val="21"/>
              </w:rPr>
            </w:pP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群体矛盾排查</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18</w:t>
            </w:r>
          </w:p>
        </w:tc>
        <w:tc>
          <w:tcPr>
            <w:tcW w:w="1663" w:type="pct"/>
            <w:vMerge w:val="continue"/>
            <w:shd w:val="clear" w:color="auto" w:fill="auto"/>
            <w:vAlign w:val="center"/>
          </w:tcPr>
          <w:p>
            <w:pPr>
              <w:widowControl/>
              <w:jc w:val="center"/>
              <w:rPr>
                <w:rFonts w:asciiTheme="minorEastAsia" w:hAnsiTheme="minorEastAsia" w:eastAsiaTheme="minorEastAsia" w:cstheme="minorEastAsia"/>
                <w:sz w:val="21"/>
                <w:szCs w:val="21"/>
              </w:rPr>
            </w:pP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矛盾排查统计</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Cs/>
                <w:color w:val="000000"/>
                <w:sz w:val="21"/>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19</w:t>
            </w:r>
          </w:p>
        </w:tc>
        <w:tc>
          <w:tcPr>
            <w:tcW w:w="1663" w:type="pct"/>
            <w:vMerge w:val="restar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秩序维护</w:t>
            </w: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秩序维护列表</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20</w:t>
            </w:r>
          </w:p>
        </w:tc>
        <w:tc>
          <w:tcPr>
            <w:tcW w:w="1663" w:type="pct"/>
            <w:vMerge w:val="continue"/>
            <w:shd w:val="clear" w:color="auto" w:fill="auto"/>
            <w:vAlign w:val="center"/>
          </w:tcPr>
          <w:p>
            <w:pPr>
              <w:widowControl/>
              <w:jc w:val="center"/>
              <w:rPr>
                <w:rFonts w:asciiTheme="minorEastAsia" w:hAnsiTheme="minorEastAsia" w:eastAsiaTheme="minorEastAsia" w:cstheme="minorEastAsia"/>
                <w:sz w:val="21"/>
                <w:szCs w:val="21"/>
              </w:rPr>
            </w:pP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新增秩序维护登记</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21</w:t>
            </w:r>
          </w:p>
        </w:tc>
        <w:tc>
          <w:tcPr>
            <w:tcW w:w="1663" w:type="pct"/>
            <w:vMerge w:val="continue"/>
            <w:shd w:val="clear" w:color="auto" w:fill="auto"/>
            <w:vAlign w:val="center"/>
          </w:tcPr>
          <w:p>
            <w:pPr>
              <w:widowControl/>
              <w:jc w:val="center"/>
              <w:rPr>
                <w:rFonts w:asciiTheme="minorEastAsia" w:hAnsiTheme="minorEastAsia" w:eastAsiaTheme="minorEastAsia" w:cstheme="minorEastAsia"/>
                <w:sz w:val="21"/>
                <w:szCs w:val="21"/>
              </w:rPr>
            </w:pP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秩序维护审核</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22</w:t>
            </w:r>
          </w:p>
        </w:tc>
        <w:tc>
          <w:tcPr>
            <w:tcW w:w="1663" w:type="pct"/>
            <w:vMerge w:val="continue"/>
            <w:shd w:val="clear" w:color="auto" w:fill="auto"/>
            <w:vAlign w:val="center"/>
          </w:tcPr>
          <w:p>
            <w:pPr>
              <w:widowControl/>
              <w:jc w:val="center"/>
              <w:rPr>
                <w:rFonts w:asciiTheme="minorEastAsia" w:hAnsiTheme="minorEastAsia" w:eastAsiaTheme="minorEastAsia" w:cstheme="minorEastAsia"/>
                <w:sz w:val="21"/>
                <w:szCs w:val="21"/>
              </w:rPr>
            </w:pP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秩序维护上报</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Cs/>
                <w:color w:val="000000"/>
                <w:sz w:val="21"/>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23</w:t>
            </w:r>
          </w:p>
        </w:tc>
        <w:tc>
          <w:tcPr>
            <w:tcW w:w="1663" w:type="pct"/>
            <w:vMerge w:val="restar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三项建议</w:t>
            </w: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三项建议列表</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24</w:t>
            </w:r>
          </w:p>
        </w:tc>
        <w:tc>
          <w:tcPr>
            <w:tcW w:w="1663" w:type="pct"/>
            <w:vMerge w:val="continue"/>
            <w:shd w:val="clear" w:color="auto" w:fill="auto"/>
            <w:vAlign w:val="center"/>
          </w:tcPr>
          <w:p>
            <w:pPr>
              <w:widowControl/>
              <w:jc w:val="center"/>
              <w:rPr>
                <w:rFonts w:asciiTheme="minorEastAsia" w:hAnsiTheme="minorEastAsia" w:eastAsiaTheme="minorEastAsia" w:cstheme="minorEastAsia"/>
                <w:sz w:val="21"/>
                <w:szCs w:val="21"/>
              </w:rPr>
            </w:pP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新增三项建议登记</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25</w:t>
            </w:r>
          </w:p>
        </w:tc>
        <w:tc>
          <w:tcPr>
            <w:tcW w:w="1663" w:type="pct"/>
            <w:vMerge w:val="continue"/>
            <w:shd w:val="clear" w:color="auto" w:fill="auto"/>
            <w:vAlign w:val="center"/>
          </w:tcPr>
          <w:p>
            <w:pPr>
              <w:widowControl/>
              <w:jc w:val="center"/>
              <w:rPr>
                <w:rFonts w:asciiTheme="minorEastAsia" w:hAnsiTheme="minorEastAsia" w:eastAsiaTheme="minorEastAsia" w:cstheme="minorEastAsia"/>
                <w:sz w:val="21"/>
                <w:szCs w:val="21"/>
              </w:rPr>
            </w:pP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三项建议审核</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26</w:t>
            </w:r>
          </w:p>
        </w:tc>
        <w:tc>
          <w:tcPr>
            <w:tcW w:w="1663" w:type="pct"/>
            <w:vMerge w:val="continue"/>
            <w:shd w:val="clear" w:color="auto" w:fill="auto"/>
            <w:vAlign w:val="center"/>
          </w:tcPr>
          <w:p>
            <w:pPr>
              <w:widowControl/>
              <w:jc w:val="center"/>
              <w:rPr>
                <w:rFonts w:asciiTheme="minorEastAsia" w:hAnsiTheme="minorEastAsia" w:eastAsiaTheme="minorEastAsia" w:cstheme="minorEastAsia"/>
                <w:sz w:val="21"/>
                <w:szCs w:val="21"/>
              </w:rPr>
            </w:pP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三项建议上报</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Cs/>
                <w:color w:val="000000"/>
                <w:sz w:val="21"/>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27</w:t>
            </w:r>
          </w:p>
        </w:tc>
        <w:tc>
          <w:tcPr>
            <w:tcW w:w="1663" w:type="pct"/>
            <w:vMerge w:val="restar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依法终结库</w:t>
            </w: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依法终结库列表</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28</w:t>
            </w:r>
          </w:p>
        </w:tc>
        <w:tc>
          <w:tcPr>
            <w:tcW w:w="1663" w:type="pct"/>
            <w:vMerge w:val="continue"/>
            <w:shd w:val="clear" w:color="auto" w:fill="auto"/>
            <w:vAlign w:val="center"/>
          </w:tcPr>
          <w:p>
            <w:pPr>
              <w:widowControl/>
              <w:jc w:val="center"/>
              <w:rPr>
                <w:rFonts w:asciiTheme="minorEastAsia" w:hAnsiTheme="minorEastAsia" w:eastAsiaTheme="minorEastAsia" w:cstheme="minorEastAsia"/>
                <w:sz w:val="21"/>
                <w:szCs w:val="21"/>
              </w:rPr>
            </w:pP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依法终结登记</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29</w:t>
            </w:r>
          </w:p>
        </w:tc>
        <w:tc>
          <w:tcPr>
            <w:tcW w:w="1663" w:type="pct"/>
            <w:vMerge w:val="restar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监督追责</w:t>
            </w: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监督追责列表</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30</w:t>
            </w:r>
          </w:p>
        </w:tc>
        <w:tc>
          <w:tcPr>
            <w:tcW w:w="1663" w:type="pct"/>
            <w:vMerge w:val="continue"/>
            <w:shd w:val="clear" w:color="auto" w:fill="auto"/>
            <w:vAlign w:val="center"/>
          </w:tcPr>
          <w:p>
            <w:pPr>
              <w:widowControl/>
              <w:jc w:val="center"/>
              <w:rPr>
                <w:rFonts w:asciiTheme="minorEastAsia" w:hAnsiTheme="minorEastAsia" w:eastAsiaTheme="minorEastAsia" w:cstheme="minorEastAsia"/>
                <w:sz w:val="21"/>
                <w:szCs w:val="21"/>
              </w:rPr>
            </w:pP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监督追责登记</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31</w:t>
            </w:r>
          </w:p>
        </w:tc>
        <w:tc>
          <w:tcPr>
            <w:tcW w:w="1663" w:type="pct"/>
            <w:vMerge w:val="continue"/>
            <w:shd w:val="clear" w:color="auto" w:fill="auto"/>
            <w:vAlign w:val="center"/>
          </w:tcPr>
          <w:p>
            <w:pPr>
              <w:widowControl/>
              <w:jc w:val="center"/>
              <w:rPr>
                <w:rFonts w:asciiTheme="minorEastAsia" w:hAnsiTheme="minorEastAsia" w:eastAsiaTheme="minorEastAsia" w:cstheme="minorEastAsia"/>
                <w:sz w:val="21"/>
                <w:szCs w:val="21"/>
              </w:rPr>
            </w:pP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监督追责审核</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32</w:t>
            </w:r>
          </w:p>
        </w:tc>
        <w:tc>
          <w:tcPr>
            <w:tcW w:w="1663" w:type="pct"/>
            <w:vMerge w:val="restar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信访事项查询</w:t>
            </w: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全系统信访事项统一查询</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Cs/>
                <w:color w:val="000000"/>
                <w:sz w:val="21"/>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33</w:t>
            </w:r>
          </w:p>
        </w:tc>
        <w:tc>
          <w:tcPr>
            <w:tcW w:w="1663" w:type="pct"/>
            <w:vMerge w:val="continue"/>
            <w:shd w:val="clear" w:color="auto" w:fill="auto"/>
            <w:vAlign w:val="center"/>
          </w:tcPr>
          <w:p>
            <w:pPr>
              <w:widowControl/>
              <w:jc w:val="center"/>
              <w:rPr>
                <w:rFonts w:asciiTheme="minorEastAsia" w:hAnsiTheme="minorEastAsia" w:eastAsiaTheme="minorEastAsia" w:cstheme="minorEastAsia"/>
                <w:sz w:val="21"/>
                <w:szCs w:val="21"/>
              </w:rPr>
            </w:pP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蓝腰带二级页面</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Cs/>
                <w:color w:val="000000"/>
                <w:sz w:val="21"/>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34</w:t>
            </w:r>
          </w:p>
        </w:tc>
        <w:tc>
          <w:tcPr>
            <w:tcW w:w="1663" w:type="pct"/>
            <w:vMerge w:val="restart"/>
            <w:shd w:val="clear" w:color="auto" w:fill="auto"/>
            <w:vAlign w:val="center"/>
          </w:tcPr>
          <w:p>
            <w:pPr>
              <w:widowControl/>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联动治理</w:t>
            </w: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治理列表</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35</w:t>
            </w:r>
          </w:p>
        </w:tc>
        <w:tc>
          <w:tcPr>
            <w:tcW w:w="1663" w:type="pct"/>
            <w:vMerge w:val="continue"/>
            <w:shd w:val="clear" w:color="auto" w:fill="auto"/>
            <w:vAlign w:val="center"/>
          </w:tcPr>
          <w:p>
            <w:pPr>
              <w:widowControl/>
              <w:jc w:val="center"/>
              <w:rPr>
                <w:rFonts w:asciiTheme="minorEastAsia" w:hAnsiTheme="minorEastAsia" w:eastAsiaTheme="minorEastAsia" w:cstheme="minorEastAsia"/>
                <w:sz w:val="21"/>
                <w:szCs w:val="21"/>
              </w:rPr>
            </w:pP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专项治理</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36</w:t>
            </w:r>
          </w:p>
        </w:tc>
        <w:tc>
          <w:tcPr>
            <w:tcW w:w="1663" w:type="pct"/>
            <w:vMerge w:val="restar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复查</w:t>
            </w: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复查登记</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Cs/>
                <w:color w:val="00000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37</w:t>
            </w:r>
          </w:p>
        </w:tc>
        <w:tc>
          <w:tcPr>
            <w:tcW w:w="1663" w:type="pct"/>
            <w:vMerge w:val="continue"/>
            <w:shd w:val="clear" w:color="auto" w:fill="auto"/>
            <w:vAlign w:val="center"/>
          </w:tcPr>
          <w:p>
            <w:pPr>
              <w:widowControl/>
              <w:jc w:val="center"/>
              <w:rPr>
                <w:rFonts w:asciiTheme="minorEastAsia" w:hAnsiTheme="minorEastAsia" w:eastAsiaTheme="minorEastAsia" w:cstheme="minorEastAsia"/>
                <w:sz w:val="21"/>
                <w:szCs w:val="21"/>
              </w:rPr>
            </w:pP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复查办理</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Cs/>
                <w:color w:val="00000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38</w:t>
            </w:r>
          </w:p>
        </w:tc>
        <w:tc>
          <w:tcPr>
            <w:tcW w:w="1663" w:type="pct"/>
            <w:vMerge w:val="continue"/>
            <w:shd w:val="clear" w:color="auto" w:fill="auto"/>
            <w:vAlign w:val="center"/>
          </w:tcPr>
          <w:p>
            <w:pPr>
              <w:widowControl/>
              <w:jc w:val="center"/>
              <w:rPr>
                <w:rFonts w:asciiTheme="minorEastAsia" w:hAnsiTheme="minorEastAsia" w:eastAsiaTheme="minorEastAsia" w:cstheme="minorEastAsia"/>
                <w:sz w:val="21"/>
                <w:szCs w:val="21"/>
              </w:rPr>
            </w:pP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复查责令重办</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Cs/>
                <w:color w:val="00000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39</w:t>
            </w:r>
          </w:p>
        </w:tc>
        <w:tc>
          <w:tcPr>
            <w:tcW w:w="1663" w:type="pct"/>
            <w:vMerge w:val="continue"/>
            <w:shd w:val="clear" w:color="auto" w:fill="auto"/>
            <w:vAlign w:val="center"/>
          </w:tcPr>
          <w:p>
            <w:pPr>
              <w:widowControl/>
              <w:jc w:val="center"/>
              <w:rPr>
                <w:rFonts w:asciiTheme="minorEastAsia" w:hAnsiTheme="minorEastAsia" w:eastAsiaTheme="minorEastAsia" w:cstheme="minorEastAsia"/>
                <w:sz w:val="21"/>
                <w:szCs w:val="21"/>
              </w:rPr>
            </w:pP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复查受理情况统计</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Cs/>
                <w:color w:val="000000"/>
                <w:sz w:val="21"/>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40</w:t>
            </w:r>
          </w:p>
        </w:tc>
        <w:tc>
          <w:tcPr>
            <w:tcW w:w="1663" w:type="pct"/>
            <w:vMerge w:val="continue"/>
            <w:shd w:val="clear" w:color="auto" w:fill="auto"/>
            <w:vAlign w:val="center"/>
          </w:tcPr>
          <w:p>
            <w:pPr>
              <w:widowControl/>
              <w:jc w:val="center"/>
              <w:rPr>
                <w:rFonts w:asciiTheme="minorEastAsia" w:hAnsiTheme="minorEastAsia" w:eastAsiaTheme="minorEastAsia" w:cstheme="minorEastAsia"/>
                <w:sz w:val="21"/>
                <w:szCs w:val="21"/>
              </w:rPr>
            </w:pP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复查办结情况统计</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Cs/>
                <w:color w:val="000000"/>
                <w:sz w:val="21"/>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41</w:t>
            </w:r>
          </w:p>
        </w:tc>
        <w:tc>
          <w:tcPr>
            <w:tcW w:w="1663" w:type="pct"/>
            <w:vMerge w:val="continue"/>
            <w:shd w:val="clear" w:color="auto" w:fill="auto"/>
            <w:vAlign w:val="center"/>
          </w:tcPr>
          <w:p>
            <w:pPr>
              <w:widowControl/>
              <w:jc w:val="center"/>
              <w:rPr>
                <w:rFonts w:asciiTheme="minorEastAsia" w:hAnsiTheme="minorEastAsia" w:eastAsiaTheme="minorEastAsia" w:cstheme="minorEastAsia"/>
                <w:sz w:val="21"/>
                <w:szCs w:val="21"/>
              </w:rPr>
            </w:pP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复查不予受理情况统计</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Cs/>
                <w:color w:val="000000"/>
                <w:sz w:val="21"/>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42</w:t>
            </w:r>
          </w:p>
        </w:tc>
        <w:tc>
          <w:tcPr>
            <w:tcW w:w="1663" w:type="pct"/>
            <w:vMerge w:val="continue"/>
            <w:shd w:val="clear" w:color="auto" w:fill="auto"/>
            <w:vAlign w:val="center"/>
          </w:tcPr>
          <w:p>
            <w:pPr>
              <w:widowControl/>
              <w:jc w:val="center"/>
              <w:rPr>
                <w:rFonts w:asciiTheme="minorEastAsia" w:hAnsiTheme="minorEastAsia" w:eastAsiaTheme="minorEastAsia" w:cstheme="minorEastAsia"/>
                <w:sz w:val="21"/>
                <w:szCs w:val="21"/>
              </w:rPr>
            </w:pP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复查监控预警</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43</w:t>
            </w:r>
          </w:p>
        </w:tc>
        <w:tc>
          <w:tcPr>
            <w:tcW w:w="1663" w:type="pct"/>
            <w:vMerge w:val="restar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复核</w:t>
            </w: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复核登记</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44</w:t>
            </w:r>
          </w:p>
        </w:tc>
        <w:tc>
          <w:tcPr>
            <w:tcW w:w="1663" w:type="pct"/>
            <w:vMerge w:val="continue"/>
            <w:shd w:val="clear" w:color="auto" w:fill="auto"/>
            <w:vAlign w:val="center"/>
          </w:tcPr>
          <w:p>
            <w:pPr>
              <w:widowControl/>
              <w:jc w:val="center"/>
              <w:rPr>
                <w:rFonts w:asciiTheme="minorEastAsia" w:hAnsiTheme="minorEastAsia" w:eastAsiaTheme="minorEastAsia" w:cstheme="minorEastAsia"/>
                <w:sz w:val="21"/>
                <w:szCs w:val="21"/>
              </w:rPr>
            </w:pP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复核办理</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45</w:t>
            </w:r>
          </w:p>
        </w:tc>
        <w:tc>
          <w:tcPr>
            <w:tcW w:w="1663" w:type="pct"/>
            <w:vMerge w:val="continue"/>
            <w:shd w:val="clear" w:color="auto" w:fill="auto"/>
            <w:vAlign w:val="center"/>
          </w:tcPr>
          <w:p>
            <w:pPr>
              <w:widowControl/>
              <w:jc w:val="center"/>
              <w:rPr>
                <w:rFonts w:asciiTheme="minorEastAsia" w:hAnsiTheme="minorEastAsia" w:eastAsiaTheme="minorEastAsia" w:cstheme="minorEastAsia"/>
                <w:sz w:val="21"/>
                <w:szCs w:val="21"/>
              </w:rPr>
            </w:pP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复核责令重办</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46</w:t>
            </w:r>
          </w:p>
        </w:tc>
        <w:tc>
          <w:tcPr>
            <w:tcW w:w="1663" w:type="pct"/>
            <w:vMerge w:val="continue"/>
            <w:shd w:val="clear" w:color="auto" w:fill="auto"/>
            <w:vAlign w:val="center"/>
          </w:tcPr>
          <w:p>
            <w:pPr>
              <w:widowControl/>
              <w:jc w:val="center"/>
              <w:rPr>
                <w:rFonts w:asciiTheme="minorEastAsia" w:hAnsiTheme="minorEastAsia" w:eastAsiaTheme="minorEastAsia" w:cstheme="minorEastAsia"/>
                <w:sz w:val="21"/>
                <w:szCs w:val="21"/>
              </w:rPr>
            </w:pP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复核受理情况统计</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Cs/>
                <w:color w:val="000000"/>
                <w:sz w:val="21"/>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47</w:t>
            </w:r>
          </w:p>
        </w:tc>
        <w:tc>
          <w:tcPr>
            <w:tcW w:w="1663" w:type="pct"/>
            <w:vMerge w:val="continue"/>
            <w:shd w:val="clear" w:color="auto" w:fill="auto"/>
            <w:vAlign w:val="center"/>
          </w:tcPr>
          <w:p>
            <w:pPr>
              <w:widowControl/>
              <w:jc w:val="center"/>
              <w:rPr>
                <w:rFonts w:asciiTheme="minorEastAsia" w:hAnsiTheme="minorEastAsia" w:eastAsiaTheme="minorEastAsia" w:cstheme="minorEastAsia"/>
                <w:sz w:val="21"/>
                <w:szCs w:val="21"/>
              </w:rPr>
            </w:pP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复核办结情况统计</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Cs/>
                <w:color w:val="000000"/>
                <w:sz w:val="21"/>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48</w:t>
            </w:r>
          </w:p>
        </w:tc>
        <w:tc>
          <w:tcPr>
            <w:tcW w:w="1663" w:type="pct"/>
            <w:vMerge w:val="continue"/>
            <w:shd w:val="clear" w:color="auto" w:fill="auto"/>
            <w:vAlign w:val="center"/>
          </w:tcPr>
          <w:p>
            <w:pPr>
              <w:widowControl/>
              <w:jc w:val="center"/>
              <w:rPr>
                <w:rFonts w:asciiTheme="minorEastAsia" w:hAnsiTheme="minorEastAsia" w:eastAsiaTheme="minorEastAsia" w:cstheme="minorEastAsia"/>
                <w:sz w:val="21"/>
                <w:szCs w:val="21"/>
              </w:rPr>
            </w:pP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复核不予受理情况统计</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Cs/>
                <w:color w:val="000000"/>
                <w:sz w:val="21"/>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49</w:t>
            </w:r>
          </w:p>
        </w:tc>
        <w:tc>
          <w:tcPr>
            <w:tcW w:w="1663" w:type="pct"/>
            <w:vMerge w:val="continue"/>
            <w:shd w:val="clear" w:color="auto" w:fill="auto"/>
            <w:vAlign w:val="center"/>
          </w:tcPr>
          <w:p>
            <w:pPr>
              <w:widowControl/>
              <w:jc w:val="center"/>
              <w:rPr>
                <w:rFonts w:asciiTheme="minorEastAsia" w:hAnsiTheme="minorEastAsia" w:eastAsiaTheme="minorEastAsia" w:cstheme="minorEastAsia"/>
                <w:sz w:val="21"/>
                <w:szCs w:val="21"/>
              </w:rPr>
            </w:pP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复核监控预警</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50</w:t>
            </w:r>
          </w:p>
        </w:tc>
        <w:tc>
          <w:tcPr>
            <w:tcW w:w="1663" w:type="pct"/>
            <w:vMerge w:val="restar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绩效考核</w:t>
            </w: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按期办结率</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Cs/>
                <w:color w:val="000000"/>
                <w:sz w:val="21"/>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51</w:t>
            </w:r>
          </w:p>
        </w:tc>
        <w:tc>
          <w:tcPr>
            <w:tcW w:w="1663" w:type="pct"/>
            <w:vMerge w:val="continue"/>
            <w:shd w:val="clear" w:color="auto" w:fill="auto"/>
            <w:vAlign w:val="center"/>
          </w:tcPr>
          <w:p>
            <w:pPr>
              <w:widowControl/>
              <w:jc w:val="center"/>
              <w:rPr>
                <w:rFonts w:asciiTheme="minorEastAsia" w:hAnsiTheme="minorEastAsia" w:eastAsiaTheme="minorEastAsia" w:cstheme="minorEastAsia"/>
                <w:sz w:val="21"/>
                <w:szCs w:val="21"/>
              </w:rPr>
            </w:pP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应受理未受理</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Cs/>
                <w:color w:val="000000"/>
                <w:sz w:val="21"/>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52</w:t>
            </w:r>
          </w:p>
        </w:tc>
        <w:tc>
          <w:tcPr>
            <w:tcW w:w="1663" w:type="pct"/>
            <w:vMerge w:val="continue"/>
            <w:shd w:val="clear" w:color="auto" w:fill="auto"/>
            <w:vAlign w:val="center"/>
          </w:tcPr>
          <w:p>
            <w:pPr>
              <w:widowControl/>
              <w:jc w:val="center"/>
              <w:rPr>
                <w:rFonts w:asciiTheme="minorEastAsia" w:hAnsiTheme="minorEastAsia" w:eastAsiaTheme="minorEastAsia" w:cstheme="minorEastAsia"/>
                <w:sz w:val="21"/>
                <w:szCs w:val="21"/>
              </w:rPr>
            </w:pP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调解率</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Cs/>
                <w:color w:val="000000"/>
                <w:sz w:val="21"/>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53</w:t>
            </w:r>
          </w:p>
        </w:tc>
        <w:tc>
          <w:tcPr>
            <w:tcW w:w="1663" w:type="pct"/>
            <w:vMerge w:val="continue"/>
            <w:shd w:val="clear" w:color="auto" w:fill="auto"/>
            <w:vAlign w:val="center"/>
          </w:tcPr>
          <w:p>
            <w:pPr>
              <w:widowControl/>
              <w:jc w:val="center"/>
              <w:rPr>
                <w:rFonts w:asciiTheme="minorEastAsia" w:hAnsiTheme="minorEastAsia" w:eastAsiaTheme="minorEastAsia" w:cstheme="minorEastAsia"/>
                <w:sz w:val="21"/>
                <w:szCs w:val="21"/>
              </w:rPr>
            </w:pP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应办理未办理</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Cs/>
                <w:color w:val="000000"/>
                <w:sz w:val="21"/>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54</w:t>
            </w:r>
          </w:p>
        </w:tc>
        <w:tc>
          <w:tcPr>
            <w:tcW w:w="1663" w:type="pct"/>
            <w:vMerge w:val="continue"/>
            <w:shd w:val="clear" w:color="auto" w:fill="auto"/>
            <w:vAlign w:val="center"/>
          </w:tcPr>
          <w:p>
            <w:pPr>
              <w:widowControl/>
              <w:jc w:val="center"/>
              <w:rPr>
                <w:rFonts w:asciiTheme="minorEastAsia" w:hAnsiTheme="minorEastAsia" w:eastAsiaTheme="minorEastAsia" w:cstheme="minorEastAsia"/>
                <w:sz w:val="21"/>
                <w:szCs w:val="21"/>
              </w:rPr>
            </w:pP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信访处理不服</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Cs/>
                <w:color w:val="000000"/>
                <w:sz w:val="21"/>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55</w:t>
            </w:r>
          </w:p>
        </w:tc>
        <w:tc>
          <w:tcPr>
            <w:tcW w:w="1663" w:type="pct"/>
            <w:vMerge w:val="continue"/>
            <w:shd w:val="clear" w:color="auto" w:fill="auto"/>
            <w:vAlign w:val="center"/>
          </w:tcPr>
          <w:p>
            <w:pPr>
              <w:widowControl/>
              <w:jc w:val="center"/>
              <w:rPr>
                <w:rFonts w:asciiTheme="minorEastAsia" w:hAnsiTheme="minorEastAsia" w:eastAsiaTheme="minorEastAsia" w:cstheme="minorEastAsia"/>
                <w:sz w:val="21"/>
                <w:szCs w:val="21"/>
              </w:rPr>
            </w:pP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复查质效</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Cs/>
                <w:color w:val="000000"/>
                <w:sz w:val="21"/>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56</w:t>
            </w:r>
          </w:p>
        </w:tc>
        <w:tc>
          <w:tcPr>
            <w:tcW w:w="1663" w:type="pct"/>
            <w:vMerge w:val="continue"/>
            <w:shd w:val="clear" w:color="auto" w:fill="auto"/>
            <w:vAlign w:val="center"/>
          </w:tcPr>
          <w:p>
            <w:pPr>
              <w:widowControl/>
              <w:jc w:val="center"/>
              <w:rPr>
                <w:rFonts w:asciiTheme="minorEastAsia" w:hAnsiTheme="minorEastAsia" w:eastAsiaTheme="minorEastAsia" w:cstheme="minorEastAsia"/>
                <w:sz w:val="21"/>
                <w:szCs w:val="21"/>
              </w:rPr>
            </w:pP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复核质效</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Cs/>
                <w:color w:val="000000"/>
                <w:sz w:val="21"/>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57</w:t>
            </w:r>
          </w:p>
        </w:tc>
        <w:tc>
          <w:tcPr>
            <w:tcW w:w="1663" w:type="pct"/>
            <w:vMerge w:val="continue"/>
            <w:shd w:val="clear" w:color="auto" w:fill="auto"/>
            <w:vAlign w:val="center"/>
          </w:tcPr>
          <w:p>
            <w:pPr>
              <w:widowControl/>
              <w:jc w:val="center"/>
              <w:rPr>
                <w:rFonts w:asciiTheme="minorEastAsia" w:hAnsiTheme="minorEastAsia" w:eastAsiaTheme="minorEastAsia" w:cstheme="minorEastAsia"/>
                <w:sz w:val="21"/>
                <w:szCs w:val="21"/>
              </w:rPr>
            </w:pP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复查缓解率</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Cs/>
                <w:color w:val="000000"/>
                <w:sz w:val="21"/>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58</w:t>
            </w:r>
          </w:p>
        </w:tc>
        <w:tc>
          <w:tcPr>
            <w:tcW w:w="1663" w:type="pct"/>
            <w:vMerge w:val="continue"/>
            <w:shd w:val="clear" w:color="auto" w:fill="auto"/>
            <w:vAlign w:val="center"/>
          </w:tcPr>
          <w:p>
            <w:pPr>
              <w:widowControl/>
              <w:jc w:val="center"/>
              <w:rPr>
                <w:rFonts w:asciiTheme="minorEastAsia" w:hAnsiTheme="minorEastAsia" w:eastAsiaTheme="minorEastAsia" w:cstheme="minorEastAsia"/>
                <w:sz w:val="21"/>
                <w:szCs w:val="21"/>
              </w:rPr>
            </w:pP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法定程序重复率</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Cs/>
                <w:color w:val="000000"/>
                <w:sz w:val="21"/>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59</w:t>
            </w:r>
          </w:p>
        </w:tc>
        <w:tc>
          <w:tcPr>
            <w:tcW w:w="1663" w:type="pct"/>
            <w:vMerge w:val="continue"/>
            <w:shd w:val="clear" w:color="auto" w:fill="auto"/>
            <w:vAlign w:val="center"/>
          </w:tcPr>
          <w:p>
            <w:pPr>
              <w:widowControl/>
              <w:jc w:val="center"/>
              <w:rPr>
                <w:rFonts w:asciiTheme="minorEastAsia" w:hAnsiTheme="minorEastAsia" w:eastAsiaTheme="minorEastAsia" w:cstheme="minorEastAsia"/>
                <w:sz w:val="21"/>
                <w:szCs w:val="21"/>
              </w:rPr>
            </w:pP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督办按期率</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Cs/>
                <w:color w:val="000000"/>
                <w:sz w:val="21"/>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60</w:t>
            </w:r>
          </w:p>
        </w:tc>
        <w:tc>
          <w:tcPr>
            <w:tcW w:w="1663" w:type="pct"/>
            <w:vMerge w:val="continue"/>
            <w:shd w:val="clear" w:color="auto" w:fill="auto"/>
            <w:vAlign w:val="center"/>
          </w:tcPr>
          <w:p>
            <w:pPr>
              <w:widowControl/>
              <w:jc w:val="center"/>
              <w:rPr>
                <w:rFonts w:asciiTheme="minorEastAsia" w:hAnsiTheme="minorEastAsia" w:eastAsiaTheme="minorEastAsia" w:cstheme="minorEastAsia"/>
                <w:sz w:val="21"/>
                <w:szCs w:val="21"/>
              </w:rPr>
            </w:pP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督办重复率</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Cs/>
                <w:color w:val="000000"/>
                <w:sz w:val="21"/>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61</w:t>
            </w:r>
          </w:p>
        </w:tc>
        <w:tc>
          <w:tcPr>
            <w:tcW w:w="1663" w:type="pct"/>
            <w:vMerge w:val="continue"/>
            <w:shd w:val="clear" w:color="auto" w:fill="auto"/>
            <w:vAlign w:val="center"/>
          </w:tcPr>
          <w:p>
            <w:pPr>
              <w:widowControl/>
              <w:jc w:val="center"/>
              <w:rPr>
                <w:rFonts w:asciiTheme="minorEastAsia" w:hAnsiTheme="minorEastAsia" w:eastAsiaTheme="minorEastAsia" w:cstheme="minorEastAsia"/>
                <w:sz w:val="21"/>
                <w:szCs w:val="21"/>
              </w:rPr>
            </w:pP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上门办信</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Cs/>
                <w:color w:val="000000"/>
                <w:sz w:val="21"/>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62</w:t>
            </w:r>
          </w:p>
        </w:tc>
        <w:tc>
          <w:tcPr>
            <w:tcW w:w="1663" w:type="pct"/>
            <w:vMerge w:val="continue"/>
            <w:shd w:val="clear" w:color="auto" w:fill="auto"/>
            <w:vAlign w:val="center"/>
          </w:tcPr>
          <w:p>
            <w:pPr>
              <w:widowControl/>
              <w:jc w:val="center"/>
              <w:rPr>
                <w:rFonts w:asciiTheme="minorEastAsia" w:hAnsiTheme="minorEastAsia" w:eastAsiaTheme="minorEastAsia" w:cstheme="minorEastAsia"/>
                <w:sz w:val="21"/>
                <w:szCs w:val="21"/>
              </w:rPr>
            </w:pP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办理联系率</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Cs/>
                <w:color w:val="000000"/>
                <w:sz w:val="21"/>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63</w:t>
            </w:r>
          </w:p>
        </w:tc>
        <w:tc>
          <w:tcPr>
            <w:tcW w:w="1663" w:type="pct"/>
            <w:vMerge w:val="continue"/>
            <w:shd w:val="clear" w:color="auto" w:fill="auto"/>
            <w:vAlign w:val="center"/>
          </w:tcPr>
          <w:p>
            <w:pPr>
              <w:widowControl/>
              <w:jc w:val="center"/>
              <w:rPr>
                <w:rFonts w:asciiTheme="minorEastAsia" w:hAnsiTheme="minorEastAsia" w:eastAsiaTheme="minorEastAsia" w:cstheme="minorEastAsia"/>
                <w:sz w:val="21"/>
                <w:szCs w:val="21"/>
              </w:rPr>
            </w:pP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国受理超期率</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Cs/>
                <w:color w:val="000000"/>
                <w:sz w:val="21"/>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64</w:t>
            </w:r>
          </w:p>
        </w:tc>
        <w:tc>
          <w:tcPr>
            <w:tcW w:w="1663" w:type="pct"/>
            <w:vMerge w:val="continue"/>
            <w:shd w:val="clear" w:color="auto" w:fill="auto"/>
            <w:vAlign w:val="center"/>
          </w:tcPr>
          <w:p>
            <w:pPr>
              <w:widowControl/>
              <w:jc w:val="center"/>
              <w:rPr>
                <w:rFonts w:asciiTheme="minorEastAsia" w:hAnsiTheme="minorEastAsia" w:eastAsiaTheme="minorEastAsia" w:cstheme="minorEastAsia"/>
                <w:sz w:val="21"/>
                <w:szCs w:val="21"/>
              </w:rPr>
            </w:pP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国调解率</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Cs/>
                <w:color w:val="000000"/>
                <w:sz w:val="21"/>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65</w:t>
            </w:r>
          </w:p>
        </w:tc>
        <w:tc>
          <w:tcPr>
            <w:tcW w:w="1663" w:type="pct"/>
            <w:vMerge w:val="continue"/>
            <w:shd w:val="clear" w:color="auto" w:fill="auto"/>
            <w:vAlign w:val="center"/>
          </w:tcPr>
          <w:p>
            <w:pPr>
              <w:widowControl/>
              <w:jc w:val="center"/>
              <w:rPr>
                <w:rFonts w:asciiTheme="minorEastAsia" w:hAnsiTheme="minorEastAsia" w:eastAsiaTheme="minorEastAsia" w:cstheme="minorEastAsia"/>
                <w:sz w:val="21"/>
                <w:szCs w:val="21"/>
              </w:rPr>
            </w:pP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国督按期率</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Cs/>
                <w:color w:val="000000"/>
                <w:sz w:val="21"/>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66</w:t>
            </w:r>
          </w:p>
        </w:tc>
        <w:tc>
          <w:tcPr>
            <w:tcW w:w="1663" w:type="pct"/>
            <w:vMerge w:val="continue"/>
            <w:shd w:val="clear" w:color="auto" w:fill="auto"/>
            <w:vAlign w:val="center"/>
          </w:tcPr>
          <w:p>
            <w:pPr>
              <w:widowControl/>
              <w:jc w:val="center"/>
              <w:rPr>
                <w:rFonts w:asciiTheme="minorEastAsia" w:hAnsiTheme="minorEastAsia" w:eastAsiaTheme="minorEastAsia" w:cstheme="minorEastAsia"/>
                <w:sz w:val="21"/>
                <w:szCs w:val="21"/>
              </w:rPr>
            </w:pP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国督重复甄别</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Cs/>
                <w:color w:val="000000"/>
                <w:sz w:val="21"/>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tabs>
                <w:tab w:val="left" w:pos="247"/>
              </w:tabs>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67</w:t>
            </w:r>
          </w:p>
        </w:tc>
        <w:tc>
          <w:tcPr>
            <w:tcW w:w="1663" w:type="pct"/>
            <w:vMerge w:val="continue"/>
            <w:shd w:val="clear" w:color="auto" w:fill="auto"/>
            <w:vAlign w:val="center"/>
          </w:tcPr>
          <w:p>
            <w:pPr>
              <w:widowControl/>
              <w:jc w:val="center"/>
              <w:rPr>
                <w:rFonts w:asciiTheme="minorEastAsia" w:hAnsiTheme="minorEastAsia" w:eastAsiaTheme="minorEastAsia" w:cstheme="minorEastAsia"/>
                <w:sz w:val="21"/>
                <w:szCs w:val="21"/>
              </w:rPr>
            </w:pP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补调解</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Cs/>
                <w:color w:val="000000"/>
                <w:sz w:val="21"/>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68</w:t>
            </w:r>
          </w:p>
        </w:tc>
        <w:tc>
          <w:tcPr>
            <w:tcW w:w="1663" w:type="pct"/>
            <w:vMerge w:val="restar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上级抄告</w:t>
            </w: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上级抄告列表</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Cs/>
                <w:color w:val="000000"/>
                <w:sz w:val="21"/>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69</w:t>
            </w:r>
          </w:p>
        </w:tc>
        <w:tc>
          <w:tcPr>
            <w:tcW w:w="1663" w:type="pct"/>
            <w:vMerge w:val="continue"/>
            <w:shd w:val="clear" w:color="auto" w:fill="auto"/>
            <w:vAlign w:val="center"/>
          </w:tcPr>
          <w:p>
            <w:pPr>
              <w:widowControl/>
              <w:jc w:val="center"/>
              <w:rPr>
                <w:rFonts w:asciiTheme="minorEastAsia" w:hAnsiTheme="minorEastAsia" w:eastAsiaTheme="minorEastAsia" w:cstheme="minorEastAsia"/>
                <w:sz w:val="21"/>
                <w:szCs w:val="21"/>
              </w:rPr>
            </w:pP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一级办理</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Cs/>
                <w:color w:val="000000"/>
                <w:sz w:val="21"/>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70</w:t>
            </w:r>
          </w:p>
        </w:tc>
        <w:tc>
          <w:tcPr>
            <w:tcW w:w="1663" w:type="pct"/>
            <w:vMerge w:val="continue"/>
            <w:shd w:val="clear" w:color="auto" w:fill="auto"/>
            <w:vAlign w:val="center"/>
          </w:tcPr>
          <w:p>
            <w:pPr>
              <w:widowControl/>
              <w:jc w:val="center"/>
              <w:rPr>
                <w:rFonts w:asciiTheme="minorEastAsia" w:hAnsiTheme="minorEastAsia" w:eastAsiaTheme="minorEastAsia" w:cstheme="minorEastAsia"/>
                <w:sz w:val="21"/>
                <w:szCs w:val="21"/>
              </w:rPr>
            </w:pP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二级办理</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Cs/>
                <w:color w:val="000000"/>
                <w:sz w:val="21"/>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71</w:t>
            </w:r>
          </w:p>
        </w:tc>
        <w:tc>
          <w:tcPr>
            <w:tcW w:w="1663" w:type="pct"/>
            <w:vMerge w:val="continue"/>
            <w:shd w:val="clear" w:color="auto" w:fill="auto"/>
            <w:vAlign w:val="center"/>
          </w:tcPr>
          <w:p>
            <w:pPr>
              <w:widowControl/>
              <w:jc w:val="center"/>
              <w:rPr>
                <w:rFonts w:asciiTheme="minorEastAsia" w:hAnsiTheme="minorEastAsia" w:eastAsiaTheme="minorEastAsia" w:cstheme="minorEastAsia"/>
                <w:sz w:val="21"/>
                <w:szCs w:val="21"/>
              </w:rPr>
            </w:pP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三级办理</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Cs/>
                <w:color w:val="000000"/>
                <w:sz w:val="21"/>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72</w:t>
            </w:r>
          </w:p>
        </w:tc>
        <w:tc>
          <w:tcPr>
            <w:tcW w:w="1663" w:type="pct"/>
            <w:vMerge w:val="continue"/>
            <w:shd w:val="clear" w:color="auto" w:fill="auto"/>
            <w:vAlign w:val="center"/>
          </w:tcPr>
          <w:p>
            <w:pPr>
              <w:widowControl/>
              <w:jc w:val="center"/>
              <w:rPr>
                <w:rFonts w:asciiTheme="minorEastAsia" w:hAnsiTheme="minorEastAsia" w:eastAsiaTheme="minorEastAsia" w:cstheme="minorEastAsia"/>
                <w:sz w:val="21"/>
                <w:szCs w:val="21"/>
              </w:rPr>
            </w:pP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一级审核、二级审核</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Cs/>
                <w:color w:val="000000"/>
                <w:sz w:val="21"/>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73</w:t>
            </w:r>
          </w:p>
        </w:tc>
        <w:tc>
          <w:tcPr>
            <w:tcW w:w="1663" w:type="pct"/>
            <w:vMerge w:val="continue"/>
            <w:shd w:val="clear" w:color="auto" w:fill="auto"/>
            <w:vAlign w:val="center"/>
          </w:tcPr>
          <w:p>
            <w:pPr>
              <w:widowControl/>
              <w:jc w:val="center"/>
              <w:rPr>
                <w:rFonts w:asciiTheme="minorEastAsia" w:hAnsiTheme="minorEastAsia" w:eastAsiaTheme="minorEastAsia" w:cstheme="minorEastAsia"/>
                <w:sz w:val="21"/>
                <w:szCs w:val="21"/>
              </w:rPr>
            </w:pP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抄告查询</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Cs/>
                <w:color w:val="000000"/>
                <w:sz w:val="21"/>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74</w:t>
            </w:r>
          </w:p>
        </w:tc>
        <w:tc>
          <w:tcPr>
            <w:tcW w:w="1663" w:type="pct"/>
            <w:vMerge w:val="continue"/>
            <w:shd w:val="clear" w:color="auto" w:fill="auto"/>
            <w:vAlign w:val="center"/>
          </w:tcPr>
          <w:p>
            <w:pPr>
              <w:widowControl/>
              <w:jc w:val="center"/>
              <w:rPr>
                <w:rFonts w:asciiTheme="minorEastAsia" w:hAnsiTheme="minorEastAsia" w:eastAsiaTheme="minorEastAsia" w:cstheme="minorEastAsia"/>
                <w:sz w:val="21"/>
                <w:szCs w:val="21"/>
              </w:rPr>
            </w:pP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抄告监控</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Cs/>
                <w:color w:val="000000"/>
                <w:sz w:val="21"/>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75</w:t>
            </w:r>
          </w:p>
        </w:tc>
        <w:tc>
          <w:tcPr>
            <w:tcW w:w="1663" w:type="pct"/>
            <w:vMerge w:val="restar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实名认证</w:t>
            </w: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业务办理系统实名认证</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76</w:t>
            </w:r>
          </w:p>
        </w:tc>
        <w:tc>
          <w:tcPr>
            <w:tcW w:w="1663" w:type="pct"/>
            <w:vMerge w:val="continue"/>
            <w:shd w:val="clear" w:color="auto" w:fill="auto"/>
            <w:vAlign w:val="center"/>
          </w:tcPr>
          <w:p>
            <w:pPr>
              <w:widowControl/>
              <w:jc w:val="center"/>
              <w:rPr>
                <w:rFonts w:asciiTheme="minorEastAsia" w:hAnsiTheme="minorEastAsia" w:eastAsiaTheme="minorEastAsia" w:cstheme="minorEastAsia"/>
                <w:sz w:val="21"/>
                <w:szCs w:val="21"/>
              </w:rPr>
            </w:pP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公众服务平台实名认证</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77</w:t>
            </w:r>
          </w:p>
        </w:tc>
        <w:tc>
          <w:tcPr>
            <w:tcW w:w="1663" w:type="pct"/>
            <w:vMerge w:val="restar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短信平台</w:t>
            </w: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业务办理系统短信</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78</w:t>
            </w:r>
          </w:p>
        </w:tc>
        <w:tc>
          <w:tcPr>
            <w:tcW w:w="1663" w:type="pct"/>
            <w:vMerge w:val="continue"/>
            <w:shd w:val="clear" w:color="auto" w:fill="auto"/>
            <w:vAlign w:val="center"/>
          </w:tcPr>
          <w:p>
            <w:pPr>
              <w:widowControl/>
              <w:jc w:val="center"/>
              <w:rPr>
                <w:rFonts w:asciiTheme="minorEastAsia" w:hAnsiTheme="minorEastAsia" w:eastAsiaTheme="minorEastAsia" w:cstheme="minorEastAsia"/>
                <w:sz w:val="21"/>
                <w:szCs w:val="21"/>
              </w:rPr>
            </w:pP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公众服务平台短信</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79</w:t>
            </w:r>
          </w:p>
        </w:tc>
        <w:tc>
          <w:tcPr>
            <w:tcW w:w="1663" w:type="pct"/>
            <w:vMerge w:val="restar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个人工作台</w:t>
            </w: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收件箱</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Cs/>
                <w:color w:val="000000"/>
                <w:sz w:val="21"/>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80</w:t>
            </w:r>
          </w:p>
        </w:tc>
        <w:tc>
          <w:tcPr>
            <w:tcW w:w="1663" w:type="pct"/>
            <w:vMerge w:val="continue"/>
            <w:shd w:val="clear" w:color="auto" w:fill="auto"/>
            <w:vAlign w:val="center"/>
          </w:tcPr>
          <w:p>
            <w:pPr>
              <w:widowControl/>
              <w:jc w:val="center"/>
              <w:rPr>
                <w:rFonts w:asciiTheme="minorEastAsia" w:hAnsiTheme="minorEastAsia" w:eastAsiaTheme="minorEastAsia" w:cstheme="minorEastAsia"/>
                <w:sz w:val="21"/>
                <w:szCs w:val="21"/>
              </w:rPr>
            </w:pP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在办箱</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Cs/>
                <w:color w:val="000000"/>
                <w:sz w:val="21"/>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81</w:t>
            </w:r>
          </w:p>
        </w:tc>
        <w:tc>
          <w:tcPr>
            <w:tcW w:w="1663" w:type="pct"/>
            <w:vMerge w:val="restar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信访登记</w:t>
            </w: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来信登记</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82</w:t>
            </w:r>
          </w:p>
        </w:tc>
        <w:tc>
          <w:tcPr>
            <w:tcW w:w="1663" w:type="pct"/>
            <w:vMerge w:val="continue"/>
            <w:shd w:val="clear" w:color="auto" w:fill="auto"/>
            <w:vAlign w:val="center"/>
          </w:tcPr>
          <w:p>
            <w:pPr>
              <w:widowControl/>
              <w:jc w:val="center"/>
              <w:rPr>
                <w:rFonts w:asciiTheme="minorEastAsia" w:hAnsiTheme="minorEastAsia" w:eastAsiaTheme="minorEastAsia" w:cstheme="minorEastAsia"/>
                <w:sz w:val="21"/>
                <w:szCs w:val="21"/>
              </w:rPr>
            </w:pP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信访登记校验</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83</w:t>
            </w:r>
          </w:p>
        </w:tc>
        <w:tc>
          <w:tcPr>
            <w:tcW w:w="1663" w:type="pct"/>
            <w:vMerge w:val="continue"/>
            <w:shd w:val="clear" w:color="auto" w:fill="auto"/>
            <w:vAlign w:val="center"/>
          </w:tcPr>
          <w:p>
            <w:pPr>
              <w:widowControl/>
              <w:jc w:val="center"/>
              <w:rPr>
                <w:rFonts w:asciiTheme="minorEastAsia" w:hAnsiTheme="minorEastAsia" w:eastAsiaTheme="minorEastAsia" w:cstheme="minorEastAsia"/>
                <w:sz w:val="21"/>
                <w:szCs w:val="21"/>
              </w:rPr>
            </w:pP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办理情形</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84</w:t>
            </w:r>
          </w:p>
        </w:tc>
        <w:tc>
          <w:tcPr>
            <w:tcW w:w="1663" w:type="pct"/>
            <w:vMerge w:val="restar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信访办理</w:t>
            </w: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信访办理</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85</w:t>
            </w:r>
          </w:p>
        </w:tc>
        <w:tc>
          <w:tcPr>
            <w:tcW w:w="1663" w:type="pct"/>
            <w:vMerge w:val="continue"/>
            <w:shd w:val="clear" w:color="auto" w:fill="auto"/>
            <w:vAlign w:val="center"/>
          </w:tcPr>
          <w:p>
            <w:pPr>
              <w:widowControl/>
              <w:jc w:val="center"/>
              <w:rPr>
                <w:rFonts w:asciiTheme="minorEastAsia" w:hAnsiTheme="minorEastAsia" w:eastAsiaTheme="minorEastAsia" w:cstheme="minorEastAsia"/>
                <w:sz w:val="21"/>
                <w:szCs w:val="21"/>
              </w:rPr>
            </w:pP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办理校验</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86</w:t>
            </w:r>
          </w:p>
        </w:tc>
        <w:tc>
          <w:tcPr>
            <w:tcW w:w="1663" w:type="pct"/>
            <w:vMerge w:val="restar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信访答复</w:t>
            </w: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信访处理</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87</w:t>
            </w:r>
          </w:p>
        </w:tc>
        <w:tc>
          <w:tcPr>
            <w:tcW w:w="1663" w:type="pct"/>
            <w:vMerge w:val="continue"/>
            <w:shd w:val="clear" w:color="auto" w:fill="auto"/>
            <w:vAlign w:val="center"/>
          </w:tcPr>
          <w:p>
            <w:pPr>
              <w:widowControl/>
              <w:jc w:val="center"/>
              <w:rPr>
                <w:rFonts w:asciiTheme="minorEastAsia" w:hAnsiTheme="minorEastAsia" w:eastAsiaTheme="minorEastAsia" w:cstheme="minorEastAsia"/>
                <w:sz w:val="21"/>
                <w:szCs w:val="21"/>
              </w:rPr>
            </w:pP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分类办理</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88</w:t>
            </w:r>
          </w:p>
        </w:tc>
        <w:tc>
          <w:tcPr>
            <w:tcW w:w="1663" w:type="pct"/>
            <w:vMerge w:val="restar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督查督办</w:t>
            </w: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督查办理</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89</w:t>
            </w:r>
          </w:p>
        </w:tc>
        <w:tc>
          <w:tcPr>
            <w:tcW w:w="1663" w:type="pct"/>
            <w:vMerge w:val="continue"/>
            <w:shd w:val="clear" w:color="auto" w:fill="auto"/>
            <w:vAlign w:val="center"/>
          </w:tcPr>
          <w:p>
            <w:pPr>
              <w:widowControl/>
              <w:jc w:val="center"/>
              <w:rPr>
                <w:rFonts w:asciiTheme="minorEastAsia" w:hAnsiTheme="minorEastAsia" w:eastAsiaTheme="minorEastAsia" w:cstheme="minorEastAsia"/>
                <w:sz w:val="21"/>
                <w:szCs w:val="21"/>
              </w:rPr>
            </w:pP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督办监控</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90</w:t>
            </w:r>
          </w:p>
        </w:tc>
        <w:tc>
          <w:tcPr>
            <w:tcW w:w="1663" w:type="pct"/>
            <w:vMerge w:val="restar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深化源头治理</w:t>
            </w: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入库规则</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91</w:t>
            </w:r>
          </w:p>
        </w:tc>
        <w:tc>
          <w:tcPr>
            <w:tcW w:w="1663" w:type="pct"/>
            <w:vMerge w:val="continue"/>
            <w:shd w:val="clear" w:color="auto" w:fill="auto"/>
            <w:vAlign w:val="center"/>
          </w:tcPr>
          <w:p>
            <w:pPr>
              <w:widowControl/>
              <w:jc w:val="center"/>
              <w:rPr>
                <w:rFonts w:asciiTheme="minorEastAsia" w:hAnsiTheme="minorEastAsia" w:eastAsiaTheme="minorEastAsia" w:cstheme="minorEastAsia"/>
                <w:sz w:val="21"/>
                <w:szCs w:val="21"/>
              </w:rPr>
            </w:pP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查询列表</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Cs/>
                <w:color w:val="000000"/>
                <w:sz w:val="21"/>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92</w:t>
            </w:r>
          </w:p>
        </w:tc>
        <w:tc>
          <w:tcPr>
            <w:tcW w:w="1663" w:type="pct"/>
            <w:vMerge w:val="continue"/>
            <w:shd w:val="clear" w:color="auto" w:fill="auto"/>
            <w:vAlign w:val="center"/>
          </w:tcPr>
          <w:p>
            <w:pPr>
              <w:widowControl/>
              <w:jc w:val="center"/>
              <w:rPr>
                <w:rFonts w:asciiTheme="minorEastAsia" w:hAnsiTheme="minorEastAsia" w:eastAsiaTheme="minorEastAsia" w:cstheme="minorEastAsia"/>
                <w:sz w:val="21"/>
                <w:szCs w:val="21"/>
              </w:rPr>
            </w:pP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业务办理</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93</w:t>
            </w:r>
          </w:p>
        </w:tc>
        <w:tc>
          <w:tcPr>
            <w:tcW w:w="1663" w:type="pct"/>
            <w:vMerge w:val="continue"/>
            <w:shd w:val="clear" w:color="auto" w:fill="auto"/>
            <w:vAlign w:val="center"/>
          </w:tcPr>
          <w:p>
            <w:pPr>
              <w:widowControl/>
              <w:jc w:val="center"/>
              <w:rPr>
                <w:rFonts w:asciiTheme="minorEastAsia" w:hAnsiTheme="minorEastAsia" w:eastAsiaTheme="minorEastAsia" w:cstheme="minorEastAsia"/>
                <w:sz w:val="21"/>
                <w:szCs w:val="21"/>
              </w:rPr>
            </w:pP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补上报</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94</w:t>
            </w:r>
          </w:p>
        </w:tc>
        <w:tc>
          <w:tcPr>
            <w:tcW w:w="1663" w:type="pct"/>
            <w:vMerge w:val="restar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领导桌面</w:t>
            </w: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总量数据</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95</w:t>
            </w:r>
          </w:p>
        </w:tc>
        <w:tc>
          <w:tcPr>
            <w:tcW w:w="1663" w:type="pct"/>
            <w:vMerge w:val="continue"/>
            <w:shd w:val="clear" w:color="auto" w:fill="auto"/>
            <w:vAlign w:val="center"/>
          </w:tcPr>
          <w:p>
            <w:pPr>
              <w:widowControl/>
              <w:jc w:val="center"/>
              <w:rPr>
                <w:rFonts w:asciiTheme="minorEastAsia" w:hAnsiTheme="minorEastAsia" w:eastAsiaTheme="minorEastAsia" w:cstheme="minorEastAsia"/>
                <w:sz w:val="21"/>
                <w:szCs w:val="21"/>
              </w:rPr>
            </w:pP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考核</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96</w:t>
            </w:r>
          </w:p>
        </w:tc>
        <w:tc>
          <w:tcPr>
            <w:tcW w:w="1663" w:type="pct"/>
            <w:vMerge w:val="continue"/>
            <w:shd w:val="clear" w:color="auto" w:fill="auto"/>
            <w:vAlign w:val="center"/>
          </w:tcPr>
          <w:p>
            <w:pPr>
              <w:widowControl/>
              <w:jc w:val="center"/>
              <w:rPr>
                <w:rFonts w:asciiTheme="minorEastAsia" w:hAnsiTheme="minorEastAsia" w:eastAsiaTheme="minorEastAsia" w:cstheme="minorEastAsia"/>
                <w:sz w:val="21"/>
                <w:szCs w:val="21"/>
              </w:rPr>
            </w:pP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监控预警</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97</w:t>
            </w:r>
          </w:p>
        </w:tc>
        <w:tc>
          <w:tcPr>
            <w:tcW w:w="1663" w:type="pct"/>
            <w:vMerge w:val="restar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流程记录</w:t>
            </w: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流程记录显示</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98</w:t>
            </w:r>
          </w:p>
        </w:tc>
        <w:tc>
          <w:tcPr>
            <w:tcW w:w="1663" w:type="pct"/>
            <w:vMerge w:val="continue"/>
            <w:shd w:val="clear" w:color="auto" w:fill="auto"/>
            <w:vAlign w:val="center"/>
          </w:tcPr>
          <w:p>
            <w:pPr>
              <w:widowControl/>
              <w:jc w:val="center"/>
              <w:rPr>
                <w:rFonts w:asciiTheme="minorEastAsia" w:hAnsiTheme="minorEastAsia" w:eastAsiaTheme="minorEastAsia" w:cstheme="minorEastAsia"/>
                <w:sz w:val="21"/>
                <w:szCs w:val="21"/>
              </w:rPr>
            </w:pP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附件显示</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Cs/>
                <w:color w:val="000000"/>
                <w:sz w:val="21"/>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99</w:t>
            </w:r>
          </w:p>
        </w:tc>
        <w:tc>
          <w:tcPr>
            <w:tcW w:w="1663" w:type="pct"/>
            <w:vMerge w:val="restar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在线文书</w:t>
            </w: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在线文档编辑</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Cs/>
                <w:color w:val="000000"/>
                <w:sz w:val="21"/>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100</w:t>
            </w:r>
          </w:p>
        </w:tc>
        <w:tc>
          <w:tcPr>
            <w:tcW w:w="1663" w:type="pct"/>
            <w:vMerge w:val="continue"/>
            <w:shd w:val="clear" w:color="auto" w:fill="auto"/>
            <w:vAlign w:val="center"/>
          </w:tcPr>
          <w:p>
            <w:pPr>
              <w:widowControl/>
              <w:jc w:val="center"/>
              <w:rPr>
                <w:rFonts w:asciiTheme="minorEastAsia" w:hAnsiTheme="minorEastAsia" w:eastAsiaTheme="minorEastAsia" w:cstheme="minorEastAsia"/>
                <w:sz w:val="21"/>
                <w:szCs w:val="21"/>
              </w:rPr>
            </w:pP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模板及适配</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Cs/>
                <w:color w:val="000000"/>
                <w:sz w:val="21"/>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101</w:t>
            </w:r>
          </w:p>
        </w:tc>
        <w:tc>
          <w:tcPr>
            <w:tcW w:w="1663" w:type="pct"/>
            <w:vMerge w:val="restar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综合查询</w:t>
            </w: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综合查询</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Cs/>
                <w:color w:val="000000"/>
                <w:sz w:val="21"/>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102</w:t>
            </w:r>
          </w:p>
        </w:tc>
        <w:tc>
          <w:tcPr>
            <w:tcW w:w="1663" w:type="pct"/>
            <w:vMerge w:val="continue"/>
            <w:shd w:val="clear" w:color="auto" w:fill="auto"/>
            <w:vAlign w:val="center"/>
          </w:tcPr>
          <w:p>
            <w:pPr>
              <w:widowControl/>
              <w:jc w:val="center"/>
              <w:rPr>
                <w:rFonts w:asciiTheme="minorEastAsia" w:hAnsiTheme="minorEastAsia" w:eastAsiaTheme="minorEastAsia" w:cstheme="minorEastAsia"/>
                <w:sz w:val="21"/>
                <w:szCs w:val="21"/>
              </w:rPr>
            </w:pP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结果导出</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Cs/>
                <w:color w:val="000000"/>
                <w:sz w:val="21"/>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103</w:t>
            </w:r>
          </w:p>
        </w:tc>
        <w:tc>
          <w:tcPr>
            <w:tcW w:w="1663" w:type="pct"/>
            <w:vMerge w:val="restar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国家局数据交换上、下行</w:t>
            </w: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下行入库</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104</w:t>
            </w:r>
          </w:p>
        </w:tc>
        <w:tc>
          <w:tcPr>
            <w:tcW w:w="1663" w:type="pct"/>
            <w:vMerge w:val="continue"/>
            <w:shd w:val="clear" w:color="auto" w:fill="auto"/>
            <w:vAlign w:val="center"/>
          </w:tcPr>
          <w:p>
            <w:pPr>
              <w:widowControl/>
              <w:jc w:val="center"/>
              <w:rPr>
                <w:rFonts w:asciiTheme="minorEastAsia" w:hAnsiTheme="minorEastAsia" w:eastAsiaTheme="minorEastAsia" w:cstheme="minorEastAsia"/>
                <w:sz w:val="21"/>
                <w:szCs w:val="21"/>
              </w:rPr>
            </w:pP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上行交换</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105</w:t>
            </w:r>
          </w:p>
        </w:tc>
        <w:tc>
          <w:tcPr>
            <w:tcW w:w="1663" w:type="pct"/>
            <w:vMerge w:val="continue"/>
            <w:shd w:val="clear" w:color="auto" w:fill="auto"/>
            <w:vAlign w:val="center"/>
          </w:tcPr>
          <w:p>
            <w:pPr>
              <w:widowControl/>
              <w:jc w:val="center"/>
              <w:rPr>
                <w:rFonts w:asciiTheme="minorEastAsia" w:hAnsiTheme="minorEastAsia" w:eastAsiaTheme="minorEastAsia" w:cstheme="minorEastAsia"/>
                <w:sz w:val="21"/>
                <w:szCs w:val="21"/>
              </w:rPr>
            </w:pP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专项治理交换</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106</w:t>
            </w:r>
          </w:p>
        </w:tc>
        <w:tc>
          <w:tcPr>
            <w:tcW w:w="1663" w:type="pct"/>
            <w:vMerge w:val="restar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互联网应用</w:t>
            </w: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微信公众平台</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107</w:t>
            </w:r>
          </w:p>
        </w:tc>
        <w:tc>
          <w:tcPr>
            <w:tcW w:w="1663" w:type="pct"/>
            <w:vMerge w:val="continue"/>
            <w:shd w:val="clear" w:color="auto" w:fill="auto"/>
            <w:vAlign w:val="center"/>
          </w:tcPr>
          <w:p>
            <w:pPr>
              <w:widowControl/>
              <w:jc w:val="center"/>
              <w:rPr>
                <w:rFonts w:asciiTheme="minorEastAsia" w:hAnsiTheme="minorEastAsia" w:eastAsiaTheme="minorEastAsia" w:cstheme="minorEastAsia"/>
                <w:sz w:val="21"/>
                <w:szCs w:val="21"/>
              </w:rPr>
            </w:pP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随申办</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108</w:t>
            </w:r>
          </w:p>
        </w:tc>
        <w:tc>
          <w:tcPr>
            <w:tcW w:w="1663" w:type="pct"/>
            <w:vMerge w:val="restar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信访政务</w:t>
            </w: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监控预警</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9"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109</w:t>
            </w:r>
          </w:p>
        </w:tc>
        <w:tc>
          <w:tcPr>
            <w:tcW w:w="1663" w:type="pct"/>
            <w:vMerge w:val="continue"/>
            <w:shd w:val="clear" w:color="auto" w:fill="auto"/>
            <w:vAlign w:val="center"/>
          </w:tcPr>
          <w:p>
            <w:pPr>
              <w:widowControl/>
              <w:jc w:val="center"/>
              <w:rPr>
                <w:rFonts w:asciiTheme="minorEastAsia" w:hAnsiTheme="minorEastAsia" w:eastAsiaTheme="minorEastAsia" w:cstheme="minorEastAsia"/>
                <w:sz w:val="21"/>
                <w:szCs w:val="21"/>
              </w:rPr>
            </w:pPr>
          </w:p>
        </w:tc>
        <w:tc>
          <w:tcPr>
            <w:tcW w:w="1802"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绩效考核</w:t>
            </w:r>
          </w:p>
        </w:tc>
        <w:tc>
          <w:tcPr>
            <w:tcW w:w="1114" w:type="pct"/>
            <w:shd w:val="clear" w:color="auto" w:fill="auto"/>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885" w:type="pct"/>
            <w:gridSpan w:val="3"/>
            <w:shd w:val="clear" w:color="auto" w:fill="auto"/>
            <w:vAlign w:val="center"/>
          </w:tcPr>
          <w:p>
            <w:pPr>
              <w:widowControl/>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合计</w:t>
            </w:r>
          </w:p>
        </w:tc>
        <w:tc>
          <w:tcPr>
            <w:tcW w:w="1114" w:type="pct"/>
            <w:shd w:val="clear" w:color="auto" w:fill="auto"/>
            <w:vAlign w:val="center"/>
          </w:tcPr>
          <w:p>
            <w:pPr>
              <w:widowControl/>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91.5</w:t>
            </w:r>
          </w:p>
        </w:tc>
      </w:tr>
    </w:tbl>
    <w:p/>
    <w:p>
      <w:pPr>
        <w:pStyle w:val="4"/>
        <w:numPr>
          <w:ilvl w:val="1"/>
          <w:numId w:val="23"/>
        </w:numPr>
        <w:autoSpaceDE/>
        <w:autoSpaceDN/>
        <w:adjustRightInd/>
        <w:spacing w:before="0" w:after="0" w:line="360" w:lineRule="auto"/>
        <w:ind w:left="0" w:firstLine="0"/>
        <w:jc w:val="both"/>
        <w:textAlignment w:val="auto"/>
        <w:rPr>
          <w:rFonts w:ascii="宋体" w:hAnsi="宋体"/>
          <w:szCs w:val="21"/>
        </w:rPr>
      </w:pPr>
      <w:r>
        <w:rPr>
          <w:rFonts w:hint="eastAsia" w:ascii="宋体" w:hAnsi="宋体"/>
          <w:szCs w:val="21"/>
        </w:rPr>
        <w:t>网络</w:t>
      </w:r>
      <w:r>
        <w:rPr>
          <w:rFonts w:ascii="宋体" w:hAnsi="宋体"/>
          <w:szCs w:val="21"/>
        </w:rPr>
        <w:t>产品</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276"/>
        <w:gridCol w:w="1134"/>
        <w:gridCol w:w="2977"/>
        <w:gridCol w:w="709"/>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rPr>
                <w:rFonts w:ascii="宋体" w:hAnsi="宋体"/>
                <w:sz w:val="21"/>
                <w:szCs w:val="21"/>
              </w:rPr>
            </w:pPr>
            <w:r>
              <w:rPr>
                <w:rFonts w:ascii="宋体" w:hAnsi="宋体"/>
                <w:sz w:val="21"/>
                <w:szCs w:val="21"/>
              </w:rPr>
              <w:t>编号</w:t>
            </w:r>
          </w:p>
        </w:tc>
        <w:tc>
          <w:tcPr>
            <w:tcW w:w="1276" w:type="dxa"/>
          </w:tcPr>
          <w:p>
            <w:pPr>
              <w:rPr>
                <w:rFonts w:ascii="宋体" w:hAnsi="宋体"/>
                <w:sz w:val="21"/>
                <w:szCs w:val="21"/>
              </w:rPr>
            </w:pPr>
            <w:r>
              <w:rPr>
                <w:rFonts w:ascii="宋体" w:hAnsi="宋体"/>
                <w:sz w:val="21"/>
                <w:szCs w:val="21"/>
              </w:rPr>
              <w:t>名称</w:t>
            </w:r>
          </w:p>
        </w:tc>
        <w:tc>
          <w:tcPr>
            <w:tcW w:w="1134" w:type="dxa"/>
          </w:tcPr>
          <w:p>
            <w:pPr>
              <w:rPr>
                <w:rFonts w:ascii="宋体" w:hAnsi="宋体"/>
                <w:sz w:val="21"/>
                <w:szCs w:val="21"/>
              </w:rPr>
            </w:pPr>
            <w:r>
              <w:rPr>
                <w:rFonts w:ascii="宋体" w:hAnsi="宋体"/>
                <w:sz w:val="21"/>
                <w:szCs w:val="21"/>
              </w:rPr>
              <w:t>分类</w:t>
            </w:r>
          </w:p>
        </w:tc>
        <w:tc>
          <w:tcPr>
            <w:tcW w:w="2977" w:type="dxa"/>
          </w:tcPr>
          <w:p>
            <w:pPr>
              <w:rPr>
                <w:rFonts w:ascii="宋体" w:hAnsi="宋体"/>
                <w:sz w:val="21"/>
                <w:szCs w:val="21"/>
              </w:rPr>
            </w:pPr>
            <w:r>
              <w:rPr>
                <w:rFonts w:ascii="宋体" w:hAnsi="宋体"/>
                <w:sz w:val="21"/>
                <w:szCs w:val="21"/>
              </w:rPr>
              <w:t>配置</w:t>
            </w:r>
          </w:p>
        </w:tc>
        <w:tc>
          <w:tcPr>
            <w:tcW w:w="709" w:type="dxa"/>
          </w:tcPr>
          <w:p>
            <w:pPr>
              <w:rPr>
                <w:rFonts w:ascii="宋体" w:hAnsi="宋体"/>
                <w:sz w:val="21"/>
                <w:szCs w:val="21"/>
              </w:rPr>
            </w:pPr>
            <w:r>
              <w:rPr>
                <w:rFonts w:ascii="宋体" w:hAnsi="宋体"/>
                <w:sz w:val="21"/>
                <w:szCs w:val="21"/>
              </w:rPr>
              <w:t>数量</w:t>
            </w:r>
          </w:p>
        </w:tc>
        <w:tc>
          <w:tcPr>
            <w:tcW w:w="1701" w:type="dxa"/>
          </w:tcPr>
          <w:p>
            <w:pPr>
              <w:rPr>
                <w:rFonts w:ascii="宋体" w:hAnsi="宋体"/>
                <w:sz w:val="21"/>
                <w:szCs w:val="21"/>
              </w:rPr>
            </w:pPr>
            <w:r>
              <w:rPr>
                <w:rFonts w:ascii="宋体" w:hAnsi="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rPr>
                <w:rFonts w:ascii="宋体" w:hAnsi="宋体"/>
                <w:sz w:val="21"/>
                <w:szCs w:val="21"/>
              </w:rPr>
            </w:pPr>
            <w:r>
              <w:rPr>
                <w:rFonts w:ascii="宋体" w:hAnsi="宋体"/>
                <w:sz w:val="21"/>
                <w:szCs w:val="21"/>
              </w:rPr>
              <w:t>1</w:t>
            </w:r>
          </w:p>
        </w:tc>
        <w:tc>
          <w:tcPr>
            <w:tcW w:w="1276" w:type="dxa"/>
          </w:tcPr>
          <w:p>
            <w:pPr>
              <w:rPr>
                <w:rFonts w:ascii="宋体" w:hAnsi="宋体"/>
                <w:sz w:val="21"/>
                <w:szCs w:val="21"/>
              </w:rPr>
            </w:pPr>
            <w:r>
              <w:rPr>
                <w:rFonts w:hint="eastAsia" w:ascii="宋体" w:hAnsi="宋体"/>
                <w:sz w:val="21"/>
                <w:szCs w:val="21"/>
              </w:rPr>
              <w:t>核心交换机</w:t>
            </w:r>
          </w:p>
        </w:tc>
        <w:tc>
          <w:tcPr>
            <w:tcW w:w="1134" w:type="dxa"/>
          </w:tcPr>
          <w:p>
            <w:pPr>
              <w:rPr>
                <w:rFonts w:ascii="宋体" w:hAnsi="宋体"/>
                <w:sz w:val="21"/>
                <w:szCs w:val="21"/>
              </w:rPr>
            </w:pPr>
            <w:r>
              <w:rPr>
                <w:rFonts w:ascii="宋体" w:hAnsi="宋体"/>
                <w:sz w:val="21"/>
                <w:szCs w:val="21"/>
              </w:rPr>
              <w:t>网络产品</w:t>
            </w:r>
          </w:p>
        </w:tc>
        <w:tc>
          <w:tcPr>
            <w:tcW w:w="2977" w:type="dxa"/>
          </w:tcPr>
          <w:p>
            <w:pPr>
              <w:rPr>
                <w:rFonts w:ascii="宋体" w:hAnsi="宋体"/>
                <w:sz w:val="21"/>
                <w:szCs w:val="21"/>
              </w:rPr>
            </w:pPr>
            <w:r>
              <w:rPr>
                <w:rFonts w:hint="eastAsia" w:ascii="宋体" w:hAnsi="宋体"/>
                <w:sz w:val="21"/>
                <w:szCs w:val="21"/>
              </w:rPr>
              <w:t>≥3槽位机箱，1块48口千兆光接口板卡（含模块），1块48口10/100/1000以太网板卡，2块堆叠子卡，双主控，双电源，含堆叠专用线</w:t>
            </w:r>
          </w:p>
        </w:tc>
        <w:tc>
          <w:tcPr>
            <w:tcW w:w="709" w:type="dxa"/>
          </w:tcPr>
          <w:p>
            <w:pPr>
              <w:rPr>
                <w:rFonts w:ascii="宋体" w:hAnsi="宋体"/>
                <w:sz w:val="21"/>
                <w:szCs w:val="21"/>
              </w:rPr>
            </w:pPr>
            <w:r>
              <w:rPr>
                <w:rFonts w:ascii="宋体" w:hAnsi="宋体"/>
                <w:sz w:val="21"/>
                <w:szCs w:val="21"/>
              </w:rPr>
              <w:t>2台</w:t>
            </w:r>
          </w:p>
        </w:tc>
        <w:tc>
          <w:tcPr>
            <w:tcW w:w="1701" w:type="dxa"/>
          </w:tcPr>
          <w:p>
            <w:pPr>
              <w:rPr>
                <w:rFonts w:ascii="宋体" w:hAnsi="宋体"/>
                <w:sz w:val="21"/>
                <w:szCs w:val="21"/>
              </w:rPr>
            </w:pPr>
            <w:r>
              <w:rPr>
                <w:rFonts w:hint="eastAsia" w:ascii="宋体" w:hAnsi="宋体"/>
                <w:sz w:val="21"/>
                <w:szCs w:val="21"/>
              </w:rPr>
              <w:t>需结合《关于调整网络安全专用产品安全管理有关事项的公告》的相关要求进行采购。</w:t>
            </w:r>
          </w:p>
        </w:tc>
      </w:tr>
    </w:tbl>
    <w:p>
      <w:pPr>
        <w:spacing w:line="360" w:lineRule="auto"/>
        <w:ind w:firstLine="420" w:firstLineChars="200"/>
        <w:rPr>
          <w:rFonts w:ascii="宋体" w:hAnsi="宋体"/>
          <w:sz w:val="21"/>
          <w:szCs w:val="21"/>
        </w:rPr>
      </w:pPr>
    </w:p>
    <w:p>
      <w:pPr>
        <w:pStyle w:val="3"/>
        <w:numPr>
          <w:ilvl w:val="0"/>
          <w:numId w:val="23"/>
        </w:numPr>
        <w:autoSpaceDE/>
        <w:autoSpaceDN/>
        <w:adjustRightInd/>
        <w:spacing w:before="0"/>
        <w:jc w:val="both"/>
        <w:textAlignment w:val="auto"/>
        <w:rPr>
          <w:rFonts w:ascii="宋体" w:hAnsi="宋体"/>
          <w:bCs/>
          <w:sz w:val="21"/>
          <w:szCs w:val="21"/>
        </w:rPr>
      </w:pPr>
      <w:r>
        <w:rPr>
          <w:rFonts w:ascii="宋体" w:hAnsi="宋体"/>
          <w:bCs/>
          <w:sz w:val="21"/>
          <w:szCs w:val="21"/>
        </w:rPr>
        <w:t>综合布线技术规格和要求</w:t>
      </w:r>
    </w:p>
    <w:p>
      <w:pPr>
        <w:tabs>
          <w:tab w:val="left" w:pos="860"/>
        </w:tabs>
        <w:spacing w:line="360" w:lineRule="auto"/>
        <w:ind w:firstLine="375" w:firstLineChars="179"/>
        <w:rPr>
          <w:rFonts w:hint="default" w:ascii="宋体" w:hAnsi="宋体" w:eastAsia="宋体"/>
          <w:sz w:val="21"/>
          <w:szCs w:val="21"/>
          <w:lang w:val="en-US" w:eastAsia="zh-CN"/>
        </w:rPr>
      </w:pPr>
      <w:r>
        <w:rPr>
          <w:rFonts w:hint="eastAsia" w:ascii="宋体" w:hAnsi="宋体"/>
          <w:sz w:val="21"/>
          <w:szCs w:val="21"/>
        </w:rPr>
        <w:t>满足本项目布线需要。综合布线系统采用非屏蔽布线系统，从配线间(包括配线架)到工作区之间的线缆和模块部分采用六类材料。选用同一品牌设备型号的材料、设备</w:t>
      </w:r>
      <w:r>
        <w:rPr>
          <w:rFonts w:hint="eastAsia" w:ascii="宋体" w:hAnsi="宋体"/>
          <w:sz w:val="21"/>
          <w:szCs w:val="21"/>
          <w:lang w:eastAsia="zh-CN"/>
        </w:rPr>
        <w:t>，合计长度在</w:t>
      </w:r>
      <w:r>
        <w:rPr>
          <w:rFonts w:hint="eastAsia" w:ascii="宋体" w:hAnsi="宋体"/>
          <w:sz w:val="21"/>
          <w:szCs w:val="21"/>
          <w:lang w:val="en-US" w:eastAsia="zh-CN"/>
        </w:rPr>
        <w:t>300米内。</w:t>
      </w:r>
    </w:p>
    <w:p>
      <w:pPr>
        <w:tabs>
          <w:tab w:val="left" w:pos="860"/>
        </w:tabs>
        <w:spacing w:line="360" w:lineRule="auto"/>
        <w:ind w:firstLine="375" w:firstLineChars="179"/>
        <w:rPr>
          <w:rFonts w:ascii="宋体" w:hAnsi="宋体"/>
          <w:sz w:val="21"/>
          <w:szCs w:val="21"/>
        </w:rPr>
      </w:pPr>
      <w:r>
        <w:rPr>
          <w:rFonts w:hint="eastAsia" w:ascii="宋体" w:hAnsi="宋体"/>
          <w:sz w:val="21"/>
          <w:szCs w:val="21"/>
        </w:rPr>
        <w:t>严格按照相关标准施工，符合未来宽带综合业务数据网的发展要求；线缆及配线架上均留有冗余便于以后扩充；所有信息点插座及配线架端口均有编号贴签，便于维护及管理；所有强电、弱电布线均采用线槽或金属线管敷设，防辐射干扰。</w:t>
      </w:r>
    </w:p>
    <w:p>
      <w:pPr>
        <w:pStyle w:val="3"/>
        <w:numPr>
          <w:ilvl w:val="0"/>
          <w:numId w:val="23"/>
        </w:numPr>
        <w:autoSpaceDE/>
        <w:autoSpaceDN/>
        <w:adjustRightInd/>
        <w:spacing w:before="0"/>
        <w:jc w:val="both"/>
        <w:textAlignment w:val="auto"/>
        <w:rPr>
          <w:rFonts w:ascii="宋体" w:hAnsi="宋体"/>
          <w:bCs/>
          <w:sz w:val="21"/>
          <w:szCs w:val="21"/>
        </w:rPr>
      </w:pPr>
      <w:r>
        <w:rPr>
          <w:rFonts w:hint="eastAsia" w:ascii="宋体" w:hAnsi="宋体"/>
          <w:bCs/>
          <w:sz w:val="21"/>
          <w:szCs w:val="21"/>
        </w:rPr>
        <w:t>供应商综合实力要求</w:t>
      </w:r>
    </w:p>
    <w:p>
      <w:pPr>
        <w:pStyle w:val="4"/>
        <w:numPr>
          <w:ilvl w:val="1"/>
          <w:numId w:val="23"/>
        </w:numPr>
        <w:autoSpaceDE/>
        <w:autoSpaceDN/>
        <w:adjustRightInd/>
        <w:spacing w:before="0" w:after="0" w:line="360" w:lineRule="auto"/>
        <w:ind w:left="0" w:firstLine="0"/>
        <w:jc w:val="both"/>
        <w:textAlignment w:val="auto"/>
        <w:rPr>
          <w:rFonts w:ascii="宋体" w:hAnsi="宋体"/>
          <w:szCs w:val="21"/>
        </w:rPr>
      </w:pPr>
      <w:r>
        <w:rPr>
          <w:rFonts w:ascii="宋体" w:hAnsi="宋体"/>
          <w:szCs w:val="21"/>
        </w:rPr>
        <w:t>技术实力要求</w:t>
      </w:r>
    </w:p>
    <w:p>
      <w:pPr>
        <w:spacing w:line="360" w:lineRule="auto"/>
        <w:ind w:firstLine="420" w:firstLineChars="200"/>
        <w:rPr>
          <w:rFonts w:ascii="宋体" w:hAnsi="宋体"/>
          <w:sz w:val="21"/>
          <w:szCs w:val="21"/>
        </w:rPr>
      </w:pPr>
      <w:r>
        <w:rPr>
          <w:rFonts w:hint="eastAsia" w:ascii="宋体" w:hAnsi="宋体"/>
          <w:sz w:val="21"/>
          <w:szCs w:val="21"/>
        </w:rPr>
        <w:t>响应供应商需具备较强的技术研发能力和项目实施能力，能够独立完成项目建设的设计、开发、部署、运维等全生命周期工作。企业应展示以下技术优势：</w:t>
      </w:r>
    </w:p>
    <w:p>
      <w:pPr>
        <w:spacing w:line="360" w:lineRule="auto"/>
        <w:ind w:firstLine="420" w:firstLineChars="200"/>
        <w:rPr>
          <w:rFonts w:ascii="宋体" w:hAnsi="宋体"/>
          <w:sz w:val="21"/>
          <w:szCs w:val="21"/>
        </w:rPr>
      </w:pPr>
      <w:r>
        <w:rPr>
          <w:rFonts w:hint="eastAsia" w:ascii="宋体" w:hAnsi="宋体"/>
          <w:sz w:val="21"/>
          <w:szCs w:val="21"/>
        </w:rPr>
        <w:t>（1）拥有成熟的技术解决方案和成功案例，能够保障系统建设的先进性、稳定性和安全性。</w:t>
      </w:r>
    </w:p>
    <w:p>
      <w:pPr>
        <w:spacing w:line="360" w:lineRule="auto"/>
        <w:ind w:firstLine="420" w:firstLineChars="200"/>
        <w:rPr>
          <w:rFonts w:ascii="宋体" w:hAnsi="宋体"/>
          <w:sz w:val="21"/>
          <w:szCs w:val="21"/>
        </w:rPr>
      </w:pPr>
      <w:r>
        <w:rPr>
          <w:rFonts w:hint="eastAsia" w:ascii="宋体" w:hAnsi="宋体"/>
          <w:sz w:val="21"/>
          <w:szCs w:val="21"/>
        </w:rPr>
        <w:t>（2）在大数据、云计算、信息安全等领域具备领先的技术优势，并有成功的应用经验。</w:t>
      </w:r>
    </w:p>
    <w:p>
      <w:pPr>
        <w:spacing w:line="360" w:lineRule="auto"/>
        <w:ind w:firstLine="420" w:firstLineChars="200"/>
        <w:rPr>
          <w:rFonts w:ascii="宋体" w:hAnsi="宋体"/>
          <w:sz w:val="21"/>
          <w:szCs w:val="21"/>
        </w:rPr>
      </w:pPr>
      <w:r>
        <w:rPr>
          <w:rFonts w:hint="eastAsia" w:ascii="宋体" w:hAnsi="宋体"/>
          <w:sz w:val="21"/>
          <w:szCs w:val="21"/>
        </w:rPr>
        <w:t>（3）提供所使用技术平台、框架、工具的详细说明，确保技术方案的可靠性和扩展性。</w:t>
      </w:r>
    </w:p>
    <w:p>
      <w:pPr>
        <w:spacing w:line="360" w:lineRule="auto"/>
        <w:ind w:firstLine="420" w:firstLineChars="200"/>
        <w:rPr>
          <w:rFonts w:ascii="宋体" w:hAnsi="宋体"/>
          <w:sz w:val="21"/>
          <w:szCs w:val="21"/>
        </w:rPr>
      </w:pPr>
      <w:r>
        <w:rPr>
          <w:rFonts w:ascii="宋体" w:hAnsi="宋体"/>
          <w:sz w:val="21"/>
          <w:szCs w:val="21"/>
        </w:rPr>
        <w:t>（4）具有商用密码适配经验、云主机运用和管理经验。</w:t>
      </w:r>
    </w:p>
    <w:p>
      <w:pPr>
        <w:pStyle w:val="4"/>
        <w:numPr>
          <w:ilvl w:val="1"/>
          <w:numId w:val="23"/>
        </w:numPr>
        <w:autoSpaceDE/>
        <w:autoSpaceDN/>
        <w:adjustRightInd/>
        <w:spacing w:before="0" w:after="0" w:line="360" w:lineRule="auto"/>
        <w:ind w:left="0" w:firstLine="0"/>
        <w:jc w:val="both"/>
        <w:textAlignment w:val="auto"/>
        <w:rPr>
          <w:rFonts w:ascii="宋体" w:hAnsi="宋体"/>
          <w:szCs w:val="21"/>
        </w:rPr>
      </w:pPr>
      <w:r>
        <w:rPr>
          <w:rFonts w:hint="eastAsia" w:ascii="宋体" w:hAnsi="宋体"/>
          <w:szCs w:val="21"/>
          <w:lang w:eastAsia="zh-CN"/>
        </w:rPr>
        <w:t>政务信息系统</w:t>
      </w:r>
      <w:r>
        <w:rPr>
          <w:rFonts w:ascii="宋体" w:hAnsi="宋体"/>
          <w:szCs w:val="21"/>
        </w:rPr>
        <w:t>经验</w:t>
      </w:r>
    </w:p>
    <w:p>
      <w:pPr>
        <w:spacing w:line="360" w:lineRule="auto"/>
        <w:ind w:firstLine="420" w:firstLineChars="200"/>
        <w:rPr>
          <w:rFonts w:ascii="宋体" w:hAnsi="宋体"/>
          <w:sz w:val="21"/>
          <w:szCs w:val="21"/>
        </w:rPr>
      </w:pPr>
      <w:r>
        <w:rPr>
          <w:rFonts w:hint="eastAsia" w:ascii="宋体" w:hAnsi="宋体"/>
          <w:sz w:val="21"/>
          <w:szCs w:val="21"/>
        </w:rPr>
        <w:t>响应供应商应具有政务信息系统项目的丰富实施经验，具体要求如下：</w:t>
      </w:r>
    </w:p>
    <w:p>
      <w:pPr>
        <w:spacing w:line="360" w:lineRule="auto"/>
        <w:ind w:firstLine="420" w:firstLineChars="200"/>
        <w:rPr>
          <w:rFonts w:ascii="宋体" w:hAnsi="宋体"/>
          <w:sz w:val="21"/>
          <w:szCs w:val="21"/>
        </w:rPr>
      </w:pPr>
      <w:r>
        <w:rPr>
          <w:rFonts w:hint="eastAsia" w:ascii="宋体" w:hAnsi="宋体"/>
          <w:sz w:val="21"/>
          <w:szCs w:val="21"/>
        </w:rPr>
        <w:t>（1）过去三年内完成多个</w:t>
      </w:r>
      <w:r>
        <w:rPr>
          <w:rFonts w:hint="eastAsia" w:ascii="宋体" w:hAnsi="宋体"/>
          <w:sz w:val="21"/>
          <w:szCs w:val="21"/>
          <w:lang w:eastAsia="zh-CN"/>
        </w:rPr>
        <w:t>政务</w:t>
      </w:r>
      <w:bookmarkStart w:id="20" w:name="_GoBack"/>
      <w:bookmarkEnd w:id="20"/>
      <w:r>
        <w:rPr>
          <w:rFonts w:hint="eastAsia" w:ascii="宋体" w:hAnsi="宋体"/>
          <w:sz w:val="21"/>
          <w:szCs w:val="21"/>
        </w:rPr>
        <w:t>信息系统建设项目的成功案例，并提供相关的业绩证明材料。</w:t>
      </w:r>
    </w:p>
    <w:p>
      <w:pPr>
        <w:spacing w:line="360" w:lineRule="auto"/>
        <w:ind w:firstLine="420" w:firstLineChars="200"/>
        <w:rPr>
          <w:rFonts w:ascii="宋体" w:hAnsi="宋体"/>
          <w:sz w:val="21"/>
          <w:szCs w:val="21"/>
        </w:rPr>
      </w:pPr>
      <w:r>
        <w:rPr>
          <w:rFonts w:hint="eastAsia" w:ascii="宋体" w:hAnsi="宋体"/>
          <w:sz w:val="21"/>
          <w:szCs w:val="21"/>
        </w:rPr>
        <w:t>（2）相关信息系统建设和运维项目具有实际应用案例。</w:t>
      </w:r>
    </w:p>
    <w:p>
      <w:pPr>
        <w:pStyle w:val="4"/>
        <w:numPr>
          <w:ilvl w:val="1"/>
          <w:numId w:val="23"/>
        </w:numPr>
        <w:autoSpaceDE/>
        <w:autoSpaceDN/>
        <w:adjustRightInd/>
        <w:spacing w:before="0" w:after="0" w:line="360" w:lineRule="auto"/>
        <w:ind w:left="0" w:firstLine="0"/>
        <w:jc w:val="both"/>
        <w:textAlignment w:val="auto"/>
        <w:rPr>
          <w:rFonts w:ascii="宋体" w:hAnsi="宋体"/>
          <w:szCs w:val="21"/>
        </w:rPr>
      </w:pPr>
      <w:r>
        <w:rPr>
          <w:rFonts w:ascii="宋体" w:hAnsi="宋体"/>
          <w:szCs w:val="21"/>
        </w:rPr>
        <w:t>项目管理与实施能力</w:t>
      </w:r>
    </w:p>
    <w:p>
      <w:pPr>
        <w:spacing w:line="360" w:lineRule="auto"/>
        <w:ind w:firstLine="420" w:firstLineChars="200"/>
        <w:rPr>
          <w:rFonts w:ascii="宋体" w:hAnsi="宋体"/>
          <w:sz w:val="21"/>
          <w:szCs w:val="21"/>
        </w:rPr>
      </w:pPr>
      <w:r>
        <w:rPr>
          <w:rFonts w:hint="eastAsia" w:ascii="宋体" w:hAnsi="宋体"/>
          <w:sz w:val="21"/>
          <w:szCs w:val="21"/>
        </w:rPr>
        <w:t>响应供应商应具备一支高素质的专业团队，具体要求如下：</w:t>
      </w:r>
    </w:p>
    <w:p>
      <w:pPr>
        <w:spacing w:line="360" w:lineRule="auto"/>
        <w:ind w:firstLine="420" w:firstLineChars="200"/>
        <w:rPr>
          <w:rFonts w:ascii="宋体" w:hAnsi="宋体"/>
          <w:sz w:val="21"/>
          <w:szCs w:val="21"/>
        </w:rPr>
      </w:pPr>
      <w:r>
        <w:rPr>
          <w:rFonts w:hint="eastAsia" w:ascii="宋体" w:hAnsi="宋体"/>
          <w:sz w:val="21"/>
          <w:szCs w:val="21"/>
        </w:rPr>
        <w:t>（1）核心团队成员需具有丰富的项目管理经验和技术实施能力，并提供团队成员的资质证书或专业背景介绍。</w:t>
      </w:r>
    </w:p>
    <w:p>
      <w:pPr>
        <w:spacing w:line="360" w:lineRule="auto"/>
        <w:ind w:firstLine="420" w:firstLineChars="200"/>
        <w:rPr>
          <w:rFonts w:ascii="宋体" w:hAnsi="宋体"/>
          <w:sz w:val="21"/>
          <w:szCs w:val="21"/>
        </w:rPr>
      </w:pPr>
      <w:r>
        <w:rPr>
          <w:rFonts w:hint="eastAsia" w:ascii="宋体" w:hAnsi="宋体"/>
          <w:sz w:val="21"/>
          <w:szCs w:val="21"/>
        </w:rPr>
        <w:t>（2）关键岗位的项目经理、系统架构师、开发人员等需具备信息系统建设领域相关的从业资历，并至少参与过2个类似项目的实施。</w:t>
      </w:r>
    </w:p>
    <w:p>
      <w:pPr>
        <w:spacing w:line="360" w:lineRule="auto"/>
        <w:ind w:firstLine="420" w:firstLineChars="200"/>
        <w:rPr>
          <w:rFonts w:ascii="宋体" w:hAnsi="宋体"/>
          <w:sz w:val="21"/>
          <w:szCs w:val="21"/>
        </w:rPr>
      </w:pPr>
      <w:r>
        <w:rPr>
          <w:rFonts w:ascii="宋体" w:hAnsi="宋体"/>
          <w:sz w:val="21"/>
          <w:szCs w:val="21"/>
        </w:rPr>
        <w:t>（3）项目团队</w:t>
      </w:r>
      <w:r>
        <w:rPr>
          <w:rFonts w:hint="eastAsia" w:ascii="宋体" w:hAnsi="宋体"/>
          <w:sz w:val="21"/>
          <w:szCs w:val="21"/>
        </w:rPr>
        <w:t>主要人员</w:t>
      </w:r>
      <w:r>
        <w:rPr>
          <w:rFonts w:ascii="宋体" w:hAnsi="宋体"/>
          <w:sz w:val="21"/>
          <w:szCs w:val="21"/>
        </w:rPr>
        <w:t>需在用户现场进行业务需求调研、系统研发、系统测试等。</w:t>
      </w:r>
    </w:p>
    <w:p>
      <w:pPr>
        <w:pStyle w:val="4"/>
        <w:numPr>
          <w:ilvl w:val="1"/>
          <w:numId w:val="23"/>
        </w:numPr>
        <w:autoSpaceDE/>
        <w:autoSpaceDN/>
        <w:adjustRightInd/>
        <w:spacing w:before="0" w:after="0" w:line="360" w:lineRule="auto"/>
        <w:ind w:left="0" w:firstLine="0"/>
        <w:jc w:val="both"/>
        <w:textAlignment w:val="auto"/>
        <w:rPr>
          <w:rFonts w:ascii="宋体" w:hAnsi="宋体"/>
          <w:szCs w:val="21"/>
        </w:rPr>
      </w:pPr>
      <w:r>
        <w:rPr>
          <w:rFonts w:ascii="宋体" w:hAnsi="宋体"/>
          <w:szCs w:val="21"/>
        </w:rPr>
        <w:t>客户服务于支持</w:t>
      </w:r>
    </w:p>
    <w:p>
      <w:pPr>
        <w:spacing w:line="360" w:lineRule="auto"/>
        <w:ind w:firstLine="420" w:firstLineChars="200"/>
        <w:rPr>
          <w:rFonts w:ascii="宋体" w:hAnsi="宋体"/>
          <w:sz w:val="21"/>
          <w:szCs w:val="21"/>
        </w:rPr>
      </w:pPr>
      <w:r>
        <w:rPr>
          <w:rFonts w:hint="eastAsia" w:ascii="宋体" w:hAnsi="宋体"/>
          <w:sz w:val="21"/>
          <w:szCs w:val="21"/>
        </w:rPr>
        <w:t>响应供应商需具备完善的售后服务体系，能够为系统的后期运维、维护和升级提供有力支持。具体要求包括：</w:t>
      </w:r>
    </w:p>
    <w:p>
      <w:pPr>
        <w:spacing w:line="360" w:lineRule="auto"/>
        <w:ind w:firstLine="420" w:firstLineChars="200"/>
        <w:rPr>
          <w:rFonts w:ascii="宋体" w:hAnsi="宋体"/>
          <w:sz w:val="21"/>
          <w:szCs w:val="21"/>
        </w:rPr>
      </w:pPr>
      <w:r>
        <w:rPr>
          <w:rFonts w:hint="eastAsia" w:ascii="宋体" w:hAnsi="宋体"/>
          <w:sz w:val="21"/>
          <w:szCs w:val="21"/>
        </w:rPr>
        <w:t>（1）提供详细的售后服务计划，包括响应时间、支持内容、服务标准等。</w:t>
      </w:r>
    </w:p>
    <w:p>
      <w:pPr>
        <w:spacing w:line="360" w:lineRule="auto"/>
        <w:ind w:firstLine="420" w:firstLineChars="200"/>
        <w:rPr>
          <w:rFonts w:ascii="宋体" w:hAnsi="宋体"/>
          <w:sz w:val="21"/>
          <w:szCs w:val="21"/>
        </w:rPr>
      </w:pPr>
      <w:r>
        <w:rPr>
          <w:rFonts w:hint="eastAsia" w:ascii="宋体" w:hAnsi="宋体"/>
          <w:sz w:val="21"/>
          <w:szCs w:val="21"/>
        </w:rPr>
        <w:t>（2）售后团队需具备相应的资质和经验，能够提供7×24小时的技术支持与维护。</w:t>
      </w:r>
    </w:p>
    <w:p>
      <w:pPr>
        <w:pStyle w:val="3"/>
        <w:numPr>
          <w:ilvl w:val="0"/>
          <w:numId w:val="23"/>
        </w:numPr>
        <w:autoSpaceDE/>
        <w:autoSpaceDN/>
        <w:adjustRightInd/>
        <w:spacing w:before="0"/>
        <w:jc w:val="both"/>
        <w:textAlignment w:val="auto"/>
        <w:rPr>
          <w:rFonts w:ascii="宋体" w:hAnsi="宋体"/>
          <w:bCs/>
          <w:sz w:val="21"/>
          <w:szCs w:val="21"/>
        </w:rPr>
      </w:pPr>
      <w:r>
        <w:rPr>
          <w:rFonts w:hint="eastAsia" w:ascii="宋体" w:hAnsi="宋体"/>
          <w:bCs/>
          <w:sz w:val="21"/>
          <w:szCs w:val="21"/>
        </w:rPr>
        <w:t>供应商工作内容</w:t>
      </w:r>
    </w:p>
    <w:p>
      <w:pPr>
        <w:spacing w:line="360" w:lineRule="auto"/>
        <w:ind w:firstLine="420" w:firstLineChars="200"/>
        <w:rPr>
          <w:rFonts w:ascii="宋体" w:hAnsi="宋体"/>
          <w:sz w:val="21"/>
          <w:szCs w:val="21"/>
        </w:rPr>
      </w:pPr>
      <w:r>
        <w:rPr>
          <w:rFonts w:hint="eastAsia" w:ascii="宋体" w:hAnsi="宋体"/>
          <w:sz w:val="21"/>
          <w:szCs w:val="21"/>
        </w:rPr>
        <w:t>响应供应商作为系统建设阶段技术总负责，将负责项目工程建设各个阶段及各项建设内容，负责硬件设备和软件系统的安装、配置、调试、测试、总体联调、试运行、验收，直至系统正式运行，负责与线路运营商的网络接入，负责系统割接和数据移植。</w:t>
      </w:r>
    </w:p>
    <w:p>
      <w:pPr>
        <w:spacing w:line="360" w:lineRule="auto"/>
        <w:ind w:firstLine="420" w:firstLineChars="200"/>
        <w:rPr>
          <w:rFonts w:ascii="宋体" w:hAnsi="宋体"/>
          <w:sz w:val="21"/>
          <w:szCs w:val="21"/>
        </w:rPr>
      </w:pPr>
      <w:r>
        <w:rPr>
          <w:rFonts w:hint="eastAsia" w:ascii="宋体" w:hAnsi="宋体"/>
          <w:sz w:val="21"/>
          <w:szCs w:val="21"/>
        </w:rPr>
        <w:t>响应供应商必须在深入了解项目建设内容的基础上，进行细化设计，定义、明确各个系统的功能要求、技术规范、性能指标要求等，在正式提交的全国网上信访系统（上海分系统）升级改造实施方案中定义各个系统之间的边界和接口规范，细化、明确项目工程建设中的各个业务和处理流程，包括数据流程、业务流程等；负责系统进行开发、实施，协调相关单位、设备供货商之间在项目开发、实施过程中出现的技术问题；对各系统进行检验、安装、配置、调试、测试、验收，并进行系统集成，对集成的系统进行集成测试、验收测试；在工程建设最终验收之前，还负责对整个系统的日常管理、运行维护工作。</w:t>
      </w:r>
    </w:p>
    <w:p>
      <w:pPr>
        <w:spacing w:line="360" w:lineRule="auto"/>
        <w:ind w:firstLine="420" w:firstLineChars="200"/>
        <w:rPr>
          <w:rFonts w:ascii="宋体" w:hAnsi="宋体"/>
          <w:sz w:val="21"/>
          <w:szCs w:val="21"/>
        </w:rPr>
      </w:pPr>
      <w:r>
        <w:rPr>
          <w:rFonts w:hint="eastAsia" w:ascii="宋体" w:hAnsi="宋体"/>
          <w:sz w:val="21"/>
          <w:szCs w:val="21"/>
        </w:rPr>
        <w:t>响应供应商应在本系统建设总体方案、实施方案的基础上和约束下进行详细设计和系统集成。如果响应供应商认为需要对项目设计作出修改，须以书面的形式向业主方提出，由业主方确认后生效。响应供应商应负责工程建设的系统总体集成，包括硬件平台、系统软件平台、网络系统、安全体系等集成，以及应用软件系统的集成，负责处理相关单位、设备和系统供货商之间的实施边界问题，负责关键技术和难点问题的技术攻关；负责工程建设的集成测试和验收测试工作，要求建成的系统达到设计的各项性能、安全性、可靠性等指标；所有硬件设备、系统软件、应用软件的配置都要记录详细的配置参数和配置方法，并达到设计的各项性能、安全性、可靠性等指标。</w:t>
      </w:r>
    </w:p>
    <w:p>
      <w:pPr>
        <w:spacing w:line="360" w:lineRule="auto"/>
        <w:ind w:firstLine="420" w:firstLineChars="200"/>
        <w:rPr>
          <w:rFonts w:ascii="宋体" w:hAnsi="宋体"/>
          <w:sz w:val="21"/>
          <w:szCs w:val="21"/>
        </w:rPr>
      </w:pPr>
      <w:r>
        <w:rPr>
          <w:rFonts w:hint="eastAsia" w:ascii="宋体" w:hAnsi="宋体"/>
          <w:sz w:val="21"/>
          <w:szCs w:val="21"/>
        </w:rPr>
        <w:t>系统建设的主要任务和要求至少包括：</w:t>
      </w:r>
    </w:p>
    <w:p>
      <w:pPr>
        <w:spacing w:line="360" w:lineRule="auto"/>
        <w:ind w:firstLine="420" w:firstLineChars="200"/>
        <w:rPr>
          <w:rFonts w:ascii="宋体" w:hAnsi="宋体"/>
          <w:sz w:val="21"/>
          <w:szCs w:val="21"/>
        </w:rPr>
      </w:pPr>
      <w:r>
        <w:rPr>
          <w:rFonts w:hint="eastAsia" w:ascii="宋体" w:hAnsi="宋体"/>
          <w:sz w:val="21"/>
          <w:szCs w:val="21"/>
        </w:rPr>
        <w:t>(1) 核心硬件平台建设的集成：负责优化、审核、确认核心硬件平台的详细架构设计和详细配置方案；负责设备的检验、安装、配置、调试、测试、验收等工作；要求所有设备、操作系统及支撑软件系统均能正常运行，并达到项目设计要求的各项指标。</w:t>
      </w:r>
    </w:p>
    <w:p>
      <w:pPr>
        <w:spacing w:line="360" w:lineRule="auto"/>
        <w:ind w:firstLine="420" w:firstLineChars="200"/>
        <w:rPr>
          <w:rFonts w:ascii="宋体" w:hAnsi="宋体"/>
          <w:sz w:val="21"/>
          <w:szCs w:val="21"/>
        </w:rPr>
      </w:pPr>
      <w:r>
        <w:rPr>
          <w:rFonts w:hint="eastAsia" w:ascii="宋体" w:hAnsi="宋体"/>
          <w:sz w:val="21"/>
          <w:szCs w:val="21"/>
        </w:rPr>
        <w:t>(2) 软件建设的集成：负责优化、审核、确认先行系统的网络的详细架构设计和详细配置方案；负责云上资源的申请、配置、调试等；负责虚拟机IP地址的规划、中间件的配置；负责协调网络链路、设备供应商，确保网络链路的正常工作和性能优化。要求应用系统能达到设计的各项要求。</w:t>
      </w:r>
    </w:p>
    <w:p>
      <w:pPr>
        <w:spacing w:line="360" w:lineRule="auto"/>
        <w:ind w:firstLine="420" w:firstLineChars="200"/>
        <w:rPr>
          <w:rFonts w:ascii="宋体" w:hAnsi="宋体"/>
          <w:sz w:val="21"/>
          <w:szCs w:val="21"/>
        </w:rPr>
      </w:pPr>
      <w:r>
        <w:rPr>
          <w:rFonts w:hint="eastAsia" w:ascii="宋体" w:hAnsi="宋体"/>
          <w:sz w:val="21"/>
          <w:szCs w:val="21"/>
        </w:rPr>
        <w:t>(3) 安全体系：负责从基础平台（物理、系统）、网络平台、云平台、密码平台、应用平台以及安全管理等方面全方位的进行安全设计和统一管理；负责相关的设备和软件的安装、配置、调试、测试、验收等工作；负责安全体系检验、配置、调试、测试、验收等工作；实现网络级安全、系统级安全和应用级安全，并达到项目设计要求的各项指标。要求整个本系统不存在安全隐患及漏洞，运行安全、稳定、可靠，有较强的防病毒、防攻击、防破坏能力，提高整个系统的安全性能。</w:t>
      </w:r>
    </w:p>
    <w:p>
      <w:pPr>
        <w:spacing w:line="360" w:lineRule="auto"/>
        <w:ind w:firstLine="420" w:firstLineChars="200"/>
        <w:rPr>
          <w:rFonts w:ascii="宋体" w:hAnsi="宋体"/>
          <w:sz w:val="21"/>
          <w:szCs w:val="21"/>
        </w:rPr>
      </w:pPr>
      <w:r>
        <w:rPr>
          <w:rFonts w:hint="eastAsia" w:ascii="宋体" w:hAnsi="宋体"/>
          <w:sz w:val="21"/>
          <w:szCs w:val="21"/>
        </w:rPr>
        <w:t>(5) 验收条件：应先提交项目设计书、项目总体结构设计报告、质量保证计划、质量检查表和问题跟踪、数据库设计报告、配置管理计划、项目实施计划、测试计划、测试方案、测试报告、使用手册、用户验收计划、需求分析报告、概要设计书等文档。在项目竣工后，由业主方、承建方、监理方组织有关人员共同对项目进行初步验收。初步验收通过后，按完整的信息化项目验收程序和要求进行验收，最终将项目移交给业主方。</w:t>
      </w:r>
    </w:p>
    <w:p>
      <w:pPr>
        <w:spacing w:line="360" w:lineRule="auto"/>
        <w:ind w:firstLine="420" w:firstLineChars="200"/>
        <w:rPr>
          <w:rFonts w:ascii="宋体" w:hAnsi="宋体"/>
          <w:sz w:val="21"/>
          <w:szCs w:val="21"/>
        </w:rPr>
      </w:pPr>
      <w:r>
        <w:rPr>
          <w:rFonts w:hint="eastAsia" w:ascii="宋体" w:hAnsi="宋体"/>
          <w:sz w:val="21"/>
          <w:szCs w:val="21"/>
        </w:rPr>
        <w:t>(6) 响应供应商需作出无推诿承诺。即系统总集成应提供特殊措施，无论由于哪一方产生的问题而使系统发生不正常情况时，须立即派工程师到现场全力协助，直至系统故障原因找到并解决，系统恢复正常。</w:t>
      </w:r>
    </w:p>
    <w:p>
      <w:pPr>
        <w:pStyle w:val="3"/>
        <w:numPr>
          <w:ilvl w:val="0"/>
          <w:numId w:val="23"/>
        </w:numPr>
        <w:autoSpaceDE/>
        <w:autoSpaceDN/>
        <w:adjustRightInd/>
        <w:spacing w:before="0"/>
        <w:jc w:val="both"/>
        <w:textAlignment w:val="auto"/>
        <w:rPr>
          <w:rFonts w:ascii="宋体" w:hAnsi="宋体"/>
          <w:bCs/>
          <w:sz w:val="21"/>
          <w:szCs w:val="21"/>
        </w:rPr>
      </w:pPr>
      <w:r>
        <w:rPr>
          <w:rFonts w:ascii="宋体" w:hAnsi="宋体"/>
          <w:bCs/>
          <w:sz w:val="21"/>
          <w:szCs w:val="21"/>
        </w:rPr>
        <w:t>安装、调试和验收</w:t>
      </w:r>
    </w:p>
    <w:p>
      <w:pPr>
        <w:pStyle w:val="4"/>
        <w:autoSpaceDE/>
        <w:autoSpaceDN/>
        <w:adjustRightInd/>
        <w:spacing w:before="0" w:after="0" w:line="360" w:lineRule="auto"/>
        <w:jc w:val="both"/>
        <w:textAlignment w:val="auto"/>
        <w:rPr>
          <w:rFonts w:ascii="宋体" w:hAnsi="宋体"/>
          <w:szCs w:val="21"/>
        </w:rPr>
      </w:pPr>
      <w:r>
        <w:rPr>
          <w:rFonts w:hint="eastAsia" w:ascii="宋体" w:hAnsi="宋体"/>
          <w:szCs w:val="21"/>
        </w:rPr>
        <w:t>8.1</w:t>
      </w:r>
      <w:r>
        <w:rPr>
          <w:rFonts w:ascii="宋体" w:hAnsi="宋体"/>
          <w:szCs w:val="21"/>
        </w:rPr>
        <w:t>安装计划</w:t>
      </w:r>
    </w:p>
    <w:p>
      <w:pPr>
        <w:tabs>
          <w:tab w:val="left" w:pos="860"/>
        </w:tabs>
        <w:spacing w:line="360" w:lineRule="auto"/>
        <w:ind w:firstLine="375" w:firstLineChars="179"/>
        <w:rPr>
          <w:rFonts w:ascii="宋体" w:hAnsi="宋体"/>
          <w:sz w:val="21"/>
          <w:szCs w:val="21"/>
        </w:rPr>
      </w:pPr>
      <w:r>
        <w:rPr>
          <w:rFonts w:ascii="宋体" w:hAnsi="宋体"/>
          <w:sz w:val="21"/>
          <w:szCs w:val="21"/>
        </w:rPr>
        <w:t>提供针对本项目的安装实施计划，并满足以下要求</w:t>
      </w:r>
    </w:p>
    <w:p>
      <w:pPr>
        <w:tabs>
          <w:tab w:val="left" w:pos="860"/>
        </w:tabs>
        <w:spacing w:line="360" w:lineRule="auto"/>
        <w:ind w:firstLine="375" w:firstLineChars="179"/>
        <w:rPr>
          <w:rFonts w:ascii="宋体" w:hAnsi="宋体"/>
          <w:sz w:val="21"/>
          <w:szCs w:val="21"/>
        </w:rPr>
      </w:pPr>
      <w:r>
        <w:rPr>
          <w:rFonts w:ascii="宋体" w:hAnsi="宋体"/>
          <w:sz w:val="21"/>
          <w:szCs w:val="21"/>
        </w:rPr>
        <w:t>工期要求</w:t>
      </w:r>
    </w:p>
    <w:p>
      <w:pPr>
        <w:tabs>
          <w:tab w:val="left" w:pos="860"/>
        </w:tabs>
        <w:spacing w:line="360" w:lineRule="auto"/>
        <w:ind w:firstLine="375" w:firstLineChars="179"/>
        <w:rPr>
          <w:rFonts w:ascii="宋体" w:hAnsi="宋体"/>
          <w:sz w:val="21"/>
          <w:szCs w:val="21"/>
        </w:rPr>
      </w:pPr>
      <w:r>
        <w:rPr>
          <w:rFonts w:ascii="宋体" w:hAnsi="宋体"/>
          <w:sz w:val="21"/>
          <w:szCs w:val="21"/>
        </w:rPr>
        <w:t>响应供应商应按采购人的工期要求，完成系统的应用软件开发，系统的安装调测，系统初验，系统终验等。</w:t>
      </w:r>
    </w:p>
    <w:p>
      <w:pPr>
        <w:tabs>
          <w:tab w:val="left" w:pos="860"/>
        </w:tabs>
        <w:spacing w:line="360" w:lineRule="auto"/>
        <w:ind w:firstLine="375" w:firstLineChars="179"/>
        <w:rPr>
          <w:rFonts w:ascii="宋体" w:hAnsi="宋体"/>
          <w:sz w:val="21"/>
          <w:szCs w:val="21"/>
        </w:rPr>
      </w:pPr>
      <w:r>
        <w:rPr>
          <w:rFonts w:ascii="宋体" w:hAnsi="宋体"/>
          <w:sz w:val="21"/>
          <w:szCs w:val="21"/>
        </w:rPr>
        <w:t>响应供应商应提供详细的软件开发、安装调测等工期计划表，并经采购人认可。</w:t>
      </w:r>
    </w:p>
    <w:p>
      <w:pPr>
        <w:tabs>
          <w:tab w:val="left" w:pos="860"/>
        </w:tabs>
        <w:spacing w:line="360" w:lineRule="auto"/>
        <w:ind w:firstLine="375" w:firstLineChars="179"/>
        <w:rPr>
          <w:rFonts w:ascii="宋体" w:hAnsi="宋体"/>
          <w:sz w:val="21"/>
          <w:szCs w:val="21"/>
        </w:rPr>
      </w:pPr>
      <w:r>
        <w:rPr>
          <w:rFonts w:ascii="宋体" w:hAnsi="宋体"/>
          <w:sz w:val="21"/>
          <w:szCs w:val="21"/>
        </w:rPr>
        <w:t>工程实施计划</w:t>
      </w:r>
    </w:p>
    <w:p>
      <w:pPr>
        <w:tabs>
          <w:tab w:val="left" w:pos="860"/>
        </w:tabs>
        <w:spacing w:line="360" w:lineRule="auto"/>
        <w:ind w:firstLine="375" w:firstLineChars="179"/>
        <w:rPr>
          <w:rFonts w:ascii="宋体" w:hAnsi="宋体"/>
          <w:sz w:val="21"/>
          <w:szCs w:val="21"/>
        </w:rPr>
      </w:pPr>
      <w:r>
        <w:rPr>
          <w:rFonts w:ascii="宋体" w:hAnsi="宋体"/>
          <w:sz w:val="21"/>
          <w:szCs w:val="21"/>
        </w:rPr>
        <w:t>（1）响应供应商应在技术建议书中，详细说明工程的组织及计划（包括详细的人员情况、组织、安排及工程实施方案）。</w:t>
      </w:r>
    </w:p>
    <w:p>
      <w:pPr>
        <w:tabs>
          <w:tab w:val="left" w:pos="860"/>
        </w:tabs>
        <w:spacing w:line="360" w:lineRule="auto"/>
        <w:ind w:firstLine="375" w:firstLineChars="179"/>
        <w:rPr>
          <w:rFonts w:ascii="宋体" w:hAnsi="宋体"/>
          <w:sz w:val="21"/>
          <w:szCs w:val="21"/>
        </w:rPr>
      </w:pPr>
      <w:r>
        <w:rPr>
          <w:rFonts w:ascii="宋体" w:hAnsi="宋体"/>
          <w:sz w:val="21"/>
          <w:szCs w:val="21"/>
        </w:rPr>
        <w:t>（2）响应供应商应列出详细的工程实施计划表，响应供应商的工程实施计划表可采用电子表格形式，也可采用MS Project等图表方式补充表达。</w:t>
      </w:r>
    </w:p>
    <w:p>
      <w:pPr>
        <w:pStyle w:val="4"/>
        <w:autoSpaceDE/>
        <w:autoSpaceDN/>
        <w:adjustRightInd/>
        <w:spacing w:before="0" w:after="0" w:line="360" w:lineRule="auto"/>
        <w:jc w:val="both"/>
        <w:textAlignment w:val="auto"/>
        <w:rPr>
          <w:rFonts w:ascii="宋体" w:hAnsi="宋体"/>
          <w:szCs w:val="21"/>
        </w:rPr>
      </w:pPr>
      <w:r>
        <w:rPr>
          <w:rFonts w:hint="eastAsia" w:ascii="宋体" w:hAnsi="宋体"/>
          <w:szCs w:val="21"/>
        </w:rPr>
        <w:t>8.2</w:t>
      </w:r>
      <w:r>
        <w:rPr>
          <w:rFonts w:ascii="宋体" w:hAnsi="宋体"/>
          <w:szCs w:val="21"/>
        </w:rPr>
        <w:t>实施方案</w:t>
      </w:r>
    </w:p>
    <w:p>
      <w:pPr>
        <w:tabs>
          <w:tab w:val="left" w:pos="860"/>
        </w:tabs>
        <w:spacing w:line="360" w:lineRule="auto"/>
        <w:ind w:firstLine="375" w:firstLineChars="179"/>
        <w:rPr>
          <w:rFonts w:ascii="宋体" w:hAnsi="宋体"/>
          <w:sz w:val="21"/>
          <w:szCs w:val="21"/>
        </w:rPr>
      </w:pPr>
      <w:r>
        <w:rPr>
          <w:rFonts w:ascii="宋体" w:hAnsi="宋体"/>
          <w:sz w:val="21"/>
          <w:szCs w:val="21"/>
        </w:rPr>
        <w:t>提供针对本项目的进度、质量、风险、例会制度等管理方案，由于本次</w:t>
      </w:r>
      <w:r>
        <w:rPr>
          <w:rFonts w:hint="eastAsia" w:ascii="宋体" w:hAnsi="宋体"/>
          <w:sz w:val="21"/>
          <w:szCs w:val="21"/>
        </w:rPr>
        <w:t>采购</w:t>
      </w:r>
      <w:r>
        <w:rPr>
          <w:rFonts w:ascii="宋体" w:hAnsi="宋体"/>
          <w:sz w:val="21"/>
          <w:szCs w:val="21"/>
        </w:rPr>
        <w:t>是在现有实际运行的生产系统上进行软件功能优化与新增，需要详细的方案说明确保不影响生产系统的运行，同时满足以下要求：</w:t>
      </w:r>
    </w:p>
    <w:p>
      <w:pPr>
        <w:tabs>
          <w:tab w:val="left" w:pos="860"/>
        </w:tabs>
        <w:spacing w:line="360" w:lineRule="auto"/>
        <w:ind w:firstLine="375" w:firstLineChars="179"/>
        <w:rPr>
          <w:rFonts w:ascii="宋体" w:hAnsi="宋体"/>
          <w:sz w:val="21"/>
          <w:szCs w:val="21"/>
        </w:rPr>
      </w:pPr>
      <w:r>
        <w:rPr>
          <w:rFonts w:ascii="宋体" w:hAnsi="宋体"/>
          <w:sz w:val="21"/>
          <w:szCs w:val="21"/>
        </w:rPr>
        <w:t>需求分析</w:t>
      </w:r>
    </w:p>
    <w:p>
      <w:pPr>
        <w:tabs>
          <w:tab w:val="left" w:pos="860"/>
        </w:tabs>
        <w:spacing w:line="360" w:lineRule="auto"/>
        <w:ind w:firstLine="375" w:firstLineChars="179"/>
        <w:rPr>
          <w:rFonts w:ascii="宋体" w:hAnsi="宋体"/>
          <w:sz w:val="21"/>
          <w:szCs w:val="21"/>
        </w:rPr>
      </w:pPr>
      <w:r>
        <w:rPr>
          <w:rFonts w:ascii="宋体" w:hAnsi="宋体"/>
          <w:sz w:val="21"/>
          <w:szCs w:val="21"/>
        </w:rPr>
        <w:t>（1）按采购人的要求，响应供应商负责开展详细全面的需求调研工作，进行需求分析并形成需求说明书由采购人确认。</w:t>
      </w:r>
    </w:p>
    <w:p>
      <w:pPr>
        <w:tabs>
          <w:tab w:val="left" w:pos="860"/>
        </w:tabs>
        <w:spacing w:line="360" w:lineRule="auto"/>
        <w:ind w:firstLine="375" w:firstLineChars="179"/>
        <w:rPr>
          <w:rFonts w:ascii="宋体" w:hAnsi="宋体"/>
          <w:sz w:val="21"/>
          <w:szCs w:val="21"/>
        </w:rPr>
      </w:pPr>
      <w:r>
        <w:rPr>
          <w:rFonts w:ascii="宋体" w:hAnsi="宋体"/>
          <w:sz w:val="21"/>
          <w:szCs w:val="21"/>
        </w:rPr>
        <w:t>安装调测</w:t>
      </w:r>
    </w:p>
    <w:p>
      <w:pPr>
        <w:tabs>
          <w:tab w:val="left" w:pos="860"/>
        </w:tabs>
        <w:spacing w:line="360" w:lineRule="auto"/>
        <w:ind w:firstLine="375" w:firstLineChars="179"/>
        <w:rPr>
          <w:rFonts w:ascii="宋体" w:hAnsi="宋体"/>
          <w:sz w:val="21"/>
          <w:szCs w:val="21"/>
        </w:rPr>
      </w:pPr>
      <w:r>
        <w:rPr>
          <w:rFonts w:ascii="宋体" w:hAnsi="宋体"/>
          <w:sz w:val="21"/>
          <w:szCs w:val="21"/>
        </w:rPr>
        <w:t>（1）响应供应商负责指导所提供的应用软件现场安装、调测和开通。</w:t>
      </w:r>
    </w:p>
    <w:p>
      <w:pPr>
        <w:tabs>
          <w:tab w:val="left" w:pos="860"/>
        </w:tabs>
        <w:spacing w:line="360" w:lineRule="auto"/>
        <w:ind w:firstLine="375" w:firstLineChars="179"/>
        <w:rPr>
          <w:rFonts w:ascii="宋体" w:hAnsi="宋体"/>
          <w:sz w:val="21"/>
          <w:szCs w:val="21"/>
        </w:rPr>
      </w:pPr>
      <w:r>
        <w:rPr>
          <w:rFonts w:ascii="宋体" w:hAnsi="宋体"/>
          <w:sz w:val="21"/>
          <w:szCs w:val="21"/>
        </w:rPr>
        <w:t>（2）响应供应商不但要负责自己应用软件系统的互通，还要配合采购人保证能与其它应用系统之间的互通。</w:t>
      </w:r>
    </w:p>
    <w:p>
      <w:pPr>
        <w:tabs>
          <w:tab w:val="left" w:pos="860"/>
        </w:tabs>
        <w:spacing w:line="360" w:lineRule="auto"/>
        <w:ind w:firstLine="375" w:firstLineChars="179"/>
        <w:rPr>
          <w:rFonts w:ascii="宋体" w:hAnsi="宋体"/>
          <w:sz w:val="21"/>
          <w:szCs w:val="21"/>
        </w:rPr>
      </w:pPr>
      <w:r>
        <w:rPr>
          <w:rFonts w:ascii="宋体" w:hAnsi="宋体"/>
          <w:sz w:val="21"/>
          <w:szCs w:val="21"/>
        </w:rPr>
        <w:t>（3）响应供应商应向采购人提交测试内容、方法和测试计划。测试计划和测试内容由响应供应商拟定，经采购人确认。</w:t>
      </w:r>
      <w:r>
        <w:rPr>
          <w:rFonts w:ascii="宋体" w:hAnsi="宋体"/>
          <w:sz w:val="21"/>
          <w:szCs w:val="21"/>
        </w:rPr>
        <w:br w:type="textWrapping"/>
      </w:r>
      <w:r>
        <w:rPr>
          <w:rFonts w:ascii="宋体" w:hAnsi="宋体"/>
          <w:sz w:val="21"/>
          <w:szCs w:val="21"/>
        </w:rPr>
        <w:t xml:space="preserve">    （4）响应供应商应确保其技术建议以及所提供的应用软件的完整性和可用性，保证应用软件能够投入正常运行。若出现由于响应供应商提供的应用软件不满足要求或其所提供的技术支持和服务不全面而导致系统功能无法实现或不能完全实现，由响应供应商负全部责任。</w:t>
      </w:r>
    </w:p>
    <w:p>
      <w:pPr>
        <w:tabs>
          <w:tab w:val="left" w:pos="860"/>
        </w:tabs>
        <w:spacing w:line="360" w:lineRule="auto"/>
        <w:ind w:firstLine="375" w:firstLineChars="179"/>
        <w:rPr>
          <w:rFonts w:ascii="宋体" w:hAnsi="宋体"/>
          <w:sz w:val="21"/>
          <w:szCs w:val="21"/>
        </w:rPr>
      </w:pPr>
      <w:r>
        <w:rPr>
          <w:rFonts w:ascii="宋体" w:hAnsi="宋体"/>
          <w:sz w:val="21"/>
          <w:szCs w:val="21"/>
        </w:rPr>
        <w:t>系统验收</w:t>
      </w:r>
    </w:p>
    <w:p>
      <w:pPr>
        <w:tabs>
          <w:tab w:val="left" w:pos="860"/>
        </w:tabs>
        <w:spacing w:line="360" w:lineRule="auto"/>
        <w:ind w:firstLine="375" w:firstLineChars="179"/>
        <w:rPr>
          <w:rFonts w:ascii="宋体" w:hAnsi="宋体"/>
          <w:sz w:val="21"/>
          <w:szCs w:val="21"/>
        </w:rPr>
      </w:pPr>
      <w:r>
        <w:rPr>
          <w:rFonts w:ascii="宋体" w:hAnsi="宋体"/>
          <w:sz w:val="21"/>
          <w:szCs w:val="21"/>
        </w:rPr>
        <w:t>（1）整个验收工作包括集成测试、用户接收测试、初验、试运行、终验。</w:t>
      </w:r>
    </w:p>
    <w:p>
      <w:pPr>
        <w:tabs>
          <w:tab w:val="left" w:pos="860"/>
        </w:tabs>
        <w:spacing w:line="360" w:lineRule="auto"/>
        <w:ind w:firstLine="375" w:firstLineChars="179"/>
        <w:rPr>
          <w:rFonts w:ascii="宋体" w:hAnsi="宋体"/>
          <w:sz w:val="21"/>
          <w:szCs w:val="21"/>
        </w:rPr>
      </w:pPr>
      <w:r>
        <w:rPr>
          <w:rFonts w:ascii="宋体" w:hAnsi="宋体"/>
          <w:sz w:val="21"/>
          <w:szCs w:val="21"/>
        </w:rPr>
        <w:t>（2）验收的方法与步骤按现有IT项目管理办法执行。</w:t>
      </w:r>
    </w:p>
    <w:p>
      <w:pPr>
        <w:tabs>
          <w:tab w:val="left" w:pos="860"/>
        </w:tabs>
        <w:spacing w:line="360" w:lineRule="auto"/>
        <w:ind w:firstLine="375" w:firstLineChars="179"/>
        <w:rPr>
          <w:rFonts w:ascii="宋体" w:hAnsi="宋体"/>
          <w:sz w:val="21"/>
          <w:szCs w:val="21"/>
        </w:rPr>
      </w:pPr>
      <w:r>
        <w:rPr>
          <w:rFonts w:ascii="宋体" w:hAnsi="宋体"/>
          <w:sz w:val="21"/>
          <w:szCs w:val="21"/>
        </w:rPr>
        <w:t>其他</w:t>
      </w:r>
    </w:p>
    <w:p>
      <w:pPr>
        <w:tabs>
          <w:tab w:val="left" w:pos="860"/>
        </w:tabs>
        <w:spacing w:line="360" w:lineRule="auto"/>
        <w:ind w:firstLine="375" w:firstLineChars="179"/>
        <w:rPr>
          <w:rFonts w:ascii="宋体" w:hAnsi="宋体"/>
          <w:sz w:val="21"/>
          <w:szCs w:val="21"/>
        </w:rPr>
      </w:pPr>
      <w:r>
        <w:rPr>
          <w:rFonts w:ascii="宋体" w:hAnsi="宋体"/>
          <w:sz w:val="21"/>
          <w:szCs w:val="21"/>
        </w:rPr>
        <w:t>（1）响应供应商应提供系统装调试时所需的工程设计资料, 响应供应商有责任在保证安全和质量的前提下提供技术服务, 包括技术咨询等。</w:t>
      </w:r>
    </w:p>
    <w:p>
      <w:pPr>
        <w:tabs>
          <w:tab w:val="left" w:pos="860"/>
        </w:tabs>
        <w:spacing w:line="360" w:lineRule="auto"/>
        <w:ind w:firstLine="375" w:firstLineChars="179"/>
        <w:rPr>
          <w:rFonts w:ascii="宋体" w:hAnsi="宋体"/>
          <w:sz w:val="21"/>
          <w:szCs w:val="21"/>
        </w:rPr>
      </w:pPr>
      <w:r>
        <w:rPr>
          <w:rFonts w:ascii="宋体" w:hAnsi="宋体"/>
          <w:sz w:val="21"/>
          <w:szCs w:val="21"/>
        </w:rPr>
        <w:t>（2）在系统调试期间, 采购人有权派出技术人员参加, 响应供应商有义务对其进行指导。</w:t>
      </w:r>
    </w:p>
    <w:p>
      <w:pPr>
        <w:tabs>
          <w:tab w:val="left" w:pos="860"/>
        </w:tabs>
        <w:spacing w:line="360" w:lineRule="auto"/>
        <w:ind w:firstLine="375" w:firstLineChars="179"/>
        <w:rPr>
          <w:rFonts w:ascii="宋体" w:hAnsi="宋体"/>
          <w:sz w:val="21"/>
          <w:szCs w:val="21"/>
        </w:rPr>
      </w:pPr>
      <w:r>
        <w:rPr>
          <w:rFonts w:ascii="宋体" w:hAnsi="宋体"/>
          <w:sz w:val="21"/>
          <w:szCs w:val="21"/>
        </w:rPr>
        <w:t>（3）在系统试运行期间，根据需要响应供应商有责任派技术人员到现场指导维护工作。</w:t>
      </w:r>
    </w:p>
    <w:p>
      <w:pPr>
        <w:tabs>
          <w:tab w:val="left" w:pos="860"/>
        </w:tabs>
        <w:spacing w:line="360" w:lineRule="auto"/>
        <w:ind w:firstLine="375" w:firstLineChars="179"/>
        <w:rPr>
          <w:rFonts w:ascii="宋体" w:hAnsi="宋体"/>
          <w:sz w:val="21"/>
          <w:szCs w:val="21"/>
        </w:rPr>
      </w:pPr>
      <w:r>
        <w:rPr>
          <w:rFonts w:ascii="宋体" w:hAnsi="宋体"/>
          <w:sz w:val="21"/>
          <w:szCs w:val="21"/>
        </w:rPr>
        <w:t>（4）在系统和设备扩容及软件升级时，响应供应商应派技术人员到场指导。</w:t>
      </w:r>
    </w:p>
    <w:p>
      <w:pPr>
        <w:pStyle w:val="4"/>
        <w:autoSpaceDE/>
        <w:autoSpaceDN/>
        <w:adjustRightInd/>
        <w:spacing w:before="0" w:after="0" w:line="360" w:lineRule="auto"/>
        <w:jc w:val="both"/>
        <w:textAlignment w:val="auto"/>
        <w:rPr>
          <w:rFonts w:ascii="宋体" w:hAnsi="宋体"/>
          <w:szCs w:val="21"/>
        </w:rPr>
      </w:pPr>
      <w:r>
        <w:rPr>
          <w:rFonts w:hint="eastAsia" w:ascii="宋体" w:hAnsi="宋体"/>
          <w:szCs w:val="21"/>
        </w:rPr>
        <w:t>8.3</w:t>
      </w:r>
      <w:r>
        <w:rPr>
          <w:rFonts w:ascii="宋体" w:hAnsi="宋体"/>
          <w:szCs w:val="21"/>
        </w:rPr>
        <w:t>项目开发团队要求</w:t>
      </w:r>
    </w:p>
    <w:p>
      <w:pPr>
        <w:tabs>
          <w:tab w:val="left" w:pos="860"/>
        </w:tabs>
        <w:spacing w:line="360" w:lineRule="auto"/>
        <w:ind w:firstLine="375" w:firstLineChars="179"/>
        <w:rPr>
          <w:rFonts w:ascii="宋体" w:hAnsi="宋体"/>
          <w:sz w:val="21"/>
          <w:szCs w:val="21"/>
        </w:rPr>
      </w:pPr>
      <w:r>
        <w:rPr>
          <w:rFonts w:ascii="宋体" w:hAnsi="宋体"/>
          <w:sz w:val="21"/>
          <w:szCs w:val="21"/>
        </w:rPr>
        <w:t>1、</w:t>
      </w:r>
      <w:r>
        <w:rPr>
          <w:rFonts w:hint="eastAsia" w:ascii="宋体" w:hAnsi="宋体"/>
          <w:sz w:val="21"/>
          <w:szCs w:val="21"/>
        </w:rPr>
        <w:t>管理团队</w:t>
      </w:r>
      <w:r>
        <w:rPr>
          <w:rFonts w:ascii="宋体" w:hAnsi="宋体"/>
          <w:sz w:val="21"/>
          <w:szCs w:val="21"/>
        </w:rPr>
        <w:t>（3人及以上）</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418"/>
        <w:gridCol w:w="5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tabs>
                <w:tab w:val="left" w:pos="860"/>
              </w:tabs>
              <w:spacing w:line="360" w:lineRule="auto"/>
              <w:jc w:val="both"/>
              <w:rPr>
                <w:rFonts w:ascii="宋体" w:hAnsi="宋体"/>
                <w:sz w:val="21"/>
                <w:szCs w:val="21"/>
              </w:rPr>
            </w:pPr>
            <w:bookmarkStart w:id="9" w:name="OLE_LINK4"/>
            <w:bookmarkStart w:id="10" w:name="OLE_LINK3"/>
            <w:r>
              <w:rPr>
                <w:rFonts w:ascii="宋体" w:hAnsi="宋体"/>
                <w:sz w:val="21"/>
                <w:szCs w:val="21"/>
              </w:rPr>
              <w:t>名称</w:t>
            </w:r>
          </w:p>
        </w:tc>
        <w:tc>
          <w:tcPr>
            <w:tcW w:w="1418" w:type="dxa"/>
            <w:vAlign w:val="center"/>
          </w:tcPr>
          <w:p>
            <w:pPr>
              <w:tabs>
                <w:tab w:val="left" w:pos="860"/>
              </w:tabs>
              <w:spacing w:line="360" w:lineRule="auto"/>
              <w:jc w:val="both"/>
              <w:rPr>
                <w:rFonts w:ascii="宋体" w:hAnsi="宋体"/>
                <w:sz w:val="21"/>
                <w:szCs w:val="21"/>
              </w:rPr>
            </w:pPr>
            <w:r>
              <w:rPr>
                <w:rFonts w:ascii="宋体" w:hAnsi="宋体"/>
                <w:sz w:val="21"/>
                <w:szCs w:val="21"/>
              </w:rPr>
              <w:t>人数</w:t>
            </w:r>
          </w:p>
        </w:tc>
        <w:tc>
          <w:tcPr>
            <w:tcW w:w="5918" w:type="dxa"/>
            <w:vAlign w:val="center"/>
          </w:tcPr>
          <w:p>
            <w:pPr>
              <w:tabs>
                <w:tab w:val="left" w:pos="860"/>
              </w:tabs>
              <w:spacing w:line="360" w:lineRule="auto"/>
              <w:jc w:val="both"/>
              <w:rPr>
                <w:rFonts w:ascii="宋体" w:hAnsi="宋体"/>
                <w:sz w:val="21"/>
                <w:szCs w:val="21"/>
              </w:rPr>
            </w:pPr>
            <w:r>
              <w:rPr>
                <w:rFonts w:ascii="宋体" w:hAnsi="宋体"/>
                <w:sz w:val="21"/>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tabs>
                <w:tab w:val="left" w:pos="860"/>
              </w:tabs>
              <w:spacing w:line="360" w:lineRule="auto"/>
              <w:jc w:val="both"/>
              <w:rPr>
                <w:rFonts w:ascii="宋体" w:hAnsi="宋体"/>
                <w:sz w:val="21"/>
                <w:szCs w:val="21"/>
              </w:rPr>
            </w:pPr>
            <w:r>
              <w:rPr>
                <w:rFonts w:ascii="宋体" w:hAnsi="宋体"/>
                <w:sz w:val="21"/>
                <w:szCs w:val="21"/>
              </w:rPr>
              <w:t>项</w:t>
            </w:r>
            <w:bookmarkStart w:id="11" w:name="OLE_LINK8"/>
            <w:r>
              <w:rPr>
                <w:rFonts w:ascii="宋体" w:hAnsi="宋体"/>
                <w:sz w:val="21"/>
                <w:szCs w:val="21"/>
              </w:rPr>
              <w:t>目总监</w:t>
            </w:r>
            <w:bookmarkEnd w:id="11"/>
          </w:p>
        </w:tc>
        <w:tc>
          <w:tcPr>
            <w:tcW w:w="1418" w:type="dxa"/>
            <w:vAlign w:val="center"/>
          </w:tcPr>
          <w:p>
            <w:pPr>
              <w:tabs>
                <w:tab w:val="left" w:pos="860"/>
              </w:tabs>
              <w:spacing w:line="360" w:lineRule="auto"/>
              <w:jc w:val="both"/>
              <w:rPr>
                <w:rFonts w:ascii="宋体" w:hAnsi="宋体"/>
                <w:sz w:val="21"/>
                <w:szCs w:val="21"/>
              </w:rPr>
            </w:pPr>
            <w:r>
              <w:rPr>
                <w:rFonts w:ascii="宋体" w:hAnsi="宋体"/>
                <w:sz w:val="21"/>
                <w:szCs w:val="21"/>
              </w:rPr>
              <w:t>1人</w:t>
            </w:r>
          </w:p>
        </w:tc>
        <w:tc>
          <w:tcPr>
            <w:tcW w:w="5918" w:type="dxa"/>
            <w:vAlign w:val="center"/>
          </w:tcPr>
          <w:p>
            <w:pPr>
              <w:tabs>
                <w:tab w:val="left" w:pos="860"/>
              </w:tabs>
              <w:spacing w:line="360" w:lineRule="auto"/>
              <w:jc w:val="both"/>
              <w:rPr>
                <w:rFonts w:ascii="宋体" w:hAnsi="宋体"/>
                <w:sz w:val="21"/>
                <w:szCs w:val="21"/>
              </w:rPr>
            </w:pPr>
            <w:r>
              <w:rPr>
                <w:rFonts w:hint="eastAsia" w:ascii="宋体" w:hAnsi="宋体"/>
                <w:sz w:val="21"/>
                <w:szCs w:val="21"/>
              </w:rPr>
              <w:t>10年及以上相关项目管理工作经验，具有大、中型项目管理经验，具有中级工程师职称或同等技术能力。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tabs>
                <w:tab w:val="left" w:pos="860"/>
              </w:tabs>
              <w:spacing w:line="360" w:lineRule="auto"/>
              <w:jc w:val="both"/>
              <w:rPr>
                <w:rFonts w:ascii="宋体" w:hAnsi="宋体"/>
                <w:sz w:val="21"/>
                <w:szCs w:val="21"/>
              </w:rPr>
            </w:pPr>
            <w:r>
              <w:rPr>
                <w:rFonts w:ascii="宋体" w:hAnsi="宋体"/>
                <w:sz w:val="21"/>
                <w:szCs w:val="21"/>
              </w:rPr>
              <w:t>项目经理</w:t>
            </w:r>
          </w:p>
        </w:tc>
        <w:tc>
          <w:tcPr>
            <w:tcW w:w="1418" w:type="dxa"/>
            <w:vAlign w:val="center"/>
          </w:tcPr>
          <w:p>
            <w:pPr>
              <w:tabs>
                <w:tab w:val="left" w:pos="860"/>
              </w:tabs>
              <w:spacing w:line="360" w:lineRule="auto"/>
              <w:jc w:val="both"/>
              <w:rPr>
                <w:rFonts w:ascii="宋体" w:hAnsi="宋体"/>
                <w:sz w:val="21"/>
                <w:szCs w:val="21"/>
              </w:rPr>
            </w:pPr>
            <w:r>
              <w:rPr>
                <w:rFonts w:ascii="宋体" w:hAnsi="宋体"/>
                <w:sz w:val="21"/>
                <w:szCs w:val="21"/>
              </w:rPr>
              <w:t>1人</w:t>
            </w:r>
          </w:p>
        </w:tc>
        <w:tc>
          <w:tcPr>
            <w:tcW w:w="5918" w:type="dxa"/>
            <w:vAlign w:val="center"/>
          </w:tcPr>
          <w:p>
            <w:pPr>
              <w:tabs>
                <w:tab w:val="left" w:pos="860"/>
              </w:tabs>
              <w:spacing w:line="360" w:lineRule="auto"/>
              <w:jc w:val="both"/>
              <w:rPr>
                <w:rFonts w:ascii="宋体" w:hAnsi="宋体"/>
                <w:sz w:val="21"/>
                <w:szCs w:val="21"/>
              </w:rPr>
            </w:pPr>
            <w:r>
              <w:rPr>
                <w:rFonts w:hint="eastAsia" w:ascii="宋体" w:hAnsi="宋体"/>
                <w:sz w:val="21"/>
                <w:szCs w:val="21"/>
              </w:rPr>
              <w:t>10年及以上相关项目实施工作经验，5年以上信息系统建设工作经验，具有高级信息系统项目管理师资格或同等技术能力</w:t>
            </w:r>
            <w:r>
              <w:rPr>
                <w:rFonts w:ascii="宋体" w:hAns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4" w:type="dxa"/>
            <w:vAlign w:val="center"/>
          </w:tcPr>
          <w:p>
            <w:pPr>
              <w:tabs>
                <w:tab w:val="left" w:pos="860"/>
              </w:tabs>
              <w:spacing w:line="360" w:lineRule="auto"/>
              <w:jc w:val="both"/>
              <w:rPr>
                <w:rFonts w:ascii="宋体" w:hAnsi="宋体"/>
                <w:sz w:val="21"/>
                <w:szCs w:val="21"/>
              </w:rPr>
            </w:pPr>
            <w:r>
              <w:rPr>
                <w:rFonts w:ascii="宋体" w:hAnsi="宋体"/>
                <w:sz w:val="21"/>
                <w:szCs w:val="21"/>
              </w:rPr>
              <w:t>项目质量管理员</w:t>
            </w:r>
          </w:p>
        </w:tc>
        <w:tc>
          <w:tcPr>
            <w:tcW w:w="1418" w:type="dxa"/>
            <w:vAlign w:val="center"/>
          </w:tcPr>
          <w:p>
            <w:pPr>
              <w:tabs>
                <w:tab w:val="left" w:pos="860"/>
              </w:tabs>
              <w:spacing w:line="360" w:lineRule="auto"/>
              <w:jc w:val="both"/>
              <w:rPr>
                <w:rFonts w:ascii="宋体" w:hAnsi="宋体"/>
                <w:sz w:val="21"/>
                <w:szCs w:val="21"/>
              </w:rPr>
            </w:pPr>
            <w:r>
              <w:rPr>
                <w:rFonts w:ascii="宋体" w:hAnsi="宋体"/>
                <w:sz w:val="21"/>
                <w:szCs w:val="21"/>
              </w:rPr>
              <w:t>1人</w:t>
            </w:r>
          </w:p>
        </w:tc>
        <w:tc>
          <w:tcPr>
            <w:tcW w:w="5918" w:type="dxa"/>
            <w:vAlign w:val="center"/>
          </w:tcPr>
          <w:p>
            <w:pPr>
              <w:tabs>
                <w:tab w:val="left" w:pos="860"/>
              </w:tabs>
              <w:spacing w:line="360" w:lineRule="auto"/>
              <w:jc w:val="both"/>
              <w:rPr>
                <w:rFonts w:ascii="宋体" w:hAnsi="宋体"/>
                <w:sz w:val="21"/>
                <w:szCs w:val="21"/>
              </w:rPr>
            </w:pPr>
            <w:r>
              <w:rPr>
                <w:rFonts w:hint="eastAsia" w:ascii="宋体" w:hAnsi="宋体"/>
                <w:sz w:val="21"/>
                <w:szCs w:val="21"/>
              </w:rPr>
              <w:t>5年及以上相关项目质量工作经验</w:t>
            </w:r>
            <w:r>
              <w:rPr>
                <w:rFonts w:ascii="宋体" w:hAnsi="宋体"/>
                <w:sz w:val="21"/>
                <w:szCs w:val="21"/>
              </w:rPr>
              <w:t>。</w:t>
            </w:r>
          </w:p>
        </w:tc>
      </w:tr>
      <w:bookmarkEnd w:id="9"/>
      <w:bookmarkEnd w:id="10"/>
    </w:tbl>
    <w:p>
      <w:pPr>
        <w:tabs>
          <w:tab w:val="left" w:pos="860"/>
        </w:tabs>
        <w:spacing w:line="360" w:lineRule="auto"/>
        <w:ind w:firstLine="375" w:firstLineChars="179"/>
        <w:rPr>
          <w:rFonts w:ascii="宋体" w:hAnsi="宋体"/>
          <w:sz w:val="21"/>
          <w:szCs w:val="21"/>
        </w:rPr>
      </w:pPr>
      <w:r>
        <w:rPr>
          <w:rFonts w:ascii="宋体" w:hAnsi="宋体"/>
          <w:sz w:val="21"/>
          <w:szCs w:val="21"/>
        </w:rPr>
        <w:t>2、技术架构师（1人及以上）</w:t>
      </w:r>
    </w:p>
    <w:p>
      <w:pPr>
        <w:tabs>
          <w:tab w:val="left" w:pos="860"/>
        </w:tabs>
        <w:spacing w:line="360" w:lineRule="auto"/>
        <w:ind w:firstLine="375" w:firstLineChars="179"/>
        <w:rPr>
          <w:rFonts w:ascii="宋体" w:hAnsi="宋体"/>
          <w:sz w:val="21"/>
          <w:szCs w:val="21"/>
        </w:rPr>
      </w:pPr>
      <w:r>
        <w:rPr>
          <w:rFonts w:ascii="宋体" w:hAnsi="宋体"/>
          <w:sz w:val="21"/>
          <w:szCs w:val="21"/>
        </w:rPr>
        <w:t>资质要求：</w:t>
      </w:r>
      <w:r>
        <w:rPr>
          <w:rFonts w:hint="eastAsia" w:ascii="宋体" w:hAnsi="宋体"/>
          <w:sz w:val="21"/>
          <w:szCs w:val="21"/>
        </w:rPr>
        <w:t>10年及以上相关平台实施工作经验，5年以上信息系统建设</w:t>
      </w:r>
      <w:r>
        <w:rPr>
          <w:rFonts w:ascii="宋体" w:hAnsi="宋体"/>
          <w:sz w:val="21"/>
          <w:szCs w:val="21"/>
        </w:rPr>
        <w:t>工作经验，需提供简历及项目说明。</w:t>
      </w:r>
    </w:p>
    <w:p>
      <w:pPr>
        <w:tabs>
          <w:tab w:val="left" w:pos="860"/>
        </w:tabs>
        <w:spacing w:line="360" w:lineRule="auto"/>
        <w:ind w:firstLine="375" w:firstLineChars="179"/>
        <w:rPr>
          <w:rFonts w:ascii="宋体" w:hAnsi="宋体"/>
          <w:sz w:val="21"/>
          <w:szCs w:val="21"/>
        </w:rPr>
      </w:pPr>
      <w:r>
        <w:rPr>
          <w:rFonts w:ascii="宋体" w:hAnsi="宋体"/>
          <w:sz w:val="21"/>
          <w:szCs w:val="21"/>
        </w:rPr>
        <w:t>3、软</w:t>
      </w:r>
      <w:bookmarkStart w:id="12" w:name="OLE_LINK12"/>
      <w:r>
        <w:rPr>
          <w:rFonts w:ascii="宋体" w:hAnsi="宋体"/>
          <w:sz w:val="21"/>
          <w:szCs w:val="21"/>
        </w:rPr>
        <w:t>件工程</w:t>
      </w:r>
      <w:bookmarkEnd w:id="12"/>
      <w:r>
        <w:rPr>
          <w:rFonts w:ascii="宋体" w:hAnsi="宋体"/>
          <w:sz w:val="21"/>
          <w:szCs w:val="21"/>
        </w:rPr>
        <w:t>师</w:t>
      </w:r>
      <w:bookmarkStart w:id="13" w:name="OLE_LINK13"/>
      <w:r>
        <w:rPr>
          <w:rFonts w:ascii="宋体" w:hAnsi="宋体"/>
          <w:sz w:val="21"/>
          <w:szCs w:val="21"/>
        </w:rPr>
        <w:t>（</w:t>
      </w:r>
      <w:bookmarkStart w:id="14" w:name="OLE_LINK18"/>
      <w:r>
        <w:rPr>
          <w:rFonts w:hint="eastAsia" w:ascii="宋体" w:hAnsi="宋体"/>
          <w:sz w:val="21"/>
          <w:szCs w:val="21"/>
        </w:rPr>
        <w:t>10</w:t>
      </w:r>
      <w:r>
        <w:rPr>
          <w:rFonts w:ascii="宋体" w:hAnsi="宋体"/>
          <w:sz w:val="21"/>
          <w:szCs w:val="21"/>
        </w:rPr>
        <w:t>人及</w:t>
      </w:r>
      <w:bookmarkEnd w:id="14"/>
      <w:r>
        <w:rPr>
          <w:rFonts w:ascii="宋体" w:hAnsi="宋体"/>
          <w:sz w:val="21"/>
          <w:szCs w:val="21"/>
        </w:rPr>
        <w:t>以上）</w:t>
      </w:r>
      <w:bookmarkEnd w:id="13"/>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418"/>
        <w:gridCol w:w="5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tabs>
                <w:tab w:val="left" w:pos="860"/>
              </w:tabs>
              <w:spacing w:line="360" w:lineRule="auto"/>
              <w:jc w:val="both"/>
              <w:rPr>
                <w:rFonts w:ascii="宋体" w:hAnsi="宋体"/>
                <w:sz w:val="21"/>
                <w:szCs w:val="21"/>
              </w:rPr>
            </w:pPr>
            <w:bookmarkStart w:id="15" w:name="OLE_LINK6" w:colFirst="0" w:colLast="2"/>
            <w:bookmarkStart w:id="16" w:name="OLE_LINK5" w:colFirst="0" w:colLast="2"/>
            <w:bookmarkStart w:id="17" w:name="OLE_LINK1" w:colFirst="0" w:colLast="2"/>
            <w:bookmarkStart w:id="18" w:name="_Hlk180350752"/>
            <w:bookmarkStart w:id="19" w:name="OLE_LINK2" w:colFirst="0" w:colLast="2"/>
            <w:r>
              <w:rPr>
                <w:rFonts w:ascii="宋体" w:hAnsi="宋体"/>
                <w:sz w:val="21"/>
                <w:szCs w:val="21"/>
              </w:rPr>
              <w:t>名称</w:t>
            </w:r>
          </w:p>
        </w:tc>
        <w:tc>
          <w:tcPr>
            <w:tcW w:w="1418" w:type="dxa"/>
            <w:vAlign w:val="center"/>
          </w:tcPr>
          <w:p>
            <w:pPr>
              <w:tabs>
                <w:tab w:val="left" w:pos="860"/>
              </w:tabs>
              <w:spacing w:line="360" w:lineRule="auto"/>
              <w:jc w:val="both"/>
              <w:rPr>
                <w:rFonts w:ascii="宋体" w:hAnsi="宋体"/>
                <w:sz w:val="21"/>
                <w:szCs w:val="21"/>
              </w:rPr>
            </w:pPr>
            <w:r>
              <w:rPr>
                <w:rFonts w:ascii="宋体" w:hAnsi="宋体"/>
                <w:sz w:val="21"/>
                <w:szCs w:val="21"/>
              </w:rPr>
              <w:t>人数</w:t>
            </w:r>
          </w:p>
        </w:tc>
        <w:tc>
          <w:tcPr>
            <w:tcW w:w="5918" w:type="dxa"/>
            <w:vAlign w:val="center"/>
          </w:tcPr>
          <w:p>
            <w:pPr>
              <w:tabs>
                <w:tab w:val="left" w:pos="860"/>
              </w:tabs>
              <w:spacing w:line="360" w:lineRule="auto"/>
              <w:jc w:val="both"/>
              <w:rPr>
                <w:rFonts w:ascii="宋体" w:hAnsi="宋体"/>
                <w:sz w:val="21"/>
                <w:szCs w:val="21"/>
              </w:rPr>
            </w:pPr>
            <w:r>
              <w:rPr>
                <w:rFonts w:ascii="宋体" w:hAnsi="宋体"/>
                <w:sz w:val="21"/>
                <w:szCs w:val="21"/>
              </w:rPr>
              <w:t>要求</w:t>
            </w:r>
          </w:p>
        </w:tc>
      </w:tr>
      <w:bookmarkEnd w:id="15"/>
      <w:bookmarkEnd w:id="16"/>
      <w:bookmarkEnd w:id="17"/>
      <w:bookmarkEnd w:id="18"/>
      <w:bookmark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tabs>
                <w:tab w:val="left" w:pos="860"/>
              </w:tabs>
              <w:spacing w:line="360" w:lineRule="auto"/>
              <w:jc w:val="both"/>
              <w:rPr>
                <w:rFonts w:ascii="宋体" w:hAnsi="宋体"/>
                <w:sz w:val="21"/>
                <w:szCs w:val="21"/>
              </w:rPr>
            </w:pPr>
            <w:r>
              <w:rPr>
                <w:rFonts w:hint="eastAsia" w:ascii="宋体" w:hAnsi="宋体"/>
                <w:sz w:val="21"/>
                <w:szCs w:val="21"/>
              </w:rPr>
              <w:t>系统设计</w:t>
            </w:r>
          </w:p>
        </w:tc>
        <w:tc>
          <w:tcPr>
            <w:tcW w:w="1418" w:type="dxa"/>
            <w:vAlign w:val="center"/>
          </w:tcPr>
          <w:p>
            <w:pPr>
              <w:tabs>
                <w:tab w:val="left" w:pos="860"/>
              </w:tabs>
              <w:spacing w:line="360" w:lineRule="auto"/>
              <w:jc w:val="both"/>
              <w:rPr>
                <w:rFonts w:ascii="宋体" w:hAnsi="宋体"/>
                <w:sz w:val="21"/>
                <w:szCs w:val="21"/>
              </w:rPr>
            </w:pPr>
            <w:r>
              <w:rPr>
                <w:rFonts w:hint="eastAsia" w:ascii="宋体" w:hAnsi="宋体"/>
                <w:sz w:val="21"/>
                <w:szCs w:val="21"/>
              </w:rPr>
              <w:t>2</w:t>
            </w:r>
            <w:r>
              <w:rPr>
                <w:rFonts w:ascii="宋体" w:hAnsi="宋体"/>
                <w:sz w:val="21"/>
                <w:szCs w:val="21"/>
              </w:rPr>
              <w:t>人以上</w:t>
            </w:r>
          </w:p>
        </w:tc>
        <w:tc>
          <w:tcPr>
            <w:tcW w:w="5918" w:type="dxa"/>
            <w:vAlign w:val="center"/>
          </w:tcPr>
          <w:p>
            <w:pPr>
              <w:tabs>
                <w:tab w:val="left" w:pos="860"/>
              </w:tabs>
              <w:spacing w:line="360" w:lineRule="auto"/>
              <w:jc w:val="both"/>
              <w:rPr>
                <w:rFonts w:hint="eastAsia" w:ascii="宋体" w:hAnsi="宋体" w:eastAsia="宋体"/>
                <w:sz w:val="21"/>
                <w:szCs w:val="21"/>
                <w:lang w:eastAsia="zh-CN"/>
              </w:rPr>
            </w:pPr>
            <w:r>
              <w:rPr>
                <w:rFonts w:hint="eastAsia" w:ascii="宋体" w:hAnsi="宋体"/>
                <w:sz w:val="21"/>
                <w:szCs w:val="21"/>
                <w:lang w:eastAsia="zh-CN"/>
              </w:rPr>
              <w:t>均需满足</w:t>
            </w:r>
            <w:r>
              <w:rPr>
                <w:rFonts w:hint="eastAsia" w:ascii="宋体" w:hAnsi="宋体"/>
                <w:sz w:val="21"/>
                <w:szCs w:val="21"/>
              </w:rPr>
              <w:t>5年及以上</w:t>
            </w:r>
            <w:r>
              <w:rPr>
                <w:rFonts w:hint="eastAsia" w:ascii="宋体" w:hAnsi="宋体"/>
                <w:sz w:val="21"/>
                <w:szCs w:val="21"/>
                <w:lang w:eastAsia="zh-CN"/>
              </w:rPr>
              <w:t>系统设计</w:t>
            </w:r>
            <w:r>
              <w:rPr>
                <w:rFonts w:hint="eastAsia" w:ascii="宋体" w:hAnsi="宋体"/>
                <w:sz w:val="21"/>
                <w:szCs w:val="21"/>
              </w:rPr>
              <w:t>工作经验，</w:t>
            </w:r>
            <w:r>
              <w:rPr>
                <w:rFonts w:hint="eastAsia" w:ascii="宋体" w:hAnsi="宋体"/>
                <w:sz w:val="21"/>
                <w:szCs w:val="21"/>
                <w:lang w:eastAsia="zh-CN"/>
              </w:rPr>
              <w:t>且满足</w:t>
            </w:r>
            <w:r>
              <w:rPr>
                <w:rFonts w:hint="eastAsia" w:ascii="宋体" w:hAnsi="宋体"/>
                <w:sz w:val="21"/>
                <w:szCs w:val="21"/>
              </w:rPr>
              <w:t>3年以上信息系统建设</w:t>
            </w:r>
            <w:r>
              <w:rPr>
                <w:rFonts w:ascii="宋体" w:hAnsi="宋体"/>
                <w:sz w:val="21"/>
                <w:szCs w:val="21"/>
              </w:rPr>
              <w:t>工作经验</w:t>
            </w:r>
            <w:r>
              <w:rPr>
                <w:rFonts w:hint="eastAsia" w:ascii="宋体" w:hAnsi="宋体"/>
                <w:sz w:val="21"/>
                <w:szCs w:val="21"/>
                <w:lang w:eastAsia="zh-CN"/>
              </w:rPr>
              <w:t>。</w:t>
            </w:r>
            <w:r>
              <w:rPr>
                <w:rFonts w:hint="eastAsia" w:ascii="宋体" w:hAnsi="宋体"/>
                <w:sz w:val="21"/>
                <w:szCs w:val="21"/>
                <w:lang w:val="en-US" w:eastAsia="zh-CN"/>
              </w:rPr>
              <w:t>1</w:t>
            </w:r>
            <w:r>
              <w:rPr>
                <w:rFonts w:ascii="宋体" w:hAnsi="宋体"/>
                <w:sz w:val="21"/>
                <w:szCs w:val="21"/>
              </w:rPr>
              <w:t>人以上具有中级工程师职称</w:t>
            </w:r>
            <w:r>
              <w:rPr>
                <w:rFonts w:hint="eastAsia" w:ascii="宋体" w:hAnsi="宋体"/>
                <w:sz w:val="21"/>
                <w:szCs w:val="21"/>
                <w:lang w:eastAsia="zh-CN"/>
              </w:rPr>
              <w:t>。（</w:t>
            </w:r>
            <w:r>
              <w:rPr>
                <w:rFonts w:ascii="宋体" w:hAnsi="宋体"/>
                <w:sz w:val="21"/>
                <w:szCs w:val="21"/>
              </w:rPr>
              <w:t>需提供简历及项目说明</w:t>
            </w:r>
            <w:r>
              <w:rPr>
                <w:rFonts w:hint="eastAsia" w:ascii="宋体" w:hAnsi="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tabs>
                <w:tab w:val="left" w:pos="860"/>
              </w:tabs>
              <w:spacing w:line="360" w:lineRule="auto"/>
              <w:jc w:val="both"/>
              <w:rPr>
                <w:rFonts w:ascii="宋体" w:hAnsi="宋体"/>
                <w:sz w:val="21"/>
                <w:szCs w:val="21"/>
              </w:rPr>
            </w:pPr>
            <w:r>
              <w:rPr>
                <w:rFonts w:ascii="宋体" w:hAnsi="宋体"/>
                <w:sz w:val="21"/>
                <w:szCs w:val="21"/>
              </w:rPr>
              <w:t>前端工程师</w:t>
            </w:r>
          </w:p>
        </w:tc>
        <w:tc>
          <w:tcPr>
            <w:tcW w:w="1418" w:type="dxa"/>
            <w:vAlign w:val="center"/>
          </w:tcPr>
          <w:p>
            <w:pPr>
              <w:tabs>
                <w:tab w:val="left" w:pos="860"/>
              </w:tabs>
              <w:spacing w:line="360" w:lineRule="auto"/>
              <w:jc w:val="both"/>
              <w:rPr>
                <w:rFonts w:ascii="宋体" w:hAnsi="宋体"/>
                <w:sz w:val="21"/>
                <w:szCs w:val="21"/>
              </w:rPr>
            </w:pPr>
            <w:r>
              <w:rPr>
                <w:rFonts w:ascii="宋体" w:hAnsi="宋体"/>
                <w:sz w:val="21"/>
                <w:szCs w:val="21"/>
              </w:rPr>
              <w:t>3人以上</w:t>
            </w:r>
          </w:p>
        </w:tc>
        <w:tc>
          <w:tcPr>
            <w:tcW w:w="5918" w:type="dxa"/>
            <w:vAlign w:val="center"/>
          </w:tcPr>
          <w:p>
            <w:pPr>
              <w:tabs>
                <w:tab w:val="left" w:pos="860"/>
              </w:tabs>
              <w:spacing w:line="360" w:lineRule="auto"/>
              <w:jc w:val="both"/>
              <w:rPr>
                <w:rFonts w:ascii="宋体" w:hAnsi="宋体"/>
                <w:sz w:val="21"/>
                <w:szCs w:val="21"/>
              </w:rPr>
            </w:pPr>
            <w:r>
              <w:rPr>
                <w:rFonts w:hint="eastAsia" w:ascii="宋体" w:hAnsi="宋体"/>
                <w:sz w:val="21"/>
                <w:szCs w:val="21"/>
                <w:lang w:eastAsia="zh-CN"/>
              </w:rPr>
              <w:t>具有</w:t>
            </w:r>
            <w:r>
              <w:rPr>
                <w:rFonts w:hint="eastAsia" w:ascii="宋体" w:hAnsi="宋体"/>
                <w:sz w:val="21"/>
                <w:szCs w:val="21"/>
              </w:rPr>
              <w:t>3年及以上相关项目软件开发工作经验</w:t>
            </w:r>
            <w:r>
              <w:rPr>
                <w:rFonts w:hint="eastAsia" w:ascii="宋体" w:hAnsi="宋体"/>
                <w:sz w:val="21"/>
                <w:szCs w:val="21"/>
                <w:lang w:eastAsia="zh-CN"/>
              </w:rPr>
              <w:t>不少于总人数</w:t>
            </w:r>
            <w:r>
              <w:rPr>
                <w:rFonts w:hint="eastAsia" w:ascii="宋体" w:hAnsi="宋体"/>
                <w:sz w:val="21"/>
                <w:szCs w:val="21"/>
              </w:rPr>
              <w:t>50%。</w:t>
            </w:r>
            <w:r>
              <w:rPr>
                <w:rFonts w:hint="eastAsia" w:ascii="宋体" w:hAnsi="宋体"/>
                <w:sz w:val="21"/>
                <w:szCs w:val="21"/>
                <w:lang w:eastAsia="zh-CN"/>
              </w:rPr>
              <w:t>具有</w:t>
            </w:r>
            <w:r>
              <w:rPr>
                <w:rFonts w:hint="eastAsia" w:ascii="宋体" w:hAnsi="宋体"/>
                <w:sz w:val="21"/>
                <w:szCs w:val="21"/>
              </w:rPr>
              <w:t>3年及以上前端开发工作经验</w:t>
            </w:r>
            <w:r>
              <w:rPr>
                <w:rFonts w:hint="eastAsia" w:ascii="宋体" w:hAnsi="宋体"/>
                <w:sz w:val="21"/>
                <w:szCs w:val="21"/>
                <w:lang w:eastAsia="zh-CN"/>
              </w:rPr>
              <w:t>不少于总人数</w:t>
            </w:r>
            <w:r>
              <w:rPr>
                <w:rFonts w:hint="eastAsia" w:ascii="宋体" w:hAnsi="宋体"/>
                <w:sz w:val="21"/>
                <w:szCs w:val="21"/>
              </w:rPr>
              <w:t>50%</w:t>
            </w:r>
            <w:r>
              <w:rPr>
                <w:rFonts w:hint="eastAsia" w:ascii="宋体" w:hAnsi="宋体"/>
                <w:sz w:val="21"/>
                <w:szCs w:val="21"/>
                <w:lang w:eastAsia="zh-CN"/>
              </w:rPr>
              <w:t>。</w:t>
            </w:r>
            <w:r>
              <w:rPr>
                <w:rFonts w:hint="eastAsia" w:ascii="宋体" w:hAnsi="宋体"/>
                <w:sz w:val="21"/>
                <w:szCs w:val="21"/>
              </w:rPr>
              <w:t>1</w:t>
            </w:r>
            <w:r>
              <w:rPr>
                <w:rFonts w:ascii="宋体" w:hAnsi="宋体"/>
                <w:sz w:val="21"/>
                <w:szCs w:val="21"/>
              </w:rPr>
              <w:t>人以上具有中级工程师职称</w:t>
            </w:r>
            <w:r>
              <w:rPr>
                <w:rFonts w:hint="eastAsia" w:ascii="宋体" w:hAnsi="宋体"/>
                <w:sz w:val="21"/>
                <w:szCs w:val="21"/>
              </w:rPr>
              <w:t>。</w:t>
            </w:r>
            <w:r>
              <w:rPr>
                <w:rFonts w:ascii="宋体" w:hAnsi="宋体"/>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tabs>
                <w:tab w:val="left" w:pos="860"/>
              </w:tabs>
              <w:spacing w:line="360" w:lineRule="auto"/>
              <w:jc w:val="both"/>
              <w:rPr>
                <w:rFonts w:ascii="宋体" w:hAnsi="宋体"/>
                <w:sz w:val="21"/>
                <w:szCs w:val="21"/>
              </w:rPr>
            </w:pPr>
            <w:r>
              <w:rPr>
                <w:rFonts w:ascii="宋体" w:hAnsi="宋体"/>
                <w:sz w:val="21"/>
                <w:szCs w:val="21"/>
              </w:rPr>
              <w:t>后端工程师</w:t>
            </w:r>
          </w:p>
        </w:tc>
        <w:tc>
          <w:tcPr>
            <w:tcW w:w="1418" w:type="dxa"/>
            <w:vAlign w:val="center"/>
          </w:tcPr>
          <w:p>
            <w:pPr>
              <w:tabs>
                <w:tab w:val="left" w:pos="860"/>
              </w:tabs>
              <w:spacing w:line="360" w:lineRule="auto"/>
              <w:jc w:val="both"/>
              <w:rPr>
                <w:rFonts w:ascii="宋体" w:hAnsi="宋体"/>
                <w:sz w:val="21"/>
                <w:szCs w:val="21"/>
              </w:rPr>
            </w:pPr>
            <w:r>
              <w:rPr>
                <w:rFonts w:ascii="宋体" w:hAnsi="宋体"/>
                <w:sz w:val="21"/>
                <w:szCs w:val="21"/>
              </w:rPr>
              <w:t>4人以上</w:t>
            </w:r>
          </w:p>
        </w:tc>
        <w:tc>
          <w:tcPr>
            <w:tcW w:w="5918" w:type="dxa"/>
            <w:vAlign w:val="center"/>
          </w:tcPr>
          <w:p>
            <w:pPr>
              <w:tabs>
                <w:tab w:val="left" w:pos="860"/>
              </w:tabs>
              <w:spacing w:line="360" w:lineRule="auto"/>
              <w:jc w:val="both"/>
              <w:rPr>
                <w:rFonts w:ascii="宋体" w:hAnsi="宋体"/>
                <w:sz w:val="21"/>
                <w:szCs w:val="21"/>
              </w:rPr>
            </w:pPr>
            <w:r>
              <w:rPr>
                <w:rFonts w:hint="eastAsia" w:ascii="宋体" w:hAnsi="宋体"/>
                <w:sz w:val="21"/>
                <w:szCs w:val="21"/>
                <w:lang w:eastAsia="zh-CN"/>
              </w:rPr>
              <w:t>具有</w:t>
            </w:r>
            <w:r>
              <w:rPr>
                <w:rFonts w:hint="eastAsia" w:ascii="宋体" w:hAnsi="宋体"/>
                <w:sz w:val="21"/>
                <w:szCs w:val="21"/>
              </w:rPr>
              <w:t>3年及以上相关项目软件开发工作经验</w:t>
            </w:r>
            <w:r>
              <w:rPr>
                <w:rFonts w:hint="eastAsia" w:ascii="宋体" w:hAnsi="宋体"/>
                <w:sz w:val="21"/>
                <w:szCs w:val="21"/>
                <w:lang w:eastAsia="zh-CN"/>
              </w:rPr>
              <w:t>不少于总人数</w:t>
            </w:r>
            <w:r>
              <w:rPr>
                <w:rFonts w:hint="eastAsia" w:ascii="宋体" w:hAnsi="宋体"/>
                <w:sz w:val="21"/>
                <w:szCs w:val="21"/>
              </w:rPr>
              <w:t>50%，</w:t>
            </w:r>
            <w:r>
              <w:rPr>
                <w:rFonts w:hint="eastAsia" w:ascii="宋体" w:hAnsi="宋体"/>
                <w:sz w:val="21"/>
                <w:szCs w:val="21"/>
                <w:lang w:eastAsia="zh-CN"/>
              </w:rPr>
              <w:t>具有</w:t>
            </w:r>
            <w:r>
              <w:rPr>
                <w:rFonts w:hint="eastAsia" w:ascii="宋体" w:hAnsi="宋体"/>
                <w:sz w:val="21"/>
                <w:szCs w:val="21"/>
                <w:lang w:val="en-US" w:eastAsia="zh-CN"/>
              </w:rPr>
              <w:t>5</w:t>
            </w:r>
            <w:r>
              <w:rPr>
                <w:rFonts w:hint="eastAsia" w:ascii="宋体" w:hAnsi="宋体"/>
                <w:sz w:val="21"/>
                <w:szCs w:val="21"/>
              </w:rPr>
              <w:t>年及以上后端开发工作经验</w:t>
            </w:r>
            <w:r>
              <w:rPr>
                <w:rFonts w:hint="eastAsia" w:ascii="宋体" w:hAnsi="宋体"/>
                <w:sz w:val="21"/>
                <w:szCs w:val="21"/>
                <w:lang w:eastAsia="zh-CN"/>
              </w:rPr>
              <w:t>不少于总人数</w:t>
            </w:r>
            <w:r>
              <w:rPr>
                <w:rFonts w:hint="eastAsia" w:ascii="宋体" w:hAnsi="宋体"/>
                <w:sz w:val="21"/>
                <w:szCs w:val="21"/>
              </w:rPr>
              <w:t>50%</w:t>
            </w:r>
            <w:r>
              <w:rPr>
                <w:rFonts w:hint="eastAsia" w:ascii="宋体" w:hAnsi="宋体"/>
                <w:sz w:val="21"/>
                <w:szCs w:val="21"/>
                <w:lang w:eastAsia="zh-CN"/>
              </w:rPr>
              <w:t>。</w:t>
            </w:r>
            <w:r>
              <w:rPr>
                <w:rFonts w:hint="eastAsia" w:ascii="宋体" w:hAnsi="宋体"/>
                <w:sz w:val="21"/>
                <w:szCs w:val="21"/>
              </w:rPr>
              <w:t>1</w:t>
            </w:r>
            <w:r>
              <w:rPr>
                <w:rFonts w:ascii="宋体" w:hAnsi="宋体"/>
                <w:sz w:val="21"/>
                <w:szCs w:val="21"/>
              </w:rPr>
              <w:t>人以上具有中级工程师职称</w:t>
            </w:r>
            <w:r>
              <w:rPr>
                <w:rFonts w:hint="eastAsia" w:ascii="宋体" w:hAns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tabs>
                <w:tab w:val="left" w:pos="860"/>
              </w:tabs>
              <w:spacing w:line="360" w:lineRule="auto"/>
              <w:jc w:val="both"/>
              <w:rPr>
                <w:rFonts w:ascii="宋体" w:hAnsi="宋体"/>
                <w:sz w:val="21"/>
                <w:szCs w:val="21"/>
              </w:rPr>
            </w:pPr>
            <w:r>
              <w:rPr>
                <w:rFonts w:ascii="宋体" w:hAnsi="宋体"/>
                <w:sz w:val="21"/>
                <w:szCs w:val="21"/>
              </w:rPr>
              <w:t>系统测试</w:t>
            </w:r>
          </w:p>
        </w:tc>
        <w:tc>
          <w:tcPr>
            <w:tcW w:w="1418" w:type="dxa"/>
            <w:vAlign w:val="center"/>
          </w:tcPr>
          <w:p>
            <w:pPr>
              <w:tabs>
                <w:tab w:val="left" w:pos="860"/>
              </w:tabs>
              <w:spacing w:line="360" w:lineRule="auto"/>
              <w:jc w:val="both"/>
              <w:rPr>
                <w:rFonts w:ascii="宋体" w:hAnsi="宋体"/>
                <w:sz w:val="21"/>
                <w:szCs w:val="21"/>
              </w:rPr>
            </w:pPr>
            <w:r>
              <w:rPr>
                <w:rFonts w:hint="eastAsia" w:ascii="宋体" w:hAnsi="宋体"/>
                <w:sz w:val="21"/>
                <w:szCs w:val="21"/>
              </w:rPr>
              <w:t>1</w:t>
            </w:r>
            <w:r>
              <w:rPr>
                <w:rFonts w:ascii="宋体" w:hAnsi="宋体"/>
                <w:sz w:val="21"/>
                <w:szCs w:val="21"/>
              </w:rPr>
              <w:t>人以上</w:t>
            </w:r>
          </w:p>
        </w:tc>
        <w:tc>
          <w:tcPr>
            <w:tcW w:w="5918" w:type="dxa"/>
            <w:vAlign w:val="center"/>
          </w:tcPr>
          <w:p>
            <w:pPr>
              <w:tabs>
                <w:tab w:val="left" w:pos="860"/>
              </w:tabs>
              <w:spacing w:line="360" w:lineRule="auto"/>
              <w:jc w:val="both"/>
              <w:rPr>
                <w:rFonts w:ascii="宋体" w:hAnsi="宋体"/>
                <w:sz w:val="21"/>
                <w:szCs w:val="21"/>
              </w:rPr>
            </w:pPr>
            <w:r>
              <w:rPr>
                <w:rFonts w:hint="eastAsia" w:ascii="宋体" w:hAnsi="宋体"/>
                <w:sz w:val="21"/>
                <w:szCs w:val="21"/>
              </w:rPr>
              <w:t>3年及以上相关项目系统测试工作经验</w:t>
            </w:r>
            <w:r>
              <w:rPr>
                <w:rFonts w:ascii="宋体" w:hAnsi="宋体"/>
                <w:sz w:val="21"/>
                <w:szCs w:val="21"/>
              </w:rPr>
              <w:t>。</w:t>
            </w:r>
          </w:p>
        </w:tc>
      </w:tr>
    </w:tbl>
    <w:p>
      <w:pPr>
        <w:tabs>
          <w:tab w:val="left" w:pos="860"/>
        </w:tabs>
        <w:spacing w:line="360" w:lineRule="auto"/>
        <w:ind w:firstLine="375" w:firstLineChars="179"/>
        <w:rPr>
          <w:rFonts w:ascii="宋体" w:hAnsi="宋体"/>
          <w:sz w:val="21"/>
          <w:szCs w:val="21"/>
        </w:rPr>
      </w:pPr>
      <w:r>
        <w:rPr>
          <w:rFonts w:ascii="宋体" w:hAnsi="宋体"/>
          <w:sz w:val="21"/>
          <w:szCs w:val="21"/>
        </w:rPr>
        <w:t>4、网</w:t>
      </w:r>
      <w:r>
        <w:rPr>
          <w:rFonts w:hint="eastAsia" w:ascii="宋体" w:hAnsi="宋体"/>
          <w:sz w:val="21"/>
          <w:szCs w:val="21"/>
        </w:rPr>
        <w:t>络工程师</w:t>
      </w:r>
      <w:r>
        <w:rPr>
          <w:rFonts w:ascii="宋体" w:hAnsi="宋体"/>
          <w:sz w:val="21"/>
          <w:szCs w:val="21"/>
        </w:rPr>
        <w:t>（1人及以上）</w:t>
      </w:r>
    </w:p>
    <w:p>
      <w:pPr>
        <w:tabs>
          <w:tab w:val="left" w:pos="860"/>
        </w:tabs>
        <w:spacing w:line="360" w:lineRule="auto"/>
        <w:ind w:firstLine="375" w:firstLineChars="179"/>
        <w:rPr>
          <w:rFonts w:ascii="宋体" w:hAnsi="宋体"/>
          <w:sz w:val="21"/>
          <w:szCs w:val="21"/>
        </w:rPr>
      </w:pPr>
      <w:r>
        <w:rPr>
          <w:rFonts w:ascii="宋体" w:hAnsi="宋体"/>
          <w:sz w:val="21"/>
          <w:szCs w:val="21"/>
        </w:rPr>
        <w:t>资质要求：</w:t>
      </w:r>
      <w:r>
        <w:rPr>
          <w:rFonts w:hint="eastAsia" w:ascii="宋体" w:hAnsi="宋体"/>
          <w:sz w:val="21"/>
          <w:szCs w:val="21"/>
        </w:rPr>
        <w:t>5年及以上</w:t>
      </w:r>
      <w:r>
        <w:rPr>
          <w:rFonts w:hint="eastAsia" w:ascii="宋体" w:hAnsi="宋体"/>
          <w:sz w:val="21"/>
          <w:szCs w:val="21"/>
          <w:lang w:eastAsia="zh-CN"/>
        </w:rPr>
        <w:t>政务信息系统建设经验</w:t>
      </w:r>
      <w:r>
        <w:rPr>
          <w:rFonts w:hint="eastAsia" w:ascii="宋体" w:hAnsi="宋体"/>
          <w:sz w:val="21"/>
          <w:szCs w:val="21"/>
        </w:rPr>
        <w:t>，参与过大型网络建设或运维工作经验，需提供简历及项目说明。</w:t>
      </w:r>
    </w:p>
    <w:p>
      <w:pPr>
        <w:tabs>
          <w:tab w:val="left" w:pos="860"/>
        </w:tabs>
        <w:spacing w:line="360" w:lineRule="auto"/>
        <w:ind w:firstLine="375" w:firstLineChars="179"/>
        <w:rPr>
          <w:rFonts w:ascii="宋体" w:hAnsi="宋体"/>
          <w:sz w:val="21"/>
          <w:szCs w:val="21"/>
        </w:rPr>
      </w:pPr>
      <w:r>
        <w:rPr>
          <w:rFonts w:ascii="宋体" w:hAnsi="宋体"/>
          <w:sz w:val="21"/>
          <w:szCs w:val="21"/>
        </w:rPr>
        <w:t>5、支撑能力要求</w:t>
      </w:r>
    </w:p>
    <w:p>
      <w:pPr>
        <w:tabs>
          <w:tab w:val="left" w:pos="860"/>
        </w:tabs>
        <w:spacing w:line="360" w:lineRule="auto"/>
        <w:ind w:firstLine="375" w:firstLineChars="179"/>
        <w:rPr>
          <w:rFonts w:ascii="宋体" w:hAnsi="宋体"/>
          <w:sz w:val="21"/>
          <w:szCs w:val="21"/>
        </w:rPr>
      </w:pPr>
      <w:r>
        <w:rPr>
          <w:rFonts w:ascii="宋体" w:hAnsi="宋体"/>
          <w:sz w:val="21"/>
          <w:szCs w:val="21"/>
        </w:rPr>
        <w:t>团队人员需具备</w:t>
      </w:r>
      <w:r>
        <w:rPr>
          <w:rFonts w:hint="eastAsia" w:ascii="宋体" w:hAnsi="宋体"/>
          <w:sz w:val="21"/>
          <w:szCs w:val="21"/>
          <w:lang w:eastAsia="zh-CN"/>
        </w:rPr>
        <w:t>政务信息系统</w:t>
      </w:r>
      <w:r>
        <w:rPr>
          <w:rFonts w:ascii="宋体" w:hAnsi="宋体"/>
          <w:sz w:val="21"/>
          <w:szCs w:val="21"/>
        </w:rPr>
        <w:t xml:space="preserve">建设相关技术能力和业务能力，熟悉业务流程，有着丰富业务经验、专业项目管理以及质量管理能力。 </w:t>
      </w:r>
    </w:p>
    <w:p>
      <w:pPr>
        <w:tabs>
          <w:tab w:val="left" w:pos="860"/>
        </w:tabs>
        <w:spacing w:line="360" w:lineRule="auto"/>
        <w:ind w:firstLine="375" w:firstLineChars="179"/>
        <w:rPr>
          <w:rFonts w:ascii="宋体" w:hAnsi="宋体"/>
          <w:sz w:val="21"/>
          <w:szCs w:val="21"/>
        </w:rPr>
      </w:pPr>
      <w:r>
        <w:rPr>
          <w:rFonts w:ascii="宋体" w:hAnsi="宋体"/>
          <w:sz w:val="21"/>
          <w:szCs w:val="21"/>
        </w:rPr>
        <w:t>服务团队应遵循采购人管理要求，严格人员管理，注重沟通，不断改进专业服务能力，持续提升服务质量。</w:t>
      </w:r>
    </w:p>
    <w:p>
      <w:pPr>
        <w:tabs>
          <w:tab w:val="left" w:pos="860"/>
        </w:tabs>
        <w:spacing w:line="360" w:lineRule="auto"/>
        <w:ind w:firstLine="375" w:firstLineChars="179"/>
        <w:rPr>
          <w:rFonts w:ascii="宋体" w:hAnsi="宋体"/>
          <w:sz w:val="21"/>
          <w:szCs w:val="21"/>
        </w:rPr>
      </w:pPr>
      <w:r>
        <w:rPr>
          <w:rFonts w:ascii="宋体" w:hAnsi="宋体"/>
          <w:sz w:val="21"/>
          <w:szCs w:val="21"/>
        </w:rPr>
        <w:t>7、项目团队所承担的系统日常维护职责，须详细列明与本项目切实相关的系统日常维护方案。</w:t>
      </w:r>
    </w:p>
    <w:p>
      <w:pPr>
        <w:tabs>
          <w:tab w:val="left" w:pos="860"/>
        </w:tabs>
        <w:spacing w:line="360" w:lineRule="auto"/>
        <w:ind w:firstLine="375" w:firstLineChars="179"/>
        <w:rPr>
          <w:rFonts w:ascii="宋体" w:hAnsi="宋体"/>
          <w:sz w:val="21"/>
          <w:szCs w:val="21"/>
        </w:rPr>
      </w:pPr>
      <w:r>
        <w:rPr>
          <w:rFonts w:ascii="宋体" w:hAnsi="宋体"/>
          <w:sz w:val="21"/>
          <w:szCs w:val="21"/>
        </w:rPr>
        <w:t>8、项目团队稳定性承诺：</w:t>
      </w:r>
    </w:p>
    <w:p>
      <w:pPr>
        <w:tabs>
          <w:tab w:val="left" w:pos="860"/>
        </w:tabs>
        <w:spacing w:line="360" w:lineRule="auto"/>
        <w:ind w:firstLine="375" w:firstLineChars="179"/>
        <w:rPr>
          <w:rFonts w:ascii="宋体" w:hAnsi="宋体"/>
          <w:sz w:val="21"/>
          <w:szCs w:val="21"/>
        </w:rPr>
      </w:pPr>
      <w:r>
        <w:rPr>
          <w:rFonts w:ascii="宋体" w:hAnsi="宋体"/>
          <w:sz w:val="21"/>
          <w:szCs w:val="21"/>
        </w:rPr>
        <w:t>承诺在合同期间内项目团队人员流动小于5%。</w:t>
      </w:r>
    </w:p>
    <w:p>
      <w:pPr>
        <w:pStyle w:val="4"/>
        <w:autoSpaceDE/>
        <w:autoSpaceDN/>
        <w:adjustRightInd/>
        <w:spacing w:before="0" w:after="0" w:line="360" w:lineRule="auto"/>
        <w:jc w:val="both"/>
        <w:textAlignment w:val="auto"/>
        <w:rPr>
          <w:rFonts w:ascii="宋体" w:hAnsi="宋体"/>
          <w:szCs w:val="21"/>
        </w:rPr>
      </w:pPr>
      <w:r>
        <w:rPr>
          <w:rFonts w:hint="eastAsia" w:ascii="宋体" w:hAnsi="宋体"/>
          <w:szCs w:val="21"/>
        </w:rPr>
        <w:t>8.4</w:t>
      </w:r>
      <w:r>
        <w:rPr>
          <w:rFonts w:ascii="宋体" w:hAnsi="宋体"/>
          <w:szCs w:val="21"/>
        </w:rPr>
        <w:t>项目验收要求</w:t>
      </w:r>
    </w:p>
    <w:p>
      <w:pPr>
        <w:tabs>
          <w:tab w:val="left" w:pos="860"/>
        </w:tabs>
        <w:spacing w:line="360" w:lineRule="auto"/>
        <w:ind w:firstLine="375" w:firstLineChars="179"/>
        <w:rPr>
          <w:rFonts w:ascii="宋体" w:hAnsi="宋体"/>
          <w:sz w:val="21"/>
          <w:szCs w:val="21"/>
        </w:rPr>
      </w:pPr>
      <w:r>
        <w:rPr>
          <w:rFonts w:ascii="宋体" w:hAnsi="宋体"/>
          <w:sz w:val="21"/>
          <w:szCs w:val="21"/>
        </w:rPr>
        <w:t xml:space="preserve"> 项目验收工作包含以下要求：</w:t>
      </w:r>
    </w:p>
    <w:p>
      <w:pPr>
        <w:tabs>
          <w:tab w:val="left" w:pos="860"/>
        </w:tabs>
        <w:spacing w:line="360" w:lineRule="auto"/>
        <w:ind w:firstLine="375" w:firstLineChars="179"/>
        <w:rPr>
          <w:rFonts w:ascii="宋体" w:hAnsi="宋体"/>
          <w:sz w:val="21"/>
          <w:szCs w:val="21"/>
        </w:rPr>
      </w:pPr>
      <w:r>
        <w:rPr>
          <w:rFonts w:ascii="宋体" w:hAnsi="宋体"/>
          <w:sz w:val="21"/>
          <w:szCs w:val="21"/>
        </w:rPr>
        <w:t>（1）响应供应商提供的技术文件应与其提供的设备相一致，技术文件应该全面、详细。</w:t>
      </w:r>
    </w:p>
    <w:p>
      <w:pPr>
        <w:tabs>
          <w:tab w:val="left" w:pos="860"/>
        </w:tabs>
        <w:spacing w:line="360" w:lineRule="auto"/>
        <w:ind w:firstLine="375" w:firstLineChars="179"/>
        <w:rPr>
          <w:rFonts w:ascii="宋体" w:hAnsi="宋体"/>
          <w:sz w:val="21"/>
          <w:szCs w:val="21"/>
        </w:rPr>
      </w:pPr>
      <w:r>
        <w:rPr>
          <w:rFonts w:ascii="宋体" w:hAnsi="宋体"/>
          <w:sz w:val="21"/>
          <w:szCs w:val="21"/>
        </w:rPr>
        <w:t>（2）响应供应商提供的技术资料应能够满足采购人对响应供应商所提供的应用软件安装、管理及运行维护等的需要。响应供应商提供的技术文件至少应包括：</w:t>
      </w:r>
    </w:p>
    <w:p>
      <w:pPr>
        <w:pStyle w:val="110"/>
        <w:numPr>
          <w:ilvl w:val="0"/>
          <w:numId w:val="24"/>
        </w:numPr>
        <w:tabs>
          <w:tab w:val="left" w:pos="860"/>
        </w:tabs>
        <w:spacing w:line="360" w:lineRule="auto"/>
        <w:ind w:firstLineChars="0"/>
        <w:rPr>
          <w:rFonts w:ascii="宋体" w:hAnsi="宋体"/>
          <w:szCs w:val="21"/>
        </w:rPr>
      </w:pPr>
      <w:r>
        <w:rPr>
          <w:rFonts w:ascii="宋体" w:hAnsi="宋体"/>
          <w:szCs w:val="21"/>
        </w:rPr>
        <w:t>项目用户需求说明书</w:t>
      </w:r>
    </w:p>
    <w:p>
      <w:pPr>
        <w:pStyle w:val="110"/>
        <w:numPr>
          <w:ilvl w:val="0"/>
          <w:numId w:val="24"/>
        </w:numPr>
        <w:tabs>
          <w:tab w:val="left" w:pos="860"/>
        </w:tabs>
        <w:spacing w:line="360" w:lineRule="auto"/>
        <w:ind w:firstLineChars="0"/>
        <w:rPr>
          <w:rFonts w:ascii="宋体" w:hAnsi="宋体"/>
          <w:szCs w:val="21"/>
        </w:rPr>
      </w:pPr>
      <w:r>
        <w:rPr>
          <w:rFonts w:ascii="宋体" w:hAnsi="宋体"/>
          <w:szCs w:val="21"/>
        </w:rPr>
        <w:t>项目</w:t>
      </w:r>
      <w:r>
        <w:rPr>
          <w:rFonts w:hint="eastAsia" w:ascii="宋体" w:hAnsi="宋体"/>
          <w:szCs w:val="21"/>
        </w:rPr>
        <w:t>数据库</w:t>
      </w:r>
      <w:r>
        <w:rPr>
          <w:rFonts w:ascii="宋体" w:hAnsi="宋体"/>
          <w:szCs w:val="21"/>
        </w:rPr>
        <w:t>设计</w:t>
      </w:r>
    </w:p>
    <w:p>
      <w:pPr>
        <w:pStyle w:val="110"/>
        <w:numPr>
          <w:ilvl w:val="0"/>
          <w:numId w:val="24"/>
        </w:numPr>
        <w:tabs>
          <w:tab w:val="left" w:pos="860"/>
        </w:tabs>
        <w:spacing w:line="360" w:lineRule="auto"/>
        <w:ind w:firstLineChars="0"/>
        <w:rPr>
          <w:rFonts w:ascii="宋体" w:hAnsi="宋体"/>
          <w:szCs w:val="21"/>
        </w:rPr>
      </w:pPr>
      <w:r>
        <w:rPr>
          <w:rFonts w:ascii="宋体" w:hAnsi="宋体"/>
          <w:szCs w:val="21"/>
        </w:rPr>
        <w:t>项目详细设计</w:t>
      </w:r>
    </w:p>
    <w:p>
      <w:pPr>
        <w:pStyle w:val="110"/>
        <w:numPr>
          <w:ilvl w:val="0"/>
          <w:numId w:val="24"/>
        </w:numPr>
        <w:tabs>
          <w:tab w:val="left" w:pos="860"/>
        </w:tabs>
        <w:spacing w:line="360" w:lineRule="auto"/>
        <w:ind w:firstLineChars="0"/>
        <w:rPr>
          <w:rFonts w:ascii="宋体" w:hAnsi="宋体"/>
          <w:szCs w:val="21"/>
        </w:rPr>
      </w:pPr>
      <w:r>
        <w:rPr>
          <w:rFonts w:ascii="宋体" w:hAnsi="宋体"/>
          <w:szCs w:val="21"/>
        </w:rPr>
        <w:t>项目测试方案、项目测试记录、项目测试报告</w:t>
      </w:r>
    </w:p>
    <w:p>
      <w:pPr>
        <w:pStyle w:val="110"/>
        <w:numPr>
          <w:ilvl w:val="0"/>
          <w:numId w:val="24"/>
        </w:numPr>
        <w:tabs>
          <w:tab w:val="left" w:pos="860"/>
        </w:tabs>
        <w:spacing w:line="360" w:lineRule="auto"/>
        <w:ind w:firstLineChars="0"/>
        <w:rPr>
          <w:rFonts w:ascii="宋体" w:hAnsi="宋体"/>
          <w:szCs w:val="21"/>
        </w:rPr>
      </w:pPr>
      <w:r>
        <w:rPr>
          <w:rFonts w:ascii="宋体" w:hAnsi="宋体"/>
          <w:szCs w:val="21"/>
        </w:rPr>
        <w:t>系统用户操作使用手册（安装、操作、维护、故障排除等）</w:t>
      </w:r>
    </w:p>
    <w:p>
      <w:pPr>
        <w:pStyle w:val="110"/>
        <w:numPr>
          <w:ilvl w:val="0"/>
          <w:numId w:val="24"/>
        </w:numPr>
        <w:tabs>
          <w:tab w:val="left" w:pos="860"/>
        </w:tabs>
        <w:spacing w:line="360" w:lineRule="auto"/>
        <w:ind w:firstLineChars="0"/>
        <w:rPr>
          <w:rFonts w:ascii="宋体" w:hAnsi="宋体"/>
          <w:szCs w:val="21"/>
        </w:rPr>
      </w:pPr>
      <w:r>
        <w:rPr>
          <w:rFonts w:ascii="宋体" w:hAnsi="宋体"/>
          <w:szCs w:val="21"/>
        </w:rPr>
        <w:t>项目试运行报告</w:t>
      </w:r>
    </w:p>
    <w:p>
      <w:pPr>
        <w:pStyle w:val="110"/>
        <w:numPr>
          <w:ilvl w:val="0"/>
          <w:numId w:val="24"/>
        </w:numPr>
        <w:tabs>
          <w:tab w:val="left" w:pos="860"/>
        </w:tabs>
        <w:spacing w:line="360" w:lineRule="auto"/>
        <w:ind w:firstLineChars="0"/>
        <w:rPr>
          <w:rFonts w:ascii="宋体" w:hAnsi="宋体"/>
          <w:szCs w:val="21"/>
        </w:rPr>
      </w:pPr>
      <w:r>
        <w:rPr>
          <w:rFonts w:ascii="宋体" w:hAnsi="宋体"/>
          <w:szCs w:val="21"/>
        </w:rPr>
        <w:t>项目</w:t>
      </w:r>
      <w:r>
        <w:rPr>
          <w:rFonts w:hint="eastAsia" w:ascii="宋体" w:hAnsi="宋体"/>
          <w:szCs w:val="21"/>
        </w:rPr>
        <w:t>固定资产移交清单</w:t>
      </w:r>
    </w:p>
    <w:p>
      <w:pPr>
        <w:pStyle w:val="110"/>
        <w:numPr>
          <w:ilvl w:val="0"/>
          <w:numId w:val="24"/>
        </w:numPr>
        <w:tabs>
          <w:tab w:val="left" w:pos="860"/>
        </w:tabs>
        <w:spacing w:line="360" w:lineRule="auto"/>
        <w:ind w:firstLineChars="0"/>
        <w:rPr>
          <w:rFonts w:ascii="宋体" w:hAnsi="宋体"/>
          <w:szCs w:val="21"/>
        </w:rPr>
      </w:pPr>
      <w:r>
        <w:rPr>
          <w:rFonts w:ascii="宋体" w:hAnsi="宋体"/>
          <w:szCs w:val="21"/>
        </w:rPr>
        <w:t>项目无形资产移交清单</w:t>
      </w:r>
    </w:p>
    <w:p>
      <w:pPr>
        <w:pStyle w:val="110"/>
        <w:numPr>
          <w:ilvl w:val="0"/>
          <w:numId w:val="24"/>
        </w:numPr>
        <w:tabs>
          <w:tab w:val="left" w:pos="860"/>
        </w:tabs>
        <w:spacing w:line="360" w:lineRule="auto"/>
        <w:ind w:firstLineChars="0"/>
        <w:rPr>
          <w:rFonts w:ascii="宋体" w:hAnsi="宋体"/>
          <w:szCs w:val="21"/>
        </w:rPr>
      </w:pPr>
      <w:r>
        <w:rPr>
          <w:rFonts w:hint="eastAsia" w:ascii="宋体" w:hAnsi="宋体"/>
          <w:szCs w:val="21"/>
        </w:rPr>
        <w:t>项目技术材料</w:t>
      </w:r>
    </w:p>
    <w:p>
      <w:pPr>
        <w:pStyle w:val="110"/>
        <w:numPr>
          <w:ilvl w:val="0"/>
          <w:numId w:val="24"/>
        </w:numPr>
        <w:tabs>
          <w:tab w:val="left" w:pos="860"/>
        </w:tabs>
        <w:spacing w:line="360" w:lineRule="auto"/>
        <w:ind w:firstLineChars="0"/>
        <w:rPr>
          <w:rFonts w:ascii="宋体" w:hAnsi="宋体"/>
          <w:szCs w:val="21"/>
        </w:rPr>
      </w:pPr>
      <w:r>
        <w:rPr>
          <w:rFonts w:hint="eastAsia" w:ascii="宋体" w:hAnsi="宋体"/>
          <w:szCs w:val="21"/>
        </w:rPr>
        <w:t>设备和系统相关账号</w:t>
      </w:r>
    </w:p>
    <w:p>
      <w:pPr>
        <w:pStyle w:val="110"/>
        <w:numPr>
          <w:ilvl w:val="0"/>
          <w:numId w:val="24"/>
        </w:numPr>
        <w:tabs>
          <w:tab w:val="left" w:pos="860"/>
        </w:tabs>
        <w:spacing w:line="360" w:lineRule="auto"/>
        <w:ind w:firstLineChars="0"/>
        <w:rPr>
          <w:rFonts w:ascii="宋体" w:hAnsi="宋体"/>
          <w:szCs w:val="21"/>
        </w:rPr>
      </w:pPr>
      <w:r>
        <w:rPr>
          <w:rFonts w:ascii="宋体" w:hAnsi="宋体"/>
          <w:szCs w:val="21"/>
        </w:rPr>
        <w:t>源代码等</w:t>
      </w:r>
    </w:p>
    <w:p>
      <w:pPr>
        <w:pStyle w:val="110"/>
        <w:numPr>
          <w:ilvl w:val="0"/>
          <w:numId w:val="24"/>
        </w:numPr>
        <w:tabs>
          <w:tab w:val="left" w:pos="860"/>
        </w:tabs>
        <w:spacing w:line="360" w:lineRule="auto"/>
        <w:ind w:firstLineChars="0"/>
        <w:rPr>
          <w:rFonts w:ascii="宋体" w:hAnsi="宋体"/>
          <w:szCs w:val="21"/>
        </w:rPr>
      </w:pPr>
      <w:r>
        <w:rPr>
          <w:rFonts w:hint="eastAsia" w:ascii="宋体" w:hAnsi="宋体"/>
          <w:szCs w:val="21"/>
        </w:rPr>
        <w:t>系统运行维护方案</w:t>
      </w:r>
    </w:p>
    <w:p>
      <w:pPr>
        <w:pStyle w:val="110"/>
        <w:tabs>
          <w:tab w:val="left" w:pos="860"/>
        </w:tabs>
        <w:spacing w:line="360" w:lineRule="auto"/>
        <w:ind w:left="430" w:firstLine="0" w:firstLineChars="0"/>
        <w:rPr>
          <w:rFonts w:ascii="宋体" w:hAnsi="宋体"/>
          <w:szCs w:val="21"/>
        </w:rPr>
      </w:pPr>
      <w:r>
        <w:rPr>
          <w:rFonts w:ascii="宋体" w:hAnsi="宋体"/>
          <w:szCs w:val="21"/>
        </w:rPr>
        <w:t>（3）第三方测评。</w:t>
      </w:r>
      <w:r>
        <w:rPr>
          <w:rFonts w:hint="eastAsia" w:ascii="宋体" w:hAnsi="宋体"/>
          <w:szCs w:val="21"/>
        </w:rPr>
        <w:t>响应供应商应配合具备甲方委托的第三方测评机构，对项目建设内容开展全面、深入、细致且符合行业规范与标准的软测、安测、密测等测评工作，并完成后续整改。</w:t>
      </w:r>
    </w:p>
    <w:p>
      <w:pPr>
        <w:pStyle w:val="3"/>
        <w:autoSpaceDE/>
        <w:autoSpaceDN/>
        <w:adjustRightInd/>
        <w:spacing w:before="0"/>
        <w:jc w:val="both"/>
        <w:textAlignment w:val="auto"/>
        <w:rPr>
          <w:rFonts w:ascii="宋体" w:hAnsi="宋体"/>
          <w:bCs/>
          <w:sz w:val="21"/>
          <w:szCs w:val="21"/>
        </w:rPr>
      </w:pPr>
      <w:r>
        <w:rPr>
          <w:rFonts w:hint="eastAsia" w:ascii="宋体" w:hAnsi="宋体"/>
          <w:bCs/>
          <w:sz w:val="21"/>
          <w:szCs w:val="21"/>
        </w:rPr>
        <w:t>9</w:t>
      </w:r>
      <w:r>
        <w:rPr>
          <w:rFonts w:ascii="宋体" w:hAnsi="宋体"/>
          <w:bCs/>
          <w:sz w:val="21"/>
          <w:szCs w:val="21"/>
        </w:rPr>
        <w:t>技术培训</w:t>
      </w:r>
    </w:p>
    <w:p>
      <w:pPr>
        <w:tabs>
          <w:tab w:val="left" w:pos="860"/>
        </w:tabs>
        <w:spacing w:line="360" w:lineRule="auto"/>
        <w:ind w:firstLine="375" w:firstLineChars="179"/>
        <w:rPr>
          <w:rFonts w:ascii="宋体" w:hAnsi="宋体"/>
          <w:sz w:val="21"/>
          <w:szCs w:val="21"/>
        </w:rPr>
      </w:pPr>
      <w:r>
        <w:rPr>
          <w:rFonts w:ascii="宋体" w:hAnsi="宋体"/>
          <w:sz w:val="21"/>
          <w:szCs w:val="21"/>
        </w:rPr>
        <w:t>根据项目实际情况制定详细培训方案，并满足以下要求</w:t>
      </w:r>
    </w:p>
    <w:p>
      <w:pPr>
        <w:tabs>
          <w:tab w:val="left" w:pos="860"/>
        </w:tabs>
        <w:spacing w:line="360" w:lineRule="auto"/>
        <w:ind w:firstLine="375" w:firstLineChars="179"/>
        <w:rPr>
          <w:rFonts w:ascii="宋体" w:hAnsi="宋体"/>
          <w:sz w:val="21"/>
          <w:szCs w:val="21"/>
        </w:rPr>
      </w:pPr>
      <w:r>
        <w:rPr>
          <w:rFonts w:ascii="宋体" w:hAnsi="宋体"/>
          <w:sz w:val="21"/>
          <w:szCs w:val="21"/>
        </w:rPr>
        <w:t>（1）响应供应商应对采购人人员进行全面的技术培训。使采购人人员达到能独立进行管理、维护测试和故障处理等工作，以便响应供应商所提供的设备能够正常、安全地运行。</w:t>
      </w:r>
    </w:p>
    <w:p>
      <w:pPr>
        <w:tabs>
          <w:tab w:val="left" w:pos="860"/>
        </w:tabs>
        <w:spacing w:line="360" w:lineRule="auto"/>
        <w:ind w:firstLine="375" w:firstLineChars="179"/>
        <w:rPr>
          <w:rFonts w:ascii="宋体" w:hAnsi="宋体"/>
          <w:sz w:val="21"/>
          <w:szCs w:val="21"/>
        </w:rPr>
      </w:pPr>
      <w:r>
        <w:rPr>
          <w:rFonts w:ascii="宋体" w:hAnsi="宋体"/>
          <w:sz w:val="21"/>
          <w:szCs w:val="21"/>
        </w:rPr>
        <w:t>（2）响应供应商应对采购人人员进行全面的系统使用培训。使采购人人员达到能独立进行系统功能操作等工作，以便所有采购人用户能熟练使用系统。</w:t>
      </w:r>
    </w:p>
    <w:p>
      <w:pPr>
        <w:tabs>
          <w:tab w:val="left" w:pos="860"/>
        </w:tabs>
        <w:spacing w:line="360" w:lineRule="auto"/>
        <w:ind w:firstLine="375" w:firstLineChars="179"/>
        <w:rPr>
          <w:rFonts w:ascii="宋体" w:hAnsi="宋体"/>
          <w:sz w:val="21"/>
          <w:szCs w:val="21"/>
        </w:rPr>
      </w:pPr>
      <w:r>
        <w:rPr>
          <w:rFonts w:ascii="宋体" w:hAnsi="宋体"/>
          <w:sz w:val="21"/>
          <w:szCs w:val="21"/>
        </w:rPr>
        <w:t>（3）培训内容应包括：响应供应商所提供应用软件的性能、相关技术原理和操作使用方法，维护管理的技术，实际的操作练习。</w:t>
      </w:r>
    </w:p>
    <w:p>
      <w:pPr>
        <w:tabs>
          <w:tab w:val="left" w:pos="860"/>
        </w:tabs>
        <w:spacing w:line="360" w:lineRule="auto"/>
        <w:ind w:firstLine="375" w:firstLineChars="179"/>
        <w:rPr>
          <w:rFonts w:ascii="宋体" w:hAnsi="宋体"/>
          <w:sz w:val="21"/>
          <w:szCs w:val="21"/>
        </w:rPr>
      </w:pPr>
      <w:r>
        <w:rPr>
          <w:rFonts w:ascii="宋体" w:hAnsi="宋体"/>
          <w:sz w:val="21"/>
          <w:szCs w:val="21"/>
        </w:rPr>
        <w:t>（4）响应供应商负责提供培训教材和实际的操作环境。响应供应商在应答书中应提出详细的培训内容和培训计划。</w:t>
      </w:r>
    </w:p>
    <w:p>
      <w:pPr>
        <w:pStyle w:val="3"/>
        <w:autoSpaceDE/>
        <w:autoSpaceDN/>
        <w:adjustRightInd/>
        <w:spacing w:before="0"/>
        <w:jc w:val="both"/>
        <w:textAlignment w:val="auto"/>
        <w:rPr>
          <w:rFonts w:ascii="宋体" w:hAnsi="宋体"/>
          <w:bCs/>
          <w:sz w:val="21"/>
          <w:szCs w:val="21"/>
        </w:rPr>
      </w:pPr>
      <w:r>
        <w:rPr>
          <w:rFonts w:hint="eastAsia" w:ascii="宋体" w:hAnsi="宋体"/>
          <w:bCs/>
          <w:sz w:val="21"/>
          <w:szCs w:val="21"/>
        </w:rPr>
        <w:t>10</w:t>
      </w:r>
      <w:r>
        <w:rPr>
          <w:rFonts w:ascii="宋体" w:hAnsi="宋体"/>
          <w:bCs/>
          <w:sz w:val="21"/>
          <w:szCs w:val="21"/>
        </w:rPr>
        <w:t>售后服务</w:t>
      </w:r>
    </w:p>
    <w:p>
      <w:pPr>
        <w:tabs>
          <w:tab w:val="left" w:pos="860"/>
        </w:tabs>
        <w:spacing w:line="360" w:lineRule="auto"/>
        <w:ind w:firstLine="375" w:firstLineChars="179"/>
        <w:rPr>
          <w:rFonts w:ascii="宋体" w:hAnsi="宋体"/>
          <w:sz w:val="21"/>
          <w:szCs w:val="21"/>
        </w:rPr>
      </w:pPr>
      <w:r>
        <w:rPr>
          <w:rFonts w:ascii="宋体" w:hAnsi="宋体"/>
          <w:sz w:val="21"/>
          <w:szCs w:val="21"/>
        </w:rPr>
        <w:t>详细描述服务支撑及售后服务方案并满足如下要求：</w:t>
      </w:r>
    </w:p>
    <w:p>
      <w:pPr>
        <w:tabs>
          <w:tab w:val="left" w:pos="860"/>
        </w:tabs>
        <w:spacing w:line="360" w:lineRule="auto"/>
        <w:ind w:firstLine="375" w:firstLineChars="179"/>
        <w:rPr>
          <w:rFonts w:ascii="宋体" w:hAnsi="宋体"/>
          <w:sz w:val="21"/>
          <w:szCs w:val="21"/>
        </w:rPr>
      </w:pPr>
      <w:r>
        <w:rPr>
          <w:rFonts w:ascii="宋体" w:hAnsi="宋体"/>
          <w:sz w:val="21"/>
          <w:szCs w:val="21"/>
        </w:rPr>
        <w:t>应用软件免费保修期从终验合格后开始计算，时间为12个月。</w:t>
      </w:r>
    </w:p>
    <w:p>
      <w:pPr>
        <w:tabs>
          <w:tab w:val="left" w:pos="860"/>
        </w:tabs>
        <w:spacing w:line="360" w:lineRule="auto"/>
        <w:ind w:firstLine="375" w:firstLineChars="179"/>
        <w:rPr>
          <w:rFonts w:ascii="宋体" w:hAnsi="宋体"/>
          <w:sz w:val="21"/>
          <w:szCs w:val="21"/>
        </w:rPr>
      </w:pPr>
      <w:r>
        <w:rPr>
          <w:rFonts w:ascii="宋体" w:hAnsi="宋体"/>
          <w:sz w:val="21"/>
          <w:szCs w:val="21"/>
        </w:rPr>
        <w:t>从终验合格后开始计算，响应供应商应为应用软件提供1年保修期。在保修期内，如果系统发生故障，响应供应商要调查故障原因并修复直至满足最终验收指标和性能的要求，或者更换整个或部分有缺陷的材料或软件。以上都应是免费的。</w:t>
      </w:r>
    </w:p>
    <w:p>
      <w:pPr>
        <w:tabs>
          <w:tab w:val="left" w:pos="860"/>
        </w:tabs>
        <w:spacing w:line="360" w:lineRule="auto"/>
        <w:ind w:firstLine="375" w:firstLineChars="179"/>
        <w:rPr>
          <w:rFonts w:ascii="宋体" w:hAnsi="宋体"/>
          <w:sz w:val="21"/>
          <w:szCs w:val="21"/>
        </w:rPr>
      </w:pPr>
      <w:r>
        <w:rPr>
          <w:rFonts w:ascii="宋体" w:hAnsi="宋体"/>
          <w:sz w:val="21"/>
          <w:szCs w:val="21"/>
        </w:rPr>
        <w:t>在保修期内，响应供应商应提供灵活、多样的通信手段，提供7*24小时的响应服务，保证在任何时候采购人人员都能及时找到响应供应商的工程师。如采购人认为需要，响应供应商的技术人员应在合同承诺的时间内赶到现场支持。</w:t>
      </w:r>
    </w:p>
    <w:p>
      <w:pPr>
        <w:tabs>
          <w:tab w:val="left" w:pos="860"/>
        </w:tabs>
        <w:spacing w:line="360" w:lineRule="auto"/>
        <w:ind w:firstLine="375" w:firstLineChars="179"/>
        <w:rPr>
          <w:rFonts w:ascii="宋体" w:hAnsi="宋体"/>
          <w:sz w:val="21"/>
          <w:szCs w:val="21"/>
        </w:rPr>
      </w:pPr>
      <w:r>
        <w:rPr>
          <w:rFonts w:ascii="宋体" w:hAnsi="宋体"/>
          <w:sz w:val="21"/>
          <w:szCs w:val="21"/>
        </w:rPr>
        <w:t>响应供应商应对其在中国的售后服务、技术支持方面的情况作出说明。在中国有无技术支持中心，地点设在何处, 能否提供7x24小时技术服务。</w:t>
      </w:r>
    </w:p>
    <w:p>
      <w:pPr>
        <w:tabs>
          <w:tab w:val="left" w:pos="860"/>
        </w:tabs>
        <w:spacing w:line="360" w:lineRule="auto"/>
        <w:ind w:firstLine="375" w:firstLineChars="179"/>
        <w:rPr>
          <w:rFonts w:ascii="宋体" w:hAnsi="宋体"/>
          <w:sz w:val="21"/>
          <w:szCs w:val="21"/>
        </w:rPr>
      </w:pPr>
      <w:r>
        <w:rPr>
          <w:rFonts w:ascii="宋体" w:hAnsi="宋体"/>
          <w:sz w:val="21"/>
          <w:szCs w:val="21"/>
        </w:rPr>
        <w:t>在系统发生严重故障的情况下, 厂商承诺在2个小时内赶赴现场, 承诺在4小时内排除故障。</w:t>
      </w:r>
    </w:p>
    <w:p>
      <w:pPr>
        <w:tabs>
          <w:tab w:val="left" w:pos="860"/>
        </w:tabs>
        <w:spacing w:line="360" w:lineRule="auto"/>
        <w:ind w:firstLine="375" w:firstLineChars="179"/>
        <w:rPr>
          <w:rFonts w:ascii="宋体" w:hAnsi="宋体"/>
          <w:sz w:val="21"/>
          <w:szCs w:val="21"/>
        </w:rPr>
      </w:pPr>
      <w:r>
        <w:rPr>
          <w:rFonts w:ascii="宋体" w:hAnsi="宋体"/>
          <w:sz w:val="21"/>
          <w:szCs w:val="21"/>
        </w:rPr>
        <w:t>在保修期内，响应供应商如对应用软件有所改进，增加新功能，均应免费提供采购人使用。</w:t>
      </w:r>
    </w:p>
    <w:p>
      <w:pPr>
        <w:tabs>
          <w:tab w:val="left" w:pos="860"/>
        </w:tabs>
        <w:spacing w:line="360" w:lineRule="auto"/>
        <w:ind w:firstLine="375" w:firstLineChars="179"/>
        <w:rPr>
          <w:rFonts w:ascii="宋体" w:hAnsi="宋体"/>
          <w:sz w:val="21"/>
          <w:szCs w:val="21"/>
        </w:rPr>
      </w:pPr>
      <w:r>
        <w:rPr>
          <w:rFonts w:ascii="宋体" w:hAnsi="宋体"/>
          <w:sz w:val="21"/>
          <w:szCs w:val="21"/>
        </w:rPr>
        <w:t>版本响应及时性：针对系统bug、本地化需求等问题，能保证版本更新的及时性、有效性。</w:t>
      </w:r>
    </w:p>
    <w:p>
      <w:pPr>
        <w:tabs>
          <w:tab w:val="left" w:pos="860"/>
        </w:tabs>
        <w:spacing w:line="360" w:lineRule="auto"/>
        <w:ind w:firstLine="375" w:firstLineChars="179"/>
        <w:rPr>
          <w:rFonts w:ascii="宋体" w:hAnsi="宋体"/>
          <w:sz w:val="21"/>
          <w:szCs w:val="21"/>
        </w:rPr>
      </w:pPr>
      <w:r>
        <w:rPr>
          <w:rFonts w:ascii="宋体" w:hAnsi="宋体"/>
          <w:sz w:val="21"/>
          <w:szCs w:val="21"/>
        </w:rPr>
        <w:t>咨询服务能力：结合采购人实际运行要求，配合策略制定，规范编制（运行管理规范、终端安全使用管理规范、备份及应急管理规范等）。</w:t>
      </w:r>
    </w:p>
    <w:p>
      <w:pPr>
        <w:pStyle w:val="3"/>
        <w:numPr>
          <w:ilvl w:val="255"/>
          <w:numId w:val="0"/>
        </w:numPr>
        <w:autoSpaceDE/>
        <w:autoSpaceDN/>
        <w:adjustRightInd/>
        <w:spacing w:before="0"/>
        <w:jc w:val="both"/>
        <w:textAlignment w:val="auto"/>
        <w:rPr>
          <w:rFonts w:ascii="宋体" w:hAnsi="宋体"/>
          <w:bCs/>
          <w:sz w:val="21"/>
          <w:szCs w:val="21"/>
        </w:rPr>
      </w:pPr>
      <w:r>
        <w:rPr>
          <w:rFonts w:hint="eastAsia" w:ascii="宋体" w:hAnsi="宋体"/>
          <w:bCs/>
          <w:sz w:val="21"/>
          <w:szCs w:val="21"/>
        </w:rPr>
        <w:t>11</w:t>
      </w:r>
      <w:r>
        <w:rPr>
          <w:rFonts w:ascii="宋体" w:hAnsi="宋体"/>
          <w:bCs/>
          <w:sz w:val="21"/>
          <w:szCs w:val="21"/>
        </w:rPr>
        <w:t>其他要求</w:t>
      </w:r>
    </w:p>
    <w:bookmarkEnd w:id="0"/>
    <w:bookmarkEnd w:id="1"/>
    <w:bookmarkEnd w:id="2"/>
    <w:bookmarkEnd w:id="3"/>
    <w:bookmarkEnd w:id="4"/>
    <w:bookmarkEnd w:id="5"/>
    <w:bookmarkEnd w:id="6"/>
    <w:bookmarkEnd w:id="7"/>
    <w:bookmarkEnd w:id="8"/>
    <w:p>
      <w:pPr>
        <w:tabs>
          <w:tab w:val="left" w:pos="860"/>
        </w:tabs>
        <w:spacing w:line="360" w:lineRule="auto"/>
        <w:ind w:firstLine="375" w:firstLineChars="179"/>
        <w:rPr>
          <w:rFonts w:ascii="宋体" w:hAnsi="宋体"/>
          <w:sz w:val="21"/>
          <w:szCs w:val="21"/>
        </w:rPr>
      </w:pPr>
      <w:r>
        <w:rPr>
          <w:rFonts w:ascii="宋体" w:hAnsi="宋体"/>
          <w:sz w:val="21"/>
          <w:szCs w:val="21"/>
        </w:rPr>
        <w:t>（1）响应供应商应提供经采购人认可的详细需求分析报告、总体设计、详细设计、应用程序结构及程序源代码等应用软件相关文档。以后响应供应商对文档的修改也应该有相应的文件提交采购人。</w:t>
      </w:r>
    </w:p>
    <w:p>
      <w:pPr>
        <w:tabs>
          <w:tab w:val="left" w:pos="860"/>
        </w:tabs>
        <w:spacing w:line="360" w:lineRule="auto"/>
        <w:ind w:firstLine="375" w:firstLineChars="179"/>
        <w:rPr>
          <w:rFonts w:ascii="宋体" w:hAnsi="宋体"/>
          <w:sz w:val="21"/>
          <w:szCs w:val="21"/>
        </w:rPr>
      </w:pPr>
      <w:r>
        <w:rPr>
          <w:rFonts w:ascii="宋体" w:hAnsi="宋体"/>
          <w:sz w:val="21"/>
          <w:szCs w:val="21"/>
        </w:rPr>
        <w:t>（2）若出现由于响应供应商提供的应用软件系统不满足要求或其所提供的技术支持和服务不全面而导致系统功能无法实现或不能完全实现，由响应供应商负全部责任。</w:t>
      </w:r>
    </w:p>
    <w:p>
      <w:pPr>
        <w:tabs>
          <w:tab w:val="left" w:pos="860"/>
        </w:tabs>
        <w:spacing w:line="360" w:lineRule="auto"/>
        <w:ind w:firstLine="375" w:firstLineChars="179"/>
        <w:rPr>
          <w:rFonts w:ascii="宋体" w:hAnsi="宋体"/>
          <w:sz w:val="21"/>
          <w:szCs w:val="21"/>
        </w:rPr>
      </w:pPr>
      <w:r>
        <w:rPr>
          <w:rFonts w:ascii="宋体" w:hAnsi="宋体"/>
          <w:sz w:val="21"/>
          <w:szCs w:val="21"/>
        </w:rPr>
        <w:t>（3）响应供应商应确保提供长期技术支持。在保修期内，如采购人要求对软件有新的改进、完善、网元升级等，响应供应商均应及时对应用软件系统进行修改。</w:t>
      </w:r>
    </w:p>
    <w:p>
      <w:pPr>
        <w:tabs>
          <w:tab w:val="left" w:pos="860"/>
        </w:tabs>
        <w:spacing w:line="360" w:lineRule="auto"/>
        <w:ind w:firstLine="375" w:firstLineChars="179"/>
        <w:rPr>
          <w:rFonts w:ascii="宋体" w:hAnsi="宋体"/>
          <w:sz w:val="21"/>
          <w:szCs w:val="21"/>
        </w:rPr>
      </w:pPr>
      <w:r>
        <w:rPr>
          <w:rFonts w:ascii="宋体" w:hAnsi="宋体"/>
          <w:sz w:val="21"/>
          <w:szCs w:val="21"/>
        </w:rPr>
        <w:t>（4）响应供应商应开放数据库结构，配合并支持采购人的二次开发。</w:t>
      </w:r>
    </w:p>
    <w:p>
      <w:pPr>
        <w:tabs>
          <w:tab w:val="left" w:pos="860"/>
        </w:tabs>
        <w:spacing w:line="360" w:lineRule="auto"/>
        <w:ind w:firstLine="375" w:firstLineChars="179"/>
        <w:rPr>
          <w:rFonts w:ascii="宋体" w:hAnsi="宋体"/>
          <w:sz w:val="21"/>
          <w:szCs w:val="21"/>
        </w:rPr>
      </w:pPr>
      <w:r>
        <w:rPr>
          <w:rFonts w:ascii="宋体" w:hAnsi="宋体"/>
          <w:sz w:val="21"/>
          <w:szCs w:val="21"/>
        </w:rPr>
        <w:t>（5）应用软件版权归采购人所有。未经采购人许可，响应供应商不得以任何形式翻录、拷贝或提供全部或部分给任何人使用。</w:t>
      </w:r>
    </w:p>
    <w:p>
      <w:pPr>
        <w:tabs>
          <w:tab w:val="left" w:pos="860"/>
        </w:tabs>
        <w:spacing w:line="360" w:lineRule="auto"/>
        <w:ind w:firstLine="375" w:firstLineChars="179"/>
        <w:rPr>
          <w:rFonts w:ascii="宋体" w:hAnsi="宋体"/>
          <w:sz w:val="21"/>
          <w:szCs w:val="21"/>
        </w:rPr>
      </w:pPr>
      <w:r>
        <w:rPr>
          <w:rFonts w:ascii="宋体" w:hAnsi="宋体"/>
          <w:sz w:val="21"/>
          <w:szCs w:val="21"/>
        </w:rPr>
        <w:t>（6）响应供应商使用的开发工具以及提供给采购人的系统软件，必须为正版软件，严禁使用盗版软件，并禁止以盗版软件作为开发工具提供给采购人。</w:t>
      </w:r>
    </w:p>
    <w:p>
      <w:pPr>
        <w:tabs>
          <w:tab w:val="left" w:pos="860"/>
        </w:tabs>
        <w:spacing w:line="360" w:lineRule="auto"/>
        <w:ind w:firstLine="375" w:firstLineChars="179"/>
        <w:rPr>
          <w:rFonts w:ascii="宋体" w:hAnsi="宋体"/>
          <w:sz w:val="21"/>
          <w:szCs w:val="21"/>
        </w:rPr>
      </w:pPr>
      <w:r>
        <w:rPr>
          <w:rFonts w:ascii="宋体" w:hAnsi="宋体"/>
          <w:sz w:val="21"/>
          <w:szCs w:val="21"/>
        </w:rPr>
        <w:t>（7）凡系统中使用的互联网上提供的控件、API、动态库等必须具有相应的安全数字签名，必须经过严格的测试并提供详细的软件说明才可应用到系统软件中，严禁私自使用未经认证的免费资源。</w:t>
      </w:r>
    </w:p>
    <w:p>
      <w:pPr>
        <w:tabs>
          <w:tab w:val="left" w:pos="860"/>
        </w:tabs>
        <w:spacing w:line="360" w:lineRule="auto"/>
        <w:ind w:firstLine="375" w:firstLineChars="179"/>
        <w:rPr>
          <w:rFonts w:ascii="宋体" w:hAnsi="宋体"/>
          <w:sz w:val="21"/>
          <w:szCs w:val="21"/>
        </w:rPr>
      </w:pPr>
      <w:r>
        <w:rPr>
          <w:rFonts w:ascii="宋体" w:hAnsi="宋体"/>
          <w:sz w:val="21"/>
          <w:szCs w:val="21"/>
        </w:rPr>
        <w:t>（8）如果涉及到需要注册的共享软件，必须经过正当途径注册之后才可应用到系统软件中，并对后续的继续使用的费用作出详细说明，严禁私自使用破解软件将破解之后的软件应用到系统软件中。</w:t>
      </w:r>
    </w:p>
    <w:p>
      <w:pPr>
        <w:tabs>
          <w:tab w:val="left" w:pos="860"/>
        </w:tabs>
        <w:spacing w:line="360" w:lineRule="auto"/>
        <w:ind w:firstLine="375" w:firstLineChars="179"/>
        <w:rPr>
          <w:rFonts w:ascii="宋体" w:hAnsi="宋体"/>
          <w:sz w:val="21"/>
          <w:szCs w:val="21"/>
        </w:rPr>
      </w:pPr>
      <w:r>
        <w:rPr>
          <w:rFonts w:ascii="宋体" w:hAnsi="宋体"/>
          <w:sz w:val="21"/>
          <w:szCs w:val="21"/>
        </w:rPr>
        <w:t>（9）可扩展性：从系统结构，功能设计，管理对象，直到软硬件平台的可扩展性。随着移动网络的扩展，管理功能的增加以及管理网络的演进，要求系统必须具有灵活的扩展性。</w:t>
      </w:r>
    </w:p>
    <w:p>
      <w:pPr>
        <w:tabs>
          <w:tab w:val="left" w:pos="860"/>
        </w:tabs>
        <w:spacing w:line="360" w:lineRule="auto"/>
        <w:ind w:firstLine="375" w:firstLineChars="179"/>
        <w:rPr>
          <w:rFonts w:ascii="宋体" w:hAnsi="宋体"/>
          <w:sz w:val="21"/>
          <w:szCs w:val="21"/>
        </w:rPr>
      </w:pPr>
      <w:r>
        <w:rPr>
          <w:rFonts w:ascii="宋体" w:hAnsi="宋体"/>
          <w:sz w:val="21"/>
          <w:szCs w:val="21"/>
        </w:rPr>
        <w:t>（10）系统平滑升级：系统应实现版本化管理，支持软件版本的延续性，新版本应具有向下兼容原有版本的能力；系统提供网络容量扩展的情况下平滑过渡升级的能力，系统版本升级应不影响原有系统的核心功能。</w:t>
      </w:r>
    </w:p>
    <w:p>
      <w:pPr>
        <w:tabs>
          <w:tab w:val="left" w:pos="860"/>
        </w:tabs>
        <w:spacing w:line="360" w:lineRule="auto"/>
        <w:ind w:firstLine="375" w:firstLineChars="179"/>
        <w:rPr>
          <w:rFonts w:ascii="宋体" w:hAnsi="宋体"/>
          <w:sz w:val="21"/>
          <w:szCs w:val="21"/>
        </w:rPr>
      </w:pPr>
      <w:r>
        <w:rPr>
          <w:rFonts w:ascii="宋体" w:hAnsi="宋体"/>
          <w:sz w:val="21"/>
          <w:szCs w:val="21"/>
        </w:rPr>
        <w:t>（11）响应供应商应确保其技术建议的可行性。若出现由于响应供应商提供的应用软件不满足要求或其所提供的技术支持和服务不全面而导致系统功能无法实现或不能完全实现，由响应供应商无偿补足，并负全部责任。</w:t>
      </w:r>
    </w:p>
    <w:p>
      <w:pPr>
        <w:tabs>
          <w:tab w:val="left" w:pos="860"/>
        </w:tabs>
        <w:spacing w:line="360" w:lineRule="auto"/>
        <w:ind w:firstLine="375" w:firstLineChars="179"/>
        <w:rPr>
          <w:rFonts w:ascii="宋体" w:hAnsi="宋体"/>
          <w:sz w:val="21"/>
          <w:szCs w:val="21"/>
        </w:rPr>
      </w:pPr>
      <w:r>
        <w:rPr>
          <w:rFonts w:ascii="宋体" w:hAnsi="宋体"/>
          <w:sz w:val="21"/>
          <w:szCs w:val="21"/>
        </w:rPr>
        <w:t>（12）由响应供应商原因造成的工期延误等损失，均由响应供应商赔偿给采购人。</w:t>
      </w:r>
    </w:p>
    <w:p>
      <w:pPr>
        <w:tabs>
          <w:tab w:val="left" w:pos="860"/>
        </w:tabs>
        <w:spacing w:line="360" w:lineRule="auto"/>
        <w:ind w:firstLine="375" w:firstLineChars="179"/>
        <w:rPr>
          <w:rFonts w:ascii="宋体" w:hAnsi="宋体"/>
          <w:sz w:val="21"/>
          <w:szCs w:val="21"/>
        </w:rPr>
      </w:pPr>
      <w:r>
        <w:rPr>
          <w:rFonts w:ascii="宋体" w:hAnsi="宋体"/>
          <w:sz w:val="21"/>
          <w:szCs w:val="21"/>
        </w:rPr>
        <w:t>（13）响应供应商应保证不同时期提供的应用软件产品兼容。</w:t>
      </w:r>
    </w:p>
    <w:p>
      <w:pPr>
        <w:spacing w:line="360" w:lineRule="auto"/>
        <w:ind w:firstLine="371" w:firstLineChars="177"/>
        <w:rPr>
          <w:rFonts w:ascii="宋体" w:hAnsi="宋体"/>
          <w:sz w:val="21"/>
          <w:szCs w:val="21"/>
        </w:rPr>
      </w:pPr>
      <w:r>
        <w:rPr>
          <w:rFonts w:ascii="宋体" w:hAnsi="宋体"/>
          <w:sz w:val="21"/>
          <w:szCs w:val="21"/>
        </w:rPr>
        <w:t>（14）响应供应商应保证合同</w:t>
      </w:r>
      <w:r>
        <w:rPr>
          <w:rFonts w:hint="eastAsia" w:ascii="宋体" w:hAnsi="宋体"/>
          <w:sz w:val="21"/>
          <w:szCs w:val="21"/>
        </w:rPr>
        <w:t>签订</w:t>
      </w:r>
      <w:r>
        <w:rPr>
          <w:rFonts w:ascii="宋体" w:hAnsi="宋体"/>
          <w:sz w:val="21"/>
          <w:szCs w:val="21"/>
        </w:rPr>
        <w:t>后提供不少于5年的技术支持能力。如响应供应商停止合同产品技术支持，应提前1年通知采购人。</w:t>
      </w:r>
    </w:p>
    <w:p>
      <w:pPr>
        <w:tabs>
          <w:tab w:val="left" w:pos="860"/>
        </w:tabs>
        <w:snapToGrid w:val="0"/>
        <w:spacing w:line="360" w:lineRule="auto"/>
        <w:ind w:firstLine="375" w:firstLineChars="179"/>
        <w:rPr>
          <w:rFonts w:ascii="宋体" w:hAnsi="宋体"/>
          <w:sz w:val="21"/>
          <w:szCs w:val="21"/>
        </w:rPr>
      </w:pPr>
    </w:p>
    <w:sectPr>
      <w:headerReference r:id="rId5" w:type="default"/>
      <w:footerReference r:id="rId6" w:type="default"/>
      <w:footerReference r:id="rId7" w:type="even"/>
      <w:pgSz w:w="11906" w:h="16838"/>
      <w:pgMar w:top="1418" w:right="1701" w:bottom="1418" w:left="1701" w:header="851" w:footer="851" w:gutter="0"/>
      <w:pgBorders w:offsetFrom="page">
        <w:top w:val="single" w:color="auto" w:sz="4" w:space="24"/>
        <w:bottom w:val="single" w:color="auto" w:sz="4" w:space="24"/>
      </w:pgBorders>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KGNKCB+ArialUnicodeMS+1">
    <w:altName w:val="DejaVu Sans"/>
    <w:panose1 w:val="00000000000000000000"/>
    <w:charset w:val="86"/>
    <w:family w:val="swiss"/>
    <w:pitch w:val="default"/>
    <w:sig w:usb0="00000000" w:usb1="00000000" w:usb2="00000010" w:usb3="00000000" w:csb0="00040000" w:csb1="00000000"/>
  </w:font>
  <w:font w:name="Arial Unicode MS">
    <w:altName w:val="DejaVu Sans"/>
    <w:panose1 w:val="020B0604020202020204"/>
    <w:charset w:val="86"/>
    <w:family w:val="swiss"/>
    <w:pitch w:val="default"/>
    <w:sig w:usb0="00000000" w:usb1="00000000" w:usb2="0000003F" w:usb3="00000000" w:csb0="003F01FF" w:csb1="00000000"/>
  </w:font>
  <w:font w:name="Tahoma">
    <w:altName w:val="DejaVu Sans"/>
    <w:panose1 w:val="020B0604030504040204"/>
    <w:charset w:val="00"/>
    <w:family w:val="swiss"/>
    <w:pitch w:val="default"/>
    <w:sig w:usb0="00000000" w:usb1="00000000" w:usb2="00000029" w:usb3="00000000" w:csb0="000101FF" w:csb1="00000000"/>
  </w:font>
  <w:font w:name="Verdana">
    <w:altName w:val="DejaVu Sans"/>
    <w:panose1 w:val="020B0604030504040204"/>
    <w:charset w:val="00"/>
    <w:family w:val="swiss"/>
    <w:pitch w:val="default"/>
    <w:sig w:usb0="00000000" w:usb1="00000000" w:usb2="00000010" w:usb3="00000000" w:csb0="0000019F" w:csb1="00000000"/>
  </w:font>
  <w:font w:name="Segoe">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华文细黑">
    <w:altName w:val="文泉驿微米黑"/>
    <w:panose1 w:val="02010600040101010101"/>
    <w:charset w:val="86"/>
    <w:family w:val="auto"/>
    <w:pitch w:val="default"/>
    <w:sig w:usb0="00000000" w:usb1="00000000" w:usb2="00000010" w:usb3="00000000" w:csb0="0004009F" w:csb1="00000000"/>
  </w:font>
  <w:font w:name="文泉驿微米黑">
    <w:panose1 w:val="020B0606030804020204"/>
    <w:charset w:val="86"/>
    <w:family w:val="auto"/>
    <w:pitch w:val="default"/>
    <w:sig w:usb0="E10002EF" w:usb1="6BDFFCFB" w:usb2="00800036" w:usb3="00000000" w:csb0="603E019F" w:csb1="DFD70000"/>
  </w:font>
  <w:font w:name="新宋体">
    <w:altName w:val="方正书宋_GBK"/>
    <w:panose1 w:val="02010609030101010101"/>
    <w:charset w:val="86"/>
    <w:family w:val="modern"/>
    <w:pitch w:val="default"/>
    <w:sig w:usb0="00000000" w:usb1="00000000" w:usb2="00000016" w:usb3="00000000" w:csb0="00040001" w:csb1="00000000"/>
  </w:font>
  <w:font w:name="长城仿宋">
    <w:altName w:val="方正仿宋_GBK"/>
    <w:panose1 w:val="00000000000000000000"/>
    <w:charset w:val="86"/>
    <w:family w:val="modern"/>
    <w:pitch w:val="default"/>
    <w:sig w:usb0="00000000" w:usb1="00000000" w:usb2="00000010" w:usb3="00000000" w:csb0="00040000" w:csb1="00000000"/>
  </w:font>
  <w:font w:name="Courier">
    <w:altName w:val="Noto Sans Mono"/>
    <w:panose1 w:val="02070409020205020404"/>
    <w:charset w:val="00"/>
    <w:family w:val="modern"/>
    <w:pitch w:val="default"/>
    <w:sig w:usb0="00000000" w:usb1="00000000" w:usb2="00000000" w:usb3="00000000" w:csb0="00000001" w:csb1="00000000"/>
  </w:font>
  <w:font w:name="Noto Sans Mono">
    <w:panose1 w:val="020B0509040504020204"/>
    <w:charset w:val="00"/>
    <w:family w:val="auto"/>
    <w:pitch w:val="default"/>
    <w:sig w:usb0="E00002FF" w:usb1="4200FCFF" w:usb2="08000039" w:usb3="00100000" w:csb0="0000019F" w:csb1="DFD70000"/>
  </w:font>
  <w:font w:name="Helvetica">
    <w:altName w:val="DejaVu Sans"/>
    <w:panose1 w:val="020B0604020202020204"/>
    <w:charset w:val="00"/>
    <w:family w:val="swiss"/>
    <w:pitch w:val="default"/>
    <w:sig w:usb0="00000000" w:usb1="00000000" w:usb2="00000000" w:usb3="00000000" w:csb0="00000001" w:csb1="00000000"/>
  </w:font>
  <w:font w:name="TimesNewRomanPS">
    <w:altName w:val="DejaVu Sans"/>
    <w:panose1 w:val="00000000000000000000"/>
    <w:charset w:val="00"/>
    <w:family w:val="auto"/>
    <w:pitch w:val="default"/>
    <w:sig w:usb0="00000000" w:usb1="00000000" w:usb2="00000000" w:usb3="00000000" w:csb0="00040001" w:csb1="00000000"/>
  </w:font>
  <w:font w:name="Garamond">
    <w:altName w:val="Noto Serif Bengali"/>
    <w:panose1 w:val="02020404030301010803"/>
    <w:charset w:val="00"/>
    <w:family w:val="roman"/>
    <w:pitch w:val="default"/>
    <w:sig w:usb0="00000000" w:usb1="00000000" w:usb2="00000000" w:usb3="00000000" w:csb0="0000009F" w:csb1="00000000"/>
  </w:font>
  <w:font w:name="Noto Serif Bengali">
    <w:panose1 w:val="02020502040504020204"/>
    <w:charset w:val="00"/>
    <w:family w:val="auto"/>
    <w:pitch w:val="default"/>
    <w:sig w:usb0="00010000" w:usb1="00000000" w:usb2="00000000" w:usb3="00000000" w:csb0="00000001" w:csb1="00000000"/>
  </w:font>
  <w:font w:name="Arial Narrow">
    <w:altName w:val="DejaVu Sans"/>
    <w:panose1 w:val="020B0606020202030204"/>
    <w:charset w:val="00"/>
    <w:family w:val="swiss"/>
    <w:pitch w:val="default"/>
    <w:sig w:usb0="00000000" w:usb1="00000000" w:usb2="00000000" w:usb3="00000000" w:csb0="0000009F" w:csb1="00000000"/>
  </w:font>
  <w:font w:name="Microsoft Sans Serif">
    <w:altName w:val="DejaVu Sans"/>
    <w:panose1 w:val="020B0604020202020204"/>
    <w:charset w:val="00"/>
    <w:family w:val="swiss"/>
    <w:pitch w:val="default"/>
    <w:sig w:usb0="00000000" w:usb1="00000000" w:usb2="00000029" w:usb3="00000000" w:csb0="000101FF" w:csb1="00000000"/>
  </w:font>
  <w:font w:name="Segoe UI">
    <w:altName w:val="Noto Music"/>
    <w:panose1 w:val="020B0502040204020203"/>
    <w:charset w:val="00"/>
    <w:family w:val="swiss"/>
    <w:pitch w:val="default"/>
    <w:sig w:usb0="00000000" w:usb1="00000000" w:usb2="00000009" w:usb3="00000000" w:csb0="000001FF" w:csb1="00000000"/>
  </w:font>
  <w:font w:name="Noto Music">
    <w:panose1 w:val="020B0502040504020204"/>
    <w:charset w:val="00"/>
    <w:family w:val="auto"/>
    <w:pitch w:val="default"/>
    <w:sig w:usb0="00000003" w:usb1="02006000" w:usb2="01000000" w:usb3="00000000" w:csb0="00000001" w:csb1="00000000"/>
  </w:font>
  <w:font w:name="微软雅黑">
    <w:altName w:val="方正黑体_GBK"/>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Trebuchet MS">
    <w:altName w:val="DejaVu Sans"/>
    <w:panose1 w:val="020B0603020202020204"/>
    <w:charset w:val="00"/>
    <w:family w:val="swiss"/>
    <w:pitch w:val="default"/>
    <w:sig w:usb0="00000000" w:usb1="00000000" w:usb2="00000000" w:usb3="00000000" w:csb0="0000009F" w:csb1="00000000"/>
  </w:font>
  <w:font w:name="汉仪中黑简">
    <w:altName w:val="方正黑体_GBK"/>
    <w:panose1 w:val="00000000000000000000"/>
    <w:charset w:val="86"/>
    <w:family w:val="modern"/>
    <w:pitch w:val="default"/>
    <w:sig w:usb0="00000000" w:usb1="00000000" w:usb2="00000012"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5"/>
      </w:rPr>
    </w:pPr>
    <w:r>
      <w:rPr>
        <w:rStyle w:val="55"/>
      </w:rPr>
      <w:fldChar w:fldCharType="begin"/>
    </w:r>
    <w:r>
      <w:rPr>
        <w:rStyle w:val="55"/>
      </w:rPr>
      <w:instrText xml:space="preserve">PAGE  </w:instrText>
    </w:r>
    <w:r>
      <w:rPr>
        <w:rStyle w:val="55"/>
      </w:rPr>
      <w:fldChar w:fldCharType="separate"/>
    </w:r>
    <w:r>
      <w:rPr>
        <w:rStyle w:val="55"/>
      </w:rPr>
      <w:t>20</w:t>
    </w:r>
    <w:r>
      <w:rPr>
        <w:rStyle w:val="55"/>
      </w:rPr>
      <w:fldChar w:fldCharType="end"/>
    </w:r>
  </w:p>
  <w:p>
    <w:pPr>
      <w:pStyle w:val="3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5"/>
      </w:rPr>
    </w:pPr>
    <w:r>
      <w:rPr>
        <w:rStyle w:val="55"/>
      </w:rPr>
      <w:fldChar w:fldCharType="begin"/>
    </w:r>
    <w:r>
      <w:rPr>
        <w:rStyle w:val="55"/>
      </w:rPr>
      <w:instrText xml:space="preserve">PAGE  </w:instrText>
    </w:r>
    <w:r>
      <w:rPr>
        <w:rStyle w:val="55"/>
      </w:rPr>
      <w:fldChar w:fldCharType="end"/>
    </w:r>
  </w:p>
  <w:p>
    <w:pPr>
      <w:pStyle w:val="3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Bdr>
        <w:bottom w:val="double" w:color="auto" w:sz="4" w:space="1"/>
      </w:pBdr>
      <w:rPr>
        <w:b/>
        <w:bCs/>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8"/>
    <w:multiLevelType w:val="singleLevel"/>
    <w:tmpl w:val="FFFFFF88"/>
    <w:lvl w:ilvl="0" w:tentative="0">
      <w:start w:val="1"/>
      <w:numFmt w:val="decimal"/>
      <w:pStyle w:val="14"/>
      <w:lvlText w:val="%1."/>
      <w:lvlJc w:val="left"/>
      <w:pPr>
        <w:tabs>
          <w:tab w:val="left" w:pos="850"/>
        </w:tabs>
        <w:ind w:left="850" w:hanging="389"/>
      </w:pPr>
      <w:rPr>
        <w:rFonts w:hint="eastAsia"/>
      </w:rPr>
    </w:lvl>
  </w:abstractNum>
  <w:abstractNum w:abstractNumId="1">
    <w:nsid w:val="001842F9"/>
    <w:multiLevelType w:val="multilevel"/>
    <w:tmpl w:val="001842F9"/>
    <w:lvl w:ilvl="0" w:tentative="0">
      <w:start w:val="1"/>
      <w:numFmt w:val="decimal"/>
      <w:pStyle w:val="360"/>
      <w:lvlText w:val="%1)"/>
      <w:lvlJc w:val="left"/>
      <w:pPr>
        <w:tabs>
          <w:tab w:val="left" w:pos="425"/>
        </w:tabs>
        <w:ind w:left="425" w:hanging="425"/>
      </w:pPr>
      <w:rPr>
        <w:rFonts w:hint="default" w:ascii="Arial" w:hAnsi="Arial"/>
        <w:b w:val="0"/>
        <w:i w:val="0"/>
        <w:sz w:val="16"/>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02551535"/>
    <w:multiLevelType w:val="multilevel"/>
    <w:tmpl w:val="02551535"/>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3">
    <w:nsid w:val="04056AA3"/>
    <w:multiLevelType w:val="multilevel"/>
    <w:tmpl w:val="04056AA3"/>
    <w:lvl w:ilvl="0" w:tentative="0">
      <w:start w:val="14"/>
      <w:numFmt w:val="decimal"/>
      <w:pStyle w:val="16"/>
      <w:lvlText w:val="%1"/>
      <w:lvlJc w:val="left"/>
      <w:pPr>
        <w:tabs>
          <w:tab w:val="left" w:pos="525"/>
        </w:tabs>
        <w:ind w:left="525" w:hanging="525"/>
      </w:pPr>
      <w:rPr>
        <w:rFonts w:hint="eastAsia"/>
      </w:rPr>
    </w:lvl>
    <w:lvl w:ilvl="1" w:tentative="0">
      <w:start w:val="2"/>
      <w:numFmt w:val="decimal"/>
      <w:lvlText w:val="13.%2"/>
      <w:lvlJc w:val="left"/>
      <w:pPr>
        <w:tabs>
          <w:tab w:val="left" w:pos="2310"/>
        </w:tabs>
        <w:ind w:left="2310" w:hanging="525"/>
      </w:pPr>
      <w:rPr>
        <w:rFonts w:hint="eastAsia"/>
      </w:rPr>
    </w:lvl>
    <w:lvl w:ilvl="2" w:tentative="0">
      <w:start w:val="1"/>
      <w:numFmt w:val="decimal"/>
      <w:lvlText w:val="%1.%2.%3"/>
      <w:lvlJc w:val="left"/>
      <w:pPr>
        <w:tabs>
          <w:tab w:val="left" w:pos="4095"/>
        </w:tabs>
        <w:ind w:left="4095" w:hanging="525"/>
      </w:pPr>
      <w:rPr>
        <w:rFonts w:hint="eastAsia"/>
      </w:rPr>
    </w:lvl>
    <w:lvl w:ilvl="3" w:tentative="0">
      <w:start w:val="1"/>
      <w:numFmt w:val="decimal"/>
      <w:lvlText w:val="%1.%2.%3.%4"/>
      <w:lvlJc w:val="left"/>
      <w:pPr>
        <w:tabs>
          <w:tab w:val="left" w:pos="5880"/>
        </w:tabs>
        <w:ind w:left="5880" w:hanging="525"/>
      </w:pPr>
      <w:rPr>
        <w:rFonts w:hint="eastAsia"/>
      </w:rPr>
    </w:lvl>
    <w:lvl w:ilvl="4" w:tentative="0">
      <w:start w:val="1"/>
      <w:numFmt w:val="decimal"/>
      <w:lvlText w:val="%1.%2.%3.%4.%5"/>
      <w:lvlJc w:val="left"/>
      <w:pPr>
        <w:tabs>
          <w:tab w:val="left" w:pos="7665"/>
        </w:tabs>
        <w:ind w:left="7665" w:hanging="525"/>
      </w:pPr>
      <w:rPr>
        <w:rFonts w:hint="eastAsia"/>
      </w:rPr>
    </w:lvl>
    <w:lvl w:ilvl="5" w:tentative="0">
      <w:start w:val="1"/>
      <w:numFmt w:val="decimal"/>
      <w:lvlText w:val="%1.%2.%3.%4.%5.%6"/>
      <w:lvlJc w:val="left"/>
      <w:pPr>
        <w:tabs>
          <w:tab w:val="left" w:pos="9450"/>
        </w:tabs>
        <w:ind w:left="9450" w:hanging="525"/>
      </w:pPr>
      <w:rPr>
        <w:rFonts w:hint="eastAsia"/>
      </w:rPr>
    </w:lvl>
    <w:lvl w:ilvl="6" w:tentative="0">
      <w:start w:val="1"/>
      <w:numFmt w:val="decimal"/>
      <w:lvlText w:val="%1.%2.%3.%4.%5.%6.%7"/>
      <w:lvlJc w:val="left"/>
      <w:pPr>
        <w:tabs>
          <w:tab w:val="left" w:pos="11235"/>
        </w:tabs>
        <w:ind w:left="11235" w:hanging="525"/>
      </w:pPr>
      <w:rPr>
        <w:rFonts w:hint="eastAsia"/>
      </w:rPr>
    </w:lvl>
    <w:lvl w:ilvl="7" w:tentative="0">
      <w:start w:val="1"/>
      <w:numFmt w:val="decimal"/>
      <w:lvlText w:val="%1.%2.%3.%4.%5.%6.%7.%8"/>
      <w:lvlJc w:val="left"/>
      <w:pPr>
        <w:tabs>
          <w:tab w:val="left" w:pos="13020"/>
        </w:tabs>
        <w:ind w:left="13020" w:hanging="525"/>
      </w:pPr>
      <w:rPr>
        <w:rFonts w:hint="eastAsia"/>
      </w:rPr>
    </w:lvl>
    <w:lvl w:ilvl="8" w:tentative="0">
      <w:start w:val="1"/>
      <w:numFmt w:val="decimal"/>
      <w:lvlText w:val="%1.%2.%3.%4.%5.%6.%7.%8.%9"/>
      <w:lvlJc w:val="left"/>
      <w:pPr>
        <w:tabs>
          <w:tab w:val="left" w:pos="14805"/>
        </w:tabs>
        <w:ind w:left="14805" w:hanging="525"/>
      </w:pPr>
      <w:rPr>
        <w:rFonts w:hint="eastAsia"/>
      </w:rPr>
    </w:lvl>
  </w:abstractNum>
  <w:abstractNum w:abstractNumId="4">
    <w:nsid w:val="0A992F83"/>
    <w:multiLevelType w:val="multilevel"/>
    <w:tmpl w:val="0A992F83"/>
    <w:lvl w:ilvl="0" w:tentative="0">
      <w:start w:val="1"/>
      <w:numFmt w:val="decimal"/>
      <w:lvlText w:val="%1"/>
      <w:lvlJc w:val="left"/>
      <w:pPr>
        <w:ind w:left="425" w:hanging="425"/>
      </w:pPr>
    </w:lvl>
    <w:lvl w:ilvl="1" w:tentative="0">
      <w:start w:val="1"/>
      <w:numFmt w:val="decimal"/>
      <w:lvlText w:val="%1.%2"/>
      <w:lvlJc w:val="left"/>
      <w:pPr>
        <w:ind w:left="992" w:hanging="567"/>
      </w:pPr>
      <w:rPr>
        <w:rFonts w:hint="default" w:ascii="Times New Roman" w:hAnsi="Times New Roman" w:cs="Times New Roman"/>
        <w:b/>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5">
    <w:nsid w:val="0C147CDA"/>
    <w:multiLevelType w:val="multilevel"/>
    <w:tmpl w:val="0C147CDA"/>
    <w:lvl w:ilvl="0" w:tentative="0">
      <w:start w:val="1"/>
      <w:numFmt w:val="bullet"/>
      <w:pStyle w:val="359"/>
      <w:lvlText w:val="●"/>
      <w:lvlJc w:val="left"/>
      <w:pPr>
        <w:ind w:left="502" w:hanging="360"/>
      </w:pPr>
      <w:rPr>
        <w:rFonts w:hint="default" w:ascii="Trebuchet MS" w:hAnsi="Trebuchet MS"/>
        <w:b w:val="0"/>
        <w:i w:val="0"/>
        <w:color w:val="AAAAAA"/>
        <w:sz w:val="21"/>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0D553A1C"/>
    <w:multiLevelType w:val="multilevel"/>
    <w:tmpl w:val="0D553A1C"/>
    <w:lvl w:ilvl="0" w:tentative="0">
      <w:start w:val="5"/>
      <w:numFmt w:val="decimal"/>
      <w:pStyle w:val="25"/>
      <w:lvlText w:val="%1"/>
      <w:lvlJc w:val="left"/>
      <w:pPr>
        <w:tabs>
          <w:tab w:val="left" w:pos="525"/>
        </w:tabs>
        <w:ind w:left="525" w:hanging="525"/>
      </w:pPr>
      <w:rPr>
        <w:rFonts w:hint="eastAsia"/>
      </w:rPr>
    </w:lvl>
    <w:lvl w:ilvl="1" w:tentative="0">
      <w:start w:val="2"/>
      <w:numFmt w:val="decimal"/>
      <w:lvlText w:val="4.%2"/>
      <w:lvlJc w:val="left"/>
      <w:pPr>
        <w:tabs>
          <w:tab w:val="left" w:pos="2310"/>
        </w:tabs>
        <w:ind w:left="2310" w:hanging="525"/>
      </w:pPr>
      <w:rPr>
        <w:rFonts w:hint="eastAsia"/>
      </w:rPr>
    </w:lvl>
    <w:lvl w:ilvl="2" w:tentative="0">
      <w:start w:val="1"/>
      <w:numFmt w:val="decimal"/>
      <w:lvlText w:val="%1.%2.%3"/>
      <w:lvlJc w:val="left"/>
      <w:pPr>
        <w:tabs>
          <w:tab w:val="left" w:pos="4095"/>
        </w:tabs>
        <w:ind w:left="4095" w:hanging="525"/>
      </w:pPr>
      <w:rPr>
        <w:rFonts w:hint="eastAsia"/>
      </w:rPr>
    </w:lvl>
    <w:lvl w:ilvl="3" w:tentative="0">
      <w:start w:val="1"/>
      <w:numFmt w:val="decimal"/>
      <w:lvlText w:val="%1.%2.%3.%4"/>
      <w:lvlJc w:val="left"/>
      <w:pPr>
        <w:tabs>
          <w:tab w:val="left" w:pos="5880"/>
        </w:tabs>
        <w:ind w:left="5880" w:hanging="525"/>
      </w:pPr>
      <w:rPr>
        <w:rFonts w:hint="eastAsia"/>
      </w:rPr>
    </w:lvl>
    <w:lvl w:ilvl="4" w:tentative="0">
      <w:start w:val="1"/>
      <w:numFmt w:val="decimal"/>
      <w:lvlText w:val="%1.%2.%3.%4.%5"/>
      <w:lvlJc w:val="left"/>
      <w:pPr>
        <w:tabs>
          <w:tab w:val="left" w:pos="7665"/>
        </w:tabs>
        <w:ind w:left="7665" w:hanging="525"/>
      </w:pPr>
      <w:rPr>
        <w:rFonts w:hint="eastAsia"/>
      </w:rPr>
    </w:lvl>
    <w:lvl w:ilvl="5" w:tentative="0">
      <w:start w:val="1"/>
      <w:numFmt w:val="decimal"/>
      <w:lvlText w:val="%1.%2.%3.%4.%5.%6"/>
      <w:lvlJc w:val="left"/>
      <w:pPr>
        <w:tabs>
          <w:tab w:val="left" w:pos="9450"/>
        </w:tabs>
        <w:ind w:left="9450" w:hanging="525"/>
      </w:pPr>
      <w:rPr>
        <w:rFonts w:hint="eastAsia"/>
      </w:rPr>
    </w:lvl>
    <w:lvl w:ilvl="6" w:tentative="0">
      <w:start w:val="1"/>
      <w:numFmt w:val="decimal"/>
      <w:lvlText w:val="%1.%2.%3.%4.%5.%6.%7"/>
      <w:lvlJc w:val="left"/>
      <w:pPr>
        <w:tabs>
          <w:tab w:val="left" w:pos="11235"/>
        </w:tabs>
        <w:ind w:left="11235" w:hanging="525"/>
      </w:pPr>
      <w:rPr>
        <w:rFonts w:hint="eastAsia"/>
      </w:rPr>
    </w:lvl>
    <w:lvl w:ilvl="7" w:tentative="0">
      <w:start w:val="1"/>
      <w:numFmt w:val="decimal"/>
      <w:lvlText w:val="%1.%2.%3.%4.%5.%6.%7.%8"/>
      <w:lvlJc w:val="left"/>
      <w:pPr>
        <w:tabs>
          <w:tab w:val="left" w:pos="13020"/>
        </w:tabs>
        <w:ind w:left="13020" w:hanging="525"/>
      </w:pPr>
      <w:rPr>
        <w:rFonts w:hint="eastAsia"/>
      </w:rPr>
    </w:lvl>
    <w:lvl w:ilvl="8" w:tentative="0">
      <w:start w:val="1"/>
      <w:numFmt w:val="decimal"/>
      <w:lvlText w:val="%1.%2.%3.%4.%5.%6.%7.%8.%9"/>
      <w:lvlJc w:val="left"/>
      <w:pPr>
        <w:tabs>
          <w:tab w:val="left" w:pos="14805"/>
        </w:tabs>
        <w:ind w:left="14805" w:hanging="525"/>
      </w:pPr>
      <w:rPr>
        <w:rFonts w:hint="eastAsia"/>
      </w:rPr>
    </w:lvl>
  </w:abstractNum>
  <w:abstractNum w:abstractNumId="7">
    <w:nsid w:val="0F957789"/>
    <w:multiLevelType w:val="multilevel"/>
    <w:tmpl w:val="0F957789"/>
    <w:lvl w:ilvl="0" w:tentative="0">
      <w:start w:val="3"/>
      <w:numFmt w:val="decimal"/>
      <w:pStyle w:val="368"/>
      <w:lvlText w:val="第%1章"/>
      <w:lvlJc w:val="left"/>
      <w:pPr>
        <w:tabs>
          <w:tab w:val="left" w:pos="425"/>
        </w:tabs>
        <w:ind w:left="425" w:hanging="425"/>
      </w:pPr>
      <w:rPr>
        <w:rFonts w:hint="eastAsia"/>
      </w:rPr>
    </w:lvl>
    <w:lvl w:ilvl="1" w:tentative="0">
      <w:start w:val="1"/>
      <w:numFmt w:val="decimal"/>
      <w:pStyle w:val="369"/>
      <w:lvlText w:val="%1.%2 "/>
      <w:lvlJc w:val="left"/>
      <w:pPr>
        <w:tabs>
          <w:tab w:val="left" w:pos="567"/>
        </w:tabs>
        <w:ind w:left="567" w:hanging="567"/>
      </w:pPr>
      <w:rPr>
        <w:rFonts w:hint="eastAsia"/>
      </w:rPr>
    </w:lvl>
    <w:lvl w:ilvl="2" w:tentative="0">
      <w:start w:val="1"/>
      <w:numFmt w:val="decimal"/>
      <w:pStyle w:val="370"/>
      <w:lvlText w:val="%1.%2.%3 "/>
      <w:lvlJc w:val="left"/>
      <w:pPr>
        <w:tabs>
          <w:tab w:val="left" w:pos="709"/>
        </w:tabs>
        <w:ind w:left="709" w:hanging="709"/>
      </w:pPr>
      <w:rPr>
        <w:rFonts w:hint="eastAsia"/>
      </w:rPr>
    </w:lvl>
    <w:lvl w:ilvl="3" w:tentative="0">
      <w:start w:val="1"/>
      <w:numFmt w:val="decimal"/>
      <w:pStyle w:val="371"/>
      <w:lvlText w:val="%1.%2.%3.%4 "/>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12353B45"/>
    <w:multiLevelType w:val="multilevel"/>
    <w:tmpl w:val="12353B45"/>
    <w:lvl w:ilvl="0" w:tentative="0">
      <w:start w:val="1"/>
      <w:numFmt w:val="decimal"/>
      <w:pStyle w:val="385"/>
      <w:lvlText w:val="第%1章"/>
      <w:lvlJc w:val="left"/>
      <w:pPr>
        <w:ind w:left="420" w:hanging="420"/>
      </w:pPr>
      <w:rPr>
        <w:rFonts w:hint="eastAsia"/>
      </w:rPr>
    </w:lvl>
    <w:lvl w:ilvl="1" w:tentative="0">
      <w:start w:val="1"/>
      <w:numFmt w:val="decimal"/>
      <w:pStyle w:val="386"/>
      <w:lvlText w:val="%1.%2."/>
      <w:lvlJc w:val="left"/>
      <w:pPr>
        <w:ind w:left="567" w:hanging="567"/>
      </w:pPr>
      <w:rPr>
        <w:rFonts w:hint="default" w:ascii="Calibri" w:hAnsi="Calibri"/>
      </w:rPr>
    </w:lvl>
    <w:lvl w:ilvl="2" w:tentative="0">
      <w:start w:val="1"/>
      <w:numFmt w:val="decimal"/>
      <w:pStyle w:val="387"/>
      <w:lvlText w:val="%1.%2.%3."/>
      <w:lvlJc w:val="left"/>
      <w:pPr>
        <w:ind w:left="709" w:hanging="709"/>
      </w:pPr>
      <w:rPr>
        <w:b/>
        <w:bCs w:val="0"/>
        <w:i w:val="0"/>
        <w:iCs w:val="0"/>
        <w:caps w:val="0"/>
        <w:smallCaps w:val="0"/>
        <w:strike w:val="0"/>
        <w:dstrike w:val="0"/>
        <w:vanish w:val="0"/>
        <w:color w:val="000000"/>
        <w:spacing w:val="0"/>
        <w:position w:val="0"/>
        <w:u w:val="none"/>
        <w:vertAlign w:val="baseline"/>
      </w:rPr>
    </w:lvl>
    <w:lvl w:ilvl="3" w:tentative="0">
      <w:start w:val="1"/>
      <w:numFmt w:val="decimal"/>
      <w:pStyle w:val="388"/>
      <w:lvlText w:val="%1.%2.%3.%4."/>
      <w:lvlJc w:val="left"/>
      <w:pPr>
        <w:ind w:left="2836" w:hanging="851"/>
      </w:pPr>
      <w:rPr>
        <w:rFonts w:hint="default" w:ascii="Times New Roman" w:hAnsi="Times New Roman" w:cs="Times New Roman"/>
        <w:sz w:val="21"/>
        <w:szCs w:val="21"/>
      </w:rPr>
    </w:lvl>
    <w:lvl w:ilvl="4" w:tentative="0">
      <w:start w:val="1"/>
      <w:numFmt w:val="decimal"/>
      <w:pStyle w:val="389"/>
      <w:lvlText w:val="%1.%2.%3.%4.%5."/>
      <w:lvlJc w:val="left"/>
      <w:pPr>
        <w:ind w:left="2126"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9">
    <w:nsid w:val="195F1853"/>
    <w:multiLevelType w:val="multilevel"/>
    <w:tmpl w:val="195F1853"/>
    <w:lvl w:ilvl="0" w:tentative="0">
      <w:start w:val="1"/>
      <w:numFmt w:val="decimal"/>
      <w:pStyle w:val="293"/>
      <w:lvlText w:val="%1."/>
      <w:lvlJc w:val="left"/>
      <w:pPr>
        <w:tabs>
          <w:tab w:val="left" w:pos="340"/>
        </w:tabs>
        <w:ind w:left="964" w:hanging="851"/>
      </w:pPr>
      <w:rPr>
        <w:rFonts w:hint="default" w:ascii="Times New Roman" w:hAnsi="Times New Roman"/>
        <w:sz w:val="32"/>
        <w:szCs w:val="24"/>
      </w:rPr>
    </w:lvl>
    <w:lvl w:ilvl="1" w:tentative="0">
      <w:start w:val="1"/>
      <w:numFmt w:val="decimal"/>
      <w:pStyle w:val="294"/>
      <w:lvlText w:val="%1.%2."/>
      <w:lvlJc w:val="left"/>
      <w:pPr>
        <w:tabs>
          <w:tab w:val="left" w:pos="510"/>
        </w:tabs>
        <w:ind w:left="1228" w:hanging="774"/>
      </w:pPr>
      <w:rPr>
        <w:rFonts w:hint="eastAsia"/>
        <w:sz w:val="28"/>
      </w:rPr>
    </w:lvl>
    <w:lvl w:ilvl="2" w:tentative="0">
      <w:start w:val="1"/>
      <w:numFmt w:val="decimal"/>
      <w:pStyle w:val="295"/>
      <w:lvlText w:val="%1.%2.%3."/>
      <w:lvlJc w:val="left"/>
      <w:pPr>
        <w:tabs>
          <w:tab w:val="left" w:pos="680"/>
        </w:tabs>
        <w:ind w:left="1372" w:hanging="805"/>
      </w:pPr>
      <w:rPr>
        <w:rFonts w:hint="eastAsia"/>
      </w:rPr>
    </w:lvl>
    <w:lvl w:ilvl="3" w:tentative="0">
      <w:start w:val="1"/>
      <w:numFmt w:val="decimal"/>
      <w:lvlText w:val="%1.%2.%3.%4"/>
      <w:lvlJc w:val="left"/>
      <w:pPr>
        <w:tabs>
          <w:tab w:val="left" w:pos="1516"/>
        </w:tabs>
        <w:ind w:left="1516" w:hanging="864"/>
      </w:pPr>
      <w:rPr>
        <w:rFonts w:hint="eastAsia"/>
      </w:rPr>
    </w:lvl>
    <w:lvl w:ilvl="4" w:tentative="0">
      <w:start w:val="1"/>
      <w:numFmt w:val="decimal"/>
      <w:lvlText w:val="%1.%2.%3.%4.%5"/>
      <w:lvlJc w:val="left"/>
      <w:pPr>
        <w:tabs>
          <w:tab w:val="left" w:pos="1660"/>
        </w:tabs>
        <w:ind w:left="1660" w:hanging="1008"/>
      </w:pPr>
      <w:rPr>
        <w:rFonts w:hint="eastAsia"/>
      </w:rPr>
    </w:lvl>
    <w:lvl w:ilvl="5" w:tentative="0">
      <w:start w:val="1"/>
      <w:numFmt w:val="decimal"/>
      <w:lvlText w:val="%1.%2.%3.%4.%5.%6"/>
      <w:lvlJc w:val="left"/>
      <w:pPr>
        <w:tabs>
          <w:tab w:val="left" w:pos="1804"/>
        </w:tabs>
        <w:ind w:left="1804" w:hanging="1152"/>
      </w:pPr>
      <w:rPr>
        <w:rFonts w:hint="eastAsia"/>
      </w:rPr>
    </w:lvl>
    <w:lvl w:ilvl="6" w:tentative="0">
      <w:start w:val="1"/>
      <w:numFmt w:val="decimal"/>
      <w:lvlText w:val="%1.%2.%3.%4.%5.%6.%7"/>
      <w:lvlJc w:val="left"/>
      <w:pPr>
        <w:tabs>
          <w:tab w:val="left" w:pos="1948"/>
        </w:tabs>
        <w:ind w:left="1948" w:hanging="1296"/>
      </w:pPr>
      <w:rPr>
        <w:rFonts w:hint="eastAsia"/>
      </w:rPr>
    </w:lvl>
    <w:lvl w:ilvl="7" w:tentative="0">
      <w:start w:val="1"/>
      <w:numFmt w:val="decimal"/>
      <w:lvlText w:val="%1.%2.%3.%4.%5.%6.%7.%8"/>
      <w:lvlJc w:val="left"/>
      <w:pPr>
        <w:tabs>
          <w:tab w:val="left" w:pos="2092"/>
        </w:tabs>
        <w:ind w:left="2092" w:hanging="1440"/>
      </w:pPr>
      <w:rPr>
        <w:rFonts w:hint="eastAsia"/>
      </w:rPr>
    </w:lvl>
    <w:lvl w:ilvl="8" w:tentative="0">
      <w:start w:val="1"/>
      <w:numFmt w:val="decimal"/>
      <w:lvlText w:val="%1.%2.%3.%4.%5.%6.%7.%8.%9"/>
      <w:lvlJc w:val="left"/>
      <w:pPr>
        <w:tabs>
          <w:tab w:val="left" w:pos="2236"/>
        </w:tabs>
        <w:ind w:left="2236" w:hanging="1584"/>
      </w:pPr>
      <w:rPr>
        <w:rFonts w:hint="eastAsia"/>
      </w:rPr>
    </w:lvl>
  </w:abstractNum>
  <w:abstractNum w:abstractNumId="10">
    <w:nsid w:val="1C981A94"/>
    <w:multiLevelType w:val="multilevel"/>
    <w:tmpl w:val="1C981A94"/>
    <w:lvl w:ilvl="0" w:tentative="0">
      <w:start w:val="1"/>
      <w:numFmt w:val="bullet"/>
      <w:pStyle w:val="351"/>
      <w:lvlText w:val=""/>
      <w:lvlJc w:val="left"/>
      <w:pPr>
        <w:tabs>
          <w:tab w:val="left" w:pos="902"/>
        </w:tabs>
        <w:ind w:left="902" w:hanging="420"/>
      </w:pPr>
      <w:rPr>
        <w:rFonts w:hint="default" w:ascii="Wingdings" w:hAnsi="Wingdings"/>
      </w:rPr>
    </w:lvl>
    <w:lvl w:ilvl="1" w:tentative="0">
      <w:start w:val="1"/>
      <w:numFmt w:val="lowerLetter"/>
      <w:lvlText w:val="%2)"/>
      <w:lvlJc w:val="left"/>
      <w:pPr>
        <w:tabs>
          <w:tab w:val="left" w:pos="1322"/>
        </w:tabs>
        <w:ind w:left="1322" w:hanging="420"/>
      </w:pPr>
    </w:lvl>
    <w:lvl w:ilvl="2" w:tentative="0">
      <w:start w:val="1"/>
      <w:numFmt w:val="lowerRoman"/>
      <w:lvlText w:val="%3."/>
      <w:lvlJc w:val="right"/>
      <w:pPr>
        <w:tabs>
          <w:tab w:val="left" w:pos="1742"/>
        </w:tabs>
        <w:ind w:left="1742" w:hanging="420"/>
      </w:pPr>
    </w:lvl>
    <w:lvl w:ilvl="3" w:tentative="0">
      <w:start w:val="1"/>
      <w:numFmt w:val="decimal"/>
      <w:lvlText w:val="%4."/>
      <w:lvlJc w:val="left"/>
      <w:pPr>
        <w:tabs>
          <w:tab w:val="left" w:pos="2162"/>
        </w:tabs>
        <w:ind w:left="2162" w:hanging="420"/>
      </w:pPr>
    </w:lvl>
    <w:lvl w:ilvl="4" w:tentative="0">
      <w:start w:val="1"/>
      <w:numFmt w:val="lowerLetter"/>
      <w:lvlText w:val="%5)"/>
      <w:lvlJc w:val="left"/>
      <w:pPr>
        <w:tabs>
          <w:tab w:val="left" w:pos="2582"/>
        </w:tabs>
        <w:ind w:left="2582" w:hanging="420"/>
      </w:pPr>
    </w:lvl>
    <w:lvl w:ilvl="5" w:tentative="0">
      <w:start w:val="1"/>
      <w:numFmt w:val="lowerRoman"/>
      <w:lvlText w:val="%6."/>
      <w:lvlJc w:val="right"/>
      <w:pPr>
        <w:tabs>
          <w:tab w:val="left" w:pos="3002"/>
        </w:tabs>
        <w:ind w:left="3002" w:hanging="420"/>
      </w:pPr>
    </w:lvl>
    <w:lvl w:ilvl="6" w:tentative="0">
      <w:start w:val="1"/>
      <w:numFmt w:val="decimal"/>
      <w:lvlText w:val="%7."/>
      <w:lvlJc w:val="left"/>
      <w:pPr>
        <w:tabs>
          <w:tab w:val="left" w:pos="3422"/>
        </w:tabs>
        <w:ind w:left="3422" w:hanging="420"/>
      </w:pPr>
    </w:lvl>
    <w:lvl w:ilvl="7" w:tentative="0">
      <w:start w:val="1"/>
      <w:numFmt w:val="lowerLetter"/>
      <w:lvlText w:val="%8)"/>
      <w:lvlJc w:val="left"/>
      <w:pPr>
        <w:tabs>
          <w:tab w:val="left" w:pos="3842"/>
        </w:tabs>
        <w:ind w:left="3842" w:hanging="420"/>
      </w:pPr>
    </w:lvl>
    <w:lvl w:ilvl="8" w:tentative="0">
      <w:start w:val="1"/>
      <w:numFmt w:val="lowerRoman"/>
      <w:lvlText w:val="%9."/>
      <w:lvlJc w:val="right"/>
      <w:pPr>
        <w:tabs>
          <w:tab w:val="left" w:pos="4262"/>
        </w:tabs>
        <w:ind w:left="4262" w:hanging="420"/>
      </w:pPr>
    </w:lvl>
  </w:abstractNum>
  <w:abstractNum w:abstractNumId="11">
    <w:nsid w:val="201573AD"/>
    <w:multiLevelType w:val="multilevel"/>
    <w:tmpl w:val="201573AD"/>
    <w:lvl w:ilvl="0" w:tentative="0">
      <w:start w:val="1"/>
      <w:numFmt w:val="bullet"/>
      <w:lvlText w:val=""/>
      <w:lvlJc w:val="left"/>
      <w:pPr>
        <w:tabs>
          <w:tab w:val="left" w:pos="420"/>
        </w:tabs>
        <w:ind w:left="420" w:hanging="420"/>
      </w:pPr>
      <w:rPr>
        <w:rFonts w:hint="default" w:ascii="Wingdings" w:hAnsi="Wingdings"/>
        <w:b/>
      </w:rPr>
    </w:lvl>
    <w:lvl w:ilvl="1" w:tentative="0">
      <w:start w:val="5"/>
      <w:numFmt w:val="decimal"/>
      <w:lvlText w:val="%2、"/>
      <w:lvlJc w:val="left"/>
      <w:pPr>
        <w:tabs>
          <w:tab w:val="left" w:pos="780"/>
        </w:tabs>
        <w:ind w:left="780" w:hanging="360"/>
      </w:pPr>
      <w:rPr>
        <w:rFonts w:hint="default"/>
      </w:rPr>
    </w:lvl>
    <w:lvl w:ilvl="2" w:tentative="0">
      <w:start w:val="1"/>
      <w:numFmt w:val="decimal"/>
      <w:pStyle w:val="300"/>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22B538EC"/>
    <w:multiLevelType w:val="multilevel"/>
    <w:tmpl w:val="22B538EC"/>
    <w:lvl w:ilvl="0" w:tentative="0">
      <w:start w:val="1"/>
      <w:numFmt w:val="decimal"/>
      <w:pStyle w:val="349"/>
      <w:lvlText w:val="表格%1："/>
      <w:lvlJc w:val="righ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77F626C"/>
    <w:multiLevelType w:val="multilevel"/>
    <w:tmpl w:val="277F626C"/>
    <w:lvl w:ilvl="0" w:tentative="0">
      <w:start w:val="1"/>
      <w:numFmt w:val="decimal"/>
      <w:pStyle w:val="216"/>
      <w:lvlText w:val="%1."/>
      <w:lvlJc w:val="left"/>
      <w:pPr>
        <w:tabs>
          <w:tab w:val="left" w:pos="425"/>
        </w:tabs>
        <w:ind w:left="425" w:hanging="425"/>
      </w:pPr>
      <w:rPr>
        <w:rFonts w:hint="eastAsia"/>
      </w:rPr>
    </w:lvl>
    <w:lvl w:ilvl="1" w:tentative="0">
      <w:start w:val="1"/>
      <w:numFmt w:val="decimal"/>
      <w:pStyle w:val="217"/>
      <w:lvlText w:val="%1.%2."/>
      <w:lvlJc w:val="left"/>
      <w:pPr>
        <w:tabs>
          <w:tab w:val="left" w:pos="567"/>
        </w:tabs>
        <w:ind w:left="567" w:hanging="567"/>
      </w:pPr>
      <w:rPr>
        <w:rFonts w:hint="eastAsia"/>
      </w:rPr>
    </w:lvl>
    <w:lvl w:ilvl="2" w:tentative="0">
      <w:start w:val="1"/>
      <w:numFmt w:val="decimal"/>
      <w:pStyle w:val="219"/>
      <w:lvlText w:val="%1.%2.%3."/>
      <w:lvlJc w:val="left"/>
      <w:pPr>
        <w:tabs>
          <w:tab w:val="left" w:pos="709"/>
        </w:tabs>
        <w:ind w:left="709" w:hanging="709"/>
      </w:pPr>
      <w:rPr>
        <w:rFonts w:hint="eastAsia"/>
      </w:rPr>
    </w:lvl>
    <w:lvl w:ilvl="3" w:tentative="0">
      <w:start w:val="1"/>
      <w:numFmt w:val="decimal"/>
      <w:pStyle w:val="220"/>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4">
    <w:nsid w:val="2C2D6AB5"/>
    <w:multiLevelType w:val="multilevel"/>
    <w:tmpl w:val="2C2D6AB5"/>
    <w:lvl w:ilvl="0" w:tentative="0">
      <w:start w:val="1"/>
      <w:numFmt w:val="decimal"/>
      <w:pStyle w:val="36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368305E4"/>
    <w:multiLevelType w:val="multilevel"/>
    <w:tmpl w:val="368305E4"/>
    <w:lvl w:ilvl="0" w:tentative="0">
      <w:start w:val="1"/>
      <w:numFmt w:val="decimal"/>
      <w:lvlText w:val="%1."/>
      <w:lvlJc w:val="left"/>
      <w:pPr>
        <w:tabs>
          <w:tab w:val="left" w:pos="900"/>
        </w:tabs>
        <w:ind w:left="900" w:hanging="420"/>
      </w:pPr>
      <w:rPr>
        <w:rFonts w:hint="default"/>
      </w:rPr>
    </w:lvl>
    <w:lvl w:ilvl="1" w:tentative="0">
      <w:start w:val="1"/>
      <w:numFmt w:val="decimal"/>
      <w:pStyle w:val="269"/>
      <w:lvlText w:val="%2."/>
      <w:lvlJc w:val="left"/>
      <w:pPr>
        <w:tabs>
          <w:tab w:val="left" w:pos="1280"/>
        </w:tabs>
        <w:ind w:left="1280" w:hanging="380"/>
      </w:pPr>
      <w:rPr>
        <w:rFonts w:hint="default" w:ascii="宋体" w:hAnsi="宋体" w:eastAsia="宋体"/>
        <w:b w:val="0"/>
        <w:i w:val="0"/>
      </w:rPr>
    </w:lvl>
    <w:lvl w:ilvl="2" w:tentative="0">
      <w:start w:val="1"/>
      <w:numFmt w:val="decimal"/>
      <w:lvlText w:val="%3."/>
      <w:lvlJc w:val="left"/>
      <w:pPr>
        <w:tabs>
          <w:tab w:val="left" w:pos="1740"/>
        </w:tabs>
        <w:ind w:left="1740" w:hanging="420"/>
      </w:pPr>
      <w:rPr>
        <w:rFonts w:hint="default"/>
      </w:rPr>
    </w:lvl>
    <w:lvl w:ilvl="3" w:tentative="0">
      <w:start w:val="1"/>
      <w:numFmt w:val="decimal"/>
      <w:lvlText w:val="%4．"/>
      <w:lvlJc w:val="left"/>
      <w:pPr>
        <w:tabs>
          <w:tab w:val="left" w:pos="2100"/>
        </w:tabs>
        <w:ind w:left="2100" w:hanging="360"/>
      </w:pPr>
      <w:rPr>
        <w:rFonts w:hint="default"/>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6">
    <w:nsid w:val="43166AA0"/>
    <w:multiLevelType w:val="multilevel"/>
    <w:tmpl w:val="43166AA0"/>
    <w:lvl w:ilvl="0" w:tentative="0">
      <w:start w:val="1"/>
      <w:numFmt w:val="bullet"/>
      <w:pStyle w:val="13"/>
      <w:lvlText w:val="－"/>
      <w:lvlJc w:val="left"/>
      <w:pPr>
        <w:tabs>
          <w:tab w:val="left" w:pos="1354"/>
        </w:tabs>
        <w:ind w:left="1354" w:hanging="504"/>
      </w:pPr>
      <w:rPr>
        <w:rFonts w:hint="eastAsia" w:ascii="宋体" w:hAnsi="Wingdings" w:eastAsia="宋体"/>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eastAsia" w:ascii="宋体" w:hAnsi="Wingdings" w:eastAsia="宋体"/>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eastAsia" w:ascii="宋体" w:hAnsi="Wingdings" w:eastAsia="宋体"/>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44C32461"/>
    <w:multiLevelType w:val="singleLevel"/>
    <w:tmpl w:val="44C32461"/>
    <w:lvl w:ilvl="0" w:tentative="0">
      <w:start w:val="1"/>
      <w:numFmt w:val="bullet"/>
      <w:pStyle w:val="276"/>
      <w:lvlText w:val=""/>
      <w:lvlJc w:val="left"/>
      <w:pPr>
        <w:tabs>
          <w:tab w:val="left" w:pos="425"/>
        </w:tabs>
        <w:ind w:left="425" w:hanging="425"/>
      </w:pPr>
      <w:rPr>
        <w:rFonts w:hint="default" w:ascii="Wingdings" w:hAnsi="Wingdings"/>
        <w:sz w:val="13"/>
      </w:rPr>
    </w:lvl>
  </w:abstractNum>
  <w:abstractNum w:abstractNumId="18">
    <w:nsid w:val="4AAC6EA8"/>
    <w:multiLevelType w:val="multilevel"/>
    <w:tmpl w:val="4AAC6EA8"/>
    <w:lvl w:ilvl="0" w:tentative="0">
      <w:start w:val="1"/>
      <w:numFmt w:val="bullet"/>
      <w:pStyle w:val="268"/>
      <w:lvlText w:val=""/>
      <w:lvlJc w:val="left"/>
      <w:pPr>
        <w:tabs>
          <w:tab w:val="left" w:pos="561"/>
        </w:tabs>
        <w:ind w:left="561" w:hanging="420"/>
      </w:pPr>
      <w:rPr>
        <w:rFonts w:hint="default" w:ascii="Wingdings" w:hAnsi="Wingdings"/>
        <w:sz w:val="10"/>
      </w:rPr>
    </w:lvl>
    <w:lvl w:ilvl="1" w:tentative="0">
      <w:start w:val="1"/>
      <w:numFmt w:val="bullet"/>
      <w:lvlText w:val=""/>
      <w:lvlJc w:val="left"/>
      <w:pPr>
        <w:tabs>
          <w:tab w:val="left" w:pos="981"/>
        </w:tabs>
        <w:ind w:left="981" w:hanging="420"/>
      </w:pPr>
      <w:rPr>
        <w:rFonts w:hint="default" w:ascii="Wingdings" w:hAnsi="Wingdings"/>
      </w:rPr>
    </w:lvl>
    <w:lvl w:ilvl="2" w:tentative="0">
      <w:start w:val="1"/>
      <w:numFmt w:val="bullet"/>
      <w:lvlText w:val=""/>
      <w:lvlJc w:val="left"/>
      <w:pPr>
        <w:tabs>
          <w:tab w:val="left" w:pos="1401"/>
        </w:tabs>
        <w:ind w:left="1401" w:hanging="420"/>
      </w:pPr>
      <w:rPr>
        <w:rFonts w:hint="default" w:ascii="Wingdings" w:hAnsi="Wingdings"/>
      </w:rPr>
    </w:lvl>
    <w:lvl w:ilvl="3" w:tentative="0">
      <w:start w:val="1"/>
      <w:numFmt w:val="bullet"/>
      <w:lvlText w:val=""/>
      <w:lvlJc w:val="left"/>
      <w:pPr>
        <w:tabs>
          <w:tab w:val="left" w:pos="1821"/>
        </w:tabs>
        <w:ind w:left="1821" w:hanging="420"/>
      </w:pPr>
      <w:rPr>
        <w:rFonts w:hint="default" w:ascii="Wingdings" w:hAnsi="Wingdings"/>
      </w:rPr>
    </w:lvl>
    <w:lvl w:ilvl="4" w:tentative="0">
      <w:start w:val="1"/>
      <w:numFmt w:val="bullet"/>
      <w:lvlText w:val=""/>
      <w:lvlJc w:val="left"/>
      <w:pPr>
        <w:tabs>
          <w:tab w:val="left" w:pos="2241"/>
        </w:tabs>
        <w:ind w:left="2241" w:hanging="420"/>
      </w:pPr>
      <w:rPr>
        <w:rFonts w:hint="default" w:ascii="Wingdings" w:hAnsi="Wingdings"/>
      </w:rPr>
    </w:lvl>
    <w:lvl w:ilvl="5" w:tentative="0">
      <w:start w:val="1"/>
      <w:numFmt w:val="bullet"/>
      <w:lvlText w:val=""/>
      <w:lvlJc w:val="left"/>
      <w:pPr>
        <w:tabs>
          <w:tab w:val="left" w:pos="2661"/>
        </w:tabs>
        <w:ind w:left="2661" w:hanging="420"/>
      </w:pPr>
      <w:rPr>
        <w:rFonts w:hint="default" w:ascii="Wingdings" w:hAnsi="Wingdings"/>
      </w:rPr>
    </w:lvl>
    <w:lvl w:ilvl="6" w:tentative="0">
      <w:start w:val="1"/>
      <w:numFmt w:val="bullet"/>
      <w:lvlText w:val=""/>
      <w:lvlJc w:val="left"/>
      <w:pPr>
        <w:tabs>
          <w:tab w:val="left" w:pos="3081"/>
        </w:tabs>
        <w:ind w:left="3081" w:hanging="420"/>
      </w:pPr>
      <w:rPr>
        <w:rFonts w:hint="default" w:ascii="Wingdings" w:hAnsi="Wingdings"/>
      </w:rPr>
    </w:lvl>
    <w:lvl w:ilvl="7" w:tentative="0">
      <w:start w:val="1"/>
      <w:numFmt w:val="bullet"/>
      <w:lvlText w:val=""/>
      <w:lvlJc w:val="left"/>
      <w:pPr>
        <w:tabs>
          <w:tab w:val="left" w:pos="3501"/>
        </w:tabs>
        <w:ind w:left="3501" w:hanging="420"/>
      </w:pPr>
      <w:rPr>
        <w:rFonts w:hint="default" w:ascii="Wingdings" w:hAnsi="Wingdings"/>
      </w:rPr>
    </w:lvl>
    <w:lvl w:ilvl="8" w:tentative="0">
      <w:start w:val="1"/>
      <w:numFmt w:val="bullet"/>
      <w:lvlText w:val=""/>
      <w:lvlJc w:val="left"/>
      <w:pPr>
        <w:tabs>
          <w:tab w:val="left" w:pos="3921"/>
        </w:tabs>
        <w:ind w:left="3921" w:hanging="420"/>
      </w:pPr>
      <w:rPr>
        <w:rFonts w:hint="default" w:ascii="Wingdings" w:hAnsi="Wingdings"/>
      </w:rPr>
    </w:lvl>
  </w:abstractNum>
  <w:abstractNum w:abstractNumId="19">
    <w:nsid w:val="4E4E4E11"/>
    <w:multiLevelType w:val="multilevel"/>
    <w:tmpl w:val="4E4E4E11"/>
    <w:lvl w:ilvl="0" w:tentative="0">
      <w:start w:val="1"/>
      <w:numFmt w:val="bullet"/>
      <w:pStyle w:val="224"/>
      <w:lvlText w:val=""/>
      <w:lvlJc w:val="left"/>
      <w:pPr>
        <w:tabs>
          <w:tab w:val="left" w:pos="840"/>
        </w:tabs>
        <w:ind w:left="840" w:hanging="420"/>
      </w:pPr>
      <w:rPr>
        <w:rFonts w:hint="default" w:ascii="Symbol" w:hAnsi="Symbol"/>
        <w:color w:val="auto"/>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0">
    <w:nsid w:val="56F95253"/>
    <w:multiLevelType w:val="multilevel"/>
    <w:tmpl w:val="56F95253"/>
    <w:lvl w:ilvl="0" w:tentative="0">
      <w:start w:val="1"/>
      <w:numFmt w:val="bullet"/>
      <w:pStyle w:val="397"/>
      <w:lvlText w:val=""/>
      <w:lvlJc w:val="left"/>
      <w:pPr>
        <w:ind w:left="1299" w:hanging="420"/>
      </w:pPr>
      <w:rPr>
        <w:rFonts w:hint="default" w:ascii="Wingdings" w:hAnsi="Wingdings"/>
      </w:rPr>
    </w:lvl>
    <w:lvl w:ilvl="1" w:tentative="0">
      <w:start w:val="1"/>
      <w:numFmt w:val="bullet"/>
      <w:lvlText w:val=""/>
      <w:lvlJc w:val="left"/>
      <w:pPr>
        <w:ind w:left="1719" w:hanging="420"/>
      </w:pPr>
      <w:rPr>
        <w:rFonts w:hint="default" w:ascii="Wingdings" w:hAnsi="Wingdings"/>
      </w:rPr>
    </w:lvl>
    <w:lvl w:ilvl="2" w:tentative="0">
      <w:start w:val="1"/>
      <w:numFmt w:val="bullet"/>
      <w:lvlText w:val=""/>
      <w:lvlJc w:val="left"/>
      <w:pPr>
        <w:ind w:left="2139" w:hanging="420"/>
      </w:pPr>
      <w:rPr>
        <w:rFonts w:hint="default" w:ascii="Wingdings" w:hAnsi="Wingdings"/>
      </w:rPr>
    </w:lvl>
    <w:lvl w:ilvl="3" w:tentative="0">
      <w:start w:val="1"/>
      <w:numFmt w:val="bullet"/>
      <w:lvlText w:val=""/>
      <w:lvlJc w:val="left"/>
      <w:pPr>
        <w:ind w:left="2559" w:hanging="420"/>
      </w:pPr>
      <w:rPr>
        <w:rFonts w:hint="default" w:ascii="Wingdings" w:hAnsi="Wingdings"/>
      </w:rPr>
    </w:lvl>
    <w:lvl w:ilvl="4" w:tentative="0">
      <w:start w:val="1"/>
      <w:numFmt w:val="bullet"/>
      <w:lvlText w:val=""/>
      <w:lvlJc w:val="left"/>
      <w:pPr>
        <w:ind w:left="2979" w:hanging="420"/>
      </w:pPr>
      <w:rPr>
        <w:rFonts w:hint="default" w:ascii="Wingdings" w:hAnsi="Wingdings"/>
      </w:rPr>
    </w:lvl>
    <w:lvl w:ilvl="5" w:tentative="0">
      <w:start w:val="1"/>
      <w:numFmt w:val="bullet"/>
      <w:lvlText w:val=""/>
      <w:lvlJc w:val="left"/>
      <w:pPr>
        <w:ind w:left="3399" w:hanging="420"/>
      </w:pPr>
      <w:rPr>
        <w:rFonts w:hint="default" w:ascii="Wingdings" w:hAnsi="Wingdings"/>
      </w:rPr>
    </w:lvl>
    <w:lvl w:ilvl="6" w:tentative="0">
      <w:start w:val="1"/>
      <w:numFmt w:val="bullet"/>
      <w:lvlText w:val=""/>
      <w:lvlJc w:val="left"/>
      <w:pPr>
        <w:ind w:left="3819" w:hanging="420"/>
      </w:pPr>
      <w:rPr>
        <w:rFonts w:hint="default" w:ascii="Wingdings" w:hAnsi="Wingdings"/>
      </w:rPr>
    </w:lvl>
    <w:lvl w:ilvl="7" w:tentative="0">
      <w:start w:val="1"/>
      <w:numFmt w:val="bullet"/>
      <w:lvlText w:val=""/>
      <w:lvlJc w:val="left"/>
      <w:pPr>
        <w:ind w:left="4239" w:hanging="420"/>
      </w:pPr>
      <w:rPr>
        <w:rFonts w:hint="default" w:ascii="Wingdings" w:hAnsi="Wingdings"/>
      </w:rPr>
    </w:lvl>
    <w:lvl w:ilvl="8" w:tentative="0">
      <w:start w:val="1"/>
      <w:numFmt w:val="bullet"/>
      <w:lvlText w:val=""/>
      <w:lvlJc w:val="left"/>
      <w:pPr>
        <w:ind w:left="4659" w:hanging="420"/>
      </w:pPr>
      <w:rPr>
        <w:rFonts w:hint="default" w:ascii="Wingdings" w:hAnsi="Wingdings"/>
      </w:rPr>
    </w:lvl>
  </w:abstractNum>
  <w:abstractNum w:abstractNumId="21">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pStyle w:val="281"/>
      <w:suff w:val="nothing"/>
      <w:lvlText w:val="%1%2.%3　"/>
      <w:lvlJc w:val="left"/>
      <w:pPr>
        <w:ind w:left="0" w:firstLine="0"/>
      </w:pPr>
      <w:rPr>
        <w:rFonts w:hint="eastAsia" w:ascii="黑体" w:hAnsi="Times New Roman" w:eastAsia="黑体"/>
        <w:b w:val="0"/>
        <w:i w:val="0"/>
        <w:sz w:val="21"/>
      </w:rPr>
    </w:lvl>
    <w:lvl w:ilvl="3" w:tentative="0">
      <w:start w:val="1"/>
      <w:numFmt w:val="decimal"/>
      <w:pStyle w:val="284"/>
      <w:suff w:val="nothing"/>
      <w:lvlText w:val="%1%2.%3.%4　"/>
      <w:lvlJc w:val="left"/>
      <w:pPr>
        <w:ind w:left="0" w:firstLine="0"/>
      </w:pPr>
      <w:rPr>
        <w:rFonts w:hint="eastAsia" w:ascii="黑体" w:hAnsi="Times New Roman" w:eastAsia="黑体"/>
        <w:b w:val="0"/>
        <w:i w:val="0"/>
        <w:sz w:val="21"/>
      </w:rPr>
    </w:lvl>
    <w:lvl w:ilvl="4" w:tentative="0">
      <w:start w:val="1"/>
      <w:numFmt w:val="decimal"/>
      <w:pStyle w:val="285"/>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2">
    <w:nsid w:val="6D8562A2"/>
    <w:multiLevelType w:val="multilevel"/>
    <w:tmpl w:val="6D8562A2"/>
    <w:lvl w:ilvl="0" w:tentative="0">
      <w:start w:val="1"/>
      <w:numFmt w:val="bullet"/>
      <w:pStyle w:val="140"/>
      <w:lvlText w:val=""/>
      <w:lvlJc w:val="left"/>
      <w:pPr>
        <w:tabs>
          <w:tab w:val="left" w:pos="1320"/>
        </w:tabs>
        <w:ind w:left="1320" w:hanging="420"/>
      </w:pPr>
      <w:rPr>
        <w:rFonts w:hint="default" w:ascii="Wingdings" w:hAnsi="Wingdings"/>
      </w:rPr>
    </w:lvl>
    <w:lvl w:ilvl="1" w:tentative="0">
      <w:start w:val="1"/>
      <w:numFmt w:val="bullet"/>
      <w:lvlText w:val=""/>
      <w:lvlJc w:val="left"/>
      <w:pPr>
        <w:tabs>
          <w:tab w:val="left" w:pos="1740"/>
        </w:tabs>
        <w:ind w:left="1740" w:hanging="420"/>
      </w:pPr>
      <w:rPr>
        <w:rFonts w:hint="default" w:ascii="Wingdings" w:hAnsi="Wingdings"/>
      </w:rPr>
    </w:lvl>
    <w:lvl w:ilvl="2" w:tentative="0">
      <w:start w:val="1"/>
      <w:numFmt w:val="bullet"/>
      <w:lvlText w:val=""/>
      <w:lvlJc w:val="left"/>
      <w:pPr>
        <w:tabs>
          <w:tab w:val="left" w:pos="2160"/>
        </w:tabs>
        <w:ind w:left="2160" w:hanging="420"/>
      </w:pPr>
      <w:rPr>
        <w:rFonts w:hint="default" w:ascii="Wingdings" w:hAnsi="Wingdings"/>
      </w:rPr>
    </w:lvl>
    <w:lvl w:ilvl="3" w:tentative="0">
      <w:start w:val="1"/>
      <w:numFmt w:val="bullet"/>
      <w:lvlText w:val=""/>
      <w:lvlJc w:val="left"/>
      <w:pPr>
        <w:tabs>
          <w:tab w:val="left" w:pos="2580"/>
        </w:tabs>
        <w:ind w:left="2580" w:hanging="420"/>
      </w:pPr>
      <w:rPr>
        <w:rFonts w:hint="default" w:ascii="Wingdings" w:hAnsi="Wingdings"/>
      </w:rPr>
    </w:lvl>
    <w:lvl w:ilvl="4" w:tentative="0">
      <w:start w:val="1"/>
      <w:numFmt w:val="bullet"/>
      <w:lvlText w:val=""/>
      <w:lvlJc w:val="left"/>
      <w:pPr>
        <w:tabs>
          <w:tab w:val="left" w:pos="3000"/>
        </w:tabs>
        <w:ind w:left="3000" w:hanging="420"/>
      </w:pPr>
      <w:rPr>
        <w:rFonts w:hint="default" w:ascii="Wingdings" w:hAnsi="Wingdings"/>
      </w:rPr>
    </w:lvl>
    <w:lvl w:ilvl="5" w:tentative="0">
      <w:start w:val="1"/>
      <w:numFmt w:val="bullet"/>
      <w:lvlText w:val=""/>
      <w:lvlJc w:val="left"/>
      <w:pPr>
        <w:tabs>
          <w:tab w:val="left" w:pos="3420"/>
        </w:tabs>
        <w:ind w:left="3420" w:hanging="420"/>
      </w:pPr>
      <w:rPr>
        <w:rFonts w:hint="default" w:ascii="Wingdings" w:hAnsi="Wingdings"/>
      </w:rPr>
    </w:lvl>
    <w:lvl w:ilvl="6" w:tentative="0">
      <w:start w:val="1"/>
      <w:numFmt w:val="bullet"/>
      <w:lvlText w:val=""/>
      <w:lvlJc w:val="left"/>
      <w:pPr>
        <w:tabs>
          <w:tab w:val="left" w:pos="3840"/>
        </w:tabs>
        <w:ind w:left="3840" w:hanging="420"/>
      </w:pPr>
      <w:rPr>
        <w:rFonts w:hint="default" w:ascii="Wingdings" w:hAnsi="Wingdings"/>
      </w:rPr>
    </w:lvl>
    <w:lvl w:ilvl="7" w:tentative="0">
      <w:start w:val="1"/>
      <w:numFmt w:val="bullet"/>
      <w:lvlText w:val=""/>
      <w:lvlJc w:val="left"/>
      <w:pPr>
        <w:tabs>
          <w:tab w:val="left" w:pos="4260"/>
        </w:tabs>
        <w:ind w:left="4260" w:hanging="420"/>
      </w:pPr>
      <w:rPr>
        <w:rFonts w:hint="default" w:ascii="Wingdings" w:hAnsi="Wingdings"/>
      </w:rPr>
    </w:lvl>
    <w:lvl w:ilvl="8" w:tentative="0">
      <w:start w:val="1"/>
      <w:numFmt w:val="bullet"/>
      <w:lvlText w:val=""/>
      <w:lvlJc w:val="left"/>
      <w:pPr>
        <w:tabs>
          <w:tab w:val="left" w:pos="4680"/>
        </w:tabs>
        <w:ind w:left="4680" w:hanging="420"/>
      </w:pPr>
      <w:rPr>
        <w:rFonts w:hint="default" w:ascii="Wingdings" w:hAnsi="Wingdings"/>
      </w:rPr>
    </w:lvl>
  </w:abstractNum>
  <w:abstractNum w:abstractNumId="23">
    <w:nsid w:val="6E0D4ACC"/>
    <w:multiLevelType w:val="multilevel"/>
    <w:tmpl w:val="6E0D4ACC"/>
    <w:lvl w:ilvl="0" w:tentative="0">
      <w:start w:val="1"/>
      <w:numFmt w:val="bullet"/>
      <w:lvlText w:val=""/>
      <w:lvlJc w:val="left"/>
      <w:pPr>
        <w:ind w:left="850" w:hanging="420"/>
      </w:pPr>
      <w:rPr>
        <w:rFonts w:hint="default" w:ascii="Wingdings" w:hAnsi="Wingdings"/>
      </w:rPr>
    </w:lvl>
    <w:lvl w:ilvl="1" w:tentative="0">
      <w:start w:val="1"/>
      <w:numFmt w:val="bullet"/>
      <w:lvlText w:val=""/>
      <w:lvlJc w:val="left"/>
      <w:pPr>
        <w:ind w:left="1270" w:hanging="420"/>
      </w:pPr>
      <w:rPr>
        <w:rFonts w:hint="default" w:ascii="Wingdings" w:hAnsi="Wingdings"/>
      </w:rPr>
    </w:lvl>
    <w:lvl w:ilvl="2" w:tentative="0">
      <w:start w:val="1"/>
      <w:numFmt w:val="bullet"/>
      <w:lvlText w:val=""/>
      <w:lvlJc w:val="left"/>
      <w:pPr>
        <w:ind w:left="1690" w:hanging="420"/>
      </w:pPr>
      <w:rPr>
        <w:rFonts w:hint="default" w:ascii="Wingdings" w:hAnsi="Wingdings"/>
      </w:rPr>
    </w:lvl>
    <w:lvl w:ilvl="3" w:tentative="0">
      <w:start w:val="1"/>
      <w:numFmt w:val="bullet"/>
      <w:lvlText w:val=""/>
      <w:lvlJc w:val="left"/>
      <w:pPr>
        <w:ind w:left="2110" w:hanging="420"/>
      </w:pPr>
      <w:rPr>
        <w:rFonts w:hint="default" w:ascii="Wingdings" w:hAnsi="Wingdings"/>
      </w:rPr>
    </w:lvl>
    <w:lvl w:ilvl="4" w:tentative="0">
      <w:start w:val="1"/>
      <w:numFmt w:val="bullet"/>
      <w:lvlText w:val=""/>
      <w:lvlJc w:val="left"/>
      <w:pPr>
        <w:ind w:left="2530" w:hanging="420"/>
      </w:pPr>
      <w:rPr>
        <w:rFonts w:hint="default" w:ascii="Wingdings" w:hAnsi="Wingdings"/>
      </w:rPr>
    </w:lvl>
    <w:lvl w:ilvl="5" w:tentative="0">
      <w:start w:val="1"/>
      <w:numFmt w:val="bullet"/>
      <w:lvlText w:val=""/>
      <w:lvlJc w:val="left"/>
      <w:pPr>
        <w:ind w:left="2950" w:hanging="420"/>
      </w:pPr>
      <w:rPr>
        <w:rFonts w:hint="default" w:ascii="Wingdings" w:hAnsi="Wingdings"/>
      </w:rPr>
    </w:lvl>
    <w:lvl w:ilvl="6" w:tentative="0">
      <w:start w:val="1"/>
      <w:numFmt w:val="bullet"/>
      <w:lvlText w:val=""/>
      <w:lvlJc w:val="left"/>
      <w:pPr>
        <w:ind w:left="3370" w:hanging="420"/>
      </w:pPr>
      <w:rPr>
        <w:rFonts w:hint="default" w:ascii="Wingdings" w:hAnsi="Wingdings"/>
      </w:rPr>
    </w:lvl>
    <w:lvl w:ilvl="7" w:tentative="0">
      <w:start w:val="1"/>
      <w:numFmt w:val="bullet"/>
      <w:lvlText w:val=""/>
      <w:lvlJc w:val="left"/>
      <w:pPr>
        <w:ind w:left="3790" w:hanging="420"/>
      </w:pPr>
      <w:rPr>
        <w:rFonts w:hint="default" w:ascii="Wingdings" w:hAnsi="Wingdings"/>
      </w:rPr>
    </w:lvl>
    <w:lvl w:ilvl="8" w:tentative="0">
      <w:start w:val="1"/>
      <w:numFmt w:val="bullet"/>
      <w:lvlText w:val=""/>
      <w:lvlJc w:val="left"/>
      <w:pPr>
        <w:ind w:left="4210" w:hanging="420"/>
      </w:pPr>
      <w:rPr>
        <w:rFonts w:hint="default" w:ascii="Wingdings" w:hAnsi="Wingdings"/>
      </w:rPr>
    </w:lvl>
  </w:abstractNum>
  <w:num w:numId="1">
    <w:abstractNumId w:val="16"/>
  </w:num>
  <w:num w:numId="2">
    <w:abstractNumId w:val="0"/>
  </w:num>
  <w:num w:numId="3">
    <w:abstractNumId w:val="3"/>
  </w:num>
  <w:num w:numId="4">
    <w:abstractNumId w:val="6"/>
  </w:num>
  <w:num w:numId="5">
    <w:abstractNumId w:val="22"/>
  </w:num>
  <w:num w:numId="6">
    <w:abstractNumId w:val="13"/>
  </w:num>
  <w:num w:numId="7">
    <w:abstractNumId w:val="19"/>
  </w:num>
  <w:num w:numId="8">
    <w:abstractNumId w:val="18"/>
  </w:num>
  <w:num w:numId="9">
    <w:abstractNumId w:val="15"/>
  </w:num>
  <w:num w:numId="10">
    <w:abstractNumId w:val="17"/>
  </w:num>
  <w:num w:numId="11">
    <w:abstractNumId w:val="21"/>
  </w:num>
  <w:num w:numId="12">
    <w:abstractNumId w:val="9"/>
  </w:num>
  <w:num w:numId="13">
    <w:abstractNumId w:val="11"/>
  </w:num>
  <w:num w:numId="14">
    <w:abstractNumId w:val="12"/>
  </w:num>
  <w:num w:numId="15">
    <w:abstractNumId w:val="10"/>
  </w:num>
  <w:num w:numId="16">
    <w:abstractNumId w:val="5"/>
  </w:num>
  <w:num w:numId="17">
    <w:abstractNumId w:val="1"/>
  </w:num>
  <w:num w:numId="18">
    <w:abstractNumId w:val="14"/>
  </w:num>
  <w:num w:numId="19">
    <w:abstractNumId w:val="7"/>
  </w:num>
  <w:num w:numId="20">
    <w:abstractNumId w:val="8"/>
  </w:num>
  <w:num w:numId="21">
    <w:abstractNumId w:val="20"/>
  </w:num>
  <w:num w:numId="22">
    <w:abstractNumId w:val="2"/>
  </w:num>
  <w:num w:numId="23">
    <w:abstractNumId w:val="4"/>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199"/>
    <w:rsid w:val="000000B1"/>
    <w:rsid w:val="00000CAA"/>
    <w:rsid w:val="000014E9"/>
    <w:rsid w:val="00002A77"/>
    <w:rsid w:val="00002B68"/>
    <w:rsid w:val="00003649"/>
    <w:rsid w:val="00004561"/>
    <w:rsid w:val="00005CC1"/>
    <w:rsid w:val="00005CFA"/>
    <w:rsid w:val="00005F0B"/>
    <w:rsid w:val="00006DC2"/>
    <w:rsid w:val="00007F4A"/>
    <w:rsid w:val="00010454"/>
    <w:rsid w:val="000114FA"/>
    <w:rsid w:val="00011F32"/>
    <w:rsid w:val="00012747"/>
    <w:rsid w:val="00013596"/>
    <w:rsid w:val="00013FD8"/>
    <w:rsid w:val="000143E9"/>
    <w:rsid w:val="0001495D"/>
    <w:rsid w:val="000156BC"/>
    <w:rsid w:val="00015CAB"/>
    <w:rsid w:val="00016349"/>
    <w:rsid w:val="0001644B"/>
    <w:rsid w:val="0001662E"/>
    <w:rsid w:val="00016B0E"/>
    <w:rsid w:val="00016CEE"/>
    <w:rsid w:val="00020409"/>
    <w:rsid w:val="00020423"/>
    <w:rsid w:val="0002047E"/>
    <w:rsid w:val="00020D05"/>
    <w:rsid w:val="000213F1"/>
    <w:rsid w:val="00021DD3"/>
    <w:rsid w:val="00022F52"/>
    <w:rsid w:val="000230E1"/>
    <w:rsid w:val="0002319E"/>
    <w:rsid w:val="0002375D"/>
    <w:rsid w:val="0002413B"/>
    <w:rsid w:val="00024A1F"/>
    <w:rsid w:val="00024D77"/>
    <w:rsid w:val="000266F9"/>
    <w:rsid w:val="00026D21"/>
    <w:rsid w:val="00026E7F"/>
    <w:rsid w:val="00027777"/>
    <w:rsid w:val="00030933"/>
    <w:rsid w:val="000315A3"/>
    <w:rsid w:val="000316FA"/>
    <w:rsid w:val="000318CE"/>
    <w:rsid w:val="00031F55"/>
    <w:rsid w:val="000323E5"/>
    <w:rsid w:val="00034F27"/>
    <w:rsid w:val="000356D1"/>
    <w:rsid w:val="000357A3"/>
    <w:rsid w:val="000359D5"/>
    <w:rsid w:val="00035D86"/>
    <w:rsid w:val="000360EE"/>
    <w:rsid w:val="000362D1"/>
    <w:rsid w:val="000375F9"/>
    <w:rsid w:val="000417AC"/>
    <w:rsid w:val="0004187A"/>
    <w:rsid w:val="000419C3"/>
    <w:rsid w:val="00041E33"/>
    <w:rsid w:val="00042F25"/>
    <w:rsid w:val="00043131"/>
    <w:rsid w:val="0004328C"/>
    <w:rsid w:val="00044685"/>
    <w:rsid w:val="000457B4"/>
    <w:rsid w:val="00045C91"/>
    <w:rsid w:val="0004697B"/>
    <w:rsid w:val="000469B1"/>
    <w:rsid w:val="00046CD6"/>
    <w:rsid w:val="00047A0A"/>
    <w:rsid w:val="00050ACD"/>
    <w:rsid w:val="00052480"/>
    <w:rsid w:val="00052BB1"/>
    <w:rsid w:val="00052EB9"/>
    <w:rsid w:val="000533D6"/>
    <w:rsid w:val="00053F09"/>
    <w:rsid w:val="00054293"/>
    <w:rsid w:val="0005656D"/>
    <w:rsid w:val="000565B9"/>
    <w:rsid w:val="00056910"/>
    <w:rsid w:val="00057032"/>
    <w:rsid w:val="00057181"/>
    <w:rsid w:val="000609C9"/>
    <w:rsid w:val="000610D4"/>
    <w:rsid w:val="00061388"/>
    <w:rsid w:val="00061488"/>
    <w:rsid w:val="00061714"/>
    <w:rsid w:val="0006189B"/>
    <w:rsid w:val="00061B98"/>
    <w:rsid w:val="000630CF"/>
    <w:rsid w:val="000645B4"/>
    <w:rsid w:val="0006564D"/>
    <w:rsid w:val="0006600F"/>
    <w:rsid w:val="000665A5"/>
    <w:rsid w:val="000671C0"/>
    <w:rsid w:val="000676C8"/>
    <w:rsid w:val="000677B7"/>
    <w:rsid w:val="00067F29"/>
    <w:rsid w:val="0007162C"/>
    <w:rsid w:val="00071646"/>
    <w:rsid w:val="000717FE"/>
    <w:rsid w:val="000726C7"/>
    <w:rsid w:val="00073912"/>
    <w:rsid w:val="00073B53"/>
    <w:rsid w:val="00074198"/>
    <w:rsid w:val="00074532"/>
    <w:rsid w:val="00074F3C"/>
    <w:rsid w:val="00075544"/>
    <w:rsid w:val="000758EF"/>
    <w:rsid w:val="00076ACA"/>
    <w:rsid w:val="0007700E"/>
    <w:rsid w:val="00077080"/>
    <w:rsid w:val="0008087D"/>
    <w:rsid w:val="000812BE"/>
    <w:rsid w:val="000815FC"/>
    <w:rsid w:val="000817ED"/>
    <w:rsid w:val="00081AB2"/>
    <w:rsid w:val="0008260B"/>
    <w:rsid w:val="00082998"/>
    <w:rsid w:val="000829C4"/>
    <w:rsid w:val="00082F8B"/>
    <w:rsid w:val="00083A18"/>
    <w:rsid w:val="00083A38"/>
    <w:rsid w:val="00085A2D"/>
    <w:rsid w:val="00085AC4"/>
    <w:rsid w:val="00085D49"/>
    <w:rsid w:val="00086BAF"/>
    <w:rsid w:val="000872F8"/>
    <w:rsid w:val="00087506"/>
    <w:rsid w:val="000875DD"/>
    <w:rsid w:val="00090496"/>
    <w:rsid w:val="00090743"/>
    <w:rsid w:val="0009138B"/>
    <w:rsid w:val="00092225"/>
    <w:rsid w:val="00093C38"/>
    <w:rsid w:val="000947A3"/>
    <w:rsid w:val="00095715"/>
    <w:rsid w:val="00095A22"/>
    <w:rsid w:val="00096591"/>
    <w:rsid w:val="00096A8B"/>
    <w:rsid w:val="00097832"/>
    <w:rsid w:val="00097892"/>
    <w:rsid w:val="000A2429"/>
    <w:rsid w:val="000A2640"/>
    <w:rsid w:val="000A3086"/>
    <w:rsid w:val="000A3307"/>
    <w:rsid w:val="000A4B53"/>
    <w:rsid w:val="000A50BA"/>
    <w:rsid w:val="000A57CB"/>
    <w:rsid w:val="000A6B36"/>
    <w:rsid w:val="000A6B64"/>
    <w:rsid w:val="000A6C92"/>
    <w:rsid w:val="000A71F9"/>
    <w:rsid w:val="000A7445"/>
    <w:rsid w:val="000A7C79"/>
    <w:rsid w:val="000B04B8"/>
    <w:rsid w:val="000B0A3C"/>
    <w:rsid w:val="000B1069"/>
    <w:rsid w:val="000B10DB"/>
    <w:rsid w:val="000B1A6E"/>
    <w:rsid w:val="000B1B8C"/>
    <w:rsid w:val="000B248A"/>
    <w:rsid w:val="000B319B"/>
    <w:rsid w:val="000B3709"/>
    <w:rsid w:val="000B3F6D"/>
    <w:rsid w:val="000B4676"/>
    <w:rsid w:val="000B4743"/>
    <w:rsid w:val="000B4FFC"/>
    <w:rsid w:val="000B583F"/>
    <w:rsid w:val="000B5E1E"/>
    <w:rsid w:val="000B6233"/>
    <w:rsid w:val="000B6653"/>
    <w:rsid w:val="000B67BE"/>
    <w:rsid w:val="000B7AC0"/>
    <w:rsid w:val="000C03DA"/>
    <w:rsid w:val="000C0966"/>
    <w:rsid w:val="000C0B37"/>
    <w:rsid w:val="000C0E83"/>
    <w:rsid w:val="000C2B04"/>
    <w:rsid w:val="000C2D63"/>
    <w:rsid w:val="000C3DEC"/>
    <w:rsid w:val="000C3EEA"/>
    <w:rsid w:val="000C4150"/>
    <w:rsid w:val="000C417F"/>
    <w:rsid w:val="000C44E5"/>
    <w:rsid w:val="000C56BC"/>
    <w:rsid w:val="000C595F"/>
    <w:rsid w:val="000C5E2B"/>
    <w:rsid w:val="000C613F"/>
    <w:rsid w:val="000C67E0"/>
    <w:rsid w:val="000C6AB5"/>
    <w:rsid w:val="000C79E2"/>
    <w:rsid w:val="000C7C52"/>
    <w:rsid w:val="000D031F"/>
    <w:rsid w:val="000D122B"/>
    <w:rsid w:val="000D2488"/>
    <w:rsid w:val="000D26E5"/>
    <w:rsid w:val="000D2730"/>
    <w:rsid w:val="000D2787"/>
    <w:rsid w:val="000D3A16"/>
    <w:rsid w:val="000D3AA8"/>
    <w:rsid w:val="000D4104"/>
    <w:rsid w:val="000D4894"/>
    <w:rsid w:val="000D4CB9"/>
    <w:rsid w:val="000D55C1"/>
    <w:rsid w:val="000D5978"/>
    <w:rsid w:val="000D5A94"/>
    <w:rsid w:val="000D5D91"/>
    <w:rsid w:val="000D5E6A"/>
    <w:rsid w:val="000D5FED"/>
    <w:rsid w:val="000D5FFB"/>
    <w:rsid w:val="000D6493"/>
    <w:rsid w:val="000D6AD9"/>
    <w:rsid w:val="000D6CE0"/>
    <w:rsid w:val="000E01BD"/>
    <w:rsid w:val="000E03A1"/>
    <w:rsid w:val="000E0433"/>
    <w:rsid w:val="000E0688"/>
    <w:rsid w:val="000E0ABC"/>
    <w:rsid w:val="000E151B"/>
    <w:rsid w:val="000E18B1"/>
    <w:rsid w:val="000E1D2F"/>
    <w:rsid w:val="000E2800"/>
    <w:rsid w:val="000E4480"/>
    <w:rsid w:val="000E58CA"/>
    <w:rsid w:val="000E5CAF"/>
    <w:rsid w:val="000E5FC2"/>
    <w:rsid w:val="000E647E"/>
    <w:rsid w:val="000E7BC2"/>
    <w:rsid w:val="000E7F00"/>
    <w:rsid w:val="000F0B9C"/>
    <w:rsid w:val="000F169D"/>
    <w:rsid w:val="000F181E"/>
    <w:rsid w:val="000F2158"/>
    <w:rsid w:val="000F2464"/>
    <w:rsid w:val="000F2557"/>
    <w:rsid w:val="000F28AB"/>
    <w:rsid w:val="000F4B65"/>
    <w:rsid w:val="000F4CF7"/>
    <w:rsid w:val="000F6503"/>
    <w:rsid w:val="000F679B"/>
    <w:rsid w:val="000F78D7"/>
    <w:rsid w:val="00100157"/>
    <w:rsid w:val="001002A5"/>
    <w:rsid w:val="00101062"/>
    <w:rsid w:val="00101898"/>
    <w:rsid w:val="001036C9"/>
    <w:rsid w:val="00103D5A"/>
    <w:rsid w:val="001042AB"/>
    <w:rsid w:val="001053C0"/>
    <w:rsid w:val="0010546F"/>
    <w:rsid w:val="00105DC0"/>
    <w:rsid w:val="00106426"/>
    <w:rsid w:val="00106616"/>
    <w:rsid w:val="0010675D"/>
    <w:rsid w:val="001077CB"/>
    <w:rsid w:val="00107A89"/>
    <w:rsid w:val="0011066F"/>
    <w:rsid w:val="00110DDE"/>
    <w:rsid w:val="00112608"/>
    <w:rsid w:val="00112946"/>
    <w:rsid w:val="001130DF"/>
    <w:rsid w:val="001133EC"/>
    <w:rsid w:val="00113F24"/>
    <w:rsid w:val="00113F6B"/>
    <w:rsid w:val="00114BEB"/>
    <w:rsid w:val="0011505F"/>
    <w:rsid w:val="0011541E"/>
    <w:rsid w:val="0011563D"/>
    <w:rsid w:val="00115EE2"/>
    <w:rsid w:val="00116C21"/>
    <w:rsid w:val="00116D40"/>
    <w:rsid w:val="001178C0"/>
    <w:rsid w:val="00117C75"/>
    <w:rsid w:val="00120437"/>
    <w:rsid w:val="00121714"/>
    <w:rsid w:val="00121BE1"/>
    <w:rsid w:val="00122DCD"/>
    <w:rsid w:val="00123500"/>
    <w:rsid w:val="00123AF7"/>
    <w:rsid w:val="00123C27"/>
    <w:rsid w:val="00124DB3"/>
    <w:rsid w:val="00124E68"/>
    <w:rsid w:val="0012528C"/>
    <w:rsid w:val="001252A0"/>
    <w:rsid w:val="00125AEC"/>
    <w:rsid w:val="0012628E"/>
    <w:rsid w:val="00127068"/>
    <w:rsid w:val="00127336"/>
    <w:rsid w:val="00127631"/>
    <w:rsid w:val="0013007E"/>
    <w:rsid w:val="0013027A"/>
    <w:rsid w:val="0013093A"/>
    <w:rsid w:val="00130A31"/>
    <w:rsid w:val="0013128C"/>
    <w:rsid w:val="001314C8"/>
    <w:rsid w:val="00131DB4"/>
    <w:rsid w:val="001326A7"/>
    <w:rsid w:val="00132AD3"/>
    <w:rsid w:val="0013323B"/>
    <w:rsid w:val="00133D5A"/>
    <w:rsid w:val="00133F8C"/>
    <w:rsid w:val="001344E1"/>
    <w:rsid w:val="001375B4"/>
    <w:rsid w:val="00137935"/>
    <w:rsid w:val="001379DB"/>
    <w:rsid w:val="0014031B"/>
    <w:rsid w:val="001408F3"/>
    <w:rsid w:val="001415F0"/>
    <w:rsid w:val="001419F0"/>
    <w:rsid w:val="00142123"/>
    <w:rsid w:val="00142358"/>
    <w:rsid w:val="00142AF0"/>
    <w:rsid w:val="00142CA5"/>
    <w:rsid w:val="001437E0"/>
    <w:rsid w:val="00143906"/>
    <w:rsid w:val="00143BB7"/>
    <w:rsid w:val="001444A1"/>
    <w:rsid w:val="001445AB"/>
    <w:rsid w:val="00145A1B"/>
    <w:rsid w:val="00145ABC"/>
    <w:rsid w:val="00146045"/>
    <w:rsid w:val="00146515"/>
    <w:rsid w:val="0014660C"/>
    <w:rsid w:val="00146881"/>
    <w:rsid w:val="00146A19"/>
    <w:rsid w:val="00146D1B"/>
    <w:rsid w:val="0014735E"/>
    <w:rsid w:val="001476A1"/>
    <w:rsid w:val="00147EA3"/>
    <w:rsid w:val="00150848"/>
    <w:rsid w:val="00150D27"/>
    <w:rsid w:val="001511E1"/>
    <w:rsid w:val="0015127F"/>
    <w:rsid w:val="00152176"/>
    <w:rsid w:val="0015254C"/>
    <w:rsid w:val="00152AFA"/>
    <w:rsid w:val="00153B32"/>
    <w:rsid w:val="00153DD7"/>
    <w:rsid w:val="001540A4"/>
    <w:rsid w:val="0015413F"/>
    <w:rsid w:val="0015436C"/>
    <w:rsid w:val="001550C2"/>
    <w:rsid w:val="001558A0"/>
    <w:rsid w:val="00155F5A"/>
    <w:rsid w:val="00156F9F"/>
    <w:rsid w:val="001571CE"/>
    <w:rsid w:val="00157495"/>
    <w:rsid w:val="00160107"/>
    <w:rsid w:val="00160332"/>
    <w:rsid w:val="00160466"/>
    <w:rsid w:val="00160768"/>
    <w:rsid w:val="00160904"/>
    <w:rsid w:val="00160966"/>
    <w:rsid w:val="00160FA0"/>
    <w:rsid w:val="001619B8"/>
    <w:rsid w:val="00162CB5"/>
    <w:rsid w:val="0016313B"/>
    <w:rsid w:val="00163644"/>
    <w:rsid w:val="001637C6"/>
    <w:rsid w:val="001646A8"/>
    <w:rsid w:val="001649B7"/>
    <w:rsid w:val="00164A48"/>
    <w:rsid w:val="00164DD9"/>
    <w:rsid w:val="001651F7"/>
    <w:rsid w:val="001655A0"/>
    <w:rsid w:val="00166397"/>
    <w:rsid w:val="0016645B"/>
    <w:rsid w:val="001665D4"/>
    <w:rsid w:val="0016740F"/>
    <w:rsid w:val="00170A6E"/>
    <w:rsid w:val="00170B6D"/>
    <w:rsid w:val="00170EB0"/>
    <w:rsid w:val="00171190"/>
    <w:rsid w:val="00171258"/>
    <w:rsid w:val="00172713"/>
    <w:rsid w:val="00172EF5"/>
    <w:rsid w:val="001742A5"/>
    <w:rsid w:val="00175EA1"/>
    <w:rsid w:val="00180106"/>
    <w:rsid w:val="00180BD1"/>
    <w:rsid w:val="00180CDB"/>
    <w:rsid w:val="00182C56"/>
    <w:rsid w:val="00182E20"/>
    <w:rsid w:val="001836D1"/>
    <w:rsid w:val="001837D0"/>
    <w:rsid w:val="00183B1A"/>
    <w:rsid w:val="00183BE7"/>
    <w:rsid w:val="00183D8C"/>
    <w:rsid w:val="0018502F"/>
    <w:rsid w:val="0018539F"/>
    <w:rsid w:val="00185452"/>
    <w:rsid w:val="00186800"/>
    <w:rsid w:val="00186B36"/>
    <w:rsid w:val="00186FD0"/>
    <w:rsid w:val="00187382"/>
    <w:rsid w:val="00187390"/>
    <w:rsid w:val="001873FA"/>
    <w:rsid w:val="001874FA"/>
    <w:rsid w:val="001878A4"/>
    <w:rsid w:val="00190483"/>
    <w:rsid w:val="00190A66"/>
    <w:rsid w:val="00191161"/>
    <w:rsid w:val="001913E9"/>
    <w:rsid w:val="00192493"/>
    <w:rsid w:val="00193A7A"/>
    <w:rsid w:val="00193FC1"/>
    <w:rsid w:val="0019579B"/>
    <w:rsid w:val="001957BB"/>
    <w:rsid w:val="00195C94"/>
    <w:rsid w:val="00196813"/>
    <w:rsid w:val="00196A2B"/>
    <w:rsid w:val="00196ED4"/>
    <w:rsid w:val="00197A12"/>
    <w:rsid w:val="001A0449"/>
    <w:rsid w:val="001A06C8"/>
    <w:rsid w:val="001A07E7"/>
    <w:rsid w:val="001A0850"/>
    <w:rsid w:val="001A1898"/>
    <w:rsid w:val="001A1CB2"/>
    <w:rsid w:val="001A1FAE"/>
    <w:rsid w:val="001A3CDB"/>
    <w:rsid w:val="001A3E75"/>
    <w:rsid w:val="001A532B"/>
    <w:rsid w:val="001A674E"/>
    <w:rsid w:val="001A6D22"/>
    <w:rsid w:val="001A7098"/>
    <w:rsid w:val="001A7700"/>
    <w:rsid w:val="001B01DF"/>
    <w:rsid w:val="001B0641"/>
    <w:rsid w:val="001B133D"/>
    <w:rsid w:val="001B2A10"/>
    <w:rsid w:val="001B3454"/>
    <w:rsid w:val="001B456B"/>
    <w:rsid w:val="001B4877"/>
    <w:rsid w:val="001B48FB"/>
    <w:rsid w:val="001B4C2F"/>
    <w:rsid w:val="001B525A"/>
    <w:rsid w:val="001B658B"/>
    <w:rsid w:val="001B66AD"/>
    <w:rsid w:val="001B7429"/>
    <w:rsid w:val="001B7455"/>
    <w:rsid w:val="001B7F6A"/>
    <w:rsid w:val="001C0F83"/>
    <w:rsid w:val="001C1754"/>
    <w:rsid w:val="001C1B41"/>
    <w:rsid w:val="001C1D3E"/>
    <w:rsid w:val="001C1EFB"/>
    <w:rsid w:val="001C1F0B"/>
    <w:rsid w:val="001C2802"/>
    <w:rsid w:val="001C30BF"/>
    <w:rsid w:val="001C3D92"/>
    <w:rsid w:val="001C4305"/>
    <w:rsid w:val="001C4B84"/>
    <w:rsid w:val="001C5E55"/>
    <w:rsid w:val="001C6208"/>
    <w:rsid w:val="001C623F"/>
    <w:rsid w:val="001C6841"/>
    <w:rsid w:val="001C71EF"/>
    <w:rsid w:val="001C7219"/>
    <w:rsid w:val="001C77B3"/>
    <w:rsid w:val="001D07F6"/>
    <w:rsid w:val="001D0935"/>
    <w:rsid w:val="001D0B5F"/>
    <w:rsid w:val="001D16B2"/>
    <w:rsid w:val="001D2955"/>
    <w:rsid w:val="001D3256"/>
    <w:rsid w:val="001D39DF"/>
    <w:rsid w:val="001D5B4E"/>
    <w:rsid w:val="001D66A8"/>
    <w:rsid w:val="001E1D39"/>
    <w:rsid w:val="001E235D"/>
    <w:rsid w:val="001E2FB6"/>
    <w:rsid w:val="001E396F"/>
    <w:rsid w:val="001E3A5B"/>
    <w:rsid w:val="001E3DE2"/>
    <w:rsid w:val="001E481C"/>
    <w:rsid w:val="001E4AB6"/>
    <w:rsid w:val="001E4B32"/>
    <w:rsid w:val="001E5F3E"/>
    <w:rsid w:val="001E6B9B"/>
    <w:rsid w:val="001E71E9"/>
    <w:rsid w:val="001E7976"/>
    <w:rsid w:val="001F01CD"/>
    <w:rsid w:val="001F04C4"/>
    <w:rsid w:val="001F1DD2"/>
    <w:rsid w:val="001F257D"/>
    <w:rsid w:val="001F2954"/>
    <w:rsid w:val="001F2A78"/>
    <w:rsid w:val="001F3AC1"/>
    <w:rsid w:val="001F4526"/>
    <w:rsid w:val="001F4860"/>
    <w:rsid w:val="001F5088"/>
    <w:rsid w:val="001F5BC2"/>
    <w:rsid w:val="001F63CC"/>
    <w:rsid w:val="001F648A"/>
    <w:rsid w:val="0020012A"/>
    <w:rsid w:val="00200A34"/>
    <w:rsid w:val="00201946"/>
    <w:rsid w:val="002027FD"/>
    <w:rsid w:val="00202D12"/>
    <w:rsid w:val="0020325C"/>
    <w:rsid w:val="0020487B"/>
    <w:rsid w:val="00204DA2"/>
    <w:rsid w:val="00204EEE"/>
    <w:rsid w:val="00205A5B"/>
    <w:rsid w:val="00205C56"/>
    <w:rsid w:val="002060A2"/>
    <w:rsid w:val="002064E5"/>
    <w:rsid w:val="00206DB6"/>
    <w:rsid w:val="0020708F"/>
    <w:rsid w:val="002073E9"/>
    <w:rsid w:val="00207D16"/>
    <w:rsid w:val="00207EEF"/>
    <w:rsid w:val="00207F7E"/>
    <w:rsid w:val="00207FA4"/>
    <w:rsid w:val="0021017A"/>
    <w:rsid w:val="0021058D"/>
    <w:rsid w:val="002105BA"/>
    <w:rsid w:val="002118A9"/>
    <w:rsid w:val="002118AC"/>
    <w:rsid w:val="002118E5"/>
    <w:rsid w:val="0021211B"/>
    <w:rsid w:val="00212229"/>
    <w:rsid w:val="0021357B"/>
    <w:rsid w:val="00213710"/>
    <w:rsid w:val="00213785"/>
    <w:rsid w:val="00213CE0"/>
    <w:rsid w:val="00214636"/>
    <w:rsid w:val="00215318"/>
    <w:rsid w:val="002158FC"/>
    <w:rsid w:val="00217BA6"/>
    <w:rsid w:val="002203EB"/>
    <w:rsid w:val="002215F1"/>
    <w:rsid w:val="00221C5E"/>
    <w:rsid w:val="00224713"/>
    <w:rsid w:val="00224734"/>
    <w:rsid w:val="002249CA"/>
    <w:rsid w:val="00224A0A"/>
    <w:rsid w:val="00224D14"/>
    <w:rsid w:val="00224F92"/>
    <w:rsid w:val="00225DB9"/>
    <w:rsid w:val="00227048"/>
    <w:rsid w:val="002271B3"/>
    <w:rsid w:val="00227355"/>
    <w:rsid w:val="00227471"/>
    <w:rsid w:val="00227A33"/>
    <w:rsid w:val="00231969"/>
    <w:rsid w:val="00232E5B"/>
    <w:rsid w:val="00233808"/>
    <w:rsid w:val="00235184"/>
    <w:rsid w:val="00235619"/>
    <w:rsid w:val="002369AD"/>
    <w:rsid w:val="00236DCC"/>
    <w:rsid w:val="00237158"/>
    <w:rsid w:val="002376DA"/>
    <w:rsid w:val="002409B9"/>
    <w:rsid w:val="00240BF4"/>
    <w:rsid w:val="00240D5B"/>
    <w:rsid w:val="00241D51"/>
    <w:rsid w:val="00241D6B"/>
    <w:rsid w:val="00241EC6"/>
    <w:rsid w:val="00241EC8"/>
    <w:rsid w:val="00241F0E"/>
    <w:rsid w:val="002420C0"/>
    <w:rsid w:val="00242269"/>
    <w:rsid w:val="00242CBE"/>
    <w:rsid w:val="002432DB"/>
    <w:rsid w:val="00244277"/>
    <w:rsid w:val="002445C4"/>
    <w:rsid w:val="0024464D"/>
    <w:rsid w:val="00245023"/>
    <w:rsid w:val="0024562A"/>
    <w:rsid w:val="002469BD"/>
    <w:rsid w:val="00246AE2"/>
    <w:rsid w:val="00246D72"/>
    <w:rsid w:val="00246F01"/>
    <w:rsid w:val="00247D42"/>
    <w:rsid w:val="0025084A"/>
    <w:rsid w:val="002508F0"/>
    <w:rsid w:val="002516BD"/>
    <w:rsid w:val="0025205A"/>
    <w:rsid w:val="00252094"/>
    <w:rsid w:val="0025274C"/>
    <w:rsid w:val="00253A69"/>
    <w:rsid w:val="00253BE1"/>
    <w:rsid w:val="00254A75"/>
    <w:rsid w:val="00254CD4"/>
    <w:rsid w:val="00255499"/>
    <w:rsid w:val="00255609"/>
    <w:rsid w:val="00255DCA"/>
    <w:rsid w:val="002561D2"/>
    <w:rsid w:val="00256692"/>
    <w:rsid w:val="00256AC3"/>
    <w:rsid w:val="00256B89"/>
    <w:rsid w:val="00256E72"/>
    <w:rsid w:val="00257C40"/>
    <w:rsid w:val="00260332"/>
    <w:rsid w:val="002606CE"/>
    <w:rsid w:val="00260CA8"/>
    <w:rsid w:val="00260D4F"/>
    <w:rsid w:val="00260DBE"/>
    <w:rsid w:val="00260FF3"/>
    <w:rsid w:val="002610B9"/>
    <w:rsid w:val="0026193B"/>
    <w:rsid w:val="00261CAB"/>
    <w:rsid w:val="00261FE8"/>
    <w:rsid w:val="00264019"/>
    <w:rsid w:val="0026442F"/>
    <w:rsid w:val="0026517D"/>
    <w:rsid w:val="00266507"/>
    <w:rsid w:val="00266648"/>
    <w:rsid w:val="0026700E"/>
    <w:rsid w:val="00267023"/>
    <w:rsid w:val="002672A8"/>
    <w:rsid w:val="0026799D"/>
    <w:rsid w:val="00270874"/>
    <w:rsid w:val="00270DDD"/>
    <w:rsid w:val="00270DE5"/>
    <w:rsid w:val="00270ECE"/>
    <w:rsid w:val="00272401"/>
    <w:rsid w:val="0027310F"/>
    <w:rsid w:val="00273248"/>
    <w:rsid w:val="00273B67"/>
    <w:rsid w:val="0027400F"/>
    <w:rsid w:val="00274400"/>
    <w:rsid w:val="00274BEE"/>
    <w:rsid w:val="002756E0"/>
    <w:rsid w:val="00275A98"/>
    <w:rsid w:val="002769FC"/>
    <w:rsid w:val="00276FB3"/>
    <w:rsid w:val="002772DC"/>
    <w:rsid w:val="002773D0"/>
    <w:rsid w:val="00277BC7"/>
    <w:rsid w:val="00277BFF"/>
    <w:rsid w:val="00277CF2"/>
    <w:rsid w:val="0028019E"/>
    <w:rsid w:val="00280593"/>
    <w:rsid w:val="002817BA"/>
    <w:rsid w:val="002820D5"/>
    <w:rsid w:val="0028254F"/>
    <w:rsid w:val="002826D1"/>
    <w:rsid w:val="00282BA3"/>
    <w:rsid w:val="002832F7"/>
    <w:rsid w:val="00283761"/>
    <w:rsid w:val="0028404D"/>
    <w:rsid w:val="002843F4"/>
    <w:rsid w:val="00284B6E"/>
    <w:rsid w:val="00284D0E"/>
    <w:rsid w:val="002855F4"/>
    <w:rsid w:val="00285CDB"/>
    <w:rsid w:val="002907C0"/>
    <w:rsid w:val="002928CA"/>
    <w:rsid w:val="0029336C"/>
    <w:rsid w:val="00293775"/>
    <w:rsid w:val="002937FB"/>
    <w:rsid w:val="002938E2"/>
    <w:rsid w:val="00295073"/>
    <w:rsid w:val="00296223"/>
    <w:rsid w:val="00296C38"/>
    <w:rsid w:val="0029746F"/>
    <w:rsid w:val="002A12C3"/>
    <w:rsid w:val="002A1F00"/>
    <w:rsid w:val="002A33D4"/>
    <w:rsid w:val="002A394D"/>
    <w:rsid w:val="002A46BE"/>
    <w:rsid w:val="002A4F19"/>
    <w:rsid w:val="002A6B6B"/>
    <w:rsid w:val="002A7964"/>
    <w:rsid w:val="002B0160"/>
    <w:rsid w:val="002B0179"/>
    <w:rsid w:val="002B0A14"/>
    <w:rsid w:val="002B0DAB"/>
    <w:rsid w:val="002B27BD"/>
    <w:rsid w:val="002B2A98"/>
    <w:rsid w:val="002B353D"/>
    <w:rsid w:val="002B46EB"/>
    <w:rsid w:val="002B55BF"/>
    <w:rsid w:val="002B55EE"/>
    <w:rsid w:val="002B5C98"/>
    <w:rsid w:val="002B5F1A"/>
    <w:rsid w:val="002B7531"/>
    <w:rsid w:val="002B7AC0"/>
    <w:rsid w:val="002B7D04"/>
    <w:rsid w:val="002C051E"/>
    <w:rsid w:val="002C098E"/>
    <w:rsid w:val="002C12D3"/>
    <w:rsid w:val="002C1D36"/>
    <w:rsid w:val="002C201C"/>
    <w:rsid w:val="002C20EE"/>
    <w:rsid w:val="002C2123"/>
    <w:rsid w:val="002C2C19"/>
    <w:rsid w:val="002C3F75"/>
    <w:rsid w:val="002C4058"/>
    <w:rsid w:val="002C5260"/>
    <w:rsid w:val="002C559C"/>
    <w:rsid w:val="002C5CEF"/>
    <w:rsid w:val="002C68DB"/>
    <w:rsid w:val="002C6961"/>
    <w:rsid w:val="002C69B2"/>
    <w:rsid w:val="002C7D09"/>
    <w:rsid w:val="002C7D7F"/>
    <w:rsid w:val="002D0D37"/>
    <w:rsid w:val="002D0F29"/>
    <w:rsid w:val="002D1300"/>
    <w:rsid w:val="002D1CF6"/>
    <w:rsid w:val="002D2D3B"/>
    <w:rsid w:val="002D3024"/>
    <w:rsid w:val="002D332C"/>
    <w:rsid w:val="002D35BB"/>
    <w:rsid w:val="002D38BD"/>
    <w:rsid w:val="002D4B56"/>
    <w:rsid w:val="002D55EC"/>
    <w:rsid w:val="002D56BF"/>
    <w:rsid w:val="002D56EC"/>
    <w:rsid w:val="002D5BC6"/>
    <w:rsid w:val="002D62A5"/>
    <w:rsid w:val="002D651E"/>
    <w:rsid w:val="002D6869"/>
    <w:rsid w:val="002D6983"/>
    <w:rsid w:val="002D6C5F"/>
    <w:rsid w:val="002D7AFF"/>
    <w:rsid w:val="002E04D3"/>
    <w:rsid w:val="002E0648"/>
    <w:rsid w:val="002E0B57"/>
    <w:rsid w:val="002E125A"/>
    <w:rsid w:val="002E2158"/>
    <w:rsid w:val="002E2FB0"/>
    <w:rsid w:val="002E34F1"/>
    <w:rsid w:val="002E474F"/>
    <w:rsid w:val="002E4A4D"/>
    <w:rsid w:val="002E4C4F"/>
    <w:rsid w:val="002E5A96"/>
    <w:rsid w:val="002E5C42"/>
    <w:rsid w:val="002E7543"/>
    <w:rsid w:val="002F0FC2"/>
    <w:rsid w:val="002F1341"/>
    <w:rsid w:val="002F2225"/>
    <w:rsid w:val="002F22C9"/>
    <w:rsid w:val="002F22DA"/>
    <w:rsid w:val="002F2592"/>
    <w:rsid w:val="002F276E"/>
    <w:rsid w:val="002F3517"/>
    <w:rsid w:val="002F3831"/>
    <w:rsid w:val="002F5218"/>
    <w:rsid w:val="002F6268"/>
    <w:rsid w:val="002F6844"/>
    <w:rsid w:val="002F69A3"/>
    <w:rsid w:val="002F6D6A"/>
    <w:rsid w:val="002F6DA9"/>
    <w:rsid w:val="002F7601"/>
    <w:rsid w:val="002F76D9"/>
    <w:rsid w:val="003003F4"/>
    <w:rsid w:val="0030076A"/>
    <w:rsid w:val="00300A35"/>
    <w:rsid w:val="00300AEB"/>
    <w:rsid w:val="00300E9E"/>
    <w:rsid w:val="0030185C"/>
    <w:rsid w:val="00303496"/>
    <w:rsid w:val="0030376E"/>
    <w:rsid w:val="0030452A"/>
    <w:rsid w:val="00304784"/>
    <w:rsid w:val="0030493D"/>
    <w:rsid w:val="00304C85"/>
    <w:rsid w:val="00304D4F"/>
    <w:rsid w:val="00305211"/>
    <w:rsid w:val="003057A7"/>
    <w:rsid w:val="00305BE1"/>
    <w:rsid w:val="003060AA"/>
    <w:rsid w:val="00307183"/>
    <w:rsid w:val="00307A10"/>
    <w:rsid w:val="00307BDA"/>
    <w:rsid w:val="00311ED5"/>
    <w:rsid w:val="00312050"/>
    <w:rsid w:val="00312CD8"/>
    <w:rsid w:val="003135F2"/>
    <w:rsid w:val="003140C8"/>
    <w:rsid w:val="003141DE"/>
    <w:rsid w:val="0031443B"/>
    <w:rsid w:val="00315634"/>
    <w:rsid w:val="00317028"/>
    <w:rsid w:val="00317587"/>
    <w:rsid w:val="003177C9"/>
    <w:rsid w:val="003178E7"/>
    <w:rsid w:val="00321013"/>
    <w:rsid w:val="00321BFD"/>
    <w:rsid w:val="00322444"/>
    <w:rsid w:val="003227F5"/>
    <w:rsid w:val="00322A29"/>
    <w:rsid w:val="0032329B"/>
    <w:rsid w:val="00323569"/>
    <w:rsid w:val="003238B3"/>
    <w:rsid w:val="00323C4D"/>
    <w:rsid w:val="0032488C"/>
    <w:rsid w:val="00325C14"/>
    <w:rsid w:val="003264D4"/>
    <w:rsid w:val="003268D6"/>
    <w:rsid w:val="00330601"/>
    <w:rsid w:val="00330C77"/>
    <w:rsid w:val="00331BF3"/>
    <w:rsid w:val="00333460"/>
    <w:rsid w:val="0033389A"/>
    <w:rsid w:val="00333BCA"/>
    <w:rsid w:val="00333C4A"/>
    <w:rsid w:val="0033448E"/>
    <w:rsid w:val="003347BA"/>
    <w:rsid w:val="0033559D"/>
    <w:rsid w:val="00336074"/>
    <w:rsid w:val="00336434"/>
    <w:rsid w:val="00336488"/>
    <w:rsid w:val="00336672"/>
    <w:rsid w:val="00336DE0"/>
    <w:rsid w:val="00337320"/>
    <w:rsid w:val="00337373"/>
    <w:rsid w:val="00337928"/>
    <w:rsid w:val="00337DC4"/>
    <w:rsid w:val="00340D24"/>
    <w:rsid w:val="00340E5A"/>
    <w:rsid w:val="003422B4"/>
    <w:rsid w:val="003433C2"/>
    <w:rsid w:val="003439C7"/>
    <w:rsid w:val="00343D4A"/>
    <w:rsid w:val="00344368"/>
    <w:rsid w:val="003451F8"/>
    <w:rsid w:val="00345EF9"/>
    <w:rsid w:val="003465DC"/>
    <w:rsid w:val="003466AB"/>
    <w:rsid w:val="0034682D"/>
    <w:rsid w:val="003469D4"/>
    <w:rsid w:val="00347125"/>
    <w:rsid w:val="0034783A"/>
    <w:rsid w:val="003504A5"/>
    <w:rsid w:val="00352153"/>
    <w:rsid w:val="00352E97"/>
    <w:rsid w:val="003530E3"/>
    <w:rsid w:val="00353455"/>
    <w:rsid w:val="003535F1"/>
    <w:rsid w:val="0035416C"/>
    <w:rsid w:val="0035435C"/>
    <w:rsid w:val="003544B3"/>
    <w:rsid w:val="0035527B"/>
    <w:rsid w:val="00355355"/>
    <w:rsid w:val="00355765"/>
    <w:rsid w:val="00355832"/>
    <w:rsid w:val="0035636B"/>
    <w:rsid w:val="003567A9"/>
    <w:rsid w:val="00356C9F"/>
    <w:rsid w:val="003570EB"/>
    <w:rsid w:val="00357451"/>
    <w:rsid w:val="00357A75"/>
    <w:rsid w:val="00360C38"/>
    <w:rsid w:val="003611AA"/>
    <w:rsid w:val="003613D4"/>
    <w:rsid w:val="003625BB"/>
    <w:rsid w:val="00362D1D"/>
    <w:rsid w:val="00363252"/>
    <w:rsid w:val="0036350F"/>
    <w:rsid w:val="0036413C"/>
    <w:rsid w:val="003652EB"/>
    <w:rsid w:val="00367698"/>
    <w:rsid w:val="00367B14"/>
    <w:rsid w:val="00367C43"/>
    <w:rsid w:val="00367DE5"/>
    <w:rsid w:val="0037007F"/>
    <w:rsid w:val="0037014B"/>
    <w:rsid w:val="0037078C"/>
    <w:rsid w:val="00370FEB"/>
    <w:rsid w:val="00371BE4"/>
    <w:rsid w:val="00372FC9"/>
    <w:rsid w:val="003733CC"/>
    <w:rsid w:val="0037354C"/>
    <w:rsid w:val="00373AF7"/>
    <w:rsid w:val="00373F12"/>
    <w:rsid w:val="00375962"/>
    <w:rsid w:val="00376655"/>
    <w:rsid w:val="003800A7"/>
    <w:rsid w:val="00381940"/>
    <w:rsid w:val="00381E05"/>
    <w:rsid w:val="00381EB9"/>
    <w:rsid w:val="003820C1"/>
    <w:rsid w:val="00382207"/>
    <w:rsid w:val="00382B37"/>
    <w:rsid w:val="00383D30"/>
    <w:rsid w:val="00383D84"/>
    <w:rsid w:val="0038462D"/>
    <w:rsid w:val="00384B63"/>
    <w:rsid w:val="00386809"/>
    <w:rsid w:val="00386D5F"/>
    <w:rsid w:val="003927AD"/>
    <w:rsid w:val="00392B41"/>
    <w:rsid w:val="00392CF4"/>
    <w:rsid w:val="00392D20"/>
    <w:rsid w:val="00393F48"/>
    <w:rsid w:val="00394DBC"/>
    <w:rsid w:val="003954C4"/>
    <w:rsid w:val="00395E0A"/>
    <w:rsid w:val="00395F10"/>
    <w:rsid w:val="003962EC"/>
    <w:rsid w:val="003A01CB"/>
    <w:rsid w:val="003A1F0A"/>
    <w:rsid w:val="003A1FDD"/>
    <w:rsid w:val="003A2C2D"/>
    <w:rsid w:val="003A314A"/>
    <w:rsid w:val="003A3A2C"/>
    <w:rsid w:val="003A3B3C"/>
    <w:rsid w:val="003A3FF2"/>
    <w:rsid w:val="003A4648"/>
    <w:rsid w:val="003A4C7D"/>
    <w:rsid w:val="003A4FC9"/>
    <w:rsid w:val="003A5BEF"/>
    <w:rsid w:val="003A7345"/>
    <w:rsid w:val="003A7859"/>
    <w:rsid w:val="003A78F3"/>
    <w:rsid w:val="003B0D7E"/>
    <w:rsid w:val="003B1135"/>
    <w:rsid w:val="003B15CE"/>
    <w:rsid w:val="003B234C"/>
    <w:rsid w:val="003B3940"/>
    <w:rsid w:val="003B40BA"/>
    <w:rsid w:val="003B421E"/>
    <w:rsid w:val="003B421F"/>
    <w:rsid w:val="003B4F1A"/>
    <w:rsid w:val="003B4FB9"/>
    <w:rsid w:val="003B6816"/>
    <w:rsid w:val="003B7FBB"/>
    <w:rsid w:val="003C0691"/>
    <w:rsid w:val="003C1F95"/>
    <w:rsid w:val="003C5320"/>
    <w:rsid w:val="003C5F78"/>
    <w:rsid w:val="003C6547"/>
    <w:rsid w:val="003D0783"/>
    <w:rsid w:val="003D0EA9"/>
    <w:rsid w:val="003D13EE"/>
    <w:rsid w:val="003D14FC"/>
    <w:rsid w:val="003D17CB"/>
    <w:rsid w:val="003D2996"/>
    <w:rsid w:val="003D41EC"/>
    <w:rsid w:val="003D487E"/>
    <w:rsid w:val="003D5172"/>
    <w:rsid w:val="003D5624"/>
    <w:rsid w:val="003D5794"/>
    <w:rsid w:val="003D580E"/>
    <w:rsid w:val="003D647E"/>
    <w:rsid w:val="003D681B"/>
    <w:rsid w:val="003D6A52"/>
    <w:rsid w:val="003D7B0B"/>
    <w:rsid w:val="003E026A"/>
    <w:rsid w:val="003E0D9B"/>
    <w:rsid w:val="003E108B"/>
    <w:rsid w:val="003E13F0"/>
    <w:rsid w:val="003E1A58"/>
    <w:rsid w:val="003E2A9F"/>
    <w:rsid w:val="003E2C6B"/>
    <w:rsid w:val="003E320E"/>
    <w:rsid w:val="003E34CE"/>
    <w:rsid w:val="003E3DD1"/>
    <w:rsid w:val="003E7275"/>
    <w:rsid w:val="003E7633"/>
    <w:rsid w:val="003F00D0"/>
    <w:rsid w:val="003F088A"/>
    <w:rsid w:val="003F17E1"/>
    <w:rsid w:val="003F1C82"/>
    <w:rsid w:val="003F24CF"/>
    <w:rsid w:val="003F2E0F"/>
    <w:rsid w:val="003F31F5"/>
    <w:rsid w:val="003F48AB"/>
    <w:rsid w:val="003F4B47"/>
    <w:rsid w:val="003F4DC6"/>
    <w:rsid w:val="003F5253"/>
    <w:rsid w:val="003F6B3E"/>
    <w:rsid w:val="003F7139"/>
    <w:rsid w:val="003F717F"/>
    <w:rsid w:val="004008F1"/>
    <w:rsid w:val="00400BE9"/>
    <w:rsid w:val="00400E13"/>
    <w:rsid w:val="00401B36"/>
    <w:rsid w:val="004023AF"/>
    <w:rsid w:val="00402458"/>
    <w:rsid w:val="00402593"/>
    <w:rsid w:val="00402B65"/>
    <w:rsid w:val="00402EA5"/>
    <w:rsid w:val="004033A1"/>
    <w:rsid w:val="00403411"/>
    <w:rsid w:val="004040B2"/>
    <w:rsid w:val="004046AC"/>
    <w:rsid w:val="00404A20"/>
    <w:rsid w:val="0040513D"/>
    <w:rsid w:val="004052E5"/>
    <w:rsid w:val="004058CE"/>
    <w:rsid w:val="00405F57"/>
    <w:rsid w:val="004066A2"/>
    <w:rsid w:val="004070F1"/>
    <w:rsid w:val="004071CD"/>
    <w:rsid w:val="00407E52"/>
    <w:rsid w:val="004100AE"/>
    <w:rsid w:val="00410949"/>
    <w:rsid w:val="004109AD"/>
    <w:rsid w:val="00411FE3"/>
    <w:rsid w:val="004134F7"/>
    <w:rsid w:val="004139AE"/>
    <w:rsid w:val="0041446A"/>
    <w:rsid w:val="00414F35"/>
    <w:rsid w:val="004154CA"/>
    <w:rsid w:val="004160D1"/>
    <w:rsid w:val="00416EF8"/>
    <w:rsid w:val="00417FE4"/>
    <w:rsid w:val="0042048E"/>
    <w:rsid w:val="00420929"/>
    <w:rsid w:val="00420C52"/>
    <w:rsid w:val="004211E1"/>
    <w:rsid w:val="0042172B"/>
    <w:rsid w:val="00421F11"/>
    <w:rsid w:val="0042200F"/>
    <w:rsid w:val="00422EE8"/>
    <w:rsid w:val="0042308A"/>
    <w:rsid w:val="004234A0"/>
    <w:rsid w:val="004240B1"/>
    <w:rsid w:val="004245EE"/>
    <w:rsid w:val="00424E2A"/>
    <w:rsid w:val="00424E3C"/>
    <w:rsid w:val="004251F5"/>
    <w:rsid w:val="00425DE3"/>
    <w:rsid w:val="00426379"/>
    <w:rsid w:val="0042748C"/>
    <w:rsid w:val="0042753B"/>
    <w:rsid w:val="00427F9A"/>
    <w:rsid w:val="004309B1"/>
    <w:rsid w:val="00430FBA"/>
    <w:rsid w:val="0043143B"/>
    <w:rsid w:val="00431EB4"/>
    <w:rsid w:val="00432A39"/>
    <w:rsid w:val="00432E38"/>
    <w:rsid w:val="004335D3"/>
    <w:rsid w:val="00433B88"/>
    <w:rsid w:val="0043432D"/>
    <w:rsid w:val="00434B0A"/>
    <w:rsid w:val="004353AB"/>
    <w:rsid w:val="00436260"/>
    <w:rsid w:val="0043672D"/>
    <w:rsid w:val="00436AB5"/>
    <w:rsid w:val="0044050D"/>
    <w:rsid w:val="004405B4"/>
    <w:rsid w:val="0044084E"/>
    <w:rsid w:val="004419EC"/>
    <w:rsid w:val="004423C6"/>
    <w:rsid w:val="004423FD"/>
    <w:rsid w:val="0044412D"/>
    <w:rsid w:val="00444D92"/>
    <w:rsid w:val="00445343"/>
    <w:rsid w:val="00445463"/>
    <w:rsid w:val="00445CCE"/>
    <w:rsid w:val="004464EB"/>
    <w:rsid w:val="00446D6C"/>
    <w:rsid w:val="0044712C"/>
    <w:rsid w:val="004479A1"/>
    <w:rsid w:val="0045089D"/>
    <w:rsid w:val="00450BD5"/>
    <w:rsid w:val="004511D2"/>
    <w:rsid w:val="00451602"/>
    <w:rsid w:val="00451C3D"/>
    <w:rsid w:val="0045294D"/>
    <w:rsid w:val="00452BC5"/>
    <w:rsid w:val="00453932"/>
    <w:rsid w:val="00454148"/>
    <w:rsid w:val="00454C61"/>
    <w:rsid w:val="00455EF8"/>
    <w:rsid w:val="0045651E"/>
    <w:rsid w:val="004572D0"/>
    <w:rsid w:val="004577F9"/>
    <w:rsid w:val="00460B14"/>
    <w:rsid w:val="00460F1F"/>
    <w:rsid w:val="0046164E"/>
    <w:rsid w:val="004624A1"/>
    <w:rsid w:val="00462DC0"/>
    <w:rsid w:val="0046388E"/>
    <w:rsid w:val="0046403F"/>
    <w:rsid w:val="00464076"/>
    <w:rsid w:val="00465055"/>
    <w:rsid w:val="00465180"/>
    <w:rsid w:val="00465649"/>
    <w:rsid w:val="00465A9F"/>
    <w:rsid w:val="00465BFD"/>
    <w:rsid w:val="004662A5"/>
    <w:rsid w:val="004669F7"/>
    <w:rsid w:val="00466E5F"/>
    <w:rsid w:val="0046781C"/>
    <w:rsid w:val="00467AAF"/>
    <w:rsid w:val="00467AE8"/>
    <w:rsid w:val="0047035B"/>
    <w:rsid w:val="00470483"/>
    <w:rsid w:val="00470502"/>
    <w:rsid w:val="0047061F"/>
    <w:rsid w:val="00470914"/>
    <w:rsid w:val="00471116"/>
    <w:rsid w:val="004711A6"/>
    <w:rsid w:val="0047164B"/>
    <w:rsid w:val="00471EA7"/>
    <w:rsid w:val="0047262F"/>
    <w:rsid w:val="004728E6"/>
    <w:rsid w:val="0047343B"/>
    <w:rsid w:val="0047358C"/>
    <w:rsid w:val="00473672"/>
    <w:rsid w:val="004736DF"/>
    <w:rsid w:val="0047379A"/>
    <w:rsid w:val="00475D27"/>
    <w:rsid w:val="00475F26"/>
    <w:rsid w:val="00476D1A"/>
    <w:rsid w:val="00477871"/>
    <w:rsid w:val="00477BA7"/>
    <w:rsid w:val="0048012A"/>
    <w:rsid w:val="004802C9"/>
    <w:rsid w:val="00480374"/>
    <w:rsid w:val="00480A53"/>
    <w:rsid w:val="00480AF4"/>
    <w:rsid w:val="00480BE2"/>
    <w:rsid w:val="00481561"/>
    <w:rsid w:val="0048159E"/>
    <w:rsid w:val="0048395A"/>
    <w:rsid w:val="004845B9"/>
    <w:rsid w:val="00485686"/>
    <w:rsid w:val="004859F8"/>
    <w:rsid w:val="004860DE"/>
    <w:rsid w:val="00486D0F"/>
    <w:rsid w:val="00487234"/>
    <w:rsid w:val="004876CF"/>
    <w:rsid w:val="00490E97"/>
    <w:rsid w:val="0049170B"/>
    <w:rsid w:val="004923BB"/>
    <w:rsid w:val="0049286E"/>
    <w:rsid w:val="00492B2E"/>
    <w:rsid w:val="00492BD6"/>
    <w:rsid w:val="00492F80"/>
    <w:rsid w:val="004934C1"/>
    <w:rsid w:val="00493868"/>
    <w:rsid w:val="00493D6D"/>
    <w:rsid w:val="00494143"/>
    <w:rsid w:val="0049485A"/>
    <w:rsid w:val="00495AEF"/>
    <w:rsid w:val="00496AD7"/>
    <w:rsid w:val="00496C80"/>
    <w:rsid w:val="00496CD9"/>
    <w:rsid w:val="00496EAD"/>
    <w:rsid w:val="00497AAA"/>
    <w:rsid w:val="00497E22"/>
    <w:rsid w:val="00497F30"/>
    <w:rsid w:val="004A0531"/>
    <w:rsid w:val="004A090A"/>
    <w:rsid w:val="004A0D3C"/>
    <w:rsid w:val="004A1CF2"/>
    <w:rsid w:val="004A210C"/>
    <w:rsid w:val="004A32A4"/>
    <w:rsid w:val="004A352E"/>
    <w:rsid w:val="004A419B"/>
    <w:rsid w:val="004A4208"/>
    <w:rsid w:val="004A4E4D"/>
    <w:rsid w:val="004A51CF"/>
    <w:rsid w:val="004A51ED"/>
    <w:rsid w:val="004A5AFA"/>
    <w:rsid w:val="004A61F8"/>
    <w:rsid w:val="004A6762"/>
    <w:rsid w:val="004A6A10"/>
    <w:rsid w:val="004A6AA0"/>
    <w:rsid w:val="004A7DD0"/>
    <w:rsid w:val="004A7DE9"/>
    <w:rsid w:val="004B07E2"/>
    <w:rsid w:val="004B09EA"/>
    <w:rsid w:val="004B1B91"/>
    <w:rsid w:val="004B24BF"/>
    <w:rsid w:val="004B2595"/>
    <w:rsid w:val="004B2BEF"/>
    <w:rsid w:val="004B2D58"/>
    <w:rsid w:val="004B3869"/>
    <w:rsid w:val="004B4C65"/>
    <w:rsid w:val="004B555D"/>
    <w:rsid w:val="004B584F"/>
    <w:rsid w:val="004B6783"/>
    <w:rsid w:val="004B6A31"/>
    <w:rsid w:val="004B7A04"/>
    <w:rsid w:val="004B7D63"/>
    <w:rsid w:val="004C0082"/>
    <w:rsid w:val="004C0B36"/>
    <w:rsid w:val="004C0BBD"/>
    <w:rsid w:val="004C0F78"/>
    <w:rsid w:val="004C111B"/>
    <w:rsid w:val="004C1CC1"/>
    <w:rsid w:val="004C1F21"/>
    <w:rsid w:val="004C27C4"/>
    <w:rsid w:val="004C2EA4"/>
    <w:rsid w:val="004C343E"/>
    <w:rsid w:val="004C3D3C"/>
    <w:rsid w:val="004C420E"/>
    <w:rsid w:val="004C49E9"/>
    <w:rsid w:val="004C4BF4"/>
    <w:rsid w:val="004C5771"/>
    <w:rsid w:val="004C5E02"/>
    <w:rsid w:val="004C5FE3"/>
    <w:rsid w:val="004C627F"/>
    <w:rsid w:val="004C76ED"/>
    <w:rsid w:val="004C7F10"/>
    <w:rsid w:val="004D08C7"/>
    <w:rsid w:val="004D0AE6"/>
    <w:rsid w:val="004D0B98"/>
    <w:rsid w:val="004D0FEE"/>
    <w:rsid w:val="004D1266"/>
    <w:rsid w:val="004D1840"/>
    <w:rsid w:val="004D1C2F"/>
    <w:rsid w:val="004D29E7"/>
    <w:rsid w:val="004D2D0A"/>
    <w:rsid w:val="004D3BA2"/>
    <w:rsid w:val="004D3D32"/>
    <w:rsid w:val="004D46D5"/>
    <w:rsid w:val="004D52DD"/>
    <w:rsid w:val="004D55A4"/>
    <w:rsid w:val="004D6187"/>
    <w:rsid w:val="004D61BA"/>
    <w:rsid w:val="004D6AC0"/>
    <w:rsid w:val="004D73B1"/>
    <w:rsid w:val="004D78BE"/>
    <w:rsid w:val="004D7DAF"/>
    <w:rsid w:val="004E0056"/>
    <w:rsid w:val="004E0319"/>
    <w:rsid w:val="004E04ED"/>
    <w:rsid w:val="004E079A"/>
    <w:rsid w:val="004E14B9"/>
    <w:rsid w:val="004E16B7"/>
    <w:rsid w:val="004E30FA"/>
    <w:rsid w:val="004E32D5"/>
    <w:rsid w:val="004E34B9"/>
    <w:rsid w:val="004E516E"/>
    <w:rsid w:val="004E51B4"/>
    <w:rsid w:val="004E56BE"/>
    <w:rsid w:val="004E5EF9"/>
    <w:rsid w:val="004E6BE6"/>
    <w:rsid w:val="004E7470"/>
    <w:rsid w:val="004E77F0"/>
    <w:rsid w:val="004E7964"/>
    <w:rsid w:val="004F2599"/>
    <w:rsid w:val="004F26BB"/>
    <w:rsid w:val="004F2B0E"/>
    <w:rsid w:val="004F3890"/>
    <w:rsid w:val="004F4393"/>
    <w:rsid w:val="004F4533"/>
    <w:rsid w:val="004F45B3"/>
    <w:rsid w:val="004F466B"/>
    <w:rsid w:val="004F49A7"/>
    <w:rsid w:val="004F56A3"/>
    <w:rsid w:val="004F5EBD"/>
    <w:rsid w:val="004F63A6"/>
    <w:rsid w:val="004F6408"/>
    <w:rsid w:val="004F6D4B"/>
    <w:rsid w:val="004F6DE7"/>
    <w:rsid w:val="004F6E48"/>
    <w:rsid w:val="004F7519"/>
    <w:rsid w:val="004F77E9"/>
    <w:rsid w:val="004F780E"/>
    <w:rsid w:val="00500102"/>
    <w:rsid w:val="00500BD7"/>
    <w:rsid w:val="0050147D"/>
    <w:rsid w:val="00501A8E"/>
    <w:rsid w:val="00501E27"/>
    <w:rsid w:val="00502431"/>
    <w:rsid w:val="00502764"/>
    <w:rsid w:val="00502D37"/>
    <w:rsid w:val="00504F44"/>
    <w:rsid w:val="00505572"/>
    <w:rsid w:val="00506CC1"/>
    <w:rsid w:val="005078EA"/>
    <w:rsid w:val="005103AD"/>
    <w:rsid w:val="005108DA"/>
    <w:rsid w:val="00510A4D"/>
    <w:rsid w:val="00512DF2"/>
    <w:rsid w:val="00512F67"/>
    <w:rsid w:val="00513772"/>
    <w:rsid w:val="00513D40"/>
    <w:rsid w:val="00514C06"/>
    <w:rsid w:val="0051615B"/>
    <w:rsid w:val="005166D6"/>
    <w:rsid w:val="00516A12"/>
    <w:rsid w:val="00516B1E"/>
    <w:rsid w:val="005176C3"/>
    <w:rsid w:val="005176E1"/>
    <w:rsid w:val="00520C81"/>
    <w:rsid w:val="00521F9E"/>
    <w:rsid w:val="00522217"/>
    <w:rsid w:val="0052235A"/>
    <w:rsid w:val="005225DE"/>
    <w:rsid w:val="00522CB6"/>
    <w:rsid w:val="00522DDD"/>
    <w:rsid w:val="00523703"/>
    <w:rsid w:val="00523A54"/>
    <w:rsid w:val="00523BE8"/>
    <w:rsid w:val="00524347"/>
    <w:rsid w:val="005245D3"/>
    <w:rsid w:val="00524AE0"/>
    <w:rsid w:val="00524B60"/>
    <w:rsid w:val="0052573E"/>
    <w:rsid w:val="005258BC"/>
    <w:rsid w:val="0052760B"/>
    <w:rsid w:val="00527A51"/>
    <w:rsid w:val="00530669"/>
    <w:rsid w:val="00530EF3"/>
    <w:rsid w:val="00531422"/>
    <w:rsid w:val="00531F5C"/>
    <w:rsid w:val="00532EC1"/>
    <w:rsid w:val="00532EF8"/>
    <w:rsid w:val="00533EE9"/>
    <w:rsid w:val="00534613"/>
    <w:rsid w:val="00534EF0"/>
    <w:rsid w:val="0053537E"/>
    <w:rsid w:val="00536BF6"/>
    <w:rsid w:val="00537099"/>
    <w:rsid w:val="005400B9"/>
    <w:rsid w:val="00542D39"/>
    <w:rsid w:val="005431FF"/>
    <w:rsid w:val="00544171"/>
    <w:rsid w:val="00544602"/>
    <w:rsid w:val="00544FB5"/>
    <w:rsid w:val="00545871"/>
    <w:rsid w:val="00546027"/>
    <w:rsid w:val="00546409"/>
    <w:rsid w:val="0055009E"/>
    <w:rsid w:val="00550377"/>
    <w:rsid w:val="00550448"/>
    <w:rsid w:val="0055283F"/>
    <w:rsid w:val="00552CED"/>
    <w:rsid w:val="005542E8"/>
    <w:rsid w:val="00554672"/>
    <w:rsid w:val="0055470C"/>
    <w:rsid w:val="0055588B"/>
    <w:rsid w:val="00555AEE"/>
    <w:rsid w:val="00556623"/>
    <w:rsid w:val="00556D3B"/>
    <w:rsid w:val="00556E35"/>
    <w:rsid w:val="00557219"/>
    <w:rsid w:val="00557FB1"/>
    <w:rsid w:val="00560BF2"/>
    <w:rsid w:val="00561871"/>
    <w:rsid w:val="005621D4"/>
    <w:rsid w:val="005628BD"/>
    <w:rsid w:val="00562C20"/>
    <w:rsid w:val="005630A8"/>
    <w:rsid w:val="005631FF"/>
    <w:rsid w:val="0056333A"/>
    <w:rsid w:val="005634B9"/>
    <w:rsid w:val="00564C35"/>
    <w:rsid w:val="00564C5E"/>
    <w:rsid w:val="00564D60"/>
    <w:rsid w:val="00565DAA"/>
    <w:rsid w:val="00565E71"/>
    <w:rsid w:val="005669F2"/>
    <w:rsid w:val="00566A4A"/>
    <w:rsid w:val="00566E39"/>
    <w:rsid w:val="005675E8"/>
    <w:rsid w:val="0057021D"/>
    <w:rsid w:val="00571314"/>
    <w:rsid w:val="00571778"/>
    <w:rsid w:val="00572A7F"/>
    <w:rsid w:val="00573054"/>
    <w:rsid w:val="00574214"/>
    <w:rsid w:val="00574D1A"/>
    <w:rsid w:val="00574F59"/>
    <w:rsid w:val="005753AB"/>
    <w:rsid w:val="005757F4"/>
    <w:rsid w:val="00575AEA"/>
    <w:rsid w:val="0057615B"/>
    <w:rsid w:val="005763E9"/>
    <w:rsid w:val="00577FE8"/>
    <w:rsid w:val="005803CE"/>
    <w:rsid w:val="00580913"/>
    <w:rsid w:val="0058187C"/>
    <w:rsid w:val="00581C13"/>
    <w:rsid w:val="005828C4"/>
    <w:rsid w:val="00582C25"/>
    <w:rsid w:val="00582FB8"/>
    <w:rsid w:val="00583154"/>
    <w:rsid w:val="00583412"/>
    <w:rsid w:val="00583771"/>
    <w:rsid w:val="00583C6C"/>
    <w:rsid w:val="00583EEA"/>
    <w:rsid w:val="00584235"/>
    <w:rsid w:val="005845E2"/>
    <w:rsid w:val="0058464C"/>
    <w:rsid w:val="00585CCC"/>
    <w:rsid w:val="00586318"/>
    <w:rsid w:val="00586437"/>
    <w:rsid w:val="0058690E"/>
    <w:rsid w:val="00587FFC"/>
    <w:rsid w:val="00590043"/>
    <w:rsid w:val="00590A8D"/>
    <w:rsid w:val="00590D0D"/>
    <w:rsid w:val="005912BD"/>
    <w:rsid w:val="00591B98"/>
    <w:rsid w:val="00592660"/>
    <w:rsid w:val="00592946"/>
    <w:rsid w:val="005929CD"/>
    <w:rsid w:val="005930E2"/>
    <w:rsid w:val="0059359E"/>
    <w:rsid w:val="00593E4D"/>
    <w:rsid w:val="005951E2"/>
    <w:rsid w:val="0059524A"/>
    <w:rsid w:val="0059576A"/>
    <w:rsid w:val="0059589B"/>
    <w:rsid w:val="00595DD6"/>
    <w:rsid w:val="00595ED0"/>
    <w:rsid w:val="0059687E"/>
    <w:rsid w:val="0059774F"/>
    <w:rsid w:val="005A0BDC"/>
    <w:rsid w:val="005A1A15"/>
    <w:rsid w:val="005A2353"/>
    <w:rsid w:val="005A28A8"/>
    <w:rsid w:val="005A2BAB"/>
    <w:rsid w:val="005A38CB"/>
    <w:rsid w:val="005A4310"/>
    <w:rsid w:val="005A43FA"/>
    <w:rsid w:val="005A44D0"/>
    <w:rsid w:val="005A55BE"/>
    <w:rsid w:val="005A5AF1"/>
    <w:rsid w:val="005A5DFC"/>
    <w:rsid w:val="005A6805"/>
    <w:rsid w:val="005A6E21"/>
    <w:rsid w:val="005A79E3"/>
    <w:rsid w:val="005A7D83"/>
    <w:rsid w:val="005B0065"/>
    <w:rsid w:val="005B0F7C"/>
    <w:rsid w:val="005B15F1"/>
    <w:rsid w:val="005B234C"/>
    <w:rsid w:val="005B2754"/>
    <w:rsid w:val="005B304E"/>
    <w:rsid w:val="005B32CB"/>
    <w:rsid w:val="005B4B0E"/>
    <w:rsid w:val="005B6505"/>
    <w:rsid w:val="005B696C"/>
    <w:rsid w:val="005B6991"/>
    <w:rsid w:val="005B6D80"/>
    <w:rsid w:val="005B6DDC"/>
    <w:rsid w:val="005B754F"/>
    <w:rsid w:val="005B7A50"/>
    <w:rsid w:val="005B7E5B"/>
    <w:rsid w:val="005C1185"/>
    <w:rsid w:val="005C2549"/>
    <w:rsid w:val="005C34A0"/>
    <w:rsid w:val="005C35AA"/>
    <w:rsid w:val="005C3793"/>
    <w:rsid w:val="005C4211"/>
    <w:rsid w:val="005C4D1A"/>
    <w:rsid w:val="005C6172"/>
    <w:rsid w:val="005C677F"/>
    <w:rsid w:val="005D03B1"/>
    <w:rsid w:val="005D078A"/>
    <w:rsid w:val="005D0B34"/>
    <w:rsid w:val="005D2608"/>
    <w:rsid w:val="005D345B"/>
    <w:rsid w:val="005D396F"/>
    <w:rsid w:val="005D3BE3"/>
    <w:rsid w:val="005D3FF5"/>
    <w:rsid w:val="005D449D"/>
    <w:rsid w:val="005D47B3"/>
    <w:rsid w:val="005D4AFB"/>
    <w:rsid w:val="005D5178"/>
    <w:rsid w:val="005D5388"/>
    <w:rsid w:val="005D5D20"/>
    <w:rsid w:val="005D5D50"/>
    <w:rsid w:val="005D78FF"/>
    <w:rsid w:val="005D7B37"/>
    <w:rsid w:val="005D7ED1"/>
    <w:rsid w:val="005E0762"/>
    <w:rsid w:val="005E12A9"/>
    <w:rsid w:val="005E1C3A"/>
    <w:rsid w:val="005E2005"/>
    <w:rsid w:val="005E225F"/>
    <w:rsid w:val="005E2289"/>
    <w:rsid w:val="005E2FDF"/>
    <w:rsid w:val="005E33D8"/>
    <w:rsid w:val="005E4160"/>
    <w:rsid w:val="005E58A2"/>
    <w:rsid w:val="005E5D44"/>
    <w:rsid w:val="005E5FA6"/>
    <w:rsid w:val="005E6F9A"/>
    <w:rsid w:val="005E6FA2"/>
    <w:rsid w:val="005E6FB0"/>
    <w:rsid w:val="005E7E6F"/>
    <w:rsid w:val="005F067E"/>
    <w:rsid w:val="005F1208"/>
    <w:rsid w:val="005F16F1"/>
    <w:rsid w:val="005F20E1"/>
    <w:rsid w:val="005F3E15"/>
    <w:rsid w:val="005F6271"/>
    <w:rsid w:val="005F6C94"/>
    <w:rsid w:val="005F7577"/>
    <w:rsid w:val="005F7580"/>
    <w:rsid w:val="005F768B"/>
    <w:rsid w:val="005F7EC9"/>
    <w:rsid w:val="00600D00"/>
    <w:rsid w:val="00601398"/>
    <w:rsid w:val="00601631"/>
    <w:rsid w:val="006016CC"/>
    <w:rsid w:val="0060170F"/>
    <w:rsid w:val="00601E09"/>
    <w:rsid w:val="00602711"/>
    <w:rsid w:val="006035D7"/>
    <w:rsid w:val="00603BED"/>
    <w:rsid w:val="00603F3C"/>
    <w:rsid w:val="006044AB"/>
    <w:rsid w:val="00604938"/>
    <w:rsid w:val="006049C0"/>
    <w:rsid w:val="00606738"/>
    <w:rsid w:val="00606CD5"/>
    <w:rsid w:val="006075ED"/>
    <w:rsid w:val="00607E27"/>
    <w:rsid w:val="00611467"/>
    <w:rsid w:val="00612509"/>
    <w:rsid w:val="006131EE"/>
    <w:rsid w:val="006135F3"/>
    <w:rsid w:val="00614C9B"/>
    <w:rsid w:val="006155EC"/>
    <w:rsid w:val="0061563B"/>
    <w:rsid w:val="0061771B"/>
    <w:rsid w:val="0062045A"/>
    <w:rsid w:val="00620625"/>
    <w:rsid w:val="006207B5"/>
    <w:rsid w:val="00620DF2"/>
    <w:rsid w:val="006211E0"/>
    <w:rsid w:val="006221BB"/>
    <w:rsid w:val="0062287B"/>
    <w:rsid w:val="00623D81"/>
    <w:rsid w:val="006249F1"/>
    <w:rsid w:val="006252C9"/>
    <w:rsid w:val="00625A39"/>
    <w:rsid w:val="00625F1E"/>
    <w:rsid w:val="00626466"/>
    <w:rsid w:val="00626A3B"/>
    <w:rsid w:val="00626EBD"/>
    <w:rsid w:val="006274EA"/>
    <w:rsid w:val="0063026F"/>
    <w:rsid w:val="00630DD6"/>
    <w:rsid w:val="006313CF"/>
    <w:rsid w:val="00631E82"/>
    <w:rsid w:val="006324B2"/>
    <w:rsid w:val="00632F42"/>
    <w:rsid w:val="00633F56"/>
    <w:rsid w:val="00634D3D"/>
    <w:rsid w:val="00634FC3"/>
    <w:rsid w:val="006352A4"/>
    <w:rsid w:val="00635552"/>
    <w:rsid w:val="00636C53"/>
    <w:rsid w:val="006372AD"/>
    <w:rsid w:val="0063737D"/>
    <w:rsid w:val="00637FFA"/>
    <w:rsid w:val="00640AF1"/>
    <w:rsid w:val="00640F4B"/>
    <w:rsid w:val="00642AEF"/>
    <w:rsid w:val="00642C2B"/>
    <w:rsid w:val="00645339"/>
    <w:rsid w:val="006460A2"/>
    <w:rsid w:val="006463CF"/>
    <w:rsid w:val="00646952"/>
    <w:rsid w:val="006472FB"/>
    <w:rsid w:val="006473B6"/>
    <w:rsid w:val="006478A9"/>
    <w:rsid w:val="00650671"/>
    <w:rsid w:val="00650865"/>
    <w:rsid w:val="006522BD"/>
    <w:rsid w:val="00652976"/>
    <w:rsid w:val="00652A98"/>
    <w:rsid w:val="00652C20"/>
    <w:rsid w:val="00652D29"/>
    <w:rsid w:val="00652E1B"/>
    <w:rsid w:val="006531F5"/>
    <w:rsid w:val="006533E5"/>
    <w:rsid w:val="00653993"/>
    <w:rsid w:val="0065448E"/>
    <w:rsid w:val="00654B60"/>
    <w:rsid w:val="00655000"/>
    <w:rsid w:val="00655485"/>
    <w:rsid w:val="00655B68"/>
    <w:rsid w:val="0065621A"/>
    <w:rsid w:val="00656263"/>
    <w:rsid w:val="00656522"/>
    <w:rsid w:val="0065668A"/>
    <w:rsid w:val="006566FD"/>
    <w:rsid w:val="00656AF7"/>
    <w:rsid w:val="00656CA6"/>
    <w:rsid w:val="00657CDA"/>
    <w:rsid w:val="006608D2"/>
    <w:rsid w:val="00660DEE"/>
    <w:rsid w:val="0066147C"/>
    <w:rsid w:val="00661918"/>
    <w:rsid w:val="00662716"/>
    <w:rsid w:val="00662EC8"/>
    <w:rsid w:val="00662F8D"/>
    <w:rsid w:val="00662FE0"/>
    <w:rsid w:val="006633F6"/>
    <w:rsid w:val="00663537"/>
    <w:rsid w:val="006635B7"/>
    <w:rsid w:val="00663F0D"/>
    <w:rsid w:val="00663F1E"/>
    <w:rsid w:val="006646E4"/>
    <w:rsid w:val="00664D8A"/>
    <w:rsid w:val="006650D6"/>
    <w:rsid w:val="00665C52"/>
    <w:rsid w:val="006724BA"/>
    <w:rsid w:val="00672972"/>
    <w:rsid w:val="006734D0"/>
    <w:rsid w:val="006738C1"/>
    <w:rsid w:val="00673B96"/>
    <w:rsid w:val="00673EF0"/>
    <w:rsid w:val="006743D2"/>
    <w:rsid w:val="0067482B"/>
    <w:rsid w:val="00676AAD"/>
    <w:rsid w:val="00677FA0"/>
    <w:rsid w:val="00680B0F"/>
    <w:rsid w:val="00681343"/>
    <w:rsid w:val="00681542"/>
    <w:rsid w:val="00682C8E"/>
    <w:rsid w:val="00682E6C"/>
    <w:rsid w:val="00683543"/>
    <w:rsid w:val="00683AE6"/>
    <w:rsid w:val="00683EF7"/>
    <w:rsid w:val="0068418E"/>
    <w:rsid w:val="00685613"/>
    <w:rsid w:val="006858F6"/>
    <w:rsid w:val="00685FDD"/>
    <w:rsid w:val="00686105"/>
    <w:rsid w:val="00686231"/>
    <w:rsid w:val="00686A5D"/>
    <w:rsid w:val="00687541"/>
    <w:rsid w:val="006875F2"/>
    <w:rsid w:val="00687A87"/>
    <w:rsid w:val="00690956"/>
    <w:rsid w:val="00690CD5"/>
    <w:rsid w:val="0069257C"/>
    <w:rsid w:val="00692AD0"/>
    <w:rsid w:val="00692D1F"/>
    <w:rsid w:val="00693BF8"/>
    <w:rsid w:val="006941AF"/>
    <w:rsid w:val="006946DB"/>
    <w:rsid w:val="00695571"/>
    <w:rsid w:val="00695BEF"/>
    <w:rsid w:val="006969D5"/>
    <w:rsid w:val="00697600"/>
    <w:rsid w:val="0069783E"/>
    <w:rsid w:val="00697B2C"/>
    <w:rsid w:val="006A0347"/>
    <w:rsid w:val="006A038C"/>
    <w:rsid w:val="006A03F4"/>
    <w:rsid w:val="006A0B02"/>
    <w:rsid w:val="006A172F"/>
    <w:rsid w:val="006A2CA2"/>
    <w:rsid w:val="006A2DA5"/>
    <w:rsid w:val="006A2FC3"/>
    <w:rsid w:val="006A3463"/>
    <w:rsid w:val="006A38C0"/>
    <w:rsid w:val="006A5E3D"/>
    <w:rsid w:val="006A6005"/>
    <w:rsid w:val="006A768D"/>
    <w:rsid w:val="006B025B"/>
    <w:rsid w:val="006B0319"/>
    <w:rsid w:val="006B0947"/>
    <w:rsid w:val="006B142C"/>
    <w:rsid w:val="006B1450"/>
    <w:rsid w:val="006B1B00"/>
    <w:rsid w:val="006B1C2C"/>
    <w:rsid w:val="006B1F63"/>
    <w:rsid w:val="006B2444"/>
    <w:rsid w:val="006B2AB9"/>
    <w:rsid w:val="006B2D81"/>
    <w:rsid w:val="006B329D"/>
    <w:rsid w:val="006B4388"/>
    <w:rsid w:val="006B4830"/>
    <w:rsid w:val="006B4EAE"/>
    <w:rsid w:val="006B580B"/>
    <w:rsid w:val="006B663C"/>
    <w:rsid w:val="006B7490"/>
    <w:rsid w:val="006B7F5B"/>
    <w:rsid w:val="006C03E2"/>
    <w:rsid w:val="006C0C63"/>
    <w:rsid w:val="006C1322"/>
    <w:rsid w:val="006C1AF9"/>
    <w:rsid w:val="006C2799"/>
    <w:rsid w:val="006C2958"/>
    <w:rsid w:val="006C5B21"/>
    <w:rsid w:val="006C65A1"/>
    <w:rsid w:val="006C65C7"/>
    <w:rsid w:val="006C6707"/>
    <w:rsid w:val="006C6A2A"/>
    <w:rsid w:val="006C6FB2"/>
    <w:rsid w:val="006D010B"/>
    <w:rsid w:val="006D038A"/>
    <w:rsid w:val="006D1261"/>
    <w:rsid w:val="006D14BD"/>
    <w:rsid w:val="006D397F"/>
    <w:rsid w:val="006D3A0A"/>
    <w:rsid w:val="006D3B9F"/>
    <w:rsid w:val="006D4343"/>
    <w:rsid w:val="006D4F97"/>
    <w:rsid w:val="006D5E41"/>
    <w:rsid w:val="006D5F13"/>
    <w:rsid w:val="006D6199"/>
    <w:rsid w:val="006D6B4E"/>
    <w:rsid w:val="006D7500"/>
    <w:rsid w:val="006E05F7"/>
    <w:rsid w:val="006E0CBE"/>
    <w:rsid w:val="006E13C9"/>
    <w:rsid w:val="006E19DC"/>
    <w:rsid w:val="006E1B51"/>
    <w:rsid w:val="006E1B8E"/>
    <w:rsid w:val="006E35EF"/>
    <w:rsid w:val="006E3F82"/>
    <w:rsid w:val="006E5316"/>
    <w:rsid w:val="006E6493"/>
    <w:rsid w:val="006E6CAE"/>
    <w:rsid w:val="006E7F74"/>
    <w:rsid w:val="006F031D"/>
    <w:rsid w:val="006F09BA"/>
    <w:rsid w:val="006F0EE2"/>
    <w:rsid w:val="006F10DC"/>
    <w:rsid w:val="006F182C"/>
    <w:rsid w:val="006F226F"/>
    <w:rsid w:val="006F30D7"/>
    <w:rsid w:val="006F3784"/>
    <w:rsid w:val="006F37DB"/>
    <w:rsid w:val="006F4DC9"/>
    <w:rsid w:val="006F4ECB"/>
    <w:rsid w:val="006F6179"/>
    <w:rsid w:val="006F692E"/>
    <w:rsid w:val="006F6DD9"/>
    <w:rsid w:val="006F7733"/>
    <w:rsid w:val="006F7A91"/>
    <w:rsid w:val="00700638"/>
    <w:rsid w:val="0070063C"/>
    <w:rsid w:val="00700D91"/>
    <w:rsid w:val="00700F7C"/>
    <w:rsid w:val="00701151"/>
    <w:rsid w:val="0070358F"/>
    <w:rsid w:val="007038C0"/>
    <w:rsid w:val="00704457"/>
    <w:rsid w:val="00704E68"/>
    <w:rsid w:val="0070597F"/>
    <w:rsid w:val="007059A2"/>
    <w:rsid w:val="00706952"/>
    <w:rsid w:val="00706E41"/>
    <w:rsid w:val="00707170"/>
    <w:rsid w:val="00710207"/>
    <w:rsid w:val="007105B5"/>
    <w:rsid w:val="00710BE0"/>
    <w:rsid w:val="0071283A"/>
    <w:rsid w:val="00713E37"/>
    <w:rsid w:val="00715A06"/>
    <w:rsid w:val="00715FE4"/>
    <w:rsid w:val="007163A6"/>
    <w:rsid w:val="00716CF5"/>
    <w:rsid w:val="00717BAC"/>
    <w:rsid w:val="00720906"/>
    <w:rsid w:val="00720B21"/>
    <w:rsid w:val="00720CB7"/>
    <w:rsid w:val="007212E9"/>
    <w:rsid w:val="0072151D"/>
    <w:rsid w:val="0072276A"/>
    <w:rsid w:val="00723444"/>
    <w:rsid w:val="007237EA"/>
    <w:rsid w:val="00723984"/>
    <w:rsid w:val="00723B03"/>
    <w:rsid w:val="00723FF1"/>
    <w:rsid w:val="00724921"/>
    <w:rsid w:val="00725163"/>
    <w:rsid w:val="00727159"/>
    <w:rsid w:val="007273EA"/>
    <w:rsid w:val="00727602"/>
    <w:rsid w:val="0073026E"/>
    <w:rsid w:val="00730AFB"/>
    <w:rsid w:val="00731081"/>
    <w:rsid w:val="007310E5"/>
    <w:rsid w:val="00732015"/>
    <w:rsid w:val="0073207E"/>
    <w:rsid w:val="0073261A"/>
    <w:rsid w:val="00733559"/>
    <w:rsid w:val="00734D59"/>
    <w:rsid w:val="00734F45"/>
    <w:rsid w:val="00735CA5"/>
    <w:rsid w:val="00735F74"/>
    <w:rsid w:val="00736CAA"/>
    <w:rsid w:val="00736F36"/>
    <w:rsid w:val="00737018"/>
    <w:rsid w:val="00740675"/>
    <w:rsid w:val="00740B23"/>
    <w:rsid w:val="00740C85"/>
    <w:rsid w:val="00740C8C"/>
    <w:rsid w:val="0074142F"/>
    <w:rsid w:val="007427DF"/>
    <w:rsid w:val="00743B17"/>
    <w:rsid w:val="00743E06"/>
    <w:rsid w:val="00744DD1"/>
    <w:rsid w:val="00745ED7"/>
    <w:rsid w:val="0074620F"/>
    <w:rsid w:val="00746D7A"/>
    <w:rsid w:val="00747A88"/>
    <w:rsid w:val="00747A99"/>
    <w:rsid w:val="00750079"/>
    <w:rsid w:val="00750E7A"/>
    <w:rsid w:val="00753B9A"/>
    <w:rsid w:val="00753C1C"/>
    <w:rsid w:val="00754357"/>
    <w:rsid w:val="00757D5C"/>
    <w:rsid w:val="00757EDA"/>
    <w:rsid w:val="007609E1"/>
    <w:rsid w:val="00760FBD"/>
    <w:rsid w:val="007618A8"/>
    <w:rsid w:val="00761F10"/>
    <w:rsid w:val="0076211A"/>
    <w:rsid w:val="007621D1"/>
    <w:rsid w:val="00762900"/>
    <w:rsid w:val="0076293C"/>
    <w:rsid w:val="00762C9D"/>
    <w:rsid w:val="0076310B"/>
    <w:rsid w:val="007639C6"/>
    <w:rsid w:val="00763B2D"/>
    <w:rsid w:val="00763B30"/>
    <w:rsid w:val="007643BE"/>
    <w:rsid w:val="00764735"/>
    <w:rsid w:val="00765EB4"/>
    <w:rsid w:val="00765FCE"/>
    <w:rsid w:val="00766E35"/>
    <w:rsid w:val="00767B5B"/>
    <w:rsid w:val="007707FB"/>
    <w:rsid w:val="00770ACF"/>
    <w:rsid w:val="00771310"/>
    <w:rsid w:val="0077131A"/>
    <w:rsid w:val="00771DB9"/>
    <w:rsid w:val="00771FD4"/>
    <w:rsid w:val="00772571"/>
    <w:rsid w:val="0077494F"/>
    <w:rsid w:val="00774A3A"/>
    <w:rsid w:val="00774FFD"/>
    <w:rsid w:val="00775268"/>
    <w:rsid w:val="007768EE"/>
    <w:rsid w:val="00776F20"/>
    <w:rsid w:val="00776F95"/>
    <w:rsid w:val="00777018"/>
    <w:rsid w:val="00777027"/>
    <w:rsid w:val="00777476"/>
    <w:rsid w:val="0077789F"/>
    <w:rsid w:val="00777BC2"/>
    <w:rsid w:val="00777EB7"/>
    <w:rsid w:val="007806B5"/>
    <w:rsid w:val="007816EF"/>
    <w:rsid w:val="00781EF1"/>
    <w:rsid w:val="00782226"/>
    <w:rsid w:val="007826D0"/>
    <w:rsid w:val="007844A5"/>
    <w:rsid w:val="00785BEA"/>
    <w:rsid w:val="00785F22"/>
    <w:rsid w:val="007860AC"/>
    <w:rsid w:val="007907FC"/>
    <w:rsid w:val="00791776"/>
    <w:rsid w:val="00791861"/>
    <w:rsid w:val="00791C5D"/>
    <w:rsid w:val="00791E0C"/>
    <w:rsid w:val="007928F4"/>
    <w:rsid w:val="007939F4"/>
    <w:rsid w:val="0079404E"/>
    <w:rsid w:val="0079418A"/>
    <w:rsid w:val="007948CB"/>
    <w:rsid w:val="00794E4A"/>
    <w:rsid w:val="00795B61"/>
    <w:rsid w:val="0079650B"/>
    <w:rsid w:val="0079655D"/>
    <w:rsid w:val="00796D61"/>
    <w:rsid w:val="00796DE8"/>
    <w:rsid w:val="00796DFF"/>
    <w:rsid w:val="00797154"/>
    <w:rsid w:val="00797917"/>
    <w:rsid w:val="007A0208"/>
    <w:rsid w:val="007A0369"/>
    <w:rsid w:val="007A096F"/>
    <w:rsid w:val="007A12F8"/>
    <w:rsid w:val="007A21E4"/>
    <w:rsid w:val="007A2269"/>
    <w:rsid w:val="007A25E4"/>
    <w:rsid w:val="007A3728"/>
    <w:rsid w:val="007A471B"/>
    <w:rsid w:val="007A484D"/>
    <w:rsid w:val="007A5EB3"/>
    <w:rsid w:val="007A5FCE"/>
    <w:rsid w:val="007A61A5"/>
    <w:rsid w:val="007A6282"/>
    <w:rsid w:val="007A6341"/>
    <w:rsid w:val="007A6AC3"/>
    <w:rsid w:val="007A6D93"/>
    <w:rsid w:val="007A74C1"/>
    <w:rsid w:val="007B05EC"/>
    <w:rsid w:val="007B097C"/>
    <w:rsid w:val="007B1FB8"/>
    <w:rsid w:val="007B2480"/>
    <w:rsid w:val="007B31CC"/>
    <w:rsid w:val="007B3C8C"/>
    <w:rsid w:val="007B3F8D"/>
    <w:rsid w:val="007B44CA"/>
    <w:rsid w:val="007B6B60"/>
    <w:rsid w:val="007B7589"/>
    <w:rsid w:val="007C0540"/>
    <w:rsid w:val="007C2781"/>
    <w:rsid w:val="007C3139"/>
    <w:rsid w:val="007C378F"/>
    <w:rsid w:val="007C3ABF"/>
    <w:rsid w:val="007C3C58"/>
    <w:rsid w:val="007C3D55"/>
    <w:rsid w:val="007C462E"/>
    <w:rsid w:val="007C4C1A"/>
    <w:rsid w:val="007C4F97"/>
    <w:rsid w:val="007C544C"/>
    <w:rsid w:val="007C5B22"/>
    <w:rsid w:val="007C6BBF"/>
    <w:rsid w:val="007C6ECE"/>
    <w:rsid w:val="007C729A"/>
    <w:rsid w:val="007C7660"/>
    <w:rsid w:val="007C77E5"/>
    <w:rsid w:val="007C786A"/>
    <w:rsid w:val="007D036E"/>
    <w:rsid w:val="007D055D"/>
    <w:rsid w:val="007D149E"/>
    <w:rsid w:val="007D2665"/>
    <w:rsid w:val="007D2B5B"/>
    <w:rsid w:val="007D2BFB"/>
    <w:rsid w:val="007D2FAF"/>
    <w:rsid w:val="007D3199"/>
    <w:rsid w:val="007D3BB4"/>
    <w:rsid w:val="007D53C4"/>
    <w:rsid w:val="007D5DC7"/>
    <w:rsid w:val="007D77B8"/>
    <w:rsid w:val="007E0E56"/>
    <w:rsid w:val="007E1637"/>
    <w:rsid w:val="007E1B12"/>
    <w:rsid w:val="007E21FA"/>
    <w:rsid w:val="007E2302"/>
    <w:rsid w:val="007E23EB"/>
    <w:rsid w:val="007E37CD"/>
    <w:rsid w:val="007E63CA"/>
    <w:rsid w:val="007E70F0"/>
    <w:rsid w:val="007E79C1"/>
    <w:rsid w:val="007E7C0F"/>
    <w:rsid w:val="007F0D1A"/>
    <w:rsid w:val="007F0F4D"/>
    <w:rsid w:val="007F13C0"/>
    <w:rsid w:val="007F1957"/>
    <w:rsid w:val="007F1DE8"/>
    <w:rsid w:val="007F2A87"/>
    <w:rsid w:val="007F2D9D"/>
    <w:rsid w:val="007F2EEF"/>
    <w:rsid w:val="007F342C"/>
    <w:rsid w:val="007F370C"/>
    <w:rsid w:val="007F3ED9"/>
    <w:rsid w:val="007F42A7"/>
    <w:rsid w:val="007F432D"/>
    <w:rsid w:val="007F4668"/>
    <w:rsid w:val="007F505F"/>
    <w:rsid w:val="007F5BFF"/>
    <w:rsid w:val="007F5E6C"/>
    <w:rsid w:val="007F5ECE"/>
    <w:rsid w:val="007F5EE7"/>
    <w:rsid w:val="007F6098"/>
    <w:rsid w:val="007F698D"/>
    <w:rsid w:val="007F6CEA"/>
    <w:rsid w:val="007F7433"/>
    <w:rsid w:val="0080077E"/>
    <w:rsid w:val="00800DC4"/>
    <w:rsid w:val="00800F6F"/>
    <w:rsid w:val="00801C96"/>
    <w:rsid w:val="00802330"/>
    <w:rsid w:val="00802394"/>
    <w:rsid w:val="00804F7A"/>
    <w:rsid w:val="00805638"/>
    <w:rsid w:val="00805795"/>
    <w:rsid w:val="0080671A"/>
    <w:rsid w:val="008074A7"/>
    <w:rsid w:val="008120A6"/>
    <w:rsid w:val="0081246B"/>
    <w:rsid w:val="00812519"/>
    <w:rsid w:val="00814230"/>
    <w:rsid w:val="0081438A"/>
    <w:rsid w:val="008146E1"/>
    <w:rsid w:val="00815AC4"/>
    <w:rsid w:val="00815E6D"/>
    <w:rsid w:val="00815F7E"/>
    <w:rsid w:val="0081648C"/>
    <w:rsid w:val="00816C59"/>
    <w:rsid w:val="00821B52"/>
    <w:rsid w:val="008226BA"/>
    <w:rsid w:val="00822CAC"/>
    <w:rsid w:val="00823409"/>
    <w:rsid w:val="0082384D"/>
    <w:rsid w:val="00823A34"/>
    <w:rsid w:val="008240EB"/>
    <w:rsid w:val="008243DC"/>
    <w:rsid w:val="008249FD"/>
    <w:rsid w:val="00824CC9"/>
    <w:rsid w:val="008255EF"/>
    <w:rsid w:val="00825686"/>
    <w:rsid w:val="00825A4B"/>
    <w:rsid w:val="00825B93"/>
    <w:rsid w:val="00826389"/>
    <w:rsid w:val="00826BF7"/>
    <w:rsid w:val="0082762A"/>
    <w:rsid w:val="00834588"/>
    <w:rsid w:val="00834706"/>
    <w:rsid w:val="00834F0E"/>
    <w:rsid w:val="0083506C"/>
    <w:rsid w:val="00835907"/>
    <w:rsid w:val="00835F23"/>
    <w:rsid w:val="00835FE3"/>
    <w:rsid w:val="00836171"/>
    <w:rsid w:val="0083622B"/>
    <w:rsid w:val="0084083D"/>
    <w:rsid w:val="00840CEA"/>
    <w:rsid w:val="00840E9E"/>
    <w:rsid w:val="008417CD"/>
    <w:rsid w:val="00842359"/>
    <w:rsid w:val="0084253F"/>
    <w:rsid w:val="008437CC"/>
    <w:rsid w:val="00843B73"/>
    <w:rsid w:val="00845704"/>
    <w:rsid w:val="00845C79"/>
    <w:rsid w:val="008467F1"/>
    <w:rsid w:val="00846962"/>
    <w:rsid w:val="00846FB2"/>
    <w:rsid w:val="008479BE"/>
    <w:rsid w:val="00850108"/>
    <w:rsid w:val="008507E2"/>
    <w:rsid w:val="00850912"/>
    <w:rsid w:val="008513FC"/>
    <w:rsid w:val="00851770"/>
    <w:rsid w:val="00851934"/>
    <w:rsid w:val="00852301"/>
    <w:rsid w:val="00853A8A"/>
    <w:rsid w:val="00853FFF"/>
    <w:rsid w:val="008540D1"/>
    <w:rsid w:val="008541E2"/>
    <w:rsid w:val="00854818"/>
    <w:rsid w:val="0085612B"/>
    <w:rsid w:val="00856DB9"/>
    <w:rsid w:val="0085785C"/>
    <w:rsid w:val="00857D83"/>
    <w:rsid w:val="00857EA2"/>
    <w:rsid w:val="008600CD"/>
    <w:rsid w:val="00860839"/>
    <w:rsid w:val="008608E3"/>
    <w:rsid w:val="00861E8F"/>
    <w:rsid w:val="00862439"/>
    <w:rsid w:val="008634E8"/>
    <w:rsid w:val="00864748"/>
    <w:rsid w:val="00864889"/>
    <w:rsid w:val="00864FCB"/>
    <w:rsid w:val="00865037"/>
    <w:rsid w:val="0086646B"/>
    <w:rsid w:val="00867696"/>
    <w:rsid w:val="00867D4E"/>
    <w:rsid w:val="00870346"/>
    <w:rsid w:val="00870D13"/>
    <w:rsid w:val="00872369"/>
    <w:rsid w:val="00872B33"/>
    <w:rsid w:val="00874AEC"/>
    <w:rsid w:val="00875078"/>
    <w:rsid w:val="0087524B"/>
    <w:rsid w:val="008761E9"/>
    <w:rsid w:val="00876289"/>
    <w:rsid w:val="008763EF"/>
    <w:rsid w:val="00876A01"/>
    <w:rsid w:val="008776A5"/>
    <w:rsid w:val="00877889"/>
    <w:rsid w:val="00877BB6"/>
    <w:rsid w:val="0088008B"/>
    <w:rsid w:val="00880D73"/>
    <w:rsid w:val="00881199"/>
    <w:rsid w:val="00881CC2"/>
    <w:rsid w:val="00882075"/>
    <w:rsid w:val="00882126"/>
    <w:rsid w:val="0088222A"/>
    <w:rsid w:val="0088284E"/>
    <w:rsid w:val="00882BE9"/>
    <w:rsid w:val="008830EB"/>
    <w:rsid w:val="008832D1"/>
    <w:rsid w:val="00884B32"/>
    <w:rsid w:val="0088590D"/>
    <w:rsid w:val="0088597F"/>
    <w:rsid w:val="0088611A"/>
    <w:rsid w:val="00886623"/>
    <w:rsid w:val="00890051"/>
    <w:rsid w:val="0089051A"/>
    <w:rsid w:val="0089070D"/>
    <w:rsid w:val="0089114C"/>
    <w:rsid w:val="0089290E"/>
    <w:rsid w:val="0089302D"/>
    <w:rsid w:val="00893275"/>
    <w:rsid w:val="00894883"/>
    <w:rsid w:val="008953F4"/>
    <w:rsid w:val="00895A81"/>
    <w:rsid w:val="008960EE"/>
    <w:rsid w:val="0089615F"/>
    <w:rsid w:val="00896800"/>
    <w:rsid w:val="00897C08"/>
    <w:rsid w:val="00897C47"/>
    <w:rsid w:val="00897E9F"/>
    <w:rsid w:val="008A0996"/>
    <w:rsid w:val="008A1B8D"/>
    <w:rsid w:val="008A204A"/>
    <w:rsid w:val="008A20B2"/>
    <w:rsid w:val="008A21F5"/>
    <w:rsid w:val="008A2434"/>
    <w:rsid w:val="008A4427"/>
    <w:rsid w:val="008A4B77"/>
    <w:rsid w:val="008A5493"/>
    <w:rsid w:val="008A5705"/>
    <w:rsid w:val="008A5F21"/>
    <w:rsid w:val="008A663A"/>
    <w:rsid w:val="008A6806"/>
    <w:rsid w:val="008A69BD"/>
    <w:rsid w:val="008A73AF"/>
    <w:rsid w:val="008B084E"/>
    <w:rsid w:val="008B1006"/>
    <w:rsid w:val="008B190C"/>
    <w:rsid w:val="008B2979"/>
    <w:rsid w:val="008B3A1E"/>
    <w:rsid w:val="008B3F26"/>
    <w:rsid w:val="008B5BB8"/>
    <w:rsid w:val="008B62C7"/>
    <w:rsid w:val="008B6481"/>
    <w:rsid w:val="008B6E3F"/>
    <w:rsid w:val="008B7185"/>
    <w:rsid w:val="008B75DC"/>
    <w:rsid w:val="008C039C"/>
    <w:rsid w:val="008C0C45"/>
    <w:rsid w:val="008C0FC5"/>
    <w:rsid w:val="008C1519"/>
    <w:rsid w:val="008C160C"/>
    <w:rsid w:val="008C2692"/>
    <w:rsid w:val="008C2A99"/>
    <w:rsid w:val="008C386F"/>
    <w:rsid w:val="008C3C55"/>
    <w:rsid w:val="008C4382"/>
    <w:rsid w:val="008C4880"/>
    <w:rsid w:val="008C4F52"/>
    <w:rsid w:val="008C578F"/>
    <w:rsid w:val="008C671F"/>
    <w:rsid w:val="008C7507"/>
    <w:rsid w:val="008C755F"/>
    <w:rsid w:val="008C78AA"/>
    <w:rsid w:val="008C7EFB"/>
    <w:rsid w:val="008D0527"/>
    <w:rsid w:val="008D08D5"/>
    <w:rsid w:val="008D0C35"/>
    <w:rsid w:val="008D1200"/>
    <w:rsid w:val="008D1F5C"/>
    <w:rsid w:val="008D2352"/>
    <w:rsid w:val="008D37F7"/>
    <w:rsid w:val="008D395E"/>
    <w:rsid w:val="008D3987"/>
    <w:rsid w:val="008D4717"/>
    <w:rsid w:val="008D555A"/>
    <w:rsid w:val="008D65DF"/>
    <w:rsid w:val="008D6A71"/>
    <w:rsid w:val="008D7CA2"/>
    <w:rsid w:val="008E0FAD"/>
    <w:rsid w:val="008E124C"/>
    <w:rsid w:val="008E15D6"/>
    <w:rsid w:val="008E176C"/>
    <w:rsid w:val="008E1C98"/>
    <w:rsid w:val="008E294A"/>
    <w:rsid w:val="008E2DAE"/>
    <w:rsid w:val="008E398F"/>
    <w:rsid w:val="008E3E01"/>
    <w:rsid w:val="008E5B7E"/>
    <w:rsid w:val="008E62FA"/>
    <w:rsid w:val="008E6D39"/>
    <w:rsid w:val="008E710F"/>
    <w:rsid w:val="008E7268"/>
    <w:rsid w:val="008E7FED"/>
    <w:rsid w:val="008F0689"/>
    <w:rsid w:val="008F0A2E"/>
    <w:rsid w:val="008F1B5B"/>
    <w:rsid w:val="008F1BE1"/>
    <w:rsid w:val="008F1EBB"/>
    <w:rsid w:val="008F331C"/>
    <w:rsid w:val="008F39CA"/>
    <w:rsid w:val="008F3DBA"/>
    <w:rsid w:val="008F461A"/>
    <w:rsid w:val="008F481F"/>
    <w:rsid w:val="008F4B8D"/>
    <w:rsid w:val="008F5148"/>
    <w:rsid w:val="008F58A1"/>
    <w:rsid w:val="008F597E"/>
    <w:rsid w:val="008F5B2C"/>
    <w:rsid w:val="008F6086"/>
    <w:rsid w:val="008F661A"/>
    <w:rsid w:val="008F666E"/>
    <w:rsid w:val="008F6C27"/>
    <w:rsid w:val="008F7788"/>
    <w:rsid w:val="0090016C"/>
    <w:rsid w:val="00900F3F"/>
    <w:rsid w:val="00901C2B"/>
    <w:rsid w:val="0090290A"/>
    <w:rsid w:val="009031CA"/>
    <w:rsid w:val="0090433D"/>
    <w:rsid w:val="009044DC"/>
    <w:rsid w:val="00904AA2"/>
    <w:rsid w:val="009050CF"/>
    <w:rsid w:val="00906E13"/>
    <w:rsid w:val="0090777D"/>
    <w:rsid w:val="00910875"/>
    <w:rsid w:val="00911B53"/>
    <w:rsid w:val="00911DF3"/>
    <w:rsid w:val="0091261A"/>
    <w:rsid w:val="0091278E"/>
    <w:rsid w:val="009128BB"/>
    <w:rsid w:val="00912A20"/>
    <w:rsid w:val="00912A5C"/>
    <w:rsid w:val="0091407D"/>
    <w:rsid w:val="00915DD1"/>
    <w:rsid w:val="009176AC"/>
    <w:rsid w:val="00917D8B"/>
    <w:rsid w:val="00917DFA"/>
    <w:rsid w:val="009206FA"/>
    <w:rsid w:val="00920F74"/>
    <w:rsid w:val="0092119D"/>
    <w:rsid w:val="0092160F"/>
    <w:rsid w:val="00921EB3"/>
    <w:rsid w:val="00922954"/>
    <w:rsid w:val="00923986"/>
    <w:rsid w:val="00923D28"/>
    <w:rsid w:val="00924B82"/>
    <w:rsid w:val="00924E29"/>
    <w:rsid w:val="0092572F"/>
    <w:rsid w:val="00925893"/>
    <w:rsid w:val="0092624E"/>
    <w:rsid w:val="009264D1"/>
    <w:rsid w:val="0092650A"/>
    <w:rsid w:val="00926E0B"/>
    <w:rsid w:val="00926E0E"/>
    <w:rsid w:val="0093165D"/>
    <w:rsid w:val="00932664"/>
    <w:rsid w:val="00932742"/>
    <w:rsid w:val="00935A71"/>
    <w:rsid w:val="00935D8B"/>
    <w:rsid w:val="00940880"/>
    <w:rsid w:val="00940CED"/>
    <w:rsid w:val="009428AC"/>
    <w:rsid w:val="00943F5E"/>
    <w:rsid w:val="00944770"/>
    <w:rsid w:val="00944EDF"/>
    <w:rsid w:val="00946221"/>
    <w:rsid w:val="0094789F"/>
    <w:rsid w:val="0095058A"/>
    <w:rsid w:val="009506CA"/>
    <w:rsid w:val="00950FE6"/>
    <w:rsid w:val="00951891"/>
    <w:rsid w:val="00952098"/>
    <w:rsid w:val="00953194"/>
    <w:rsid w:val="009559FB"/>
    <w:rsid w:val="00955E67"/>
    <w:rsid w:val="00956C0A"/>
    <w:rsid w:val="009574BD"/>
    <w:rsid w:val="00957DCC"/>
    <w:rsid w:val="0096023D"/>
    <w:rsid w:val="00960E20"/>
    <w:rsid w:val="00960FEC"/>
    <w:rsid w:val="00962D65"/>
    <w:rsid w:val="009632B8"/>
    <w:rsid w:val="00964076"/>
    <w:rsid w:val="0096423A"/>
    <w:rsid w:val="0096473A"/>
    <w:rsid w:val="00964B87"/>
    <w:rsid w:val="00965392"/>
    <w:rsid w:val="00965435"/>
    <w:rsid w:val="00965C73"/>
    <w:rsid w:val="00966483"/>
    <w:rsid w:val="00966B1B"/>
    <w:rsid w:val="0096734E"/>
    <w:rsid w:val="009678CA"/>
    <w:rsid w:val="009701A9"/>
    <w:rsid w:val="009732E5"/>
    <w:rsid w:val="009734DB"/>
    <w:rsid w:val="00973EE3"/>
    <w:rsid w:val="00974A1B"/>
    <w:rsid w:val="00975510"/>
    <w:rsid w:val="0097796F"/>
    <w:rsid w:val="00977BE5"/>
    <w:rsid w:val="00977CEB"/>
    <w:rsid w:val="00981066"/>
    <w:rsid w:val="009813FC"/>
    <w:rsid w:val="00982682"/>
    <w:rsid w:val="00982B03"/>
    <w:rsid w:val="00982D96"/>
    <w:rsid w:val="009833BB"/>
    <w:rsid w:val="009837D3"/>
    <w:rsid w:val="0098431B"/>
    <w:rsid w:val="00984560"/>
    <w:rsid w:val="009845C2"/>
    <w:rsid w:val="0098554D"/>
    <w:rsid w:val="00985AC0"/>
    <w:rsid w:val="0098609A"/>
    <w:rsid w:val="0098790B"/>
    <w:rsid w:val="00990C76"/>
    <w:rsid w:val="009913E3"/>
    <w:rsid w:val="0099174F"/>
    <w:rsid w:val="00991ADF"/>
    <w:rsid w:val="00992E38"/>
    <w:rsid w:val="00993178"/>
    <w:rsid w:val="0099491E"/>
    <w:rsid w:val="009965D5"/>
    <w:rsid w:val="009A08C9"/>
    <w:rsid w:val="009A10DC"/>
    <w:rsid w:val="009A1560"/>
    <w:rsid w:val="009A18B8"/>
    <w:rsid w:val="009A3132"/>
    <w:rsid w:val="009A5C40"/>
    <w:rsid w:val="009A5D4D"/>
    <w:rsid w:val="009A648E"/>
    <w:rsid w:val="009A6520"/>
    <w:rsid w:val="009A6C5B"/>
    <w:rsid w:val="009A732B"/>
    <w:rsid w:val="009A7F84"/>
    <w:rsid w:val="009B0A31"/>
    <w:rsid w:val="009B116A"/>
    <w:rsid w:val="009B1594"/>
    <w:rsid w:val="009B3024"/>
    <w:rsid w:val="009B33CE"/>
    <w:rsid w:val="009B43D9"/>
    <w:rsid w:val="009B446D"/>
    <w:rsid w:val="009B4618"/>
    <w:rsid w:val="009B6BC8"/>
    <w:rsid w:val="009B6DC9"/>
    <w:rsid w:val="009B712E"/>
    <w:rsid w:val="009B72D0"/>
    <w:rsid w:val="009B7E27"/>
    <w:rsid w:val="009C01D4"/>
    <w:rsid w:val="009C04D2"/>
    <w:rsid w:val="009C05F3"/>
    <w:rsid w:val="009C1008"/>
    <w:rsid w:val="009C1ECF"/>
    <w:rsid w:val="009C4F8A"/>
    <w:rsid w:val="009C5834"/>
    <w:rsid w:val="009C5D18"/>
    <w:rsid w:val="009C5E81"/>
    <w:rsid w:val="009C620C"/>
    <w:rsid w:val="009C69F9"/>
    <w:rsid w:val="009C6D41"/>
    <w:rsid w:val="009C6FB8"/>
    <w:rsid w:val="009C785A"/>
    <w:rsid w:val="009C7F3C"/>
    <w:rsid w:val="009D000D"/>
    <w:rsid w:val="009D060E"/>
    <w:rsid w:val="009D1144"/>
    <w:rsid w:val="009D11D7"/>
    <w:rsid w:val="009D2058"/>
    <w:rsid w:val="009D20C2"/>
    <w:rsid w:val="009D393F"/>
    <w:rsid w:val="009D41D7"/>
    <w:rsid w:val="009D4206"/>
    <w:rsid w:val="009D45A8"/>
    <w:rsid w:val="009D4E1B"/>
    <w:rsid w:val="009D5D39"/>
    <w:rsid w:val="009D7055"/>
    <w:rsid w:val="009D7416"/>
    <w:rsid w:val="009E04B5"/>
    <w:rsid w:val="009E11FE"/>
    <w:rsid w:val="009E16C3"/>
    <w:rsid w:val="009E1919"/>
    <w:rsid w:val="009E1F0C"/>
    <w:rsid w:val="009E233F"/>
    <w:rsid w:val="009E2568"/>
    <w:rsid w:val="009E2617"/>
    <w:rsid w:val="009E26EA"/>
    <w:rsid w:val="009E27BB"/>
    <w:rsid w:val="009E3007"/>
    <w:rsid w:val="009E3238"/>
    <w:rsid w:val="009E3348"/>
    <w:rsid w:val="009E3716"/>
    <w:rsid w:val="009E50E2"/>
    <w:rsid w:val="009E63B7"/>
    <w:rsid w:val="009E7D2D"/>
    <w:rsid w:val="009F0E64"/>
    <w:rsid w:val="009F15B7"/>
    <w:rsid w:val="009F2120"/>
    <w:rsid w:val="009F23E9"/>
    <w:rsid w:val="009F3E3E"/>
    <w:rsid w:val="009F3F9D"/>
    <w:rsid w:val="009F40E4"/>
    <w:rsid w:val="009F4522"/>
    <w:rsid w:val="009F4A70"/>
    <w:rsid w:val="009F4CFA"/>
    <w:rsid w:val="009F56A4"/>
    <w:rsid w:val="009F5E09"/>
    <w:rsid w:val="009F6599"/>
    <w:rsid w:val="009F65AA"/>
    <w:rsid w:val="009F7496"/>
    <w:rsid w:val="00A0087D"/>
    <w:rsid w:val="00A00DF0"/>
    <w:rsid w:val="00A012B7"/>
    <w:rsid w:val="00A01666"/>
    <w:rsid w:val="00A02397"/>
    <w:rsid w:val="00A02463"/>
    <w:rsid w:val="00A028AA"/>
    <w:rsid w:val="00A0306F"/>
    <w:rsid w:val="00A031AC"/>
    <w:rsid w:val="00A0406B"/>
    <w:rsid w:val="00A0459D"/>
    <w:rsid w:val="00A04D07"/>
    <w:rsid w:val="00A050D0"/>
    <w:rsid w:val="00A05113"/>
    <w:rsid w:val="00A0551B"/>
    <w:rsid w:val="00A0635F"/>
    <w:rsid w:val="00A063CA"/>
    <w:rsid w:val="00A0752B"/>
    <w:rsid w:val="00A07848"/>
    <w:rsid w:val="00A07E6D"/>
    <w:rsid w:val="00A10014"/>
    <w:rsid w:val="00A102E7"/>
    <w:rsid w:val="00A10404"/>
    <w:rsid w:val="00A1082C"/>
    <w:rsid w:val="00A108DF"/>
    <w:rsid w:val="00A10EAB"/>
    <w:rsid w:val="00A11179"/>
    <w:rsid w:val="00A116AD"/>
    <w:rsid w:val="00A132B0"/>
    <w:rsid w:val="00A13781"/>
    <w:rsid w:val="00A141F5"/>
    <w:rsid w:val="00A142A6"/>
    <w:rsid w:val="00A142A8"/>
    <w:rsid w:val="00A14491"/>
    <w:rsid w:val="00A14726"/>
    <w:rsid w:val="00A15213"/>
    <w:rsid w:val="00A152C1"/>
    <w:rsid w:val="00A15C24"/>
    <w:rsid w:val="00A16BB1"/>
    <w:rsid w:val="00A16FA8"/>
    <w:rsid w:val="00A16FFE"/>
    <w:rsid w:val="00A179FA"/>
    <w:rsid w:val="00A20140"/>
    <w:rsid w:val="00A20731"/>
    <w:rsid w:val="00A20C28"/>
    <w:rsid w:val="00A2159C"/>
    <w:rsid w:val="00A2170D"/>
    <w:rsid w:val="00A21744"/>
    <w:rsid w:val="00A220F4"/>
    <w:rsid w:val="00A223EA"/>
    <w:rsid w:val="00A2325E"/>
    <w:rsid w:val="00A24F7A"/>
    <w:rsid w:val="00A25036"/>
    <w:rsid w:val="00A25F56"/>
    <w:rsid w:val="00A25FA6"/>
    <w:rsid w:val="00A2606E"/>
    <w:rsid w:val="00A260B1"/>
    <w:rsid w:val="00A2659C"/>
    <w:rsid w:val="00A265C3"/>
    <w:rsid w:val="00A27ED2"/>
    <w:rsid w:val="00A304AA"/>
    <w:rsid w:val="00A30FD8"/>
    <w:rsid w:val="00A31220"/>
    <w:rsid w:val="00A3174F"/>
    <w:rsid w:val="00A319A2"/>
    <w:rsid w:val="00A32FA9"/>
    <w:rsid w:val="00A33769"/>
    <w:rsid w:val="00A33B15"/>
    <w:rsid w:val="00A33FA9"/>
    <w:rsid w:val="00A34071"/>
    <w:rsid w:val="00A343A9"/>
    <w:rsid w:val="00A34AE9"/>
    <w:rsid w:val="00A350C5"/>
    <w:rsid w:val="00A35713"/>
    <w:rsid w:val="00A360C8"/>
    <w:rsid w:val="00A37008"/>
    <w:rsid w:val="00A37330"/>
    <w:rsid w:val="00A37432"/>
    <w:rsid w:val="00A37731"/>
    <w:rsid w:val="00A40315"/>
    <w:rsid w:val="00A40519"/>
    <w:rsid w:val="00A405AA"/>
    <w:rsid w:val="00A406D1"/>
    <w:rsid w:val="00A40976"/>
    <w:rsid w:val="00A40C8E"/>
    <w:rsid w:val="00A412D3"/>
    <w:rsid w:val="00A41D29"/>
    <w:rsid w:val="00A42B33"/>
    <w:rsid w:val="00A42C7C"/>
    <w:rsid w:val="00A42D6F"/>
    <w:rsid w:val="00A43093"/>
    <w:rsid w:val="00A432A7"/>
    <w:rsid w:val="00A43CC0"/>
    <w:rsid w:val="00A44108"/>
    <w:rsid w:val="00A44579"/>
    <w:rsid w:val="00A44732"/>
    <w:rsid w:val="00A4492A"/>
    <w:rsid w:val="00A454DA"/>
    <w:rsid w:val="00A45BD5"/>
    <w:rsid w:val="00A46B93"/>
    <w:rsid w:val="00A476C9"/>
    <w:rsid w:val="00A47932"/>
    <w:rsid w:val="00A5006F"/>
    <w:rsid w:val="00A50517"/>
    <w:rsid w:val="00A50C4D"/>
    <w:rsid w:val="00A5151B"/>
    <w:rsid w:val="00A51745"/>
    <w:rsid w:val="00A51F1D"/>
    <w:rsid w:val="00A520B0"/>
    <w:rsid w:val="00A526C3"/>
    <w:rsid w:val="00A535BA"/>
    <w:rsid w:val="00A5384E"/>
    <w:rsid w:val="00A549AD"/>
    <w:rsid w:val="00A54F48"/>
    <w:rsid w:val="00A5644E"/>
    <w:rsid w:val="00A56AA9"/>
    <w:rsid w:val="00A57099"/>
    <w:rsid w:val="00A576A0"/>
    <w:rsid w:val="00A5774F"/>
    <w:rsid w:val="00A578E7"/>
    <w:rsid w:val="00A6020F"/>
    <w:rsid w:val="00A60487"/>
    <w:rsid w:val="00A61155"/>
    <w:rsid w:val="00A61DB0"/>
    <w:rsid w:val="00A61E96"/>
    <w:rsid w:val="00A62108"/>
    <w:rsid w:val="00A62328"/>
    <w:rsid w:val="00A62628"/>
    <w:rsid w:val="00A639E6"/>
    <w:rsid w:val="00A6553A"/>
    <w:rsid w:val="00A65A1D"/>
    <w:rsid w:val="00A6626B"/>
    <w:rsid w:val="00A66964"/>
    <w:rsid w:val="00A66A6F"/>
    <w:rsid w:val="00A67FC1"/>
    <w:rsid w:val="00A7005D"/>
    <w:rsid w:val="00A7015B"/>
    <w:rsid w:val="00A70416"/>
    <w:rsid w:val="00A7045A"/>
    <w:rsid w:val="00A70C11"/>
    <w:rsid w:val="00A70D58"/>
    <w:rsid w:val="00A70EB4"/>
    <w:rsid w:val="00A71350"/>
    <w:rsid w:val="00A71BC3"/>
    <w:rsid w:val="00A727F0"/>
    <w:rsid w:val="00A728EF"/>
    <w:rsid w:val="00A73167"/>
    <w:rsid w:val="00A73D40"/>
    <w:rsid w:val="00A74617"/>
    <w:rsid w:val="00A74D7C"/>
    <w:rsid w:val="00A76101"/>
    <w:rsid w:val="00A771E4"/>
    <w:rsid w:val="00A778BE"/>
    <w:rsid w:val="00A77FCE"/>
    <w:rsid w:val="00A8012F"/>
    <w:rsid w:val="00A805E4"/>
    <w:rsid w:val="00A80E7A"/>
    <w:rsid w:val="00A81667"/>
    <w:rsid w:val="00A82644"/>
    <w:rsid w:val="00A82767"/>
    <w:rsid w:val="00A82CF9"/>
    <w:rsid w:val="00A82CFA"/>
    <w:rsid w:val="00A83038"/>
    <w:rsid w:val="00A83652"/>
    <w:rsid w:val="00A8373A"/>
    <w:rsid w:val="00A84EC9"/>
    <w:rsid w:val="00A902C3"/>
    <w:rsid w:val="00A906EF"/>
    <w:rsid w:val="00A90D07"/>
    <w:rsid w:val="00A91803"/>
    <w:rsid w:val="00A92913"/>
    <w:rsid w:val="00A92955"/>
    <w:rsid w:val="00A92D0D"/>
    <w:rsid w:val="00A94556"/>
    <w:rsid w:val="00A94962"/>
    <w:rsid w:val="00A94A9B"/>
    <w:rsid w:val="00A94D7B"/>
    <w:rsid w:val="00A966DB"/>
    <w:rsid w:val="00A97F41"/>
    <w:rsid w:val="00AA0693"/>
    <w:rsid w:val="00AA0E87"/>
    <w:rsid w:val="00AA134F"/>
    <w:rsid w:val="00AA1744"/>
    <w:rsid w:val="00AA17C8"/>
    <w:rsid w:val="00AA2B90"/>
    <w:rsid w:val="00AA2FF1"/>
    <w:rsid w:val="00AA32AA"/>
    <w:rsid w:val="00AA4113"/>
    <w:rsid w:val="00AA515F"/>
    <w:rsid w:val="00AA5331"/>
    <w:rsid w:val="00AA53A4"/>
    <w:rsid w:val="00AA5809"/>
    <w:rsid w:val="00AA5C8F"/>
    <w:rsid w:val="00AA65F6"/>
    <w:rsid w:val="00AA73D6"/>
    <w:rsid w:val="00AA7A34"/>
    <w:rsid w:val="00AB0097"/>
    <w:rsid w:val="00AB031F"/>
    <w:rsid w:val="00AB09B2"/>
    <w:rsid w:val="00AB0CB6"/>
    <w:rsid w:val="00AB1193"/>
    <w:rsid w:val="00AB2618"/>
    <w:rsid w:val="00AB2A46"/>
    <w:rsid w:val="00AB39B4"/>
    <w:rsid w:val="00AB39B5"/>
    <w:rsid w:val="00AB43AE"/>
    <w:rsid w:val="00AB4AAE"/>
    <w:rsid w:val="00AB4D57"/>
    <w:rsid w:val="00AB4F08"/>
    <w:rsid w:val="00AB57A8"/>
    <w:rsid w:val="00AB5B23"/>
    <w:rsid w:val="00AB6E0F"/>
    <w:rsid w:val="00AB71E6"/>
    <w:rsid w:val="00AB7210"/>
    <w:rsid w:val="00AB7499"/>
    <w:rsid w:val="00AC054B"/>
    <w:rsid w:val="00AC0FDF"/>
    <w:rsid w:val="00AC17F1"/>
    <w:rsid w:val="00AC1E9B"/>
    <w:rsid w:val="00AC2EA2"/>
    <w:rsid w:val="00AC3116"/>
    <w:rsid w:val="00AC3706"/>
    <w:rsid w:val="00AC3715"/>
    <w:rsid w:val="00AC3728"/>
    <w:rsid w:val="00AC4CFD"/>
    <w:rsid w:val="00AC4E82"/>
    <w:rsid w:val="00AC4FA5"/>
    <w:rsid w:val="00AC4FCA"/>
    <w:rsid w:val="00AC5460"/>
    <w:rsid w:val="00AC57C0"/>
    <w:rsid w:val="00AC5AD2"/>
    <w:rsid w:val="00AC6176"/>
    <w:rsid w:val="00AC73FC"/>
    <w:rsid w:val="00AD03EF"/>
    <w:rsid w:val="00AD06FE"/>
    <w:rsid w:val="00AD08BC"/>
    <w:rsid w:val="00AD0DAC"/>
    <w:rsid w:val="00AD1AE5"/>
    <w:rsid w:val="00AD303B"/>
    <w:rsid w:val="00AD3877"/>
    <w:rsid w:val="00AD4170"/>
    <w:rsid w:val="00AD60F9"/>
    <w:rsid w:val="00AD6A81"/>
    <w:rsid w:val="00AD6B24"/>
    <w:rsid w:val="00AD6C1D"/>
    <w:rsid w:val="00AD7397"/>
    <w:rsid w:val="00AD79E4"/>
    <w:rsid w:val="00AE021A"/>
    <w:rsid w:val="00AE0627"/>
    <w:rsid w:val="00AE0E21"/>
    <w:rsid w:val="00AE1C98"/>
    <w:rsid w:val="00AE23CF"/>
    <w:rsid w:val="00AE285B"/>
    <w:rsid w:val="00AE2F0C"/>
    <w:rsid w:val="00AE355D"/>
    <w:rsid w:val="00AE3E9C"/>
    <w:rsid w:val="00AE5352"/>
    <w:rsid w:val="00AE6680"/>
    <w:rsid w:val="00AE6DFA"/>
    <w:rsid w:val="00AE722D"/>
    <w:rsid w:val="00AF0940"/>
    <w:rsid w:val="00AF1059"/>
    <w:rsid w:val="00AF132C"/>
    <w:rsid w:val="00AF1780"/>
    <w:rsid w:val="00AF17E9"/>
    <w:rsid w:val="00AF1C9C"/>
    <w:rsid w:val="00AF32E3"/>
    <w:rsid w:val="00AF3562"/>
    <w:rsid w:val="00AF4367"/>
    <w:rsid w:val="00AF475E"/>
    <w:rsid w:val="00AF487C"/>
    <w:rsid w:val="00AF4D1D"/>
    <w:rsid w:val="00AF4D2A"/>
    <w:rsid w:val="00AF544C"/>
    <w:rsid w:val="00AF582E"/>
    <w:rsid w:val="00AF6F16"/>
    <w:rsid w:val="00B00845"/>
    <w:rsid w:val="00B0316C"/>
    <w:rsid w:val="00B0469F"/>
    <w:rsid w:val="00B04B5E"/>
    <w:rsid w:val="00B04DCA"/>
    <w:rsid w:val="00B058DD"/>
    <w:rsid w:val="00B05C05"/>
    <w:rsid w:val="00B05C41"/>
    <w:rsid w:val="00B05D7C"/>
    <w:rsid w:val="00B06077"/>
    <w:rsid w:val="00B06F1A"/>
    <w:rsid w:val="00B0748C"/>
    <w:rsid w:val="00B1219F"/>
    <w:rsid w:val="00B12DEF"/>
    <w:rsid w:val="00B131D0"/>
    <w:rsid w:val="00B1323C"/>
    <w:rsid w:val="00B13ED3"/>
    <w:rsid w:val="00B15138"/>
    <w:rsid w:val="00B1567A"/>
    <w:rsid w:val="00B15A04"/>
    <w:rsid w:val="00B16066"/>
    <w:rsid w:val="00B16073"/>
    <w:rsid w:val="00B1625C"/>
    <w:rsid w:val="00B17AAE"/>
    <w:rsid w:val="00B17BCE"/>
    <w:rsid w:val="00B2001B"/>
    <w:rsid w:val="00B2113E"/>
    <w:rsid w:val="00B21858"/>
    <w:rsid w:val="00B219CC"/>
    <w:rsid w:val="00B21A82"/>
    <w:rsid w:val="00B21CAF"/>
    <w:rsid w:val="00B220F0"/>
    <w:rsid w:val="00B22B96"/>
    <w:rsid w:val="00B22C0B"/>
    <w:rsid w:val="00B22DD8"/>
    <w:rsid w:val="00B245FC"/>
    <w:rsid w:val="00B24751"/>
    <w:rsid w:val="00B25C23"/>
    <w:rsid w:val="00B27B6B"/>
    <w:rsid w:val="00B3004A"/>
    <w:rsid w:val="00B30A9B"/>
    <w:rsid w:val="00B3273E"/>
    <w:rsid w:val="00B33F6B"/>
    <w:rsid w:val="00B3430C"/>
    <w:rsid w:val="00B35868"/>
    <w:rsid w:val="00B35C2F"/>
    <w:rsid w:val="00B367AF"/>
    <w:rsid w:val="00B367D2"/>
    <w:rsid w:val="00B37BE0"/>
    <w:rsid w:val="00B37BF4"/>
    <w:rsid w:val="00B37E53"/>
    <w:rsid w:val="00B37FC6"/>
    <w:rsid w:val="00B4015A"/>
    <w:rsid w:val="00B4025A"/>
    <w:rsid w:val="00B405EF"/>
    <w:rsid w:val="00B419F0"/>
    <w:rsid w:val="00B42D2C"/>
    <w:rsid w:val="00B43C5F"/>
    <w:rsid w:val="00B44611"/>
    <w:rsid w:val="00B45592"/>
    <w:rsid w:val="00B45DAF"/>
    <w:rsid w:val="00B465F4"/>
    <w:rsid w:val="00B46965"/>
    <w:rsid w:val="00B46A36"/>
    <w:rsid w:val="00B47A81"/>
    <w:rsid w:val="00B47D3E"/>
    <w:rsid w:val="00B510B9"/>
    <w:rsid w:val="00B510BD"/>
    <w:rsid w:val="00B535EB"/>
    <w:rsid w:val="00B539AD"/>
    <w:rsid w:val="00B53E6E"/>
    <w:rsid w:val="00B53FBC"/>
    <w:rsid w:val="00B54ABF"/>
    <w:rsid w:val="00B56088"/>
    <w:rsid w:val="00B57193"/>
    <w:rsid w:val="00B57753"/>
    <w:rsid w:val="00B57B84"/>
    <w:rsid w:val="00B57C7D"/>
    <w:rsid w:val="00B608BE"/>
    <w:rsid w:val="00B615D4"/>
    <w:rsid w:val="00B61E75"/>
    <w:rsid w:val="00B629CB"/>
    <w:rsid w:val="00B630D5"/>
    <w:rsid w:val="00B63134"/>
    <w:rsid w:val="00B632C3"/>
    <w:rsid w:val="00B63421"/>
    <w:rsid w:val="00B63D3C"/>
    <w:rsid w:val="00B64295"/>
    <w:rsid w:val="00B646BE"/>
    <w:rsid w:val="00B64DEF"/>
    <w:rsid w:val="00B64FF5"/>
    <w:rsid w:val="00B6538F"/>
    <w:rsid w:val="00B65786"/>
    <w:rsid w:val="00B658C1"/>
    <w:rsid w:val="00B66B66"/>
    <w:rsid w:val="00B66BB2"/>
    <w:rsid w:val="00B6721D"/>
    <w:rsid w:val="00B676F0"/>
    <w:rsid w:val="00B67734"/>
    <w:rsid w:val="00B678DF"/>
    <w:rsid w:val="00B703A0"/>
    <w:rsid w:val="00B70FB8"/>
    <w:rsid w:val="00B71219"/>
    <w:rsid w:val="00B72145"/>
    <w:rsid w:val="00B72B4D"/>
    <w:rsid w:val="00B72DF5"/>
    <w:rsid w:val="00B73B17"/>
    <w:rsid w:val="00B73C3A"/>
    <w:rsid w:val="00B74359"/>
    <w:rsid w:val="00B74592"/>
    <w:rsid w:val="00B74E21"/>
    <w:rsid w:val="00B760B9"/>
    <w:rsid w:val="00B762C7"/>
    <w:rsid w:val="00B76B47"/>
    <w:rsid w:val="00B77431"/>
    <w:rsid w:val="00B77CE4"/>
    <w:rsid w:val="00B802DD"/>
    <w:rsid w:val="00B80E29"/>
    <w:rsid w:val="00B80E4E"/>
    <w:rsid w:val="00B81451"/>
    <w:rsid w:val="00B817FF"/>
    <w:rsid w:val="00B82C8C"/>
    <w:rsid w:val="00B83206"/>
    <w:rsid w:val="00B838B4"/>
    <w:rsid w:val="00B83FF3"/>
    <w:rsid w:val="00B84486"/>
    <w:rsid w:val="00B84709"/>
    <w:rsid w:val="00B8494C"/>
    <w:rsid w:val="00B86071"/>
    <w:rsid w:val="00B90C7D"/>
    <w:rsid w:val="00B911C3"/>
    <w:rsid w:val="00B92511"/>
    <w:rsid w:val="00B9328C"/>
    <w:rsid w:val="00B9364B"/>
    <w:rsid w:val="00B9483B"/>
    <w:rsid w:val="00B94C23"/>
    <w:rsid w:val="00B9503B"/>
    <w:rsid w:val="00B95269"/>
    <w:rsid w:val="00B95D04"/>
    <w:rsid w:val="00B96AD9"/>
    <w:rsid w:val="00B96B2F"/>
    <w:rsid w:val="00B97A90"/>
    <w:rsid w:val="00BA0410"/>
    <w:rsid w:val="00BA0B38"/>
    <w:rsid w:val="00BA0B44"/>
    <w:rsid w:val="00BA0CBE"/>
    <w:rsid w:val="00BA0DB0"/>
    <w:rsid w:val="00BA1891"/>
    <w:rsid w:val="00BA2B63"/>
    <w:rsid w:val="00BA2E88"/>
    <w:rsid w:val="00BA3077"/>
    <w:rsid w:val="00BA31E2"/>
    <w:rsid w:val="00BA34FD"/>
    <w:rsid w:val="00BA3A94"/>
    <w:rsid w:val="00BA3D91"/>
    <w:rsid w:val="00BA3E08"/>
    <w:rsid w:val="00BA44A3"/>
    <w:rsid w:val="00BA51AC"/>
    <w:rsid w:val="00BA5264"/>
    <w:rsid w:val="00BA5D19"/>
    <w:rsid w:val="00BA66B4"/>
    <w:rsid w:val="00BA7852"/>
    <w:rsid w:val="00BA7AD1"/>
    <w:rsid w:val="00BA7E4F"/>
    <w:rsid w:val="00BB03EE"/>
    <w:rsid w:val="00BB06E9"/>
    <w:rsid w:val="00BB1EEB"/>
    <w:rsid w:val="00BB2954"/>
    <w:rsid w:val="00BB2A55"/>
    <w:rsid w:val="00BB31CD"/>
    <w:rsid w:val="00BB31F8"/>
    <w:rsid w:val="00BB3D4C"/>
    <w:rsid w:val="00BB41B0"/>
    <w:rsid w:val="00BB4888"/>
    <w:rsid w:val="00BB48B6"/>
    <w:rsid w:val="00BB4E9E"/>
    <w:rsid w:val="00BB6E8E"/>
    <w:rsid w:val="00BB7A22"/>
    <w:rsid w:val="00BB7A9C"/>
    <w:rsid w:val="00BC02E2"/>
    <w:rsid w:val="00BC0471"/>
    <w:rsid w:val="00BC0609"/>
    <w:rsid w:val="00BC084E"/>
    <w:rsid w:val="00BC1156"/>
    <w:rsid w:val="00BC118F"/>
    <w:rsid w:val="00BC289A"/>
    <w:rsid w:val="00BC30CD"/>
    <w:rsid w:val="00BC3554"/>
    <w:rsid w:val="00BC3CBB"/>
    <w:rsid w:val="00BC3F6A"/>
    <w:rsid w:val="00BC4C69"/>
    <w:rsid w:val="00BC4F4A"/>
    <w:rsid w:val="00BC5B59"/>
    <w:rsid w:val="00BC5B7E"/>
    <w:rsid w:val="00BC63B0"/>
    <w:rsid w:val="00BC6BE6"/>
    <w:rsid w:val="00BC742B"/>
    <w:rsid w:val="00BC7850"/>
    <w:rsid w:val="00BD137F"/>
    <w:rsid w:val="00BD25DE"/>
    <w:rsid w:val="00BD407B"/>
    <w:rsid w:val="00BD4662"/>
    <w:rsid w:val="00BD5805"/>
    <w:rsid w:val="00BD602F"/>
    <w:rsid w:val="00BD6390"/>
    <w:rsid w:val="00BD6F6D"/>
    <w:rsid w:val="00BD6FAA"/>
    <w:rsid w:val="00BD7CA4"/>
    <w:rsid w:val="00BE0A12"/>
    <w:rsid w:val="00BE1913"/>
    <w:rsid w:val="00BE30DC"/>
    <w:rsid w:val="00BE317E"/>
    <w:rsid w:val="00BE3525"/>
    <w:rsid w:val="00BE386E"/>
    <w:rsid w:val="00BE389F"/>
    <w:rsid w:val="00BE3BEA"/>
    <w:rsid w:val="00BE4FFF"/>
    <w:rsid w:val="00BE53E6"/>
    <w:rsid w:val="00BE5B5E"/>
    <w:rsid w:val="00BE5CFF"/>
    <w:rsid w:val="00BE5F6B"/>
    <w:rsid w:val="00BE696E"/>
    <w:rsid w:val="00BE78C6"/>
    <w:rsid w:val="00BE7D6A"/>
    <w:rsid w:val="00BF0F99"/>
    <w:rsid w:val="00BF1401"/>
    <w:rsid w:val="00BF159A"/>
    <w:rsid w:val="00BF1C13"/>
    <w:rsid w:val="00BF1DF5"/>
    <w:rsid w:val="00BF1ECF"/>
    <w:rsid w:val="00BF2D23"/>
    <w:rsid w:val="00BF2F36"/>
    <w:rsid w:val="00BF2F8E"/>
    <w:rsid w:val="00BF3099"/>
    <w:rsid w:val="00BF46E9"/>
    <w:rsid w:val="00BF6247"/>
    <w:rsid w:val="00BF6AF1"/>
    <w:rsid w:val="00BF7CE5"/>
    <w:rsid w:val="00C0094B"/>
    <w:rsid w:val="00C00F40"/>
    <w:rsid w:val="00C012BC"/>
    <w:rsid w:val="00C01656"/>
    <w:rsid w:val="00C018FE"/>
    <w:rsid w:val="00C024D1"/>
    <w:rsid w:val="00C02CD0"/>
    <w:rsid w:val="00C030C4"/>
    <w:rsid w:val="00C036EA"/>
    <w:rsid w:val="00C03D7B"/>
    <w:rsid w:val="00C04830"/>
    <w:rsid w:val="00C04905"/>
    <w:rsid w:val="00C04CAD"/>
    <w:rsid w:val="00C055EE"/>
    <w:rsid w:val="00C05DEF"/>
    <w:rsid w:val="00C065CB"/>
    <w:rsid w:val="00C06DE0"/>
    <w:rsid w:val="00C06ECF"/>
    <w:rsid w:val="00C07073"/>
    <w:rsid w:val="00C074E8"/>
    <w:rsid w:val="00C07C3A"/>
    <w:rsid w:val="00C103FA"/>
    <w:rsid w:val="00C104B5"/>
    <w:rsid w:val="00C10745"/>
    <w:rsid w:val="00C109A9"/>
    <w:rsid w:val="00C1106B"/>
    <w:rsid w:val="00C110F6"/>
    <w:rsid w:val="00C112D3"/>
    <w:rsid w:val="00C114F9"/>
    <w:rsid w:val="00C135A1"/>
    <w:rsid w:val="00C13ABB"/>
    <w:rsid w:val="00C14DCF"/>
    <w:rsid w:val="00C14E26"/>
    <w:rsid w:val="00C151C2"/>
    <w:rsid w:val="00C15350"/>
    <w:rsid w:val="00C16761"/>
    <w:rsid w:val="00C16FBD"/>
    <w:rsid w:val="00C17B29"/>
    <w:rsid w:val="00C20C52"/>
    <w:rsid w:val="00C21ADF"/>
    <w:rsid w:val="00C2233B"/>
    <w:rsid w:val="00C2250C"/>
    <w:rsid w:val="00C2286B"/>
    <w:rsid w:val="00C23CD4"/>
    <w:rsid w:val="00C2442F"/>
    <w:rsid w:val="00C2457D"/>
    <w:rsid w:val="00C24DD4"/>
    <w:rsid w:val="00C2679E"/>
    <w:rsid w:val="00C27CE4"/>
    <w:rsid w:val="00C30D27"/>
    <w:rsid w:val="00C30E9A"/>
    <w:rsid w:val="00C311BD"/>
    <w:rsid w:val="00C311EA"/>
    <w:rsid w:val="00C318BD"/>
    <w:rsid w:val="00C31B6E"/>
    <w:rsid w:val="00C31FF4"/>
    <w:rsid w:val="00C32D30"/>
    <w:rsid w:val="00C330A7"/>
    <w:rsid w:val="00C33D50"/>
    <w:rsid w:val="00C34BBB"/>
    <w:rsid w:val="00C34C1B"/>
    <w:rsid w:val="00C34F0A"/>
    <w:rsid w:val="00C356CE"/>
    <w:rsid w:val="00C365EE"/>
    <w:rsid w:val="00C367A0"/>
    <w:rsid w:val="00C368BB"/>
    <w:rsid w:val="00C37511"/>
    <w:rsid w:val="00C37658"/>
    <w:rsid w:val="00C3771D"/>
    <w:rsid w:val="00C37F36"/>
    <w:rsid w:val="00C401AD"/>
    <w:rsid w:val="00C41EB5"/>
    <w:rsid w:val="00C41ED9"/>
    <w:rsid w:val="00C421C8"/>
    <w:rsid w:val="00C42D29"/>
    <w:rsid w:val="00C43FB0"/>
    <w:rsid w:val="00C451DC"/>
    <w:rsid w:val="00C45C6E"/>
    <w:rsid w:val="00C45CB9"/>
    <w:rsid w:val="00C4663E"/>
    <w:rsid w:val="00C5115D"/>
    <w:rsid w:val="00C51B94"/>
    <w:rsid w:val="00C51D0C"/>
    <w:rsid w:val="00C523EB"/>
    <w:rsid w:val="00C527E7"/>
    <w:rsid w:val="00C52883"/>
    <w:rsid w:val="00C52A95"/>
    <w:rsid w:val="00C52C26"/>
    <w:rsid w:val="00C53B3F"/>
    <w:rsid w:val="00C53FB4"/>
    <w:rsid w:val="00C540F0"/>
    <w:rsid w:val="00C543DC"/>
    <w:rsid w:val="00C55F7E"/>
    <w:rsid w:val="00C560D1"/>
    <w:rsid w:val="00C567CA"/>
    <w:rsid w:val="00C574D4"/>
    <w:rsid w:val="00C612AE"/>
    <w:rsid w:val="00C61730"/>
    <w:rsid w:val="00C61E95"/>
    <w:rsid w:val="00C62DFA"/>
    <w:rsid w:val="00C63018"/>
    <w:rsid w:val="00C63078"/>
    <w:rsid w:val="00C633EF"/>
    <w:rsid w:val="00C6355E"/>
    <w:rsid w:val="00C638C5"/>
    <w:rsid w:val="00C6401C"/>
    <w:rsid w:val="00C657B4"/>
    <w:rsid w:val="00C65B9A"/>
    <w:rsid w:val="00C66352"/>
    <w:rsid w:val="00C666AD"/>
    <w:rsid w:val="00C672DE"/>
    <w:rsid w:val="00C67794"/>
    <w:rsid w:val="00C70372"/>
    <w:rsid w:val="00C70606"/>
    <w:rsid w:val="00C71113"/>
    <w:rsid w:val="00C71C8D"/>
    <w:rsid w:val="00C7260D"/>
    <w:rsid w:val="00C7382C"/>
    <w:rsid w:val="00C73E3A"/>
    <w:rsid w:val="00C752AF"/>
    <w:rsid w:val="00C75A00"/>
    <w:rsid w:val="00C75E05"/>
    <w:rsid w:val="00C75FFB"/>
    <w:rsid w:val="00C76614"/>
    <w:rsid w:val="00C767AE"/>
    <w:rsid w:val="00C77024"/>
    <w:rsid w:val="00C7712D"/>
    <w:rsid w:val="00C77D02"/>
    <w:rsid w:val="00C80B22"/>
    <w:rsid w:val="00C8275F"/>
    <w:rsid w:val="00C82C5A"/>
    <w:rsid w:val="00C8423B"/>
    <w:rsid w:val="00C848BB"/>
    <w:rsid w:val="00C84A75"/>
    <w:rsid w:val="00C84E12"/>
    <w:rsid w:val="00C85E1B"/>
    <w:rsid w:val="00C8656B"/>
    <w:rsid w:val="00C86B41"/>
    <w:rsid w:val="00C86B9B"/>
    <w:rsid w:val="00C86BAE"/>
    <w:rsid w:val="00C912D4"/>
    <w:rsid w:val="00C9135C"/>
    <w:rsid w:val="00C91866"/>
    <w:rsid w:val="00C92147"/>
    <w:rsid w:val="00C9253E"/>
    <w:rsid w:val="00C9286D"/>
    <w:rsid w:val="00C944FB"/>
    <w:rsid w:val="00C94E65"/>
    <w:rsid w:val="00C96134"/>
    <w:rsid w:val="00C9643A"/>
    <w:rsid w:val="00C96BEB"/>
    <w:rsid w:val="00C9713F"/>
    <w:rsid w:val="00C971E3"/>
    <w:rsid w:val="00C97F5E"/>
    <w:rsid w:val="00CA072C"/>
    <w:rsid w:val="00CA106F"/>
    <w:rsid w:val="00CA1DE1"/>
    <w:rsid w:val="00CA1E26"/>
    <w:rsid w:val="00CA21F4"/>
    <w:rsid w:val="00CA267C"/>
    <w:rsid w:val="00CA2C90"/>
    <w:rsid w:val="00CA2FB5"/>
    <w:rsid w:val="00CA3353"/>
    <w:rsid w:val="00CA3E76"/>
    <w:rsid w:val="00CA51BE"/>
    <w:rsid w:val="00CA579C"/>
    <w:rsid w:val="00CA5E85"/>
    <w:rsid w:val="00CA75BB"/>
    <w:rsid w:val="00CA7B3B"/>
    <w:rsid w:val="00CA7B86"/>
    <w:rsid w:val="00CB12F7"/>
    <w:rsid w:val="00CB1B70"/>
    <w:rsid w:val="00CB1E5E"/>
    <w:rsid w:val="00CB2B4D"/>
    <w:rsid w:val="00CB300E"/>
    <w:rsid w:val="00CB30B8"/>
    <w:rsid w:val="00CB37A1"/>
    <w:rsid w:val="00CB4268"/>
    <w:rsid w:val="00CB5206"/>
    <w:rsid w:val="00CB5913"/>
    <w:rsid w:val="00CB5A0A"/>
    <w:rsid w:val="00CB5AD2"/>
    <w:rsid w:val="00CB5AEE"/>
    <w:rsid w:val="00CB747A"/>
    <w:rsid w:val="00CB75D1"/>
    <w:rsid w:val="00CB7659"/>
    <w:rsid w:val="00CC0886"/>
    <w:rsid w:val="00CC0BC4"/>
    <w:rsid w:val="00CC1255"/>
    <w:rsid w:val="00CC1480"/>
    <w:rsid w:val="00CC1891"/>
    <w:rsid w:val="00CC1AC2"/>
    <w:rsid w:val="00CC1E89"/>
    <w:rsid w:val="00CC1EF0"/>
    <w:rsid w:val="00CC2338"/>
    <w:rsid w:val="00CC26C9"/>
    <w:rsid w:val="00CC2734"/>
    <w:rsid w:val="00CC29BD"/>
    <w:rsid w:val="00CC4099"/>
    <w:rsid w:val="00CC6FD5"/>
    <w:rsid w:val="00CC71D5"/>
    <w:rsid w:val="00CC76AB"/>
    <w:rsid w:val="00CC78B7"/>
    <w:rsid w:val="00CD00DF"/>
    <w:rsid w:val="00CD07A9"/>
    <w:rsid w:val="00CD1855"/>
    <w:rsid w:val="00CD219A"/>
    <w:rsid w:val="00CD2964"/>
    <w:rsid w:val="00CD3029"/>
    <w:rsid w:val="00CD3EEB"/>
    <w:rsid w:val="00CD4038"/>
    <w:rsid w:val="00CD45F3"/>
    <w:rsid w:val="00CD4A63"/>
    <w:rsid w:val="00CD5321"/>
    <w:rsid w:val="00CD57E3"/>
    <w:rsid w:val="00CD5A5B"/>
    <w:rsid w:val="00CD5F6D"/>
    <w:rsid w:val="00CD674D"/>
    <w:rsid w:val="00CD6C40"/>
    <w:rsid w:val="00CD6E57"/>
    <w:rsid w:val="00CD76DE"/>
    <w:rsid w:val="00CE052E"/>
    <w:rsid w:val="00CE0FEB"/>
    <w:rsid w:val="00CE1117"/>
    <w:rsid w:val="00CE15C0"/>
    <w:rsid w:val="00CE1685"/>
    <w:rsid w:val="00CE1BEE"/>
    <w:rsid w:val="00CE2649"/>
    <w:rsid w:val="00CE3432"/>
    <w:rsid w:val="00CE3AEE"/>
    <w:rsid w:val="00CE4D3F"/>
    <w:rsid w:val="00CE4EAC"/>
    <w:rsid w:val="00CE4F43"/>
    <w:rsid w:val="00CE5517"/>
    <w:rsid w:val="00CE5E0A"/>
    <w:rsid w:val="00CE5E2F"/>
    <w:rsid w:val="00CE65DB"/>
    <w:rsid w:val="00CE6759"/>
    <w:rsid w:val="00CE6EC2"/>
    <w:rsid w:val="00CE7CA6"/>
    <w:rsid w:val="00CF0274"/>
    <w:rsid w:val="00CF0505"/>
    <w:rsid w:val="00CF07FF"/>
    <w:rsid w:val="00CF084C"/>
    <w:rsid w:val="00CF0949"/>
    <w:rsid w:val="00CF0BC6"/>
    <w:rsid w:val="00CF197D"/>
    <w:rsid w:val="00CF1C48"/>
    <w:rsid w:val="00CF2AA8"/>
    <w:rsid w:val="00CF2D02"/>
    <w:rsid w:val="00CF311B"/>
    <w:rsid w:val="00CF368C"/>
    <w:rsid w:val="00CF3F1A"/>
    <w:rsid w:val="00CF4A08"/>
    <w:rsid w:val="00CF5B02"/>
    <w:rsid w:val="00CF69CD"/>
    <w:rsid w:val="00CF6ED1"/>
    <w:rsid w:val="00CF732A"/>
    <w:rsid w:val="00CF7F5F"/>
    <w:rsid w:val="00D00362"/>
    <w:rsid w:val="00D007B0"/>
    <w:rsid w:val="00D00B0D"/>
    <w:rsid w:val="00D01006"/>
    <w:rsid w:val="00D010E7"/>
    <w:rsid w:val="00D01B8D"/>
    <w:rsid w:val="00D031A7"/>
    <w:rsid w:val="00D032B2"/>
    <w:rsid w:val="00D04CC0"/>
    <w:rsid w:val="00D05089"/>
    <w:rsid w:val="00D05456"/>
    <w:rsid w:val="00D05C06"/>
    <w:rsid w:val="00D06384"/>
    <w:rsid w:val="00D070EA"/>
    <w:rsid w:val="00D07333"/>
    <w:rsid w:val="00D1016B"/>
    <w:rsid w:val="00D101AA"/>
    <w:rsid w:val="00D112C2"/>
    <w:rsid w:val="00D11B5B"/>
    <w:rsid w:val="00D11E5A"/>
    <w:rsid w:val="00D12046"/>
    <w:rsid w:val="00D129E3"/>
    <w:rsid w:val="00D12CBD"/>
    <w:rsid w:val="00D12E10"/>
    <w:rsid w:val="00D12EE1"/>
    <w:rsid w:val="00D1382D"/>
    <w:rsid w:val="00D13ADD"/>
    <w:rsid w:val="00D13F22"/>
    <w:rsid w:val="00D1419A"/>
    <w:rsid w:val="00D142B7"/>
    <w:rsid w:val="00D14667"/>
    <w:rsid w:val="00D1479A"/>
    <w:rsid w:val="00D14985"/>
    <w:rsid w:val="00D14C29"/>
    <w:rsid w:val="00D14F99"/>
    <w:rsid w:val="00D15575"/>
    <w:rsid w:val="00D16462"/>
    <w:rsid w:val="00D16584"/>
    <w:rsid w:val="00D1765B"/>
    <w:rsid w:val="00D17922"/>
    <w:rsid w:val="00D17BC6"/>
    <w:rsid w:val="00D214C7"/>
    <w:rsid w:val="00D21A1E"/>
    <w:rsid w:val="00D220D2"/>
    <w:rsid w:val="00D2214B"/>
    <w:rsid w:val="00D22536"/>
    <w:rsid w:val="00D235EF"/>
    <w:rsid w:val="00D2362F"/>
    <w:rsid w:val="00D25085"/>
    <w:rsid w:val="00D25DB8"/>
    <w:rsid w:val="00D26003"/>
    <w:rsid w:val="00D270EC"/>
    <w:rsid w:val="00D27158"/>
    <w:rsid w:val="00D27870"/>
    <w:rsid w:val="00D31E31"/>
    <w:rsid w:val="00D329C5"/>
    <w:rsid w:val="00D3326E"/>
    <w:rsid w:val="00D33453"/>
    <w:rsid w:val="00D337B3"/>
    <w:rsid w:val="00D33B89"/>
    <w:rsid w:val="00D3420B"/>
    <w:rsid w:val="00D34B26"/>
    <w:rsid w:val="00D36619"/>
    <w:rsid w:val="00D36E08"/>
    <w:rsid w:val="00D371DF"/>
    <w:rsid w:val="00D37C27"/>
    <w:rsid w:val="00D40105"/>
    <w:rsid w:val="00D40139"/>
    <w:rsid w:val="00D4087E"/>
    <w:rsid w:val="00D40F0C"/>
    <w:rsid w:val="00D412AD"/>
    <w:rsid w:val="00D42696"/>
    <w:rsid w:val="00D43CEE"/>
    <w:rsid w:val="00D44281"/>
    <w:rsid w:val="00D44FD7"/>
    <w:rsid w:val="00D47153"/>
    <w:rsid w:val="00D4720F"/>
    <w:rsid w:val="00D47470"/>
    <w:rsid w:val="00D47880"/>
    <w:rsid w:val="00D5025B"/>
    <w:rsid w:val="00D50A86"/>
    <w:rsid w:val="00D5141C"/>
    <w:rsid w:val="00D51CFE"/>
    <w:rsid w:val="00D52598"/>
    <w:rsid w:val="00D52714"/>
    <w:rsid w:val="00D53C96"/>
    <w:rsid w:val="00D541A3"/>
    <w:rsid w:val="00D544E2"/>
    <w:rsid w:val="00D548A9"/>
    <w:rsid w:val="00D54BC9"/>
    <w:rsid w:val="00D55C84"/>
    <w:rsid w:val="00D564B0"/>
    <w:rsid w:val="00D56DAB"/>
    <w:rsid w:val="00D57B2C"/>
    <w:rsid w:val="00D60271"/>
    <w:rsid w:val="00D60901"/>
    <w:rsid w:val="00D60D90"/>
    <w:rsid w:val="00D60F4B"/>
    <w:rsid w:val="00D61786"/>
    <w:rsid w:val="00D64777"/>
    <w:rsid w:val="00D64B55"/>
    <w:rsid w:val="00D64FE1"/>
    <w:rsid w:val="00D651EA"/>
    <w:rsid w:val="00D6599F"/>
    <w:rsid w:val="00D65B18"/>
    <w:rsid w:val="00D65E14"/>
    <w:rsid w:val="00D67CD7"/>
    <w:rsid w:val="00D71440"/>
    <w:rsid w:val="00D715CE"/>
    <w:rsid w:val="00D71AE8"/>
    <w:rsid w:val="00D72881"/>
    <w:rsid w:val="00D72C01"/>
    <w:rsid w:val="00D73151"/>
    <w:rsid w:val="00D737EB"/>
    <w:rsid w:val="00D73E98"/>
    <w:rsid w:val="00D758F4"/>
    <w:rsid w:val="00D75E72"/>
    <w:rsid w:val="00D7655C"/>
    <w:rsid w:val="00D76A5F"/>
    <w:rsid w:val="00D76AA5"/>
    <w:rsid w:val="00D76D90"/>
    <w:rsid w:val="00D770DE"/>
    <w:rsid w:val="00D7712A"/>
    <w:rsid w:val="00D778AE"/>
    <w:rsid w:val="00D77D83"/>
    <w:rsid w:val="00D80A21"/>
    <w:rsid w:val="00D813D9"/>
    <w:rsid w:val="00D81768"/>
    <w:rsid w:val="00D81817"/>
    <w:rsid w:val="00D81FE9"/>
    <w:rsid w:val="00D82253"/>
    <w:rsid w:val="00D83405"/>
    <w:rsid w:val="00D83E0F"/>
    <w:rsid w:val="00D84D68"/>
    <w:rsid w:val="00D852F0"/>
    <w:rsid w:val="00D85B28"/>
    <w:rsid w:val="00D85CAC"/>
    <w:rsid w:val="00D85D63"/>
    <w:rsid w:val="00D86300"/>
    <w:rsid w:val="00D86877"/>
    <w:rsid w:val="00D87700"/>
    <w:rsid w:val="00D87EEF"/>
    <w:rsid w:val="00D921C5"/>
    <w:rsid w:val="00D92FEF"/>
    <w:rsid w:val="00D938A6"/>
    <w:rsid w:val="00D9423C"/>
    <w:rsid w:val="00D9474B"/>
    <w:rsid w:val="00D94DF8"/>
    <w:rsid w:val="00D95222"/>
    <w:rsid w:val="00D95C0E"/>
    <w:rsid w:val="00D96038"/>
    <w:rsid w:val="00D96045"/>
    <w:rsid w:val="00D9610E"/>
    <w:rsid w:val="00D96AD7"/>
    <w:rsid w:val="00D96B87"/>
    <w:rsid w:val="00DA31BC"/>
    <w:rsid w:val="00DA3749"/>
    <w:rsid w:val="00DA3ED8"/>
    <w:rsid w:val="00DA4490"/>
    <w:rsid w:val="00DA47DF"/>
    <w:rsid w:val="00DA5466"/>
    <w:rsid w:val="00DA54B9"/>
    <w:rsid w:val="00DA5DB9"/>
    <w:rsid w:val="00DA6768"/>
    <w:rsid w:val="00DA6893"/>
    <w:rsid w:val="00DA6DD4"/>
    <w:rsid w:val="00DA7E99"/>
    <w:rsid w:val="00DB00EB"/>
    <w:rsid w:val="00DB0ED6"/>
    <w:rsid w:val="00DB12AB"/>
    <w:rsid w:val="00DB18B7"/>
    <w:rsid w:val="00DB1D73"/>
    <w:rsid w:val="00DB221B"/>
    <w:rsid w:val="00DB3DC3"/>
    <w:rsid w:val="00DB51B9"/>
    <w:rsid w:val="00DB5C32"/>
    <w:rsid w:val="00DB63F8"/>
    <w:rsid w:val="00DB66AA"/>
    <w:rsid w:val="00DB6ADA"/>
    <w:rsid w:val="00DB6B1C"/>
    <w:rsid w:val="00DB7E12"/>
    <w:rsid w:val="00DC05A2"/>
    <w:rsid w:val="00DC0BB7"/>
    <w:rsid w:val="00DC121A"/>
    <w:rsid w:val="00DC12FF"/>
    <w:rsid w:val="00DC1E3C"/>
    <w:rsid w:val="00DC2127"/>
    <w:rsid w:val="00DC2B53"/>
    <w:rsid w:val="00DC2BE2"/>
    <w:rsid w:val="00DC3379"/>
    <w:rsid w:val="00DC4213"/>
    <w:rsid w:val="00DC44A4"/>
    <w:rsid w:val="00DC6C6C"/>
    <w:rsid w:val="00DC6EE0"/>
    <w:rsid w:val="00DC7F65"/>
    <w:rsid w:val="00DD2261"/>
    <w:rsid w:val="00DD35E8"/>
    <w:rsid w:val="00DD3B56"/>
    <w:rsid w:val="00DD4420"/>
    <w:rsid w:val="00DD465C"/>
    <w:rsid w:val="00DD4B97"/>
    <w:rsid w:val="00DD5EF3"/>
    <w:rsid w:val="00DD6276"/>
    <w:rsid w:val="00DD6280"/>
    <w:rsid w:val="00DD6DA3"/>
    <w:rsid w:val="00DD6E4B"/>
    <w:rsid w:val="00DD792B"/>
    <w:rsid w:val="00DD7D22"/>
    <w:rsid w:val="00DE02B4"/>
    <w:rsid w:val="00DE0647"/>
    <w:rsid w:val="00DE1632"/>
    <w:rsid w:val="00DE40BE"/>
    <w:rsid w:val="00DE41D1"/>
    <w:rsid w:val="00DE42EB"/>
    <w:rsid w:val="00DE528F"/>
    <w:rsid w:val="00DE598D"/>
    <w:rsid w:val="00DE62C7"/>
    <w:rsid w:val="00DE67D3"/>
    <w:rsid w:val="00DE6E8B"/>
    <w:rsid w:val="00DE7939"/>
    <w:rsid w:val="00DE7F74"/>
    <w:rsid w:val="00DF07C0"/>
    <w:rsid w:val="00DF357E"/>
    <w:rsid w:val="00DF3DB2"/>
    <w:rsid w:val="00DF4090"/>
    <w:rsid w:val="00DF4163"/>
    <w:rsid w:val="00DF4502"/>
    <w:rsid w:val="00DF47F0"/>
    <w:rsid w:val="00DF4A00"/>
    <w:rsid w:val="00DF4DB5"/>
    <w:rsid w:val="00DF5220"/>
    <w:rsid w:val="00DF7032"/>
    <w:rsid w:val="00DF7B1B"/>
    <w:rsid w:val="00E00AFC"/>
    <w:rsid w:val="00E012C4"/>
    <w:rsid w:val="00E03221"/>
    <w:rsid w:val="00E03230"/>
    <w:rsid w:val="00E035E1"/>
    <w:rsid w:val="00E04340"/>
    <w:rsid w:val="00E04D0F"/>
    <w:rsid w:val="00E05949"/>
    <w:rsid w:val="00E05B4B"/>
    <w:rsid w:val="00E06AD6"/>
    <w:rsid w:val="00E073A1"/>
    <w:rsid w:val="00E074BD"/>
    <w:rsid w:val="00E07521"/>
    <w:rsid w:val="00E07AD5"/>
    <w:rsid w:val="00E07E34"/>
    <w:rsid w:val="00E10122"/>
    <w:rsid w:val="00E11981"/>
    <w:rsid w:val="00E13095"/>
    <w:rsid w:val="00E13BF1"/>
    <w:rsid w:val="00E13D76"/>
    <w:rsid w:val="00E1412E"/>
    <w:rsid w:val="00E1438D"/>
    <w:rsid w:val="00E14A66"/>
    <w:rsid w:val="00E14E2E"/>
    <w:rsid w:val="00E1528B"/>
    <w:rsid w:val="00E1534A"/>
    <w:rsid w:val="00E15F4C"/>
    <w:rsid w:val="00E16D72"/>
    <w:rsid w:val="00E16FBB"/>
    <w:rsid w:val="00E177E7"/>
    <w:rsid w:val="00E1787C"/>
    <w:rsid w:val="00E17F17"/>
    <w:rsid w:val="00E20077"/>
    <w:rsid w:val="00E2027B"/>
    <w:rsid w:val="00E20923"/>
    <w:rsid w:val="00E219E7"/>
    <w:rsid w:val="00E21D22"/>
    <w:rsid w:val="00E229F8"/>
    <w:rsid w:val="00E22C90"/>
    <w:rsid w:val="00E22D46"/>
    <w:rsid w:val="00E233E7"/>
    <w:rsid w:val="00E23BF7"/>
    <w:rsid w:val="00E23F15"/>
    <w:rsid w:val="00E23FE9"/>
    <w:rsid w:val="00E24AC7"/>
    <w:rsid w:val="00E25602"/>
    <w:rsid w:val="00E2632F"/>
    <w:rsid w:val="00E26B41"/>
    <w:rsid w:val="00E27262"/>
    <w:rsid w:val="00E27A63"/>
    <w:rsid w:val="00E27B89"/>
    <w:rsid w:val="00E27CF0"/>
    <w:rsid w:val="00E3045D"/>
    <w:rsid w:val="00E330B0"/>
    <w:rsid w:val="00E33A30"/>
    <w:rsid w:val="00E3439A"/>
    <w:rsid w:val="00E34FD3"/>
    <w:rsid w:val="00E353A6"/>
    <w:rsid w:val="00E355A4"/>
    <w:rsid w:val="00E35988"/>
    <w:rsid w:val="00E360BB"/>
    <w:rsid w:val="00E365E3"/>
    <w:rsid w:val="00E37CC6"/>
    <w:rsid w:val="00E37D32"/>
    <w:rsid w:val="00E37DF5"/>
    <w:rsid w:val="00E40980"/>
    <w:rsid w:val="00E40EBE"/>
    <w:rsid w:val="00E4114A"/>
    <w:rsid w:val="00E431CB"/>
    <w:rsid w:val="00E434B6"/>
    <w:rsid w:val="00E43630"/>
    <w:rsid w:val="00E4368E"/>
    <w:rsid w:val="00E441E6"/>
    <w:rsid w:val="00E447C9"/>
    <w:rsid w:val="00E44971"/>
    <w:rsid w:val="00E45038"/>
    <w:rsid w:val="00E46B5E"/>
    <w:rsid w:val="00E5022A"/>
    <w:rsid w:val="00E50D21"/>
    <w:rsid w:val="00E513E5"/>
    <w:rsid w:val="00E51EE9"/>
    <w:rsid w:val="00E527A4"/>
    <w:rsid w:val="00E5295D"/>
    <w:rsid w:val="00E546AE"/>
    <w:rsid w:val="00E546B9"/>
    <w:rsid w:val="00E54C30"/>
    <w:rsid w:val="00E5598C"/>
    <w:rsid w:val="00E56875"/>
    <w:rsid w:val="00E57D41"/>
    <w:rsid w:val="00E603E9"/>
    <w:rsid w:val="00E60662"/>
    <w:rsid w:val="00E60670"/>
    <w:rsid w:val="00E60B26"/>
    <w:rsid w:val="00E60BEC"/>
    <w:rsid w:val="00E60CB3"/>
    <w:rsid w:val="00E61696"/>
    <w:rsid w:val="00E61BA4"/>
    <w:rsid w:val="00E61F8F"/>
    <w:rsid w:val="00E6206C"/>
    <w:rsid w:val="00E62CA5"/>
    <w:rsid w:val="00E63675"/>
    <w:rsid w:val="00E6463C"/>
    <w:rsid w:val="00E653DB"/>
    <w:rsid w:val="00E656A1"/>
    <w:rsid w:val="00E65AB7"/>
    <w:rsid w:val="00E663DD"/>
    <w:rsid w:val="00E6652D"/>
    <w:rsid w:val="00E665DD"/>
    <w:rsid w:val="00E700C4"/>
    <w:rsid w:val="00E70180"/>
    <w:rsid w:val="00E7095D"/>
    <w:rsid w:val="00E70D15"/>
    <w:rsid w:val="00E70E32"/>
    <w:rsid w:val="00E7108C"/>
    <w:rsid w:val="00E71150"/>
    <w:rsid w:val="00E7264D"/>
    <w:rsid w:val="00E7314B"/>
    <w:rsid w:val="00E7315F"/>
    <w:rsid w:val="00E736C9"/>
    <w:rsid w:val="00E73A27"/>
    <w:rsid w:val="00E7515C"/>
    <w:rsid w:val="00E7550D"/>
    <w:rsid w:val="00E75C6A"/>
    <w:rsid w:val="00E77AE0"/>
    <w:rsid w:val="00E8008E"/>
    <w:rsid w:val="00E80636"/>
    <w:rsid w:val="00E80D17"/>
    <w:rsid w:val="00E80E08"/>
    <w:rsid w:val="00E815B5"/>
    <w:rsid w:val="00E81F5A"/>
    <w:rsid w:val="00E82093"/>
    <w:rsid w:val="00E827FC"/>
    <w:rsid w:val="00E8284B"/>
    <w:rsid w:val="00E82DFA"/>
    <w:rsid w:val="00E83E3D"/>
    <w:rsid w:val="00E844B5"/>
    <w:rsid w:val="00E85197"/>
    <w:rsid w:val="00E85852"/>
    <w:rsid w:val="00E86795"/>
    <w:rsid w:val="00E86989"/>
    <w:rsid w:val="00E86C06"/>
    <w:rsid w:val="00E8765C"/>
    <w:rsid w:val="00E87A9C"/>
    <w:rsid w:val="00E87B2D"/>
    <w:rsid w:val="00E87BA4"/>
    <w:rsid w:val="00E87F8A"/>
    <w:rsid w:val="00E90198"/>
    <w:rsid w:val="00E903B5"/>
    <w:rsid w:val="00E91902"/>
    <w:rsid w:val="00E92774"/>
    <w:rsid w:val="00E929FC"/>
    <w:rsid w:val="00E92DB8"/>
    <w:rsid w:val="00E93D5C"/>
    <w:rsid w:val="00E93E20"/>
    <w:rsid w:val="00E94050"/>
    <w:rsid w:val="00E944F8"/>
    <w:rsid w:val="00E95895"/>
    <w:rsid w:val="00E964C0"/>
    <w:rsid w:val="00E967C6"/>
    <w:rsid w:val="00E96A6F"/>
    <w:rsid w:val="00E96E47"/>
    <w:rsid w:val="00E97392"/>
    <w:rsid w:val="00E97F29"/>
    <w:rsid w:val="00E97F7D"/>
    <w:rsid w:val="00EA0321"/>
    <w:rsid w:val="00EA096F"/>
    <w:rsid w:val="00EA0AF1"/>
    <w:rsid w:val="00EA1FA8"/>
    <w:rsid w:val="00EA37B1"/>
    <w:rsid w:val="00EA410A"/>
    <w:rsid w:val="00EA53F9"/>
    <w:rsid w:val="00EA54C4"/>
    <w:rsid w:val="00EA5CAA"/>
    <w:rsid w:val="00EA5D62"/>
    <w:rsid w:val="00EA604F"/>
    <w:rsid w:val="00EA7411"/>
    <w:rsid w:val="00EA781D"/>
    <w:rsid w:val="00EA78BB"/>
    <w:rsid w:val="00EB08F3"/>
    <w:rsid w:val="00EB0F93"/>
    <w:rsid w:val="00EB3295"/>
    <w:rsid w:val="00EB33E5"/>
    <w:rsid w:val="00EB3E8A"/>
    <w:rsid w:val="00EB45E6"/>
    <w:rsid w:val="00EB50A2"/>
    <w:rsid w:val="00EB54AE"/>
    <w:rsid w:val="00EB5CA6"/>
    <w:rsid w:val="00EB5E51"/>
    <w:rsid w:val="00EB62A6"/>
    <w:rsid w:val="00EC0F8F"/>
    <w:rsid w:val="00EC1952"/>
    <w:rsid w:val="00EC3BC8"/>
    <w:rsid w:val="00EC3BF2"/>
    <w:rsid w:val="00EC47A9"/>
    <w:rsid w:val="00EC4A78"/>
    <w:rsid w:val="00EC4CA3"/>
    <w:rsid w:val="00EC4E03"/>
    <w:rsid w:val="00EC5498"/>
    <w:rsid w:val="00EC5517"/>
    <w:rsid w:val="00EC5CF6"/>
    <w:rsid w:val="00EC60BF"/>
    <w:rsid w:val="00EC6190"/>
    <w:rsid w:val="00EC649C"/>
    <w:rsid w:val="00EC6953"/>
    <w:rsid w:val="00ED01A2"/>
    <w:rsid w:val="00ED0FA2"/>
    <w:rsid w:val="00ED12EE"/>
    <w:rsid w:val="00ED12FC"/>
    <w:rsid w:val="00ED2922"/>
    <w:rsid w:val="00ED2A8E"/>
    <w:rsid w:val="00ED2B46"/>
    <w:rsid w:val="00ED3407"/>
    <w:rsid w:val="00ED34DF"/>
    <w:rsid w:val="00ED3DFE"/>
    <w:rsid w:val="00ED4566"/>
    <w:rsid w:val="00ED4C26"/>
    <w:rsid w:val="00ED4F6F"/>
    <w:rsid w:val="00ED525A"/>
    <w:rsid w:val="00ED6442"/>
    <w:rsid w:val="00ED6DCA"/>
    <w:rsid w:val="00ED7139"/>
    <w:rsid w:val="00EE0716"/>
    <w:rsid w:val="00EE0B0F"/>
    <w:rsid w:val="00EE0D2A"/>
    <w:rsid w:val="00EE1260"/>
    <w:rsid w:val="00EE1DBD"/>
    <w:rsid w:val="00EE22B6"/>
    <w:rsid w:val="00EE2951"/>
    <w:rsid w:val="00EE2AE8"/>
    <w:rsid w:val="00EE2EB3"/>
    <w:rsid w:val="00EE38CB"/>
    <w:rsid w:val="00EE3C19"/>
    <w:rsid w:val="00EE3FEF"/>
    <w:rsid w:val="00EE3FFA"/>
    <w:rsid w:val="00EE410A"/>
    <w:rsid w:val="00EE437E"/>
    <w:rsid w:val="00EE5ADB"/>
    <w:rsid w:val="00EE79A6"/>
    <w:rsid w:val="00EE7E74"/>
    <w:rsid w:val="00EF027C"/>
    <w:rsid w:val="00EF0928"/>
    <w:rsid w:val="00EF1185"/>
    <w:rsid w:val="00EF1B4D"/>
    <w:rsid w:val="00EF27B0"/>
    <w:rsid w:val="00EF2C92"/>
    <w:rsid w:val="00EF36E5"/>
    <w:rsid w:val="00EF379C"/>
    <w:rsid w:val="00EF3A68"/>
    <w:rsid w:val="00EF506C"/>
    <w:rsid w:val="00EF5E18"/>
    <w:rsid w:val="00F00854"/>
    <w:rsid w:val="00F013EC"/>
    <w:rsid w:val="00F0171C"/>
    <w:rsid w:val="00F01B60"/>
    <w:rsid w:val="00F01D66"/>
    <w:rsid w:val="00F01FC0"/>
    <w:rsid w:val="00F02151"/>
    <w:rsid w:val="00F026D3"/>
    <w:rsid w:val="00F02B64"/>
    <w:rsid w:val="00F03610"/>
    <w:rsid w:val="00F03B49"/>
    <w:rsid w:val="00F03D05"/>
    <w:rsid w:val="00F042A1"/>
    <w:rsid w:val="00F04A5E"/>
    <w:rsid w:val="00F04D66"/>
    <w:rsid w:val="00F053ED"/>
    <w:rsid w:val="00F06B40"/>
    <w:rsid w:val="00F06D26"/>
    <w:rsid w:val="00F06F5D"/>
    <w:rsid w:val="00F073DD"/>
    <w:rsid w:val="00F077C4"/>
    <w:rsid w:val="00F07BDF"/>
    <w:rsid w:val="00F07D3A"/>
    <w:rsid w:val="00F10547"/>
    <w:rsid w:val="00F108B0"/>
    <w:rsid w:val="00F108BB"/>
    <w:rsid w:val="00F108C9"/>
    <w:rsid w:val="00F10AC6"/>
    <w:rsid w:val="00F10C7E"/>
    <w:rsid w:val="00F11EEF"/>
    <w:rsid w:val="00F142CF"/>
    <w:rsid w:val="00F1450C"/>
    <w:rsid w:val="00F14A18"/>
    <w:rsid w:val="00F1507C"/>
    <w:rsid w:val="00F16000"/>
    <w:rsid w:val="00F16296"/>
    <w:rsid w:val="00F172C4"/>
    <w:rsid w:val="00F176A9"/>
    <w:rsid w:val="00F176BA"/>
    <w:rsid w:val="00F1797D"/>
    <w:rsid w:val="00F17E50"/>
    <w:rsid w:val="00F201EC"/>
    <w:rsid w:val="00F209CD"/>
    <w:rsid w:val="00F2126A"/>
    <w:rsid w:val="00F212F0"/>
    <w:rsid w:val="00F21C3B"/>
    <w:rsid w:val="00F21CF8"/>
    <w:rsid w:val="00F21F26"/>
    <w:rsid w:val="00F231EF"/>
    <w:rsid w:val="00F23BD9"/>
    <w:rsid w:val="00F23EDF"/>
    <w:rsid w:val="00F245E2"/>
    <w:rsid w:val="00F24D66"/>
    <w:rsid w:val="00F26227"/>
    <w:rsid w:val="00F2645D"/>
    <w:rsid w:val="00F277AC"/>
    <w:rsid w:val="00F30311"/>
    <w:rsid w:val="00F30EB3"/>
    <w:rsid w:val="00F316DF"/>
    <w:rsid w:val="00F31736"/>
    <w:rsid w:val="00F31B4F"/>
    <w:rsid w:val="00F31BDE"/>
    <w:rsid w:val="00F326E9"/>
    <w:rsid w:val="00F32DF0"/>
    <w:rsid w:val="00F339DE"/>
    <w:rsid w:val="00F343F2"/>
    <w:rsid w:val="00F34413"/>
    <w:rsid w:val="00F3458E"/>
    <w:rsid w:val="00F3583A"/>
    <w:rsid w:val="00F35B17"/>
    <w:rsid w:val="00F35BD2"/>
    <w:rsid w:val="00F361FA"/>
    <w:rsid w:val="00F36483"/>
    <w:rsid w:val="00F36F0E"/>
    <w:rsid w:val="00F370DD"/>
    <w:rsid w:val="00F371D4"/>
    <w:rsid w:val="00F40FF9"/>
    <w:rsid w:val="00F41117"/>
    <w:rsid w:val="00F41371"/>
    <w:rsid w:val="00F41E32"/>
    <w:rsid w:val="00F42080"/>
    <w:rsid w:val="00F421A2"/>
    <w:rsid w:val="00F4224B"/>
    <w:rsid w:val="00F423C4"/>
    <w:rsid w:val="00F424A2"/>
    <w:rsid w:val="00F42997"/>
    <w:rsid w:val="00F42CD5"/>
    <w:rsid w:val="00F42CDE"/>
    <w:rsid w:val="00F43333"/>
    <w:rsid w:val="00F436FB"/>
    <w:rsid w:val="00F43A6C"/>
    <w:rsid w:val="00F43CE0"/>
    <w:rsid w:val="00F43DD0"/>
    <w:rsid w:val="00F43E55"/>
    <w:rsid w:val="00F44A55"/>
    <w:rsid w:val="00F44E2C"/>
    <w:rsid w:val="00F452B5"/>
    <w:rsid w:val="00F45C25"/>
    <w:rsid w:val="00F45E05"/>
    <w:rsid w:val="00F5105B"/>
    <w:rsid w:val="00F517FF"/>
    <w:rsid w:val="00F51F12"/>
    <w:rsid w:val="00F5213D"/>
    <w:rsid w:val="00F53F83"/>
    <w:rsid w:val="00F55460"/>
    <w:rsid w:val="00F5678E"/>
    <w:rsid w:val="00F56A60"/>
    <w:rsid w:val="00F57009"/>
    <w:rsid w:val="00F57671"/>
    <w:rsid w:val="00F578A7"/>
    <w:rsid w:val="00F57A7A"/>
    <w:rsid w:val="00F57EE9"/>
    <w:rsid w:val="00F60CB8"/>
    <w:rsid w:val="00F60DD9"/>
    <w:rsid w:val="00F60E39"/>
    <w:rsid w:val="00F60E74"/>
    <w:rsid w:val="00F6214D"/>
    <w:rsid w:val="00F62B31"/>
    <w:rsid w:val="00F633EC"/>
    <w:rsid w:val="00F63C98"/>
    <w:rsid w:val="00F63E07"/>
    <w:rsid w:val="00F64537"/>
    <w:rsid w:val="00F64550"/>
    <w:rsid w:val="00F648E9"/>
    <w:rsid w:val="00F666D0"/>
    <w:rsid w:val="00F67257"/>
    <w:rsid w:val="00F6732D"/>
    <w:rsid w:val="00F67527"/>
    <w:rsid w:val="00F67E4E"/>
    <w:rsid w:val="00F67FB3"/>
    <w:rsid w:val="00F67FD0"/>
    <w:rsid w:val="00F704C1"/>
    <w:rsid w:val="00F70651"/>
    <w:rsid w:val="00F70693"/>
    <w:rsid w:val="00F717C7"/>
    <w:rsid w:val="00F71D4F"/>
    <w:rsid w:val="00F71FA6"/>
    <w:rsid w:val="00F73013"/>
    <w:rsid w:val="00F73DEB"/>
    <w:rsid w:val="00F74375"/>
    <w:rsid w:val="00F75CEE"/>
    <w:rsid w:val="00F76027"/>
    <w:rsid w:val="00F769DE"/>
    <w:rsid w:val="00F77037"/>
    <w:rsid w:val="00F80899"/>
    <w:rsid w:val="00F80EA7"/>
    <w:rsid w:val="00F80FB1"/>
    <w:rsid w:val="00F827A0"/>
    <w:rsid w:val="00F82B82"/>
    <w:rsid w:val="00F83265"/>
    <w:rsid w:val="00F83CCC"/>
    <w:rsid w:val="00F83F7D"/>
    <w:rsid w:val="00F841E0"/>
    <w:rsid w:val="00F849AF"/>
    <w:rsid w:val="00F84FA2"/>
    <w:rsid w:val="00F85C4C"/>
    <w:rsid w:val="00F85CCA"/>
    <w:rsid w:val="00F86A5F"/>
    <w:rsid w:val="00F86FEE"/>
    <w:rsid w:val="00F878BE"/>
    <w:rsid w:val="00F90171"/>
    <w:rsid w:val="00F90D6D"/>
    <w:rsid w:val="00F90D7A"/>
    <w:rsid w:val="00F921F1"/>
    <w:rsid w:val="00F930D7"/>
    <w:rsid w:val="00F933E7"/>
    <w:rsid w:val="00F939D5"/>
    <w:rsid w:val="00F94178"/>
    <w:rsid w:val="00F945C2"/>
    <w:rsid w:val="00F94948"/>
    <w:rsid w:val="00F95817"/>
    <w:rsid w:val="00F969C7"/>
    <w:rsid w:val="00F96AF5"/>
    <w:rsid w:val="00F97153"/>
    <w:rsid w:val="00F97508"/>
    <w:rsid w:val="00F97C5A"/>
    <w:rsid w:val="00F97FF0"/>
    <w:rsid w:val="00FA0693"/>
    <w:rsid w:val="00FA0E51"/>
    <w:rsid w:val="00FA1A7A"/>
    <w:rsid w:val="00FA345E"/>
    <w:rsid w:val="00FA3CD9"/>
    <w:rsid w:val="00FA3EC9"/>
    <w:rsid w:val="00FA5360"/>
    <w:rsid w:val="00FA6161"/>
    <w:rsid w:val="00FA7C53"/>
    <w:rsid w:val="00FB18BE"/>
    <w:rsid w:val="00FB1DD6"/>
    <w:rsid w:val="00FB22D7"/>
    <w:rsid w:val="00FB274F"/>
    <w:rsid w:val="00FB312C"/>
    <w:rsid w:val="00FB3AE5"/>
    <w:rsid w:val="00FB3EF7"/>
    <w:rsid w:val="00FB418D"/>
    <w:rsid w:val="00FB5991"/>
    <w:rsid w:val="00FB5D90"/>
    <w:rsid w:val="00FB7750"/>
    <w:rsid w:val="00FB795B"/>
    <w:rsid w:val="00FB7A6C"/>
    <w:rsid w:val="00FB7B28"/>
    <w:rsid w:val="00FB7F32"/>
    <w:rsid w:val="00FC0071"/>
    <w:rsid w:val="00FC10B7"/>
    <w:rsid w:val="00FC17C8"/>
    <w:rsid w:val="00FC1971"/>
    <w:rsid w:val="00FC1A9C"/>
    <w:rsid w:val="00FC2431"/>
    <w:rsid w:val="00FC2981"/>
    <w:rsid w:val="00FC317A"/>
    <w:rsid w:val="00FC32F9"/>
    <w:rsid w:val="00FC3EFD"/>
    <w:rsid w:val="00FC4DB5"/>
    <w:rsid w:val="00FC625B"/>
    <w:rsid w:val="00FC6590"/>
    <w:rsid w:val="00FC78A1"/>
    <w:rsid w:val="00FD0B73"/>
    <w:rsid w:val="00FD0CFD"/>
    <w:rsid w:val="00FD1087"/>
    <w:rsid w:val="00FD185C"/>
    <w:rsid w:val="00FD1C40"/>
    <w:rsid w:val="00FD1EEE"/>
    <w:rsid w:val="00FD1F6C"/>
    <w:rsid w:val="00FD286E"/>
    <w:rsid w:val="00FD3627"/>
    <w:rsid w:val="00FD3A7E"/>
    <w:rsid w:val="00FD4A7C"/>
    <w:rsid w:val="00FD57CD"/>
    <w:rsid w:val="00FD57EC"/>
    <w:rsid w:val="00FD587D"/>
    <w:rsid w:val="00FD5BFD"/>
    <w:rsid w:val="00FD67A0"/>
    <w:rsid w:val="00FD693C"/>
    <w:rsid w:val="00FD699C"/>
    <w:rsid w:val="00FD6C5A"/>
    <w:rsid w:val="00FD72AB"/>
    <w:rsid w:val="00FE0735"/>
    <w:rsid w:val="00FE0862"/>
    <w:rsid w:val="00FE1590"/>
    <w:rsid w:val="00FE2226"/>
    <w:rsid w:val="00FE29E4"/>
    <w:rsid w:val="00FE366D"/>
    <w:rsid w:val="00FE3E09"/>
    <w:rsid w:val="00FE43D5"/>
    <w:rsid w:val="00FE523E"/>
    <w:rsid w:val="00FE5782"/>
    <w:rsid w:val="00FE6166"/>
    <w:rsid w:val="00FE675A"/>
    <w:rsid w:val="00FE69A6"/>
    <w:rsid w:val="00FE6C1C"/>
    <w:rsid w:val="00FE6C71"/>
    <w:rsid w:val="00FE6D62"/>
    <w:rsid w:val="00FE76C9"/>
    <w:rsid w:val="00FE774C"/>
    <w:rsid w:val="00FE77A4"/>
    <w:rsid w:val="00FF086C"/>
    <w:rsid w:val="00FF0B9D"/>
    <w:rsid w:val="00FF1228"/>
    <w:rsid w:val="00FF13EF"/>
    <w:rsid w:val="00FF14C2"/>
    <w:rsid w:val="00FF14D8"/>
    <w:rsid w:val="00FF16FB"/>
    <w:rsid w:val="00FF1CCA"/>
    <w:rsid w:val="00FF1EF4"/>
    <w:rsid w:val="00FF2D80"/>
    <w:rsid w:val="00FF32B4"/>
    <w:rsid w:val="00FF3DF8"/>
    <w:rsid w:val="00FF48F3"/>
    <w:rsid w:val="00FF4F2B"/>
    <w:rsid w:val="00FF594E"/>
    <w:rsid w:val="00FF6C6B"/>
    <w:rsid w:val="00FF74D3"/>
    <w:rsid w:val="00FF7D49"/>
    <w:rsid w:val="3EF90816"/>
    <w:rsid w:val="4B65B264"/>
    <w:rsid w:val="4D1DF477"/>
    <w:rsid w:val="5BFF60A6"/>
    <w:rsid w:val="5E6F9F23"/>
    <w:rsid w:val="6FCD5D96"/>
    <w:rsid w:val="70EBFEC5"/>
    <w:rsid w:val="772B64B7"/>
    <w:rsid w:val="79BEF5CD"/>
    <w:rsid w:val="79BF6497"/>
    <w:rsid w:val="7E7D4C60"/>
    <w:rsid w:val="7EFE4A89"/>
    <w:rsid w:val="BE5F1909"/>
    <w:rsid w:val="BFF6E2B1"/>
    <w:rsid w:val="D4CFB461"/>
    <w:rsid w:val="D5EF25A5"/>
    <w:rsid w:val="DDF7BEC5"/>
    <w:rsid w:val="DF77F9C1"/>
    <w:rsid w:val="E9EF8379"/>
    <w:rsid w:val="EF5B53DB"/>
    <w:rsid w:val="F5BD4E87"/>
    <w:rsid w:val="F5DDD9E0"/>
    <w:rsid w:val="FCFA0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name="footnote text"/>
    <w:lsdException w:qFormat="1" w:unhideWhenUsed="0" w:uiPriority="99"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iPriority="99"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99"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iPriority="99" w:name="Normal Table"/>
    <w:lsdException w:qFormat="1" w:unhideWhenUsed="0" w:uiPriority="99"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link w:val="63"/>
    <w:qFormat/>
    <w:uiPriority w:val="9"/>
    <w:pPr>
      <w:keepNext/>
      <w:keepLines/>
      <w:spacing w:before="340" w:after="330" w:line="578" w:lineRule="atLeast"/>
      <w:jc w:val="center"/>
      <w:outlineLvl w:val="0"/>
    </w:pPr>
    <w:rPr>
      <w:b/>
      <w:kern w:val="44"/>
      <w:sz w:val="44"/>
    </w:rPr>
  </w:style>
  <w:style w:type="paragraph" w:styleId="3">
    <w:name w:val="heading 2"/>
    <w:basedOn w:val="1"/>
    <w:next w:val="1"/>
    <w:link w:val="64"/>
    <w:qFormat/>
    <w:uiPriority w:val="0"/>
    <w:pPr>
      <w:keepNext/>
      <w:keepLines/>
      <w:autoSpaceDE w:val="0"/>
      <w:autoSpaceDN w:val="0"/>
      <w:spacing w:before="240" w:line="360" w:lineRule="auto"/>
      <w:jc w:val="center"/>
      <w:outlineLvl w:val="1"/>
    </w:pPr>
    <w:rPr>
      <w:rFonts w:ascii="Arial" w:hAnsi="Arial"/>
      <w:b/>
      <w:sz w:val="30"/>
    </w:rPr>
  </w:style>
  <w:style w:type="paragraph" w:styleId="4">
    <w:name w:val="heading 3"/>
    <w:basedOn w:val="1"/>
    <w:next w:val="1"/>
    <w:link w:val="65"/>
    <w:qFormat/>
    <w:uiPriority w:val="9"/>
    <w:pPr>
      <w:keepNext/>
      <w:keepLines/>
      <w:autoSpaceDE w:val="0"/>
      <w:autoSpaceDN w:val="0"/>
      <w:spacing w:before="240" w:after="120" w:line="300" w:lineRule="auto"/>
      <w:outlineLvl w:val="2"/>
    </w:pPr>
    <w:rPr>
      <w:b/>
      <w:sz w:val="21"/>
    </w:rPr>
  </w:style>
  <w:style w:type="paragraph" w:styleId="5">
    <w:name w:val="heading 4"/>
    <w:basedOn w:val="6"/>
    <w:next w:val="1"/>
    <w:link w:val="67"/>
    <w:qFormat/>
    <w:uiPriority w:val="9"/>
    <w:pPr>
      <w:keepNext/>
      <w:keepLines/>
      <w:tabs>
        <w:tab w:val="left" w:pos="864"/>
      </w:tabs>
      <w:ind w:left="864" w:hanging="864" w:firstLineChars="0"/>
      <w:outlineLvl w:val="3"/>
    </w:pPr>
    <w:rPr>
      <w:rFonts w:ascii="黑体" w:hAnsi="宋体" w:eastAsia="黑体"/>
      <w:b/>
      <w:bCs/>
      <w:szCs w:val="28"/>
    </w:rPr>
  </w:style>
  <w:style w:type="paragraph" w:styleId="7">
    <w:name w:val="heading 5"/>
    <w:basedOn w:val="1"/>
    <w:next w:val="1"/>
    <w:link w:val="68"/>
    <w:qFormat/>
    <w:uiPriority w:val="0"/>
    <w:pPr>
      <w:keepNext/>
      <w:keepLines/>
      <w:tabs>
        <w:tab w:val="left" w:pos="1008"/>
      </w:tabs>
      <w:snapToGrid w:val="0"/>
      <w:spacing w:before="240"/>
      <w:ind w:left="1008" w:hanging="1008"/>
      <w:textAlignment w:val="auto"/>
      <w:outlineLvl w:val="4"/>
    </w:pPr>
    <w:rPr>
      <w:rFonts w:ascii="楷体_GB2312" w:eastAsia="楷体_GB2312"/>
      <w:kern w:val="2"/>
      <w:sz w:val="21"/>
      <w:szCs w:val="28"/>
    </w:rPr>
  </w:style>
  <w:style w:type="paragraph" w:styleId="8">
    <w:name w:val="heading 6"/>
    <w:basedOn w:val="1"/>
    <w:next w:val="6"/>
    <w:link w:val="69"/>
    <w:qFormat/>
    <w:uiPriority w:val="0"/>
    <w:pPr>
      <w:keepNext/>
      <w:keepLines/>
      <w:adjustRightInd/>
      <w:spacing w:before="240" w:after="240" w:line="319" w:lineRule="auto"/>
      <w:jc w:val="both"/>
      <w:textAlignment w:val="auto"/>
      <w:outlineLvl w:val="5"/>
    </w:pPr>
    <w:rPr>
      <w:rFonts w:ascii="Arial" w:hAnsi="Arial" w:eastAsia="黑体"/>
      <w:b/>
      <w:bCs/>
      <w:kern w:val="2"/>
      <w:sz w:val="32"/>
      <w:szCs w:val="32"/>
    </w:rPr>
  </w:style>
  <w:style w:type="paragraph" w:styleId="9">
    <w:name w:val="heading 7"/>
    <w:basedOn w:val="1"/>
    <w:next w:val="1"/>
    <w:link w:val="70"/>
    <w:qFormat/>
    <w:uiPriority w:val="0"/>
    <w:pPr>
      <w:keepNext/>
      <w:keepLines/>
      <w:adjustRightInd/>
      <w:spacing w:before="240" w:after="64" w:line="320" w:lineRule="auto"/>
      <w:jc w:val="both"/>
      <w:textAlignment w:val="auto"/>
      <w:outlineLvl w:val="6"/>
    </w:pPr>
    <w:rPr>
      <w:b/>
      <w:bCs/>
      <w:kern w:val="2"/>
      <w:sz w:val="32"/>
      <w:szCs w:val="32"/>
    </w:rPr>
  </w:style>
  <w:style w:type="paragraph" w:styleId="10">
    <w:name w:val="heading 8"/>
    <w:basedOn w:val="1"/>
    <w:next w:val="1"/>
    <w:link w:val="71"/>
    <w:qFormat/>
    <w:uiPriority w:val="9"/>
    <w:pPr>
      <w:keepNext/>
      <w:keepLines/>
      <w:adjustRightInd/>
      <w:spacing w:before="240" w:after="64" w:line="320" w:lineRule="auto"/>
      <w:jc w:val="both"/>
      <w:textAlignment w:val="auto"/>
      <w:outlineLvl w:val="7"/>
    </w:pPr>
    <w:rPr>
      <w:rFonts w:ascii="Arial" w:hAnsi="Arial" w:eastAsia="黑体"/>
      <w:b/>
      <w:bCs/>
      <w:kern w:val="2"/>
      <w:sz w:val="28"/>
      <w:szCs w:val="28"/>
    </w:rPr>
  </w:style>
  <w:style w:type="paragraph" w:styleId="11">
    <w:name w:val="heading 9"/>
    <w:basedOn w:val="1"/>
    <w:next w:val="1"/>
    <w:link w:val="72"/>
    <w:qFormat/>
    <w:uiPriority w:val="0"/>
    <w:pPr>
      <w:keepNext/>
      <w:keepLines/>
      <w:spacing w:before="240" w:after="64" w:line="320" w:lineRule="atLeast"/>
      <w:outlineLvl w:val="8"/>
    </w:pPr>
    <w:rPr>
      <w:rFonts w:ascii="Arial" w:hAnsi="Arial" w:eastAsia="黑体"/>
      <w:sz w:val="21"/>
      <w:szCs w:val="21"/>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66"/>
    <w:qFormat/>
    <w:uiPriority w:val="0"/>
    <w:pPr>
      <w:snapToGrid w:val="0"/>
      <w:spacing w:before="240"/>
      <w:ind w:firstLine="420" w:firstLineChars="200"/>
      <w:textAlignment w:val="auto"/>
    </w:pPr>
    <w:rPr>
      <w:rFonts w:ascii="宋体"/>
      <w:kern w:val="2"/>
      <w:sz w:val="21"/>
      <w:szCs w:val="24"/>
    </w:rPr>
  </w:style>
  <w:style w:type="paragraph" w:styleId="12">
    <w:name w:val="toc 7"/>
    <w:basedOn w:val="1"/>
    <w:next w:val="1"/>
    <w:qFormat/>
    <w:uiPriority w:val="39"/>
    <w:pPr>
      <w:adjustRightInd/>
      <w:spacing w:line="240" w:lineRule="auto"/>
      <w:ind w:left="2520"/>
      <w:textAlignment w:val="auto"/>
    </w:pPr>
    <w:rPr>
      <w:rFonts w:ascii="宋体"/>
      <w:kern w:val="2"/>
      <w:sz w:val="21"/>
      <w:szCs w:val="24"/>
    </w:rPr>
  </w:style>
  <w:style w:type="paragraph" w:styleId="13">
    <w:name w:val="List Number 2"/>
    <w:basedOn w:val="1"/>
    <w:qFormat/>
    <w:uiPriority w:val="0"/>
    <w:pPr>
      <w:numPr>
        <w:ilvl w:val="0"/>
        <w:numId w:val="1"/>
      </w:numPr>
      <w:snapToGrid w:val="0"/>
      <w:textAlignment w:val="auto"/>
    </w:pPr>
    <w:rPr>
      <w:rFonts w:ascii="宋体" w:hAnsi="宋体"/>
      <w:kern w:val="2"/>
      <w:sz w:val="21"/>
      <w:szCs w:val="24"/>
    </w:rPr>
  </w:style>
  <w:style w:type="paragraph" w:styleId="14">
    <w:name w:val="List Number"/>
    <w:basedOn w:val="1"/>
    <w:qFormat/>
    <w:uiPriority w:val="0"/>
    <w:pPr>
      <w:numPr>
        <w:ilvl w:val="0"/>
        <w:numId w:val="2"/>
      </w:numPr>
      <w:snapToGrid w:val="0"/>
      <w:textAlignment w:val="auto"/>
    </w:pPr>
    <w:rPr>
      <w:rFonts w:ascii="宋体"/>
      <w:kern w:val="2"/>
      <w:sz w:val="21"/>
      <w:szCs w:val="24"/>
    </w:rPr>
  </w:style>
  <w:style w:type="paragraph" w:styleId="15">
    <w:name w:val="caption"/>
    <w:basedOn w:val="1"/>
    <w:next w:val="1"/>
    <w:link w:val="73"/>
    <w:qFormat/>
    <w:uiPriority w:val="0"/>
    <w:pPr>
      <w:adjustRightInd/>
      <w:spacing w:before="120" w:after="120" w:line="240" w:lineRule="auto"/>
      <w:jc w:val="center"/>
      <w:textAlignment w:val="auto"/>
    </w:pPr>
    <w:rPr>
      <w:rFonts w:ascii="黑体" w:hAnsi="Arial" w:eastAsia="黑体"/>
      <w:kern w:val="2"/>
      <w:sz w:val="18"/>
    </w:rPr>
  </w:style>
  <w:style w:type="paragraph" w:styleId="16">
    <w:name w:val="List Bullet"/>
    <w:basedOn w:val="1"/>
    <w:qFormat/>
    <w:uiPriority w:val="0"/>
    <w:pPr>
      <w:numPr>
        <w:ilvl w:val="0"/>
        <w:numId w:val="3"/>
      </w:numPr>
      <w:snapToGrid w:val="0"/>
      <w:textAlignment w:val="auto"/>
    </w:pPr>
    <w:rPr>
      <w:rFonts w:ascii="宋体"/>
      <w:kern w:val="2"/>
      <w:sz w:val="21"/>
      <w:szCs w:val="24"/>
    </w:rPr>
  </w:style>
  <w:style w:type="paragraph" w:styleId="17">
    <w:name w:val="Document Map"/>
    <w:basedOn w:val="1"/>
    <w:link w:val="74"/>
    <w:semiHidden/>
    <w:qFormat/>
    <w:uiPriority w:val="99"/>
    <w:pPr>
      <w:shd w:val="clear" w:color="auto" w:fill="000080"/>
    </w:pPr>
  </w:style>
  <w:style w:type="paragraph" w:styleId="18">
    <w:name w:val="toa heading"/>
    <w:basedOn w:val="1"/>
    <w:next w:val="1"/>
    <w:qFormat/>
    <w:uiPriority w:val="0"/>
    <w:pPr>
      <w:spacing w:before="200"/>
      <w:jc w:val="center"/>
    </w:pPr>
    <w:rPr>
      <w:rFonts w:ascii="Arial" w:hAnsi="Arial" w:eastAsia="黑体"/>
      <w:sz w:val="44"/>
    </w:rPr>
  </w:style>
  <w:style w:type="paragraph" w:styleId="19">
    <w:name w:val="annotation text"/>
    <w:basedOn w:val="1"/>
    <w:link w:val="75"/>
    <w:semiHidden/>
    <w:qFormat/>
    <w:uiPriority w:val="99"/>
  </w:style>
  <w:style w:type="paragraph" w:styleId="20">
    <w:name w:val="Salutation"/>
    <w:basedOn w:val="1"/>
    <w:next w:val="1"/>
    <w:link w:val="76"/>
    <w:qFormat/>
    <w:uiPriority w:val="0"/>
    <w:pPr>
      <w:adjustRightInd/>
      <w:spacing w:beforeLines="40" w:afterLines="40" w:line="312" w:lineRule="auto"/>
      <w:jc w:val="both"/>
      <w:textAlignment w:val="auto"/>
    </w:pPr>
    <w:rPr>
      <w:kern w:val="2"/>
      <w:szCs w:val="24"/>
    </w:rPr>
  </w:style>
  <w:style w:type="paragraph" w:styleId="21">
    <w:name w:val="Body Text 3"/>
    <w:basedOn w:val="1"/>
    <w:link w:val="77"/>
    <w:qFormat/>
    <w:uiPriority w:val="0"/>
    <w:pPr>
      <w:snapToGrid w:val="0"/>
      <w:jc w:val="both"/>
    </w:pPr>
    <w:rPr>
      <w:rFonts w:ascii="宋体"/>
    </w:rPr>
  </w:style>
  <w:style w:type="paragraph" w:styleId="22">
    <w:name w:val="Body Text"/>
    <w:basedOn w:val="1"/>
    <w:link w:val="78"/>
    <w:qFormat/>
    <w:uiPriority w:val="0"/>
    <w:rPr>
      <w:rFonts w:ascii="宋体"/>
      <w:color w:val="FF0000"/>
      <w:u w:val="single"/>
    </w:rPr>
  </w:style>
  <w:style w:type="paragraph" w:styleId="23">
    <w:name w:val="Body Text Indent"/>
    <w:basedOn w:val="1"/>
    <w:link w:val="79"/>
    <w:qFormat/>
    <w:uiPriority w:val="0"/>
    <w:pPr>
      <w:spacing w:line="240" w:lineRule="auto"/>
      <w:ind w:left="491" w:leftChars="175" w:hanging="71" w:hangingChars="34"/>
      <w:jc w:val="both"/>
    </w:pPr>
    <w:rPr>
      <w:rFonts w:ascii="宋体"/>
      <w:color w:val="000080"/>
      <w:sz w:val="21"/>
    </w:rPr>
  </w:style>
  <w:style w:type="paragraph" w:styleId="24">
    <w:name w:val="Block Text"/>
    <w:basedOn w:val="1"/>
    <w:qFormat/>
    <w:uiPriority w:val="0"/>
    <w:pPr>
      <w:spacing w:before="120"/>
      <w:ind w:left="372" w:leftChars="155" w:right="132" w:rightChars="55" w:firstLine="600"/>
    </w:pPr>
    <w:rPr>
      <w:rFonts w:ascii="宋体"/>
    </w:rPr>
  </w:style>
  <w:style w:type="paragraph" w:styleId="25">
    <w:name w:val="List Bullet 2"/>
    <w:basedOn w:val="1"/>
    <w:qFormat/>
    <w:uiPriority w:val="0"/>
    <w:pPr>
      <w:numPr>
        <w:ilvl w:val="0"/>
        <w:numId w:val="4"/>
      </w:numPr>
      <w:snapToGrid w:val="0"/>
      <w:textAlignment w:val="auto"/>
    </w:pPr>
    <w:rPr>
      <w:rFonts w:ascii="宋体"/>
      <w:kern w:val="2"/>
      <w:sz w:val="21"/>
      <w:szCs w:val="24"/>
    </w:rPr>
  </w:style>
  <w:style w:type="paragraph" w:styleId="26">
    <w:name w:val="toc 5"/>
    <w:basedOn w:val="1"/>
    <w:next w:val="1"/>
    <w:qFormat/>
    <w:uiPriority w:val="39"/>
    <w:pPr>
      <w:adjustRightInd/>
      <w:spacing w:line="240" w:lineRule="auto"/>
      <w:ind w:left="1680"/>
      <w:textAlignment w:val="auto"/>
    </w:pPr>
    <w:rPr>
      <w:rFonts w:ascii="宋体"/>
      <w:kern w:val="2"/>
      <w:sz w:val="21"/>
      <w:szCs w:val="24"/>
    </w:rPr>
  </w:style>
  <w:style w:type="paragraph" w:styleId="27">
    <w:name w:val="toc 3"/>
    <w:basedOn w:val="1"/>
    <w:next w:val="1"/>
    <w:qFormat/>
    <w:uiPriority w:val="39"/>
    <w:pPr>
      <w:ind w:left="840" w:leftChars="400"/>
    </w:pPr>
  </w:style>
  <w:style w:type="paragraph" w:styleId="28">
    <w:name w:val="Plain Text"/>
    <w:basedOn w:val="1"/>
    <w:link w:val="80"/>
    <w:qFormat/>
    <w:uiPriority w:val="0"/>
    <w:pPr>
      <w:spacing w:line="240" w:lineRule="auto"/>
      <w:jc w:val="both"/>
    </w:pPr>
    <w:rPr>
      <w:rFonts w:ascii="宋体" w:hAnsi="Courier New"/>
      <w:kern w:val="2"/>
      <w:sz w:val="21"/>
    </w:rPr>
  </w:style>
  <w:style w:type="paragraph" w:styleId="29">
    <w:name w:val="toc 8"/>
    <w:basedOn w:val="1"/>
    <w:next w:val="1"/>
    <w:qFormat/>
    <w:uiPriority w:val="39"/>
    <w:pPr>
      <w:adjustRightInd/>
      <w:spacing w:line="240" w:lineRule="auto"/>
      <w:ind w:left="2940"/>
      <w:textAlignment w:val="auto"/>
    </w:pPr>
    <w:rPr>
      <w:rFonts w:ascii="宋体"/>
      <w:kern w:val="2"/>
      <w:sz w:val="21"/>
      <w:szCs w:val="24"/>
    </w:rPr>
  </w:style>
  <w:style w:type="paragraph" w:styleId="30">
    <w:name w:val="Date"/>
    <w:basedOn w:val="1"/>
    <w:next w:val="1"/>
    <w:link w:val="81"/>
    <w:qFormat/>
    <w:uiPriority w:val="99"/>
    <w:pPr>
      <w:jc w:val="both"/>
    </w:pPr>
    <w:rPr>
      <w:rFonts w:ascii="宋体"/>
      <w:b/>
      <w:color w:val="0000FF"/>
    </w:rPr>
  </w:style>
  <w:style w:type="paragraph" w:styleId="31">
    <w:name w:val="Body Text Indent 2"/>
    <w:basedOn w:val="1"/>
    <w:link w:val="82"/>
    <w:qFormat/>
    <w:uiPriority w:val="0"/>
    <w:pPr>
      <w:autoSpaceDE w:val="0"/>
      <w:autoSpaceDN w:val="0"/>
      <w:spacing w:line="240" w:lineRule="auto"/>
      <w:ind w:left="1260"/>
      <w:jc w:val="both"/>
    </w:pPr>
    <w:rPr>
      <w:kern w:val="2"/>
      <w:sz w:val="21"/>
    </w:rPr>
  </w:style>
  <w:style w:type="paragraph" w:styleId="32">
    <w:name w:val="endnote text"/>
    <w:basedOn w:val="1"/>
    <w:link w:val="83"/>
    <w:qFormat/>
    <w:uiPriority w:val="0"/>
    <w:pPr>
      <w:adjustRightInd/>
      <w:snapToGrid w:val="0"/>
      <w:spacing w:line="240" w:lineRule="auto"/>
      <w:textAlignment w:val="auto"/>
    </w:pPr>
    <w:rPr>
      <w:kern w:val="2"/>
      <w:sz w:val="21"/>
      <w:szCs w:val="24"/>
    </w:rPr>
  </w:style>
  <w:style w:type="paragraph" w:styleId="33">
    <w:name w:val="Balloon Text"/>
    <w:basedOn w:val="1"/>
    <w:link w:val="84"/>
    <w:semiHidden/>
    <w:qFormat/>
    <w:uiPriority w:val="99"/>
    <w:rPr>
      <w:sz w:val="18"/>
      <w:szCs w:val="18"/>
    </w:rPr>
  </w:style>
  <w:style w:type="paragraph" w:styleId="34">
    <w:name w:val="footer"/>
    <w:basedOn w:val="1"/>
    <w:link w:val="85"/>
    <w:qFormat/>
    <w:uiPriority w:val="99"/>
    <w:pPr>
      <w:tabs>
        <w:tab w:val="center" w:pos="4153"/>
        <w:tab w:val="right" w:pos="8306"/>
      </w:tabs>
      <w:snapToGrid w:val="0"/>
      <w:spacing w:line="240" w:lineRule="atLeast"/>
    </w:pPr>
    <w:rPr>
      <w:sz w:val="18"/>
    </w:rPr>
  </w:style>
  <w:style w:type="paragraph" w:styleId="35">
    <w:name w:val="header"/>
    <w:basedOn w:val="1"/>
    <w:link w:val="86"/>
    <w:qFormat/>
    <w:uiPriority w:val="99"/>
    <w:pPr>
      <w:pBdr>
        <w:bottom w:val="single" w:color="auto" w:sz="6" w:space="1"/>
      </w:pBdr>
      <w:tabs>
        <w:tab w:val="center" w:pos="4153"/>
        <w:tab w:val="right" w:pos="8306"/>
      </w:tabs>
      <w:snapToGrid w:val="0"/>
      <w:spacing w:line="240" w:lineRule="atLeast"/>
      <w:jc w:val="center"/>
    </w:pPr>
    <w:rPr>
      <w:sz w:val="18"/>
    </w:rPr>
  </w:style>
  <w:style w:type="paragraph" w:styleId="36">
    <w:name w:val="toc 1"/>
    <w:basedOn w:val="1"/>
    <w:next w:val="1"/>
    <w:qFormat/>
    <w:uiPriority w:val="39"/>
    <w:pPr>
      <w:autoSpaceDE w:val="0"/>
      <w:autoSpaceDN w:val="0"/>
      <w:snapToGrid w:val="0"/>
    </w:pPr>
    <w:rPr>
      <w:rFonts w:ascii="宋体" w:hAnsi="宋体"/>
      <w:kern w:val="2"/>
    </w:rPr>
  </w:style>
  <w:style w:type="paragraph" w:styleId="37">
    <w:name w:val="toc 4"/>
    <w:basedOn w:val="1"/>
    <w:next w:val="1"/>
    <w:qFormat/>
    <w:uiPriority w:val="39"/>
    <w:pPr>
      <w:adjustRightInd/>
      <w:spacing w:line="240" w:lineRule="auto"/>
      <w:ind w:left="1260"/>
      <w:textAlignment w:val="auto"/>
    </w:pPr>
    <w:rPr>
      <w:rFonts w:ascii="宋体"/>
      <w:kern w:val="2"/>
      <w:sz w:val="21"/>
      <w:szCs w:val="24"/>
    </w:rPr>
  </w:style>
  <w:style w:type="paragraph" w:styleId="38">
    <w:name w:val="Subtitle"/>
    <w:basedOn w:val="1"/>
    <w:link w:val="87"/>
    <w:qFormat/>
    <w:uiPriority w:val="0"/>
    <w:pPr>
      <w:adjustRightInd/>
      <w:spacing w:before="60" w:after="60" w:line="240" w:lineRule="auto"/>
      <w:jc w:val="center"/>
      <w:textAlignment w:val="auto"/>
      <w:outlineLvl w:val="1"/>
    </w:pPr>
    <w:rPr>
      <w:rFonts w:ascii="Arial" w:hAnsi="Arial" w:eastAsia="黑体" w:cs="Arial"/>
      <w:b/>
      <w:bCs/>
      <w:kern w:val="28"/>
      <w:sz w:val="36"/>
      <w:szCs w:val="32"/>
    </w:rPr>
  </w:style>
  <w:style w:type="paragraph" w:styleId="39">
    <w:name w:val="footnote text"/>
    <w:basedOn w:val="1"/>
    <w:semiHidden/>
    <w:qFormat/>
    <w:uiPriority w:val="0"/>
    <w:pPr>
      <w:adjustRightInd/>
      <w:snapToGrid w:val="0"/>
      <w:spacing w:line="240" w:lineRule="auto"/>
      <w:textAlignment w:val="auto"/>
    </w:pPr>
    <w:rPr>
      <w:kern w:val="2"/>
      <w:sz w:val="18"/>
      <w:szCs w:val="18"/>
    </w:rPr>
  </w:style>
  <w:style w:type="paragraph" w:styleId="40">
    <w:name w:val="toc 6"/>
    <w:basedOn w:val="1"/>
    <w:next w:val="1"/>
    <w:qFormat/>
    <w:uiPriority w:val="39"/>
    <w:pPr>
      <w:adjustRightInd/>
      <w:spacing w:line="240" w:lineRule="auto"/>
      <w:ind w:left="2100"/>
      <w:textAlignment w:val="auto"/>
    </w:pPr>
    <w:rPr>
      <w:rFonts w:ascii="宋体"/>
      <w:kern w:val="2"/>
      <w:sz w:val="21"/>
      <w:szCs w:val="24"/>
    </w:rPr>
  </w:style>
  <w:style w:type="paragraph" w:styleId="41">
    <w:name w:val="Body Text Indent 3"/>
    <w:basedOn w:val="1"/>
    <w:link w:val="88"/>
    <w:qFormat/>
    <w:uiPriority w:val="0"/>
    <w:pPr>
      <w:spacing w:line="240" w:lineRule="auto"/>
      <w:ind w:left="732" w:leftChars="305" w:firstLine="527" w:firstLineChars="251"/>
      <w:jc w:val="both"/>
    </w:pPr>
    <w:rPr>
      <w:rFonts w:ascii="宋体"/>
      <w:color w:val="000080"/>
      <w:sz w:val="21"/>
    </w:rPr>
  </w:style>
  <w:style w:type="paragraph" w:styleId="42">
    <w:name w:val="table of figures"/>
    <w:basedOn w:val="1"/>
    <w:next w:val="1"/>
    <w:unhideWhenUsed/>
    <w:qFormat/>
    <w:uiPriority w:val="99"/>
    <w:pPr>
      <w:adjustRightInd/>
      <w:spacing w:line="240" w:lineRule="auto"/>
      <w:ind w:left="420" w:hanging="420"/>
      <w:textAlignment w:val="auto"/>
    </w:pPr>
    <w:rPr>
      <w:rFonts w:ascii="Calibri" w:hAnsi="Calibri"/>
      <w:caps/>
      <w:kern w:val="2"/>
      <w:sz w:val="20"/>
    </w:rPr>
  </w:style>
  <w:style w:type="paragraph" w:styleId="43">
    <w:name w:val="toc 2"/>
    <w:basedOn w:val="1"/>
    <w:next w:val="1"/>
    <w:qFormat/>
    <w:uiPriority w:val="39"/>
    <w:pPr>
      <w:ind w:left="420" w:leftChars="200"/>
    </w:pPr>
  </w:style>
  <w:style w:type="paragraph" w:styleId="44">
    <w:name w:val="toc 9"/>
    <w:basedOn w:val="1"/>
    <w:next w:val="1"/>
    <w:qFormat/>
    <w:uiPriority w:val="39"/>
    <w:pPr>
      <w:adjustRightInd/>
      <w:spacing w:line="240" w:lineRule="auto"/>
      <w:ind w:left="3360"/>
      <w:textAlignment w:val="auto"/>
    </w:pPr>
    <w:rPr>
      <w:rFonts w:ascii="宋体"/>
      <w:kern w:val="2"/>
      <w:sz w:val="21"/>
      <w:szCs w:val="24"/>
    </w:rPr>
  </w:style>
  <w:style w:type="paragraph" w:styleId="45">
    <w:name w:val="Body Text 2"/>
    <w:basedOn w:val="1"/>
    <w:link w:val="89"/>
    <w:qFormat/>
    <w:uiPriority w:val="0"/>
    <w:pPr>
      <w:spacing w:line="240" w:lineRule="auto"/>
      <w:jc w:val="both"/>
    </w:pPr>
    <w:rPr>
      <w:rFonts w:ascii="宋体"/>
      <w:color w:val="000080"/>
    </w:rPr>
  </w:style>
  <w:style w:type="paragraph" w:styleId="46">
    <w:name w:val="HTML Preformatted"/>
    <w:basedOn w:val="1"/>
    <w:qFormat/>
    <w:uiPriority w:val="0"/>
    <w:rPr>
      <w:rFonts w:ascii="Courier New" w:hAnsi="Courier New" w:cs="Courier New"/>
      <w:sz w:val="20"/>
    </w:rPr>
  </w:style>
  <w:style w:type="paragraph" w:styleId="47">
    <w:name w:val="Normal (Web)"/>
    <w:basedOn w:val="1"/>
    <w:link w:val="90"/>
    <w:qFormat/>
    <w:uiPriority w:val="0"/>
    <w:pPr>
      <w:widowControl/>
      <w:adjustRightInd/>
      <w:spacing w:before="100" w:beforeAutospacing="1" w:after="100" w:afterAutospacing="1" w:line="240" w:lineRule="auto"/>
      <w:textAlignment w:val="auto"/>
    </w:pPr>
    <w:rPr>
      <w:rFonts w:ascii="宋体" w:hAnsi="宋体"/>
      <w:szCs w:val="24"/>
    </w:rPr>
  </w:style>
  <w:style w:type="paragraph" w:styleId="48">
    <w:name w:val="Title"/>
    <w:basedOn w:val="1"/>
    <w:next w:val="1"/>
    <w:link w:val="91"/>
    <w:qFormat/>
    <w:uiPriority w:val="10"/>
    <w:pPr>
      <w:adjustRightInd/>
      <w:spacing w:before="240" w:after="60" w:line="240" w:lineRule="auto"/>
      <w:jc w:val="center"/>
      <w:textAlignment w:val="auto"/>
      <w:outlineLvl w:val="0"/>
    </w:pPr>
    <w:rPr>
      <w:rFonts w:ascii="Cambria" w:hAnsi="Cambria"/>
      <w:b/>
      <w:bCs/>
      <w:kern w:val="2"/>
      <w:sz w:val="32"/>
      <w:szCs w:val="32"/>
    </w:rPr>
  </w:style>
  <w:style w:type="paragraph" w:styleId="49">
    <w:name w:val="annotation subject"/>
    <w:basedOn w:val="19"/>
    <w:next w:val="19"/>
    <w:link w:val="92"/>
    <w:semiHidden/>
    <w:qFormat/>
    <w:uiPriority w:val="99"/>
    <w:rPr>
      <w:b/>
      <w:bCs/>
    </w:rPr>
  </w:style>
  <w:style w:type="paragraph" w:styleId="50">
    <w:name w:val="Body Text First Indent"/>
    <w:basedOn w:val="22"/>
    <w:link w:val="93"/>
    <w:qFormat/>
    <w:uiPriority w:val="99"/>
    <w:pPr>
      <w:adjustRightInd/>
      <w:spacing w:after="120" w:line="240" w:lineRule="auto"/>
      <w:ind w:firstLine="420" w:firstLineChars="100"/>
      <w:jc w:val="both"/>
      <w:textAlignment w:val="auto"/>
    </w:pPr>
    <w:rPr>
      <w:rFonts w:ascii="Times New Roman"/>
      <w:color w:val="auto"/>
      <w:kern w:val="2"/>
      <w:sz w:val="21"/>
      <w:szCs w:val="24"/>
      <w:u w:val="none"/>
    </w:rPr>
  </w:style>
  <w:style w:type="table" w:styleId="52">
    <w:name w:val="Table Grid"/>
    <w:basedOn w:val="51"/>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4">
    <w:name w:val="Strong"/>
    <w:qFormat/>
    <w:uiPriority w:val="0"/>
    <w:rPr>
      <w:rFonts w:ascii="楷体_GB2312" w:eastAsia="楷体_GB2312"/>
      <w:bCs/>
    </w:rPr>
  </w:style>
  <w:style w:type="character" w:styleId="55">
    <w:name w:val="page number"/>
    <w:qFormat/>
    <w:uiPriority w:val="0"/>
  </w:style>
  <w:style w:type="character" w:styleId="56">
    <w:name w:val="FollowedHyperlink"/>
    <w:qFormat/>
    <w:uiPriority w:val="0"/>
    <w:rPr>
      <w:color w:val="800080"/>
      <w:u w:val="single"/>
    </w:rPr>
  </w:style>
  <w:style w:type="character" w:styleId="57">
    <w:name w:val="Emphasis"/>
    <w:qFormat/>
    <w:uiPriority w:val="0"/>
    <w:rPr>
      <w:i/>
      <w:iCs/>
    </w:rPr>
  </w:style>
  <w:style w:type="character" w:styleId="58">
    <w:name w:val="line number"/>
    <w:qFormat/>
    <w:uiPriority w:val="0"/>
  </w:style>
  <w:style w:type="character" w:styleId="59">
    <w:name w:val="HTML Typewriter"/>
    <w:qFormat/>
    <w:uiPriority w:val="0"/>
    <w:rPr>
      <w:rFonts w:hint="eastAsia" w:ascii="宋体" w:hAnsi="宋体" w:eastAsia="宋体" w:cs="宋体"/>
      <w:sz w:val="24"/>
      <w:szCs w:val="24"/>
    </w:rPr>
  </w:style>
  <w:style w:type="character" w:styleId="60">
    <w:name w:val="Hyperlink"/>
    <w:qFormat/>
    <w:uiPriority w:val="99"/>
    <w:rPr>
      <w:color w:val="0000FF"/>
      <w:u w:val="single"/>
    </w:rPr>
  </w:style>
  <w:style w:type="character" w:styleId="61">
    <w:name w:val="annotation reference"/>
    <w:semiHidden/>
    <w:qFormat/>
    <w:uiPriority w:val="99"/>
    <w:rPr>
      <w:sz w:val="21"/>
      <w:szCs w:val="21"/>
    </w:rPr>
  </w:style>
  <w:style w:type="character" w:styleId="62">
    <w:name w:val="footnote reference"/>
    <w:semiHidden/>
    <w:qFormat/>
    <w:uiPriority w:val="0"/>
    <w:rPr>
      <w:vertAlign w:val="superscript"/>
    </w:rPr>
  </w:style>
  <w:style w:type="character" w:customStyle="1" w:styleId="63">
    <w:name w:val="标题 1 Char"/>
    <w:link w:val="2"/>
    <w:qFormat/>
    <w:uiPriority w:val="9"/>
    <w:rPr>
      <w:rFonts w:eastAsia="宋体"/>
      <w:b/>
      <w:kern w:val="44"/>
      <w:sz w:val="44"/>
      <w:lang w:val="en-US" w:eastAsia="zh-CN" w:bidi="ar-SA"/>
    </w:rPr>
  </w:style>
  <w:style w:type="character" w:customStyle="1" w:styleId="64">
    <w:name w:val="标题 2 Char"/>
    <w:link w:val="3"/>
    <w:qFormat/>
    <w:uiPriority w:val="0"/>
    <w:rPr>
      <w:rFonts w:ascii="Arial" w:hAnsi="Arial" w:eastAsia="宋体"/>
      <w:b/>
      <w:sz w:val="30"/>
      <w:lang w:val="en-US" w:eastAsia="zh-CN" w:bidi="ar-SA"/>
    </w:rPr>
  </w:style>
  <w:style w:type="character" w:customStyle="1" w:styleId="65">
    <w:name w:val="标题 3 Char"/>
    <w:link w:val="4"/>
    <w:qFormat/>
    <w:uiPriority w:val="9"/>
    <w:rPr>
      <w:rFonts w:eastAsia="宋体"/>
      <w:b/>
      <w:sz w:val="21"/>
      <w:lang w:val="en-US" w:eastAsia="zh-CN" w:bidi="ar-SA"/>
    </w:rPr>
  </w:style>
  <w:style w:type="character" w:customStyle="1" w:styleId="66">
    <w:name w:val="正文缩进 Char"/>
    <w:link w:val="6"/>
    <w:qFormat/>
    <w:uiPriority w:val="0"/>
    <w:rPr>
      <w:rFonts w:ascii="宋体" w:eastAsia="宋体"/>
      <w:kern w:val="2"/>
      <w:sz w:val="21"/>
      <w:szCs w:val="24"/>
      <w:lang w:val="en-US" w:eastAsia="zh-CN" w:bidi="ar-SA"/>
    </w:rPr>
  </w:style>
  <w:style w:type="character" w:customStyle="1" w:styleId="67">
    <w:name w:val="标题 4 Char"/>
    <w:link w:val="5"/>
    <w:qFormat/>
    <w:uiPriority w:val="9"/>
    <w:rPr>
      <w:rFonts w:ascii="黑体" w:hAnsi="宋体" w:eastAsia="黑体"/>
      <w:b/>
      <w:bCs/>
      <w:kern w:val="2"/>
      <w:sz w:val="21"/>
      <w:szCs w:val="28"/>
      <w:lang w:val="en-US" w:eastAsia="zh-CN" w:bidi="ar-SA"/>
    </w:rPr>
  </w:style>
  <w:style w:type="character" w:customStyle="1" w:styleId="68">
    <w:name w:val="标题 5 Char"/>
    <w:link w:val="7"/>
    <w:qFormat/>
    <w:uiPriority w:val="0"/>
    <w:rPr>
      <w:rFonts w:ascii="楷体_GB2312" w:eastAsia="楷体_GB2312"/>
      <w:kern w:val="2"/>
      <w:sz w:val="21"/>
      <w:szCs w:val="28"/>
      <w:lang w:val="en-US" w:eastAsia="zh-CN" w:bidi="ar-SA"/>
    </w:rPr>
  </w:style>
  <w:style w:type="character" w:customStyle="1" w:styleId="69">
    <w:name w:val="标题 6 Char"/>
    <w:link w:val="8"/>
    <w:qFormat/>
    <w:uiPriority w:val="0"/>
    <w:rPr>
      <w:rFonts w:ascii="Arial" w:hAnsi="Arial" w:eastAsia="黑体"/>
      <w:b/>
      <w:bCs/>
      <w:kern w:val="2"/>
      <w:sz w:val="32"/>
      <w:szCs w:val="32"/>
      <w:lang w:val="en-US" w:eastAsia="zh-CN" w:bidi="ar-SA"/>
    </w:rPr>
  </w:style>
  <w:style w:type="character" w:customStyle="1" w:styleId="70">
    <w:name w:val="标题 7 Char"/>
    <w:link w:val="9"/>
    <w:qFormat/>
    <w:uiPriority w:val="0"/>
    <w:rPr>
      <w:rFonts w:eastAsia="宋体"/>
      <w:b/>
      <w:bCs/>
      <w:kern w:val="2"/>
      <w:sz w:val="32"/>
      <w:szCs w:val="32"/>
      <w:lang w:val="en-US" w:eastAsia="zh-CN" w:bidi="ar-SA"/>
    </w:rPr>
  </w:style>
  <w:style w:type="character" w:customStyle="1" w:styleId="71">
    <w:name w:val="标题 8 Char"/>
    <w:link w:val="10"/>
    <w:qFormat/>
    <w:uiPriority w:val="9"/>
    <w:rPr>
      <w:rFonts w:ascii="Arial" w:hAnsi="Arial" w:eastAsia="黑体"/>
      <w:b/>
      <w:bCs/>
      <w:kern w:val="2"/>
      <w:sz w:val="28"/>
      <w:szCs w:val="28"/>
      <w:lang w:val="en-US" w:eastAsia="zh-CN" w:bidi="ar-SA"/>
    </w:rPr>
  </w:style>
  <w:style w:type="character" w:customStyle="1" w:styleId="72">
    <w:name w:val="标题 9 Char"/>
    <w:link w:val="11"/>
    <w:qFormat/>
    <w:uiPriority w:val="0"/>
    <w:rPr>
      <w:rFonts w:ascii="Arial" w:hAnsi="Arial" w:eastAsia="黑体"/>
      <w:sz w:val="21"/>
      <w:szCs w:val="21"/>
      <w:lang w:val="en-US" w:eastAsia="zh-CN" w:bidi="ar-SA"/>
    </w:rPr>
  </w:style>
  <w:style w:type="character" w:customStyle="1" w:styleId="73">
    <w:name w:val="题注 Char"/>
    <w:link w:val="15"/>
    <w:qFormat/>
    <w:locked/>
    <w:uiPriority w:val="0"/>
    <w:rPr>
      <w:rFonts w:ascii="黑体" w:hAnsi="Arial" w:eastAsia="黑体" w:cs="Arial"/>
      <w:kern w:val="2"/>
      <w:sz w:val="18"/>
    </w:rPr>
  </w:style>
  <w:style w:type="character" w:customStyle="1" w:styleId="74">
    <w:name w:val="文档结构图 Char"/>
    <w:link w:val="17"/>
    <w:semiHidden/>
    <w:qFormat/>
    <w:uiPriority w:val="99"/>
    <w:rPr>
      <w:sz w:val="24"/>
      <w:shd w:val="clear" w:color="auto" w:fill="000080"/>
    </w:rPr>
  </w:style>
  <w:style w:type="character" w:customStyle="1" w:styleId="75">
    <w:name w:val="批注文字 Char"/>
    <w:link w:val="19"/>
    <w:semiHidden/>
    <w:qFormat/>
    <w:uiPriority w:val="99"/>
    <w:rPr>
      <w:sz w:val="24"/>
    </w:rPr>
  </w:style>
  <w:style w:type="character" w:customStyle="1" w:styleId="76">
    <w:name w:val="称呼 Char"/>
    <w:link w:val="20"/>
    <w:qFormat/>
    <w:uiPriority w:val="0"/>
    <w:rPr>
      <w:kern w:val="2"/>
      <w:sz w:val="24"/>
      <w:szCs w:val="24"/>
    </w:rPr>
  </w:style>
  <w:style w:type="character" w:customStyle="1" w:styleId="77">
    <w:name w:val="正文文本 3 Char"/>
    <w:link w:val="21"/>
    <w:qFormat/>
    <w:uiPriority w:val="0"/>
    <w:rPr>
      <w:rFonts w:ascii="宋体"/>
      <w:sz w:val="24"/>
    </w:rPr>
  </w:style>
  <w:style w:type="character" w:customStyle="1" w:styleId="78">
    <w:name w:val="正文文本 Char1"/>
    <w:link w:val="22"/>
    <w:qFormat/>
    <w:locked/>
    <w:uiPriority w:val="0"/>
    <w:rPr>
      <w:rFonts w:ascii="宋体"/>
      <w:color w:val="FF0000"/>
      <w:sz w:val="24"/>
      <w:u w:val="single"/>
    </w:rPr>
  </w:style>
  <w:style w:type="character" w:customStyle="1" w:styleId="79">
    <w:name w:val="正文文本缩进 Char"/>
    <w:link w:val="23"/>
    <w:qFormat/>
    <w:uiPriority w:val="0"/>
    <w:rPr>
      <w:rFonts w:ascii="宋体"/>
      <w:color w:val="000080"/>
      <w:sz w:val="21"/>
    </w:rPr>
  </w:style>
  <w:style w:type="character" w:customStyle="1" w:styleId="80">
    <w:name w:val="纯文本 Char"/>
    <w:link w:val="28"/>
    <w:qFormat/>
    <w:uiPriority w:val="0"/>
    <w:rPr>
      <w:rFonts w:ascii="宋体" w:hAnsi="Courier New" w:eastAsia="宋体"/>
      <w:kern w:val="2"/>
      <w:sz w:val="21"/>
      <w:lang w:val="en-US" w:eastAsia="zh-CN" w:bidi="ar-SA"/>
    </w:rPr>
  </w:style>
  <w:style w:type="character" w:customStyle="1" w:styleId="81">
    <w:name w:val="日期 Char"/>
    <w:link w:val="30"/>
    <w:qFormat/>
    <w:uiPriority w:val="99"/>
    <w:rPr>
      <w:rFonts w:ascii="宋体"/>
      <w:b/>
      <w:color w:val="0000FF"/>
      <w:sz w:val="24"/>
    </w:rPr>
  </w:style>
  <w:style w:type="character" w:customStyle="1" w:styleId="82">
    <w:name w:val="正文文本缩进 2 Char"/>
    <w:link w:val="31"/>
    <w:qFormat/>
    <w:uiPriority w:val="0"/>
    <w:rPr>
      <w:kern w:val="2"/>
      <w:sz w:val="21"/>
    </w:rPr>
  </w:style>
  <w:style w:type="character" w:customStyle="1" w:styleId="83">
    <w:name w:val="尾注文本 Char"/>
    <w:link w:val="32"/>
    <w:qFormat/>
    <w:uiPriority w:val="0"/>
    <w:rPr>
      <w:kern w:val="2"/>
      <w:sz w:val="21"/>
      <w:szCs w:val="24"/>
    </w:rPr>
  </w:style>
  <w:style w:type="character" w:customStyle="1" w:styleId="84">
    <w:name w:val="批注框文本 Char"/>
    <w:link w:val="33"/>
    <w:semiHidden/>
    <w:qFormat/>
    <w:uiPriority w:val="99"/>
    <w:rPr>
      <w:sz w:val="18"/>
      <w:szCs w:val="18"/>
    </w:rPr>
  </w:style>
  <w:style w:type="character" w:customStyle="1" w:styleId="85">
    <w:name w:val="页脚 Char"/>
    <w:link w:val="34"/>
    <w:qFormat/>
    <w:uiPriority w:val="99"/>
    <w:rPr>
      <w:sz w:val="18"/>
    </w:rPr>
  </w:style>
  <w:style w:type="character" w:customStyle="1" w:styleId="86">
    <w:name w:val="页眉 Char"/>
    <w:link w:val="35"/>
    <w:qFormat/>
    <w:uiPriority w:val="99"/>
    <w:rPr>
      <w:sz w:val="18"/>
    </w:rPr>
  </w:style>
  <w:style w:type="character" w:customStyle="1" w:styleId="87">
    <w:name w:val="副标题 Char"/>
    <w:link w:val="38"/>
    <w:qFormat/>
    <w:uiPriority w:val="0"/>
    <w:rPr>
      <w:rFonts w:ascii="Arial" w:hAnsi="Arial" w:eastAsia="黑体" w:cs="Arial"/>
      <w:b/>
      <w:bCs/>
      <w:kern w:val="28"/>
      <w:sz w:val="36"/>
      <w:szCs w:val="32"/>
      <w:lang w:val="en-US" w:eastAsia="zh-CN" w:bidi="ar-SA"/>
    </w:rPr>
  </w:style>
  <w:style w:type="character" w:customStyle="1" w:styleId="88">
    <w:name w:val="正文文本缩进 3 Char"/>
    <w:link w:val="41"/>
    <w:qFormat/>
    <w:uiPriority w:val="0"/>
    <w:rPr>
      <w:rFonts w:ascii="宋体"/>
      <w:color w:val="000080"/>
      <w:sz w:val="21"/>
    </w:rPr>
  </w:style>
  <w:style w:type="character" w:customStyle="1" w:styleId="89">
    <w:name w:val="正文文本 2 Char"/>
    <w:link w:val="45"/>
    <w:qFormat/>
    <w:uiPriority w:val="0"/>
    <w:rPr>
      <w:rFonts w:ascii="宋体"/>
      <w:color w:val="000080"/>
      <w:sz w:val="24"/>
    </w:rPr>
  </w:style>
  <w:style w:type="character" w:customStyle="1" w:styleId="90">
    <w:name w:val="普通(网站) Char"/>
    <w:link w:val="47"/>
    <w:qFormat/>
    <w:uiPriority w:val="0"/>
    <w:rPr>
      <w:rFonts w:ascii="宋体" w:hAnsi="宋体"/>
      <w:sz w:val="24"/>
      <w:szCs w:val="24"/>
    </w:rPr>
  </w:style>
  <w:style w:type="character" w:customStyle="1" w:styleId="91">
    <w:name w:val="标题 Char"/>
    <w:link w:val="48"/>
    <w:qFormat/>
    <w:uiPriority w:val="10"/>
    <w:rPr>
      <w:rFonts w:ascii="Cambria" w:hAnsi="Cambria" w:eastAsia="宋体"/>
      <w:b/>
      <w:bCs/>
      <w:kern w:val="2"/>
      <w:sz w:val="32"/>
      <w:szCs w:val="32"/>
      <w:lang w:val="en-US" w:eastAsia="zh-CN" w:bidi="ar-SA"/>
    </w:rPr>
  </w:style>
  <w:style w:type="character" w:customStyle="1" w:styleId="92">
    <w:name w:val="批注主题 Char"/>
    <w:link w:val="49"/>
    <w:semiHidden/>
    <w:qFormat/>
    <w:uiPriority w:val="99"/>
    <w:rPr>
      <w:b/>
      <w:bCs/>
      <w:sz w:val="24"/>
    </w:rPr>
  </w:style>
  <w:style w:type="character" w:customStyle="1" w:styleId="93">
    <w:name w:val="正文首行缩进 Char"/>
    <w:link w:val="50"/>
    <w:qFormat/>
    <w:uiPriority w:val="99"/>
    <w:rPr>
      <w:rFonts w:eastAsia="宋体"/>
      <w:kern w:val="2"/>
      <w:sz w:val="21"/>
      <w:szCs w:val="24"/>
      <w:lang w:val="en-US" w:eastAsia="zh-CN" w:bidi="ar-SA"/>
    </w:rPr>
  </w:style>
  <w:style w:type="paragraph" w:customStyle="1" w:styleId="94">
    <w:name w:val="正文文本 21"/>
    <w:basedOn w:val="1"/>
    <w:qFormat/>
    <w:uiPriority w:val="0"/>
    <w:pPr>
      <w:spacing w:line="240" w:lineRule="auto"/>
      <w:ind w:left="491" w:hanging="71"/>
      <w:jc w:val="both"/>
    </w:pPr>
    <w:rPr>
      <w:rFonts w:ascii="宋体"/>
      <w:color w:val="000080"/>
      <w:sz w:val="21"/>
    </w:rPr>
  </w:style>
  <w:style w:type="paragraph" w:customStyle="1" w:styleId="95">
    <w:name w:val="文档结构图1"/>
    <w:basedOn w:val="1"/>
    <w:qFormat/>
    <w:uiPriority w:val="0"/>
    <w:pPr>
      <w:shd w:val="clear" w:color="auto" w:fill="000080"/>
    </w:pPr>
  </w:style>
  <w:style w:type="paragraph" w:customStyle="1" w:styleId="96">
    <w:name w:val="正文文本缩进 21"/>
    <w:basedOn w:val="1"/>
    <w:qFormat/>
    <w:uiPriority w:val="0"/>
    <w:pPr>
      <w:autoSpaceDE w:val="0"/>
      <w:autoSpaceDN w:val="0"/>
      <w:spacing w:line="240" w:lineRule="auto"/>
      <w:ind w:left="1260"/>
      <w:jc w:val="both"/>
    </w:pPr>
    <w:rPr>
      <w:kern w:val="2"/>
      <w:sz w:val="21"/>
    </w:rPr>
  </w:style>
  <w:style w:type="paragraph" w:customStyle="1" w:styleId="97">
    <w:name w:val="正文文本缩进 31"/>
    <w:basedOn w:val="1"/>
    <w:qFormat/>
    <w:uiPriority w:val="0"/>
    <w:pPr>
      <w:spacing w:line="240" w:lineRule="auto"/>
      <w:ind w:left="732" w:firstLine="527"/>
      <w:jc w:val="both"/>
    </w:pPr>
    <w:rPr>
      <w:rFonts w:ascii="宋体"/>
      <w:color w:val="000080"/>
      <w:sz w:val="21"/>
    </w:rPr>
  </w:style>
  <w:style w:type="character" w:customStyle="1" w:styleId="98">
    <w:name w:val="超链接1"/>
    <w:qFormat/>
    <w:uiPriority w:val="0"/>
    <w:rPr>
      <w:color w:val="0000FF"/>
      <w:u w:val="single"/>
    </w:rPr>
  </w:style>
  <w:style w:type="paragraph" w:customStyle="1" w:styleId="99">
    <w:name w:val="Char"/>
    <w:basedOn w:val="1"/>
    <w:qFormat/>
    <w:uiPriority w:val="0"/>
    <w:pPr>
      <w:spacing w:line="360" w:lineRule="auto"/>
      <w:jc w:val="both"/>
      <w:textAlignment w:val="auto"/>
    </w:pPr>
  </w:style>
  <w:style w:type="paragraph" w:customStyle="1" w:styleId="100">
    <w:name w:val="默认段落字体1"/>
    <w:basedOn w:val="1"/>
    <w:qFormat/>
    <w:uiPriority w:val="0"/>
    <w:pPr>
      <w:spacing w:line="360" w:lineRule="auto"/>
      <w:jc w:val="both"/>
      <w:textAlignment w:val="auto"/>
    </w:pPr>
  </w:style>
  <w:style w:type="paragraph" w:customStyle="1" w:styleId="101">
    <w:name w:val="Default"/>
    <w:qFormat/>
    <w:uiPriority w:val="0"/>
    <w:pPr>
      <w:widowControl w:val="0"/>
      <w:autoSpaceDE w:val="0"/>
      <w:autoSpaceDN w:val="0"/>
      <w:adjustRightInd w:val="0"/>
      <w:spacing w:line="360" w:lineRule="atLeast"/>
      <w:jc w:val="both"/>
      <w:textAlignment w:val="baseline"/>
    </w:pPr>
    <w:rPr>
      <w:rFonts w:ascii="KGNKCB+ArialUnicodeMS+1" w:hAnsi="Times New Roman" w:eastAsia="KGNKCB+ArialUnicodeMS+1" w:cs="KGNKCB+ArialUnicodeMS+1"/>
      <w:color w:val="000000"/>
      <w:sz w:val="24"/>
      <w:szCs w:val="24"/>
      <w:lang w:val="en-US" w:eastAsia="zh-CN" w:bidi="ar-SA"/>
    </w:rPr>
  </w:style>
  <w:style w:type="paragraph" w:customStyle="1" w:styleId="102">
    <w:name w:val="Char1 Char Char Char Char Char Char Char Char Char Char Char Char Char"/>
    <w:basedOn w:val="1"/>
    <w:qFormat/>
    <w:uiPriority w:val="0"/>
    <w:pPr>
      <w:spacing w:line="360" w:lineRule="auto"/>
      <w:jc w:val="both"/>
      <w:textAlignment w:val="auto"/>
    </w:pPr>
  </w:style>
  <w:style w:type="paragraph" w:customStyle="1" w:styleId="103">
    <w:name w:val="Char1 Char Char Char Char Char Char Char Char Char Char Char1 Char Char Char Char Char Char Char Char Char Char Char Char Char Char1 Char Char Char Char Char Char Char Char Char Char"/>
    <w:basedOn w:val="1"/>
    <w:qFormat/>
    <w:uiPriority w:val="0"/>
    <w:pPr>
      <w:spacing w:line="360" w:lineRule="auto"/>
      <w:jc w:val="both"/>
      <w:textAlignment w:val="auto"/>
    </w:pPr>
  </w:style>
  <w:style w:type="paragraph" w:customStyle="1" w:styleId="104">
    <w:name w:val="Char1 Char Char Char Char Char Char Char Char Char Char Char1 Char Char Char Char Char Char Char Char Char Char Char Char Char Char1 Char Char Char Char Char Char Char Char Char Char Char Char Char"/>
    <w:basedOn w:val="1"/>
    <w:qFormat/>
    <w:uiPriority w:val="0"/>
    <w:pPr>
      <w:spacing w:line="360" w:lineRule="auto"/>
      <w:jc w:val="both"/>
      <w:textAlignment w:val="auto"/>
    </w:pPr>
  </w:style>
  <w:style w:type="paragraph" w:customStyle="1" w:styleId="105">
    <w:name w:val="Char1 Char Char Char Char Char Char Char Char Char Char Char1 Char Char Char Char Char Char Char Char Char Char Char Char Char Char1 Char Char Char Char Char Char Char"/>
    <w:basedOn w:val="1"/>
    <w:qFormat/>
    <w:uiPriority w:val="0"/>
    <w:pPr>
      <w:spacing w:line="360" w:lineRule="auto"/>
      <w:jc w:val="both"/>
      <w:textAlignment w:val="auto"/>
    </w:pPr>
  </w:style>
  <w:style w:type="paragraph" w:customStyle="1" w:styleId="106">
    <w:name w:val="Char1"/>
    <w:basedOn w:val="1"/>
    <w:qFormat/>
    <w:uiPriority w:val="0"/>
    <w:pPr>
      <w:spacing w:line="360" w:lineRule="auto"/>
      <w:jc w:val="both"/>
      <w:textAlignment w:val="auto"/>
    </w:pPr>
  </w:style>
  <w:style w:type="paragraph" w:customStyle="1" w:styleId="107">
    <w:name w:val="xl23"/>
    <w:basedOn w:val="1"/>
    <w:qFormat/>
    <w:uiPriority w:val="0"/>
    <w:pPr>
      <w:widowControl/>
      <w:adjustRightInd/>
      <w:spacing w:before="100" w:beforeAutospacing="1" w:after="100" w:afterAutospacing="1" w:line="240" w:lineRule="auto"/>
      <w:jc w:val="both"/>
      <w:textAlignment w:val="auto"/>
    </w:pPr>
    <w:rPr>
      <w:rFonts w:eastAsia="Arial Unicode MS"/>
      <w:sz w:val="21"/>
      <w:szCs w:val="21"/>
    </w:rPr>
  </w:style>
  <w:style w:type="paragraph" w:customStyle="1" w:styleId="108">
    <w:name w:val="Table Text"/>
    <w:basedOn w:val="1"/>
    <w:qFormat/>
    <w:uiPriority w:val="0"/>
    <w:pPr>
      <w:widowControl/>
      <w:autoSpaceDE w:val="0"/>
      <w:autoSpaceDN w:val="0"/>
      <w:adjustRightInd/>
      <w:spacing w:before="60" w:after="60" w:line="240" w:lineRule="auto"/>
      <w:textAlignment w:val="auto"/>
    </w:pPr>
    <w:rPr>
      <w:sz w:val="21"/>
      <w:szCs w:val="21"/>
    </w:rPr>
  </w:style>
  <w:style w:type="paragraph" w:customStyle="1" w:styleId="109">
    <w:name w:val="Char1 Char Char Char Char Char Char Char Char Char Char Char1 Char Char Char Char Char Char Char Char Char Char Char Char Char Char1 Char"/>
    <w:basedOn w:val="1"/>
    <w:qFormat/>
    <w:uiPriority w:val="0"/>
    <w:pPr>
      <w:spacing w:line="360" w:lineRule="auto"/>
      <w:jc w:val="both"/>
      <w:textAlignment w:val="auto"/>
    </w:pPr>
  </w:style>
  <w:style w:type="paragraph" w:styleId="110">
    <w:name w:val="List Paragraph"/>
    <w:basedOn w:val="1"/>
    <w:link w:val="111"/>
    <w:qFormat/>
    <w:uiPriority w:val="34"/>
    <w:pPr>
      <w:adjustRightInd/>
      <w:spacing w:line="240" w:lineRule="auto"/>
      <w:ind w:firstLine="420" w:firstLineChars="200"/>
      <w:jc w:val="both"/>
      <w:textAlignment w:val="auto"/>
    </w:pPr>
    <w:rPr>
      <w:rFonts w:ascii="Calibri" w:hAnsi="Calibri"/>
      <w:kern w:val="2"/>
      <w:sz w:val="21"/>
      <w:szCs w:val="22"/>
    </w:rPr>
  </w:style>
  <w:style w:type="character" w:customStyle="1" w:styleId="111">
    <w:name w:val="列出段落 Char"/>
    <w:link w:val="110"/>
    <w:qFormat/>
    <w:uiPriority w:val="34"/>
    <w:rPr>
      <w:rFonts w:ascii="Calibri" w:hAnsi="Calibri"/>
      <w:kern w:val="2"/>
      <w:sz w:val="21"/>
      <w:szCs w:val="22"/>
    </w:rPr>
  </w:style>
  <w:style w:type="paragraph" w:customStyle="1" w:styleId="112">
    <w:name w:val="默认段落字体 Para Char Char Char Char Char Char Char"/>
    <w:basedOn w:val="1"/>
    <w:qFormat/>
    <w:uiPriority w:val="0"/>
    <w:pPr>
      <w:adjustRightInd/>
      <w:spacing w:line="240" w:lineRule="auto"/>
      <w:jc w:val="both"/>
      <w:textAlignment w:val="auto"/>
    </w:pPr>
    <w:rPr>
      <w:rFonts w:ascii="Tahoma" w:hAnsi="Tahoma"/>
      <w:kern w:val="2"/>
    </w:rPr>
  </w:style>
  <w:style w:type="paragraph" w:customStyle="1" w:styleId="113">
    <w:name w:val="Char1 Char Char Char Char Char Char Char Char Char"/>
    <w:basedOn w:val="1"/>
    <w:qFormat/>
    <w:uiPriority w:val="0"/>
    <w:pPr>
      <w:spacing w:line="360" w:lineRule="auto"/>
      <w:jc w:val="both"/>
      <w:textAlignment w:val="auto"/>
    </w:pPr>
  </w:style>
  <w:style w:type="paragraph" w:customStyle="1" w:styleId="114">
    <w:name w:val="Char2"/>
    <w:basedOn w:val="1"/>
    <w:qFormat/>
    <w:uiPriority w:val="0"/>
    <w:pPr>
      <w:spacing w:line="360" w:lineRule="auto"/>
      <w:jc w:val="both"/>
      <w:textAlignment w:val="auto"/>
    </w:pPr>
  </w:style>
  <w:style w:type="table" w:customStyle="1" w:styleId="115">
    <w:name w:val="普通表格1"/>
    <w:semiHidden/>
    <w:qFormat/>
    <w:uiPriority w:val="0"/>
    <w:tblPr>
      <w:tblCellMar>
        <w:top w:w="0" w:type="dxa"/>
        <w:left w:w="108" w:type="dxa"/>
        <w:bottom w:w="0" w:type="dxa"/>
        <w:right w:w="108" w:type="dxa"/>
      </w:tblCellMar>
    </w:tblPr>
  </w:style>
  <w:style w:type="paragraph" w:customStyle="1" w:styleId="116">
    <w:name w:val="Char Char1"/>
    <w:basedOn w:val="1"/>
    <w:qFormat/>
    <w:uiPriority w:val="0"/>
    <w:pPr>
      <w:spacing w:line="360" w:lineRule="auto"/>
      <w:jc w:val="both"/>
      <w:textAlignment w:val="auto"/>
    </w:pPr>
  </w:style>
  <w:style w:type="character" w:customStyle="1" w:styleId="117">
    <w:name w:val="content"/>
    <w:qFormat/>
    <w:uiPriority w:val="0"/>
  </w:style>
  <w:style w:type="table" w:customStyle="1" w:styleId="118">
    <w:name w:val="网格型1"/>
    <w:basedOn w:val="51"/>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9">
    <w:name w:val="网格型2"/>
    <w:basedOn w:val="5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0">
    <w:name w:val="缩进"/>
    <w:basedOn w:val="1"/>
    <w:qFormat/>
    <w:uiPriority w:val="0"/>
    <w:pPr>
      <w:snapToGrid w:val="0"/>
      <w:spacing w:before="156" w:beforeLines="50" w:after="156" w:afterLines="50" w:line="360" w:lineRule="auto"/>
      <w:ind w:firstLine="480" w:firstLineChars="200"/>
      <w:jc w:val="both"/>
      <w:textAlignment w:val="auto"/>
    </w:pPr>
    <w:rPr>
      <w:rFonts w:ascii="Tahoma" w:hAnsi="Tahoma"/>
      <w:kern w:val="2"/>
      <w:szCs w:val="24"/>
    </w:rPr>
  </w:style>
  <w:style w:type="paragraph" w:customStyle="1" w:styleId="121">
    <w:name w:val="flName"/>
    <w:basedOn w:val="1"/>
    <w:qFormat/>
    <w:uiPriority w:val="0"/>
    <w:pPr>
      <w:spacing w:before="320" w:after="160"/>
      <w:jc w:val="center"/>
    </w:pPr>
    <w:rPr>
      <w:rFonts w:ascii="Arial" w:eastAsia="黑体"/>
      <w:sz w:val="32"/>
    </w:rPr>
  </w:style>
  <w:style w:type="paragraph" w:customStyle="1" w:styleId="122">
    <w:name w:val="正文文字3"/>
    <w:basedOn w:val="22"/>
    <w:qFormat/>
    <w:uiPriority w:val="0"/>
    <w:pPr>
      <w:jc w:val="both"/>
    </w:pPr>
    <w:rPr>
      <w:rFonts w:ascii="Times New Roman"/>
      <w:color w:val="auto"/>
      <w:sz w:val="21"/>
      <w:u w:val="none"/>
    </w:rPr>
  </w:style>
  <w:style w:type="paragraph" w:customStyle="1" w:styleId="123">
    <w:name w:val="表格单元"/>
    <w:basedOn w:val="1"/>
    <w:qFormat/>
    <w:uiPriority w:val="0"/>
    <w:pPr>
      <w:snapToGrid w:val="0"/>
      <w:spacing w:before="45" w:after="45" w:line="240" w:lineRule="auto"/>
      <w:textAlignment w:val="auto"/>
    </w:pPr>
    <w:rPr>
      <w:rFonts w:ascii="宋体"/>
      <w:kern w:val="2"/>
      <w:sz w:val="21"/>
      <w:szCs w:val="24"/>
    </w:rPr>
  </w:style>
  <w:style w:type="paragraph" w:customStyle="1" w:styleId="124">
    <w:name w:val="表格3"/>
    <w:basedOn w:val="1"/>
    <w:qFormat/>
    <w:uiPriority w:val="0"/>
    <w:pPr>
      <w:ind w:left="72" w:leftChars="30" w:right="72" w:rightChars="30"/>
      <w:jc w:val="both"/>
    </w:pPr>
    <w:rPr>
      <w:sz w:val="21"/>
    </w:rPr>
  </w:style>
  <w:style w:type="paragraph" w:customStyle="1" w:styleId="125">
    <w:name w:val="表格栏目"/>
    <w:basedOn w:val="1"/>
    <w:qFormat/>
    <w:uiPriority w:val="0"/>
    <w:pPr>
      <w:snapToGrid w:val="0"/>
      <w:spacing w:before="45" w:after="45" w:line="240" w:lineRule="auto"/>
      <w:jc w:val="center"/>
      <w:textAlignment w:val="auto"/>
    </w:pPr>
    <w:rPr>
      <w:rFonts w:ascii="宋体" w:eastAsia="黑体"/>
      <w:b/>
      <w:bCs/>
      <w:kern w:val="2"/>
      <w:sz w:val="21"/>
      <w:szCs w:val="24"/>
    </w:rPr>
  </w:style>
  <w:style w:type="paragraph" w:customStyle="1" w:styleId="126">
    <w:name w:val="Char Char3 Char Char Char Char"/>
    <w:basedOn w:val="1"/>
    <w:qFormat/>
    <w:uiPriority w:val="0"/>
    <w:pPr>
      <w:adjustRightInd/>
      <w:spacing w:line="240" w:lineRule="auto"/>
      <w:jc w:val="both"/>
      <w:textAlignment w:val="auto"/>
    </w:pPr>
    <w:rPr>
      <w:kern w:val="2"/>
      <w:sz w:val="21"/>
      <w:szCs w:val="24"/>
    </w:rPr>
  </w:style>
  <w:style w:type="paragraph" w:customStyle="1" w:styleId="127">
    <w:name w:val="Char Char1 Char Char Char Char Char Char Char Char Char Char Char"/>
    <w:basedOn w:val="1"/>
    <w:qFormat/>
    <w:uiPriority w:val="0"/>
    <w:pPr>
      <w:widowControl/>
      <w:adjustRightInd/>
      <w:spacing w:after="160" w:line="240" w:lineRule="exact"/>
      <w:textAlignment w:val="auto"/>
    </w:pPr>
    <w:rPr>
      <w:rFonts w:ascii="Verdana" w:hAnsi="Verdana"/>
      <w:sz w:val="20"/>
      <w:lang w:eastAsia="en-US"/>
    </w:rPr>
  </w:style>
  <w:style w:type="paragraph" w:customStyle="1" w:styleId="128">
    <w:name w:val="Char Char Char1 Char Char Char Char Char Char Char"/>
    <w:basedOn w:val="1"/>
    <w:qFormat/>
    <w:uiPriority w:val="0"/>
    <w:pPr>
      <w:spacing w:line="360" w:lineRule="auto"/>
      <w:jc w:val="both"/>
      <w:textAlignment w:val="auto"/>
    </w:pPr>
  </w:style>
  <w:style w:type="paragraph" w:customStyle="1" w:styleId="129">
    <w:name w:val="Char3"/>
    <w:basedOn w:val="1"/>
    <w:qFormat/>
    <w:uiPriority w:val="0"/>
    <w:pPr>
      <w:adjustRightInd/>
      <w:spacing w:line="240" w:lineRule="auto"/>
      <w:jc w:val="both"/>
      <w:textAlignment w:val="auto"/>
    </w:pPr>
    <w:rPr>
      <w:rFonts w:ascii="Tahoma" w:hAnsi="Tahoma"/>
      <w:kern w:val="2"/>
    </w:rPr>
  </w:style>
  <w:style w:type="paragraph" w:customStyle="1" w:styleId="130">
    <w:name w:val="列表说明"/>
    <w:basedOn w:val="1"/>
    <w:qFormat/>
    <w:uiPriority w:val="0"/>
    <w:pPr>
      <w:snapToGrid w:val="0"/>
      <w:ind w:left="850"/>
      <w:textAlignment w:val="auto"/>
    </w:pPr>
    <w:rPr>
      <w:rFonts w:ascii="宋体"/>
      <w:kern w:val="2"/>
      <w:sz w:val="21"/>
      <w:szCs w:val="24"/>
    </w:rPr>
  </w:style>
  <w:style w:type="paragraph" w:customStyle="1" w:styleId="131">
    <w:name w:val="列表说明2"/>
    <w:basedOn w:val="25"/>
    <w:qFormat/>
    <w:uiPriority w:val="0"/>
    <w:pPr>
      <w:numPr>
        <w:numId w:val="0"/>
      </w:numPr>
      <w:tabs>
        <w:tab w:val="clear" w:pos="525"/>
      </w:tabs>
      <w:ind w:left="1354"/>
    </w:pPr>
  </w:style>
  <w:style w:type="paragraph" w:customStyle="1" w:styleId="132">
    <w:name w:val="源程序"/>
    <w:basedOn w:val="6"/>
    <w:qFormat/>
    <w:uiPriority w:val="0"/>
    <w:pPr>
      <w:spacing w:before="0" w:line="240" w:lineRule="atLeast"/>
      <w:ind w:left="420" w:leftChars="200" w:firstLine="0" w:firstLineChars="0"/>
    </w:pPr>
    <w:rPr>
      <w:sz w:val="18"/>
    </w:rPr>
  </w:style>
  <w:style w:type="paragraph" w:customStyle="1" w:styleId="133">
    <w:name w:val="小标题"/>
    <w:basedOn w:val="1"/>
    <w:qFormat/>
    <w:uiPriority w:val="0"/>
    <w:pPr>
      <w:snapToGrid w:val="0"/>
      <w:spacing w:before="240"/>
      <w:ind w:left="420" w:leftChars="200"/>
      <w:textAlignment w:val="auto"/>
    </w:pPr>
    <w:rPr>
      <w:rFonts w:ascii="黑体" w:eastAsia="黑体"/>
      <w:b/>
      <w:kern w:val="2"/>
      <w:sz w:val="21"/>
      <w:szCs w:val="24"/>
    </w:rPr>
  </w:style>
  <w:style w:type="paragraph" w:customStyle="1" w:styleId="134">
    <w:name w:val="小标题 2"/>
    <w:basedOn w:val="6"/>
    <w:qFormat/>
    <w:uiPriority w:val="0"/>
    <w:pPr>
      <w:ind w:firstLine="0" w:firstLineChars="0"/>
    </w:pPr>
    <w:rPr>
      <w:rFonts w:ascii="楷体_GB2312" w:eastAsia="楷体_GB2312"/>
    </w:rPr>
  </w:style>
  <w:style w:type="paragraph" w:customStyle="1" w:styleId="135">
    <w:name w:val="È±Ê¡ÎÄ±¾"/>
    <w:basedOn w:val="1"/>
    <w:qFormat/>
    <w:uiPriority w:val="0"/>
    <w:pPr>
      <w:widowControl/>
      <w:overflowPunct w:val="0"/>
      <w:autoSpaceDE w:val="0"/>
      <w:autoSpaceDN w:val="0"/>
      <w:spacing w:line="240" w:lineRule="auto"/>
      <w:textAlignment w:val="auto"/>
    </w:pPr>
  </w:style>
  <w:style w:type="paragraph" w:customStyle="1" w:styleId="136">
    <w:name w:val="Char1 Char Char Char Char Char Char Char Char Char Char Char1 Char"/>
    <w:basedOn w:val="1"/>
    <w:qFormat/>
    <w:uiPriority w:val="0"/>
    <w:pPr>
      <w:spacing w:line="360" w:lineRule="auto"/>
      <w:jc w:val="both"/>
      <w:textAlignment w:val="auto"/>
    </w:pPr>
  </w:style>
  <w:style w:type="character" w:customStyle="1" w:styleId="137">
    <w:name w:val="Char Char3"/>
    <w:qFormat/>
    <w:uiPriority w:val="0"/>
    <w:rPr>
      <w:rFonts w:ascii="黑体" w:eastAsia="黑体"/>
      <w:b/>
      <w:bCs/>
      <w:kern w:val="2"/>
      <w:sz w:val="24"/>
      <w:szCs w:val="32"/>
      <w:lang w:val="en-US" w:eastAsia="zh-CN" w:bidi="ar-SA"/>
    </w:rPr>
  </w:style>
  <w:style w:type="character" w:customStyle="1" w:styleId="138">
    <w:name w:val="Char Char4"/>
    <w:qFormat/>
    <w:uiPriority w:val="0"/>
    <w:rPr>
      <w:rFonts w:ascii="Arial" w:hAnsi="Arial" w:eastAsia="黑体"/>
      <w:b/>
      <w:bCs/>
      <w:kern w:val="2"/>
      <w:sz w:val="28"/>
      <w:szCs w:val="32"/>
      <w:lang w:val="en-US" w:eastAsia="zh-CN" w:bidi="ar-SA"/>
    </w:rPr>
  </w:style>
  <w:style w:type="paragraph" w:customStyle="1" w:styleId="139">
    <w:name w:val="Char Char Char1 Char"/>
    <w:basedOn w:val="1"/>
    <w:qFormat/>
    <w:uiPriority w:val="0"/>
    <w:pPr>
      <w:spacing w:line="360" w:lineRule="auto"/>
      <w:jc w:val="both"/>
      <w:textAlignment w:val="auto"/>
    </w:pPr>
  </w:style>
  <w:style w:type="paragraph" w:customStyle="1" w:styleId="140">
    <w:name w:val="文字列表"/>
    <w:basedOn w:val="6"/>
    <w:qFormat/>
    <w:uiPriority w:val="0"/>
    <w:pPr>
      <w:numPr>
        <w:ilvl w:val="0"/>
        <w:numId w:val="5"/>
      </w:numPr>
      <w:tabs>
        <w:tab w:val="left" w:pos="840"/>
        <w:tab w:val="left" w:pos="960"/>
      </w:tabs>
      <w:spacing w:before="0" w:line="360" w:lineRule="auto"/>
      <w:ind w:left="780" w:leftChars="200" w:hanging="360" w:hangingChars="150"/>
      <w:jc w:val="both"/>
    </w:pPr>
    <w:rPr>
      <w:rFonts w:ascii="楷体_GB2312"/>
      <w:color w:val="000000"/>
      <w:sz w:val="24"/>
      <w:szCs w:val="20"/>
    </w:rPr>
  </w:style>
  <w:style w:type="paragraph" w:customStyle="1" w:styleId="141">
    <w:name w:val="图例编号"/>
    <w:basedOn w:val="1"/>
    <w:next w:val="6"/>
    <w:qFormat/>
    <w:uiPriority w:val="0"/>
    <w:pPr>
      <w:adjustRightInd/>
      <w:spacing w:after="156" w:afterLines="50" w:line="300" w:lineRule="auto"/>
      <w:jc w:val="center"/>
      <w:textAlignment w:val="auto"/>
    </w:pPr>
    <w:rPr>
      <w:kern w:val="2"/>
    </w:rPr>
  </w:style>
  <w:style w:type="character" w:customStyle="1" w:styleId="142">
    <w:name w:val="Char Char13"/>
    <w:qFormat/>
    <w:uiPriority w:val="0"/>
    <w:rPr>
      <w:rFonts w:ascii="Tahoma" w:hAnsi="Tahoma" w:eastAsia="黑体"/>
      <w:b/>
      <w:kern w:val="44"/>
      <w:sz w:val="72"/>
    </w:rPr>
  </w:style>
  <w:style w:type="character" w:customStyle="1" w:styleId="143">
    <w:name w:val="Char Char12"/>
    <w:qFormat/>
    <w:uiPriority w:val="0"/>
    <w:rPr>
      <w:rFonts w:eastAsia="黑体"/>
      <w:b/>
      <w:kern w:val="44"/>
      <w:sz w:val="28"/>
      <w:szCs w:val="28"/>
      <w:lang w:bidi="ar-SA"/>
    </w:rPr>
  </w:style>
  <w:style w:type="character" w:customStyle="1" w:styleId="144">
    <w:name w:val="Char Char11"/>
    <w:qFormat/>
    <w:uiPriority w:val="0"/>
    <w:rPr>
      <w:rFonts w:eastAsia="黑体"/>
      <w:b/>
      <w:bCs/>
      <w:kern w:val="44"/>
      <w:sz w:val="24"/>
      <w:szCs w:val="24"/>
      <w:lang w:bidi="ar-SA"/>
    </w:rPr>
  </w:style>
  <w:style w:type="character" w:customStyle="1" w:styleId="145">
    <w:name w:val="Char Char10"/>
    <w:qFormat/>
    <w:uiPriority w:val="0"/>
    <w:rPr>
      <w:rFonts w:ascii="Arial" w:hAnsi="Arial" w:eastAsia="黑体"/>
      <w:b/>
      <w:bCs/>
      <w:kern w:val="44"/>
      <w:sz w:val="28"/>
      <w:szCs w:val="32"/>
    </w:rPr>
  </w:style>
  <w:style w:type="paragraph" w:customStyle="1" w:styleId="146">
    <w:name w:val="_Style 145"/>
    <w:basedOn w:val="2"/>
    <w:next w:val="1"/>
    <w:qFormat/>
    <w:uiPriority w:val="39"/>
    <w:pPr>
      <w:widowControl/>
      <w:adjustRightInd/>
      <w:spacing w:before="480" w:after="0" w:line="276" w:lineRule="auto"/>
      <w:jc w:val="left"/>
      <w:textAlignment w:val="auto"/>
      <w:outlineLvl w:val="9"/>
    </w:pPr>
    <w:rPr>
      <w:rFonts w:ascii="Cambria" w:hAnsi="Cambria"/>
      <w:b w:val="0"/>
      <w:bCs/>
      <w:color w:val="365F91"/>
      <w:kern w:val="0"/>
      <w:sz w:val="28"/>
      <w:szCs w:val="28"/>
    </w:rPr>
  </w:style>
  <w:style w:type="character" w:customStyle="1" w:styleId="147">
    <w:name w:val="_Style 146"/>
    <w:qFormat/>
    <w:uiPriority w:val="0"/>
    <w:rPr>
      <w:b/>
      <w:bCs/>
      <w:smallCaps/>
      <w:color w:val="C0504D"/>
      <w:spacing w:val="5"/>
      <w:u w:val="single"/>
    </w:rPr>
  </w:style>
  <w:style w:type="character" w:customStyle="1" w:styleId="148">
    <w:name w:val="_Style 147"/>
    <w:qFormat/>
    <w:uiPriority w:val="33"/>
    <w:rPr>
      <w:b/>
      <w:bCs/>
      <w:smallCaps/>
      <w:spacing w:val="5"/>
    </w:rPr>
  </w:style>
  <w:style w:type="character" w:customStyle="1" w:styleId="149">
    <w:name w:val="_Style 148"/>
    <w:qFormat/>
    <w:uiPriority w:val="0"/>
    <w:rPr>
      <w:smallCaps/>
      <w:color w:val="C0504D"/>
      <w:u w:val="single"/>
    </w:rPr>
  </w:style>
  <w:style w:type="paragraph" w:styleId="150">
    <w:name w:val="Intense Quote"/>
    <w:basedOn w:val="1"/>
    <w:next w:val="1"/>
    <w:link w:val="151"/>
    <w:qFormat/>
    <w:uiPriority w:val="30"/>
    <w:pPr>
      <w:pBdr>
        <w:bottom w:val="single" w:color="4F81BD" w:sz="4" w:space="4"/>
      </w:pBdr>
      <w:adjustRightInd/>
      <w:spacing w:before="200" w:after="280" w:line="240" w:lineRule="auto"/>
      <w:ind w:left="936" w:right="936"/>
      <w:jc w:val="both"/>
      <w:textAlignment w:val="auto"/>
    </w:pPr>
    <w:rPr>
      <w:b/>
      <w:bCs/>
      <w:i/>
      <w:iCs/>
      <w:color w:val="4F81BD"/>
      <w:kern w:val="2"/>
      <w:sz w:val="21"/>
      <w:szCs w:val="24"/>
    </w:rPr>
  </w:style>
  <w:style w:type="character" w:customStyle="1" w:styleId="151">
    <w:name w:val="明显引用 Char"/>
    <w:link w:val="150"/>
    <w:qFormat/>
    <w:uiPriority w:val="30"/>
    <w:rPr>
      <w:rFonts w:eastAsia="宋体"/>
      <w:b/>
      <w:bCs/>
      <w:i/>
      <w:iCs/>
      <w:color w:val="4F81BD"/>
      <w:kern w:val="2"/>
      <w:sz w:val="21"/>
      <w:szCs w:val="24"/>
      <w:lang w:bidi="ar-SA"/>
    </w:rPr>
  </w:style>
  <w:style w:type="paragraph" w:styleId="152">
    <w:name w:val="Quote"/>
    <w:basedOn w:val="1"/>
    <w:next w:val="1"/>
    <w:link w:val="153"/>
    <w:qFormat/>
    <w:uiPriority w:val="29"/>
    <w:pPr>
      <w:adjustRightInd/>
      <w:spacing w:line="240" w:lineRule="auto"/>
      <w:jc w:val="both"/>
      <w:textAlignment w:val="auto"/>
    </w:pPr>
    <w:rPr>
      <w:i/>
      <w:iCs/>
      <w:color w:val="000000"/>
      <w:kern w:val="2"/>
      <w:sz w:val="21"/>
      <w:szCs w:val="24"/>
    </w:rPr>
  </w:style>
  <w:style w:type="character" w:customStyle="1" w:styleId="153">
    <w:name w:val="引用 Char"/>
    <w:link w:val="152"/>
    <w:qFormat/>
    <w:uiPriority w:val="29"/>
    <w:rPr>
      <w:rFonts w:eastAsia="宋体"/>
      <w:i/>
      <w:iCs/>
      <w:color w:val="000000"/>
      <w:kern w:val="2"/>
      <w:sz w:val="21"/>
      <w:szCs w:val="24"/>
      <w:lang w:bidi="ar-SA"/>
    </w:rPr>
  </w:style>
  <w:style w:type="character" w:customStyle="1" w:styleId="154">
    <w:name w:val="_Style 153"/>
    <w:qFormat/>
    <w:uiPriority w:val="21"/>
    <w:rPr>
      <w:b/>
      <w:bCs/>
      <w:i/>
      <w:iCs/>
      <w:color w:val="4F81BD"/>
    </w:rPr>
  </w:style>
  <w:style w:type="character" w:customStyle="1" w:styleId="155">
    <w:name w:val="正文首行缩进 Char Char Char Char Char Char Char Char"/>
    <w:qFormat/>
    <w:uiPriority w:val="0"/>
    <w:rPr>
      <w:kern w:val="2"/>
      <w:sz w:val="21"/>
      <w:szCs w:val="24"/>
    </w:rPr>
  </w:style>
  <w:style w:type="paragraph" w:customStyle="1" w:styleId="156">
    <w:name w:val="Char Char Char Char"/>
    <w:basedOn w:val="1"/>
    <w:qFormat/>
    <w:uiPriority w:val="0"/>
    <w:pPr>
      <w:widowControl/>
      <w:adjustRightInd/>
      <w:spacing w:before="60" w:after="160" w:line="240" w:lineRule="exact"/>
      <w:ind w:left="227"/>
      <w:textAlignment w:val="auto"/>
    </w:pPr>
    <w:rPr>
      <w:rFonts w:ascii="Verdana" w:hAnsi="Verdana" w:eastAsia="Times New Roman" w:cs="Segoe"/>
      <w:sz w:val="20"/>
      <w:lang w:eastAsia="en-US"/>
    </w:rPr>
  </w:style>
  <w:style w:type="paragraph" w:customStyle="1" w:styleId="157">
    <w:name w:val="标书正文"/>
    <w:basedOn w:val="1"/>
    <w:link w:val="158"/>
    <w:qFormat/>
    <w:uiPriority w:val="0"/>
    <w:pPr>
      <w:adjustRightInd/>
      <w:snapToGrid w:val="0"/>
      <w:spacing w:line="360" w:lineRule="auto"/>
      <w:ind w:firstLine="200" w:firstLineChars="200"/>
      <w:jc w:val="both"/>
      <w:textAlignment w:val="auto"/>
    </w:pPr>
    <w:rPr>
      <w:kern w:val="2"/>
    </w:rPr>
  </w:style>
  <w:style w:type="character" w:customStyle="1" w:styleId="158">
    <w:name w:val="标书正文 Char"/>
    <w:link w:val="157"/>
    <w:qFormat/>
    <w:uiPriority w:val="0"/>
    <w:rPr>
      <w:rFonts w:eastAsia="宋体"/>
      <w:kern w:val="2"/>
      <w:sz w:val="24"/>
      <w:lang w:bidi="ar-SA"/>
    </w:rPr>
  </w:style>
  <w:style w:type="paragraph" w:customStyle="1" w:styleId="159">
    <w:name w:val="Body Text 21"/>
    <w:basedOn w:val="1"/>
    <w:qFormat/>
    <w:uiPriority w:val="0"/>
    <w:pPr>
      <w:spacing w:line="240" w:lineRule="auto"/>
      <w:ind w:left="491" w:hanging="71"/>
      <w:jc w:val="both"/>
    </w:pPr>
    <w:rPr>
      <w:rFonts w:ascii="宋体"/>
      <w:color w:val="000080"/>
      <w:sz w:val="21"/>
    </w:rPr>
  </w:style>
  <w:style w:type="paragraph" w:customStyle="1" w:styleId="160">
    <w:name w:val="Document Map1"/>
    <w:basedOn w:val="1"/>
    <w:qFormat/>
    <w:uiPriority w:val="0"/>
    <w:pPr>
      <w:shd w:val="clear" w:color="auto" w:fill="000080"/>
    </w:pPr>
  </w:style>
  <w:style w:type="paragraph" w:customStyle="1" w:styleId="161">
    <w:name w:val="Body Text Indent 21"/>
    <w:basedOn w:val="1"/>
    <w:qFormat/>
    <w:uiPriority w:val="0"/>
    <w:pPr>
      <w:autoSpaceDE w:val="0"/>
      <w:autoSpaceDN w:val="0"/>
      <w:spacing w:line="240" w:lineRule="auto"/>
      <w:ind w:left="1260"/>
      <w:jc w:val="both"/>
    </w:pPr>
    <w:rPr>
      <w:kern w:val="2"/>
      <w:sz w:val="21"/>
    </w:rPr>
  </w:style>
  <w:style w:type="paragraph" w:customStyle="1" w:styleId="162">
    <w:name w:val="Body Text Indent 31"/>
    <w:basedOn w:val="1"/>
    <w:qFormat/>
    <w:uiPriority w:val="0"/>
    <w:pPr>
      <w:spacing w:line="240" w:lineRule="auto"/>
      <w:ind w:left="732" w:firstLine="527"/>
      <w:jc w:val="both"/>
    </w:pPr>
    <w:rPr>
      <w:rFonts w:ascii="宋体"/>
      <w:color w:val="000080"/>
      <w:sz w:val="21"/>
    </w:rPr>
  </w:style>
  <w:style w:type="character" w:customStyle="1" w:styleId="163">
    <w:name w:val="Hyperlink1"/>
    <w:qFormat/>
    <w:uiPriority w:val="0"/>
    <w:rPr>
      <w:color w:val="0000FF"/>
      <w:u w:val="single"/>
    </w:rPr>
  </w:style>
  <w:style w:type="paragraph" w:customStyle="1" w:styleId="164">
    <w:name w:val="Char1 Char Char Char Char Char Char Char Char Char Char Char Char Char1"/>
    <w:basedOn w:val="1"/>
    <w:qFormat/>
    <w:uiPriority w:val="0"/>
    <w:pPr>
      <w:spacing w:line="360" w:lineRule="auto"/>
      <w:jc w:val="both"/>
      <w:textAlignment w:val="auto"/>
    </w:pPr>
  </w:style>
  <w:style w:type="paragraph" w:customStyle="1" w:styleId="165">
    <w:name w:val="Char1 Char Char Char Char Char Char Char Char Char Char Char1 Char Char Char Char Char Char Char Char Char Char Char Char Char Char1 Char Char Char Char Char Char Char Char Char Char1"/>
    <w:basedOn w:val="1"/>
    <w:qFormat/>
    <w:uiPriority w:val="0"/>
    <w:pPr>
      <w:spacing w:line="360" w:lineRule="auto"/>
      <w:jc w:val="both"/>
      <w:textAlignment w:val="auto"/>
    </w:pPr>
  </w:style>
  <w:style w:type="paragraph" w:customStyle="1" w:styleId="166">
    <w:name w:val="Char1 Char Char Char Char Char Char Char Char Char Char Char1 Char Char Char Char Char Char Char Char Char Char Char Char Char Char1 Char Char Char Char Char Char Char Char Char Char Char Char Char1"/>
    <w:basedOn w:val="1"/>
    <w:qFormat/>
    <w:uiPriority w:val="0"/>
    <w:pPr>
      <w:spacing w:line="360" w:lineRule="auto"/>
      <w:jc w:val="both"/>
      <w:textAlignment w:val="auto"/>
    </w:pPr>
  </w:style>
  <w:style w:type="paragraph" w:customStyle="1" w:styleId="167">
    <w:name w:val="Char1 Char Char Char Char Char Char Char Char Char Char Char1 Char Char Char Char Char Char Char Char Char Char Char Char Char Char1 Char Char Char Char Char Char Char1"/>
    <w:basedOn w:val="1"/>
    <w:qFormat/>
    <w:uiPriority w:val="0"/>
    <w:pPr>
      <w:spacing w:line="360" w:lineRule="auto"/>
      <w:jc w:val="both"/>
      <w:textAlignment w:val="auto"/>
    </w:pPr>
  </w:style>
  <w:style w:type="paragraph" w:customStyle="1" w:styleId="168">
    <w:name w:val="Char11"/>
    <w:basedOn w:val="1"/>
    <w:qFormat/>
    <w:uiPriority w:val="0"/>
    <w:pPr>
      <w:spacing w:line="360" w:lineRule="auto"/>
      <w:jc w:val="both"/>
      <w:textAlignment w:val="auto"/>
    </w:pPr>
  </w:style>
  <w:style w:type="paragraph" w:customStyle="1" w:styleId="169">
    <w:name w:val="Char1 Char Char Char Char Char Char Char Char Char Char Char1 Char Char Char Char Char Char Char Char Char Char Char Char Char Char1 Char1"/>
    <w:basedOn w:val="1"/>
    <w:qFormat/>
    <w:uiPriority w:val="0"/>
    <w:pPr>
      <w:spacing w:line="360" w:lineRule="auto"/>
      <w:jc w:val="both"/>
      <w:textAlignment w:val="auto"/>
    </w:pPr>
  </w:style>
  <w:style w:type="paragraph" w:customStyle="1" w:styleId="170">
    <w:name w:val="Char1 Char Char Char Char Char Char Char Char Char1"/>
    <w:basedOn w:val="1"/>
    <w:qFormat/>
    <w:uiPriority w:val="0"/>
    <w:pPr>
      <w:spacing w:line="360" w:lineRule="auto"/>
      <w:jc w:val="both"/>
      <w:textAlignment w:val="auto"/>
    </w:pPr>
  </w:style>
  <w:style w:type="paragraph" w:customStyle="1" w:styleId="171">
    <w:name w:val="Char21"/>
    <w:basedOn w:val="1"/>
    <w:qFormat/>
    <w:uiPriority w:val="0"/>
    <w:pPr>
      <w:spacing w:line="360" w:lineRule="auto"/>
      <w:jc w:val="both"/>
      <w:textAlignment w:val="auto"/>
    </w:pPr>
  </w:style>
  <w:style w:type="paragraph" w:customStyle="1" w:styleId="172">
    <w:name w:val="Char Char14"/>
    <w:basedOn w:val="1"/>
    <w:qFormat/>
    <w:uiPriority w:val="0"/>
    <w:pPr>
      <w:spacing w:line="360" w:lineRule="auto"/>
      <w:jc w:val="both"/>
      <w:textAlignment w:val="auto"/>
    </w:pPr>
  </w:style>
  <w:style w:type="character" w:customStyle="1" w:styleId="173">
    <w:name w:val="Char Char8"/>
    <w:qFormat/>
    <w:uiPriority w:val="0"/>
    <w:rPr>
      <w:rFonts w:ascii="Arial" w:hAnsi="Arial" w:eastAsia="黑体"/>
      <w:b/>
      <w:bCs/>
      <w:kern w:val="2"/>
      <w:sz w:val="32"/>
      <w:szCs w:val="32"/>
      <w:lang w:val="en-US" w:eastAsia="zh-CN" w:bidi="ar-SA"/>
    </w:rPr>
  </w:style>
  <w:style w:type="character" w:customStyle="1" w:styleId="174">
    <w:name w:val="Char Char7"/>
    <w:qFormat/>
    <w:uiPriority w:val="0"/>
    <w:rPr>
      <w:rFonts w:eastAsia="宋体"/>
      <w:b/>
      <w:bCs/>
      <w:kern w:val="2"/>
      <w:sz w:val="32"/>
      <w:szCs w:val="32"/>
      <w:lang w:val="en-US" w:eastAsia="zh-CN" w:bidi="ar-SA"/>
    </w:rPr>
  </w:style>
  <w:style w:type="character" w:customStyle="1" w:styleId="175">
    <w:name w:val="Char Char6"/>
    <w:qFormat/>
    <w:uiPriority w:val="0"/>
    <w:rPr>
      <w:rFonts w:ascii="Arial" w:hAnsi="Arial" w:eastAsia="黑体"/>
      <w:b/>
      <w:bCs/>
      <w:kern w:val="2"/>
      <w:sz w:val="28"/>
      <w:szCs w:val="28"/>
      <w:lang w:val="en-US" w:eastAsia="zh-CN" w:bidi="ar-SA"/>
    </w:rPr>
  </w:style>
  <w:style w:type="paragraph" w:customStyle="1" w:styleId="176">
    <w:name w:val="Char Char3 Char Char Char Char1"/>
    <w:basedOn w:val="1"/>
    <w:qFormat/>
    <w:uiPriority w:val="0"/>
    <w:pPr>
      <w:adjustRightInd/>
      <w:spacing w:line="240" w:lineRule="auto"/>
      <w:jc w:val="both"/>
      <w:textAlignment w:val="auto"/>
    </w:pPr>
    <w:rPr>
      <w:kern w:val="2"/>
      <w:sz w:val="21"/>
      <w:szCs w:val="24"/>
    </w:rPr>
  </w:style>
  <w:style w:type="paragraph" w:customStyle="1" w:styleId="177">
    <w:name w:val="样式 左侧:  0 厘米 首行缩进:  0 厘米"/>
    <w:basedOn w:val="1"/>
    <w:qFormat/>
    <w:uiPriority w:val="0"/>
    <w:pPr>
      <w:adjustRightInd/>
      <w:spacing w:line="360" w:lineRule="auto"/>
      <w:jc w:val="both"/>
      <w:textAlignment w:val="auto"/>
    </w:pPr>
    <w:rPr>
      <w:rFonts w:ascii="Arial" w:hAnsi="Arial" w:eastAsia="仿宋_GB2312"/>
      <w:kern w:val="2"/>
      <w:sz w:val="28"/>
      <w:szCs w:val="24"/>
    </w:rPr>
  </w:style>
  <w:style w:type="paragraph" w:customStyle="1" w:styleId="178">
    <w:name w:val="Table Heading"/>
    <w:basedOn w:val="1"/>
    <w:qFormat/>
    <w:uiPriority w:val="0"/>
    <w:pPr>
      <w:framePr w:hSpace="180" w:wrap="around" w:vAnchor="text" w:hAnchor="text" w:x="108" w:y="1"/>
      <w:widowControl/>
      <w:adjustRightInd/>
      <w:spacing w:before="60" w:after="60" w:line="288" w:lineRule="auto"/>
      <w:ind w:left="255"/>
      <w:jc w:val="center"/>
      <w:textAlignment w:val="auto"/>
    </w:pPr>
    <w:rPr>
      <w:rFonts w:ascii="宋体" w:hAnsi="宋体"/>
      <w:b/>
      <w:sz w:val="21"/>
      <w:szCs w:val="24"/>
    </w:rPr>
  </w:style>
  <w:style w:type="character" w:customStyle="1" w:styleId="179">
    <w:name w:val="apple-style-span"/>
    <w:qFormat/>
    <w:uiPriority w:val="0"/>
  </w:style>
  <w:style w:type="paragraph" w:customStyle="1" w:styleId="180">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181">
    <w:name w:val="xl46"/>
    <w:basedOn w:val="1"/>
    <w:qFormat/>
    <w:uiPriority w:val="0"/>
    <w:pPr>
      <w:widowControl/>
      <w:pBdr>
        <w:left w:val="single" w:color="auto" w:sz="4" w:space="0"/>
        <w:right w:val="single" w:color="auto" w:sz="4" w:space="0"/>
      </w:pBdr>
      <w:adjustRightInd/>
      <w:spacing w:before="100" w:beforeAutospacing="1" w:after="100" w:afterAutospacing="1" w:line="240" w:lineRule="auto"/>
      <w:jc w:val="center"/>
      <w:textAlignment w:val="auto"/>
    </w:pPr>
    <w:rPr>
      <w:rFonts w:ascii="宋体" w:hAnsi="宋体"/>
      <w:sz w:val="20"/>
    </w:rPr>
  </w:style>
  <w:style w:type="paragraph" w:customStyle="1" w:styleId="182">
    <w:name w:val="正文样式"/>
    <w:basedOn w:val="1"/>
    <w:link w:val="183"/>
    <w:qFormat/>
    <w:uiPriority w:val="0"/>
    <w:pPr>
      <w:adjustRightInd/>
      <w:spacing w:beforeLines="50" w:line="300" w:lineRule="auto"/>
      <w:ind w:firstLine="480" w:firstLineChars="200"/>
      <w:jc w:val="both"/>
      <w:textAlignment w:val="auto"/>
    </w:pPr>
    <w:rPr>
      <w:rFonts w:ascii="宋体" w:hAnsi="宋体"/>
      <w:szCs w:val="24"/>
    </w:rPr>
  </w:style>
  <w:style w:type="character" w:customStyle="1" w:styleId="183">
    <w:name w:val="正文样式 Char"/>
    <w:link w:val="182"/>
    <w:qFormat/>
    <w:uiPriority w:val="0"/>
    <w:rPr>
      <w:rFonts w:ascii="宋体" w:hAnsi="宋体"/>
      <w:sz w:val="24"/>
      <w:szCs w:val="24"/>
    </w:rPr>
  </w:style>
  <w:style w:type="character" w:customStyle="1" w:styleId="184">
    <w:name w:val="第二层条 Char1"/>
    <w:qFormat/>
    <w:uiPriority w:val="0"/>
    <w:rPr>
      <w:rFonts w:ascii="Times New Roman" w:hAnsi="Times New Roman"/>
      <w:sz w:val="24"/>
    </w:rPr>
  </w:style>
  <w:style w:type="character" w:customStyle="1" w:styleId="185">
    <w:name w:val="普通文字 Char Char Char Char"/>
    <w:qFormat/>
    <w:uiPriority w:val="0"/>
    <w:rPr>
      <w:rFonts w:ascii="宋体" w:hAnsi="Courier New" w:eastAsia="宋体" w:cs="Times New Roman"/>
      <w:szCs w:val="20"/>
    </w:rPr>
  </w:style>
  <w:style w:type="paragraph" w:customStyle="1" w:styleId="186">
    <w:name w:val="插入对象"/>
    <w:basedOn w:val="1"/>
    <w:qFormat/>
    <w:uiPriority w:val="0"/>
    <w:pPr>
      <w:keepLines/>
      <w:spacing w:line="354" w:lineRule="auto"/>
      <w:ind w:firstLine="425"/>
      <w:jc w:val="center"/>
    </w:pPr>
  </w:style>
  <w:style w:type="paragraph" w:customStyle="1" w:styleId="187">
    <w:name w:val="standdate"/>
    <w:basedOn w:val="34"/>
    <w:qFormat/>
    <w:uiPriority w:val="0"/>
    <w:pPr>
      <w:pBdr>
        <w:top w:val="single" w:color="auto" w:sz="6" w:space="7"/>
      </w:pBdr>
      <w:tabs>
        <w:tab w:val="clear" w:pos="4153"/>
        <w:tab w:val="clear" w:pos="8306"/>
      </w:tabs>
      <w:snapToGrid/>
      <w:ind w:left="255" w:right="255"/>
      <w:jc w:val="center"/>
      <w:textAlignment w:val="center"/>
    </w:pPr>
    <w:rPr>
      <w:rFonts w:ascii="黑体" w:eastAsia="黑体"/>
      <w:b/>
      <w:spacing w:val="-4"/>
      <w:sz w:val="21"/>
    </w:rPr>
  </w:style>
  <w:style w:type="character" w:customStyle="1" w:styleId="188">
    <w:name w:val="standdate1"/>
    <w:qFormat/>
    <w:uiPriority w:val="0"/>
    <w:rPr>
      <w:rFonts w:ascii="黑体" w:hAnsi="Times New Roman" w:eastAsia="黑体"/>
      <w:color w:val="auto"/>
      <w:sz w:val="24"/>
      <w:u w:val="none"/>
    </w:rPr>
  </w:style>
  <w:style w:type="paragraph" w:customStyle="1" w:styleId="189">
    <w:name w:val="flNote"/>
    <w:basedOn w:val="1"/>
    <w:qFormat/>
    <w:uiPriority w:val="0"/>
    <w:pPr>
      <w:spacing w:before="320" w:after="160"/>
      <w:jc w:val="center"/>
    </w:pPr>
    <w:rPr>
      <w:rFonts w:ascii="Arial" w:eastAsia="黑体"/>
      <w:sz w:val="30"/>
    </w:rPr>
  </w:style>
  <w:style w:type="paragraph" w:customStyle="1" w:styleId="190">
    <w:name w:val="flType"/>
    <w:basedOn w:val="121"/>
    <w:qFormat/>
    <w:uiPriority w:val="0"/>
    <w:pPr>
      <w:spacing w:before="560" w:after="120"/>
    </w:pPr>
    <w:rPr>
      <w:sz w:val="28"/>
    </w:rPr>
  </w:style>
  <w:style w:type="character" w:customStyle="1" w:styleId="191">
    <w:name w:val="正文文本 Char"/>
    <w:qFormat/>
    <w:uiPriority w:val="0"/>
  </w:style>
  <w:style w:type="paragraph" w:customStyle="1" w:styleId="192">
    <w:name w:val="注"/>
    <w:basedOn w:val="1"/>
    <w:qFormat/>
    <w:uiPriority w:val="0"/>
    <w:pPr>
      <w:ind w:left="840" w:hanging="420"/>
      <w:jc w:val="both"/>
    </w:pPr>
    <w:rPr>
      <w:sz w:val="21"/>
    </w:rPr>
  </w:style>
  <w:style w:type="paragraph" w:customStyle="1" w:styleId="193">
    <w:name w:val="正文文字1"/>
    <w:basedOn w:val="22"/>
    <w:qFormat/>
    <w:uiPriority w:val="0"/>
    <w:pPr>
      <w:ind w:left="72" w:leftChars="30" w:right="72" w:rightChars="30"/>
      <w:jc w:val="both"/>
    </w:pPr>
    <w:rPr>
      <w:rFonts w:ascii="Times New Roman"/>
      <w:color w:val="auto"/>
      <w:sz w:val="21"/>
      <w:u w:val="none"/>
    </w:rPr>
  </w:style>
  <w:style w:type="paragraph" w:customStyle="1" w:styleId="194">
    <w:name w:val="正文文字2"/>
    <w:basedOn w:val="22"/>
    <w:qFormat/>
    <w:uiPriority w:val="0"/>
    <w:pPr>
      <w:spacing w:after="60"/>
      <w:ind w:left="72" w:leftChars="30" w:right="72" w:rightChars="30"/>
      <w:jc w:val="center"/>
    </w:pPr>
    <w:rPr>
      <w:rFonts w:ascii="Arial" w:eastAsia="黑体"/>
      <w:color w:val="auto"/>
      <w:sz w:val="21"/>
      <w:u w:val="none"/>
    </w:rPr>
  </w:style>
  <w:style w:type="paragraph" w:customStyle="1" w:styleId="195">
    <w:name w:val="空半行"/>
    <w:basedOn w:val="1"/>
    <w:qFormat/>
    <w:uiPriority w:val="0"/>
    <w:pPr>
      <w:spacing w:line="120" w:lineRule="exact"/>
      <w:jc w:val="both"/>
    </w:pPr>
    <w:rPr>
      <w:rFonts w:eastAsia="仿宋_GB2312"/>
      <w:color w:val="FFFFFF"/>
      <w:sz w:val="30"/>
    </w:rPr>
  </w:style>
  <w:style w:type="character" w:customStyle="1" w:styleId="196">
    <w:name w:val="标题 3 Char Char"/>
    <w:qFormat/>
    <w:uiPriority w:val="0"/>
    <w:rPr>
      <w:rFonts w:eastAsia="宋体"/>
      <w:b/>
      <w:bCs/>
      <w:kern w:val="2"/>
      <w:sz w:val="32"/>
      <w:szCs w:val="32"/>
      <w:lang w:val="en-US" w:eastAsia="zh-CN"/>
    </w:rPr>
  </w:style>
  <w:style w:type="character" w:customStyle="1" w:styleId="197">
    <w:name w:val="（符号）三标题1.1 Char"/>
    <w:link w:val="198"/>
    <w:qFormat/>
    <w:uiPriority w:val="0"/>
    <w:rPr>
      <w:rFonts w:ascii="宋体" w:hAnsi="宋体"/>
      <w:sz w:val="24"/>
    </w:rPr>
  </w:style>
  <w:style w:type="paragraph" w:customStyle="1" w:styleId="198">
    <w:name w:val="（符号）三标题1.1"/>
    <w:basedOn w:val="1"/>
    <w:link w:val="197"/>
    <w:qFormat/>
    <w:uiPriority w:val="0"/>
    <w:pPr>
      <w:adjustRightInd/>
      <w:spacing w:line="500" w:lineRule="exact"/>
      <w:jc w:val="both"/>
      <w:textAlignment w:val="auto"/>
    </w:pPr>
    <w:rPr>
      <w:rFonts w:ascii="宋体" w:hAnsi="宋体"/>
    </w:rPr>
  </w:style>
  <w:style w:type="character" w:customStyle="1" w:styleId="199">
    <w:name w:val="style4"/>
    <w:qFormat/>
    <w:uiPriority w:val="0"/>
  </w:style>
  <w:style w:type="character" w:customStyle="1" w:styleId="200">
    <w:name w:val="unnamed11"/>
    <w:qFormat/>
    <w:uiPriority w:val="0"/>
  </w:style>
  <w:style w:type="paragraph" w:customStyle="1" w:styleId="201">
    <w:name w:val="样式1"/>
    <w:basedOn w:val="5"/>
    <w:link w:val="202"/>
    <w:qFormat/>
    <w:uiPriority w:val="0"/>
    <w:pPr>
      <w:tabs>
        <w:tab w:val="clear" w:pos="864"/>
      </w:tabs>
      <w:adjustRightInd/>
      <w:snapToGrid/>
      <w:spacing w:before="280" w:after="290" w:line="374" w:lineRule="auto"/>
      <w:ind w:left="0" w:firstLine="0"/>
      <w:jc w:val="both"/>
    </w:pPr>
    <w:rPr>
      <w:rFonts w:ascii="Arial" w:hAnsi="Arial"/>
      <w:bCs w:val="0"/>
      <w:color w:val="000000"/>
      <w:sz w:val="24"/>
      <w:szCs w:val="20"/>
    </w:rPr>
  </w:style>
  <w:style w:type="character" w:customStyle="1" w:styleId="202">
    <w:name w:val="样式1 Char"/>
    <w:link w:val="201"/>
    <w:qFormat/>
    <w:locked/>
    <w:uiPriority w:val="0"/>
    <w:rPr>
      <w:rFonts w:ascii="Arial" w:hAnsi="Arial" w:eastAsia="黑体"/>
      <w:b/>
      <w:color w:val="000000"/>
      <w:kern w:val="2"/>
      <w:sz w:val="24"/>
    </w:rPr>
  </w:style>
  <w:style w:type="paragraph" w:customStyle="1" w:styleId="203">
    <w:name w:val="文"/>
    <w:basedOn w:val="28"/>
    <w:qFormat/>
    <w:uiPriority w:val="0"/>
    <w:pPr>
      <w:adjustRightInd/>
      <w:spacing w:line="360" w:lineRule="auto"/>
      <w:ind w:firstLine="480" w:firstLineChars="200"/>
      <w:textAlignment w:val="auto"/>
    </w:pPr>
    <w:rPr>
      <w:rFonts w:ascii="黑体" w:hAnsi="Times New Roman" w:eastAsia="黑体"/>
      <w:sz w:val="24"/>
    </w:rPr>
  </w:style>
  <w:style w:type="character" w:customStyle="1" w:styleId="204">
    <w:name w:val="unnamed1"/>
    <w:qFormat/>
    <w:uiPriority w:val="0"/>
  </w:style>
  <w:style w:type="paragraph" w:customStyle="1" w:styleId="205">
    <w:name w:val="强调文字2"/>
    <w:basedOn w:val="1"/>
    <w:qFormat/>
    <w:uiPriority w:val="0"/>
    <w:pPr>
      <w:adjustRightInd/>
      <w:spacing w:line="440" w:lineRule="exact"/>
      <w:jc w:val="center"/>
      <w:textAlignment w:val="auto"/>
    </w:pPr>
    <w:rPr>
      <w:rFonts w:ascii="华文细黑" w:hAnsi="华文细黑" w:eastAsia="黑体" w:cs="Arial"/>
      <w:spacing w:val="40"/>
      <w:sz w:val="30"/>
      <w:szCs w:val="28"/>
    </w:rPr>
  </w:style>
  <w:style w:type="paragraph" w:customStyle="1" w:styleId="206">
    <w:name w:val="样式2"/>
    <w:basedOn w:val="1"/>
    <w:link w:val="207"/>
    <w:qFormat/>
    <w:uiPriority w:val="0"/>
    <w:pPr>
      <w:pBdr>
        <w:bottom w:val="thinThickSmallGap" w:color="0000FF" w:sz="12" w:space="1"/>
      </w:pBdr>
      <w:adjustRightInd/>
      <w:spacing w:line="240" w:lineRule="auto"/>
      <w:jc w:val="both"/>
      <w:textAlignment w:val="auto"/>
    </w:pPr>
    <w:rPr>
      <w:kern w:val="2"/>
      <w:sz w:val="18"/>
      <w:szCs w:val="18"/>
    </w:rPr>
  </w:style>
  <w:style w:type="character" w:customStyle="1" w:styleId="207">
    <w:name w:val="样式2 Char"/>
    <w:link w:val="206"/>
    <w:qFormat/>
    <w:uiPriority w:val="0"/>
    <w:rPr>
      <w:kern w:val="2"/>
      <w:sz w:val="18"/>
      <w:szCs w:val="18"/>
    </w:rPr>
  </w:style>
  <w:style w:type="paragraph" w:customStyle="1" w:styleId="208">
    <w:name w:val="样式3"/>
    <w:basedOn w:val="35"/>
    <w:qFormat/>
    <w:uiPriority w:val="0"/>
    <w:pPr>
      <w:pBdr>
        <w:bottom w:val="thinThickSmallGap" w:color="0000FF" w:sz="12" w:space="1"/>
      </w:pBdr>
      <w:adjustRightInd/>
      <w:spacing w:line="240" w:lineRule="auto"/>
      <w:textAlignment w:val="auto"/>
    </w:pPr>
    <w:rPr>
      <w:kern w:val="2"/>
    </w:rPr>
  </w:style>
  <w:style w:type="paragraph" w:customStyle="1" w:styleId="209">
    <w:name w:val="Blockquote"/>
    <w:basedOn w:val="1"/>
    <w:qFormat/>
    <w:uiPriority w:val="0"/>
    <w:pPr>
      <w:autoSpaceDE w:val="0"/>
      <w:autoSpaceDN w:val="0"/>
      <w:spacing w:before="100" w:after="100" w:line="240" w:lineRule="auto"/>
      <w:ind w:left="360" w:right="360"/>
      <w:textAlignment w:val="auto"/>
    </w:pPr>
  </w:style>
  <w:style w:type="paragraph" w:customStyle="1" w:styleId="210">
    <w:name w:val="封面字体1"/>
    <w:basedOn w:val="1"/>
    <w:qFormat/>
    <w:uiPriority w:val="0"/>
    <w:pPr>
      <w:adjustRightInd/>
      <w:spacing w:line="240" w:lineRule="atLeast"/>
      <w:jc w:val="both"/>
      <w:textAlignment w:val="auto"/>
    </w:pPr>
    <w:rPr>
      <w:rFonts w:ascii="华文细黑" w:hAnsi="华文细黑" w:cs="Arial"/>
      <w:b/>
      <w:bCs/>
      <w:color w:val="800000"/>
      <w:spacing w:val="100"/>
      <w:sz w:val="44"/>
      <w:szCs w:val="28"/>
    </w:rPr>
  </w:style>
  <w:style w:type="paragraph" w:customStyle="1" w:styleId="211">
    <w:name w:val="正文小四2缩进"/>
    <w:basedOn w:val="1"/>
    <w:next w:val="1"/>
    <w:link w:val="212"/>
    <w:qFormat/>
    <w:uiPriority w:val="0"/>
    <w:pPr>
      <w:adjustRightInd/>
      <w:snapToGrid w:val="0"/>
      <w:spacing w:beforeLines="20" w:line="360" w:lineRule="auto"/>
      <w:ind w:firstLine="412" w:firstLineChars="196"/>
      <w:textAlignment w:val="auto"/>
      <w:outlineLvl w:val="0"/>
    </w:pPr>
    <w:rPr>
      <w:rFonts w:ascii="宋体" w:hAnsi="宋体"/>
      <w:kern w:val="2"/>
      <w:sz w:val="21"/>
      <w:szCs w:val="21"/>
    </w:rPr>
  </w:style>
  <w:style w:type="character" w:customStyle="1" w:styleId="212">
    <w:name w:val="正文小四2缩进 Char"/>
    <w:link w:val="211"/>
    <w:qFormat/>
    <w:uiPriority w:val="0"/>
    <w:rPr>
      <w:rFonts w:ascii="宋体" w:hAnsi="宋体" w:cs="宋体"/>
      <w:kern w:val="2"/>
      <w:sz w:val="21"/>
      <w:szCs w:val="21"/>
    </w:rPr>
  </w:style>
  <w:style w:type="paragraph" w:customStyle="1" w:styleId="213">
    <w:name w:val="样式 文档正文 + 首行缩进:  2 字符 段前: 0.25 行"/>
    <w:basedOn w:val="1"/>
    <w:qFormat/>
    <w:uiPriority w:val="0"/>
    <w:pPr>
      <w:adjustRightInd/>
      <w:spacing w:line="360" w:lineRule="auto"/>
      <w:ind w:firstLine="480" w:firstLineChars="200"/>
      <w:textAlignment w:val="auto"/>
    </w:pPr>
    <w:rPr>
      <w:rFonts w:ascii="Arial" w:cs="Arial"/>
      <w:kern w:val="2"/>
    </w:rPr>
  </w:style>
  <w:style w:type="paragraph" w:customStyle="1" w:styleId="214">
    <w:name w:val="世博正文缩进"/>
    <w:link w:val="215"/>
    <w:qFormat/>
    <w:uiPriority w:val="0"/>
    <w:pPr>
      <w:spacing w:beforeLines="50" w:afterLines="50" w:line="360" w:lineRule="auto"/>
      <w:ind w:firstLine="482"/>
    </w:pPr>
    <w:rPr>
      <w:rFonts w:ascii="宋体" w:hAnsi="宋体" w:eastAsia="宋体" w:cs="Times New Roman"/>
      <w:kern w:val="2"/>
      <w:sz w:val="24"/>
      <w:lang w:val="en-US" w:eastAsia="zh-CN" w:bidi="ar-SA"/>
    </w:rPr>
  </w:style>
  <w:style w:type="character" w:customStyle="1" w:styleId="215">
    <w:name w:val="世博正文缩进 Char"/>
    <w:link w:val="214"/>
    <w:qFormat/>
    <w:uiPriority w:val="0"/>
    <w:rPr>
      <w:rFonts w:ascii="宋体" w:hAnsi="宋体"/>
      <w:kern w:val="2"/>
      <w:sz w:val="24"/>
      <w:lang w:val="en-US" w:eastAsia="zh-CN" w:bidi="ar-SA"/>
    </w:rPr>
  </w:style>
  <w:style w:type="paragraph" w:customStyle="1" w:styleId="216">
    <w:name w:val="世博标题1"/>
    <w:qFormat/>
    <w:uiPriority w:val="0"/>
    <w:pPr>
      <w:numPr>
        <w:ilvl w:val="0"/>
        <w:numId w:val="6"/>
      </w:numPr>
      <w:spacing w:line="480" w:lineRule="auto"/>
    </w:pPr>
    <w:rPr>
      <w:rFonts w:ascii="Arial" w:hAnsi="Arial" w:eastAsia="宋体" w:cs="Times New Roman"/>
      <w:b/>
      <w:bCs/>
      <w:kern w:val="2"/>
      <w:sz w:val="28"/>
      <w:szCs w:val="32"/>
      <w:lang w:val="en-US" w:eastAsia="zh-CN" w:bidi="ar-SA"/>
    </w:rPr>
  </w:style>
  <w:style w:type="paragraph" w:customStyle="1" w:styleId="217">
    <w:name w:val="世博标题2"/>
    <w:link w:val="218"/>
    <w:qFormat/>
    <w:uiPriority w:val="0"/>
    <w:pPr>
      <w:numPr>
        <w:ilvl w:val="1"/>
        <w:numId w:val="6"/>
      </w:numPr>
      <w:spacing w:line="360" w:lineRule="auto"/>
    </w:pPr>
    <w:rPr>
      <w:rFonts w:ascii="Arial" w:hAnsi="Arial" w:eastAsia="宋体" w:cs="Times New Roman"/>
      <w:b/>
      <w:bCs/>
      <w:kern w:val="2"/>
      <w:sz w:val="24"/>
      <w:szCs w:val="32"/>
      <w:lang w:val="en-US" w:eastAsia="zh-CN" w:bidi="ar-SA"/>
    </w:rPr>
  </w:style>
  <w:style w:type="character" w:customStyle="1" w:styleId="218">
    <w:name w:val="世博标题2 Char"/>
    <w:link w:val="217"/>
    <w:qFormat/>
    <w:uiPriority w:val="0"/>
    <w:rPr>
      <w:rFonts w:ascii="Arial" w:hAnsi="Arial"/>
      <w:b/>
      <w:bCs/>
      <w:kern w:val="2"/>
      <w:sz w:val="24"/>
      <w:szCs w:val="32"/>
      <w:lang w:val="en-US" w:eastAsia="zh-CN" w:bidi="ar-SA"/>
    </w:rPr>
  </w:style>
  <w:style w:type="paragraph" w:customStyle="1" w:styleId="219">
    <w:name w:val="世博标题3"/>
    <w:qFormat/>
    <w:uiPriority w:val="0"/>
    <w:pPr>
      <w:numPr>
        <w:ilvl w:val="2"/>
        <w:numId w:val="6"/>
      </w:numPr>
      <w:spacing w:line="360" w:lineRule="auto"/>
    </w:pPr>
    <w:rPr>
      <w:rFonts w:ascii="Arial" w:hAnsi="Arial" w:eastAsia="宋体" w:cs="Times New Roman"/>
      <w:b/>
      <w:bCs/>
      <w:kern w:val="2"/>
      <w:sz w:val="24"/>
      <w:szCs w:val="32"/>
      <w:lang w:val="en-US" w:eastAsia="zh-CN" w:bidi="ar-SA"/>
    </w:rPr>
  </w:style>
  <w:style w:type="paragraph" w:customStyle="1" w:styleId="220">
    <w:name w:val="世博标题4"/>
    <w:qFormat/>
    <w:uiPriority w:val="0"/>
    <w:pPr>
      <w:numPr>
        <w:ilvl w:val="3"/>
        <w:numId w:val="6"/>
      </w:numPr>
      <w:spacing w:line="360" w:lineRule="auto"/>
    </w:pPr>
    <w:rPr>
      <w:rFonts w:ascii="Arial" w:hAnsi="Arial" w:eastAsia="宋体" w:cs="Times New Roman"/>
      <w:bCs/>
      <w:kern w:val="2"/>
      <w:sz w:val="24"/>
      <w:szCs w:val="32"/>
      <w:lang w:val="en-US" w:eastAsia="zh-CN" w:bidi="ar-SA"/>
    </w:rPr>
  </w:style>
  <w:style w:type="paragraph" w:customStyle="1" w:styleId="221">
    <w:name w:val="小四 段落 宋体 Char Char"/>
    <w:basedOn w:val="1"/>
    <w:semiHidden/>
    <w:qFormat/>
    <w:uiPriority w:val="0"/>
    <w:pPr>
      <w:adjustRightInd/>
      <w:spacing w:line="360" w:lineRule="auto"/>
      <w:ind w:firstLine="480" w:firstLineChars="200"/>
      <w:jc w:val="both"/>
      <w:textAlignment w:val="auto"/>
    </w:pPr>
    <w:rPr>
      <w:rFonts w:ascii="宋体" w:hAnsi="宋体"/>
      <w:kern w:val="2"/>
      <w:szCs w:val="24"/>
    </w:rPr>
  </w:style>
  <w:style w:type="paragraph" w:customStyle="1" w:styleId="222">
    <w:name w:val="标书正文格式"/>
    <w:link w:val="223"/>
    <w:qFormat/>
    <w:uiPriority w:val="0"/>
    <w:pPr>
      <w:ind w:firstLine="200" w:firstLineChars="200"/>
    </w:pPr>
    <w:rPr>
      <w:rFonts w:ascii="Times New Roman" w:hAnsi="Times New Roman" w:eastAsia="宋体" w:cs="Times New Roman"/>
      <w:kern w:val="2"/>
      <w:sz w:val="24"/>
      <w:szCs w:val="24"/>
      <w:lang w:val="en-US" w:eastAsia="zh-CN" w:bidi="ar-SA"/>
    </w:rPr>
  </w:style>
  <w:style w:type="character" w:customStyle="1" w:styleId="223">
    <w:name w:val="标书正文格式 Char1"/>
    <w:link w:val="222"/>
    <w:qFormat/>
    <w:uiPriority w:val="0"/>
    <w:rPr>
      <w:kern w:val="2"/>
      <w:sz w:val="24"/>
      <w:szCs w:val="24"/>
      <w:lang w:val="en-US" w:eastAsia="zh-CN" w:bidi="ar-SA"/>
    </w:rPr>
  </w:style>
  <w:style w:type="paragraph" w:customStyle="1" w:styleId="224">
    <w:name w:val="文本内容"/>
    <w:basedOn w:val="1"/>
    <w:next w:val="1"/>
    <w:link w:val="225"/>
    <w:qFormat/>
    <w:uiPriority w:val="0"/>
    <w:pPr>
      <w:numPr>
        <w:ilvl w:val="0"/>
        <w:numId w:val="7"/>
      </w:numPr>
      <w:adjustRightInd/>
      <w:spacing w:line="360" w:lineRule="auto"/>
      <w:jc w:val="both"/>
      <w:textAlignment w:val="auto"/>
    </w:pPr>
    <w:rPr>
      <w:rFonts w:eastAsia="新宋体"/>
      <w:kern w:val="2"/>
      <w:szCs w:val="24"/>
    </w:rPr>
  </w:style>
  <w:style w:type="character" w:customStyle="1" w:styleId="225">
    <w:name w:val="文本内容 Char"/>
    <w:link w:val="224"/>
    <w:qFormat/>
    <w:uiPriority w:val="0"/>
    <w:rPr>
      <w:rFonts w:eastAsia="新宋体"/>
      <w:kern w:val="2"/>
      <w:sz w:val="24"/>
      <w:szCs w:val="24"/>
    </w:rPr>
  </w:style>
  <w:style w:type="character" w:customStyle="1" w:styleId="226">
    <w:name w:val="textcontents"/>
    <w:qFormat/>
    <w:uiPriority w:val="0"/>
  </w:style>
  <w:style w:type="paragraph" w:customStyle="1" w:styleId="227">
    <w:name w:val="文档正文"/>
    <w:basedOn w:val="1"/>
    <w:link w:val="228"/>
    <w:qFormat/>
    <w:uiPriority w:val="99"/>
    <w:pPr>
      <w:spacing w:line="312" w:lineRule="atLeast"/>
      <w:ind w:firstLine="567"/>
      <w:jc w:val="both"/>
    </w:pPr>
    <w:rPr>
      <w:rFonts w:ascii="长城仿宋" w:eastAsia="长城仿宋"/>
      <w:sz w:val="28"/>
    </w:rPr>
  </w:style>
  <w:style w:type="character" w:customStyle="1" w:styleId="228">
    <w:name w:val="文档正文 Char"/>
    <w:link w:val="227"/>
    <w:qFormat/>
    <w:locked/>
    <w:uiPriority w:val="99"/>
    <w:rPr>
      <w:rFonts w:ascii="长城仿宋" w:eastAsia="长城仿宋"/>
      <w:sz w:val="28"/>
    </w:rPr>
  </w:style>
  <w:style w:type="character" w:customStyle="1" w:styleId="229">
    <w:name w:val="首行缩进两字 Char"/>
    <w:qFormat/>
    <w:uiPriority w:val="0"/>
    <w:rPr>
      <w:rFonts w:eastAsia="宋体"/>
      <w:kern w:val="2"/>
      <w:sz w:val="21"/>
      <w:lang w:val="en-US" w:eastAsia="zh-CN" w:bidi="ar-SA"/>
    </w:rPr>
  </w:style>
  <w:style w:type="paragraph" w:customStyle="1" w:styleId="230">
    <w:name w:val="集电港招标文件一级标题"/>
    <w:basedOn w:val="2"/>
    <w:next w:val="231"/>
    <w:qFormat/>
    <w:uiPriority w:val="0"/>
    <w:pPr>
      <w:widowControl/>
      <w:adjustRightInd/>
      <w:spacing w:before="240" w:after="240" w:line="360" w:lineRule="auto"/>
      <w:textAlignment w:val="auto"/>
    </w:pPr>
    <w:rPr>
      <w:rFonts w:eastAsia="黑体"/>
      <w:sz w:val="28"/>
    </w:rPr>
  </w:style>
  <w:style w:type="paragraph" w:customStyle="1" w:styleId="231">
    <w:name w:val="集电港招标文件二级标题"/>
    <w:basedOn w:val="3"/>
    <w:next w:val="232"/>
    <w:link w:val="234"/>
    <w:qFormat/>
    <w:uiPriority w:val="0"/>
    <w:pPr>
      <w:widowControl/>
      <w:autoSpaceDE/>
      <w:autoSpaceDN/>
      <w:adjustRightInd/>
      <w:spacing w:before="60" w:after="60" w:line="240" w:lineRule="auto"/>
      <w:jc w:val="left"/>
      <w:textAlignment w:val="auto"/>
    </w:pPr>
    <w:rPr>
      <w:rFonts w:eastAsia="黑体"/>
      <w:sz w:val="28"/>
    </w:rPr>
  </w:style>
  <w:style w:type="paragraph" w:customStyle="1" w:styleId="232">
    <w:name w:val="集电港招标文件三级标题"/>
    <w:basedOn w:val="4"/>
    <w:next w:val="233"/>
    <w:qFormat/>
    <w:uiPriority w:val="0"/>
    <w:pPr>
      <w:widowControl/>
      <w:autoSpaceDE/>
      <w:autoSpaceDN/>
      <w:adjustRightInd/>
      <w:spacing w:before="20" w:after="20" w:line="240" w:lineRule="auto"/>
      <w:ind w:left="900"/>
      <w:textAlignment w:val="auto"/>
    </w:pPr>
    <w:rPr>
      <w:rFonts w:eastAsia="仿宋_GB2312"/>
      <w:sz w:val="24"/>
    </w:rPr>
  </w:style>
  <w:style w:type="paragraph" w:customStyle="1" w:styleId="233">
    <w:name w:val="集电港招标文件四级标题"/>
    <w:basedOn w:val="5"/>
    <w:next w:val="1"/>
    <w:qFormat/>
    <w:uiPriority w:val="0"/>
    <w:pPr>
      <w:widowControl/>
      <w:tabs>
        <w:tab w:val="clear" w:pos="864"/>
      </w:tabs>
      <w:adjustRightInd/>
      <w:snapToGrid/>
      <w:spacing w:beforeLines="50" w:afterLines="50" w:line="240" w:lineRule="auto"/>
      <w:ind w:left="0" w:firstLine="0"/>
    </w:pPr>
    <w:rPr>
      <w:rFonts w:ascii="Arial" w:hAnsi="Arial" w:eastAsia="仿宋_GB2312"/>
      <w:b w:val="0"/>
      <w:bCs w:val="0"/>
      <w:kern w:val="0"/>
      <w:sz w:val="24"/>
      <w:szCs w:val="20"/>
    </w:rPr>
  </w:style>
  <w:style w:type="character" w:customStyle="1" w:styleId="234">
    <w:name w:val="集电港招标文件二级标题 Char"/>
    <w:link w:val="231"/>
    <w:qFormat/>
    <w:uiPriority w:val="0"/>
    <w:rPr>
      <w:rFonts w:ascii="Arial" w:hAnsi="Arial" w:eastAsia="黑体"/>
      <w:b/>
      <w:sz w:val="28"/>
    </w:rPr>
  </w:style>
  <w:style w:type="paragraph" w:customStyle="1" w:styleId="235">
    <w:name w:val="集电港招标文件正文"/>
    <w:basedOn w:val="1"/>
    <w:link w:val="236"/>
    <w:qFormat/>
    <w:uiPriority w:val="0"/>
    <w:pPr>
      <w:widowControl/>
      <w:adjustRightInd/>
      <w:spacing w:line="240" w:lineRule="auto"/>
      <w:textAlignment w:val="auto"/>
    </w:pPr>
    <w:rPr>
      <w:rFonts w:eastAsia="仿宋_GB2312"/>
    </w:rPr>
  </w:style>
  <w:style w:type="character" w:customStyle="1" w:styleId="236">
    <w:name w:val="集电港招标文件正文 Char"/>
    <w:link w:val="235"/>
    <w:qFormat/>
    <w:uiPriority w:val="0"/>
    <w:rPr>
      <w:rFonts w:eastAsia="仿宋_GB2312"/>
      <w:sz w:val="24"/>
    </w:rPr>
  </w:style>
  <w:style w:type="paragraph" w:customStyle="1" w:styleId="237">
    <w:name w:val="文档编号"/>
    <w:basedOn w:val="1"/>
    <w:next w:val="1"/>
    <w:qFormat/>
    <w:uiPriority w:val="0"/>
    <w:pPr>
      <w:autoSpaceDE w:val="0"/>
      <w:autoSpaceDN w:val="0"/>
      <w:spacing w:before="120" w:line="360" w:lineRule="auto"/>
      <w:jc w:val="center"/>
    </w:pPr>
    <w:rPr>
      <w:rFonts w:ascii="宋体"/>
      <w:color w:val="000000"/>
    </w:rPr>
  </w:style>
  <w:style w:type="paragraph" w:customStyle="1" w:styleId="238">
    <w:name w:val="xl83"/>
    <w:basedOn w:val="1"/>
    <w:qFormat/>
    <w:uiPriority w:val="0"/>
    <w:pPr>
      <w:widowControl/>
      <w:adjustRightInd/>
      <w:spacing w:before="100" w:beforeAutospacing="1" w:after="100" w:afterAutospacing="1" w:line="240" w:lineRule="auto"/>
      <w:jc w:val="center"/>
      <w:textAlignment w:val="center"/>
    </w:pPr>
    <w:rPr>
      <w:rFonts w:ascii="Arial Unicode MS" w:hAnsi="Arial Unicode MS" w:eastAsia="Arial Unicode MS" w:cs="Arial Unicode MS"/>
      <w:b/>
      <w:bCs/>
      <w:sz w:val="36"/>
      <w:szCs w:val="36"/>
    </w:rPr>
  </w:style>
  <w:style w:type="paragraph" w:customStyle="1" w:styleId="239">
    <w:name w:val="样式正文"/>
    <w:basedOn w:val="1"/>
    <w:qFormat/>
    <w:uiPriority w:val="0"/>
    <w:pPr>
      <w:adjustRightInd/>
      <w:spacing w:after="460" w:line="360" w:lineRule="auto"/>
      <w:ind w:left="1134" w:firstLine="454"/>
      <w:jc w:val="both"/>
      <w:textAlignment w:val="auto"/>
    </w:pPr>
    <w:rPr>
      <w:rFonts w:ascii="宋体"/>
      <w:kern w:val="2"/>
      <w:sz w:val="21"/>
    </w:rPr>
  </w:style>
  <w:style w:type="paragraph" w:customStyle="1" w:styleId="240">
    <w:name w:val="样式X"/>
    <w:basedOn w:val="1"/>
    <w:qFormat/>
    <w:uiPriority w:val="0"/>
    <w:pPr>
      <w:tabs>
        <w:tab w:val="left" w:pos="1134"/>
      </w:tabs>
      <w:spacing w:after="460" w:line="360" w:lineRule="auto"/>
      <w:ind w:left="1134" w:hanging="1134"/>
      <w:jc w:val="both"/>
    </w:pPr>
    <w:rPr>
      <w:sz w:val="21"/>
    </w:rPr>
  </w:style>
  <w:style w:type="paragraph" w:customStyle="1" w:styleId="241">
    <w:name w:val="样式4"/>
    <w:basedOn w:val="1"/>
    <w:link w:val="242"/>
    <w:qFormat/>
    <w:uiPriority w:val="0"/>
    <w:pPr>
      <w:adjustRightInd/>
      <w:spacing w:line="500" w:lineRule="exact"/>
      <w:jc w:val="center"/>
      <w:textAlignment w:val="auto"/>
    </w:pPr>
    <w:rPr>
      <w:rFonts w:ascii="宋体"/>
      <w:b/>
      <w:kern w:val="2"/>
      <w:sz w:val="32"/>
    </w:rPr>
  </w:style>
  <w:style w:type="character" w:customStyle="1" w:styleId="242">
    <w:name w:val="样式4 Char"/>
    <w:link w:val="241"/>
    <w:qFormat/>
    <w:uiPriority w:val="0"/>
    <w:rPr>
      <w:rFonts w:ascii="宋体"/>
      <w:b/>
      <w:kern w:val="2"/>
      <w:sz w:val="32"/>
    </w:rPr>
  </w:style>
  <w:style w:type="paragraph" w:customStyle="1" w:styleId="243">
    <w:name w:val="样式5"/>
    <w:basedOn w:val="1"/>
    <w:qFormat/>
    <w:uiPriority w:val="0"/>
    <w:pPr>
      <w:tabs>
        <w:tab w:val="left" w:pos="840"/>
      </w:tabs>
      <w:adjustRightInd/>
      <w:spacing w:line="500" w:lineRule="exact"/>
      <w:ind w:left="840" w:hanging="360"/>
      <w:jc w:val="both"/>
      <w:textAlignment w:val="auto"/>
    </w:pPr>
    <w:rPr>
      <w:rFonts w:ascii="宋体"/>
      <w:b/>
      <w:kern w:val="2"/>
      <w:sz w:val="28"/>
    </w:rPr>
  </w:style>
  <w:style w:type="paragraph" w:customStyle="1" w:styleId="244">
    <w:name w:val="样式6"/>
    <w:basedOn w:val="1"/>
    <w:link w:val="245"/>
    <w:qFormat/>
    <w:uiPriority w:val="0"/>
    <w:pPr>
      <w:adjustRightInd/>
      <w:spacing w:line="500" w:lineRule="exact"/>
      <w:jc w:val="center"/>
      <w:textAlignment w:val="auto"/>
    </w:pPr>
    <w:rPr>
      <w:rFonts w:ascii="宋体"/>
      <w:b/>
      <w:kern w:val="2"/>
      <w:sz w:val="32"/>
    </w:rPr>
  </w:style>
  <w:style w:type="character" w:customStyle="1" w:styleId="245">
    <w:name w:val="样式6 Char"/>
    <w:link w:val="244"/>
    <w:qFormat/>
    <w:uiPriority w:val="0"/>
    <w:rPr>
      <w:rFonts w:ascii="宋体"/>
      <w:b/>
      <w:kern w:val="2"/>
      <w:sz w:val="32"/>
    </w:rPr>
  </w:style>
  <w:style w:type="paragraph" w:customStyle="1" w:styleId="246">
    <w:name w:val="样式7"/>
    <w:basedOn w:val="1"/>
    <w:qFormat/>
    <w:uiPriority w:val="0"/>
    <w:pPr>
      <w:adjustRightInd/>
      <w:spacing w:line="500" w:lineRule="exact"/>
      <w:jc w:val="center"/>
      <w:textAlignment w:val="auto"/>
    </w:pPr>
    <w:rPr>
      <w:rFonts w:ascii="宋体"/>
      <w:b/>
      <w:kern w:val="2"/>
      <w:sz w:val="32"/>
    </w:rPr>
  </w:style>
  <w:style w:type="paragraph" w:customStyle="1" w:styleId="247">
    <w:name w:val="样式8"/>
    <w:basedOn w:val="1"/>
    <w:qFormat/>
    <w:uiPriority w:val="0"/>
    <w:pPr>
      <w:adjustRightInd/>
      <w:spacing w:line="500" w:lineRule="exact"/>
      <w:jc w:val="center"/>
      <w:textAlignment w:val="auto"/>
    </w:pPr>
    <w:rPr>
      <w:rFonts w:ascii="宋体"/>
      <w:b/>
      <w:kern w:val="2"/>
      <w:sz w:val="32"/>
    </w:rPr>
  </w:style>
  <w:style w:type="paragraph" w:customStyle="1" w:styleId="248">
    <w:name w:val="样式二级"/>
    <w:basedOn w:val="206"/>
    <w:qFormat/>
    <w:uiPriority w:val="0"/>
    <w:pPr>
      <w:pBdr>
        <w:bottom w:val="none" w:color="auto" w:sz="0" w:space="0"/>
      </w:pBdr>
      <w:tabs>
        <w:tab w:val="left" w:pos="1134"/>
      </w:tabs>
      <w:spacing w:after="460" w:line="360" w:lineRule="auto"/>
      <w:ind w:left="1134" w:hanging="1134"/>
      <w:outlineLvl w:val="0"/>
    </w:pPr>
    <w:rPr>
      <w:kern w:val="10"/>
      <w:sz w:val="21"/>
      <w:szCs w:val="21"/>
    </w:rPr>
  </w:style>
  <w:style w:type="paragraph" w:customStyle="1" w:styleId="249">
    <w:name w:val="样式Y"/>
    <w:basedOn w:val="240"/>
    <w:next w:val="240"/>
    <w:qFormat/>
    <w:uiPriority w:val="0"/>
    <w:rPr>
      <w:b/>
    </w:rPr>
  </w:style>
  <w:style w:type="paragraph" w:customStyle="1" w:styleId="250">
    <w:name w:val="样式三级"/>
    <w:basedOn w:val="1"/>
    <w:qFormat/>
    <w:uiPriority w:val="0"/>
    <w:pPr>
      <w:tabs>
        <w:tab w:val="left" w:pos="1134"/>
      </w:tabs>
      <w:adjustRightInd/>
      <w:spacing w:after="460" w:line="360" w:lineRule="auto"/>
      <w:ind w:left="1134" w:hanging="1134"/>
      <w:jc w:val="both"/>
      <w:textAlignment w:val="auto"/>
    </w:pPr>
    <w:rPr>
      <w:rFonts w:ascii="宋体"/>
      <w:kern w:val="2"/>
      <w:sz w:val="21"/>
    </w:rPr>
  </w:style>
  <w:style w:type="paragraph" w:customStyle="1" w:styleId="251">
    <w:name w:val="样式单级"/>
    <w:qFormat/>
    <w:uiPriority w:val="0"/>
    <w:pPr>
      <w:tabs>
        <w:tab w:val="left" w:pos="1985"/>
      </w:tabs>
      <w:spacing w:line="480" w:lineRule="auto"/>
      <w:ind w:left="1985" w:hanging="851"/>
    </w:pPr>
    <w:rPr>
      <w:rFonts w:ascii="Times New Roman" w:hAnsi="Times New Roman" w:eastAsia="宋体" w:cs="Times New Roman"/>
      <w:sz w:val="21"/>
      <w:lang w:val="en-US" w:eastAsia="zh-CN" w:bidi="ar-SA"/>
    </w:rPr>
  </w:style>
  <w:style w:type="paragraph" w:customStyle="1" w:styleId="252">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after="100" w:line="240" w:lineRule="auto"/>
      <w:jc w:val="right"/>
      <w:textAlignment w:val="center"/>
    </w:pPr>
    <w:rPr>
      <w:rFonts w:ascii="Arial Unicode MS" w:hAnsi="Arial Unicode MS" w:eastAsia="Arial Unicode MS"/>
    </w:rPr>
  </w:style>
  <w:style w:type="paragraph" w:customStyle="1" w:styleId="253">
    <w:name w:val="font9"/>
    <w:basedOn w:val="1"/>
    <w:qFormat/>
    <w:uiPriority w:val="0"/>
    <w:pPr>
      <w:widowControl/>
      <w:adjustRightInd/>
      <w:spacing w:before="100" w:after="100" w:line="240" w:lineRule="auto"/>
      <w:textAlignment w:val="auto"/>
    </w:pPr>
    <w:rPr>
      <w:rFonts w:hint="eastAsia" w:ascii="宋体" w:hAnsi="宋体"/>
      <w:b/>
      <w:sz w:val="32"/>
    </w:rPr>
  </w:style>
  <w:style w:type="paragraph" w:customStyle="1" w:styleId="254">
    <w:name w:val="Char Char Char Char Char Char Char"/>
    <w:basedOn w:val="1"/>
    <w:qFormat/>
    <w:uiPriority w:val="0"/>
    <w:pPr>
      <w:widowControl/>
      <w:adjustRightInd/>
      <w:spacing w:after="160" w:line="360" w:lineRule="auto"/>
      <w:textAlignment w:val="auto"/>
    </w:pPr>
    <w:rPr>
      <w:rFonts w:ascii="Verdana" w:hAnsi="Verdana"/>
      <w:sz w:val="21"/>
      <w:lang w:eastAsia="en-US"/>
    </w:rPr>
  </w:style>
  <w:style w:type="character" w:customStyle="1" w:styleId="255">
    <w:name w:val="Char Char"/>
    <w:semiHidden/>
    <w:qFormat/>
    <w:uiPriority w:val="0"/>
    <w:rPr>
      <w:sz w:val="21"/>
    </w:rPr>
  </w:style>
  <w:style w:type="character" w:customStyle="1" w:styleId="256">
    <w:name w:val="Char Char41"/>
    <w:qFormat/>
    <w:uiPriority w:val="0"/>
    <w:rPr>
      <w:b/>
      <w:bCs/>
      <w:kern w:val="44"/>
      <w:sz w:val="44"/>
      <w:szCs w:val="44"/>
    </w:rPr>
  </w:style>
  <w:style w:type="character" w:customStyle="1" w:styleId="257">
    <w:name w:val="Char Char31"/>
    <w:qFormat/>
    <w:uiPriority w:val="0"/>
    <w:rPr>
      <w:rFonts w:ascii="Arial" w:hAnsi="Arial" w:eastAsia="黑体"/>
      <w:b/>
      <w:bCs/>
      <w:sz w:val="32"/>
      <w:szCs w:val="32"/>
    </w:rPr>
  </w:style>
  <w:style w:type="character" w:customStyle="1" w:styleId="258">
    <w:name w:val="Char Char2"/>
    <w:qFormat/>
    <w:uiPriority w:val="0"/>
    <w:rPr>
      <w:sz w:val="28"/>
    </w:rPr>
  </w:style>
  <w:style w:type="character" w:customStyle="1" w:styleId="259">
    <w:name w:val="style11"/>
    <w:qFormat/>
    <w:uiPriority w:val="0"/>
    <w:rPr>
      <w:b/>
      <w:bCs/>
      <w:sz w:val="30"/>
      <w:szCs w:val="30"/>
    </w:rPr>
  </w:style>
  <w:style w:type="paragraph" w:customStyle="1" w:styleId="260">
    <w:name w:val="批注框文本1"/>
    <w:basedOn w:val="1"/>
    <w:semiHidden/>
    <w:qFormat/>
    <w:uiPriority w:val="0"/>
    <w:pPr>
      <w:adjustRightInd/>
      <w:spacing w:line="240" w:lineRule="auto"/>
      <w:jc w:val="both"/>
      <w:textAlignment w:val="auto"/>
    </w:pPr>
    <w:rPr>
      <w:kern w:val="2"/>
      <w:sz w:val="18"/>
      <w:szCs w:val="18"/>
    </w:rPr>
  </w:style>
  <w:style w:type="paragraph" w:customStyle="1" w:styleId="261">
    <w:name w:val="Einzeilig"/>
    <w:basedOn w:val="1"/>
    <w:qFormat/>
    <w:uiPriority w:val="0"/>
    <w:pPr>
      <w:widowControl/>
      <w:adjustRightInd/>
      <w:spacing w:line="240" w:lineRule="atLeast"/>
      <w:textAlignment w:val="auto"/>
    </w:pPr>
    <w:rPr>
      <w:rFonts w:ascii="Arial" w:hAnsi="Arial"/>
      <w:sz w:val="22"/>
      <w:szCs w:val="24"/>
      <w:lang w:val="de-DE"/>
    </w:rPr>
  </w:style>
  <w:style w:type="paragraph" w:customStyle="1" w:styleId="262">
    <w:name w:val="Example"/>
    <w:basedOn w:val="1"/>
    <w:qFormat/>
    <w:uiPriority w:val="0"/>
    <w:pPr>
      <w:widowControl/>
      <w:overflowPunct w:val="0"/>
      <w:autoSpaceDE w:val="0"/>
      <w:autoSpaceDN w:val="0"/>
      <w:spacing w:line="240" w:lineRule="auto"/>
    </w:pPr>
    <w:rPr>
      <w:rFonts w:ascii="Courier" w:hAnsi="Courier"/>
      <w:sz w:val="20"/>
      <w:szCs w:val="24"/>
    </w:rPr>
  </w:style>
  <w:style w:type="paragraph" w:customStyle="1" w:styleId="263">
    <w:name w:val="Default Text"/>
    <w:basedOn w:val="1"/>
    <w:qFormat/>
    <w:uiPriority w:val="0"/>
    <w:pPr>
      <w:widowControl/>
      <w:overflowPunct w:val="0"/>
      <w:autoSpaceDE w:val="0"/>
      <w:autoSpaceDN w:val="0"/>
      <w:spacing w:line="240" w:lineRule="auto"/>
    </w:pPr>
    <w:rPr>
      <w:rFonts w:ascii="Helvetica" w:hAnsi="Helvetica"/>
      <w:sz w:val="18"/>
      <w:szCs w:val="24"/>
    </w:rPr>
  </w:style>
  <w:style w:type="paragraph" w:customStyle="1" w:styleId="264">
    <w:name w:val="缺省文本"/>
    <w:basedOn w:val="1"/>
    <w:qFormat/>
    <w:uiPriority w:val="0"/>
    <w:pPr>
      <w:autoSpaceDE w:val="0"/>
      <w:autoSpaceDN w:val="0"/>
      <w:spacing w:line="240" w:lineRule="auto"/>
      <w:textAlignment w:val="auto"/>
    </w:pPr>
    <w:rPr>
      <w:sz w:val="20"/>
      <w:szCs w:val="24"/>
    </w:rPr>
  </w:style>
  <w:style w:type="paragraph" w:customStyle="1" w:styleId="265">
    <w:name w:val="样式 标题 1 + 宋体"/>
    <w:basedOn w:val="2"/>
    <w:qFormat/>
    <w:uiPriority w:val="0"/>
    <w:pPr>
      <w:keepLines w:val="0"/>
      <w:pageBreakBefore/>
      <w:widowControl/>
      <w:tabs>
        <w:tab w:val="left" w:pos="720"/>
      </w:tabs>
      <w:overflowPunct w:val="0"/>
      <w:autoSpaceDE w:val="0"/>
      <w:autoSpaceDN w:val="0"/>
      <w:spacing w:beforeLines="50" w:afterLines="50" w:line="240" w:lineRule="auto"/>
      <w:ind w:left="720" w:hanging="360"/>
      <w:jc w:val="left"/>
    </w:pPr>
    <w:rPr>
      <w:rFonts w:ascii="宋体" w:hAnsi="宋体"/>
      <w:bCs/>
      <w:kern w:val="0"/>
      <w:sz w:val="28"/>
      <w:szCs w:val="28"/>
    </w:rPr>
  </w:style>
  <w:style w:type="paragraph" w:customStyle="1" w:styleId="266">
    <w:name w:val="body"/>
    <w:basedOn w:val="1"/>
    <w:qFormat/>
    <w:uiPriority w:val="0"/>
    <w:pPr>
      <w:widowControl/>
      <w:overflowPunct w:val="0"/>
      <w:autoSpaceDE w:val="0"/>
      <w:autoSpaceDN w:val="0"/>
      <w:spacing w:beforeLines="50" w:afterLines="50" w:line="400" w:lineRule="atLeast"/>
      <w:ind w:left="120" w:leftChars="120" w:firstLine="425"/>
      <w:jc w:val="both"/>
    </w:pPr>
    <w:rPr>
      <w:rFonts w:ascii="宋体" w:hAnsi="TimesNewRomanPS"/>
      <w:szCs w:val="24"/>
    </w:rPr>
  </w:style>
  <w:style w:type="paragraph" w:customStyle="1" w:styleId="267">
    <w:name w:val="正文段"/>
    <w:basedOn w:val="1"/>
    <w:qFormat/>
    <w:uiPriority w:val="0"/>
    <w:pPr>
      <w:widowControl/>
      <w:adjustRightInd/>
      <w:spacing w:after="240"/>
      <w:ind w:firstLine="454"/>
      <w:jc w:val="both"/>
      <w:textAlignment w:val="auto"/>
    </w:pPr>
    <w:rPr>
      <w:rFonts w:ascii="宋体"/>
      <w:szCs w:val="24"/>
    </w:rPr>
  </w:style>
  <w:style w:type="paragraph" w:customStyle="1" w:styleId="268">
    <w:name w:val="List1"/>
    <w:basedOn w:val="266"/>
    <w:qFormat/>
    <w:uiPriority w:val="0"/>
    <w:pPr>
      <w:numPr>
        <w:ilvl w:val="0"/>
        <w:numId w:val="8"/>
      </w:numPr>
      <w:tabs>
        <w:tab w:val="left" w:pos="900"/>
      </w:tabs>
      <w:ind w:left="720" w:leftChars="300" w:hanging="90"/>
    </w:pPr>
  </w:style>
  <w:style w:type="paragraph" w:customStyle="1" w:styleId="269">
    <w:name w:val="Number list"/>
    <w:basedOn w:val="268"/>
    <w:qFormat/>
    <w:uiPriority w:val="0"/>
    <w:pPr>
      <w:numPr>
        <w:ilvl w:val="1"/>
        <w:numId w:val="9"/>
      </w:numPr>
      <w:tabs>
        <w:tab w:val="left" w:pos="420"/>
        <w:tab w:val="left" w:pos="630"/>
        <w:tab w:val="left" w:pos="840"/>
        <w:tab w:val="clear" w:pos="561"/>
      </w:tabs>
      <w:ind w:left="0" w:leftChars="0"/>
    </w:pPr>
  </w:style>
  <w:style w:type="paragraph" w:customStyle="1" w:styleId="270">
    <w:name w:val="section text"/>
    <w:basedOn w:val="266"/>
    <w:qFormat/>
    <w:uiPriority w:val="0"/>
    <w:pPr>
      <w:spacing w:before="120" w:after="120"/>
      <w:ind w:left="899" w:leftChars="428" w:firstLine="0"/>
    </w:pPr>
  </w:style>
  <w:style w:type="character" w:customStyle="1" w:styleId="271">
    <w:name w:val="Char Char131"/>
    <w:qFormat/>
    <w:uiPriority w:val="0"/>
    <w:rPr>
      <w:rFonts w:ascii="Times New Roman" w:hAnsi="Times New Roman" w:eastAsia="宋体" w:cs="Times New Roman"/>
      <w:kern w:val="0"/>
      <w:szCs w:val="20"/>
    </w:rPr>
  </w:style>
  <w:style w:type="paragraph" w:customStyle="1" w:styleId="272">
    <w:name w:val="正文默认"/>
    <w:basedOn w:val="1"/>
    <w:qFormat/>
    <w:uiPriority w:val="0"/>
    <w:pPr>
      <w:keepLines/>
      <w:adjustRightInd/>
      <w:spacing w:after="120" w:line="360" w:lineRule="auto"/>
      <w:ind w:firstLine="539"/>
      <w:jc w:val="both"/>
      <w:textAlignment w:val="auto"/>
    </w:pPr>
    <w:rPr>
      <w:rFonts w:ascii="宋体"/>
      <w:kern w:val="2"/>
      <w:szCs w:val="24"/>
    </w:rPr>
  </w:style>
  <w:style w:type="paragraph" w:customStyle="1" w:styleId="273">
    <w:name w:val="图片"/>
    <w:basedOn w:val="1"/>
    <w:next w:val="15"/>
    <w:qFormat/>
    <w:uiPriority w:val="0"/>
    <w:pPr>
      <w:keepNext/>
      <w:widowControl/>
      <w:adjustRightInd/>
      <w:spacing w:line="240" w:lineRule="auto"/>
      <w:textAlignment w:val="auto"/>
    </w:pPr>
    <w:rPr>
      <w:rFonts w:ascii="Garamond" w:hAnsi="Garamond"/>
      <w:sz w:val="22"/>
      <w:szCs w:val="24"/>
    </w:rPr>
  </w:style>
  <w:style w:type="paragraph" w:customStyle="1" w:styleId="274">
    <w:name w:val="百姓X"/>
    <w:basedOn w:val="1"/>
    <w:qFormat/>
    <w:uiPriority w:val="0"/>
    <w:pPr>
      <w:adjustRightInd/>
      <w:spacing w:before="120" w:after="120" w:line="360" w:lineRule="auto"/>
      <w:ind w:firstLine="540"/>
      <w:jc w:val="both"/>
      <w:textAlignment w:val="auto"/>
    </w:pPr>
    <w:rPr>
      <w:rFonts w:ascii="Arial Narrow" w:hAnsi="Arial Narrow"/>
      <w:kern w:val="2"/>
      <w:szCs w:val="24"/>
    </w:rPr>
  </w:style>
  <w:style w:type="paragraph" w:customStyle="1" w:styleId="275">
    <w:name w:val="正文1 Char Char"/>
    <w:basedOn w:val="1"/>
    <w:qFormat/>
    <w:uiPriority w:val="0"/>
    <w:pPr>
      <w:adjustRightInd/>
      <w:spacing w:line="360" w:lineRule="auto"/>
      <w:ind w:right="210" w:rightChars="100" w:firstLine="480" w:firstLineChars="200"/>
      <w:jc w:val="both"/>
      <w:textAlignment w:val="auto"/>
    </w:pPr>
    <w:rPr>
      <w:rFonts w:ascii="宋体"/>
      <w:color w:val="0000FF"/>
      <w:kern w:val="2"/>
      <w:szCs w:val="24"/>
    </w:rPr>
  </w:style>
  <w:style w:type="paragraph" w:customStyle="1" w:styleId="276">
    <w:name w:val="SOW bullet"/>
    <w:basedOn w:val="1"/>
    <w:qFormat/>
    <w:uiPriority w:val="0"/>
    <w:pPr>
      <w:numPr>
        <w:ilvl w:val="0"/>
        <w:numId w:val="10"/>
      </w:numPr>
      <w:adjustRightInd/>
      <w:snapToGrid w:val="0"/>
      <w:spacing w:line="400" w:lineRule="exact"/>
      <w:jc w:val="both"/>
      <w:textAlignment w:val="auto"/>
    </w:pPr>
    <w:rPr>
      <w:snapToGrid w:val="0"/>
      <w:kern w:val="2"/>
      <w:sz w:val="22"/>
      <w:szCs w:val="24"/>
    </w:rPr>
  </w:style>
  <w:style w:type="paragraph" w:customStyle="1" w:styleId="277">
    <w:name w:val="SOW正文"/>
    <w:basedOn w:val="1"/>
    <w:link w:val="278"/>
    <w:qFormat/>
    <w:uiPriority w:val="0"/>
    <w:pPr>
      <w:adjustRightInd/>
      <w:snapToGrid w:val="0"/>
      <w:spacing w:before="120" w:line="400" w:lineRule="exact"/>
      <w:ind w:firstLine="425"/>
      <w:jc w:val="both"/>
      <w:textAlignment w:val="auto"/>
    </w:pPr>
    <w:rPr>
      <w:kern w:val="2"/>
      <w:szCs w:val="24"/>
    </w:rPr>
  </w:style>
  <w:style w:type="character" w:customStyle="1" w:styleId="278">
    <w:name w:val="SOW正文 Char"/>
    <w:link w:val="277"/>
    <w:qFormat/>
    <w:uiPriority w:val="0"/>
    <w:rPr>
      <w:kern w:val="2"/>
      <w:sz w:val="24"/>
      <w:szCs w:val="24"/>
    </w:rPr>
  </w:style>
  <w:style w:type="paragraph" w:customStyle="1" w:styleId="279">
    <w:name w:val="Body Single"/>
    <w:basedOn w:val="1"/>
    <w:qFormat/>
    <w:uiPriority w:val="0"/>
    <w:pPr>
      <w:widowControl/>
      <w:overflowPunct w:val="0"/>
      <w:autoSpaceDE w:val="0"/>
      <w:autoSpaceDN w:val="0"/>
      <w:spacing w:line="240" w:lineRule="auto"/>
    </w:pPr>
    <w:rPr>
      <w:spacing w:val="20"/>
      <w:szCs w:val="24"/>
    </w:rPr>
  </w:style>
  <w:style w:type="paragraph" w:customStyle="1" w:styleId="280">
    <w:name w:val="Char1 Char Char Char Char Char Char Char Char Char Char Char Char Char Char Char"/>
    <w:basedOn w:val="1"/>
    <w:qFormat/>
    <w:uiPriority w:val="0"/>
    <w:pPr>
      <w:adjustRightInd/>
      <w:spacing w:line="240" w:lineRule="auto"/>
      <w:jc w:val="both"/>
      <w:textAlignment w:val="auto"/>
    </w:pPr>
    <w:rPr>
      <w:rFonts w:ascii="Tahoma" w:hAnsi="Tahoma" w:cs="Tahoma"/>
      <w:kern w:val="2"/>
      <w:szCs w:val="24"/>
    </w:rPr>
  </w:style>
  <w:style w:type="paragraph" w:customStyle="1" w:styleId="281">
    <w:name w:val="一级条标题"/>
    <w:basedOn w:val="282"/>
    <w:next w:val="283"/>
    <w:qFormat/>
    <w:uiPriority w:val="0"/>
    <w:pPr>
      <w:numPr>
        <w:ilvl w:val="2"/>
        <w:numId w:val="11"/>
      </w:numPr>
      <w:tabs>
        <w:tab w:val="left" w:pos="360"/>
        <w:tab w:val="left" w:pos="435"/>
      </w:tabs>
      <w:spacing w:before="0" w:after="0"/>
      <w:ind w:left="435" w:hanging="435"/>
      <w:outlineLvl w:val="2"/>
    </w:pPr>
    <w:rPr>
      <w:rFonts w:hint="default"/>
    </w:rPr>
  </w:style>
  <w:style w:type="paragraph" w:customStyle="1" w:styleId="282">
    <w:name w:val="章标题"/>
    <w:next w:val="1"/>
    <w:qFormat/>
    <w:uiPriority w:val="0"/>
    <w:pPr>
      <w:spacing w:before="50" w:after="50"/>
      <w:jc w:val="both"/>
      <w:outlineLvl w:val="1"/>
    </w:pPr>
    <w:rPr>
      <w:rFonts w:hint="eastAsia" w:ascii="黑体" w:hAnsi="Times New Roman" w:eastAsia="黑体" w:cs="Times New Roman"/>
      <w:sz w:val="21"/>
      <w:lang w:val="en-US" w:eastAsia="zh-CN" w:bidi="ar-SA"/>
    </w:rPr>
  </w:style>
  <w:style w:type="paragraph" w:customStyle="1" w:styleId="283">
    <w:name w:val="段"/>
    <w:qFormat/>
    <w:uiPriority w:val="0"/>
    <w:pPr>
      <w:autoSpaceDE w:val="0"/>
      <w:autoSpaceDN w:val="0"/>
      <w:ind w:firstLine="200"/>
      <w:jc w:val="both"/>
    </w:pPr>
    <w:rPr>
      <w:rFonts w:ascii="宋体" w:hAnsi="Times New Roman" w:eastAsia="宋体" w:cs="Times New Roman"/>
      <w:sz w:val="21"/>
      <w:lang w:val="en-US" w:eastAsia="zh-CN" w:bidi="ar-SA"/>
    </w:rPr>
  </w:style>
  <w:style w:type="paragraph" w:customStyle="1" w:styleId="284">
    <w:name w:val="二级条标题"/>
    <w:basedOn w:val="281"/>
    <w:next w:val="283"/>
    <w:qFormat/>
    <w:uiPriority w:val="0"/>
    <w:pPr>
      <w:numPr>
        <w:ilvl w:val="3"/>
      </w:numPr>
      <w:outlineLvl w:val="3"/>
    </w:pPr>
  </w:style>
  <w:style w:type="paragraph" w:customStyle="1" w:styleId="285">
    <w:name w:val="三级条标题"/>
    <w:basedOn w:val="284"/>
    <w:next w:val="283"/>
    <w:qFormat/>
    <w:uiPriority w:val="0"/>
    <w:pPr>
      <w:numPr>
        <w:ilvl w:val="4"/>
      </w:numPr>
      <w:tabs>
        <w:tab w:val="left" w:pos="300"/>
        <w:tab w:val="left" w:pos="2100"/>
        <w:tab w:val="left" w:pos="3600"/>
      </w:tabs>
      <w:ind w:left="435" w:hanging="435"/>
      <w:outlineLvl w:val="4"/>
    </w:pPr>
  </w:style>
  <w:style w:type="paragraph" w:customStyle="1" w:styleId="286">
    <w:name w:val="附录图标题"/>
    <w:next w:val="283"/>
    <w:qFormat/>
    <w:uiPriority w:val="0"/>
    <w:pPr>
      <w:jc w:val="center"/>
    </w:pPr>
    <w:rPr>
      <w:rFonts w:ascii="黑体" w:hAnsi="Times New Roman" w:eastAsia="黑体" w:cs="Times New Roman"/>
      <w:sz w:val="21"/>
      <w:lang w:val="en-US" w:eastAsia="zh-CN" w:bidi="ar-SA"/>
    </w:rPr>
  </w:style>
  <w:style w:type="paragraph" w:customStyle="1" w:styleId="287">
    <w:name w:val="Char3 Char Char Char"/>
    <w:basedOn w:val="17"/>
    <w:qFormat/>
    <w:uiPriority w:val="0"/>
    <w:pPr>
      <w:adjustRightInd/>
      <w:spacing w:line="240" w:lineRule="auto"/>
      <w:jc w:val="both"/>
      <w:textAlignment w:val="auto"/>
    </w:pPr>
    <w:rPr>
      <w:rFonts w:ascii="Tahoma" w:hAnsi="Tahoma"/>
      <w:kern w:val="2"/>
      <w:szCs w:val="24"/>
    </w:rPr>
  </w:style>
  <w:style w:type="paragraph" w:customStyle="1" w:styleId="288">
    <w:name w:val="Char Char Char"/>
    <w:basedOn w:val="1"/>
    <w:qFormat/>
    <w:uiPriority w:val="0"/>
    <w:pPr>
      <w:adjustRightInd/>
      <w:spacing w:line="240" w:lineRule="auto"/>
      <w:jc w:val="both"/>
      <w:textAlignment w:val="auto"/>
    </w:pPr>
    <w:rPr>
      <w:rFonts w:ascii="Tahoma" w:hAnsi="Tahoma"/>
      <w:kern w:val="2"/>
    </w:rPr>
  </w:style>
  <w:style w:type="paragraph" w:customStyle="1" w:styleId="289">
    <w:name w:val="Figure Caption"/>
    <w:basedOn w:val="1"/>
    <w:qFormat/>
    <w:uiPriority w:val="0"/>
    <w:pPr>
      <w:widowControl/>
      <w:tabs>
        <w:tab w:val="left" w:pos="1800"/>
      </w:tabs>
      <w:adjustRightInd/>
      <w:spacing w:before="40" w:after="240" w:line="240" w:lineRule="auto"/>
      <w:jc w:val="center"/>
      <w:textAlignment w:val="auto"/>
    </w:pPr>
    <w:rPr>
      <w:rFonts w:ascii="Arial" w:hAnsi="Arial"/>
      <w:b/>
      <w:snapToGrid w:val="0"/>
      <w:color w:val="000000"/>
      <w:sz w:val="22"/>
      <w:lang w:eastAsia="en-US"/>
    </w:rPr>
  </w:style>
  <w:style w:type="paragraph" w:customStyle="1" w:styleId="290">
    <w:name w:val="默认段落字体 Para Char Char Char Char Char Char Char Char Char1 Char"/>
    <w:basedOn w:val="1"/>
    <w:qFormat/>
    <w:uiPriority w:val="0"/>
    <w:pPr>
      <w:adjustRightInd/>
      <w:spacing w:line="240" w:lineRule="auto"/>
      <w:jc w:val="both"/>
      <w:textAlignment w:val="auto"/>
    </w:pPr>
    <w:rPr>
      <w:rFonts w:ascii="Tahoma" w:hAnsi="Tahoma"/>
      <w:kern w:val="2"/>
    </w:rPr>
  </w:style>
  <w:style w:type="paragraph" w:customStyle="1" w:styleId="291">
    <w:name w:val="Char1 Char Char Char 字元 字元"/>
    <w:basedOn w:val="17"/>
    <w:qFormat/>
    <w:uiPriority w:val="0"/>
    <w:pPr>
      <w:adjustRightInd/>
      <w:spacing w:line="240" w:lineRule="auto"/>
      <w:jc w:val="both"/>
      <w:textAlignment w:val="auto"/>
    </w:pPr>
    <w:rPr>
      <w:rFonts w:ascii="Tahoma" w:hAnsi="Tahoma"/>
      <w:kern w:val="2"/>
      <w:szCs w:val="24"/>
    </w:rPr>
  </w:style>
  <w:style w:type="paragraph" w:customStyle="1" w:styleId="292">
    <w:name w:val="1.1.1.1B"/>
    <w:basedOn w:val="5"/>
    <w:qFormat/>
    <w:uiPriority w:val="0"/>
    <w:pPr>
      <w:tabs>
        <w:tab w:val="left" w:pos="851"/>
        <w:tab w:val="clear" w:pos="864"/>
      </w:tabs>
      <w:adjustRightInd/>
      <w:snapToGrid/>
      <w:spacing w:after="240" w:line="240" w:lineRule="auto"/>
      <w:ind w:left="851" w:hanging="851"/>
      <w:jc w:val="both"/>
    </w:pPr>
    <w:rPr>
      <w:rFonts w:ascii="Arial" w:hAnsi="Arial"/>
      <w:sz w:val="24"/>
    </w:rPr>
  </w:style>
  <w:style w:type="paragraph" w:customStyle="1" w:styleId="293">
    <w:name w:val="样式 标题 1H1Heading 0Section HeadHeader1h11st levell1List l...1"/>
    <w:basedOn w:val="2"/>
    <w:qFormat/>
    <w:uiPriority w:val="0"/>
    <w:pPr>
      <w:numPr>
        <w:ilvl w:val="0"/>
        <w:numId w:val="12"/>
      </w:numPr>
      <w:adjustRightInd/>
      <w:spacing w:before="0" w:after="0" w:line="240" w:lineRule="auto"/>
      <w:jc w:val="left"/>
      <w:textAlignment w:val="auto"/>
    </w:pPr>
    <w:rPr>
      <w:rFonts w:ascii="宋体" w:hAnsi="宋体"/>
      <w:bCs/>
      <w:sz w:val="32"/>
      <w:szCs w:val="28"/>
    </w:rPr>
  </w:style>
  <w:style w:type="paragraph" w:customStyle="1" w:styleId="294">
    <w:name w:val="样式 标题 2H2PIM2Heading 2 HiddenHeading 2 CCBSheading 2Titre3..."/>
    <w:basedOn w:val="1"/>
    <w:qFormat/>
    <w:uiPriority w:val="0"/>
    <w:pPr>
      <w:numPr>
        <w:ilvl w:val="1"/>
        <w:numId w:val="12"/>
      </w:numPr>
      <w:adjustRightInd/>
      <w:spacing w:line="240" w:lineRule="auto"/>
      <w:jc w:val="both"/>
      <w:textAlignment w:val="auto"/>
    </w:pPr>
    <w:rPr>
      <w:b/>
      <w:kern w:val="2"/>
      <w:sz w:val="28"/>
      <w:szCs w:val="24"/>
    </w:rPr>
  </w:style>
  <w:style w:type="paragraph" w:customStyle="1" w:styleId="295">
    <w:name w:val="样式 标题3.."/>
    <w:basedOn w:val="1"/>
    <w:qFormat/>
    <w:uiPriority w:val="0"/>
    <w:pPr>
      <w:numPr>
        <w:ilvl w:val="2"/>
        <w:numId w:val="12"/>
      </w:numPr>
      <w:adjustRightInd/>
      <w:spacing w:line="240" w:lineRule="auto"/>
      <w:jc w:val="both"/>
      <w:textAlignment w:val="auto"/>
    </w:pPr>
    <w:rPr>
      <w:kern w:val="2"/>
      <w:sz w:val="28"/>
      <w:szCs w:val="24"/>
    </w:rPr>
  </w:style>
  <w:style w:type="paragraph" w:customStyle="1" w:styleId="296">
    <w:name w:val="Char Char9 Char Char Char1 Char"/>
    <w:basedOn w:val="1"/>
    <w:semiHidden/>
    <w:qFormat/>
    <w:uiPriority w:val="0"/>
    <w:pPr>
      <w:adjustRightInd/>
      <w:spacing w:before="240" w:after="120" w:line="288" w:lineRule="auto"/>
      <w:ind w:firstLine="200" w:firstLineChars="200"/>
      <w:textAlignment w:val="auto"/>
    </w:pPr>
    <w:rPr>
      <w:rFonts w:ascii="Tahoma" w:hAnsi="Tahoma"/>
      <w:kern w:val="2"/>
      <w:szCs w:val="24"/>
    </w:rPr>
  </w:style>
  <w:style w:type="paragraph" w:customStyle="1" w:styleId="297">
    <w:name w:val="Char Char Char Char Char1 Char Char"/>
    <w:basedOn w:val="1"/>
    <w:semiHidden/>
    <w:qFormat/>
    <w:uiPriority w:val="0"/>
    <w:pPr>
      <w:adjustRightInd/>
      <w:spacing w:before="240" w:after="120" w:line="288" w:lineRule="auto"/>
      <w:ind w:firstLine="200" w:firstLineChars="200"/>
      <w:textAlignment w:val="auto"/>
    </w:pPr>
    <w:rPr>
      <w:rFonts w:ascii="Tahoma" w:hAnsi="Tahoma"/>
      <w:kern w:val="2"/>
      <w:szCs w:val="24"/>
    </w:rPr>
  </w:style>
  <w:style w:type="paragraph" w:customStyle="1" w:styleId="298">
    <w:name w:val="Char Char9 Char Char Char"/>
    <w:basedOn w:val="1"/>
    <w:semiHidden/>
    <w:qFormat/>
    <w:uiPriority w:val="0"/>
    <w:pPr>
      <w:adjustRightInd/>
      <w:spacing w:before="240" w:after="120" w:line="288" w:lineRule="auto"/>
      <w:ind w:firstLine="200" w:firstLineChars="200"/>
      <w:textAlignment w:val="auto"/>
    </w:pPr>
    <w:rPr>
      <w:rFonts w:ascii="Tahoma" w:hAnsi="Tahoma"/>
      <w:kern w:val="2"/>
      <w:szCs w:val="24"/>
    </w:rPr>
  </w:style>
  <w:style w:type="character" w:customStyle="1" w:styleId="299">
    <w:name w:val="style41"/>
    <w:qFormat/>
    <w:uiPriority w:val="0"/>
    <w:rPr>
      <w:color w:val="auto"/>
    </w:rPr>
  </w:style>
  <w:style w:type="paragraph" w:customStyle="1" w:styleId="300">
    <w:name w:val="样式 标题 3 + Times New Roman 段前: 5 磅 行距: 多倍行距 1.73 字行"/>
    <w:basedOn w:val="4"/>
    <w:qFormat/>
    <w:uiPriority w:val="0"/>
    <w:pPr>
      <w:keepLines w:val="0"/>
      <w:widowControl/>
      <w:numPr>
        <w:ilvl w:val="2"/>
        <w:numId w:val="13"/>
      </w:numPr>
      <w:pBdr>
        <w:bottom w:val="single" w:color="auto" w:sz="4" w:space="1"/>
      </w:pBdr>
      <w:tabs>
        <w:tab w:val="left" w:pos="900"/>
      </w:tabs>
      <w:autoSpaceDE/>
      <w:autoSpaceDN/>
      <w:adjustRightInd/>
      <w:spacing w:before="100" w:line="415" w:lineRule="auto"/>
      <w:textAlignment w:val="auto"/>
    </w:pPr>
    <w:rPr>
      <w:rFonts w:ascii="Microsoft Sans Serif" w:hAnsi="Microsoft Sans Serif" w:cs="Arial"/>
      <w:bCs/>
      <w:kern w:val="2"/>
      <w:sz w:val="26"/>
      <w:szCs w:val="26"/>
    </w:rPr>
  </w:style>
  <w:style w:type="paragraph" w:customStyle="1" w:styleId="301">
    <w:name w:val="Char Char9 Char"/>
    <w:basedOn w:val="1"/>
    <w:semiHidden/>
    <w:qFormat/>
    <w:uiPriority w:val="0"/>
    <w:pPr>
      <w:adjustRightInd/>
      <w:spacing w:before="240" w:after="120" w:line="288" w:lineRule="auto"/>
      <w:ind w:firstLine="200" w:firstLineChars="200"/>
      <w:textAlignment w:val="auto"/>
    </w:pPr>
    <w:rPr>
      <w:rFonts w:ascii="Tahoma" w:hAnsi="Tahoma"/>
      <w:kern w:val="2"/>
      <w:szCs w:val="24"/>
    </w:rPr>
  </w:style>
  <w:style w:type="paragraph" w:customStyle="1" w:styleId="302">
    <w:name w:val="List Paragraph1"/>
    <w:basedOn w:val="1"/>
    <w:qFormat/>
    <w:uiPriority w:val="0"/>
    <w:pPr>
      <w:spacing w:line="312" w:lineRule="atLeast"/>
      <w:ind w:firstLine="420" w:firstLineChars="200"/>
      <w:jc w:val="both"/>
    </w:pPr>
    <w:rPr>
      <w:sz w:val="21"/>
      <w:szCs w:val="21"/>
    </w:rPr>
  </w:style>
  <w:style w:type="paragraph" w:customStyle="1" w:styleId="303">
    <w:name w:val="表身（左）"/>
    <w:qFormat/>
    <w:uiPriority w:val="0"/>
    <w:pPr>
      <w:adjustRightInd w:val="0"/>
      <w:snapToGrid w:val="0"/>
      <w:spacing w:line="300" w:lineRule="auto"/>
      <w:textAlignment w:val="center"/>
    </w:pPr>
    <w:rPr>
      <w:rFonts w:ascii="Times New Roman" w:hAnsi="Times New Roman" w:eastAsia="宋体" w:cs="Times New Roman"/>
      <w:sz w:val="16"/>
      <w:szCs w:val="16"/>
      <w:lang w:val="en-US" w:eastAsia="zh-CN" w:bidi="ar-SA"/>
    </w:rPr>
  </w:style>
  <w:style w:type="paragraph" w:customStyle="1" w:styleId="304">
    <w:name w:val="表项"/>
    <w:next w:val="303"/>
    <w:qFormat/>
    <w:uiPriority w:val="0"/>
    <w:pPr>
      <w:adjustRightInd w:val="0"/>
      <w:snapToGrid w:val="0"/>
      <w:spacing w:line="300" w:lineRule="auto"/>
      <w:jc w:val="center"/>
    </w:pPr>
    <w:rPr>
      <w:rFonts w:ascii="Arial" w:hAnsi="Arial" w:eastAsia="黑体" w:cs="Arial"/>
      <w:kern w:val="2"/>
      <w:sz w:val="16"/>
      <w:szCs w:val="16"/>
      <w:lang w:val="en-US" w:eastAsia="zh-CN" w:bidi="ar-SA"/>
    </w:rPr>
  </w:style>
  <w:style w:type="paragraph" w:customStyle="1" w:styleId="305">
    <w:name w:val="表身（中）"/>
    <w:basedOn w:val="303"/>
    <w:qFormat/>
    <w:uiPriority w:val="0"/>
    <w:pPr>
      <w:jc w:val="center"/>
    </w:pPr>
  </w:style>
  <w:style w:type="paragraph" w:customStyle="1" w:styleId="306">
    <w:name w:val="Javis"/>
    <w:basedOn w:val="1"/>
    <w:link w:val="307"/>
    <w:qFormat/>
    <w:uiPriority w:val="0"/>
    <w:pPr>
      <w:adjustRightInd/>
      <w:spacing w:line="360" w:lineRule="auto"/>
      <w:ind w:left="142" w:leftChars="59"/>
      <w:textAlignment w:val="auto"/>
    </w:pPr>
    <w:rPr>
      <w:rFonts w:ascii="Segoe UI" w:hAnsi="Segoe UI"/>
      <w:color w:val="0D0D0D"/>
      <w:kern w:val="2"/>
      <w:sz w:val="21"/>
      <w:szCs w:val="21"/>
      <w:shd w:val="clear" w:color="auto" w:fill="FFFFFF"/>
    </w:rPr>
  </w:style>
  <w:style w:type="character" w:customStyle="1" w:styleId="307">
    <w:name w:val="Javis Char Char"/>
    <w:link w:val="306"/>
    <w:qFormat/>
    <w:uiPriority w:val="0"/>
    <w:rPr>
      <w:rFonts w:ascii="Segoe UI" w:hAnsi="Segoe UI" w:cs="Segoe UI"/>
      <w:color w:val="0D0D0D"/>
      <w:kern w:val="2"/>
      <w:sz w:val="21"/>
      <w:szCs w:val="21"/>
    </w:rPr>
  </w:style>
  <w:style w:type="paragraph" w:customStyle="1" w:styleId="308">
    <w:name w:val="列出段落2"/>
    <w:basedOn w:val="1"/>
    <w:next w:val="110"/>
    <w:qFormat/>
    <w:uiPriority w:val="34"/>
    <w:pPr>
      <w:widowControl/>
      <w:adjustRightInd/>
      <w:spacing w:line="240" w:lineRule="auto"/>
      <w:ind w:left="720"/>
      <w:contextualSpacing/>
      <w:textAlignment w:val="auto"/>
    </w:pPr>
    <w:rPr>
      <w:rFonts w:ascii="Calibri" w:hAnsi="Calibri"/>
      <w:szCs w:val="24"/>
    </w:rPr>
  </w:style>
  <w:style w:type="paragraph" w:customStyle="1" w:styleId="309">
    <w:name w:val="yj正文首行缩进"/>
    <w:basedOn w:val="1"/>
    <w:link w:val="310"/>
    <w:qFormat/>
    <w:uiPriority w:val="0"/>
    <w:pPr>
      <w:adjustRightInd/>
      <w:spacing w:beforeLines="50" w:line="240" w:lineRule="auto"/>
      <w:ind w:firstLine="200" w:firstLineChars="200"/>
      <w:textAlignment w:val="auto"/>
    </w:pPr>
    <w:rPr>
      <w:kern w:val="2"/>
      <w:szCs w:val="24"/>
    </w:rPr>
  </w:style>
  <w:style w:type="character" w:customStyle="1" w:styleId="310">
    <w:name w:val="yj正文首行缩进 Char"/>
    <w:link w:val="309"/>
    <w:qFormat/>
    <w:uiPriority w:val="0"/>
    <w:rPr>
      <w:kern w:val="2"/>
      <w:sz w:val="24"/>
      <w:szCs w:val="24"/>
    </w:rPr>
  </w:style>
  <w:style w:type="paragraph" w:customStyle="1" w:styleId="311">
    <w:name w:val="Z正文强调"/>
    <w:basedOn w:val="1"/>
    <w:next w:val="1"/>
    <w:qFormat/>
    <w:uiPriority w:val="99"/>
    <w:pPr>
      <w:adjustRightInd/>
      <w:spacing w:line="360" w:lineRule="auto"/>
      <w:ind w:firstLine="200" w:firstLineChars="200"/>
      <w:jc w:val="both"/>
      <w:textAlignment w:val="auto"/>
    </w:pPr>
    <w:rPr>
      <w:rFonts w:ascii="Calibri" w:hAnsi="Calibri"/>
      <w:b/>
      <w:kern w:val="2"/>
      <w:szCs w:val="21"/>
    </w:rPr>
  </w:style>
  <w:style w:type="paragraph" w:customStyle="1" w:styleId="312">
    <w:name w:val="B表格题注"/>
    <w:next w:val="1"/>
    <w:qFormat/>
    <w:uiPriority w:val="99"/>
    <w:pPr>
      <w:spacing w:line="360" w:lineRule="auto"/>
      <w:jc w:val="center"/>
    </w:pPr>
    <w:rPr>
      <w:rFonts w:ascii="Calibri" w:hAnsi="Calibri" w:eastAsia="黑体" w:cs="Times New Roman"/>
      <w:b/>
      <w:kern w:val="2"/>
      <w:sz w:val="21"/>
      <w:szCs w:val="21"/>
      <w:lang w:val="en-US" w:eastAsia="zh-CN" w:bidi="ar-SA"/>
    </w:rPr>
  </w:style>
  <w:style w:type="paragraph" w:customStyle="1" w:styleId="313">
    <w:name w:val="T图形题注"/>
    <w:basedOn w:val="1"/>
    <w:next w:val="1"/>
    <w:qFormat/>
    <w:uiPriority w:val="0"/>
    <w:pPr>
      <w:adjustRightInd/>
      <w:spacing w:line="360" w:lineRule="auto"/>
      <w:jc w:val="center"/>
      <w:textAlignment w:val="auto"/>
    </w:pPr>
    <w:rPr>
      <w:rFonts w:ascii="Calibri" w:hAnsi="Calibri" w:eastAsia="黑体"/>
      <w:b/>
      <w:kern w:val="2"/>
      <w:sz w:val="21"/>
      <w:szCs w:val="21"/>
    </w:rPr>
  </w:style>
  <w:style w:type="paragraph" w:customStyle="1" w:styleId="314">
    <w:name w:val="T图形居中"/>
    <w:next w:val="313"/>
    <w:qFormat/>
    <w:uiPriority w:val="99"/>
    <w:pPr>
      <w:jc w:val="center"/>
    </w:pPr>
    <w:rPr>
      <w:rFonts w:ascii="Calibri" w:hAnsi="Calibri" w:eastAsia="宋体" w:cs="Times New Roman"/>
      <w:kern w:val="2"/>
      <w:sz w:val="24"/>
      <w:szCs w:val="21"/>
      <w:lang w:val="en-US" w:eastAsia="zh-CN" w:bidi="ar-SA"/>
    </w:rPr>
  </w:style>
  <w:style w:type="paragraph" w:customStyle="1" w:styleId="315">
    <w:name w:val="B表格正文"/>
    <w:qFormat/>
    <w:uiPriority w:val="99"/>
    <w:rPr>
      <w:rFonts w:ascii="Calibri" w:hAnsi="Calibri" w:eastAsia="黑体" w:cs="Times New Roman"/>
      <w:kern w:val="2"/>
      <w:sz w:val="21"/>
      <w:szCs w:val="21"/>
      <w:lang w:val="en-US" w:eastAsia="zh-CN" w:bidi="ar-SA"/>
    </w:rPr>
  </w:style>
  <w:style w:type="paragraph" w:customStyle="1" w:styleId="316">
    <w:name w:val="B表头样式"/>
    <w:next w:val="1"/>
    <w:qFormat/>
    <w:uiPriority w:val="99"/>
    <w:pPr>
      <w:jc w:val="center"/>
    </w:pPr>
    <w:rPr>
      <w:rFonts w:ascii="Calibri" w:hAnsi="Calibri" w:eastAsia="黑体" w:cs="Times New Roman"/>
      <w:b/>
      <w:kern w:val="2"/>
      <w:sz w:val="21"/>
      <w:szCs w:val="21"/>
      <w:lang w:val="en-US" w:eastAsia="zh-CN" w:bidi="ar-SA"/>
    </w:rPr>
  </w:style>
  <w:style w:type="paragraph" w:customStyle="1" w:styleId="317">
    <w:name w:val="B表格序号"/>
    <w:basedOn w:val="315"/>
    <w:qFormat/>
    <w:uiPriority w:val="99"/>
    <w:pPr>
      <w:jc w:val="center"/>
    </w:pPr>
  </w:style>
  <w:style w:type="paragraph" w:customStyle="1" w:styleId="318">
    <w:name w:val="部分1"/>
    <w:basedOn w:val="2"/>
    <w:next w:val="1"/>
    <w:link w:val="319"/>
    <w:qFormat/>
    <w:uiPriority w:val="0"/>
    <w:pPr>
      <w:pageBreakBefore/>
      <w:adjustRightInd/>
      <w:spacing w:before="120" w:after="120" w:line="578" w:lineRule="auto"/>
      <w:ind w:hanging="175" w:hangingChars="175"/>
      <w:textAlignment w:val="auto"/>
    </w:pPr>
    <w:rPr>
      <w:rFonts w:ascii="微软雅黑" w:hAnsi="微软雅黑" w:eastAsia="微软雅黑"/>
      <w:bCs/>
      <w:szCs w:val="44"/>
    </w:rPr>
  </w:style>
  <w:style w:type="character" w:customStyle="1" w:styleId="319">
    <w:name w:val="部分1 Char"/>
    <w:link w:val="318"/>
    <w:qFormat/>
    <w:uiPriority w:val="0"/>
    <w:rPr>
      <w:rFonts w:ascii="微软雅黑" w:hAnsi="微软雅黑" w:eastAsia="微软雅黑"/>
      <w:b/>
      <w:bCs/>
      <w:kern w:val="44"/>
      <w:sz w:val="44"/>
      <w:szCs w:val="44"/>
    </w:rPr>
  </w:style>
  <w:style w:type="paragraph" w:customStyle="1" w:styleId="320">
    <w:name w:val="样式 正文缩进 + 首行缩进:  2 字符"/>
    <w:basedOn w:val="6"/>
    <w:link w:val="321"/>
    <w:qFormat/>
    <w:uiPriority w:val="0"/>
    <w:pPr>
      <w:adjustRightInd/>
      <w:snapToGrid/>
      <w:spacing w:before="0" w:line="288" w:lineRule="auto"/>
      <w:ind w:firstLine="200"/>
      <w:jc w:val="both"/>
    </w:pPr>
    <w:rPr>
      <w:rFonts w:ascii="Times New Roman"/>
      <w:kern w:val="0"/>
      <w:sz w:val="24"/>
      <w:szCs w:val="20"/>
    </w:rPr>
  </w:style>
  <w:style w:type="character" w:customStyle="1" w:styleId="321">
    <w:name w:val="样式 正文缩进 + 首行缩进:  2 字符 Char"/>
    <w:link w:val="320"/>
    <w:qFormat/>
    <w:locked/>
    <w:uiPriority w:val="0"/>
    <w:rPr>
      <w:rFonts w:cs="宋体"/>
      <w:sz w:val="24"/>
    </w:rPr>
  </w:style>
  <w:style w:type="paragraph" w:customStyle="1" w:styleId="322">
    <w:name w:val="图形题注"/>
    <w:basedOn w:val="1"/>
    <w:next w:val="1"/>
    <w:qFormat/>
    <w:uiPriority w:val="0"/>
    <w:pPr>
      <w:adjustRightInd/>
      <w:spacing w:line="360" w:lineRule="auto"/>
      <w:jc w:val="center"/>
      <w:textAlignment w:val="auto"/>
    </w:pPr>
    <w:rPr>
      <w:rFonts w:ascii="Calibri" w:hAnsi="Calibri"/>
      <w:b/>
      <w:kern w:val="2"/>
      <w:sz w:val="21"/>
      <w:szCs w:val="21"/>
    </w:rPr>
  </w:style>
  <w:style w:type="paragraph" w:customStyle="1" w:styleId="323">
    <w:name w:val="图形居中"/>
    <w:next w:val="322"/>
    <w:qFormat/>
    <w:uiPriority w:val="0"/>
    <w:pPr>
      <w:jc w:val="center"/>
    </w:pPr>
    <w:rPr>
      <w:rFonts w:ascii="Calibri" w:hAnsi="Calibri" w:eastAsia="宋体" w:cs="Times New Roman"/>
      <w:kern w:val="2"/>
      <w:sz w:val="24"/>
      <w:szCs w:val="21"/>
      <w:lang w:val="en-US" w:eastAsia="zh-CN" w:bidi="ar-SA"/>
    </w:rPr>
  </w:style>
  <w:style w:type="paragraph" w:customStyle="1" w:styleId="324">
    <w:name w:val="表格正文"/>
    <w:next w:val="325"/>
    <w:link w:val="326"/>
    <w:qFormat/>
    <w:uiPriority w:val="0"/>
    <w:pPr>
      <w:spacing w:line="360" w:lineRule="auto"/>
    </w:pPr>
    <w:rPr>
      <w:rFonts w:ascii="Calibri" w:hAnsi="Calibri" w:eastAsia="宋体" w:cs="Times New Roman"/>
      <w:kern w:val="2"/>
      <w:sz w:val="24"/>
      <w:szCs w:val="21"/>
      <w:lang w:val="en-US" w:eastAsia="zh-CN" w:bidi="ar-SA"/>
    </w:rPr>
  </w:style>
  <w:style w:type="paragraph" w:customStyle="1" w:styleId="325">
    <w:name w:val="表头样式"/>
    <w:next w:val="1"/>
    <w:link w:val="327"/>
    <w:qFormat/>
    <w:uiPriority w:val="0"/>
    <w:pPr>
      <w:jc w:val="center"/>
    </w:pPr>
    <w:rPr>
      <w:rFonts w:ascii="Calibri" w:hAnsi="Calibri" w:eastAsia="宋体" w:cs="Times New Roman"/>
      <w:b/>
      <w:kern w:val="2"/>
      <w:sz w:val="24"/>
      <w:szCs w:val="21"/>
      <w:lang w:val="en-US" w:eastAsia="zh-CN" w:bidi="ar-SA"/>
    </w:rPr>
  </w:style>
  <w:style w:type="character" w:customStyle="1" w:styleId="326">
    <w:name w:val="表格正文 Char"/>
    <w:link w:val="324"/>
    <w:qFormat/>
    <w:uiPriority w:val="0"/>
    <w:rPr>
      <w:rFonts w:ascii="Calibri" w:hAnsi="Calibri"/>
      <w:kern w:val="2"/>
      <w:sz w:val="24"/>
      <w:szCs w:val="21"/>
      <w:lang w:bidi="ar-SA"/>
    </w:rPr>
  </w:style>
  <w:style w:type="character" w:customStyle="1" w:styleId="327">
    <w:name w:val="表头样式 Char"/>
    <w:link w:val="325"/>
    <w:qFormat/>
    <w:uiPriority w:val="0"/>
    <w:rPr>
      <w:rFonts w:ascii="Calibri" w:hAnsi="Calibri"/>
      <w:b/>
      <w:kern w:val="2"/>
      <w:sz w:val="24"/>
      <w:szCs w:val="21"/>
      <w:lang w:bidi="ar-SA"/>
    </w:rPr>
  </w:style>
  <w:style w:type="paragraph" w:customStyle="1" w:styleId="328">
    <w:name w:val="表格题注"/>
    <w:next w:val="1"/>
    <w:qFormat/>
    <w:uiPriority w:val="0"/>
    <w:pPr>
      <w:spacing w:line="360" w:lineRule="auto"/>
      <w:jc w:val="center"/>
    </w:pPr>
    <w:rPr>
      <w:rFonts w:ascii="Calibri" w:hAnsi="Calibri" w:eastAsia="宋体" w:cs="Times New Roman"/>
      <w:b/>
      <w:kern w:val="2"/>
      <w:sz w:val="21"/>
      <w:szCs w:val="21"/>
      <w:lang w:val="en-US" w:eastAsia="zh-CN" w:bidi="ar-SA"/>
    </w:rPr>
  </w:style>
  <w:style w:type="paragraph" w:customStyle="1" w:styleId="329">
    <w:name w:val="表头"/>
    <w:basedOn w:val="1"/>
    <w:link w:val="330"/>
    <w:qFormat/>
    <w:uiPriority w:val="0"/>
    <w:pPr>
      <w:adjustRightInd/>
      <w:spacing w:line="240" w:lineRule="auto"/>
      <w:jc w:val="center"/>
      <w:textAlignment w:val="auto"/>
    </w:pPr>
    <w:rPr>
      <w:rFonts w:ascii="仿宋_GB2312" w:hAnsi="Calibri" w:eastAsia="仿宋_GB2312"/>
      <w:b/>
      <w:bCs/>
      <w:kern w:val="2"/>
      <w:sz w:val="28"/>
    </w:rPr>
  </w:style>
  <w:style w:type="character" w:customStyle="1" w:styleId="330">
    <w:name w:val="表头 Char"/>
    <w:link w:val="329"/>
    <w:qFormat/>
    <w:uiPriority w:val="0"/>
    <w:rPr>
      <w:rFonts w:ascii="仿宋_GB2312" w:hAnsi="Calibri" w:eastAsia="仿宋_GB2312" w:cs="宋体"/>
      <w:b/>
      <w:bCs/>
      <w:kern w:val="2"/>
      <w:sz w:val="28"/>
    </w:rPr>
  </w:style>
  <w:style w:type="paragraph" w:customStyle="1" w:styleId="331">
    <w:name w:val="标准正文"/>
    <w:basedOn w:val="1"/>
    <w:qFormat/>
    <w:uiPriority w:val="0"/>
    <w:pPr>
      <w:adjustRightInd/>
      <w:snapToGrid w:val="0"/>
      <w:spacing w:line="360" w:lineRule="auto"/>
      <w:ind w:firstLine="482"/>
      <w:jc w:val="both"/>
      <w:textAlignment w:val="auto"/>
    </w:pPr>
    <w:rPr>
      <w:rFonts w:ascii="Calibri" w:hAnsi="Calibri"/>
      <w:kern w:val="2"/>
      <w:szCs w:val="22"/>
    </w:rPr>
  </w:style>
  <w:style w:type="paragraph" w:customStyle="1" w:styleId="332">
    <w:name w:val="HH5"/>
    <w:basedOn w:val="7"/>
    <w:link w:val="333"/>
    <w:qFormat/>
    <w:uiPriority w:val="0"/>
    <w:pPr>
      <w:tabs>
        <w:tab w:val="clear" w:pos="1008"/>
      </w:tabs>
      <w:adjustRightInd/>
      <w:snapToGrid/>
      <w:spacing w:before="280" w:after="290" w:line="376" w:lineRule="auto"/>
      <w:ind w:left="0" w:firstLine="0"/>
      <w:jc w:val="both"/>
    </w:pPr>
    <w:rPr>
      <w:rFonts w:ascii="Times New Roman" w:eastAsia="宋体"/>
      <w:b/>
      <w:bCs/>
      <w:sz w:val="28"/>
    </w:rPr>
  </w:style>
  <w:style w:type="character" w:customStyle="1" w:styleId="333">
    <w:name w:val="HH5 Char"/>
    <w:link w:val="332"/>
    <w:qFormat/>
    <w:uiPriority w:val="0"/>
    <w:rPr>
      <w:b/>
      <w:bCs/>
      <w:kern w:val="2"/>
      <w:sz w:val="28"/>
      <w:szCs w:val="28"/>
    </w:rPr>
  </w:style>
  <w:style w:type="paragraph" w:customStyle="1" w:styleId="334">
    <w:name w:val="标题4"/>
    <w:basedOn w:val="1"/>
    <w:qFormat/>
    <w:uiPriority w:val="0"/>
    <w:pPr>
      <w:adjustRightInd/>
      <w:spacing w:line="240" w:lineRule="auto"/>
      <w:ind w:firstLine="560" w:firstLineChars="200"/>
      <w:jc w:val="both"/>
      <w:textAlignment w:val="auto"/>
      <w:outlineLvl w:val="3"/>
    </w:pPr>
    <w:rPr>
      <w:rFonts w:ascii="宋体" w:hAnsi="宋体"/>
      <w:kern w:val="2"/>
      <w:sz w:val="28"/>
      <w:szCs w:val="22"/>
    </w:rPr>
  </w:style>
  <w:style w:type="paragraph" w:customStyle="1" w:styleId="335">
    <w:name w:val="项目符号2"/>
    <w:basedOn w:val="1"/>
    <w:link w:val="336"/>
    <w:qFormat/>
    <w:uiPriority w:val="0"/>
    <w:pPr>
      <w:spacing w:line="360" w:lineRule="auto"/>
      <w:jc w:val="both"/>
      <w:textAlignment w:val="auto"/>
    </w:pPr>
    <w:rPr>
      <w:rFonts w:ascii="Calibri" w:hAnsi="Calibri"/>
      <w:kern w:val="24"/>
    </w:rPr>
  </w:style>
  <w:style w:type="character" w:customStyle="1" w:styleId="336">
    <w:name w:val="项目符号2 Char"/>
    <w:link w:val="335"/>
    <w:qFormat/>
    <w:locked/>
    <w:uiPriority w:val="0"/>
    <w:rPr>
      <w:rFonts w:ascii="Calibri" w:hAnsi="Calibri"/>
      <w:kern w:val="24"/>
      <w:sz w:val="24"/>
    </w:rPr>
  </w:style>
  <w:style w:type="paragraph" w:customStyle="1" w:styleId="337">
    <w:name w:val="Std.Z.0"/>
    <w:basedOn w:val="1"/>
    <w:link w:val="338"/>
    <w:qFormat/>
    <w:uiPriority w:val="0"/>
    <w:pPr>
      <w:adjustRightInd/>
      <w:spacing w:line="360" w:lineRule="auto"/>
      <w:ind w:firstLine="425" w:firstLineChars="177"/>
      <w:jc w:val="both"/>
      <w:textAlignment w:val="auto"/>
    </w:pPr>
    <w:rPr>
      <w:rFonts w:ascii="Calibri" w:hAnsi="Calibri"/>
      <w:kern w:val="2"/>
      <w:szCs w:val="22"/>
    </w:rPr>
  </w:style>
  <w:style w:type="character" w:customStyle="1" w:styleId="338">
    <w:name w:val="Std.Z.0 Char"/>
    <w:link w:val="337"/>
    <w:qFormat/>
    <w:locked/>
    <w:uiPriority w:val="0"/>
    <w:rPr>
      <w:rFonts w:ascii="Calibri" w:hAnsi="Calibri"/>
      <w:kern w:val="2"/>
      <w:sz w:val="24"/>
      <w:szCs w:val="22"/>
    </w:rPr>
  </w:style>
  <w:style w:type="paragraph" w:customStyle="1" w:styleId="339">
    <w:name w:val="Std.Z.1"/>
    <w:basedOn w:val="1"/>
    <w:link w:val="340"/>
    <w:qFormat/>
    <w:uiPriority w:val="0"/>
    <w:pPr>
      <w:tabs>
        <w:tab w:val="left" w:pos="900"/>
      </w:tabs>
      <w:spacing w:beforeLines="50" w:line="360" w:lineRule="auto"/>
      <w:ind w:left="900" w:hanging="420"/>
      <w:jc w:val="both"/>
      <w:textAlignment w:val="auto"/>
    </w:pPr>
    <w:rPr>
      <w:rFonts w:ascii="Calibri" w:hAnsi="Calibri"/>
      <w:b/>
      <w:szCs w:val="24"/>
    </w:rPr>
  </w:style>
  <w:style w:type="character" w:customStyle="1" w:styleId="340">
    <w:name w:val="Std.Z.1 Char"/>
    <w:link w:val="339"/>
    <w:qFormat/>
    <w:locked/>
    <w:uiPriority w:val="0"/>
    <w:rPr>
      <w:rFonts w:ascii="Calibri" w:hAnsi="Calibri" w:cs="Calibri"/>
      <w:b/>
      <w:sz w:val="24"/>
      <w:szCs w:val="24"/>
    </w:rPr>
  </w:style>
  <w:style w:type="paragraph" w:customStyle="1" w:styleId="341">
    <w:name w:val="圆点标号"/>
    <w:basedOn w:val="1"/>
    <w:link w:val="342"/>
    <w:qFormat/>
    <w:uiPriority w:val="0"/>
    <w:pPr>
      <w:adjustRightInd/>
      <w:spacing w:line="360" w:lineRule="auto"/>
      <w:ind w:left="840"/>
      <w:jc w:val="both"/>
      <w:textAlignment w:val="auto"/>
    </w:pPr>
    <w:rPr>
      <w:rFonts w:ascii="Calibri" w:hAnsi="Calibri"/>
      <w:kern w:val="2"/>
      <w:szCs w:val="22"/>
    </w:rPr>
  </w:style>
  <w:style w:type="character" w:customStyle="1" w:styleId="342">
    <w:name w:val="圆点标号 Char"/>
    <w:link w:val="341"/>
    <w:qFormat/>
    <w:locked/>
    <w:uiPriority w:val="0"/>
    <w:rPr>
      <w:rFonts w:ascii="Calibri" w:hAnsi="Calibri"/>
      <w:kern w:val="2"/>
      <w:sz w:val="24"/>
      <w:szCs w:val="22"/>
    </w:rPr>
  </w:style>
  <w:style w:type="paragraph" w:customStyle="1" w:styleId="343">
    <w:name w:val="列出段落1"/>
    <w:basedOn w:val="1"/>
    <w:link w:val="344"/>
    <w:qFormat/>
    <w:uiPriority w:val="34"/>
    <w:pPr>
      <w:adjustRightInd/>
      <w:spacing w:line="240" w:lineRule="auto"/>
      <w:ind w:firstLine="420" w:firstLineChars="200"/>
      <w:jc w:val="both"/>
      <w:textAlignment w:val="auto"/>
    </w:pPr>
    <w:rPr>
      <w:rFonts w:ascii="Calibri" w:hAnsi="Calibri"/>
      <w:kern w:val="2"/>
      <w:sz w:val="21"/>
      <w:szCs w:val="22"/>
    </w:rPr>
  </w:style>
  <w:style w:type="character" w:customStyle="1" w:styleId="344">
    <w:name w:val="列出段落1 Char"/>
    <w:link w:val="343"/>
    <w:qFormat/>
    <w:locked/>
    <w:uiPriority w:val="34"/>
    <w:rPr>
      <w:rFonts w:ascii="Calibri" w:hAnsi="Calibri"/>
      <w:kern w:val="2"/>
      <w:sz w:val="21"/>
      <w:szCs w:val="22"/>
    </w:rPr>
  </w:style>
  <w:style w:type="paragraph" w:customStyle="1" w:styleId="345">
    <w:name w:val="GBY的正文"/>
    <w:basedOn w:val="6"/>
    <w:link w:val="346"/>
    <w:qFormat/>
    <w:uiPriority w:val="0"/>
    <w:pPr>
      <w:adjustRightInd/>
      <w:snapToGrid/>
      <w:spacing w:before="0" w:line="360" w:lineRule="auto"/>
      <w:ind w:firstLine="560"/>
      <w:jc w:val="both"/>
    </w:pPr>
    <w:rPr>
      <w:rFonts w:ascii="仿宋" w:hAnsi="仿宋" w:eastAsia="仿宋"/>
      <w:kern w:val="0"/>
      <w:sz w:val="28"/>
    </w:rPr>
  </w:style>
  <w:style w:type="character" w:customStyle="1" w:styleId="346">
    <w:name w:val="GBY的正文 Char"/>
    <w:link w:val="345"/>
    <w:qFormat/>
    <w:locked/>
    <w:uiPriority w:val="0"/>
    <w:rPr>
      <w:rFonts w:ascii="仿宋" w:hAnsi="仿宋" w:eastAsia="仿宋"/>
      <w:sz w:val="28"/>
      <w:szCs w:val="24"/>
    </w:rPr>
  </w:style>
  <w:style w:type="paragraph" w:customStyle="1" w:styleId="347">
    <w:name w:val="Item List"/>
    <w:link w:val="348"/>
    <w:qFormat/>
    <w:uiPriority w:val="0"/>
    <w:pPr>
      <w:spacing w:line="300" w:lineRule="auto"/>
      <w:ind w:left="840" w:hanging="360"/>
    </w:pPr>
    <w:rPr>
      <w:rFonts w:ascii="Arial" w:hAnsi="Arial" w:eastAsia="宋体" w:cs="Times New Roman"/>
      <w:kern w:val="2"/>
      <w:sz w:val="21"/>
      <w:szCs w:val="22"/>
      <w:lang w:val="en-US" w:eastAsia="zh-CN" w:bidi="ar-SA"/>
    </w:rPr>
  </w:style>
  <w:style w:type="character" w:customStyle="1" w:styleId="348">
    <w:name w:val="Item List Char"/>
    <w:link w:val="347"/>
    <w:qFormat/>
    <w:locked/>
    <w:uiPriority w:val="0"/>
    <w:rPr>
      <w:rFonts w:ascii="Arial" w:hAnsi="Arial"/>
      <w:kern w:val="2"/>
      <w:sz w:val="21"/>
      <w:szCs w:val="22"/>
      <w:lang w:bidi="ar-SA"/>
    </w:rPr>
  </w:style>
  <w:style w:type="paragraph" w:customStyle="1" w:styleId="349">
    <w:name w:val="CheckBox"/>
    <w:basedOn w:val="1"/>
    <w:qFormat/>
    <w:uiPriority w:val="0"/>
    <w:pPr>
      <w:numPr>
        <w:ilvl w:val="0"/>
        <w:numId w:val="14"/>
      </w:numPr>
      <w:spacing w:line="360" w:lineRule="auto"/>
    </w:pPr>
    <w:rPr>
      <w:rFonts w:ascii="Calibri" w:hAnsi="Calibri"/>
    </w:rPr>
  </w:style>
  <w:style w:type="paragraph" w:customStyle="1" w:styleId="350">
    <w:name w:val="表格标题"/>
    <w:basedOn w:val="22"/>
    <w:qFormat/>
    <w:uiPriority w:val="0"/>
    <w:pPr>
      <w:adjustRightInd/>
      <w:spacing w:line="240" w:lineRule="auto"/>
      <w:jc w:val="center"/>
      <w:textAlignment w:val="auto"/>
    </w:pPr>
    <w:rPr>
      <w:rFonts w:hAnsi="Calibri"/>
      <w:b/>
      <w:color w:val="auto"/>
      <w:kern w:val="2"/>
      <w:sz w:val="21"/>
      <w:szCs w:val="22"/>
      <w:u w:val="none"/>
    </w:rPr>
  </w:style>
  <w:style w:type="paragraph" w:customStyle="1" w:styleId="351">
    <w:name w:val="功能点"/>
    <w:basedOn w:val="1"/>
    <w:qFormat/>
    <w:uiPriority w:val="0"/>
    <w:pPr>
      <w:widowControl/>
      <w:numPr>
        <w:ilvl w:val="0"/>
        <w:numId w:val="15"/>
      </w:numPr>
      <w:overflowPunct w:val="0"/>
      <w:autoSpaceDE w:val="0"/>
      <w:autoSpaceDN w:val="0"/>
      <w:spacing w:line="360" w:lineRule="auto"/>
    </w:pPr>
    <w:rPr>
      <w:rFonts w:ascii="Arial" w:hAnsi="Arial"/>
      <w:b/>
      <w:szCs w:val="21"/>
      <w:lang w:val="pt-BR"/>
    </w:rPr>
  </w:style>
  <w:style w:type="paragraph" w:customStyle="1" w:styleId="352">
    <w:name w:val="表格内容"/>
    <w:basedOn w:val="1"/>
    <w:link w:val="353"/>
    <w:qFormat/>
    <w:uiPriority w:val="0"/>
    <w:pPr>
      <w:widowControl/>
      <w:overflowPunct w:val="0"/>
      <w:autoSpaceDE w:val="0"/>
      <w:autoSpaceDN w:val="0"/>
      <w:spacing w:line="240" w:lineRule="auto"/>
    </w:pPr>
    <w:rPr>
      <w:rFonts w:ascii="Arial" w:hAnsi="Arial"/>
      <w:sz w:val="21"/>
      <w:szCs w:val="21"/>
      <w:lang w:val="pt-BR"/>
    </w:rPr>
  </w:style>
  <w:style w:type="character" w:customStyle="1" w:styleId="353">
    <w:name w:val="表格内容 Char"/>
    <w:link w:val="352"/>
    <w:qFormat/>
    <w:uiPriority w:val="0"/>
    <w:rPr>
      <w:rFonts w:ascii="Arial" w:hAnsi="Arial"/>
      <w:sz w:val="21"/>
      <w:szCs w:val="21"/>
      <w:lang w:val="pt-BR"/>
    </w:rPr>
  </w:style>
  <w:style w:type="paragraph" w:customStyle="1" w:styleId="354">
    <w:name w:val="CSS1级正文"/>
    <w:basedOn w:val="22"/>
    <w:link w:val="355"/>
    <w:qFormat/>
    <w:uiPriority w:val="0"/>
    <w:pPr>
      <w:snapToGrid w:val="0"/>
      <w:spacing w:line="360" w:lineRule="auto"/>
      <w:ind w:firstLine="480" w:firstLineChars="200"/>
      <w:jc w:val="both"/>
      <w:textAlignment w:val="auto"/>
    </w:pPr>
    <w:rPr>
      <w:rFonts w:ascii="Times New Roman"/>
      <w:color w:val="auto"/>
      <w:kern w:val="2"/>
      <w:u w:val="none"/>
    </w:rPr>
  </w:style>
  <w:style w:type="character" w:customStyle="1" w:styleId="355">
    <w:name w:val="CSS1级正文 Char1"/>
    <w:link w:val="354"/>
    <w:qFormat/>
    <w:uiPriority w:val="0"/>
    <w:rPr>
      <w:rFonts w:cs="宋体"/>
      <w:kern w:val="2"/>
      <w:sz w:val="24"/>
    </w:rPr>
  </w:style>
  <w:style w:type="paragraph" w:customStyle="1" w:styleId="356">
    <w:name w:val="CSS1级正文1"/>
    <w:basedOn w:val="22"/>
    <w:qFormat/>
    <w:uiPriority w:val="0"/>
    <w:pPr>
      <w:snapToGrid w:val="0"/>
      <w:spacing w:line="360" w:lineRule="auto"/>
      <w:ind w:firstLine="200" w:firstLineChars="200"/>
      <w:jc w:val="both"/>
      <w:textAlignment w:val="auto"/>
    </w:pPr>
    <w:rPr>
      <w:rFonts w:ascii="Times New Roman"/>
      <w:color w:val="auto"/>
      <w:kern w:val="2"/>
      <w:u w:val="none"/>
    </w:rPr>
  </w:style>
  <w:style w:type="character" w:customStyle="1" w:styleId="357">
    <w:name w:val="DM Strong"/>
    <w:qFormat/>
    <w:uiPriority w:val="0"/>
    <w:rPr>
      <w:b/>
      <w:color w:val="0085C3"/>
    </w:rPr>
  </w:style>
  <w:style w:type="paragraph" w:customStyle="1" w:styleId="358">
    <w:name w:val="DT T-Body"/>
    <w:qFormat/>
    <w:uiPriority w:val="0"/>
    <w:pPr>
      <w:spacing w:before="60" w:after="60" w:line="300" w:lineRule="auto"/>
    </w:pPr>
    <w:rPr>
      <w:rFonts w:ascii="Trebuchet MS" w:hAnsi="Trebuchet MS" w:eastAsia="宋体" w:cs="Times New Roman"/>
      <w:szCs w:val="18"/>
      <w:lang w:val="en-GB" w:eastAsia="en-US" w:bidi="ar-SA"/>
    </w:rPr>
  </w:style>
  <w:style w:type="paragraph" w:customStyle="1" w:styleId="359">
    <w:name w:val="DT T-Bullet 1"/>
    <w:qFormat/>
    <w:uiPriority w:val="0"/>
    <w:pPr>
      <w:numPr>
        <w:ilvl w:val="0"/>
        <w:numId w:val="16"/>
      </w:numPr>
      <w:snapToGrid w:val="0"/>
      <w:spacing w:before="60" w:after="60" w:line="300" w:lineRule="auto"/>
    </w:pPr>
    <w:rPr>
      <w:rFonts w:ascii="Trebuchet MS" w:hAnsi="Trebuchet MS" w:eastAsia="宋体" w:cs="Times New Roman"/>
      <w:szCs w:val="18"/>
      <w:lang w:val="en-GB" w:eastAsia="en-US" w:bidi="ar-SA"/>
    </w:rPr>
  </w:style>
  <w:style w:type="paragraph" w:customStyle="1" w:styleId="360">
    <w:name w:val="DT T-List 1"/>
    <w:qFormat/>
    <w:uiPriority w:val="0"/>
    <w:pPr>
      <w:numPr>
        <w:ilvl w:val="0"/>
        <w:numId w:val="17"/>
      </w:numPr>
      <w:spacing w:before="60" w:after="60" w:line="300" w:lineRule="auto"/>
    </w:pPr>
    <w:rPr>
      <w:rFonts w:ascii="Trebuchet MS" w:hAnsi="Trebuchet MS" w:eastAsia="宋体" w:cs="Times New Roman"/>
      <w:szCs w:val="24"/>
      <w:lang w:val="en-GB" w:eastAsia="en-US" w:bidi="ar-SA"/>
    </w:rPr>
  </w:style>
  <w:style w:type="paragraph" w:customStyle="1" w:styleId="361">
    <w:name w:val="附录标题一"/>
    <w:basedOn w:val="201"/>
    <w:qFormat/>
    <w:uiPriority w:val="0"/>
    <w:pPr>
      <w:keepNext w:val="0"/>
      <w:keepLines w:val="0"/>
      <w:widowControl/>
      <w:spacing w:before="100" w:beforeAutospacing="1" w:after="100" w:afterAutospacing="1" w:line="240" w:lineRule="auto"/>
      <w:jc w:val="left"/>
      <w:outlineLvl w:val="0"/>
    </w:pPr>
    <w:rPr>
      <w:rFonts w:ascii="Calibri" w:eastAsia="汉仪中黑简" w:cs="Arial"/>
      <w:bCs/>
      <w:color w:val="C00000"/>
      <w:kern w:val="36"/>
      <w:sz w:val="32"/>
      <w:szCs w:val="44"/>
    </w:rPr>
  </w:style>
  <w:style w:type="paragraph" w:customStyle="1" w:styleId="362">
    <w:name w:val="大标题+"/>
    <w:basedOn w:val="1"/>
    <w:qFormat/>
    <w:uiPriority w:val="0"/>
    <w:pPr>
      <w:widowControl/>
      <w:adjustRightInd/>
      <w:spacing w:before="100" w:beforeAutospacing="1" w:after="100" w:afterAutospacing="1" w:line="360" w:lineRule="exact"/>
      <w:ind w:firstLine="160" w:firstLineChars="50"/>
      <w:textAlignment w:val="auto"/>
      <w:outlineLvl w:val="0"/>
    </w:pPr>
    <w:rPr>
      <w:rFonts w:ascii="Calibri" w:hAnsi="Arial" w:eastAsia="汉仪中黑简" w:cs="Arial"/>
      <w:b/>
      <w:bCs/>
      <w:color w:val="C00000"/>
      <w:kern w:val="36"/>
      <w:sz w:val="32"/>
      <w:szCs w:val="44"/>
    </w:rPr>
  </w:style>
  <w:style w:type="paragraph" w:customStyle="1" w:styleId="363">
    <w:name w:val="yj正文"/>
    <w:basedOn w:val="1"/>
    <w:qFormat/>
    <w:uiPriority w:val="0"/>
    <w:pPr>
      <w:adjustRightInd/>
      <w:spacing w:beforeLines="50" w:line="360" w:lineRule="auto"/>
      <w:jc w:val="both"/>
      <w:textAlignment w:val="auto"/>
    </w:pPr>
    <w:rPr>
      <w:b/>
      <w:kern w:val="2"/>
      <w:sz w:val="28"/>
      <w:szCs w:val="28"/>
    </w:rPr>
  </w:style>
  <w:style w:type="paragraph" w:customStyle="1" w:styleId="364">
    <w:name w:val="yj数字编号"/>
    <w:basedOn w:val="363"/>
    <w:qFormat/>
    <w:uiPriority w:val="0"/>
    <w:pPr>
      <w:numPr>
        <w:ilvl w:val="0"/>
        <w:numId w:val="18"/>
      </w:numPr>
      <w:ind w:right="210" w:rightChars="100"/>
    </w:pPr>
  </w:style>
  <w:style w:type="paragraph" w:customStyle="1" w:styleId="365">
    <w:name w:val="无间隔1"/>
    <w:qFormat/>
    <w:uiPriority w:val="0"/>
    <w:rPr>
      <w:rFonts w:ascii="Calibri" w:hAnsi="Calibri" w:eastAsia="宋体" w:cs="Times New Roman"/>
      <w:sz w:val="22"/>
      <w:szCs w:val="22"/>
      <w:lang w:val="en-US" w:eastAsia="zh-CN" w:bidi="ar-SA"/>
    </w:rPr>
  </w:style>
  <w:style w:type="paragraph" w:customStyle="1" w:styleId="366">
    <w:name w:val="样式4-4级标题"/>
    <w:basedOn w:val="5"/>
    <w:link w:val="367"/>
    <w:qFormat/>
    <w:uiPriority w:val="0"/>
    <w:pPr>
      <w:keepNext w:val="0"/>
      <w:keepLines w:val="0"/>
      <w:widowControl/>
      <w:tabs>
        <w:tab w:val="clear" w:pos="864"/>
      </w:tabs>
      <w:adjustRightInd/>
      <w:snapToGrid/>
      <w:spacing w:before="0" w:line="360" w:lineRule="auto"/>
      <w:ind w:left="360" w:firstLine="0"/>
      <w:jc w:val="both"/>
    </w:pPr>
    <w:rPr>
      <w:rFonts w:ascii="宋体" w:eastAsia="宋体"/>
      <w:iCs/>
      <w:kern w:val="0"/>
      <w:sz w:val="24"/>
      <w:szCs w:val="24"/>
      <w:lang w:bidi="en-US"/>
    </w:rPr>
  </w:style>
  <w:style w:type="character" w:customStyle="1" w:styleId="367">
    <w:name w:val="样式4-4级标题 Char"/>
    <w:link w:val="366"/>
    <w:qFormat/>
    <w:uiPriority w:val="0"/>
    <w:rPr>
      <w:rFonts w:ascii="宋体" w:hAnsi="宋体"/>
      <w:b/>
      <w:bCs/>
      <w:iCs/>
      <w:sz w:val="24"/>
      <w:szCs w:val="24"/>
      <w:lang w:bidi="en-US"/>
    </w:rPr>
  </w:style>
  <w:style w:type="paragraph" w:customStyle="1" w:styleId="368">
    <w:name w:val="yj标题1"/>
    <w:basedOn w:val="1"/>
    <w:qFormat/>
    <w:uiPriority w:val="0"/>
    <w:pPr>
      <w:numPr>
        <w:ilvl w:val="0"/>
        <w:numId w:val="19"/>
      </w:numPr>
      <w:adjustRightInd/>
      <w:spacing w:line="360" w:lineRule="auto"/>
      <w:jc w:val="both"/>
      <w:textAlignment w:val="auto"/>
      <w:outlineLvl w:val="0"/>
    </w:pPr>
    <w:rPr>
      <w:b/>
      <w:kern w:val="2"/>
      <w:sz w:val="44"/>
      <w:szCs w:val="24"/>
    </w:rPr>
  </w:style>
  <w:style w:type="paragraph" w:customStyle="1" w:styleId="369">
    <w:name w:val="yj标题2"/>
    <w:basedOn w:val="1"/>
    <w:qFormat/>
    <w:uiPriority w:val="0"/>
    <w:pPr>
      <w:numPr>
        <w:ilvl w:val="1"/>
        <w:numId w:val="19"/>
      </w:numPr>
      <w:adjustRightInd/>
      <w:spacing w:line="360" w:lineRule="auto"/>
      <w:jc w:val="both"/>
      <w:textAlignment w:val="auto"/>
      <w:outlineLvl w:val="1"/>
    </w:pPr>
    <w:rPr>
      <w:b/>
      <w:kern w:val="2"/>
      <w:sz w:val="32"/>
      <w:szCs w:val="24"/>
    </w:rPr>
  </w:style>
  <w:style w:type="paragraph" w:customStyle="1" w:styleId="370">
    <w:name w:val="yj标题3"/>
    <w:basedOn w:val="1"/>
    <w:qFormat/>
    <w:uiPriority w:val="0"/>
    <w:pPr>
      <w:numPr>
        <w:ilvl w:val="2"/>
        <w:numId w:val="19"/>
      </w:numPr>
      <w:tabs>
        <w:tab w:val="left" w:pos="3780"/>
      </w:tabs>
      <w:adjustRightInd/>
      <w:spacing w:line="240" w:lineRule="auto"/>
      <w:jc w:val="both"/>
      <w:textAlignment w:val="auto"/>
      <w:outlineLvl w:val="2"/>
    </w:pPr>
    <w:rPr>
      <w:b/>
      <w:kern w:val="2"/>
      <w:sz w:val="28"/>
      <w:szCs w:val="24"/>
    </w:rPr>
  </w:style>
  <w:style w:type="paragraph" w:customStyle="1" w:styleId="371">
    <w:name w:val="yj标题4"/>
    <w:basedOn w:val="1"/>
    <w:qFormat/>
    <w:uiPriority w:val="0"/>
    <w:pPr>
      <w:numPr>
        <w:ilvl w:val="3"/>
        <w:numId w:val="19"/>
      </w:numPr>
      <w:adjustRightInd/>
      <w:spacing w:line="240" w:lineRule="auto"/>
      <w:jc w:val="both"/>
      <w:textAlignment w:val="auto"/>
      <w:outlineLvl w:val="3"/>
    </w:pPr>
    <w:rPr>
      <w:b/>
      <w:kern w:val="2"/>
      <w:szCs w:val="24"/>
    </w:rPr>
  </w:style>
  <w:style w:type="paragraph" w:customStyle="1" w:styleId="372">
    <w:name w:val="符号2-zy"/>
    <w:basedOn w:val="1"/>
    <w:link w:val="373"/>
    <w:qFormat/>
    <w:uiPriority w:val="0"/>
    <w:pPr>
      <w:adjustRightInd/>
      <w:spacing w:line="360" w:lineRule="auto"/>
      <w:ind w:left="902"/>
      <w:jc w:val="both"/>
      <w:textAlignment w:val="auto"/>
    </w:pPr>
    <w:rPr>
      <w:rFonts w:ascii="Calibri" w:hAnsi="宋体"/>
      <w:kern w:val="2"/>
      <w:szCs w:val="22"/>
    </w:rPr>
  </w:style>
  <w:style w:type="character" w:customStyle="1" w:styleId="373">
    <w:name w:val="符号2-zy Char"/>
    <w:link w:val="372"/>
    <w:qFormat/>
    <w:uiPriority w:val="0"/>
    <w:rPr>
      <w:rFonts w:ascii="Calibri" w:hAnsi="宋体"/>
      <w:kern w:val="2"/>
      <w:sz w:val="24"/>
      <w:szCs w:val="22"/>
    </w:rPr>
  </w:style>
  <w:style w:type="paragraph" w:customStyle="1" w:styleId="374">
    <w:name w:val="正文-zy"/>
    <w:basedOn w:val="1"/>
    <w:link w:val="375"/>
    <w:qFormat/>
    <w:uiPriority w:val="0"/>
    <w:pPr>
      <w:adjustRightInd/>
      <w:spacing w:line="360" w:lineRule="auto"/>
      <w:ind w:firstLine="480" w:firstLineChars="200"/>
      <w:jc w:val="both"/>
      <w:textAlignment w:val="auto"/>
    </w:pPr>
    <w:rPr>
      <w:rFonts w:ascii="Calibri" w:hAnsi="Calibri"/>
      <w:kern w:val="2"/>
      <w:szCs w:val="22"/>
    </w:rPr>
  </w:style>
  <w:style w:type="character" w:customStyle="1" w:styleId="375">
    <w:name w:val="正文-zy Char"/>
    <w:link w:val="374"/>
    <w:qFormat/>
    <w:uiPriority w:val="0"/>
    <w:rPr>
      <w:rFonts w:ascii="Calibri" w:hAnsi="Calibri"/>
      <w:kern w:val="2"/>
      <w:sz w:val="24"/>
      <w:szCs w:val="22"/>
    </w:rPr>
  </w:style>
  <w:style w:type="paragraph" w:customStyle="1" w:styleId="376">
    <w:name w:val="缩进正文"/>
    <w:basedOn w:val="1"/>
    <w:link w:val="377"/>
    <w:qFormat/>
    <w:uiPriority w:val="0"/>
    <w:pPr>
      <w:adjustRightInd/>
      <w:spacing w:line="360" w:lineRule="auto"/>
      <w:ind w:firstLine="200" w:firstLineChars="200"/>
      <w:jc w:val="both"/>
      <w:textAlignment w:val="auto"/>
    </w:pPr>
    <w:rPr>
      <w:kern w:val="2"/>
      <w:szCs w:val="24"/>
    </w:rPr>
  </w:style>
  <w:style w:type="character" w:customStyle="1" w:styleId="377">
    <w:name w:val="缩进正文 Char"/>
    <w:link w:val="376"/>
    <w:qFormat/>
    <w:uiPriority w:val="0"/>
    <w:rPr>
      <w:kern w:val="2"/>
      <w:sz w:val="24"/>
      <w:szCs w:val="24"/>
    </w:rPr>
  </w:style>
  <w:style w:type="paragraph" w:customStyle="1" w:styleId="378">
    <w:name w:val="Figure Description"/>
    <w:basedOn w:val="1"/>
    <w:link w:val="379"/>
    <w:qFormat/>
    <w:uiPriority w:val="0"/>
    <w:pPr>
      <w:adjustRightInd/>
      <w:spacing w:line="240" w:lineRule="auto"/>
      <w:ind w:left="1701"/>
      <w:jc w:val="both"/>
      <w:textAlignment w:val="auto"/>
    </w:pPr>
    <w:rPr>
      <w:kern w:val="2"/>
      <w:sz w:val="21"/>
    </w:rPr>
  </w:style>
  <w:style w:type="character" w:customStyle="1" w:styleId="379">
    <w:name w:val="Figure Description Char"/>
    <w:link w:val="378"/>
    <w:qFormat/>
    <w:uiPriority w:val="0"/>
    <w:rPr>
      <w:kern w:val="2"/>
      <w:sz w:val="21"/>
    </w:rPr>
  </w:style>
  <w:style w:type="paragraph" w:customStyle="1" w:styleId="380">
    <w:name w:val="部分标题"/>
    <w:basedOn w:val="1"/>
    <w:qFormat/>
    <w:uiPriority w:val="0"/>
    <w:pPr>
      <w:keepNext/>
      <w:keepLines/>
      <w:adjustRightInd/>
      <w:spacing w:before="120" w:after="120" w:line="360" w:lineRule="auto"/>
      <w:ind w:left="420" w:hanging="420"/>
      <w:jc w:val="both"/>
      <w:textAlignment w:val="auto"/>
      <w:outlineLvl w:val="0"/>
    </w:pPr>
    <w:rPr>
      <w:rFonts w:eastAsia="黑体" w:cs="宋体"/>
      <w:b/>
      <w:bCs/>
      <w:kern w:val="44"/>
      <w:sz w:val="44"/>
    </w:rPr>
  </w:style>
  <w:style w:type="paragraph" w:customStyle="1" w:styleId="381">
    <w:name w:val="zj-3"/>
    <w:basedOn w:val="1"/>
    <w:link w:val="382"/>
    <w:qFormat/>
    <w:uiPriority w:val="0"/>
    <w:pPr>
      <w:widowControl/>
      <w:adjustRightInd/>
      <w:spacing w:beforeLines="50" w:afterLines="50" w:line="252" w:lineRule="auto"/>
      <w:ind w:firstLine="420"/>
      <w:textAlignment w:val="auto"/>
    </w:pPr>
    <w:rPr>
      <w:rFonts w:ascii="Cambria" w:hAnsi="Cambria"/>
      <w:sz w:val="21"/>
      <w:szCs w:val="22"/>
      <w:lang w:bidi="en-US"/>
    </w:rPr>
  </w:style>
  <w:style w:type="character" w:customStyle="1" w:styleId="382">
    <w:name w:val="zj-3 Char"/>
    <w:link w:val="381"/>
    <w:qFormat/>
    <w:uiPriority w:val="0"/>
    <w:rPr>
      <w:rFonts w:ascii="Cambria" w:hAnsi="Cambria"/>
      <w:sz w:val="21"/>
      <w:szCs w:val="22"/>
      <w:lang w:bidi="en-US"/>
    </w:rPr>
  </w:style>
  <w:style w:type="paragraph" w:customStyle="1" w:styleId="383">
    <w:name w:val="zj-4"/>
    <w:basedOn w:val="381"/>
    <w:link w:val="384"/>
    <w:qFormat/>
    <w:uiPriority w:val="0"/>
    <w:pPr>
      <w:spacing w:beforeLines="100"/>
      <w:ind w:left="840" w:hanging="420"/>
    </w:pPr>
  </w:style>
  <w:style w:type="character" w:customStyle="1" w:styleId="384">
    <w:name w:val="zj-4 Char"/>
    <w:link w:val="383"/>
    <w:qFormat/>
    <w:uiPriority w:val="0"/>
    <w:rPr>
      <w:rFonts w:ascii="Cambria" w:hAnsi="Cambria"/>
      <w:sz w:val="21"/>
      <w:szCs w:val="22"/>
      <w:lang w:bidi="en-US"/>
    </w:rPr>
  </w:style>
  <w:style w:type="paragraph" w:customStyle="1" w:styleId="385">
    <w:name w:val="第一级标题"/>
    <w:basedOn w:val="2"/>
    <w:next w:val="1"/>
    <w:qFormat/>
    <w:uiPriority w:val="0"/>
    <w:pPr>
      <w:pageBreakBefore/>
      <w:numPr>
        <w:ilvl w:val="0"/>
        <w:numId w:val="20"/>
      </w:numPr>
      <w:adjustRightInd/>
      <w:spacing w:before="0" w:after="0" w:line="360" w:lineRule="auto"/>
      <w:jc w:val="both"/>
      <w:textAlignment w:val="auto"/>
    </w:pPr>
    <w:rPr>
      <w:rFonts w:ascii="Calibri" w:hAnsi="Calibri" w:eastAsia="微软雅黑"/>
      <w:bCs/>
      <w:sz w:val="36"/>
      <w:szCs w:val="44"/>
    </w:rPr>
  </w:style>
  <w:style w:type="paragraph" w:customStyle="1" w:styleId="386">
    <w:name w:val="第二级标题"/>
    <w:basedOn w:val="3"/>
    <w:next w:val="1"/>
    <w:qFormat/>
    <w:uiPriority w:val="0"/>
    <w:pPr>
      <w:numPr>
        <w:ilvl w:val="1"/>
        <w:numId w:val="20"/>
      </w:numPr>
      <w:autoSpaceDE/>
      <w:autoSpaceDN/>
      <w:adjustRightInd/>
      <w:spacing w:before="0"/>
      <w:jc w:val="both"/>
      <w:textAlignment w:val="auto"/>
    </w:pPr>
    <w:rPr>
      <w:rFonts w:ascii="Cambria" w:hAnsi="Cambria" w:eastAsia="微软雅黑" w:cs="Calibri"/>
      <w:b w:val="0"/>
      <w:snapToGrid w:val="0"/>
      <w:w w:val="0"/>
      <w:sz w:val="32"/>
      <w:szCs w:val="36"/>
    </w:rPr>
  </w:style>
  <w:style w:type="paragraph" w:customStyle="1" w:styleId="387">
    <w:name w:val="第三极标题"/>
    <w:basedOn w:val="4"/>
    <w:next w:val="1"/>
    <w:qFormat/>
    <w:uiPriority w:val="0"/>
    <w:pPr>
      <w:numPr>
        <w:ilvl w:val="2"/>
        <w:numId w:val="20"/>
      </w:numPr>
      <w:tabs>
        <w:tab w:val="left" w:pos="851"/>
      </w:tabs>
      <w:autoSpaceDE/>
      <w:autoSpaceDN/>
      <w:adjustRightInd/>
      <w:spacing w:before="0" w:after="0" w:line="360" w:lineRule="auto"/>
      <w:jc w:val="both"/>
      <w:textAlignment w:val="auto"/>
    </w:pPr>
    <w:rPr>
      <w:rFonts w:ascii="Calibri" w:hAnsi="Calibri" w:eastAsia="微软雅黑"/>
      <w:b w:val="0"/>
      <w:kern w:val="2"/>
      <w:sz w:val="32"/>
      <w:szCs w:val="32"/>
    </w:rPr>
  </w:style>
  <w:style w:type="paragraph" w:customStyle="1" w:styleId="388">
    <w:name w:val="第四级标题"/>
    <w:basedOn w:val="5"/>
    <w:next w:val="1"/>
    <w:qFormat/>
    <w:uiPriority w:val="0"/>
    <w:pPr>
      <w:numPr>
        <w:ilvl w:val="3"/>
        <w:numId w:val="20"/>
      </w:numPr>
      <w:tabs>
        <w:tab w:val="left" w:pos="851"/>
        <w:tab w:val="clear" w:pos="864"/>
      </w:tabs>
      <w:adjustRightInd/>
      <w:snapToGrid/>
      <w:spacing w:before="0" w:line="360" w:lineRule="auto"/>
      <w:jc w:val="both"/>
    </w:pPr>
    <w:rPr>
      <w:rFonts w:ascii="Cambria" w:hAnsi="Cambria" w:eastAsia="微软雅黑"/>
      <w:b w:val="0"/>
      <w:sz w:val="28"/>
    </w:rPr>
  </w:style>
  <w:style w:type="paragraph" w:customStyle="1" w:styleId="389">
    <w:name w:val="第五级标题"/>
    <w:basedOn w:val="7"/>
    <w:next w:val="1"/>
    <w:link w:val="390"/>
    <w:qFormat/>
    <w:uiPriority w:val="0"/>
    <w:pPr>
      <w:numPr>
        <w:ilvl w:val="4"/>
        <w:numId w:val="20"/>
      </w:numPr>
      <w:adjustRightInd/>
      <w:snapToGrid/>
      <w:spacing w:before="0" w:line="360" w:lineRule="auto"/>
      <w:jc w:val="both"/>
    </w:pPr>
    <w:rPr>
      <w:rFonts w:ascii="Calibri" w:hAnsi="Calibri" w:eastAsia="微软雅黑"/>
      <w:bCs/>
      <w:color w:val="000000"/>
      <w:sz w:val="24"/>
      <w:szCs w:val="24"/>
    </w:rPr>
  </w:style>
  <w:style w:type="character" w:customStyle="1" w:styleId="390">
    <w:name w:val="第五级标题 Char"/>
    <w:link w:val="389"/>
    <w:qFormat/>
    <w:uiPriority w:val="0"/>
    <w:rPr>
      <w:rFonts w:ascii="Calibri" w:hAnsi="Calibri" w:eastAsia="微软雅黑"/>
      <w:bCs/>
      <w:color w:val="000000"/>
      <w:kern w:val="2"/>
      <w:sz w:val="24"/>
      <w:szCs w:val="24"/>
    </w:rPr>
  </w:style>
  <w:style w:type="paragraph" w:customStyle="1" w:styleId="391">
    <w:name w:val="正文（段落）"/>
    <w:basedOn w:val="1"/>
    <w:link w:val="392"/>
    <w:qFormat/>
    <w:uiPriority w:val="0"/>
    <w:pPr>
      <w:adjustRightInd/>
      <w:spacing w:line="360" w:lineRule="auto"/>
      <w:ind w:firstLine="480" w:firstLineChars="200"/>
      <w:jc w:val="both"/>
      <w:textAlignment w:val="auto"/>
    </w:pPr>
    <w:rPr>
      <w:rFonts w:ascii="宋体" w:hAnsi="宋体"/>
      <w:kern w:val="2"/>
      <w:szCs w:val="24"/>
    </w:rPr>
  </w:style>
  <w:style w:type="character" w:customStyle="1" w:styleId="392">
    <w:name w:val="正文（段落） Char"/>
    <w:link w:val="391"/>
    <w:qFormat/>
    <w:uiPriority w:val="0"/>
    <w:rPr>
      <w:rFonts w:ascii="宋体" w:hAnsi="宋体"/>
      <w:kern w:val="2"/>
      <w:sz w:val="24"/>
      <w:szCs w:val="24"/>
    </w:rPr>
  </w:style>
  <w:style w:type="paragraph" w:customStyle="1" w:styleId="393">
    <w:name w:val="正文首行缩进（绿盟科技）"/>
    <w:basedOn w:val="1"/>
    <w:link w:val="394"/>
    <w:qFormat/>
    <w:uiPriority w:val="0"/>
    <w:pPr>
      <w:widowControl/>
      <w:adjustRightInd/>
      <w:spacing w:after="50" w:line="300" w:lineRule="auto"/>
      <w:ind w:firstLine="200" w:firstLineChars="200"/>
      <w:textAlignment w:val="auto"/>
    </w:pPr>
    <w:rPr>
      <w:rFonts w:ascii="Arial" w:hAnsi="Arial"/>
      <w:sz w:val="20"/>
      <w:szCs w:val="21"/>
    </w:rPr>
  </w:style>
  <w:style w:type="character" w:customStyle="1" w:styleId="394">
    <w:name w:val="正文首行缩进（绿盟科技） Char"/>
    <w:link w:val="393"/>
    <w:qFormat/>
    <w:uiPriority w:val="0"/>
    <w:rPr>
      <w:rFonts w:ascii="Arial" w:hAnsi="Arial"/>
      <w:szCs w:val="21"/>
    </w:rPr>
  </w:style>
  <w:style w:type="paragraph" w:customStyle="1" w:styleId="395">
    <w:name w:val="正文首行缩进（万达）"/>
    <w:basedOn w:val="1"/>
    <w:link w:val="396"/>
    <w:qFormat/>
    <w:uiPriority w:val="0"/>
    <w:pPr>
      <w:widowControl/>
      <w:adjustRightInd/>
      <w:spacing w:after="50" w:line="300" w:lineRule="auto"/>
      <w:ind w:firstLine="200" w:firstLineChars="200"/>
      <w:textAlignment w:val="auto"/>
    </w:pPr>
    <w:rPr>
      <w:rFonts w:ascii="Arial" w:hAnsi="Arial"/>
      <w:sz w:val="20"/>
      <w:szCs w:val="21"/>
    </w:rPr>
  </w:style>
  <w:style w:type="character" w:customStyle="1" w:styleId="396">
    <w:name w:val="正文首行缩进（万达） Char"/>
    <w:link w:val="395"/>
    <w:qFormat/>
    <w:uiPriority w:val="0"/>
    <w:rPr>
      <w:rFonts w:ascii="Arial" w:hAnsi="Arial"/>
      <w:szCs w:val="21"/>
    </w:rPr>
  </w:style>
  <w:style w:type="paragraph" w:customStyle="1" w:styleId="397">
    <w:name w:val="符号3-zy"/>
    <w:basedOn w:val="1"/>
    <w:qFormat/>
    <w:uiPriority w:val="0"/>
    <w:pPr>
      <w:numPr>
        <w:ilvl w:val="0"/>
        <w:numId w:val="21"/>
      </w:numPr>
      <w:tabs>
        <w:tab w:val="left" w:pos="907"/>
      </w:tabs>
      <w:adjustRightInd/>
      <w:spacing w:line="360" w:lineRule="auto"/>
      <w:jc w:val="both"/>
      <w:textAlignment w:val="auto"/>
    </w:pPr>
    <w:rPr>
      <w:rFonts w:hAnsi="宋体"/>
    </w:rPr>
  </w:style>
  <w:style w:type="paragraph" w:customStyle="1" w:styleId="398">
    <w:name w:val="第六级标题"/>
    <w:basedOn w:val="389"/>
    <w:link w:val="399"/>
    <w:qFormat/>
    <w:uiPriority w:val="0"/>
    <w:pPr>
      <w:numPr>
        <w:ilvl w:val="0"/>
        <w:numId w:val="0"/>
      </w:numPr>
      <w:ind w:left="1134" w:hanging="1134"/>
      <w:outlineLvl w:val="5"/>
    </w:pPr>
  </w:style>
  <w:style w:type="character" w:customStyle="1" w:styleId="399">
    <w:name w:val="第六级标题 Char"/>
    <w:link w:val="398"/>
    <w:qFormat/>
    <w:uiPriority w:val="0"/>
  </w:style>
  <w:style w:type="character" w:customStyle="1" w:styleId="400">
    <w:name w:val="正文缩进 Char1"/>
    <w:qFormat/>
    <w:uiPriority w:val="0"/>
    <w:rPr>
      <w:rFonts w:ascii="Times New Roman" w:hAnsi="Times New Roman"/>
      <w:kern w:val="2"/>
      <w:sz w:val="24"/>
    </w:rPr>
  </w:style>
  <w:style w:type="paragraph" w:styleId="401">
    <w:name w:val="No Spacing"/>
    <w:link w:val="402"/>
    <w:qFormat/>
    <w:uiPriority w:val="1"/>
    <w:pPr>
      <w:widowControl w:val="0"/>
      <w:jc w:val="both"/>
    </w:pPr>
    <w:rPr>
      <w:rFonts w:ascii="Calibri" w:hAnsi="Calibri" w:eastAsia="宋体" w:cs="Times New Roman"/>
      <w:lang w:val="en-US" w:eastAsia="zh-CN" w:bidi="ar-SA"/>
    </w:rPr>
  </w:style>
  <w:style w:type="character" w:customStyle="1" w:styleId="402">
    <w:name w:val="无间隔 Char"/>
    <w:link w:val="401"/>
    <w:qFormat/>
    <w:locked/>
    <w:uiPriority w:val="1"/>
    <w:rPr>
      <w:rFonts w:ascii="Calibri" w:hAnsi="Calibri"/>
      <w:lang w:val="en-US" w:eastAsia="zh-CN" w:bidi="ar-SA"/>
    </w:rPr>
  </w:style>
  <w:style w:type="paragraph" w:customStyle="1" w:styleId="403">
    <w:name w:val="样式 标题 3Heading 3 - oldh3ISO2L3heading 33rd level3H3Leve..."/>
    <w:basedOn w:val="4"/>
    <w:qFormat/>
    <w:uiPriority w:val="0"/>
    <w:pPr>
      <w:autoSpaceDE/>
      <w:autoSpaceDN/>
      <w:snapToGrid w:val="0"/>
      <w:spacing w:before="0" w:after="0" w:line="415" w:lineRule="auto"/>
      <w:ind w:left="737" w:hanging="737"/>
      <w:jc w:val="both"/>
      <w:textAlignment w:val="auto"/>
    </w:pPr>
    <w:rPr>
      <w:rFonts w:ascii="Arial" w:hAnsi="Arial" w:eastAsia="黑体" w:cs="宋体"/>
      <w:bCs/>
      <w:kern w:val="2"/>
      <w:sz w:val="30"/>
      <w:szCs w:val="32"/>
    </w:rPr>
  </w:style>
  <w:style w:type="paragraph" w:customStyle="1" w:styleId="404">
    <w:name w:val="样式 首行缩进:  2 字符5"/>
    <w:basedOn w:val="1"/>
    <w:qFormat/>
    <w:uiPriority w:val="0"/>
    <w:pPr>
      <w:adjustRightInd/>
      <w:spacing w:before="120" w:line="360" w:lineRule="auto"/>
      <w:ind w:firstLine="480" w:firstLineChars="200"/>
      <w:jc w:val="both"/>
      <w:textAlignment w:val="auto"/>
    </w:pPr>
    <w:rPr>
      <w:rFonts w:cs="宋体"/>
      <w:kern w:val="2"/>
    </w:rPr>
  </w:style>
  <w:style w:type="character" w:customStyle="1" w:styleId="405">
    <w:name w:val="中等深浅网格 2 Char"/>
    <w:link w:val="406"/>
    <w:qFormat/>
    <w:uiPriority w:val="0"/>
  </w:style>
  <w:style w:type="paragraph" w:customStyle="1" w:styleId="406">
    <w:name w:val="默认段落字体 Para Char Char Char"/>
    <w:basedOn w:val="1"/>
    <w:link w:val="405"/>
    <w:qFormat/>
    <w:uiPriority w:val="0"/>
    <w:pPr>
      <w:adjustRightInd/>
      <w:spacing w:line="240" w:lineRule="auto"/>
      <w:jc w:val="both"/>
      <w:textAlignment w:val="auto"/>
    </w:pPr>
    <w:rPr>
      <w:sz w:val="20"/>
    </w:rPr>
  </w:style>
  <w:style w:type="paragraph" w:customStyle="1" w:styleId="407">
    <w:name w:val="样式 小四 段前: 1.55 磅 段后: 1.55 磅 行距: 1.5 倍行距"/>
    <w:basedOn w:val="1"/>
    <w:qFormat/>
    <w:uiPriority w:val="0"/>
    <w:pPr>
      <w:adjustRightInd/>
      <w:spacing w:before="31" w:after="31" w:line="360" w:lineRule="auto"/>
      <w:jc w:val="both"/>
      <w:textAlignment w:val="auto"/>
    </w:pPr>
    <w:rPr>
      <w:kern w:val="2"/>
      <w:sz w:val="28"/>
    </w:rPr>
  </w:style>
  <w:style w:type="character" w:customStyle="1" w:styleId="408">
    <w:name w:val="Unresolved Mention"/>
    <w:unhideWhenUsed/>
    <w:qFormat/>
    <w:uiPriority w:val="99"/>
    <w:rPr>
      <w:color w:val="605E5C"/>
      <w:shd w:val="clear" w:color="auto" w:fill="E1DFDD"/>
    </w:rPr>
  </w:style>
  <w:style w:type="paragraph" w:customStyle="1" w:styleId="409">
    <w:name w:val="宋体小四正文"/>
    <w:basedOn w:val="1"/>
    <w:qFormat/>
    <w:uiPriority w:val="0"/>
    <w:pPr>
      <w:adjustRightInd/>
      <w:spacing w:afterLines="50" w:line="360" w:lineRule="auto"/>
      <w:ind w:firstLine="200" w:firstLineChars="200"/>
      <w:jc w:val="both"/>
      <w:textAlignment w:val="auto"/>
    </w:pPr>
    <w:rPr>
      <w:rFonts w:ascii="宋体" w:hAnsi="宋体"/>
      <w:kern w:val="2"/>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cup</Company>
  <Pages>24</Pages>
  <Words>2370</Words>
  <Characters>13515</Characters>
  <Lines>112</Lines>
  <Paragraphs>31</Paragraphs>
  <TotalTime>1</TotalTime>
  <ScaleCrop>false</ScaleCrop>
  <LinksUpToDate>false</LinksUpToDate>
  <CharactersWithSpaces>15854</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2024-10-21T01:07:00Z</dcterms:created>
  <dc:creator>Administrator</dc:creator>
  <cp:lastModifiedBy>user</cp:lastModifiedBy>
  <cp:lastPrinted>2014-09-29T16:37:00Z</cp:lastPrinted>
  <dcterms:modified xsi:type="dcterms:W3CDTF">2026-05-18T15:47:50Z</dcterms:modified>
  <dc:title>中国银联股份有限公司</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5996B55ECEB0EF4CFBFAF466814C7F7C_42</vt:lpwstr>
  </property>
</Properties>
</file>