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443D3">
      <w:pPr>
        <w:ind w:firstLine="0" w:firstLineChars="0"/>
        <w:jc w:val="center"/>
        <w:rPr>
          <w:rFonts w:ascii="黑体" w:hAnsi="黑体" w:eastAsia="黑体"/>
          <w:sz w:val="48"/>
          <w:szCs w:val="48"/>
        </w:rPr>
      </w:pPr>
      <w:bookmarkStart w:id="36" w:name="_GoBack"/>
      <w:bookmarkEnd w:id="36"/>
    </w:p>
    <w:p w14:paraId="40CAF64A">
      <w:pPr>
        <w:ind w:firstLine="0" w:firstLineChars="0"/>
        <w:jc w:val="center"/>
        <w:rPr>
          <w:rFonts w:ascii="黑体" w:hAnsi="黑体" w:eastAsia="黑体"/>
          <w:sz w:val="48"/>
          <w:szCs w:val="48"/>
        </w:rPr>
      </w:pPr>
    </w:p>
    <w:p w14:paraId="2A3DD6A4">
      <w:pPr>
        <w:ind w:firstLine="0" w:firstLineChars="0"/>
        <w:jc w:val="center"/>
        <w:rPr>
          <w:rFonts w:ascii="黑体" w:hAnsi="黑体" w:eastAsia="黑体"/>
          <w:sz w:val="48"/>
          <w:szCs w:val="48"/>
        </w:rPr>
      </w:pPr>
    </w:p>
    <w:p w14:paraId="33456F98">
      <w:pPr>
        <w:ind w:firstLine="0" w:firstLineChars="0"/>
        <w:jc w:val="center"/>
        <w:rPr>
          <w:rFonts w:ascii="黑体" w:hAnsi="黑体" w:eastAsia="黑体"/>
          <w:sz w:val="48"/>
          <w:szCs w:val="48"/>
        </w:rPr>
      </w:pPr>
    </w:p>
    <w:p w14:paraId="51ED5E9B">
      <w:pPr>
        <w:ind w:firstLine="0" w:firstLineChars="0"/>
        <w:jc w:val="center"/>
        <w:rPr>
          <w:rFonts w:ascii="黑体" w:hAnsi="黑体" w:eastAsia="黑体"/>
          <w:sz w:val="52"/>
          <w:szCs w:val="52"/>
        </w:rPr>
      </w:pPr>
      <w:r>
        <w:rPr>
          <w:rFonts w:hint="eastAsia" w:ascii="黑体" w:hAnsi="黑体" w:eastAsia="黑体"/>
          <w:sz w:val="52"/>
          <w:szCs w:val="52"/>
        </w:rPr>
        <w:t xml:space="preserve">上海市城市管理综合信息系统建设项目(2026年升级改造) </w:t>
      </w:r>
    </w:p>
    <w:p w14:paraId="13F28DB4">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47B2BCD1">
      <w:pPr>
        <w:ind w:firstLine="0" w:firstLineChars="0"/>
        <w:jc w:val="center"/>
        <w:rPr>
          <w:rFonts w:ascii="黑体" w:hAnsi="黑体" w:eastAsia="黑体"/>
          <w:sz w:val="72"/>
          <w:szCs w:val="72"/>
        </w:rPr>
      </w:pPr>
    </w:p>
    <w:p w14:paraId="115A164E">
      <w:pPr>
        <w:ind w:firstLine="0" w:firstLineChars="0"/>
        <w:jc w:val="center"/>
      </w:pPr>
    </w:p>
    <w:p w14:paraId="4D0E78FF">
      <w:pPr>
        <w:ind w:firstLine="0" w:firstLineChars="0"/>
        <w:jc w:val="center"/>
      </w:pPr>
    </w:p>
    <w:p w14:paraId="7789B2D8">
      <w:pPr>
        <w:ind w:firstLine="0" w:firstLineChars="0"/>
        <w:jc w:val="center"/>
      </w:pPr>
    </w:p>
    <w:p w14:paraId="183D1FD0">
      <w:pPr>
        <w:ind w:firstLine="0" w:firstLineChars="0"/>
        <w:jc w:val="center"/>
      </w:pPr>
    </w:p>
    <w:p w14:paraId="5788C056">
      <w:pPr>
        <w:ind w:firstLine="0" w:firstLineChars="0"/>
        <w:jc w:val="center"/>
      </w:pPr>
    </w:p>
    <w:p w14:paraId="0602362F">
      <w:pPr>
        <w:ind w:firstLine="0" w:firstLineChars="0"/>
        <w:jc w:val="center"/>
      </w:pPr>
    </w:p>
    <w:p w14:paraId="5557E40F">
      <w:pPr>
        <w:ind w:firstLine="0" w:firstLineChars="0"/>
        <w:jc w:val="center"/>
      </w:pPr>
    </w:p>
    <w:p w14:paraId="264CCF56">
      <w:pPr>
        <w:ind w:firstLine="0" w:firstLineChars="0"/>
        <w:jc w:val="center"/>
      </w:pPr>
    </w:p>
    <w:p w14:paraId="649EFC91">
      <w:pPr>
        <w:ind w:firstLine="0" w:firstLineChars="0"/>
        <w:jc w:val="center"/>
      </w:pPr>
    </w:p>
    <w:p w14:paraId="55731031">
      <w:pPr>
        <w:ind w:firstLine="0" w:firstLineChars="0"/>
        <w:jc w:val="center"/>
      </w:pPr>
    </w:p>
    <w:p w14:paraId="06520674">
      <w:pPr>
        <w:ind w:firstLine="0" w:firstLineChars="0"/>
        <w:jc w:val="center"/>
      </w:pPr>
    </w:p>
    <w:p w14:paraId="542FB431">
      <w:pPr>
        <w:ind w:firstLine="0" w:firstLineChars="0"/>
        <w:jc w:val="center"/>
      </w:pPr>
    </w:p>
    <w:p w14:paraId="1AEDB6F9">
      <w:pPr>
        <w:ind w:firstLine="0" w:firstLineChars="0"/>
        <w:jc w:val="center"/>
      </w:pPr>
    </w:p>
    <w:p w14:paraId="3619A41D">
      <w:pPr>
        <w:ind w:firstLine="0" w:firstLineChars="0"/>
        <w:jc w:val="center"/>
        <w:rPr>
          <w:rFonts w:ascii="黑体" w:hAnsi="黑体" w:eastAsia="黑体"/>
          <w:sz w:val="48"/>
          <w:szCs w:val="48"/>
        </w:rPr>
      </w:pPr>
    </w:p>
    <w:p w14:paraId="29553209">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0B689792">
      <w:pPr>
        <w:pStyle w:val="2"/>
      </w:pPr>
      <w:bookmarkStart w:id="0" w:name="_Toc63785461"/>
      <w:r>
        <w:rPr>
          <w:rFonts w:hint="eastAsia"/>
        </w:rPr>
        <w:t>项目概况</w:t>
      </w:r>
      <w:bookmarkEnd w:id="0"/>
    </w:p>
    <w:p w14:paraId="2A733CB1">
      <w:pPr>
        <w:spacing w:line="560" w:lineRule="exact"/>
      </w:pPr>
      <w:bookmarkStart w:id="1" w:name="OLE_LINK15"/>
      <w:bookmarkStart w:id="2" w:name="OLE_LINK13"/>
      <w:r>
        <w:rPr>
          <w:rFonts w:hint="eastAsia"/>
        </w:rPr>
        <w:t>上海市城市管理综合信息系统，运用云计算技术建立了空间地理信息云计算环境，汇集了两委六局城市规划、建设、管理、交通、水务、环保、绿化市容、测绘等行业现有基础空间地理数据。按照住建部《城市信息模型（CIM）基础平台技术导则》的要求，该系统成为住建行业CIM平台，实现二三维一体化、动静一体化、地上地下一体化与分层分级可视化，实现了CIM基础平台数据管理、数据查询与可视化、平台分析、平台运行与共享服务、平台开发接口五类基础功能。加强BIM数据处理以及对住建业务应用支撑、实现住建领域IOT数据的汇聚和共享、结合地上空间与地下空间实现一体化分析应用、并基于“一张图”的数字孪生可视化引擎实现住建行业三维数据可视化应用。持续深化CIM+应用，包括新建上海海绵城市信息系统、上海市住建行业基础数据库、数字村镇驾驶舱，升级改造农民集中居住、委信用数据库系统等CIM+应用等。</w:t>
      </w:r>
    </w:p>
    <w:p w14:paraId="23A7248D">
      <w:pPr>
        <w:spacing w:line="560" w:lineRule="exact"/>
        <w:rPr>
          <w:rFonts w:hint="eastAsia"/>
          <w:highlight w:val="none"/>
          <w:shd w:val="clear"/>
        </w:rPr>
      </w:pPr>
      <w:r>
        <w:rPr>
          <w:rFonts w:hint="eastAsia"/>
        </w:rPr>
        <w:t>2020年上海市入选全国36个城市体检样本城市，连续三年入选住建部城市体检试点，并从2020年起开展常态化的年度城市体检工作。目前基于CIM平台初步实现了城市体检指标可视化、指标诊断分析、满意度分析与报告自动生成，实现了36个指标的自动计算功能以及人居环境与产业园区两个专项体检功能。2024年9月住建部下发了</w:t>
      </w:r>
      <w:r>
        <w:rPr>
          <w:rFonts w:hint="eastAsia"/>
          <w:highlight w:val="none"/>
        </w:rPr>
        <w:t>《城市体检信息平台建设指南》（试行）</w:t>
      </w:r>
      <w:r>
        <w:rPr>
          <w:rFonts w:hint="eastAsia"/>
        </w:rPr>
        <w:t>，对体检平台建设提出了明确要求与建设方向。因此，在城市体检新的要求下，为更好的发挥信息系统对城市体检工作的支撑作用，需根据上海市城市体检工作实际和住建部文件要求，结合上海"城市体检"专题评估系统现有</w:t>
      </w:r>
      <w:r>
        <w:rPr>
          <w:rFonts w:hint="eastAsia"/>
          <w:highlight w:val="none"/>
        </w:rPr>
        <w:t>功能，</w:t>
      </w:r>
      <w:r>
        <w:rPr>
          <w:rFonts w:hint="eastAsia"/>
          <w:highlight w:val="none"/>
          <w:shd w:val="clear"/>
        </w:rPr>
        <w:t>在原来总体架构的基础上进行改造升级，全面支撑上海市城市体检工作。</w:t>
      </w:r>
    </w:p>
    <w:bookmarkEnd w:id="1"/>
    <w:bookmarkEnd w:id="2"/>
    <w:p w14:paraId="44469FA3">
      <w:pPr>
        <w:spacing w:line="560" w:lineRule="exact"/>
      </w:pPr>
      <w:r>
        <w:rPr>
          <w:rFonts w:hint="eastAsia"/>
        </w:rPr>
        <w:t>2024年10月住房和城乡建设部印发《“数字住建”建设整体布局规划》，要求充分汇聚整合多源数据资源，拓展动态监测、统计分析、趋势研判、效果评估、风险防控等应用场景，提升大数据辅助决策能力；同步全面推进住房城乡建设领域政务服务事项“一网通办”。这需要在已有数据以及数据治理能力的基础上，集约化新建数字住建驾驶舱、工程智管、宜居安住、韧性安全、美丽村镇、数字服务等功能，满足住建部、上海市以及市住建委相关业务管理工作需要。</w:t>
      </w:r>
    </w:p>
    <w:p w14:paraId="7B4A6577">
      <w:pPr>
        <w:pStyle w:val="2"/>
      </w:pPr>
      <w:bookmarkStart w:id="3" w:name="_Toc47537134"/>
      <w:bookmarkEnd w:id="3"/>
      <w:bookmarkStart w:id="4" w:name="_Toc47532891"/>
      <w:bookmarkEnd w:id="4"/>
      <w:bookmarkStart w:id="5" w:name="_Toc47532255"/>
      <w:bookmarkEnd w:id="5"/>
      <w:bookmarkStart w:id="6" w:name="_Toc47539070"/>
      <w:bookmarkEnd w:id="6"/>
      <w:bookmarkStart w:id="7" w:name="_Toc47536272"/>
      <w:bookmarkEnd w:id="7"/>
      <w:bookmarkStart w:id="8" w:name="_Toc47531634"/>
      <w:bookmarkEnd w:id="8"/>
      <w:bookmarkStart w:id="9" w:name="_Toc47533256"/>
      <w:bookmarkEnd w:id="9"/>
      <w:bookmarkStart w:id="10" w:name="_Toc47536644"/>
      <w:bookmarkEnd w:id="10"/>
      <w:bookmarkStart w:id="11" w:name="_Toc48223882"/>
      <w:bookmarkStart w:id="12" w:name="_Toc63785463"/>
      <w:r>
        <w:rPr>
          <w:rFonts w:hint="eastAsia"/>
        </w:rPr>
        <w:t>建设目标</w:t>
      </w:r>
      <w:bookmarkEnd w:id="11"/>
      <w:bookmarkEnd w:id="12"/>
    </w:p>
    <w:p w14:paraId="583B9590">
      <w:pPr>
        <w:spacing w:line="560" w:lineRule="exact"/>
      </w:pPr>
      <w:r>
        <w:rPr>
          <w:rFonts w:hint="eastAsia"/>
        </w:rPr>
        <w:t>深入贯彻落实住房和城乡建设部</w:t>
      </w:r>
      <w:r>
        <w:rPr>
          <w:rFonts w:hint="eastAsia"/>
          <w:highlight w:val="none"/>
        </w:rPr>
        <w:t>《城市体检信息平台建设指南》（试行）</w:t>
      </w:r>
      <w:r>
        <w:rPr>
          <w:rFonts w:hint="eastAsia"/>
        </w:rPr>
        <w:t>与《“数字住建”建设整体布局规划》的要求，加强城市体检相关数字化建设，全面支撑上海城市体检工作，深入推进数字工程、数字住房、数字城市、数字村镇、数字政务数据融合治理与服务，加快数字技术与住建行业深度融合，持续推进本市住房城乡建设管理行业数字化转型工作。</w:t>
      </w:r>
    </w:p>
    <w:p w14:paraId="0793A4EA">
      <w:pPr>
        <w:spacing w:line="560" w:lineRule="exact"/>
        <w:ind w:left="480" w:leftChars="200" w:firstLine="0" w:firstLineChars="0"/>
      </w:pPr>
      <w:r>
        <w:rPr>
          <w:rFonts w:hint="eastAsia"/>
        </w:rPr>
        <w:t>具体目标如下：</w:t>
      </w:r>
    </w:p>
    <w:p w14:paraId="06D9E43E">
      <w:pPr>
        <w:numPr>
          <w:ilvl w:val="0"/>
          <w:numId w:val="3"/>
        </w:numPr>
        <w:spacing w:line="560" w:lineRule="exact"/>
        <w:ind w:left="0" w:firstLine="480"/>
      </w:pPr>
      <w:r>
        <w:rPr>
          <w:rFonts w:hint="eastAsia"/>
        </w:rPr>
        <w:t>实现市、区、街镇、社区四级应用，满足住建部《城市体检信息系统建设指南》要求，全面支撑上海城市体检工作。</w:t>
      </w:r>
    </w:p>
    <w:p w14:paraId="535BA478">
      <w:pPr>
        <w:numPr>
          <w:ilvl w:val="0"/>
          <w:numId w:val="3"/>
        </w:numPr>
        <w:spacing w:line="560" w:lineRule="exact"/>
        <w:ind w:left="0" w:firstLine="480"/>
      </w:pPr>
      <w:r>
        <w:rPr>
          <w:rFonts w:hint="eastAsia"/>
        </w:rPr>
        <w:t>构建覆盖工程监管、住房治理、城市更新、村镇建设、政务服务等领域的全链条数字化治理环境，可视化分析展示上海市数字住建主要成果。</w:t>
      </w:r>
    </w:p>
    <w:p w14:paraId="32B291BD">
      <w:pPr>
        <w:pStyle w:val="2"/>
      </w:pPr>
      <w:bookmarkStart w:id="13" w:name="_Toc47539102"/>
      <w:bookmarkEnd w:id="13"/>
      <w:bookmarkStart w:id="14" w:name="_Toc47537166"/>
      <w:bookmarkEnd w:id="14"/>
      <w:bookmarkStart w:id="15" w:name="_Toc47536304"/>
      <w:bookmarkEnd w:id="15"/>
      <w:bookmarkStart w:id="16" w:name="_Toc47533288"/>
      <w:bookmarkEnd w:id="16"/>
      <w:bookmarkStart w:id="17" w:name="_Toc47532923"/>
      <w:bookmarkEnd w:id="17"/>
      <w:bookmarkStart w:id="18" w:name="_Toc47536676"/>
      <w:bookmarkEnd w:id="18"/>
      <w:r>
        <w:rPr>
          <w:rFonts w:hint="eastAsia"/>
        </w:rPr>
        <w:t>项目建设内容</w:t>
      </w:r>
    </w:p>
    <w:p w14:paraId="39D06F0B">
      <w:pPr>
        <w:pStyle w:val="3"/>
        <w:spacing w:before="0"/>
        <w:ind w:left="1614" w:leftChars="200" w:hanging="1134"/>
      </w:pPr>
      <w:r>
        <w:rPr>
          <w:rFonts w:hint="eastAsia"/>
        </w:rPr>
        <w:t>项目总体设计</w:t>
      </w:r>
    </w:p>
    <w:p w14:paraId="47EE9D33">
      <w:r>
        <w:rPr>
          <w:rFonts w:hint="eastAsia"/>
        </w:rPr>
        <w:t>1.开发框架和技术</w:t>
      </w:r>
    </w:p>
    <w:p w14:paraId="3CD7F6DA">
      <w:r>
        <w:rPr>
          <w:rFonts w:hint="eastAsia"/>
        </w:rPr>
        <w:t>应用系统基于B/S模式进行设计与开发。使用Spring框架，MVC架构风格，部署东方通提供的服务。浏览器端依赖于VUE，兼容大多数浏览器软件。web服务器前端UI采用Element UI框架、HTML、VUE技术，实现网页浏览和与后端数据交互。Web服务器后端采用Spring boot+Mybatis架构，Mybatis对接后台数据库。</w:t>
      </w:r>
    </w:p>
    <w:p w14:paraId="4E949FB5">
      <w:pPr>
        <w:numPr>
          <w:ilvl w:val="0"/>
          <w:numId w:val="4"/>
        </w:numPr>
      </w:pPr>
      <w:r>
        <w:rPr>
          <w:rFonts w:hint="eastAsia"/>
        </w:rPr>
        <w:t>系统架构</w:t>
      </w:r>
    </w:p>
    <w:p w14:paraId="3BCA75CD">
      <w:r>
        <w:rPr>
          <w:rFonts w:hint="eastAsia"/>
        </w:rPr>
        <w:t>本项目的总体架构如下图：</w:t>
      </w:r>
    </w:p>
    <w:p w14:paraId="3EB022A2">
      <w:pPr>
        <w:ind w:firstLine="0" w:firstLineChars="0"/>
      </w:pPr>
      <w:r>
        <w:drawing>
          <wp:inline distT="0" distB="0" distL="114300" distR="114300">
            <wp:extent cx="5270500" cy="7588885"/>
            <wp:effectExtent l="0" t="0" r="2540" b="63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tretch>
                      <a:fillRect/>
                    </a:stretch>
                  </pic:blipFill>
                  <pic:spPr>
                    <a:xfrm>
                      <a:off x="0" y="0"/>
                      <a:ext cx="5270500" cy="7588885"/>
                    </a:xfrm>
                    <a:prstGeom prst="rect">
                      <a:avLst/>
                    </a:prstGeom>
                    <a:noFill/>
                    <a:ln>
                      <a:noFill/>
                    </a:ln>
                  </pic:spPr>
                </pic:pic>
              </a:graphicData>
            </a:graphic>
          </wp:inline>
        </w:drawing>
      </w:r>
    </w:p>
    <w:p w14:paraId="43293530">
      <w:pPr>
        <w:widowControl/>
        <w:snapToGrid w:val="0"/>
        <w:spacing w:line="440" w:lineRule="exact"/>
        <w:ind w:firstLine="482"/>
        <w:jc w:val="left"/>
        <w:rPr>
          <w:b/>
        </w:rPr>
      </w:pPr>
    </w:p>
    <w:p w14:paraId="081B8829">
      <w:pPr>
        <w:pStyle w:val="3"/>
        <w:spacing w:before="0"/>
        <w:ind w:left="1614" w:leftChars="200" w:hanging="1134"/>
      </w:pPr>
      <w:r>
        <w:rPr>
          <w:rFonts w:hint="eastAsia"/>
        </w:rPr>
        <w:t>项目建设内容</w:t>
      </w:r>
    </w:p>
    <w:p w14:paraId="79E10654">
      <w:r>
        <w:rPr>
          <w:rFonts w:hint="eastAsia"/>
        </w:rPr>
        <w:t>本项目为软件开发，具体清单如下：</w:t>
      </w:r>
    </w:p>
    <w:p w14:paraId="6A4CE64A"/>
    <w:tbl>
      <w:tblPr>
        <w:tblStyle w:val="35"/>
        <w:tblW w:w="4998" w:type="pct"/>
        <w:tblInd w:w="0" w:type="dxa"/>
        <w:tblLayout w:type="autofit"/>
        <w:tblCellMar>
          <w:top w:w="0" w:type="dxa"/>
          <w:left w:w="108" w:type="dxa"/>
          <w:bottom w:w="0" w:type="dxa"/>
          <w:right w:w="108" w:type="dxa"/>
        </w:tblCellMar>
      </w:tblPr>
      <w:tblGrid>
        <w:gridCol w:w="674"/>
        <w:gridCol w:w="1018"/>
        <w:gridCol w:w="2506"/>
        <w:gridCol w:w="4327"/>
      </w:tblGrid>
      <w:tr w14:paraId="42D1A56C">
        <w:trPr>
          <w:trHeight w:val="340" w:hRule="atLeast"/>
          <w:tblHeader/>
        </w:trPr>
        <w:tc>
          <w:tcPr>
            <w:tcW w:w="395" w:type="pct"/>
            <w:tcBorders>
              <w:top w:val="single" w:color="000000" w:sz="8" w:space="0"/>
              <w:left w:val="single" w:color="000000" w:sz="8" w:space="0"/>
              <w:bottom w:val="single" w:color="000000" w:sz="8" w:space="0"/>
              <w:right w:val="single" w:color="000000" w:sz="8" w:space="0"/>
            </w:tcBorders>
            <w:vAlign w:val="center"/>
          </w:tcPr>
          <w:p w14:paraId="02467DC5">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序号</w:t>
            </w:r>
          </w:p>
        </w:tc>
        <w:tc>
          <w:tcPr>
            <w:tcW w:w="597" w:type="pct"/>
            <w:tcBorders>
              <w:top w:val="single" w:color="000000" w:sz="8" w:space="0"/>
              <w:left w:val="nil"/>
              <w:bottom w:val="single" w:color="000000" w:sz="8" w:space="0"/>
              <w:right w:val="single" w:color="000000" w:sz="8" w:space="0"/>
            </w:tcBorders>
            <w:vAlign w:val="center"/>
          </w:tcPr>
          <w:p w14:paraId="4E86350C">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子系统</w:t>
            </w:r>
          </w:p>
        </w:tc>
        <w:tc>
          <w:tcPr>
            <w:tcW w:w="1469" w:type="pct"/>
            <w:tcBorders>
              <w:top w:val="single" w:color="000000" w:sz="8" w:space="0"/>
              <w:left w:val="nil"/>
              <w:bottom w:val="single" w:color="000000" w:sz="8" w:space="0"/>
              <w:right w:val="single" w:color="000000" w:sz="8" w:space="0"/>
            </w:tcBorders>
            <w:vAlign w:val="center"/>
          </w:tcPr>
          <w:p w14:paraId="05F08A07">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模块名称</w:t>
            </w:r>
          </w:p>
        </w:tc>
        <w:tc>
          <w:tcPr>
            <w:tcW w:w="2537" w:type="pct"/>
            <w:tcBorders>
              <w:top w:val="single" w:color="000000" w:sz="8" w:space="0"/>
              <w:left w:val="nil"/>
              <w:bottom w:val="single" w:color="000000" w:sz="8" w:space="0"/>
              <w:right w:val="single" w:color="000000" w:sz="8" w:space="0"/>
            </w:tcBorders>
            <w:vAlign w:val="center"/>
          </w:tcPr>
          <w:p w14:paraId="62FABC64">
            <w:pPr>
              <w:widowControl/>
              <w:ind w:firstLine="0" w:firstLineChars="0"/>
              <w:jc w:val="center"/>
              <w:textAlignment w:val="center"/>
              <w:rPr>
                <w:rFonts w:cs="宋体"/>
                <w:b/>
                <w:bCs/>
                <w:color w:val="000000"/>
                <w:sz w:val="22"/>
                <w:szCs w:val="22"/>
              </w:rPr>
            </w:pPr>
            <w:r>
              <w:rPr>
                <w:rFonts w:hint="eastAsia" w:cs="宋体"/>
                <w:b/>
                <w:bCs/>
                <w:color w:val="000000"/>
                <w:kern w:val="0"/>
                <w:sz w:val="22"/>
                <w:szCs w:val="22"/>
                <w:lang w:bidi="ar"/>
              </w:rPr>
              <w:t>模块描述</w:t>
            </w:r>
          </w:p>
        </w:tc>
      </w:tr>
      <w:tr w14:paraId="7CC61B4D">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33BF35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w:t>
            </w:r>
          </w:p>
        </w:tc>
        <w:tc>
          <w:tcPr>
            <w:tcW w:w="597" w:type="pct"/>
            <w:vMerge w:val="restart"/>
            <w:tcBorders>
              <w:top w:val="nil"/>
              <w:left w:val="nil"/>
              <w:bottom w:val="single" w:color="000000" w:sz="8" w:space="0"/>
              <w:right w:val="single" w:color="000000" w:sz="8" w:space="0"/>
            </w:tcBorders>
            <w:vAlign w:val="center"/>
          </w:tcPr>
          <w:p w14:paraId="1B53F2C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上海“城市体检”专题评估系统</w:t>
            </w:r>
          </w:p>
        </w:tc>
        <w:tc>
          <w:tcPr>
            <w:tcW w:w="1469" w:type="pct"/>
            <w:tcBorders>
              <w:top w:val="nil"/>
              <w:left w:val="nil"/>
              <w:bottom w:val="single" w:color="000000" w:sz="8" w:space="0"/>
              <w:right w:val="single" w:color="000000" w:sz="8" w:space="0"/>
            </w:tcBorders>
            <w:vAlign w:val="center"/>
          </w:tcPr>
          <w:p w14:paraId="05EA69D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一屏总览-市级体检成果展示</w:t>
            </w:r>
          </w:p>
        </w:tc>
        <w:tc>
          <w:tcPr>
            <w:tcW w:w="2537" w:type="pct"/>
            <w:tcBorders>
              <w:top w:val="nil"/>
              <w:left w:val="nil"/>
              <w:bottom w:val="single" w:color="000000" w:sz="8" w:space="0"/>
              <w:right w:val="single" w:color="000000" w:sz="8" w:space="0"/>
            </w:tcBorders>
            <w:vAlign w:val="center"/>
          </w:tcPr>
          <w:p w14:paraId="5B5DFC4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基于时间轴展示市级体检指标、空间范围、问题、整治建议、建议项目等，展示指标以及指标空间计算与分析结果</w:t>
            </w:r>
          </w:p>
        </w:tc>
      </w:tr>
      <w:tr w14:paraId="14C50DE7">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99DE7B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w:t>
            </w:r>
          </w:p>
        </w:tc>
        <w:tc>
          <w:tcPr>
            <w:tcW w:w="597" w:type="pct"/>
            <w:vMerge w:val="continue"/>
            <w:tcBorders>
              <w:top w:val="nil"/>
              <w:left w:val="nil"/>
              <w:bottom w:val="single" w:color="000000" w:sz="8" w:space="0"/>
              <w:right w:val="single" w:color="000000" w:sz="8" w:space="0"/>
            </w:tcBorders>
            <w:vAlign w:val="center"/>
          </w:tcPr>
          <w:p w14:paraId="7A6B26D6">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18203C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一屏总览-区级体检成果总览</w:t>
            </w:r>
          </w:p>
        </w:tc>
        <w:tc>
          <w:tcPr>
            <w:tcW w:w="2537" w:type="pct"/>
            <w:tcBorders>
              <w:top w:val="nil"/>
              <w:left w:val="nil"/>
              <w:bottom w:val="single" w:color="000000" w:sz="8" w:space="0"/>
              <w:right w:val="single" w:color="000000" w:sz="8" w:space="0"/>
            </w:tcBorders>
            <w:vAlign w:val="center"/>
          </w:tcPr>
          <w:p w14:paraId="0FD85F2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针对年度体检展示区级体检问题、问题对应指标、指标对应满意度、需求地图、问题地图、整治范围、建议项目等，展示体检全生命周期。</w:t>
            </w:r>
          </w:p>
        </w:tc>
      </w:tr>
      <w:tr w14:paraId="7F22041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245A0C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w:t>
            </w:r>
          </w:p>
        </w:tc>
        <w:tc>
          <w:tcPr>
            <w:tcW w:w="597" w:type="pct"/>
            <w:vMerge w:val="continue"/>
            <w:tcBorders>
              <w:top w:val="nil"/>
              <w:left w:val="nil"/>
              <w:bottom w:val="single" w:color="000000" w:sz="8" w:space="0"/>
              <w:right w:val="single" w:color="000000" w:sz="8" w:space="0"/>
            </w:tcBorders>
            <w:vAlign w:val="center"/>
          </w:tcPr>
          <w:p w14:paraId="5C9D0B62">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C1BD13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一屏总览-街镇、社区（小区）与住房体检总览</w:t>
            </w:r>
          </w:p>
        </w:tc>
        <w:tc>
          <w:tcPr>
            <w:tcW w:w="2537" w:type="pct"/>
            <w:tcBorders>
              <w:top w:val="nil"/>
              <w:left w:val="nil"/>
              <w:bottom w:val="single" w:color="000000" w:sz="8" w:space="0"/>
              <w:right w:val="single" w:color="000000" w:sz="8" w:space="0"/>
            </w:tcBorders>
            <w:vAlign w:val="center"/>
          </w:tcPr>
          <w:p w14:paraId="3F65D61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展示街镇体检指标与问题，展示社区、小区、住房体检成果，实现地图图斑与三维模型关联，实现地图空间交互与直接下钻与二三维空间可视化展示。</w:t>
            </w:r>
          </w:p>
        </w:tc>
      </w:tr>
      <w:tr w14:paraId="65668C4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330D39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w:t>
            </w:r>
          </w:p>
        </w:tc>
        <w:tc>
          <w:tcPr>
            <w:tcW w:w="597" w:type="pct"/>
            <w:vMerge w:val="continue"/>
            <w:tcBorders>
              <w:top w:val="nil"/>
              <w:left w:val="nil"/>
              <w:bottom w:val="single" w:color="000000" w:sz="8" w:space="0"/>
              <w:right w:val="single" w:color="000000" w:sz="8" w:space="0"/>
            </w:tcBorders>
            <w:vAlign w:val="center"/>
          </w:tcPr>
          <w:p w14:paraId="2A67C65E">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4DA379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一屏总览-指标专题图</w:t>
            </w:r>
          </w:p>
        </w:tc>
        <w:tc>
          <w:tcPr>
            <w:tcW w:w="2537" w:type="pct"/>
            <w:tcBorders>
              <w:top w:val="nil"/>
              <w:left w:val="nil"/>
              <w:bottom w:val="single" w:color="000000" w:sz="8" w:space="0"/>
              <w:right w:val="single" w:color="000000" w:sz="8" w:space="0"/>
            </w:tcBorders>
            <w:vAlign w:val="center"/>
          </w:tcPr>
          <w:p w14:paraId="54EFBC0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包括指标值专题图、开展范围专题图，直观展示指标各单位的情况，聚焦于城市体检的覆盖范围展示。</w:t>
            </w:r>
          </w:p>
        </w:tc>
      </w:tr>
      <w:tr w14:paraId="752139C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41F92A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w:t>
            </w:r>
          </w:p>
        </w:tc>
        <w:tc>
          <w:tcPr>
            <w:tcW w:w="597" w:type="pct"/>
            <w:vMerge w:val="continue"/>
            <w:tcBorders>
              <w:top w:val="nil"/>
              <w:left w:val="nil"/>
              <w:bottom w:val="single" w:color="000000" w:sz="8" w:space="0"/>
              <w:right w:val="single" w:color="000000" w:sz="8" w:space="0"/>
            </w:tcBorders>
            <w:vAlign w:val="center"/>
          </w:tcPr>
          <w:p w14:paraId="2A722B9F">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145020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指标管理与分析-指标库管理-指标管理</w:t>
            </w:r>
          </w:p>
        </w:tc>
        <w:tc>
          <w:tcPr>
            <w:tcW w:w="2537" w:type="pct"/>
            <w:tcBorders>
              <w:top w:val="nil"/>
              <w:left w:val="nil"/>
              <w:bottom w:val="single" w:color="000000" w:sz="8" w:space="0"/>
              <w:right w:val="single" w:color="000000" w:sz="8" w:space="0"/>
            </w:tcBorders>
            <w:vAlign w:val="center"/>
          </w:tcPr>
          <w:p w14:paraId="7A2A0DF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维护原子指标，支持新增、编辑、修改。</w:t>
            </w:r>
          </w:p>
        </w:tc>
      </w:tr>
      <w:tr w14:paraId="1E1BB0FA">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E79192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w:t>
            </w:r>
          </w:p>
        </w:tc>
        <w:tc>
          <w:tcPr>
            <w:tcW w:w="597" w:type="pct"/>
            <w:vMerge w:val="continue"/>
            <w:tcBorders>
              <w:top w:val="nil"/>
              <w:left w:val="nil"/>
              <w:bottom w:val="single" w:color="000000" w:sz="8" w:space="0"/>
              <w:right w:val="single" w:color="000000" w:sz="8" w:space="0"/>
            </w:tcBorders>
            <w:vAlign w:val="center"/>
          </w:tcPr>
          <w:p w14:paraId="192AB577">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703E6E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指标管理与分析-指标库管理-指标下发与新增</w:t>
            </w:r>
          </w:p>
        </w:tc>
        <w:tc>
          <w:tcPr>
            <w:tcW w:w="2537" w:type="pct"/>
            <w:tcBorders>
              <w:top w:val="nil"/>
              <w:left w:val="nil"/>
              <w:bottom w:val="single" w:color="000000" w:sz="8" w:space="0"/>
              <w:right w:val="single" w:color="000000" w:sz="8" w:space="0"/>
            </w:tcBorders>
            <w:vAlign w:val="center"/>
          </w:tcPr>
          <w:p w14:paraId="459EF92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基于统一指标体系向下级单位下发指标及管理操作。下级部门可新增指标到指标库。支持二级审核功能。</w:t>
            </w:r>
          </w:p>
        </w:tc>
      </w:tr>
      <w:tr w14:paraId="7464B335">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49CC7C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w:t>
            </w:r>
          </w:p>
        </w:tc>
        <w:tc>
          <w:tcPr>
            <w:tcW w:w="597" w:type="pct"/>
            <w:vMerge w:val="continue"/>
            <w:tcBorders>
              <w:top w:val="nil"/>
              <w:left w:val="nil"/>
              <w:bottom w:val="single" w:color="000000" w:sz="8" w:space="0"/>
              <w:right w:val="single" w:color="000000" w:sz="8" w:space="0"/>
            </w:tcBorders>
            <w:vAlign w:val="center"/>
          </w:tcPr>
          <w:p w14:paraId="7D6513B9">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5D82D5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指标管理与分析-指标库管理-指标数据标准、评估标准、计算模型标准管理</w:t>
            </w:r>
          </w:p>
        </w:tc>
        <w:tc>
          <w:tcPr>
            <w:tcW w:w="2537" w:type="pct"/>
            <w:tcBorders>
              <w:top w:val="nil"/>
              <w:left w:val="nil"/>
              <w:bottom w:val="single" w:color="000000" w:sz="8" w:space="0"/>
              <w:right w:val="single" w:color="000000" w:sz="8" w:space="0"/>
            </w:tcBorders>
            <w:vAlign w:val="center"/>
          </w:tcPr>
          <w:p w14:paraId="4ABC09A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指标数据标准、评估标准与计算模型标准管理，支持新增、编辑与修改，实现二级审核功能。</w:t>
            </w:r>
          </w:p>
        </w:tc>
      </w:tr>
      <w:tr w14:paraId="4A2A4240">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5B3D04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8</w:t>
            </w:r>
          </w:p>
        </w:tc>
        <w:tc>
          <w:tcPr>
            <w:tcW w:w="597" w:type="pct"/>
            <w:vMerge w:val="continue"/>
            <w:tcBorders>
              <w:top w:val="nil"/>
              <w:left w:val="nil"/>
              <w:bottom w:val="single" w:color="000000" w:sz="8" w:space="0"/>
              <w:right w:val="single" w:color="000000" w:sz="8" w:space="0"/>
            </w:tcBorders>
            <w:vAlign w:val="center"/>
          </w:tcPr>
          <w:p w14:paraId="668E82B5">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E302C2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指标管理与分析-指标统计-指标体系分析</w:t>
            </w:r>
          </w:p>
        </w:tc>
        <w:tc>
          <w:tcPr>
            <w:tcW w:w="2537" w:type="pct"/>
            <w:tcBorders>
              <w:top w:val="nil"/>
              <w:left w:val="nil"/>
              <w:bottom w:val="single" w:color="000000" w:sz="8" w:space="0"/>
              <w:right w:val="single" w:color="000000" w:sz="8" w:space="0"/>
            </w:tcBorders>
            <w:vAlign w:val="center"/>
          </w:tcPr>
          <w:p w14:paraId="0FFF02F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分析市、区、街镇各级指标数量并可下载清单，分析历年变化。</w:t>
            </w:r>
          </w:p>
        </w:tc>
      </w:tr>
      <w:tr w14:paraId="1216A79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D8ACE8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9</w:t>
            </w:r>
          </w:p>
        </w:tc>
        <w:tc>
          <w:tcPr>
            <w:tcW w:w="597" w:type="pct"/>
            <w:vMerge w:val="continue"/>
            <w:tcBorders>
              <w:top w:val="nil"/>
              <w:left w:val="nil"/>
              <w:bottom w:val="single" w:color="000000" w:sz="8" w:space="0"/>
              <w:right w:val="single" w:color="000000" w:sz="8" w:space="0"/>
            </w:tcBorders>
            <w:vAlign w:val="center"/>
          </w:tcPr>
          <w:p w14:paraId="6249E2D2">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4BAD19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指标管理与分析-指标统计-指标值与评估结果分析</w:t>
            </w:r>
          </w:p>
        </w:tc>
        <w:tc>
          <w:tcPr>
            <w:tcW w:w="2537" w:type="pct"/>
            <w:tcBorders>
              <w:top w:val="nil"/>
              <w:left w:val="nil"/>
              <w:bottom w:val="single" w:color="000000" w:sz="8" w:space="0"/>
              <w:right w:val="single" w:color="000000" w:sz="8" w:space="0"/>
            </w:tcBorders>
            <w:vAlign w:val="center"/>
          </w:tcPr>
          <w:p w14:paraId="2AECA71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统计市、区、街镇指标信息，统计变化较大和较小的指标。统计指标评估结果情况。</w:t>
            </w:r>
          </w:p>
        </w:tc>
      </w:tr>
      <w:tr w14:paraId="178EC6E7">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BB8F1A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10</w:t>
            </w:r>
          </w:p>
        </w:tc>
        <w:tc>
          <w:tcPr>
            <w:tcW w:w="597" w:type="pct"/>
            <w:vMerge w:val="continue"/>
            <w:tcBorders>
              <w:top w:val="nil"/>
              <w:left w:val="nil"/>
              <w:bottom w:val="single" w:color="000000" w:sz="8" w:space="0"/>
              <w:right w:val="single" w:color="000000" w:sz="8" w:space="0"/>
            </w:tcBorders>
            <w:vAlign w:val="center"/>
          </w:tcPr>
          <w:p w14:paraId="734AB172">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3D3F65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城市体检评估-指标评估-综合分析</w:t>
            </w:r>
          </w:p>
        </w:tc>
        <w:tc>
          <w:tcPr>
            <w:tcW w:w="2537" w:type="pct"/>
            <w:tcBorders>
              <w:top w:val="nil"/>
              <w:left w:val="nil"/>
              <w:bottom w:val="single" w:color="000000" w:sz="8" w:space="0"/>
              <w:right w:val="single" w:color="000000" w:sz="8" w:space="0"/>
            </w:tcBorders>
            <w:vAlign w:val="center"/>
          </w:tcPr>
          <w:p w14:paraId="38525C3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按四级八大维度对指标评估结果进行整体评价。</w:t>
            </w:r>
          </w:p>
        </w:tc>
      </w:tr>
      <w:tr w14:paraId="549C16E6">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1F3030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11</w:t>
            </w:r>
          </w:p>
        </w:tc>
        <w:tc>
          <w:tcPr>
            <w:tcW w:w="597" w:type="pct"/>
            <w:vMerge w:val="continue"/>
            <w:tcBorders>
              <w:top w:val="nil"/>
              <w:left w:val="nil"/>
              <w:bottom w:val="single" w:color="000000" w:sz="8" w:space="0"/>
              <w:right w:val="single" w:color="000000" w:sz="8" w:space="0"/>
            </w:tcBorders>
            <w:vAlign w:val="center"/>
          </w:tcPr>
          <w:p w14:paraId="204E2B5B">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04A463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城市体检评估-指标评估-指标预警</w:t>
            </w:r>
          </w:p>
        </w:tc>
        <w:tc>
          <w:tcPr>
            <w:tcW w:w="2537" w:type="pct"/>
            <w:tcBorders>
              <w:top w:val="nil"/>
              <w:left w:val="nil"/>
              <w:bottom w:val="single" w:color="000000" w:sz="8" w:space="0"/>
              <w:right w:val="single" w:color="000000" w:sz="8" w:space="0"/>
            </w:tcBorders>
            <w:vAlign w:val="center"/>
          </w:tcPr>
          <w:p w14:paraId="2C22965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可视化展示指标评估状态，高亮显示状态弱指标。</w:t>
            </w:r>
          </w:p>
        </w:tc>
      </w:tr>
      <w:tr w14:paraId="7F065F90">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BEE7BA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12</w:t>
            </w:r>
          </w:p>
        </w:tc>
        <w:tc>
          <w:tcPr>
            <w:tcW w:w="597" w:type="pct"/>
            <w:vMerge w:val="continue"/>
            <w:tcBorders>
              <w:top w:val="nil"/>
              <w:left w:val="nil"/>
              <w:bottom w:val="single" w:color="000000" w:sz="8" w:space="0"/>
              <w:right w:val="single" w:color="000000" w:sz="8" w:space="0"/>
            </w:tcBorders>
            <w:vAlign w:val="center"/>
          </w:tcPr>
          <w:p w14:paraId="4D794A0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06E57B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城市体检评估-整治监测-社区调查成果展示</w:t>
            </w:r>
          </w:p>
        </w:tc>
        <w:tc>
          <w:tcPr>
            <w:tcW w:w="2537" w:type="pct"/>
            <w:tcBorders>
              <w:top w:val="nil"/>
              <w:left w:val="nil"/>
              <w:bottom w:val="single" w:color="000000" w:sz="8" w:space="0"/>
              <w:right w:val="single" w:color="000000" w:sz="8" w:space="0"/>
            </w:tcBorders>
            <w:vAlign w:val="center"/>
          </w:tcPr>
          <w:p w14:paraId="4573001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社区、小区与住房等维度城市体检社区调查数据展示分析。</w:t>
            </w:r>
          </w:p>
        </w:tc>
      </w:tr>
      <w:tr w14:paraId="3F6187AD">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D9AF8E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13</w:t>
            </w:r>
          </w:p>
        </w:tc>
        <w:tc>
          <w:tcPr>
            <w:tcW w:w="597" w:type="pct"/>
            <w:vMerge w:val="continue"/>
            <w:tcBorders>
              <w:top w:val="nil"/>
              <w:left w:val="nil"/>
              <w:bottom w:val="single" w:color="000000" w:sz="8" w:space="0"/>
              <w:right w:val="single" w:color="000000" w:sz="8" w:space="0"/>
            </w:tcBorders>
            <w:vAlign w:val="center"/>
          </w:tcPr>
          <w:p w14:paraId="2D529778">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CF94EC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城市体检评估-整治监测-问题整治</w:t>
            </w:r>
          </w:p>
        </w:tc>
        <w:tc>
          <w:tcPr>
            <w:tcW w:w="2537" w:type="pct"/>
            <w:tcBorders>
              <w:top w:val="nil"/>
              <w:left w:val="nil"/>
              <w:bottom w:val="single" w:color="000000" w:sz="8" w:space="0"/>
              <w:right w:val="single" w:color="000000" w:sz="8" w:space="0"/>
            </w:tcBorders>
            <w:vAlign w:val="center"/>
          </w:tcPr>
          <w:p w14:paraId="0C64978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展示问题清单及地图，展示整治清单及地图，创建目录并可视化分析指标，分析整治成效。</w:t>
            </w:r>
          </w:p>
        </w:tc>
      </w:tr>
      <w:tr w14:paraId="672113CD">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6AFDA0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14</w:t>
            </w:r>
          </w:p>
        </w:tc>
        <w:tc>
          <w:tcPr>
            <w:tcW w:w="597" w:type="pct"/>
            <w:vMerge w:val="continue"/>
            <w:tcBorders>
              <w:top w:val="nil"/>
              <w:left w:val="nil"/>
              <w:bottom w:val="single" w:color="000000" w:sz="8" w:space="0"/>
              <w:right w:val="single" w:color="000000" w:sz="8" w:space="0"/>
            </w:tcBorders>
            <w:vAlign w:val="center"/>
          </w:tcPr>
          <w:p w14:paraId="70C71BF9">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6C319E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城市体检评估-第三方监测</w:t>
            </w:r>
          </w:p>
        </w:tc>
        <w:tc>
          <w:tcPr>
            <w:tcW w:w="2537" w:type="pct"/>
            <w:tcBorders>
              <w:top w:val="nil"/>
              <w:left w:val="nil"/>
              <w:bottom w:val="single" w:color="000000" w:sz="8" w:space="0"/>
              <w:right w:val="single" w:color="000000" w:sz="8" w:space="0"/>
            </w:tcBorders>
            <w:vAlign w:val="center"/>
          </w:tcPr>
          <w:p w14:paraId="4FDC756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市、区两级体检成果综合分析，支持多种操作与展示。</w:t>
            </w:r>
          </w:p>
        </w:tc>
      </w:tr>
      <w:tr w14:paraId="0096065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2DE45B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15</w:t>
            </w:r>
          </w:p>
        </w:tc>
        <w:tc>
          <w:tcPr>
            <w:tcW w:w="597" w:type="pct"/>
            <w:vMerge w:val="continue"/>
            <w:tcBorders>
              <w:top w:val="nil"/>
              <w:left w:val="nil"/>
              <w:bottom w:val="single" w:color="000000" w:sz="8" w:space="0"/>
              <w:right w:val="single" w:color="000000" w:sz="8" w:space="0"/>
            </w:tcBorders>
            <w:vAlign w:val="center"/>
          </w:tcPr>
          <w:p w14:paraId="7B04DABB">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7DA451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专项体检-上海城市足球场地设施建设专项体检-城市足球场地设施建设成效评估</w:t>
            </w:r>
          </w:p>
        </w:tc>
        <w:tc>
          <w:tcPr>
            <w:tcW w:w="2537" w:type="pct"/>
            <w:tcBorders>
              <w:top w:val="nil"/>
              <w:left w:val="nil"/>
              <w:bottom w:val="single" w:color="000000" w:sz="8" w:space="0"/>
              <w:right w:val="single" w:color="000000" w:sz="8" w:space="0"/>
            </w:tcBorders>
            <w:vAlign w:val="center"/>
          </w:tcPr>
          <w:p w14:paraId="0C13DE2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重点结合城市足球场地的分布情况，面向国内外城市的先进经验，围绕人均足球场地数量、足球场地服务半径覆盖率、多功能综合足球场地占比、免费开放的社会足球场地占比等指标，评估上海城市足球场地设施从2015年以来的增长和分布情况。</w:t>
            </w:r>
          </w:p>
        </w:tc>
      </w:tr>
      <w:tr w14:paraId="4F857258">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D49A03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16</w:t>
            </w:r>
          </w:p>
        </w:tc>
        <w:tc>
          <w:tcPr>
            <w:tcW w:w="597" w:type="pct"/>
            <w:vMerge w:val="continue"/>
            <w:tcBorders>
              <w:top w:val="nil"/>
              <w:left w:val="nil"/>
              <w:bottom w:val="single" w:color="000000" w:sz="8" w:space="0"/>
              <w:right w:val="single" w:color="000000" w:sz="8" w:space="0"/>
            </w:tcBorders>
            <w:vAlign w:val="center"/>
          </w:tcPr>
          <w:p w14:paraId="15C3C01F">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00CCFD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专项体检-上海城市足球场地设施建设专项体检-城市足球场地设施使用成效评估</w:t>
            </w:r>
          </w:p>
        </w:tc>
        <w:tc>
          <w:tcPr>
            <w:tcW w:w="2537" w:type="pct"/>
            <w:tcBorders>
              <w:top w:val="nil"/>
              <w:left w:val="nil"/>
              <w:bottom w:val="single" w:color="000000" w:sz="8" w:space="0"/>
              <w:right w:val="single" w:color="000000" w:sz="8" w:space="0"/>
            </w:tcBorders>
            <w:vAlign w:val="center"/>
          </w:tcPr>
          <w:p w14:paraId="77E816D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从全市足球特色学校在各区分布情况评估全市足球特色学校的占比。同时结合非教学时间对社会开放校园足球场地的学校数量，评估本市学校体育设施的社会化利用程度。</w:t>
            </w:r>
          </w:p>
        </w:tc>
      </w:tr>
      <w:tr w14:paraId="46B362A0">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515AFD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17</w:t>
            </w:r>
          </w:p>
        </w:tc>
        <w:tc>
          <w:tcPr>
            <w:tcW w:w="597" w:type="pct"/>
            <w:vMerge w:val="continue"/>
            <w:tcBorders>
              <w:top w:val="nil"/>
              <w:left w:val="nil"/>
              <w:bottom w:val="single" w:color="000000" w:sz="8" w:space="0"/>
              <w:right w:val="single" w:color="000000" w:sz="8" w:space="0"/>
            </w:tcBorders>
            <w:vAlign w:val="center"/>
          </w:tcPr>
          <w:p w14:paraId="4C2DF7D2">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A54D9E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专项体检-上海城市足球场地设施建设专项体检-上海城市足球场地设施建设专项体检指标管理</w:t>
            </w:r>
          </w:p>
        </w:tc>
        <w:tc>
          <w:tcPr>
            <w:tcW w:w="2537" w:type="pct"/>
            <w:tcBorders>
              <w:top w:val="nil"/>
              <w:left w:val="nil"/>
              <w:bottom w:val="single" w:color="000000" w:sz="8" w:space="0"/>
              <w:right w:val="single" w:color="000000" w:sz="8" w:space="0"/>
            </w:tcBorders>
            <w:vAlign w:val="center"/>
          </w:tcPr>
          <w:p w14:paraId="120DFBB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上海城市足球场地设施建设专项体检指标管理</w:t>
            </w:r>
          </w:p>
        </w:tc>
      </w:tr>
      <w:tr w14:paraId="3B4E36E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AD565D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18</w:t>
            </w:r>
          </w:p>
        </w:tc>
        <w:tc>
          <w:tcPr>
            <w:tcW w:w="597" w:type="pct"/>
            <w:vMerge w:val="continue"/>
            <w:tcBorders>
              <w:top w:val="nil"/>
              <w:left w:val="nil"/>
              <w:bottom w:val="single" w:color="000000" w:sz="8" w:space="0"/>
              <w:right w:val="single" w:color="000000" w:sz="8" w:space="0"/>
            </w:tcBorders>
            <w:vAlign w:val="center"/>
          </w:tcPr>
          <w:p w14:paraId="7596FEA7">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71D46E6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项目行动库-项目分布展示</w:t>
            </w:r>
          </w:p>
        </w:tc>
        <w:tc>
          <w:tcPr>
            <w:tcW w:w="2537" w:type="pct"/>
            <w:tcBorders>
              <w:top w:val="nil"/>
              <w:left w:val="nil"/>
              <w:bottom w:val="single" w:color="000000" w:sz="8" w:space="0"/>
              <w:right w:val="single" w:color="000000" w:sz="8" w:space="0"/>
            </w:tcBorders>
            <w:vAlign w:val="center"/>
          </w:tcPr>
          <w:p w14:paraId="2BB7248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可视化展示城市更新项目，支持多方式检索查询。</w:t>
            </w:r>
          </w:p>
        </w:tc>
      </w:tr>
      <w:tr w14:paraId="43A21F4A">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847217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19</w:t>
            </w:r>
          </w:p>
        </w:tc>
        <w:tc>
          <w:tcPr>
            <w:tcW w:w="597" w:type="pct"/>
            <w:vMerge w:val="continue"/>
            <w:tcBorders>
              <w:top w:val="nil"/>
              <w:left w:val="nil"/>
              <w:bottom w:val="single" w:color="000000" w:sz="8" w:space="0"/>
              <w:right w:val="single" w:color="000000" w:sz="8" w:space="0"/>
            </w:tcBorders>
            <w:vAlign w:val="center"/>
          </w:tcPr>
          <w:p w14:paraId="7A85E922">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2DE927E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项目行动库-项目管理</w:t>
            </w:r>
          </w:p>
        </w:tc>
        <w:tc>
          <w:tcPr>
            <w:tcW w:w="2537" w:type="pct"/>
            <w:tcBorders>
              <w:top w:val="nil"/>
              <w:left w:val="nil"/>
              <w:bottom w:val="single" w:color="000000" w:sz="8" w:space="0"/>
              <w:right w:val="single" w:color="000000" w:sz="8" w:space="0"/>
            </w:tcBorders>
            <w:vAlign w:val="center"/>
          </w:tcPr>
          <w:p w14:paraId="63C3CCE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提供项目更新清单检索、查询功能 。</w:t>
            </w:r>
          </w:p>
        </w:tc>
      </w:tr>
      <w:tr w14:paraId="28FE5240">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231B60F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20</w:t>
            </w:r>
          </w:p>
        </w:tc>
        <w:tc>
          <w:tcPr>
            <w:tcW w:w="597" w:type="pct"/>
            <w:vMerge w:val="continue"/>
            <w:tcBorders>
              <w:top w:val="nil"/>
              <w:left w:val="nil"/>
              <w:bottom w:val="single" w:color="000000" w:sz="8" w:space="0"/>
              <w:right w:val="single" w:color="000000" w:sz="8" w:space="0"/>
            </w:tcBorders>
            <w:vAlign w:val="center"/>
          </w:tcPr>
          <w:p w14:paraId="6BBA87F8">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E27306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项目行动库-微更新范围标定与项目对接接口</w:t>
            </w:r>
          </w:p>
        </w:tc>
        <w:tc>
          <w:tcPr>
            <w:tcW w:w="2537" w:type="pct"/>
            <w:tcBorders>
              <w:top w:val="nil"/>
              <w:left w:val="nil"/>
              <w:bottom w:val="single" w:color="000000" w:sz="8" w:space="0"/>
              <w:right w:val="single" w:color="000000" w:sz="8" w:space="0"/>
            </w:tcBorders>
            <w:vAlign w:val="center"/>
          </w:tcPr>
          <w:p w14:paraId="16C0D7B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对体检问题清单/地图、需求问题/地图进行空间统计与叠加分析，在线标定微更新范围。与城市更新系统进行对接，开发项目对接接口。</w:t>
            </w:r>
          </w:p>
        </w:tc>
      </w:tr>
      <w:tr w14:paraId="67EC4F56">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8C1442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21</w:t>
            </w:r>
          </w:p>
        </w:tc>
        <w:tc>
          <w:tcPr>
            <w:tcW w:w="597" w:type="pct"/>
            <w:vMerge w:val="continue"/>
            <w:tcBorders>
              <w:top w:val="nil"/>
              <w:left w:val="nil"/>
              <w:bottom w:val="single" w:color="000000" w:sz="8" w:space="0"/>
              <w:right w:val="single" w:color="000000" w:sz="8" w:space="0"/>
            </w:tcBorders>
            <w:vAlign w:val="center"/>
          </w:tcPr>
          <w:p w14:paraId="73052FE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25C3B0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数据采集-街镇维度采集-街镇指标空间落位及可视化</w:t>
            </w:r>
          </w:p>
        </w:tc>
        <w:tc>
          <w:tcPr>
            <w:tcW w:w="2537" w:type="pct"/>
            <w:tcBorders>
              <w:top w:val="nil"/>
              <w:left w:val="nil"/>
              <w:bottom w:val="single" w:color="000000" w:sz="8" w:space="0"/>
              <w:right w:val="single" w:color="000000" w:sz="8" w:space="0"/>
            </w:tcBorders>
            <w:vAlign w:val="center"/>
          </w:tcPr>
          <w:p w14:paraId="402406D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实现 17 项指标空间定位，绘制对应点线面要素。地图展示 17 项街镇指标，点击要素查看详情。</w:t>
            </w:r>
          </w:p>
        </w:tc>
      </w:tr>
      <w:tr w14:paraId="389374C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0DAF1F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22</w:t>
            </w:r>
          </w:p>
        </w:tc>
        <w:tc>
          <w:tcPr>
            <w:tcW w:w="597" w:type="pct"/>
            <w:vMerge w:val="continue"/>
            <w:tcBorders>
              <w:top w:val="nil"/>
              <w:left w:val="nil"/>
              <w:bottom w:val="single" w:color="000000" w:sz="8" w:space="0"/>
              <w:right w:val="single" w:color="000000" w:sz="8" w:space="0"/>
            </w:tcBorders>
            <w:vAlign w:val="center"/>
          </w:tcPr>
          <w:p w14:paraId="285A692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BC14CF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数据采集-街镇维度采集-街镇指标属性填报</w:t>
            </w:r>
          </w:p>
        </w:tc>
        <w:tc>
          <w:tcPr>
            <w:tcW w:w="2537" w:type="pct"/>
            <w:tcBorders>
              <w:top w:val="nil"/>
              <w:left w:val="nil"/>
              <w:bottom w:val="single" w:color="000000" w:sz="8" w:space="0"/>
              <w:right w:val="single" w:color="000000" w:sz="8" w:space="0"/>
            </w:tcBorders>
            <w:vAlign w:val="center"/>
          </w:tcPr>
          <w:p w14:paraId="3C54BD5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依据调查表，提供 17 项指标属性填报功能。</w:t>
            </w:r>
          </w:p>
        </w:tc>
      </w:tr>
      <w:tr w14:paraId="0B041D52">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B53646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23</w:t>
            </w:r>
          </w:p>
        </w:tc>
        <w:tc>
          <w:tcPr>
            <w:tcW w:w="597" w:type="pct"/>
            <w:vMerge w:val="continue"/>
            <w:tcBorders>
              <w:top w:val="nil"/>
              <w:left w:val="nil"/>
              <w:bottom w:val="single" w:color="000000" w:sz="8" w:space="0"/>
              <w:right w:val="single" w:color="000000" w:sz="8" w:space="0"/>
            </w:tcBorders>
            <w:vAlign w:val="center"/>
          </w:tcPr>
          <w:p w14:paraId="04F44C2E">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D8E948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数据采集-街镇维度采集-街镇指标数据编辑与批量导入</w:t>
            </w:r>
          </w:p>
        </w:tc>
        <w:tc>
          <w:tcPr>
            <w:tcW w:w="2537" w:type="pct"/>
            <w:tcBorders>
              <w:top w:val="nil"/>
              <w:left w:val="nil"/>
              <w:bottom w:val="single" w:color="000000" w:sz="8" w:space="0"/>
              <w:right w:val="single" w:color="000000" w:sz="8" w:space="0"/>
            </w:tcBorders>
            <w:vAlign w:val="center"/>
          </w:tcPr>
          <w:p w14:paraId="7E25D58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支持街镇维度指标新增、编辑、删除操作。支持 shp 数据批量导入，实现数据自动录入。</w:t>
            </w:r>
          </w:p>
        </w:tc>
      </w:tr>
      <w:tr w14:paraId="0996F6CB">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F7FC69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24</w:t>
            </w:r>
          </w:p>
        </w:tc>
        <w:tc>
          <w:tcPr>
            <w:tcW w:w="597" w:type="pct"/>
            <w:vMerge w:val="continue"/>
            <w:tcBorders>
              <w:top w:val="nil"/>
              <w:left w:val="nil"/>
              <w:bottom w:val="single" w:color="000000" w:sz="8" w:space="0"/>
              <w:right w:val="single" w:color="000000" w:sz="8" w:space="0"/>
            </w:tcBorders>
            <w:vAlign w:val="center"/>
          </w:tcPr>
          <w:p w14:paraId="0E2549FD">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5025EFB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数据采集-街镇维度采集-街镇指标搜索功能</w:t>
            </w:r>
          </w:p>
        </w:tc>
        <w:tc>
          <w:tcPr>
            <w:tcW w:w="2537" w:type="pct"/>
            <w:tcBorders>
              <w:top w:val="nil"/>
              <w:left w:val="nil"/>
              <w:bottom w:val="single" w:color="000000" w:sz="8" w:space="0"/>
              <w:right w:val="single" w:color="000000" w:sz="8" w:space="0"/>
            </w:tcBorders>
            <w:vAlign w:val="center"/>
          </w:tcPr>
          <w:p w14:paraId="3F9373A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按区、街镇搜索数据，结果定位显示于地图。</w:t>
            </w:r>
          </w:p>
        </w:tc>
      </w:tr>
      <w:tr w14:paraId="2117C155">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AB99BC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25</w:t>
            </w:r>
          </w:p>
        </w:tc>
        <w:tc>
          <w:tcPr>
            <w:tcW w:w="597" w:type="pct"/>
            <w:vMerge w:val="continue"/>
            <w:tcBorders>
              <w:top w:val="nil"/>
              <w:left w:val="nil"/>
              <w:bottom w:val="single" w:color="000000" w:sz="8" w:space="0"/>
              <w:right w:val="single" w:color="000000" w:sz="8" w:space="0"/>
            </w:tcBorders>
            <w:vAlign w:val="center"/>
          </w:tcPr>
          <w:p w14:paraId="6F7267B8">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095E62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数据采集-社区住房维度采集-调查社区及附属设施空间落位与可视化</w:t>
            </w:r>
          </w:p>
        </w:tc>
        <w:tc>
          <w:tcPr>
            <w:tcW w:w="2537" w:type="pct"/>
            <w:tcBorders>
              <w:top w:val="nil"/>
              <w:left w:val="nil"/>
              <w:bottom w:val="single" w:color="000000" w:sz="8" w:space="0"/>
              <w:right w:val="single" w:color="000000" w:sz="8" w:space="0"/>
            </w:tcBorders>
            <w:vAlign w:val="center"/>
          </w:tcPr>
          <w:p w14:paraId="6A69961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实现社区及附属设施空间与属性可视化及信息查看。对 24 类附属设施定位，绘制对应点线面要素。提供在线绘制功能，实现调查社区面要素创建。</w:t>
            </w:r>
          </w:p>
        </w:tc>
      </w:tr>
      <w:tr w14:paraId="30AE545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EB2BAE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26</w:t>
            </w:r>
          </w:p>
        </w:tc>
        <w:tc>
          <w:tcPr>
            <w:tcW w:w="597" w:type="pct"/>
            <w:vMerge w:val="continue"/>
            <w:tcBorders>
              <w:top w:val="nil"/>
              <w:left w:val="nil"/>
              <w:bottom w:val="single" w:color="000000" w:sz="8" w:space="0"/>
              <w:right w:val="single" w:color="000000" w:sz="8" w:space="0"/>
            </w:tcBorders>
            <w:vAlign w:val="center"/>
          </w:tcPr>
          <w:p w14:paraId="60711A7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B9C236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数据采集-社区住房维度采集-调查社区指标填报</w:t>
            </w:r>
          </w:p>
        </w:tc>
        <w:tc>
          <w:tcPr>
            <w:tcW w:w="2537" w:type="pct"/>
            <w:tcBorders>
              <w:top w:val="nil"/>
              <w:left w:val="nil"/>
              <w:bottom w:val="single" w:color="000000" w:sz="8" w:space="0"/>
              <w:right w:val="single" w:color="000000" w:sz="8" w:space="0"/>
            </w:tcBorders>
            <w:vAlign w:val="center"/>
          </w:tcPr>
          <w:p w14:paraId="08DB051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依据调查表，提供社区多项属性信息填报功能。</w:t>
            </w:r>
          </w:p>
        </w:tc>
      </w:tr>
      <w:tr w14:paraId="06B7430D">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242EDE8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27</w:t>
            </w:r>
          </w:p>
        </w:tc>
        <w:tc>
          <w:tcPr>
            <w:tcW w:w="597" w:type="pct"/>
            <w:vMerge w:val="continue"/>
            <w:tcBorders>
              <w:top w:val="nil"/>
              <w:left w:val="nil"/>
              <w:bottom w:val="single" w:color="000000" w:sz="8" w:space="0"/>
              <w:right w:val="single" w:color="000000" w:sz="8" w:space="0"/>
            </w:tcBorders>
            <w:vAlign w:val="center"/>
          </w:tcPr>
          <w:p w14:paraId="490FD75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2B3144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数据采集-社区住房维度采集-调查社区数据编辑及照片上传</w:t>
            </w:r>
          </w:p>
        </w:tc>
        <w:tc>
          <w:tcPr>
            <w:tcW w:w="2537" w:type="pct"/>
            <w:tcBorders>
              <w:top w:val="nil"/>
              <w:left w:val="nil"/>
              <w:bottom w:val="single" w:color="000000" w:sz="8" w:space="0"/>
              <w:right w:val="single" w:color="000000" w:sz="8" w:space="0"/>
            </w:tcBorders>
            <w:vAlign w:val="center"/>
          </w:tcPr>
          <w:p w14:paraId="4BDC18D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提供社区及附属设施增删改与图片管理功能。支持社区附属设施照片上传并添加水印。</w:t>
            </w:r>
          </w:p>
        </w:tc>
      </w:tr>
      <w:tr w14:paraId="31B3D8F4">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67C182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28</w:t>
            </w:r>
          </w:p>
        </w:tc>
        <w:tc>
          <w:tcPr>
            <w:tcW w:w="597" w:type="pct"/>
            <w:vMerge w:val="continue"/>
            <w:tcBorders>
              <w:top w:val="nil"/>
              <w:left w:val="nil"/>
              <w:bottom w:val="single" w:color="000000" w:sz="8" w:space="0"/>
              <w:right w:val="single" w:color="000000" w:sz="8" w:space="0"/>
            </w:tcBorders>
            <w:vAlign w:val="center"/>
          </w:tcPr>
          <w:p w14:paraId="3176E9B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323746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数据采集-社区住房维度采集-调查社区搜索功能</w:t>
            </w:r>
          </w:p>
        </w:tc>
        <w:tc>
          <w:tcPr>
            <w:tcW w:w="2537" w:type="pct"/>
            <w:tcBorders>
              <w:top w:val="nil"/>
              <w:left w:val="nil"/>
              <w:bottom w:val="single" w:color="000000" w:sz="8" w:space="0"/>
              <w:right w:val="single" w:color="000000" w:sz="8" w:space="0"/>
            </w:tcBorders>
            <w:vAlign w:val="center"/>
          </w:tcPr>
          <w:p w14:paraId="769DC91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按区、街镇搜索数据，地图定位显示筛选结果</w:t>
            </w:r>
          </w:p>
        </w:tc>
      </w:tr>
      <w:tr w14:paraId="108206A1">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1FDFFD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29</w:t>
            </w:r>
          </w:p>
        </w:tc>
        <w:tc>
          <w:tcPr>
            <w:tcW w:w="597" w:type="pct"/>
            <w:vMerge w:val="continue"/>
            <w:tcBorders>
              <w:top w:val="nil"/>
              <w:left w:val="nil"/>
              <w:bottom w:val="single" w:color="000000" w:sz="8" w:space="0"/>
              <w:right w:val="single" w:color="000000" w:sz="8" w:space="0"/>
            </w:tcBorders>
            <w:vAlign w:val="center"/>
          </w:tcPr>
          <w:p w14:paraId="4FE0857B">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77539E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数据采集-台账输出模块</w:t>
            </w:r>
          </w:p>
        </w:tc>
        <w:tc>
          <w:tcPr>
            <w:tcW w:w="2537" w:type="pct"/>
            <w:tcBorders>
              <w:top w:val="nil"/>
              <w:left w:val="nil"/>
              <w:bottom w:val="single" w:color="000000" w:sz="8" w:space="0"/>
              <w:right w:val="single" w:color="000000" w:sz="8" w:space="0"/>
            </w:tcBorders>
            <w:vAlign w:val="center"/>
          </w:tcPr>
          <w:p w14:paraId="00E8B1E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支持住房、小区、社区多维度城市体检台账导出。</w:t>
            </w:r>
          </w:p>
        </w:tc>
      </w:tr>
      <w:tr w14:paraId="5C0DDF95">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86E268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30</w:t>
            </w:r>
          </w:p>
        </w:tc>
        <w:tc>
          <w:tcPr>
            <w:tcW w:w="597" w:type="pct"/>
            <w:vMerge w:val="continue"/>
            <w:tcBorders>
              <w:top w:val="nil"/>
              <w:left w:val="nil"/>
              <w:bottom w:val="single" w:color="000000" w:sz="8" w:space="0"/>
              <w:right w:val="single" w:color="000000" w:sz="8" w:space="0"/>
            </w:tcBorders>
            <w:vAlign w:val="center"/>
          </w:tcPr>
          <w:p w14:paraId="314BBF55">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7A1A3A3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数据采集-数据质检模块-调查住房数据质检</w:t>
            </w:r>
          </w:p>
        </w:tc>
        <w:tc>
          <w:tcPr>
            <w:tcW w:w="2537" w:type="pct"/>
            <w:tcBorders>
              <w:top w:val="nil"/>
              <w:left w:val="nil"/>
              <w:bottom w:val="single" w:color="000000" w:sz="8" w:space="0"/>
              <w:right w:val="single" w:color="000000" w:sz="8" w:space="0"/>
            </w:tcBorders>
            <w:vAlign w:val="center"/>
          </w:tcPr>
          <w:p w14:paraId="17A5C86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依据规则对住房调查数据进行质检，不符规则不能提交。</w:t>
            </w:r>
          </w:p>
        </w:tc>
      </w:tr>
      <w:tr w14:paraId="1179013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73E1AE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31</w:t>
            </w:r>
          </w:p>
        </w:tc>
        <w:tc>
          <w:tcPr>
            <w:tcW w:w="597" w:type="pct"/>
            <w:vMerge w:val="continue"/>
            <w:tcBorders>
              <w:top w:val="nil"/>
              <w:left w:val="nil"/>
              <w:bottom w:val="single" w:color="000000" w:sz="8" w:space="0"/>
              <w:right w:val="single" w:color="000000" w:sz="8" w:space="0"/>
            </w:tcBorders>
            <w:vAlign w:val="center"/>
          </w:tcPr>
          <w:p w14:paraId="7CBF59FE">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FE23A6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数据采集-数据质检模块-调查小区数据质检</w:t>
            </w:r>
          </w:p>
        </w:tc>
        <w:tc>
          <w:tcPr>
            <w:tcW w:w="2537" w:type="pct"/>
            <w:tcBorders>
              <w:top w:val="nil"/>
              <w:left w:val="nil"/>
              <w:bottom w:val="single" w:color="000000" w:sz="8" w:space="0"/>
              <w:right w:val="single" w:color="000000" w:sz="8" w:space="0"/>
            </w:tcBorders>
            <w:vAlign w:val="center"/>
          </w:tcPr>
          <w:p w14:paraId="5A9B25D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按约束关系质检小区调查数据，不符规则不能提交。约束小区问题点位填报与空间落位关联。</w:t>
            </w:r>
          </w:p>
        </w:tc>
      </w:tr>
      <w:tr w14:paraId="35CF70D7">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24CE67C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32</w:t>
            </w:r>
          </w:p>
        </w:tc>
        <w:tc>
          <w:tcPr>
            <w:tcW w:w="597" w:type="pct"/>
            <w:vMerge w:val="continue"/>
            <w:tcBorders>
              <w:top w:val="nil"/>
              <w:left w:val="nil"/>
              <w:bottom w:val="single" w:color="000000" w:sz="8" w:space="0"/>
              <w:right w:val="single" w:color="000000" w:sz="8" w:space="0"/>
            </w:tcBorders>
            <w:vAlign w:val="center"/>
          </w:tcPr>
          <w:p w14:paraId="3A5E345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143C8B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数据采集-数据质检模块-调查社区数据质检</w:t>
            </w:r>
          </w:p>
        </w:tc>
        <w:tc>
          <w:tcPr>
            <w:tcW w:w="2537" w:type="pct"/>
            <w:tcBorders>
              <w:top w:val="nil"/>
              <w:left w:val="nil"/>
              <w:bottom w:val="single" w:color="000000" w:sz="8" w:space="0"/>
              <w:right w:val="single" w:color="000000" w:sz="8" w:space="0"/>
            </w:tcBorders>
            <w:vAlign w:val="center"/>
          </w:tcPr>
          <w:p w14:paraId="6F24186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依规则质检社区调查数据，不达标无法提交数据。</w:t>
            </w:r>
          </w:p>
        </w:tc>
      </w:tr>
      <w:tr w14:paraId="1EFD797A">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D4493C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33</w:t>
            </w:r>
          </w:p>
        </w:tc>
        <w:tc>
          <w:tcPr>
            <w:tcW w:w="597" w:type="pct"/>
            <w:vMerge w:val="continue"/>
            <w:tcBorders>
              <w:top w:val="nil"/>
              <w:left w:val="nil"/>
              <w:bottom w:val="single" w:color="000000" w:sz="8" w:space="0"/>
              <w:right w:val="single" w:color="000000" w:sz="8" w:space="0"/>
            </w:tcBorders>
            <w:vAlign w:val="center"/>
          </w:tcPr>
          <w:p w14:paraId="05D77880">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7BB41A3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数据采集-数据质检模块-调查社区附属设施数据质检</w:t>
            </w:r>
          </w:p>
        </w:tc>
        <w:tc>
          <w:tcPr>
            <w:tcW w:w="2537" w:type="pct"/>
            <w:tcBorders>
              <w:top w:val="nil"/>
              <w:left w:val="nil"/>
              <w:bottom w:val="single" w:color="000000" w:sz="8" w:space="0"/>
              <w:right w:val="single" w:color="000000" w:sz="8" w:space="0"/>
            </w:tcBorders>
            <w:vAlign w:val="center"/>
          </w:tcPr>
          <w:p w14:paraId="7EF26D6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约束社区附属设施填报与空间落位操作。</w:t>
            </w:r>
          </w:p>
        </w:tc>
      </w:tr>
      <w:tr w14:paraId="382C71E4">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BF37BD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34</w:t>
            </w:r>
          </w:p>
        </w:tc>
        <w:tc>
          <w:tcPr>
            <w:tcW w:w="597" w:type="pct"/>
            <w:vMerge w:val="continue"/>
            <w:tcBorders>
              <w:top w:val="nil"/>
              <w:left w:val="nil"/>
              <w:bottom w:val="single" w:color="000000" w:sz="8" w:space="0"/>
              <w:right w:val="single" w:color="000000" w:sz="8" w:space="0"/>
            </w:tcBorders>
            <w:vAlign w:val="center"/>
          </w:tcPr>
          <w:p w14:paraId="70D4E0B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46110F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城市体检工作指挥调度-政策宣传</w:t>
            </w:r>
          </w:p>
        </w:tc>
        <w:tc>
          <w:tcPr>
            <w:tcW w:w="2537" w:type="pct"/>
            <w:tcBorders>
              <w:top w:val="nil"/>
              <w:left w:val="nil"/>
              <w:bottom w:val="single" w:color="000000" w:sz="8" w:space="0"/>
              <w:right w:val="single" w:color="000000" w:sz="8" w:space="0"/>
            </w:tcBorders>
            <w:vAlign w:val="center"/>
          </w:tcPr>
          <w:p w14:paraId="6895336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管理上传城市体检相关资料，支持多操作便捷功能。</w:t>
            </w:r>
          </w:p>
        </w:tc>
      </w:tr>
      <w:tr w14:paraId="364749AB">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0D448F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35</w:t>
            </w:r>
          </w:p>
        </w:tc>
        <w:tc>
          <w:tcPr>
            <w:tcW w:w="597" w:type="pct"/>
            <w:vMerge w:val="continue"/>
            <w:tcBorders>
              <w:top w:val="nil"/>
              <w:left w:val="nil"/>
              <w:bottom w:val="single" w:color="000000" w:sz="8" w:space="0"/>
              <w:right w:val="single" w:color="000000" w:sz="8" w:space="0"/>
            </w:tcBorders>
            <w:vAlign w:val="center"/>
          </w:tcPr>
          <w:p w14:paraId="6DFC360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56D14A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城市体检工作指挥调度-上报功能-指标值与评估结果填报</w:t>
            </w:r>
          </w:p>
        </w:tc>
        <w:tc>
          <w:tcPr>
            <w:tcW w:w="2537" w:type="pct"/>
            <w:tcBorders>
              <w:top w:val="nil"/>
              <w:left w:val="nil"/>
              <w:bottom w:val="single" w:color="000000" w:sz="8" w:space="0"/>
              <w:right w:val="single" w:color="000000" w:sz="8" w:space="0"/>
            </w:tcBorders>
            <w:vAlign w:val="center"/>
          </w:tcPr>
          <w:p w14:paraId="416CB2D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指标值与指标评估结果填报、提交、审核，支持检索与多种数据操作。</w:t>
            </w:r>
          </w:p>
        </w:tc>
      </w:tr>
      <w:tr w14:paraId="216698B2">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AE3457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36</w:t>
            </w:r>
          </w:p>
        </w:tc>
        <w:tc>
          <w:tcPr>
            <w:tcW w:w="597" w:type="pct"/>
            <w:vMerge w:val="continue"/>
            <w:tcBorders>
              <w:top w:val="nil"/>
              <w:left w:val="nil"/>
              <w:bottom w:val="single" w:color="000000" w:sz="8" w:space="0"/>
              <w:right w:val="single" w:color="000000" w:sz="8" w:space="0"/>
            </w:tcBorders>
            <w:vAlign w:val="center"/>
          </w:tcPr>
          <w:p w14:paraId="35569CCE">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2D464A1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城市体检工作指挥调度-上报功能-空间数据上传与下载</w:t>
            </w:r>
          </w:p>
        </w:tc>
        <w:tc>
          <w:tcPr>
            <w:tcW w:w="2537" w:type="pct"/>
            <w:tcBorders>
              <w:top w:val="nil"/>
              <w:left w:val="nil"/>
              <w:bottom w:val="single" w:color="000000" w:sz="8" w:space="0"/>
              <w:right w:val="single" w:color="000000" w:sz="8" w:space="0"/>
            </w:tcBorders>
            <w:vAlign w:val="center"/>
          </w:tcPr>
          <w:p w14:paraId="58753AF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管理员上传空间数据，支持检索、地图标绘与一键上报。</w:t>
            </w:r>
          </w:p>
        </w:tc>
      </w:tr>
      <w:tr w14:paraId="58571D37">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9D9084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37</w:t>
            </w:r>
          </w:p>
        </w:tc>
        <w:tc>
          <w:tcPr>
            <w:tcW w:w="597" w:type="pct"/>
            <w:vMerge w:val="continue"/>
            <w:tcBorders>
              <w:top w:val="nil"/>
              <w:left w:val="nil"/>
              <w:bottom w:val="single" w:color="000000" w:sz="8" w:space="0"/>
              <w:right w:val="single" w:color="000000" w:sz="8" w:space="0"/>
            </w:tcBorders>
            <w:vAlign w:val="center"/>
          </w:tcPr>
          <w:p w14:paraId="3DB6F28D">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DBE2E7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城市体检工作指挥调度-上报功能-自体检报告上传、优势清单填报</w:t>
            </w:r>
          </w:p>
        </w:tc>
        <w:tc>
          <w:tcPr>
            <w:tcW w:w="2537" w:type="pct"/>
            <w:tcBorders>
              <w:top w:val="nil"/>
              <w:left w:val="nil"/>
              <w:bottom w:val="single" w:color="000000" w:sz="8" w:space="0"/>
              <w:right w:val="single" w:color="000000" w:sz="8" w:space="0"/>
            </w:tcBorders>
            <w:vAlign w:val="center"/>
          </w:tcPr>
          <w:p w14:paraId="1A22003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上传报告经审核，支持检索、编辑、导出与预览。填报优势清单经审核，支持检索与多便捷操作。</w:t>
            </w:r>
          </w:p>
        </w:tc>
      </w:tr>
      <w:tr w14:paraId="750BB26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39CB96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38</w:t>
            </w:r>
          </w:p>
        </w:tc>
        <w:tc>
          <w:tcPr>
            <w:tcW w:w="597" w:type="pct"/>
            <w:vMerge w:val="continue"/>
            <w:tcBorders>
              <w:top w:val="nil"/>
              <w:left w:val="nil"/>
              <w:bottom w:val="single" w:color="000000" w:sz="8" w:space="0"/>
              <w:right w:val="single" w:color="000000" w:sz="8" w:space="0"/>
            </w:tcBorders>
            <w:vAlign w:val="center"/>
          </w:tcPr>
          <w:p w14:paraId="1946CA19">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92C04F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城市体检工作指挥调度-上报功能-问题清单、整治建议、建议项目填报</w:t>
            </w:r>
          </w:p>
        </w:tc>
        <w:tc>
          <w:tcPr>
            <w:tcW w:w="2537" w:type="pct"/>
            <w:tcBorders>
              <w:top w:val="nil"/>
              <w:left w:val="nil"/>
              <w:bottom w:val="single" w:color="000000" w:sz="8" w:space="0"/>
              <w:right w:val="single" w:color="000000" w:sz="8" w:space="0"/>
            </w:tcBorders>
            <w:vAlign w:val="center"/>
          </w:tcPr>
          <w:p w14:paraId="25CAB93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填报问题清单、整治建议、建议项目，经审核，支持地图在线标定、检索与多便捷操作。系统支持数据检索，并支持模板下载、导入、导出、一键上报等便捷功能。</w:t>
            </w:r>
          </w:p>
        </w:tc>
      </w:tr>
      <w:tr w14:paraId="06D6FD06">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849AA8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39</w:t>
            </w:r>
          </w:p>
        </w:tc>
        <w:tc>
          <w:tcPr>
            <w:tcW w:w="597" w:type="pct"/>
            <w:vMerge w:val="continue"/>
            <w:tcBorders>
              <w:top w:val="nil"/>
              <w:left w:val="nil"/>
              <w:bottom w:val="single" w:color="000000" w:sz="8" w:space="0"/>
              <w:right w:val="single" w:color="000000" w:sz="8" w:space="0"/>
            </w:tcBorders>
            <w:vAlign w:val="center"/>
          </w:tcPr>
          <w:p w14:paraId="716845ED">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065067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城市体检工作指挥调度-上报功能-台账统计</w:t>
            </w:r>
          </w:p>
        </w:tc>
        <w:tc>
          <w:tcPr>
            <w:tcW w:w="2537" w:type="pct"/>
            <w:tcBorders>
              <w:top w:val="nil"/>
              <w:left w:val="nil"/>
              <w:bottom w:val="single" w:color="000000" w:sz="8" w:space="0"/>
              <w:right w:val="single" w:color="000000" w:sz="8" w:space="0"/>
            </w:tcBorders>
            <w:vAlign w:val="center"/>
          </w:tcPr>
          <w:p w14:paraId="6EAA0B1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实时查看三类台账，支持检索与在线导出数据。</w:t>
            </w:r>
          </w:p>
        </w:tc>
      </w:tr>
      <w:tr w14:paraId="241842BB">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F527F8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40</w:t>
            </w:r>
          </w:p>
        </w:tc>
        <w:tc>
          <w:tcPr>
            <w:tcW w:w="597" w:type="pct"/>
            <w:vMerge w:val="continue"/>
            <w:tcBorders>
              <w:top w:val="nil"/>
              <w:left w:val="nil"/>
              <w:bottom w:val="single" w:color="000000" w:sz="8" w:space="0"/>
              <w:right w:val="single" w:color="000000" w:sz="8" w:space="0"/>
            </w:tcBorders>
            <w:vAlign w:val="center"/>
          </w:tcPr>
          <w:p w14:paraId="2A15DFD8">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907C01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城市体检工作指挥调度-统计预警</w:t>
            </w:r>
          </w:p>
        </w:tc>
        <w:tc>
          <w:tcPr>
            <w:tcW w:w="2537" w:type="pct"/>
            <w:tcBorders>
              <w:top w:val="nil"/>
              <w:left w:val="nil"/>
              <w:bottom w:val="single" w:color="000000" w:sz="8" w:space="0"/>
              <w:right w:val="single" w:color="000000" w:sz="8" w:space="0"/>
            </w:tcBorders>
            <w:vAlign w:val="center"/>
          </w:tcPr>
          <w:p w14:paraId="119172A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汇总四级数据上报情况，生成报表支持检索导出。分析指标填报情况，展示各单位指标不达标状况。</w:t>
            </w:r>
          </w:p>
        </w:tc>
      </w:tr>
      <w:tr w14:paraId="55C72C8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167368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41</w:t>
            </w:r>
          </w:p>
        </w:tc>
        <w:tc>
          <w:tcPr>
            <w:tcW w:w="597" w:type="pct"/>
            <w:vMerge w:val="restart"/>
            <w:tcBorders>
              <w:top w:val="nil"/>
              <w:left w:val="nil"/>
              <w:bottom w:val="single" w:color="000000" w:sz="8" w:space="0"/>
              <w:right w:val="single" w:color="000000" w:sz="8" w:space="0"/>
            </w:tcBorders>
            <w:vAlign w:val="center"/>
          </w:tcPr>
          <w:p w14:paraId="69B327A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上海市数字住建一体化平台</w:t>
            </w:r>
          </w:p>
        </w:tc>
        <w:tc>
          <w:tcPr>
            <w:tcW w:w="1469" w:type="pct"/>
            <w:tcBorders>
              <w:top w:val="nil"/>
              <w:left w:val="nil"/>
              <w:bottom w:val="single" w:color="000000" w:sz="8" w:space="0"/>
              <w:right w:val="single" w:color="000000" w:sz="8" w:space="0"/>
            </w:tcBorders>
            <w:vAlign w:val="center"/>
          </w:tcPr>
          <w:p w14:paraId="516FB1F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数字住建驾驶舱-数字工程</w:t>
            </w:r>
          </w:p>
        </w:tc>
        <w:tc>
          <w:tcPr>
            <w:tcW w:w="2537" w:type="pct"/>
            <w:tcBorders>
              <w:top w:val="nil"/>
              <w:left w:val="nil"/>
              <w:bottom w:val="single" w:color="000000" w:sz="8" w:space="0"/>
              <w:right w:val="single" w:color="000000" w:sz="8" w:space="0"/>
            </w:tcBorders>
            <w:vAlign w:val="center"/>
          </w:tcPr>
          <w:p w14:paraId="49F4226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展现工程安全、节能、投资等三位一体管理信息。</w:t>
            </w:r>
          </w:p>
        </w:tc>
      </w:tr>
      <w:tr w14:paraId="7EA11ED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E7993A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42</w:t>
            </w:r>
          </w:p>
        </w:tc>
        <w:tc>
          <w:tcPr>
            <w:tcW w:w="597" w:type="pct"/>
            <w:vMerge w:val="continue"/>
            <w:tcBorders>
              <w:top w:val="nil"/>
              <w:left w:val="nil"/>
              <w:bottom w:val="single" w:color="000000" w:sz="8" w:space="0"/>
              <w:right w:val="single" w:color="000000" w:sz="8" w:space="0"/>
            </w:tcBorders>
            <w:vAlign w:val="center"/>
          </w:tcPr>
          <w:p w14:paraId="0FD1F3D6">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2D3C3D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数字住建驾驶舱-数字住房</w:t>
            </w:r>
          </w:p>
        </w:tc>
        <w:tc>
          <w:tcPr>
            <w:tcW w:w="2537" w:type="pct"/>
            <w:tcBorders>
              <w:top w:val="nil"/>
              <w:left w:val="nil"/>
              <w:bottom w:val="single" w:color="000000" w:sz="8" w:space="0"/>
              <w:right w:val="single" w:color="000000" w:sz="8" w:space="0"/>
            </w:tcBorders>
            <w:vAlign w:val="center"/>
          </w:tcPr>
          <w:p w14:paraId="5306CCD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从多维度构建住房市场数字监管体系，进行分析</w:t>
            </w:r>
          </w:p>
        </w:tc>
      </w:tr>
      <w:tr w14:paraId="4D74645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F54464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43</w:t>
            </w:r>
          </w:p>
        </w:tc>
        <w:tc>
          <w:tcPr>
            <w:tcW w:w="597" w:type="pct"/>
            <w:vMerge w:val="continue"/>
            <w:tcBorders>
              <w:top w:val="nil"/>
              <w:left w:val="nil"/>
              <w:bottom w:val="single" w:color="000000" w:sz="8" w:space="0"/>
              <w:right w:val="single" w:color="000000" w:sz="8" w:space="0"/>
            </w:tcBorders>
            <w:vAlign w:val="center"/>
          </w:tcPr>
          <w:p w14:paraId="4C6AEBF0">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C8D14A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数字住建驾驶舱-数字城市</w:t>
            </w:r>
          </w:p>
        </w:tc>
        <w:tc>
          <w:tcPr>
            <w:tcW w:w="2537" w:type="pct"/>
            <w:tcBorders>
              <w:top w:val="nil"/>
              <w:left w:val="nil"/>
              <w:bottom w:val="single" w:color="000000" w:sz="8" w:space="0"/>
              <w:right w:val="single" w:color="000000" w:sz="8" w:space="0"/>
            </w:tcBorders>
            <w:vAlign w:val="center"/>
          </w:tcPr>
          <w:p w14:paraId="18DDB2A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呈现城市体检、更新与提高韧性转型成果。</w:t>
            </w:r>
          </w:p>
        </w:tc>
      </w:tr>
      <w:tr w14:paraId="328AEDAF">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60BCB5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44</w:t>
            </w:r>
          </w:p>
        </w:tc>
        <w:tc>
          <w:tcPr>
            <w:tcW w:w="597" w:type="pct"/>
            <w:vMerge w:val="continue"/>
            <w:tcBorders>
              <w:top w:val="nil"/>
              <w:left w:val="nil"/>
              <w:bottom w:val="single" w:color="000000" w:sz="8" w:space="0"/>
              <w:right w:val="single" w:color="000000" w:sz="8" w:space="0"/>
            </w:tcBorders>
            <w:vAlign w:val="center"/>
          </w:tcPr>
          <w:p w14:paraId="101B5A20">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549D9AB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数字住建驾驶舱-数字村镇</w:t>
            </w:r>
          </w:p>
        </w:tc>
        <w:tc>
          <w:tcPr>
            <w:tcW w:w="2537" w:type="pct"/>
            <w:tcBorders>
              <w:top w:val="nil"/>
              <w:left w:val="nil"/>
              <w:bottom w:val="single" w:color="000000" w:sz="8" w:space="0"/>
              <w:right w:val="single" w:color="000000" w:sz="8" w:space="0"/>
            </w:tcBorders>
            <w:vAlign w:val="center"/>
          </w:tcPr>
          <w:p w14:paraId="603CB95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统计农房、居住、路桥的数字化治理情况。</w:t>
            </w:r>
          </w:p>
        </w:tc>
      </w:tr>
      <w:tr w14:paraId="4DCE427A">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4FD7F2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45</w:t>
            </w:r>
          </w:p>
        </w:tc>
        <w:tc>
          <w:tcPr>
            <w:tcW w:w="597" w:type="pct"/>
            <w:vMerge w:val="continue"/>
            <w:tcBorders>
              <w:top w:val="nil"/>
              <w:left w:val="nil"/>
              <w:bottom w:val="single" w:color="000000" w:sz="8" w:space="0"/>
              <w:right w:val="single" w:color="000000" w:sz="8" w:space="0"/>
            </w:tcBorders>
            <w:vAlign w:val="center"/>
          </w:tcPr>
          <w:p w14:paraId="3FB64026">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895EF7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数字住建驾驶舱-数字服务</w:t>
            </w:r>
          </w:p>
        </w:tc>
        <w:tc>
          <w:tcPr>
            <w:tcW w:w="2537" w:type="pct"/>
            <w:tcBorders>
              <w:top w:val="nil"/>
              <w:left w:val="nil"/>
              <w:bottom w:val="single" w:color="000000" w:sz="8" w:space="0"/>
              <w:right w:val="single" w:color="000000" w:sz="8" w:space="0"/>
            </w:tcBorders>
            <w:vAlign w:val="center"/>
          </w:tcPr>
          <w:p w14:paraId="4EACC07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实现智能审批、提醒督办的数字化便民服务的分析</w:t>
            </w:r>
          </w:p>
        </w:tc>
      </w:tr>
      <w:tr w14:paraId="3FEE65B9">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D8B2EE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46</w:t>
            </w:r>
          </w:p>
        </w:tc>
        <w:tc>
          <w:tcPr>
            <w:tcW w:w="597" w:type="pct"/>
            <w:vMerge w:val="continue"/>
            <w:tcBorders>
              <w:top w:val="nil"/>
              <w:left w:val="nil"/>
              <w:bottom w:val="single" w:color="000000" w:sz="8" w:space="0"/>
              <w:right w:val="single" w:color="000000" w:sz="8" w:space="0"/>
            </w:tcBorders>
            <w:vAlign w:val="center"/>
          </w:tcPr>
          <w:p w14:paraId="304EC20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9D2C8F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工程智管-工程安全与质量-总体分析</w:t>
            </w:r>
          </w:p>
        </w:tc>
        <w:tc>
          <w:tcPr>
            <w:tcW w:w="2537" w:type="pct"/>
            <w:tcBorders>
              <w:top w:val="nil"/>
              <w:left w:val="nil"/>
              <w:bottom w:val="single" w:color="000000" w:sz="8" w:space="0"/>
              <w:right w:val="single" w:color="000000" w:sz="8" w:space="0"/>
            </w:tcBorders>
            <w:vAlign w:val="center"/>
          </w:tcPr>
          <w:p w14:paraId="092DC4F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全面剖析建筑工程多方面关键信息</w:t>
            </w:r>
          </w:p>
        </w:tc>
      </w:tr>
      <w:tr w14:paraId="3D743A5B">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9FEAF8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47</w:t>
            </w:r>
          </w:p>
        </w:tc>
        <w:tc>
          <w:tcPr>
            <w:tcW w:w="597" w:type="pct"/>
            <w:vMerge w:val="continue"/>
            <w:tcBorders>
              <w:top w:val="nil"/>
              <w:left w:val="nil"/>
              <w:bottom w:val="single" w:color="000000" w:sz="8" w:space="0"/>
              <w:right w:val="single" w:color="000000" w:sz="8" w:space="0"/>
            </w:tcBorders>
            <w:vAlign w:val="center"/>
          </w:tcPr>
          <w:p w14:paraId="1D46D03A">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29EB9A3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工程智管-工程安全与质量-工地感知预警分析</w:t>
            </w:r>
          </w:p>
        </w:tc>
        <w:tc>
          <w:tcPr>
            <w:tcW w:w="2537" w:type="pct"/>
            <w:tcBorders>
              <w:top w:val="nil"/>
              <w:left w:val="nil"/>
              <w:bottom w:val="single" w:color="000000" w:sz="8" w:space="0"/>
              <w:right w:val="single" w:color="000000" w:sz="8" w:space="0"/>
            </w:tcBorders>
            <w:vAlign w:val="center"/>
          </w:tcPr>
          <w:p w14:paraId="30CD3DE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全方位统计工地多维度感知信息。</w:t>
            </w:r>
          </w:p>
        </w:tc>
      </w:tr>
      <w:tr w14:paraId="1CEF5AAF">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9C7D39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48</w:t>
            </w:r>
          </w:p>
        </w:tc>
        <w:tc>
          <w:tcPr>
            <w:tcW w:w="597" w:type="pct"/>
            <w:vMerge w:val="continue"/>
            <w:tcBorders>
              <w:top w:val="nil"/>
              <w:left w:val="nil"/>
              <w:bottom w:val="single" w:color="000000" w:sz="8" w:space="0"/>
              <w:right w:val="single" w:color="000000" w:sz="8" w:space="0"/>
            </w:tcBorders>
            <w:vAlign w:val="center"/>
          </w:tcPr>
          <w:p w14:paraId="3084D1E0">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5E84E56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工程智管-工程安全与质量-工地安全分析</w:t>
            </w:r>
          </w:p>
        </w:tc>
        <w:tc>
          <w:tcPr>
            <w:tcW w:w="2537" w:type="pct"/>
            <w:tcBorders>
              <w:top w:val="nil"/>
              <w:left w:val="nil"/>
              <w:bottom w:val="single" w:color="000000" w:sz="8" w:space="0"/>
              <w:right w:val="single" w:color="000000" w:sz="8" w:space="0"/>
            </w:tcBorders>
            <w:vAlign w:val="center"/>
          </w:tcPr>
          <w:p w14:paraId="75D07BA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深入分析工地安全多方面隐患与事故。</w:t>
            </w:r>
          </w:p>
        </w:tc>
      </w:tr>
      <w:tr w14:paraId="1E198DE4">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5CFD4D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49</w:t>
            </w:r>
          </w:p>
        </w:tc>
        <w:tc>
          <w:tcPr>
            <w:tcW w:w="597" w:type="pct"/>
            <w:vMerge w:val="continue"/>
            <w:tcBorders>
              <w:top w:val="nil"/>
              <w:left w:val="nil"/>
              <w:bottom w:val="single" w:color="000000" w:sz="8" w:space="0"/>
              <w:right w:val="single" w:color="000000" w:sz="8" w:space="0"/>
            </w:tcBorders>
            <w:vAlign w:val="center"/>
          </w:tcPr>
          <w:p w14:paraId="573800E4">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54A8CAD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工程智管-工程安全与质量-整改处置分析</w:t>
            </w:r>
          </w:p>
        </w:tc>
        <w:tc>
          <w:tcPr>
            <w:tcW w:w="2537" w:type="pct"/>
            <w:tcBorders>
              <w:top w:val="nil"/>
              <w:left w:val="nil"/>
              <w:bottom w:val="single" w:color="000000" w:sz="8" w:space="0"/>
              <w:right w:val="single" w:color="000000" w:sz="8" w:space="0"/>
            </w:tcBorders>
            <w:vAlign w:val="center"/>
          </w:tcPr>
          <w:p w14:paraId="4C93D24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精准计算重大隐患和安全事故整改率。</w:t>
            </w:r>
          </w:p>
        </w:tc>
      </w:tr>
      <w:tr w14:paraId="05D57177">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27B5C840">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50</w:t>
            </w:r>
          </w:p>
        </w:tc>
        <w:tc>
          <w:tcPr>
            <w:tcW w:w="597" w:type="pct"/>
            <w:vMerge w:val="continue"/>
            <w:tcBorders>
              <w:top w:val="nil"/>
              <w:left w:val="nil"/>
              <w:bottom w:val="single" w:color="000000" w:sz="8" w:space="0"/>
              <w:right w:val="single" w:color="000000" w:sz="8" w:space="0"/>
            </w:tcBorders>
            <w:vAlign w:val="center"/>
          </w:tcPr>
          <w:p w14:paraId="1386F453">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DFCAF4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工程智管-工程安全与质量-监督评价</w:t>
            </w:r>
          </w:p>
        </w:tc>
        <w:tc>
          <w:tcPr>
            <w:tcW w:w="2537" w:type="pct"/>
            <w:tcBorders>
              <w:top w:val="nil"/>
              <w:left w:val="nil"/>
              <w:bottom w:val="single" w:color="000000" w:sz="8" w:space="0"/>
              <w:right w:val="single" w:color="000000" w:sz="8" w:space="0"/>
            </w:tcBorders>
            <w:vAlign w:val="center"/>
          </w:tcPr>
          <w:p w14:paraId="0EE1610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统计项目多维度数据辅助监管与决策。</w:t>
            </w:r>
          </w:p>
        </w:tc>
      </w:tr>
      <w:tr w14:paraId="2ECEA5C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432A03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51</w:t>
            </w:r>
          </w:p>
        </w:tc>
        <w:tc>
          <w:tcPr>
            <w:tcW w:w="597" w:type="pct"/>
            <w:vMerge w:val="continue"/>
            <w:tcBorders>
              <w:top w:val="nil"/>
              <w:left w:val="nil"/>
              <w:bottom w:val="single" w:color="000000" w:sz="8" w:space="0"/>
              <w:right w:val="single" w:color="000000" w:sz="8" w:space="0"/>
            </w:tcBorders>
            <w:vAlign w:val="center"/>
          </w:tcPr>
          <w:p w14:paraId="5861907E">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0E8A0D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工程智管-绿色节能</w:t>
            </w:r>
          </w:p>
        </w:tc>
        <w:tc>
          <w:tcPr>
            <w:tcW w:w="2537" w:type="pct"/>
            <w:tcBorders>
              <w:top w:val="nil"/>
              <w:left w:val="nil"/>
              <w:bottom w:val="single" w:color="000000" w:sz="8" w:space="0"/>
              <w:right w:val="single" w:color="000000" w:sz="8" w:space="0"/>
            </w:tcBorders>
            <w:vAlign w:val="center"/>
          </w:tcPr>
          <w:p w14:paraId="0D261AE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可视化分析绿色建筑等节能相关指标占比。</w:t>
            </w:r>
          </w:p>
        </w:tc>
      </w:tr>
      <w:tr w14:paraId="7FA46D26">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5FBC93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52</w:t>
            </w:r>
          </w:p>
        </w:tc>
        <w:tc>
          <w:tcPr>
            <w:tcW w:w="597" w:type="pct"/>
            <w:vMerge w:val="continue"/>
            <w:tcBorders>
              <w:top w:val="nil"/>
              <w:left w:val="nil"/>
              <w:bottom w:val="single" w:color="000000" w:sz="8" w:space="0"/>
              <w:right w:val="single" w:color="000000" w:sz="8" w:space="0"/>
            </w:tcBorders>
            <w:vAlign w:val="center"/>
          </w:tcPr>
          <w:p w14:paraId="5C90C5D5">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8714D5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工程智管-重大工程计划与投资分析</w:t>
            </w:r>
          </w:p>
        </w:tc>
        <w:tc>
          <w:tcPr>
            <w:tcW w:w="2537" w:type="pct"/>
            <w:tcBorders>
              <w:top w:val="nil"/>
              <w:left w:val="nil"/>
              <w:bottom w:val="single" w:color="000000" w:sz="8" w:space="0"/>
              <w:right w:val="single" w:color="000000" w:sz="8" w:space="0"/>
            </w:tcBorders>
            <w:vAlign w:val="center"/>
          </w:tcPr>
          <w:p w14:paraId="6428FAB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重大工程与城市维护计划，比对进度监控预算保障工程，多维度统计分析城市维护相关数据。</w:t>
            </w:r>
          </w:p>
        </w:tc>
      </w:tr>
      <w:tr w14:paraId="4AB1E04D">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5C60FD2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53</w:t>
            </w:r>
          </w:p>
        </w:tc>
        <w:tc>
          <w:tcPr>
            <w:tcW w:w="597" w:type="pct"/>
            <w:vMerge w:val="continue"/>
            <w:tcBorders>
              <w:top w:val="nil"/>
              <w:left w:val="nil"/>
              <w:bottom w:val="single" w:color="000000" w:sz="8" w:space="0"/>
              <w:right w:val="single" w:color="000000" w:sz="8" w:space="0"/>
            </w:tcBorders>
            <w:vAlign w:val="center"/>
          </w:tcPr>
          <w:p w14:paraId="360D364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3FD8B6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宜居安住-全市房屋建筑情况-全市房屋建筑多源数据统计分析</w:t>
            </w:r>
          </w:p>
        </w:tc>
        <w:tc>
          <w:tcPr>
            <w:tcW w:w="2537" w:type="pct"/>
            <w:tcBorders>
              <w:top w:val="nil"/>
              <w:left w:val="nil"/>
              <w:bottom w:val="single" w:color="000000" w:sz="8" w:space="0"/>
              <w:right w:val="single" w:color="000000" w:sz="8" w:space="0"/>
            </w:tcBorders>
            <w:vAlign w:val="center"/>
          </w:tcPr>
          <w:p w14:paraId="57A8461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动态生成模型分析房屋全生命周期。</w:t>
            </w:r>
          </w:p>
        </w:tc>
      </w:tr>
      <w:tr w14:paraId="4D02CB0D">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BF1F0F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54</w:t>
            </w:r>
          </w:p>
        </w:tc>
        <w:tc>
          <w:tcPr>
            <w:tcW w:w="597" w:type="pct"/>
            <w:vMerge w:val="continue"/>
            <w:tcBorders>
              <w:top w:val="nil"/>
              <w:left w:val="nil"/>
              <w:bottom w:val="single" w:color="000000" w:sz="8" w:space="0"/>
              <w:right w:val="single" w:color="000000" w:sz="8" w:space="0"/>
            </w:tcBorders>
            <w:vAlign w:val="center"/>
          </w:tcPr>
          <w:p w14:paraId="2C968293">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EDF473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宜居安住-住房保障与公租房管理-保障房总体情况分析</w:t>
            </w:r>
          </w:p>
        </w:tc>
        <w:tc>
          <w:tcPr>
            <w:tcW w:w="2537" w:type="pct"/>
            <w:tcBorders>
              <w:top w:val="nil"/>
              <w:left w:val="nil"/>
              <w:bottom w:val="single" w:color="000000" w:sz="8" w:space="0"/>
              <w:right w:val="single" w:color="000000" w:sz="8" w:space="0"/>
            </w:tcBorders>
            <w:vAlign w:val="center"/>
          </w:tcPr>
          <w:p w14:paraId="5FE4EB0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接入展示公租房、保障房全流程信息。</w:t>
            </w:r>
          </w:p>
        </w:tc>
      </w:tr>
      <w:tr w14:paraId="0C807DF9">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3E74F2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55</w:t>
            </w:r>
          </w:p>
        </w:tc>
        <w:tc>
          <w:tcPr>
            <w:tcW w:w="597" w:type="pct"/>
            <w:vMerge w:val="continue"/>
            <w:tcBorders>
              <w:top w:val="nil"/>
              <w:left w:val="nil"/>
              <w:bottom w:val="single" w:color="000000" w:sz="8" w:space="0"/>
              <w:right w:val="single" w:color="000000" w:sz="8" w:space="0"/>
            </w:tcBorders>
            <w:vAlign w:val="center"/>
          </w:tcPr>
          <w:p w14:paraId="34B8F053">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A14E7E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宜居安住-住房保障与公租房管理-住房信用与风险预警</w:t>
            </w:r>
          </w:p>
        </w:tc>
        <w:tc>
          <w:tcPr>
            <w:tcW w:w="2537" w:type="pct"/>
            <w:tcBorders>
              <w:top w:val="nil"/>
              <w:left w:val="nil"/>
              <w:bottom w:val="single" w:color="000000" w:sz="8" w:space="0"/>
              <w:right w:val="single" w:color="000000" w:sz="8" w:space="0"/>
            </w:tcBorders>
            <w:vAlign w:val="center"/>
          </w:tcPr>
          <w:p w14:paraId="155C6A1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整合多源信息，对低信用租赁方在线预警。</w:t>
            </w:r>
          </w:p>
        </w:tc>
      </w:tr>
      <w:tr w14:paraId="51CF9B5B">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D280E2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56</w:t>
            </w:r>
          </w:p>
        </w:tc>
        <w:tc>
          <w:tcPr>
            <w:tcW w:w="597" w:type="pct"/>
            <w:vMerge w:val="continue"/>
            <w:tcBorders>
              <w:top w:val="nil"/>
              <w:left w:val="nil"/>
              <w:bottom w:val="single" w:color="000000" w:sz="8" w:space="0"/>
              <w:right w:val="single" w:color="000000" w:sz="8" w:space="0"/>
            </w:tcBorders>
            <w:vAlign w:val="center"/>
          </w:tcPr>
          <w:p w14:paraId="2823BFE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5B7BC68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宜居安住-住房保障与公租房管理-保障房屋建设分析</w:t>
            </w:r>
          </w:p>
        </w:tc>
        <w:tc>
          <w:tcPr>
            <w:tcW w:w="2537" w:type="pct"/>
            <w:tcBorders>
              <w:top w:val="nil"/>
              <w:left w:val="nil"/>
              <w:bottom w:val="single" w:color="000000" w:sz="8" w:space="0"/>
              <w:right w:val="single" w:color="000000" w:sz="8" w:space="0"/>
            </w:tcBorders>
            <w:vAlign w:val="center"/>
          </w:tcPr>
          <w:p w14:paraId="247080F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结合人口与住房数据，剖析区域供需适配性。</w:t>
            </w:r>
          </w:p>
        </w:tc>
      </w:tr>
      <w:tr w14:paraId="1019213B">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143A22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57</w:t>
            </w:r>
          </w:p>
        </w:tc>
        <w:tc>
          <w:tcPr>
            <w:tcW w:w="597" w:type="pct"/>
            <w:vMerge w:val="continue"/>
            <w:tcBorders>
              <w:top w:val="nil"/>
              <w:left w:val="nil"/>
              <w:bottom w:val="single" w:color="000000" w:sz="8" w:space="0"/>
              <w:right w:val="single" w:color="000000" w:sz="8" w:space="0"/>
            </w:tcBorders>
            <w:vAlign w:val="center"/>
          </w:tcPr>
          <w:p w14:paraId="5DE1CB8F">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91F9EF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韧性安全-城检健康动态监测</w:t>
            </w:r>
          </w:p>
        </w:tc>
        <w:tc>
          <w:tcPr>
            <w:tcW w:w="2537" w:type="pct"/>
            <w:tcBorders>
              <w:top w:val="nil"/>
              <w:left w:val="nil"/>
              <w:bottom w:val="single" w:color="000000" w:sz="8" w:space="0"/>
              <w:right w:val="single" w:color="000000" w:sz="8" w:space="0"/>
            </w:tcBorders>
            <w:vAlign w:val="center"/>
          </w:tcPr>
          <w:p w14:paraId="02D6BBB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集成多指标评估城市健康，数据落图辅助决策。</w:t>
            </w:r>
          </w:p>
        </w:tc>
      </w:tr>
      <w:tr w14:paraId="11447B86">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CD71C0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58</w:t>
            </w:r>
          </w:p>
        </w:tc>
        <w:tc>
          <w:tcPr>
            <w:tcW w:w="597" w:type="pct"/>
            <w:vMerge w:val="continue"/>
            <w:tcBorders>
              <w:top w:val="nil"/>
              <w:left w:val="nil"/>
              <w:bottom w:val="single" w:color="000000" w:sz="8" w:space="0"/>
              <w:right w:val="single" w:color="000000" w:sz="8" w:space="0"/>
            </w:tcBorders>
            <w:vAlign w:val="center"/>
          </w:tcPr>
          <w:p w14:paraId="0536522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2058F9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韧性安全-城市更新全流程管控</w:t>
            </w:r>
          </w:p>
        </w:tc>
        <w:tc>
          <w:tcPr>
            <w:tcW w:w="2537" w:type="pct"/>
            <w:tcBorders>
              <w:top w:val="nil"/>
              <w:left w:val="nil"/>
              <w:bottom w:val="single" w:color="000000" w:sz="8" w:space="0"/>
              <w:right w:val="single" w:color="000000" w:sz="8" w:space="0"/>
            </w:tcBorders>
            <w:vAlign w:val="center"/>
          </w:tcPr>
          <w:p w14:paraId="1D3CEDA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统计监测更新项目全流程，跟踪项目实施效能。</w:t>
            </w:r>
          </w:p>
        </w:tc>
      </w:tr>
      <w:tr w14:paraId="5A1ECCA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0A1F53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59</w:t>
            </w:r>
          </w:p>
        </w:tc>
        <w:tc>
          <w:tcPr>
            <w:tcW w:w="597" w:type="pct"/>
            <w:vMerge w:val="continue"/>
            <w:tcBorders>
              <w:top w:val="nil"/>
              <w:left w:val="nil"/>
              <w:bottom w:val="single" w:color="000000" w:sz="8" w:space="0"/>
              <w:right w:val="single" w:color="000000" w:sz="8" w:space="0"/>
            </w:tcBorders>
            <w:vAlign w:val="center"/>
          </w:tcPr>
          <w:p w14:paraId="056662B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C8C3EC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韧性安全-管线工程监测预警-管线全生命周期</w:t>
            </w:r>
          </w:p>
        </w:tc>
        <w:tc>
          <w:tcPr>
            <w:tcW w:w="2537" w:type="pct"/>
            <w:tcBorders>
              <w:top w:val="nil"/>
              <w:left w:val="nil"/>
              <w:bottom w:val="single" w:color="000000" w:sz="8" w:space="0"/>
              <w:right w:val="single" w:color="000000" w:sz="8" w:space="0"/>
            </w:tcBorders>
            <w:vAlign w:val="center"/>
          </w:tcPr>
          <w:p w14:paraId="7044A56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统计分析管线全流程数据，展示历史事故情况。</w:t>
            </w:r>
          </w:p>
        </w:tc>
      </w:tr>
      <w:tr w14:paraId="6CCFBA5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F4FF2F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60</w:t>
            </w:r>
          </w:p>
        </w:tc>
        <w:tc>
          <w:tcPr>
            <w:tcW w:w="597" w:type="pct"/>
            <w:vMerge w:val="continue"/>
            <w:tcBorders>
              <w:top w:val="nil"/>
              <w:left w:val="nil"/>
              <w:bottom w:val="single" w:color="000000" w:sz="8" w:space="0"/>
              <w:right w:val="single" w:color="000000" w:sz="8" w:space="0"/>
            </w:tcBorders>
            <w:vAlign w:val="center"/>
          </w:tcPr>
          <w:p w14:paraId="48F0155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831E24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韧性安全-管线工程监测预警-管线工程全流程分析</w:t>
            </w:r>
          </w:p>
        </w:tc>
        <w:tc>
          <w:tcPr>
            <w:tcW w:w="2537" w:type="pct"/>
            <w:tcBorders>
              <w:top w:val="nil"/>
              <w:left w:val="nil"/>
              <w:bottom w:val="single" w:color="000000" w:sz="8" w:space="0"/>
              <w:right w:val="single" w:color="000000" w:sz="8" w:space="0"/>
            </w:tcBorders>
            <w:vAlign w:val="center"/>
          </w:tcPr>
          <w:p w14:paraId="1F0F2ED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全方位分析管线工程，可视化预警处置情况。</w:t>
            </w:r>
          </w:p>
        </w:tc>
      </w:tr>
      <w:tr w14:paraId="468483EF">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A5093A8">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61</w:t>
            </w:r>
          </w:p>
        </w:tc>
        <w:tc>
          <w:tcPr>
            <w:tcW w:w="597" w:type="pct"/>
            <w:vMerge w:val="continue"/>
            <w:tcBorders>
              <w:top w:val="nil"/>
              <w:left w:val="nil"/>
              <w:bottom w:val="single" w:color="000000" w:sz="8" w:space="0"/>
              <w:right w:val="single" w:color="000000" w:sz="8" w:space="0"/>
            </w:tcBorders>
            <w:vAlign w:val="center"/>
          </w:tcPr>
          <w:p w14:paraId="5DE2BBE9">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6F69FA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韧性安全-管线工程监测预警-地下设施冲突预警</w:t>
            </w:r>
          </w:p>
        </w:tc>
        <w:tc>
          <w:tcPr>
            <w:tcW w:w="2537" w:type="pct"/>
            <w:tcBorders>
              <w:top w:val="nil"/>
              <w:left w:val="nil"/>
              <w:bottom w:val="single" w:color="000000" w:sz="8" w:space="0"/>
              <w:right w:val="single" w:color="000000" w:sz="8" w:space="0"/>
            </w:tcBorders>
            <w:vAlign w:val="center"/>
          </w:tcPr>
          <w:p w14:paraId="5907BFC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接入三维数据预警地下设施冲突，分析潜在风险。</w:t>
            </w:r>
          </w:p>
        </w:tc>
      </w:tr>
      <w:tr w14:paraId="0D0A3EA8">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3DD1FB8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62</w:t>
            </w:r>
          </w:p>
        </w:tc>
        <w:tc>
          <w:tcPr>
            <w:tcW w:w="597" w:type="pct"/>
            <w:vMerge w:val="continue"/>
            <w:tcBorders>
              <w:top w:val="nil"/>
              <w:left w:val="nil"/>
              <w:bottom w:val="single" w:color="000000" w:sz="8" w:space="0"/>
              <w:right w:val="single" w:color="000000" w:sz="8" w:space="0"/>
            </w:tcBorders>
            <w:vAlign w:val="center"/>
          </w:tcPr>
          <w:p w14:paraId="3C7D1C43">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356B2A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韧性安全-塌陷风险动态预警</w:t>
            </w:r>
          </w:p>
        </w:tc>
        <w:tc>
          <w:tcPr>
            <w:tcW w:w="2537" w:type="pct"/>
            <w:tcBorders>
              <w:top w:val="nil"/>
              <w:left w:val="nil"/>
              <w:bottom w:val="single" w:color="000000" w:sz="8" w:space="0"/>
              <w:right w:val="single" w:color="000000" w:sz="8" w:space="0"/>
            </w:tcBorders>
            <w:vAlign w:val="center"/>
          </w:tcPr>
          <w:p w14:paraId="7A80CD9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动态汇总监测地面塌陷信息，统计相关问题。</w:t>
            </w:r>
          </w:p>
        </w:tc>
      </w:tr>
      <w:tr w14:paraId="7AAD0455">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24B4741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63</w:t>
            </w:r>
          </w:p>
        </w:tc>
        <w:tc>
          <w:tcPr>
            <w:tcW w:w="597" w:type="pct"/>
            <w:vMerge w:val="continue"/>
            <w:tcBorders>
              <w:top w:val="nil"/>
              <w:left w:val="nil"/>
              <w:bottom w:val="single" w:color="000000" w:sz="8" w:space="0"/>
              <w:right w:val="single" w:color="000000" w:sz="8" w:space="0"/>
            </w:tcBorders>
            <w:vAlign w:val="center"/>
          </w:tcPr>
          <w:p w14:paraId="1DF0AC23">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510D4B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韧性安全-海绵效能风险预警</w:t>
            </w:r>
          </w:p>
        </w:tc>
        <w:tc>
          <w:tcPr>
            <w:tcW w:w="2537" w:type="pct"/>
            <w:tcBorders>
              <w:top w:val="nil"/>
              <w:left w:val="nil"/>
              <w:bottom w:val="single" w:color="000000" w:sz="8" w:space="0"/>
              <w:right w:val="single" w:color="000000" w:sz="8" w:space="0"/>
            </w:tcBorders>
            <w:vAlign w:val="center"/>
          </w:tcPr>
          <w:p w14:paraId="7ECFAAE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落图统计海绵城市信息，汇总分析各区情况。</w:t>
            </w:r>
          </w:p>
        </w:tc>
      </w:tr>
      <w:tr w14:paraId="5FC27BE9">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6DB13B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64</w:t>
            </w:r>
          </w:p>
        </w:tc>
        <w:tc>
          <w:tcPr>
            <w:tcW w:w="597" w:type="pct"/>
            <w:vMerge w:val="continue"/>
            <w:tcBorders>
              <w:top w:val="nil"/>
              <w:left w:val="nil"/>
              <w:bottom w:val="single" w:color="000000" w:sz="8" w:space="0"/>
              <w:right w:val="single" w:color="000000" w:sz="8" w:space="0"/>
            </w:tcBorders>
            <w:vAlign w:val="center"/>
          </w:tcPr>
          <w:p w14:paraId="313AA5FB">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96C206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韧性安全-网格高效处置综合分析</w:t>
            </w:r>
          </w:p>
        </w:tc>
        <w:tc>
          <w:tcPr>
            <w:tcW w:w="2537" w:type="pct"/>
            <w:tcBorders>
              <w:top w:val="nil"/>
              <w:left w:val="nil"/>
              <w:bottom w:val="single" w:color="000000" w:sz="8" w:space="0"/>
              <w:right w:val="single" w:color="000000" w:sz="8" w:space="0"/>
            </w:tcBorders>
            <w:vAlign w:val="center"/>
          </w:tcPr>
          <w:p w14:paraId="5F957F5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多维度分析网格案件分布与趋势热点。</w:t>
            </w:r>
          </w:p>
        </w:tc>
      </w:tr>
      <w:tr w14:paraId="35134964">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ECABF7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65</w:t>
            </w:r>
          </w:p>
        </w:tc>
        <w:tc>
          <w:tcPr>
            <w:tcW w:w="597" w:type="pct"/>
            <w:vMerge w:val="continue"/>
            <w:tcBorders>
              <w:top w:val="nil"/>
              <w:left w:val="nil"/>
              <w:bottom w:val="single" w:color="000000" w:sz="8" w:space="0"/>
              <w:right w:val="single" w:color="000000" w:sz="8" w:space="0"/>
            </w:tcBorders>
            <w:vAlign w:val="center"/>
          </w:tcPr>
          <w:p w14:paraId="171FC590">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EA429E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美丽村镇-农民集中居住分析</w:t>
            </w:r>
          </w:p>
        </w:tc>
        <w:tc>
          <w:tcPr>
            <w:tcW w:w="2537" w:type="pct"/>
            <w:tcBorders>
              <w:top w:val="nil"/>
              <w:left w:val="nil"/>
              <w:bottom w:val="single" w:color="000000" w:sz="8" w:space="0"/>
              <w:right w:val="single" w:color="000000" w:sz="8" w:space="0"/>
            </w:tcBorders>
            <w:vAlign w:val="center"/>
          </w:tcPr>
          <w:p w14:paraId="7906CD79">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通过多种图表展示农房建设进度与资金信息，多维度展示农民居住分布，辅助城乡规划。</w:t>
            </w:r>
          </w:p>
        </w:tc>
      </w:tr>
      <w:tr w14:paraId="384B235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0C4CB3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66</w:t>
            </w:r>
          </w:p>
        </w:tc>
        <w:tc>
          <w:tcPr>
            <w:tcW w:w="597" w:type="pct"/>
            <w:vMerge w:val="continue"/>
            <w:tcBorders>
              <w:top w:val="nil"/>
              <w:left w:val="nil"/>
              <w:bottom w:val="single" w:color="000000" w:sz="8" w:space="0"/>
              <w:right w:val="single" w:color="000000" w:sz="8" w:space="0"/>
            </w:tcBorders>
            <w:vAlign w:val="center"/>
          </w:tcPr>
          <w:p w14:paraId="6661C783">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DA04512">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数字服务-总体分析</w:t>
            </w:r>
          </w:p>
        </w:tc>
        <w:tc>
          <w:tcPr>
            <w:tcW w:w="2537" w:type="pct"/>
            <w:tcBorders>
              <w:top w:val="nil"/>
              <w:left w:val="nil"/>
              <w:bottom w:val="single" w:color="000000" w:sz="8" w:space="0"/>
              <w:right w:val="single" w:color="000000" w:sz="8" w:space="0"/>
            </w:tcBorders>
            <w:vAlign w:val="center"/>
          </w:tcPr>
          <w:p w14:paraId="0B8FB3D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综合统计 “一网通办” 多类信息呈现实时情况。</w:t>
            </w:r>
          </w:p>
        </w:tc>
      </w:tr>
      <w:tr w14:paraId="0638159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12D2CA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67</w:t>
            </w:r>
          </w:p>
        </w:tc>
        <w:tc>
          <w:tcPr>
            <w:tcW w:w="597" w:type="pct"/>
            <w:vMerge w:val="continue"/>
            <w:tcBorders>
              <w:top w:val="nil"/>
              <w:left w:val="nil"/>
              <w:bottom w:val="single" w:color="000000" w:sz="8" w:space="0"/>
              <w:right w:val="single" w:color="000000" w:sz="8" w:space="0"/>
            </w:tcBorders>
            <w:vAlign w:val="center"/>
          </w:tcPr>
          <w:p w14:paraId="13AD9B1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ED17D3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数字服务-事项与指南-事项管理</w:t>
            </w:r>
          </w:p>
        </w:tc>
        <w:tc>
          <w:tcPr>
            <w:tcW w:w="2537" w:type="pct"/>
            <w:tcBorders>
              <w:top w:val="nil"/>
              <w:left w:val="nil"/>
              <w:bottom w:val="single" w:color="000000" w:sz="8" w:space="0"/>
              <w:right w:val="single" w:color="000000" w:sz="8" w:space="0"/>
            </w:tcBorders>
            <w:vAlign w:val="center"/>
          </w:tcPr>
          <w:p w14:paraId="36FEDC2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管理六大类各项“一网通办”事项及相关标签。</w:t>
            </w:r>
          </w:p>
        </w:tc>
      </w:tr>
      <w:tr w14:paraId="18B66D7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0176CF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68</w:t>
            </w:r>
          </w:p>
        </w:tc>
        <w:tc>
          <w:tcPr>
            <w:tcW w:w="597" w:type="pct"/>
            <w:vMerge w:val="continue"/>
            <w:tcBorders>
              <w:top w:val="nil"/>
              <w:left w:val="nil"/>
              <w:bottom w:val="single" w:color="000000" w:sz="8" w:space="0"/>
              <w:right w:val="single" w:color="000000" w:sz="8" w:space="0"/>
            </w:tcBorders>
            <w:vAlign w:val="center"/>
          </w:tcPr>
          <w:p w14:paraId="5EC981E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A1A5EB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数字服务-事项与指南-指南管理</w:t>
            </w:r>
          </w:p>
        </w:tc>
        <w:tc>
          <w:tcPr>
            <w:tcW w:w="2537" w:type="pct"/>
            <w:tcBorders>
              <w:top w:val="nil"/>
              <w:left w:val="nil"/>
              <w:bottom w:val="single" w:color="000000" w:sz="8" w:space="0"/>
              <w:right w:val="single" w:color="000000" w:sz="8" w:space="0"/>
            </w:tcBorders>
            <w:vAlign w:val="center"/>
          </w:tcPr>
          <w:p w14:paraId="789F47A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管理浏览“一网通办”事项与指南并支持数据导入。</w:t>
            </w:r>
          </w:p>
        </w:tc>
      </w:tr>
      <w:tr w14:paraId="21389AB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B8F82F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69</w:t>
            </w:r>
          </w:p>
        </w:tc>
        <w:tc>
          <w:tcPr>
            <w:tcW w:w="597" w:type="pct"/>
            <w:vMerge w:val="continue"/>
            <w:tcBorders>
              <w:top w:val="nil"/>
              <w:left w:val="nil"/>
              <w:bottom w:val="single" w:color="000000" w:sz="8" w:space="0"/>
              <w:right w:val="single" w:color="000000" w:sz="8" w:space="0"/>
            </w:tcBorders>
            <w:vAlign w:val="center"/>
          </w:tcPr>
          <w:p w14:paraId="44B3D0F3">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C828DA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数字服务-办件情况-办件情况查询</w:t>
            </w:r>
          </w:p>
        </w:tc>
        <w:tc>
          <w:tcPr>
            <w:tcW w:w="2537" w:type="pct"/>
            <w:tcBorders>
              <w:top w:val="nil"/>
              <w:left w:val="nil"/>
              <w:bottom w:val="single" w:color="000000" w:sz="8" w:space="0"/>
              <w:right w:val="single" w:color="000000" w:sz="8" w:space="0"/>
            </w:tcBorders>
            <w:vAlign w:val="center"/>
          </w:tcPr>
          <w:p w14:paraId="7846EE8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查看各办件申请、受理、办结全环节信息。</w:t>
            </w:r>
          </w:p>
        </w:tc>
      </w:tr>
      <w:tr w14:paraId="093457E7">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56DE2C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70</w:t>
            </w:r>
          </w:p>
        </w:tc>
        <w:tc>
          <w:tcPr>
            <w:tcW w:w="597" w:type="pct"/>
            <w:vMerge w:val="continue"/>
            <w:tcBorders>
              <w:top w:val="nil"/>
              <w:left w:val="nil"/>
              <w:bottom w:val="single" w:color="000000" w:sz="8" w:space="0"/>
              <w:right w:val="single" w:color="000000" w:sz="8" w:space="0"/>
            </w:tcBorders>
            <w:vAlign w:val="center"/>
          </w:tcPr>
          <w:p w14:paraId="52FFCDA2">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7AACBCD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数字服务-办件情况-办件情况统计</w:t>
            </w:r>
          </w:p>
        </w:tc>
        <w:tc>
          <w:tcPr>
            <w:tcW w:w="2537" w:type="pct"/>
            <w:tcBorders>
              <w:top w:val="nil"/>
              <w:left w:val="nil"/>
              <w:bottom w:val="single" w:color="000000" w:sz="8" w:space="0"/>
              <w:right w:val="single" w:color="000000" w:sz="8" w:space="0"/>
            </w:tcBorders>
            <w:vAlign w:val="center"/>
          </w:tcPr>
          <w:p w14:paraId="2EE75A3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汇总分析办件各流程数据并支持层层下钻。</w:t>
            </w:r>
          </w:p>
        </w:tc>
      </w:tr>
      <w:tr w14:paraId="129E4F27">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33D24F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71</w:t>
            </w:r>
          </w:p>
        </w:tc>
        <w:tc>
          <w:tcPr>
            <w:tcW w:w="597" w:type="pct"/>
            <w:vMerge w:val="continue"/>
            <w:tcBorders>
              <w:top w:val="nil"/>
              <w:left w:val="nil"/>
              <w:bottom w:val="single" w:color="000000" w:sz="8" w:space="0"/>
              <w:right w:val="single" w:color="000000" w:sz="8" w:space="0"/>
            </w:tcBorders>
            <w:vAlign w:val="center"/>
          </w:tcPr>
          <w:p w14:paraId="56ED156F">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7A9C6D9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数字服务-办件分析-办件分析</w:t>
            </w:r>
          </w:p>
        </w:tc>
        <w:tc>
          <w:tcPr>
            <w:tcW w:w="2537" w:type="pct"/>
            <w:tcBorders>
              <w:top w:val="nil"/>
              <w:left w:val="nil"/>
              <w:bottom w:val="single" w:color="000000" w:sz="8" w:space="0"/>
              <w:right w:val="single" w:color="000000" w:sz="8" w:space="0"/>
            </w:tcBorders>
            <w:vAlign w:val="center"/>
          </w:tcPr>
          <w:p w14:paraId="6F67E2F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层层剖析办件数据掌握提醒督办时间情况。</w:t>
            </w:r>
          </w:p>
        </w:tc>
      </w:tr>
      <w:tr w14:paraId="07479D4F">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4AA581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72</w:t>
            </w:r>
          </w:p>
        </w:tc>
        <w:tc>
          <w:tcPr>
            <w:tcW w:w="597" w:type="pct"/>
            <w:vMerge w:val="continue"/>
            <w:tcBorders>
              <w:top w:val="nil"/>
              <w:left w:val="nil"/>
              <w:bottom w:val="single" w:color="000000" w:sz="8" w:space="0"/>
              <w:right w:val="single" w:color="000000" w:sz="8" w:space="0"/>
            </w:tcBorders>
            <w:vAlign w:val="center"/>
          </w:tcPr>
          <w:p w14:paraId="1BB439C4">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62D8F8B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数字服务-办件分析-一件事统计分析</w:t>
            </w:r>
          </w:p>
        </w:tc>
        <w:tc>
          <w:tcPr>
            <w:tcW w:w="2537" w:type="pct"/>
            <w:tcBorders>
              <w:top w:val="nil"/>
              <w:left w:val="nil"/>
              <w:bottom w:val="single" w:color="000000" w:sz="8" w:space="0"/>
              <w:right w:val="single" w:color="000000" w:sz="8" w:space="0"/>
            </w:tcBorders>
            <w:vAlign w:val="center"/>
          </w:tcPr>
          <w:p w14:paraId="0F244513">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驾驶舱展示 “一件事” 业务核心指标进度。</w:t>
            </w:r>
          </w:p>
        </w:tc>
      </w:tr>
      <w:tr w14:paraId="5E310BB6">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51B6D37">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73</w:t>
            </w:r>
          </w:p>
        </w:tc>
        <w:tc>
          <w:tcPr>
            <w:tcW w:w="597" w:type="pct"/>
            <w:vMerge w:val="continue"/>
            <w:tcBorders>
              <w:top w:val="nil"/>
              <w:left w:val="nil"/>
              <w:bottom w:val="single" w:color="000000" w:sz="8" w:space="0"/>
              <w:right w:val="single" w:color="000000" w:sz="8" w:space="0"/>
            </w:tcBorders>
            <w:vAlign w:val="center"/>
          </w:tcPr>
          <w:p w14:paraId="06585F0F">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7979473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数字服务-好差评-好差评分析</w:t>
            </w:r>
          </w:p>
        </w:tc>
        <w:tc>
          <w:tcPr>
            <w:tcW w:w="2537" w:type="pct"/>
            <w:tcBorders>
              <w:top w:val="nil"/>
              <w:left w:val="nil"/>
              <w:bottom w:val="single" w:color="000000" w:sz="8" w:space="0"/>
              <w:right w:val="single" w:color="000000" w:sz="8" w:space="0"/>
            </w:tcBorders>
            <w:vAlign w:val="center"/>
          </w:tcPr>
          <w:p w14:paraId="6F39CFF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分析各事项评价数据及差评相关指标趋势。</w:t>
            </w:r>
          </w:p>
        </w:tc>
      </w:tr>
      <w:tr w14:paraId="12332AB1">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1DAE40E">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74</w:t>
            </w:r>
          </w:p>
        </w:tc>
        <w:tc>
          <w:tcPr>
            <w:tcW w:w="597" w:type="pct"/>
            <w:vMerge w:val="continue"/>
            <w:tcBorders>
              <w:top w:val="nil"/>
              <w:left w:val="nil"/>
              <w:bottom w:val="single" w:color="000000" w:sz="8" w:space="0"/>
              <w:right w:val="single" w:color="000000" w:sz="8" w:space="0"/>
            </w:tcBorders>
            <w:vAlign w:val="center"/>
          </w:tcPr>
          <w:p w14:paraId="44254008">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709E6226">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数字服务-好差评-好差评回复</w:t>
            </w:r>
          </w:p>
        </w:tc>
        <w:tc>
          <w:tcPr>
            <w:tcW w:w="2537" w:type="pct"/>
            <w:tcBorders>
              <w:top w:val="nil"/>
              <w:left w:val="nil"/>
              <w:bottom w:val="single" w:color="000000" w:sz="8" w:space="0"/>
              <w:right w:val="single" w:color="000000" w:sz="8" w:space="0"/>
            </w:tcBorders>
            <w:vAlign w:val="center"/>
          </w:tcPr>
          <w:p w14:paraId="2EAD096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各单位答复办件评价并设快捷筛选按钮便于查询。</w:t>
            </w:r>
          </w:p>
        </w:tc>
      </w:tr>
      <w:tr w14:paraId="3621702E">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02B9130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75</w:t>
            </w:r>
          </w:p>
        </w:tc>
        <w:tc>
          <w:tcPr>
            <w:tcW w:w="597" w:type="pct"/>
            <w:vMerge w:val="continue"/>
            <w:tcBorders>
              <w:top w:val="nil"/>
              <w:left w:val="nil"/>
              <w:bottom w:val="single" w:color="000000" w:sz="8" w:space="0"/>
              <w:right w:val="single" w:color="000000" w:sz="8" w:space="0"/>
            </w:tcBorders>
            <w:vAlign w:val="center"/>
          </w:tcPr>
          <w:p w14:paraId="24BDB387">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13160A2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数字服务-好差评-差评整改</w:t>
            </w:r>
          </w:p>
        </w:tc>
        <w:tc>
          <w:tcPr>
            <w:tcW w:w="2537" w:type="pct"/>
            <w:tcBorders>
              <w:top w:val="nil"/>
              <w:left w:val="nil"/>
              <w:bottom w:val="single" w:color="000000" w:sz="8" w:space="0"/>
              <w:right w:val="single" w:color="000000" w:sz="8" w:space="0"/>
            </w:tcBorders>
            <w:vAlign w:val="center"/>
          </w:tcPr>
          <w:p w14:paraId="47C92615">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统计情形好差评并支持填报整改计划与审核。</w:t>
            </w:r>
          </w:p>
        </w:tc>
      </w:tr>
      <w:tr w14:paraId="174B1BD8">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132BA18C">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76</w:t>
            </w:r>
          </w:p>
        </w:tc>
        <w:tc>
          <w:tcPr>
            <w:tcW w:w="597" w:type="pct"/>
            <w:vMerge w:val="continue"/>
            <w:tcBorders>
              <w:top w:val="nil"/>
              <w:left w:val="nil"/>
              <w:bottom w:val="single" w:color="000000" w:sz="8" w:space="0"/>
              <w:right w:val="single" w:color="000000" w:sz="8" w:space="0"/>
            </w:tcBorders>
            <w:vAlign w:val="center"/>
          </w:tcPr>
          <w:p w14:paraId="060BB0E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5694B10B">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数字服务-电子证照-日制/用证量</w:t>
            </w:r>
          </w:p>
        </w:tc>
        <w:tc>
          <w:tcPr>
            <w:tcW w:w="2537" w:type="pct"/>
            <w:tcBorders>
              <w:top w:val="nil"/>
              <w:left w:val="nil"/>
              <w:bottom w:val="single" w:color="000000" w:sz="8" w:space="0"/>
              <w:right w:val="single" w:color="000000" w:sz="8" w:space="0"/>
            </w:tcBorders>
            <w:vAlign w:val="center"/>
          </w:tcPr>
          <w:p w14:paraId="2246E9D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统计近七日每日及总制证量，支持在线填报与模板导入，统计近七日每日及总用证量，支持在线填报与模板导入</w:t>
            </w:r>
          </w:p>
        </w:tc>
      </w:tr>
      <w:tr w14:paraId="2527B499">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6340B6D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77</w:t>
            </w:r>
          </w:p>
        </w:tc>
        <w:tc>
          <w:tcPr>
            <w:tcW w:w="597" w:type="pct"/>
            <w:vMerge w:val="continue"/>
            <w:tcBorders>
              <w:top w:val="nil"/>
              <w:left w:val="nil"/>
              <w:bottom w:val="single" w:color="000000" w:sz="8" w:space="0"/>
              <w:right w:val="single" w:color="000000" w:sz="8" w:space="0"/>
            </w:tcBorders>
            <w:vAlign w:val="center"/>
          </w:tcPr>
          <w:p w14:paraId="4B13C0AC">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45E6CDE1">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数字服务-电子证照-近一年用证量</w:t>
            </w:r>
          </w:p>
        </w:tc>
        <w:tc>
          <w:tcPr>
            <w:tcW w:w="2537" w:type="pct"/>
            <w:tcBorders>
              <w:top w:val="nil"/>
              <w:left w:val="nil"/>
              <w:bottom w:val="single" w:color="000000" w:sz="8" w:space="0"/>
              <w:right w:val="single" w:color="000000" w:sz="8" w:space="0"/>
            </w:tcBorders>
            <w:vAlign w:val="center"/>
          </w:tcPr>
          <w:p w14:paraId="64D8D0F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对每个证照的用证量、制证量的近一年情况进行统计。</w:t>
            </w:r>
          </w:p>
        </w:tc>
      </w:tr>
      <w:tr w14:paraId="7B97CAF6">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79104FD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78</w:t>
            </w:r>
          </w:p>
        </w:tc>
        <w:tc>
          <w:tcPr>
            <w:tcW w:w="597" w:type="pct"/>
            <w:vMerge w:val="continue"/>
            <w:tcBorders>
              <w:top w:val="nil"/>
              <w:left w:val="nil"/>
              <w:bottom w:val="single" w:color="000000" w:sz="8" w:space="0"/>
              <w:right w:val="single" w:color="000000" w:sz="8" w:space="0"/>
            </w:tcBorders>
            <w:vAlign w:val="center"/>
          </w:tcPr>
          <w:p w14:paraId="17CD0431">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383AF80D">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数字服务-电子证照-月度报表</w:t>
            </w:r>
          </w:p>
        </w:tc>
        <w:tc>
          <w:tcPr>
            <w:tcW w:w="2537" w:type="pct"/>
            <w:tcBorders>
              <w:top w:val="nil"/>
              <w:left w:val="nil"/>
              <w:bottom w:val="single" w:color="000000" w:sz="8" w:space="0"/>
              <w:right w:val="single" w:color="000000" w:sz="8" w:space="0"/>
            </w:tcBorders>
            <w:vAlign w:val="center"/>
          </w:tcPr>
          <w:p w14:paraId="1E945A3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统计每月电子证照的各项信息，进行汇总展示，支持录入。</w:t>
            </w:r>
          </w:p>
        </w:tc>
      </w:tr>
      <w:tr w14:paraId="2C061C2C">
        <w:tblPrEx>
          <w:tblCellMar>
            <w:top w:w="0" w:type="dxa"/>
            <w:left w:w="108" w:type="dxa"/>
            <w:bottom w:w="0" w:type="dxa"/>
            <w:right w:w="108" w:type="dxa"/>
          </w:tblCellMar>
        </w:tblPrEx>
        <w:trPr>
          <w:trHeight w:val="340" w:hRule="atLeast"/>
        </w:trPr>
        <w:tc>
          <w:tcPr>
            <w:tcW w:w="395" w:type="pct"/>
            <w:tcBorders>
              <w:top w:val="nil"/>
              <w:left w:val="single" w:color="000000" w:sz="8" w:space="0"/>
              <w:bottom w:val="single" w:color="000000" w:sz="8" w:space="0"/>
              <w:right w:val="single" w:color="000000" w:sz="8" w:space="0"/>
            </w:tcBorders>
            <w:vAlign w:val="center"/>
          </w:tcPr>
          <w:p w14:paraId="476FF45F">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79</w:t>
            </w:r>
          </w:p>
        </w:tc>
        <w:tc>
          <w:tcPr>
            <w:tcW w:w="597" w:type="pct"/>
            <w:vMerge w:val="continue"/>
            <w:tcBorders>
              <w:top w:val="nil"/>
              <w:left w:val="nil"/>
              <w:bottom w:val="single" w:color="000000" w:sz="8" w:space="0"/>
              <w:right w:val="single" w:color="000000" w:sz="8" w:space="0"/>
            </w:tcBorders>
            <w:vAlign w:val="center"/>
          </w:tcPr>
          <w:p w14:paraId="678E207F">
            <w:pPr>
              <w:ind w:firstLine="440"/>
              <w:jc w:val="center"/>
              <w:rPr>
                <w:rFonts w:cs="宋体"/>
                <w:color w:val="000000"/>
                <w:sz w:val="22"/>
                <w:szCs w:val="22"/>
              </w:rPr>
            </w:pPr>
          </w:p>
        </w:tc>
        <w:tc>
          <w:tcPr>
            <w:tcW w:w="1469" w:type="pct"/>
            <w:tcBorders>
              <w:top w:val="nil"/>
              <w:left w:val="nil"/>
              <w:bottom w:val="single" w:color="000000" w:sz="8" w:space="0"/>
              <w:right w:val="single" w:color="000000" w:sz="8" w:space="0"/>
            </w:tcBorders>
            <w:vAlign w:val="center"/>
          </w:tcPr>
          <w:p w14:paraId="02E2C76A">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数字服务-线上短信提醒</w:t>
            </w:r>
          </w:p>
        </w:tc>
        <w:tc>
          <w:tcPr>
            <w:tcW w:w="2537" w:type="pct"/>
            <w:tcBorders>
              <w:top w:val="nil"/>
              <w:left w:val="nil"/>
              <w:bottom w:val="single" w:color="000000" w:sz="8" w:space="0"/>
              <w:right w:val="single" w:color="000000" w:sz="8" w:space="0"/>
            </w:tcBorders>
            <w:vAlign w:val="center"/>
          </w:tcPr>
          <w:p w14:paraId="4DA69CE4">
            <w:pPr>
              <w:widowControl/>
              <w:ind w:firstLine="0" w:firstLineChars="0"/>
              <w:jc w:val="center"/>
              <w:textAlignment w:val="center"/>
              <w:rPr>
                <w:rFonts w:cs="宋体"/>
                <w:color w:val="000000"/>
                <w:sz w:val="22"/>
                <w:szCs w:val="22"/>
              </w:rPr>
            </w:pPr>
            <w:r>
              <w:rPr>
                <w:rFonts w:hint="eastAsia" w:cs="宋体"/>
                <w:color w:val="000000"/>
                <w:kern w:val="0"/>
                <w:sz w:val="22"/>
                <w:szCs w:val="22"/>
                <w:lang w:bidi="ar"/>
              </w:rPr>
              <w:t>自动发送提醒督办及差评回复短信并统计。</w:t>
            </w:r>
          </w:p>
        </w:tc>
      </w:tr>
    </w:tbl>
    <w:p w14:paraId="0ED1A96B">
      <w:pPr>
        <w:ind w:firstLine="482"/>
        <w:rPr>
          <w:b/>
        </w:rPr>
      </w:pPr>
    </w:p>
    <w:p w14:paraId="288F837C">
      <w:pPr>
        <w:pStyle w:val="2"/>
        <w:rPr>
          <w:rFonts w:ascii="国标黑体" w:hAnsi="国标黑体" w:eastAsia="国标黑体" w:cs="国标黑体"/>
          <w:vanish/>
          <w:color w:val="000000"/>
          <w:sz w:val="28"/>
          <w:szCs w:val="20"/>
        </w:rPr>
      </w:pPr>
      <w:bookmarkStart w:id="19" w:name="_Toc63785503"/>
      <w:r>
        <w:rPr>
          <w:rFonts w:hint="eastAsia" w:ascii="国标黑体" w:hAnsi="国标黑体" w:eastAsia="国标黑体" w:cs="国标黑体"/>
        </w:rPr>
        <w:t>其他工作要求</w:t>
      </w:r>
      <w:bookmarkEnd w:id="19"/>
      <w:bookmarkStart w:id="20" w:name="_Toc63785439"/>
      <w:bookmarkEnd w:id="20"/>
      <w:bookmarkStart w:id="21" w:name="_Toc62209488"/>
      <w:bookmarkEnd w:id="21"/>
      <w:bookmarkStart w:id="22" w:name="_Toc61968111"/>
      <w:bookmarkEnd w:id="22"/>
      <w:bookmarkStart w:id="23" w:name="_Toc63151871"/>
      <w:bookmarkEnd w:id="23"/>
      <w:bookmarkStart w:id="24" w:name="_Toc63585480"/>
      <w:bookmarkEnd w:id="24"/>
      <w:bookmarkStart w:id="25" w:name="_Toc63762370"/>
      <w:bookmarkEnd w:id="25"/>
      <w:bookmarkStart w:id="26" w:name="_Toc62219358"/>
      <w:bookmarkEnd w:id="26"/>
      <w:bookmarkStart w:id="27" w:name="_Toc63785504"/>
      <w:bookmarkEnd w:id="27"/>
    </w:p>
    <w:p w14:paraId="5E87E7C6">
      <w:pPr>
        <w:pStyle w:val="3"/>
        <w:spacing w:before="0"/>
        <w:ind w:left="1614" w:leftChars="200" w:hanging="1134"/>
      </w:pPr>
      <w:bookmarkStart w:id="28" w:name="_Toc63785505"/>
      <w:r>
        <w:rPr>
          <w:rFonts w:hint="eastAsia"/>
        </w:rPr>
        <w:t>售后服务要求</w:t>
      </w:r>
      <w:bookmarkEnd w:id="28"/>
    </w:p>
    <w:p w14:paraId="21BABA43">
      <w:pPr>
        <w:pStyle w:val="106"/>
        <w:snapToGrid w:val="0"/>
        <w:spacing w:line="360" w:lineRule="auto"/>
        <w:ind w:firstLine="480"/>
        <w:rPr>
          <w:rFonts w:ascii="宋体" w:hAnsi="宋体"/>
          <w:sz w:val="24"/>
          <w:szCs w:val="24"/>
        </w:rPr>
      </w:pPr>
      <w:r>
        <w:rPr>
          <w:rFonts w:hint="eastAsia" w:ascii="宋体" w:hAnsi="宋体"/>
          <w:sz w:val="24"/>
          <w:szCs w:val="24"/>
        </w:rPr>
        <w:t>本项目质保期内提供</w:t>
      </w:r>
      <w:r>
        <w:rPr>
          <w:rFonts w:ascii="宋体" w:hAnsi="宋体"/>
          <w:sz w:val="24"/>
          <w:szCs w:val="24"/>
        </w:rPr>
        <w:t>7*24小时免费技术支持</w:t>
      </w:r>
      <w:r>
        <w:rPr>
          <w:rFonts w:hint="eastAsia" w:ascii="宋体" w:hAnsi="宋体"/>
          <w:sz w:val="24"/>
          <w:szCs w:val="24"/>
        </w:rPr>
        <w:t>和售后服务。</w:t>
      </w:r>
    </w:p>
    <w:p w14:paraId="450942F5">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2D1D1266">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在质量保证期内，供应商负责信息系统的运行维护工作，确保信息系统安全、稳定、可靠地运行。本项目涉及的运行维护工作范围为上海市城市管理综合信息系统及子系统。</w:t>
      </w:r>
    </w:p>
    <w:p w14:paraId="1AFD8A2E">
      <w:pPr>
        <w:pStyle w:val="3"/>
        <w:spacing w:before="0"/>
        <w:ind w:left="1614" w:leftChars="200" w:hanging="1134"/>
      </w:pPr>
      <w:bookmarkStart w:id="29" w:name="_Toc63785506"/>
      <w:r>
        <w:rPr>
          <w:rFonts w:hint="eastAsia"/>
        </w:rPr>
        <w:t>应急响应要求</w:t>
      </w:r>
      <w:bookmarkEnd w:id="29"/>
    </w:p>
    <w:p w14:paraId="4FB04D49">
      <w:pPr>
        <w:spacing w:line="600" w:lineRule="exact"/>
      </w:pPr>
      <w:r>
        <w:rPr>
          <w:rFonts w:hint="eastAsia"/>
        </w:rPr>
        <w:t>供应商对系统故障能够实时响应，若系统发生故障，接到通知后30分钟之内响应，专业工程师2小时内到达现场。特殊故障与采购人沟通协商后，按照协商的方式制定解决方案并进行处理。</w:t>
      </w:r>
    </w:p>
    <w:p w14:paraId="202FCC25">
      <w:pPr>
        <w:spacing w:line="600" w:lineRule="exact"/>
      </w:pPr>
      <w:r>
        <w:rPr>
          <w:rFonts w:hint="eastAsia"/>
        </w:rPr>
        <w:t>具体故障级别及对应的应急响应要求如下：</w:t>
      </w:r>
    </w:p>
    <w:p w14:paraId="72411552">
      <w:pPr>
        <w:spacing w:line="600" w:lineRule="exact"/>
      </w:pPr>
      <w:r>
        <w:rPr>
          <w:rFonts w:hint="eastAsia"/>
        </w:rPr>
        <w:t>一级故障：在1小时内确诊，总故障解决时间不超过4小时。</w:t>
      </w:r>
    </w:p>
    <w:p w14:paraId="5F62FCB4">
      <w:pPr>
        <w:spacing w:line="600" w:lineRule="exact"/>
      </w:pPr>
      <w:r>
        <w:rPr>
          <w:rFonts w:hint="eastAsia"/>
        </w:rPr>
        <w:t>二级故障：在2小时内确诊，并在4小时内由专家到达现场确诊并解决，总故障解决时间不超过8小时；</w:t>
      </w:r>
    </w:p>
    <w:p w14:paraId="331048D3">
      <w:pPr>
        <w:spacing w:line="600" w:lineRule="exact"/>
      </w:pPr>
      <w:r>
        <w:rPr>
          <w:rFonts w:hint="eastAsia"/>
        </w:rPr>
        <w:t>三、四级故障：在4小时内确诊故障，总故障解决时间不超过16小时。</w:t>
      </w:r>
    </w:p>
    <w:p w14:paraId="4655B595">
      <w:pPr>
        <w:spacing w:line="600" w:lineRule="exact"/>
      </w:pPr>
      <w:r>
        <w:rPr>
          <w:rFonts w:hint="eastAsia"/>
        </w:rPr>
        <w:t>依据故障时间及故障范围划分故障级别，故障级别分为四级，依次为Ⅰ级（紧急）、Ⅱ级（严重）、Ⅲ级（较大）和Ⅳ级（一般），分别定义如下：</w:t>
      </w:r>
    </w:p>
    <w:p w14:paraId="41A3E6AE">
      <w:pPr>
        <w:spacing w:line="600" w:lineRule="exact"/>
      </w:pPr>
      <w:r>
        <w:rPr>
          <w:rFonts w:hint="eastAsia"/>
        </w:rPr>
        <w:t>Ⅰ级（紧急）故障为工作时间段（8:30——17:30）内大范围故障；</w:t>
      </w:r>
    </w:p>
    <w:p w14:paraId="3A2C6A73">
      <w:pPr>
        <w:spacing w:line="600" w:lineRule="exact"/>
      </w:pPr>
      <w:r>
        <w:rPr>
          <w:rFonts w:hint="eastAsia"/>
        </w:rPr>
        <w:t>Ⅱ级（严重）故障为非工作时间段（17:30——次日8:30）内大范围故障；</w:t>
      </w:r>
    </w:p>
    <w:p w14:paraId="2D9C9C19">
      <w:pPr>
        <w:spacing w:line="600" w:lineRule="exact"/>
      </w:pPr>
      <w:r>
        <w:rPr>
          <w:rFonts w:hint="eastAsia"/>
        </w:rPr>
        <w:t>Ⅲ级（较大）故障为工作时间段（8:30——17:30）内小范围故障；</w:t>
      </w:r>
    </w:p>
    <w:p w14:paraId="6746F1A6">
      <w:pPr>
        <w:spacing w:line="600" w:lineRule="exact"/>
      </w:pPr>
      <w:r>
        <w:rPr>
          <w:rFonts w:hint="eastAsia"/>
        </w:rPr>
        <w:t>Ⅳ级（一般）故障为非工作时间段（17:30——次日8:30）内小范围故障；</w:t>
      </w:r>
    </w:p>
    <w:p w14:paraId="4EF7E728">
      <w:pPr>
        <w:pStyle w:val="3"/>
        <w:spacing w:before="0"/>
        <w:ind w:left="1614" w:leftChars="200" w:hanging="1134"/>
      </w:pPr>
      <w:r>
        <w:rPr>
          <w:rFonts w:hint="eastAsia"/>
        </w:rPr>
        <w:t>网络与数据安全</w:t>
      </w:r>
    </w:p>
    <w:p w14:paraId="7A9840A7">
      <w:pPr>
        <w:pStyle w:val="106"/>
        <w:snapToGrid w:val="0"/>
        <w:spacing w:line="360" w:lineRule="auto"/>
        <w:ind w:firstLine="480"/>
      </w:pPr>
      <w:r>
        <w:rPr>
          <w:rFonts w:hint="eastAsia" w:ascii="宋体" w:hAnsi="宋体"/>
          <w:sz w:val="24"/>
          <w:szCs w:val="24"/>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14:paraId="078D3C2D">
      <w:pPr>
        <w:pStyle w:val="106"/>
        <w:snapToGrid w:val="0"/>
        <w:spacing w:line="360" w:lineRule="auto"/>
        <w:ind w:firstLine="480"/>
      </w:pPr>
      <w:r>
        <w:rPr>
          <w:rFonts w:hint="eastAsia" w:ascii="宋体" w:hAnsi="宋体"/>
          <w:sz w:val="24"/>
          <w:szCs w:val="24"/>
        </w:rPr>
        <w:t>(2)供应商应配合采购人开展相关安全制度和规范的制定，并根据项目实际，制定项目实施过程安全管理方案。</w:t>
      </w:r>
    </w:p>
    <w:p w14:paraId="0E27DEB7">
      <w:pPr>
        <w:pStyle w:val="106"/>
        <w:snapToGrid w:val="0"/>
        <w:spacing w:line="360" w:lineRule="auto"/>
        <w:ind w:firstLine="480"/>
      </w:pPr>
      <w:r>
        <w:rPr>
          <w:rFonts w:hint="eastAsia" w:ascii="宋体" w:hAnsi="宋体"/>
          <w:sz w:val="24"/>
          <w:szCs w:val="24"/>
        </w:rPr>
        <w:t>(3)供应商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14:paraId="686EBBB0">
      <w:pPr>
        <w:pStyle w:val="106"/>
        <w:snapToGrid w:val="0"/>
        <w:spacing w:line="360" w:lineRule="auto"/>
        <w:ind w:firstLine="480"/>
      </w:pPr>
      <w:r>
        <w:rPr>
          <w:rFonts w:hint="eastAsia" w:ascii="宋体" w:hAnsi="宋体"/>
          <w:sz w:val="24"/>
          <w:szCs w:val="24"/>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14:paraId="3A915244">
      <w:pPr>
        <w:pStyle w:val="106"/>
        <w:snapToGrid w:val="0"/>
        <w:spacing w:line="360" w:lineRule="auto"/>
        <w:ind w:firstLine="480"/>
      </w:pPr>
      <w:r>
        <w:rPr>
          <w:rFonts w:hint="eastAsia" w:ascii="宋体" w:hAnsi="宋体"/>
          <w:sz w:val="24"/>
          <w:szCs w:val="24"/>
        </w:rPr>
        <w:t>(5)供应商应在项目实施过程中，按照数据差异化安全防护策略，根据系统需要采取数据加密、数据访问控制、日志记录、流转监测等防护能力及相关管理流程，切实保障数据安全。</w:t>
      </w:r>
    </w:p>
    <w:p w14:paraId="789CF2B0">
      <w:pPr>
        <w:pStyle w:val="106"/>
        <w:snapToGrid w:val="0"/>
        <w:spacing w:line="360" w:lineRule="auto"/>
        <w:ind w:firstLine="480"/>
      </w:pPr>
      <w:r>
        <w:rPr>
          <w:rFonts w:hint="eastAsia" w:ascii="宋体" w:hAnsi="宋体"/>
          <w:sz w:val="24"/>
          <w:szCs w:val="24"/>
        </w:rPr>
        <w:t>(6)供应商应按照采购人场地及人员安全管理制度，加强人员管理，配合采购人落实人员背调、入离场、终端管理、网络限制、数据权限最小化等管控措施。</w:t>
      </w:r>
    </w:p>
    <w:p w14:paraId="2EF66C1B">
      <w:pPr>
        <w:pStyle w:val="106"/>
        <w:snapToGrid w:val="0"/>
        <w:spacing w:line="360" w:lineRule="auto"/>
        <w:ind w:firstLine="480"/>
      </w:pPr>
      <w:r>
        <w:rPr>
          <w:rFonts w:hint="eastAsia" w:ascii="宋体" w:hAnsi="宋体"/>
          <w:sz w:val="24"/>
          <w:szCs w:val="24"/>
        </w:rPr>
        <w:t>(7)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14:paraId="7720EBC3">
      <w:pPr>
        <w:pStyle w:val="106"/>
        <w:snapToGrid w:val="0"/>
        <w:spacing w:line="360" w:lineRule="auto"/>
        <w:ind w:firstLine="480"/>
        <w:rPr>
          <w:highlight w:val="yellow"/>
        </w:rPr>
      </w:pPr>
      <w:r>
        <w:rPr>
          <w:rFonts w:hint="eastAsia" w:ascii="宋体" w:hAnsi="宋体"/>
          <w:sz w:val="24"/>
          <w:szCs w:val="24"/>
        </w:rPr>
        <w:t>(8)供应商应在系统免维期内承担系统安全运维管理责任，落实安全管理保障措施，包括但不限于制度修订、风险排查、应急响应、漏洞修复、重保等工作。</w:t>
      </w:r>
    </w:p>
    <w:p w14:paraId="4E433743">
      <w:pPr>
        <w:pStyle w:val="3"/>
        <w:spacing w:before="0"/>
        <w:ind w:left="1614" w:leftChars="200" w:hanging="1134"/>
      </w:pPr>
      <w:bookmarkStart w:id="30" w:name="_Toc63785507"/>
      <w:r>
        <w:rPr>
          <w:rFonts w:hint="eastAsia"/>
        </w:rPr>
        <w:t>培训要求</w:t>
      </w:r>
      <w:bookmarkEnd w:id="30"/>
    </w:p>
    <w:p w14:paraId="0A478AE5">
      <w:pPr>
        <w:pStyle w:val="106"/>
        <w:snapToGrid w:val="0"/>
        <w:spacing w:line="360" w:lineRule="auto"/>
        <w:ind w:firstLine="480"/>
      </w:pPr>
      <w:r>
        <w:rPr>
          <w:rFonts w:hint="eastAsia" w:ascii="宋体" w:hAnsi="宋体"/>
          <w:sz w:val="24"/>
          <w:szCs w:val="24"/>
        </w:rPr>
        <w:t>对系统使用单位提供业务操作培训，应提供详细培训方案。</w:t>
      </w:r>
    </w:p>
    <w:p w14:paraId="6825749B">
      <w:pPr>
        <w:pStyle w:val="106"/>
        <w:snapToGrid w:val="0"/>
        <w:spacing w:line="360" w:lineRule="auto"/>
        <w:ind w:firstLine="480"/>
      </w:pPr>
      <w:r>
        <w:rPr>
          <w:rFonts w:hint="eastAsia" w:ascii="宋体" w:hAnsi="宋体"/>
          <w:sz w:val="24"/>
          <w:szCs w:val="24"/>
        </w:rPr>
        <w:t>(1)自</w:t>
      </w:r>
      <w:r>
        <w:rPr>
          <w:rFonts w:hint="eastAsia" w:ascii="宋体" w:hAnsi="宋体"/>
          <w:sz w:val="24"/>
          <w:szCs w:val="24"/>
          <w:lang w:eastAsia="zh-CN"/>
        </w:rPr>
        <w:t>系统验收通过之日</w:t>
      </w:r>
      <w:r>
        <w:rPr>
          <w:rFonts w:hint="eastAsia" w:ascii="宋体" w:hAnsi="宋体"/>
          <w:sz w:val="24"/>
          <w:szCs w:val="24"/>
        </w:rPr>
        <w:t>起12个月内，提供2次与项目相关的必要培训。</w:t>
      </w:r>
    </w:p>
    <w:p w14:paraId="2A6AA234">
      <w:pPr>
        <w:pStyle w:val="106"/>
        <w:snapToGrid w:val="0"/>
        <w:spacing w:line="360" w:lineRule="auto"/>
        <w:ind w:firstLine="480"/>
      </w:pPr>
      <w:r>
        <w:rPr>
          <w:rFonts w:hint="eastAsia" w:ascii="宋体" w:hAnsi="宋体"/>
          <w:sz w:val="24"/>
          <w:szCs w:val="24"/>
        </w:rPr>
        <w:t>(2)供应商需要开展分层次的人员培训工作，每次培训后应对参加培训人员进行测试，评估培训成果。培训应具有培训教材、培训环境和高水平的培训讲师。</w:t>
      </w:r>
    </w:p>
    <w:p w14:paraId="47454748">
      <w:pPr>
        <w:pStyle w:val="106"/>
        <w:snapToGrid w:val="0"/>
        <w:spacing w:line="360" w:lineRule="auto"/>
        <w:ind w:firstLine="480"/>
      </w:pPr>
      <w:r>
        <w:rPr>
          <w:rFonts w:hint="eastAsia" w:ascii="宋体" w:hAnsi="宋体"/>
          <w:sz w:val="24"/>
          <w:szCs w:val="24"/>
        </w:rPr>
        <w:t>(3)供应商应提供一般用户的基础操作培训和部门信息管理员的日常应用维护的培训，确保用户对象能够掌握对应的操作技能。</w:t>
      </w:r>
    </w:p>
    <w:p w14:paraId="70F7C431">
      <w:pPr>
        <w:pStyle w:val="3"/>
        <w:spacing w:before="0"/>
        <w:ind w:left="1614" w:leftChars="200" w:hanging="1134"/>
      </w:pPr>
      <w:bookmarkStart w:id="31" w:name="_Toc63785508"/>
      <w:r>
        <w:rPr>
          <w:rFonts w:hint="eastAsia"/>
        </w:rPr>
        <w:t>验收要求</w:t>
      </w:r>
      <w:bookmarkEnd w:id="31"/>
    </w:p>
    <w:p w14:paraId="4AE77D85">
      <w:pPr>
        <w:pStyle w:val="106"/>
        <w:snapToGrid w:val="0"/>
        <w:spacing w:line="360" w:lineRule="auto"/>
        <w:ind w:firstLine="480"/>
        <w:rPr>
          <w:szCs w:val="24"/>
        </w:rPr>
      </w:pPr>
      <w:r>
        <w:rPr>
          <w:rFonts w:hint="eastAsia" w:ascii="宋体" w:hAnsi="宋体"/>
          <w:sz w:val="24"/>
          <w:szCs w:val="24"/>
        </w:rPr>
        <w:t>本项目按下述方式开展验收。</w:t>
      </w:r>
    </w:p>
    <w:p w14:paraId="522C54C5">
      <w:pPr>
        <w:pStyle w:val="106"/>
        <w:snapToGrid w:val="0"/>
        <w:spacing w:line="360" w:lineRule="auto"/>
        <w:ind w:firstLine="480"/>
        <w:rPr>
          <w:szCs w:val="24"/>
        </w:rPr>
      </w:pPr>
      <w:r>
        <w:rPr>
          <w:rFonts w:hint="eastAsia" w:ascii="宋体" w:hAnsi="宋体"/>
          <w:sz w:val="24"/>
          <w:szCs w:val="24"/>
        </w:rPr>
        <w:t>（1）验收分初验和终验。</w:t>
      </w:r>
    </w:p>
    <w:p w14:paraId="344765E8">
      <w:pPr>
        <w:pStyle w:val="106"/>
        <w:snapToGrid w:val="0"/>
        <w:spacing w:line="360" w:lineRule="auto"/>
        <w:ind w:firstLine="480"/>
        <w:rPr>
          <w:szCs w:val="24"/>
        </w:rPr>
      </w:pPr>
      <w:r>
        <w:rPr>
          <w:rFonts w:hint="eastAsia" w:ascii="宋体" w:hAnsi="宋体"/>
          <w:sz w:val="24"/>
          <w:szCs w:val="24"/>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ascii="宋体" w:hAnsi="宋体"/>
          <w:sz w:val="24"/>
          <w:szCs w:val="24"/>
          <w:lang w:eastAsia="zh-CN"/>
        </w:rPr>
        <w:t>采购人</w:t>
      </w:r>
      <w:r>
        <w:rPr>
          <w:rFonts w:hint="eastAsia" w:ascii="宋体" w:hAnsi="宋体"/>
          <w:sz w:val="24"/>
          <w:szCs w:val="24"/>
        </w:rPr>
        <w:t>递交初验通知书。</w:t>
      </w:r>
      <w:r>
        <w:rPr>
          <w:rFonts w:hint="eastAsia" w:ascii="宋体" w:hAnsi="宋体"/>
          <w:sz w:val="24"/>
          <w:szCs w:val="24"/>
          <w:lang w:eastAsia="zh-CN"/>
        </w:rPr>
        <w:t>采购人</w:t>
      </w:r>
      <w:r>
        <w:rPr>
          <w:rFonts w:hint="eastAsia" w:ascii="宋体" w:hAnsi="宋体"/>
          <w:sz w:val="24"/>
          <w:szCs w:val="24"/>
        </w:rPr>
        <w:t>应当在接到通知后的5个工作日内确定初验的具体日期，由双方按照本项目的约定完成本项目的初验。</w:t>
      </w:r>
      <w:r>
        <w:rPr>
          <w:rFonts w:hint="eastAsia" w:ascii="宋体" w:hAnsi="宋体"/>
          <w:sz w:val="24"/>
          <w:szCs w:val="24"/>
          <w:lang w:eastAsia="zh-CN"/>
        </w:rPr>
        <w:t>采购人</w:t>
      </w:r>
      <w:r>
        <w:rPr>
          <w:rFonts w:hint="eastAsia" w:ascii="宋体" w:hAnsi="宋体"/>
          <w:sz w:val="24"/>
          <w:szCs w:val="24"/>
        </w:rPr>
        <w:t>有权委托第三方检测机构进行验收，对此供应商应当配合。</w:t>
      </w:r>
    </w:p>
    <w:p w14:paraId="59B7F42C">
      <w:pPr>
        <w:pStyle w:val="106"/>
        <w:snapToGrid w:val="0"/>
        <w:spacing w:line="360" w:lineRule="auto"/>
        <w:ind w:firstLine="480"/>
        <w:rPr>
          <w:szCs w:val="24"/>
        </w:rPr>
      </w:pPr>
      <w:r>
        <w:rPr>
          <w:rFonts w:hint="eastAsia" w:ascii="宋体" w:hAnsi="宋体"/>
          <w:sz w:val="24"/>
          <w:szCs w:val="24"/>
        </w:rPr>
        <w:t>（3）初验时，供应商须提供软件文档包括《用户需求说明书》、《系统概要设计说明书》、《系统详细设计说明书》、《三方功能需求确认单》、《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ascii="宋体" w:hAnsi="宋体"/>
          <w:sz w:val="24"/>
          <w:szCs w:val="24"/>
          <w:lang w:eastAsia="zh-CN"/>
        </w:rPr>
        <w:t>采购人</w:t>
      </w:r>
      <w:r>
        <w:rPr>
          <w:rFonts w:hint="eastAsia" w:ascii="宋体" w:hAnsi="宋体"/>
          <w:sz w:val="24"/>
          <w:szCs w:val="24"/>
        </w:rPr>
        <w:t>应向供应商出具书面报告，陈述需要改进的缺陷。供应商应立即严格依照</w:t>
      </w:r>
      <w:r>
        <w:rPr>
          <w:rFonts w:hint="eastAsia" w:ascii="宋体" w:hAnsi="宋体"/>
          <w:sz w:val="24"/>
          <w:szCs w:val="24"/>
          <w:lang w:eastAsia="zh-CN"/>
        </w:rPr>
        <w:t>采购人</w:t>
      </w:r>
      <w:r>
        <w:rPr>
          <w:rFonts w:hint="eastAsia" w:ascii="宋体" w:hAnsi="宋体"/>
          <w:sz w:val="24"/>
          <w:szCs w:val="24"/>
        </w:rPr>
        <w:t>的书面报告中的要求改进缺陷，并再次进行初验。</w:t>
      </w:r>
    </w:p>
    <w:p w14:paraId="7092A20E">
      <w:pPr>
        <w:pStyle w:val="106"/>
        <w:snapToGrid w:val="0"/>
        <w:spacing w:line="360" w:lineRule="auto"/>
        <w:ind w:firstLine="480"/>
        <w:rPr>
          <w:szCs w:val="24"/>
        </w:rPr>
      </w:pPr>
      <w:r>
        <w:rPr>
          <w:rFonts w:hint="eastAsia" w:ascii="宋体" w:hAnsi="宋体"/>
          <w:sz w:val="24"/>
          <w:szCs w:val="24"/>
        </w:rPr>
        <w:t>（4）自初验通过之日起，</w:t>
      </w:r>
      <w:r>
        <w:rPr>
          <w:rFonts w:hint="eastAsia" w:ascii="宋体" w:hAnsi="宋体"/>
          <w:sz w:val="24"/>
          <w:szCs w:val="24"/>
          <w:lang w:eastAsia="zh-CN"/>
        </w:rPr>
        <w:t>采购人</w:t>
      </w:r>
      <w:r>
        <w:rPr>
          <w:rFonts w:hint="eastAsia" w:ascii="宋体" w:hAnsi="宋体"/>
          <w:sz w:val="24"/>
          <w:szCs w:val="24"/>
        </w:rPr>
        <w:t>享有供应商免费提供的xx天的信息系统试运行现场驻场服务期。该期间内，供应商应当按照</w:t>
      </w:r>
      <w:r>
        <w:rPr>
          <w:rFonts w:hint="eastAsia" w:ascii="宋体" w:hAnsi="宋体"/>
          <w:sz w:val="24"/>
          <w:szCs w:val="24"/>
          <w:lang w:eastAsia="zh-CN"/>
        </w:rPr>
        <w:t>采购人</w:t>
      </w:r>
      <w:r>
        <w:rPr>
          <w:rFonts w:hint="eastAsia" w:ascii="宋体" w:hAnsi="宋体"/>
          <w:sz w:val="24"/>
          <w:szCs w:val="24"/>
        </w:rPr>
        <w:t>的要求提供现场技术支持服务，解决信息系统试运行期间可能出现的各类问题，或进一步提高与完善信息系统运行水平。</w:t>
      </w:r>
    </w:p>
    <w:p w14:paraId="3EFE937E">
      <w:pPr>
        <w:pStyle w:val="106"/>
        <w:snapToGrid w:val="0"/>
        <w:spacing w:line="360" w:lineRule="auto"/>
        <w:ind w:firstLine="480"/>
        <w:rPr>
          <w:szCs w:val="24"/>
        </w:rPr>
      </w:pPr>
      <w:r>
        <w:rPr>
          <w:rFonts w:hint="eastAsia" w:ascii="宋体" w:hAnsi="宋体"/>
          <w:sz w:val="24"/>
          <w:szCs w:val="24"/>
        </w:rPr>
        <w:t>（5）初验通过且信息系统试运行期已经达到本项目约定的时间，经供应商确认信息系统具备正常运行条件，且信息系统通过运行测试，供应商应以书面形式通知</w:t>
      </w:r>
      <w:r>
        <w:rPr>
          <w:rFonts w:hint="eastAsia" w:ascii="宋体" w:hAnsi="宋体"/>
          <w:sz w:val="24"/>
          <w:szCs w:val="24"/>
          <w:lang w:eastAsia="zh-CN"/>
        </w:rPr>
        <w:t>采购人</w:t>
      </w:r>
      <w:r>
        <w:rPr>
          <w:rFonts w:hint="eastAsia" w:ascii="宋体" w:hAnsi="宋体"/>
          <w:sz w:val="24"/>
          <w:szCs w:val="24"/>
        </w:rPr>
        <w:t>信息系统已准备就绪等待终验。</w:t>
      </w:r>
      <w:r>
        <w:rPr>
          <w:rFonts w:hint="eastAsia" w:ascii="宋体" w:hAnsi="宋体"/>
          <w:sz w:val="24"/>
          <w:szCs w:val="24"/>
          <w:lang w:eastAsia="zh-CN"/>
        </w:rPr>
        <w:t>采购人</w:t>
      </w:r>
      <w:r>
        <w:rPr>
          <w:rFonts w:hint="eastAsia" w:ascii="宋体" w:hAnsi="宋体"/>
          <w:sz w:val="24"/>
          <w:szCs w:val="24"/>
        </w:rPr>
        <w:t>在收到终验通知后的15个工作日内发起组织专家验收会。</w:t>
      </w:r>
    </w:p>
    <w:p w14:paraId="12E385A2">
      <w:pPr>
        <w:pStyle w:val="106"/>
        <w:snapToGrid w:val="0"/>
        <w:spacing w:line="360" w:lineRule="auto"/>
        <w:ind w:firstLine="480"/>
        <w:rPr>
          <w:szCs w:val="24"/>
        </w:rPr>
      </w:pPr>
      <w:r>
        <w:rPr>
          <w:rFonts w:hint="eastAsia" w:ascii="宋体" w:hAnsi="宋体"/>
          <w:sz w:val="24"/>
          <w:szCs w:val="24"/>
        </w:rPr>
        <w:t>（6）如果属于供应商原因致使本项目未能通过终验，供应商应当排除缺陷，直至本项目完全符合验收标准，由上述情形而产生的相关费用应由供应商自行承担。</w:t>
      </w:r>
    </w:p>
    <w:p w14:paraId="605DA6E8">
      <w:pPr>
        <w:pStyle w:val="106"/>
        <w:snapToGrid w:val="0"/>
        <w:spacing w:line="360" w:lineRule="auto"/>
        <w:ind w:firstLine="480"/>
        <w:rPr>
          <w:szCs w:val="24"/>
        </w:rPr>
      </w:pPr>
      <w:r>
        <w:rPr>
          <w:rFonts w:hint="eastAsia" w:ascii="宋体" w:hAnsi="宋体"/>
          <w:sz w:val="24"/>
          <w:szCs w:val="24"/>
        </w:rPr>
        <w:t>（7）如果由于</w:t>
      </w:r>
      <w:r>
        <w:rPr>
          <w:rFonts w:hint="eastAsia" w:ascii="宋体" w:hAnsi="宋体"/>
          <w:sz w:val="24"/>
          <w:szCs w:val="24"/>
          <w:lang w:eastAsia="zh-CN"/>
        </w:rPr>
        <w:t>采购人</w:t>
      </w:r>
      <w:r>
        <w:rPr>
          <w:rFonts w:hint="eastAsia" w:ascii="宋体" w:hAnsi="宋体"/>
          <w:sz w:val="24"/>
          <w:szCs w:val="24"/>
        </w:rPr>
        <w:t>原因导致本项目在终验通过前出现故障或问题，供应商应及时配合排除该方面的故障或问题。</w:t>
      </w:r>
    </w:p>
    <w:p w14:paraId="3275A4B2">
      <w:pPr>
        <w:pStyle w:val="106"/>
        <w:snapToGrid w:val="0"/>
        <w:spacing w:line="360" w:lineRule="auto"/>
        <w:ind w:firstLine="480"/>
        <w:rPr>
          <w:szCs w:val="24"/>
        </w:rPr>
      </w:pPr>
      <w:r>
        <w:rPr>
          <w:rFonts w:hint="eastAsia" w:ascii="宋体" w:hAnsi="宋体"/>
          <w:sz w:val="24"/>
          <w:szCs w:val="24"/>
        </w:rPr>
        <w:t>（8）如本项目连续3次验收未通过（含初验未通过或终验未通过），</w:t>
      </w:r>
      <w:r>
        <w:rPr>
          <w:rFonts w:hint="eastAsia" w:ascii="宋体" w:hAnsi="宋体"/>
          <w:sz w:val="24"/>
          <w:szCs w:val="24"/>
          <w:lang w:eastAsia="zh-CN"/>
        </w:rPr>
        <w:t>采购人</w:t>
      </w:r>
      <w:r>
        <w:rPr>
          <w:rFonts w:hint="eastAsia" w:ascii="宋体" w:hAnsi="宋体"/>
          <w:sz w:val="24"/>
          <w:szCs w:val="24"/>
        </w:rPr>
        <w:t>有权解除项目，并有权依照本项目约定的违约条款追究供应商的违约责任。</w:t>
      </w:r>
    </w:p>
    <w:p w14:paraId="63CB4121">
      <w:pPr>
        <w:pStyle w:val="3"/>
        <w:spacing w:before="0"/>
        <w:ind w:left="1614" w:leftChars="200" w:hanging="1134"/>
      </w:pPr>
      <w:bookmarkStart w:id="32" w:name="_Toc63785509"/>
      <w:r>
        <w:rPr>
          <w:rFonts w:hint="eastAsia"/>
        </w:rPr>
        <w:t>进度要求</w:t>
      </w:r>
      <w:bookmarkEnd w:id="32"/>
    </w:p>
    <w:p w14:paraId="33A9CC78">
      <w:pPr>
        <w:pStyle w:val="106"/>
        <w:snapToGrid w:val="0"/>
        <w:spacing w:line="360" w:lineRule="auto"/>
        <w:ind w:firstLine="480"/>
      </w:pPr>
      <w:r>
        <w:rPr>
          <w:rFonts w:hint="eastAsia" w:ascii="宋体" w:hAnsi="宋体"/>
          <w:sz w:val="24"/>
          <w:szCs w:val="24"/>
        </w:rPr>
        <w:t>供应商应根据建设内容，分阶段制定合理的时间进度，并且应根据</w:t>
      </w:r>
      <w:r>
        <w:rPr>
          <w:rFonts w:hint="eastAsia" w:ascii="宋体" w:hAnsi="宋体"/>
          <w:sz w:val="24"/>
          <w:szCs w:val="24"/>
          <w:lang w:eastAsia="zh-CN"/>
        </w:rPr>
        <w:t>采购人</w:t>
      </w:r>
      <w:r>
        <w:rPr>
          <w:rFonts w:hint="eastAsia" w:ascii="宋体" w:hAnsi="宋体"/>
          <w:sz w:val="24"/>
          <w:szCs w:val="24"/>
        </w:rPr>
        <w:t>要求进行调整和细化。</w:t>
      </w:r>
    </w:p>
    <w:p w14:paraId="2740904C">
      <w:pPr>
        <w:pStyle w:val="106"/>
        <w:snapToGrid w:val="0"/>
        <w:spacing w:line="360" w:lineRule="auto"/>
        <w:ind w:firstLine="480"/>
        <w:rPr>
          <w:rFonts w:ascii="宋体" w:hAnsi="宋体"/>
          <w:sz w:val="24"/>
          <w:szCs w:val="24"/>
        </w:rPr>
      </w:pPr>
      <w:r>
        <w:rPr>
          <w:rFonts w:hint="eastAsia" w:ascii="宋体" w:hAnsi="宋体"/>
          <w:sz w:val="24"/>
          <w:szCs w:val="24"/>
        </w:rPr>
        <w:t>总建设周期为</w:t>
      </w:r>
      <w:r>
        <w:rPr>
          <w:rFonts w:hint="eastAsia" w:ascii="宋体" w:hAnsi="宋体"/>
          <w:sz w:val="24"/>
          <w:szCs w:val="24"/>
          <w:lang w:val="en-US" w:eastAsia="zh-CN"/>
        </w:rPr>
        <w:t>6</w:t>
      </w:r>
      <w:r>
        <w:rPr>
          <w:rFonts w:hint="eastAsia" w:ascii="宋体" w:hAnsi="宋体"/>
          <w:sz w:val="24"/>
          <w:szCs w:val="24"/>
        </w:rPr>
        <w:t>个月，分为4个阶段。</w:t>
      </w:r>
    </w:p>
    <w:p w14:paraId="3723227C">
      <w:pPr>
        <w:pStyle w:val="106"/>
        <w:snapToGrid w:val="0"/>
        <w:spacing w:line="360" w:lineRule="auto"/>
        <w:ind w:firstLine="480"/>
        <w:rPr>
          <w:rFonts w:ascii="宋体" w:hAnsi="宋体"/>
          <w:sz w:val="24"/>
          <w:szCs w:val="24"/>
        </w:rPr>
      </w:pPr>
      <w:r>
        <w:rPr>
          <w:rFonts w:hint="eastAsia" w:ascii="宋体" w:hAnsi="宋体"/>
          <w:sz w:val="24"/>
          <w:szCs w:val="24"/>
        </w:rPr>
        <w:t>第一阶段为</w:t>
      </w:r>
      <w:r>
        <w:rPr>
          <w:rFonts w:hint="eastAsia" w:ascii="宋体" w:hAnsi="宋体"/>
          <w:sz w:val="24"/>
          <w:szCs w:val="24"/>
          <w:lang w:val="en-US" w:eastAsia="zh-CN"/>
        </w:rPr>
        <w:t>1</w:t>
      </w:r>
      <w:r>
        <w:rPr>
          <w:rFonts w:hint="eastAsia" w:ascii="宋体" w:hAnsi="宋体"/>
          <w:sz w:val="24"/>
          <w:szCs w:val="24"/>
        </w:rPr>
        <w:t>个月，完成需求调研及系统设计。</w:t>
      </w:r>
    </w:p>
    <w:p w14:paraId="41A6B21A">
      <w:pPr>
        <w:pStyle w:val="106"/>
        <w:snapToGrid w:val="0"/>
        <w:spacing w:line="360" w:lineRule="auto"/>
        <w:ind w:firstLine="480"/>
        <w:rPr>
          <w:rFonts w:ascii="宋体" w:hAnsi="宋体"/>
          <w:sz w:val="24"/>
          <w:szCs w:val="24"/>
        </w:rPr>
      </w:pPr>
      <w:r>
        <w:rPr>
          <w:rFonts w:hint="eastAsia" w:ascii="宋体" w:hAnsi="宋体"/>
          <w:sz w:val="24"/>
          <w:szCs w:val="24"/>
        </w:rPr>
        <w:t>第二阶段为</w:t>
      </w:r>
      <w:r>
        <w:rPr>
          <w:rFonts w:hint="eastAsia" w:ascii="宋体" w:hAnsi="宋体"/>
          <w:sz w:val="24"/>
          <w:szCs w:val="24"/>
          <w:lang w:val="en-US" w:eastAsia="zh-CN"/>
        </w:rPr>
        <w:t>3</w:t>
      </w:r>
      <w:r>
        <w:rPr>
          <w:rFonts w:hint="eastAsia" w:ascii="宋体" w:hAnsi="宋体"/>
          <w:sz w:val="24"/>
          <w:szCs w:val="24"/>
        </w:rPr>
        <w:t>个月，完成系统功能的开发建设</w:t>
      </w:r>
    </w:p>
    <w:p w14:paraId="5E883AC9">
      <w:pPr>
        <w:pStyle w:val="106"/>
        <w:snapToGrid w:val="0"/>
        <w:spacing w:line="360" w:lineRule="auto"/>
        <w:ind w:firstLine="480"/>
        <w:rPr>
          <w:rFonts w:ascii="宋体" w:hAnsi="宋体"/>
          <w:sz w:val="24"/>
          <w:szCs w:val="24"/>
        </w:rPr>
      </w:pPr>
      <w:r>
        <w:rPr>
          <w:rFonts w:hint="eastAsia" w:ascii="宋体" w:hAnsi="宋体"/>
          <w:sz w:val="24"/>
          <w:szCs w:val="24"/>
        </w:rPr>
        <w:t>第三阶段为1个月，完成系统的测试及试运行</w:t>
      </w:r>
    </w:p>
    <w:p w14:paraId="315F00C7">
      <w:pPr>
        <w:pStyle w:val="106"/>
        <w:snapToGrid w:val="0"/>
        <w:spacing w:line="360" w:lineRule="auto"/>
        <w:ind w:firstLine="480"/>
        <w:rPr>
          <w:rFonts w:ascii="宋体" w:hAnsi="宋体"/>
          <w:sz w:val="24"/>
          <w:szCs w:val="24"/>
        </w:rPr>
      </w:pPr>
      <w:r>
        <w:rPr>
          <w:rFonts w:hint="eastAsia" w:ascii="宋体" w:hAnsi="宋体"/>
          <w:sz w:val="24"/>
          <w:szCs w:val="24"/>
        </w:rPr>
        <w:t>第四阶段为1个月，完成系统的验收。</w:t>
      </w:r>
    </w:p>
    <w:p w14:paraId="58713022">
      <w:pPr>
        <w:pStyle w:val="3"/>
        <w:ind w:left="1614" w:leftChars="200" w:hanging="1134"/>
      </w:pPr>
      <w:r>
        <w:rPr>
          <w:rFonts w:hint="eastAsia"/>
        </w:rPr>
        <w:t>企业综合实力要求</w:t>
      </w:r>
    </w:p>
    <w:p w14:paraId="64D14858">
      <w:pPr>
        <w:pStyle w:val="106"/>
        <w:snapToGrid w:val="0"/>
        <w:spacing w:line="360" w:lineRule="auto"/>
        <w:ind w:firstLine="480"/>
        <w:rPr>
          <w:rFonts w:ascii="宋体" w:hAnsi="宋体"/>
          <w:sz w:val="24"/>
          <w:szCs w:val="24"/>
        </w:rPr>
      </w:pPr>
      <w:r>
        <w:rPr>
          <w:rFonts w:hint="eastAsia" w:ascii="宋体" w:hAnsi="宋体"/>
          <w:sz w:val="24"/>
          <w:szCs w:val="24"/>
        </w:rPr>
        <w:t>供应商具有与本项目需求相关的软件著作权证书，涉及城市信息模型（CIM）、地理信息系统（GIS）、城市管理的优先考虑。</w:t>
      </w:r>
    </w:p>
    <w:p w14:paraId="0DD34065">
      <w:pPr>
        <w:pStyle w:val="3"/>
        <w:spacing w:before="0"/>
        <w:ind w:left="1614" w:leftChars="200" w:hanging="1134"/>
      </w:pPr>
      <w:bookmarkStart w:id="33" w:name="_Toc63785510"/>
      <w:r>
        <w:rPr>
          <w:rFonts w:hint="eastAsia"/>
        </w:rPr>
        <w:t>项目团队及驻场人员要求</w:t>
      </w:r>
      <w:bookmarkEnd w:id="33"/>
    </w:p>
    <w:p w14:paraId="66F8547B">
      <w:pPr>
        <w:numPr>
          <w:ilvl w:val="0"/>
          <w:numId w:val="5"/>
        </w:numPr>
      </w:pPr>
      <w:r>
        <w:rPr>
          <w:rFonts w:hint="eastAsia"/>
        </w:rPr>
        <w:t>供应商</w:t>
      </w:r>
      <w:r>
        <w:t>须具有稳定的在职技术保障力量，能够提供及时的技术支援或服务，应针对本项目提供不少于</w:t>
      </w:r>
      <w:r>
        <w:rPr>
          <w:rFonts w:hint="eastAsia"/>
        </w:rPr>
        <w:t>10</w:t>
      </w:r>
      <w:r>
        <w:t>人的项目</w:t>
      </w:r>
      <w:r>
        <w:rPr>
          <w:rFonts w:hint="eastAsia"/>
        </w:rPr>
        <w:t>开发</w:t>
      </w:r>
      <w:r>
        <w:t>服务团队（包括项目经理、产品经理、技术负责人、研发等），</w:t>
      </w:r>
      <w:r>
        <w:rPr>
          <w:rFonts w:hint="eastAsia"/>
        </w:rPr>
        <w:t>响应供应商</w:t>
      </w:r>
      <w:r>
        <w:t>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767"/>
        <w:gridCol w:w="1060"/>
        <w:gridCol w:w="2408"/>
        <w:gridCol w:w="1757"/>
      </w:tblGrid>
      <w:tr w14:paraId="432C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54990C5">
            <w:pPr>
              <w:widowControl/>
              <w:spacing w:line="240" w:lineRule="auto"/>
              <w:ind w:firstLine="0" w:firstLineChars="0"/>
              <w:jc w:val="center"/>
              <w:rPr>
                <w:b/>
                <w:sz w:val="21"/>
                <w:szCs w:val="21"/>
              </w:rPr>
            </w:pPr>
            <w:r>
              <w:rPr>
                <w:rFonts w:hint="eastAsia"/>
                <w:b/>
                <w:sz w:val="21"/>
                <w:szCs w:val="21"/>
              </w:rPr>
              <w:t>角色</w:t>
            </w:r>
          </w:p>
        </w:tc>
        <w:tc>
          <w:tcPr>
            <w:tcW w:w="1767" w:type="dxa"/>
            <w:noWrap/>
            <w:vAlign w:val="center"/>
          </w:tcPr>
          <w:p w14:paraId="0A6512D1">
            <w:pPr>
              <w:widowControl/>
              <w:spacing w:line="240" w:lineRule="auto"/>
              <w:ind w:firstLine="0" w:firstLineChars="0"/>
              <w:jc w:val="center"/>
              <w:rPr>
                <w:b/>
                <w:sz w:val="21"/>
                <w:szCs w:val="21"/>
              </w:rPr>
            </w:pPr>
            <w:r>
              <w:rPr>
                <w:rFonts w:hint="eastAsia"/>
                <w:b/>
                <w:sz w:val="21"/>
                <w:szCs w:val="21"/>
              </w:rPr>
              <w:t>主要职责</w:t>
            </w:r>
          </w:p>
        </w:tc>
        <w:tc>
          <w:tcPr>
            <w:tcW w:w="0" w:type="auto"/>
            <w:noWrap/>
            <w:vAlign w:val="center"/>
          </w:tcPr>
          <w:p w14:paraId="6BAB9BD4">
            <w:pPr>
              <w:widowControl/>
              <w:spacing w:line="240" w:lineRule="auto"/>
              <w:ind w:firstLine="0" w:firstLineChars="0"/>
              <w:jc w:val="center"/>
              <w:rPr>
                <w:b/>
                <w:sz w:val="21"/>
                <w:szCs w:val="21"/>
              </w:rPr>
            </w:pPr>
            <w:r>
              <w:rPr>
                <w:rFonts w:hint="eastAsia"/>
                <w:b/>
                <w:sz w:val="21"/>
                <w:szCs w:val="21"/>
              </w:rPr>
              <w:t>人员数量</w:t>
            </w:r>
          </w:p>
        </w:tc>
        <w:tc>
          <w:tcPr>
            <w:tcW w:w="2408" w:type="dxa"/>
            <w:vAlign w:val="center"/>
          </w:tcPr>
          <w:p w14:paraId="162E78DB">
            <w:pPr>
              <w:widowControl/>
              <w:spacing w:line="240" w:lineRule="auto"/>
              <w:ind w:firstLine="0" w:firstLineChars="0"/>
              <w:jc w:val="center"/>
              <w:rPr>
                <w:b/>
                <w:sz w:val="21"/>
                <w:szCs w:val="21"/>
              </w:rPr>
            </w:pPr>
            <w:r>
              <w:rPr>
                <w:rFonts w:hint="eastAsia"/>
                <w:b/>
                <w:sz w:val="21"/>
                <w:szCs w:val="21"/>
              </w:rPr>
              <w:t>人员要求</w:t>
            </w:r>
          </w:p>
        </w:tc>
        <w:tc>
          <w:tcPr>
            <w:tcW w:w="1757" w:type="dxa"/>
            <w:noWrap/>
            <w:vAlign w:val="center"/>
          </w:tcPr>
          <w:p w14:paraId="615FA668">
            <w:pPr>
              <w:widowControl/>
              <w:spacing w:line="240" w:lineRule="auto"/>
              <w:ind w:firstLine="0" w:firstLineChars="0"/>
              <w:jc w:val="center"/>
              <w:rPr>
                <w:b/>
                <w:sz w:val="21"/>
                <w:szCs w:val="21"/>
              </w:rPr>
            </w:pPr>
            <w:r>
              <w:rPr>
                <w:rFonts w:hint="eastAsia"/>
                <w:b/>
                <w:sz w:val="21"/>
                <w:szCs w:val="21"/>
              </w:rPr>
              <w:t>驻场要求</w:t>
            </w:r>
          </w:p>
        </w:tc>
      </w:tr>
      <w:tr w14:paraId="629C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4EBC417">
            <w:pPr>
              <w:widowControl/>
              <w:spacing w:line="240" w:lineRule="auto"/>
              <w:ind w:firstLine="0" w:firstLineChars="0"/>
              <w:jc w:val="center"/>
              <w:rPr>
                <w:sz w:val="21"/>
                <w:szCs w:val="21"/>
              </w:rPr>
            </w:pPr>
            <w:r>
              <w:rPr>
                <w:rFonts w:hint="eastAsia"/>
                <w:sz w:val="21"/>
                <w:szCs w:val="21"/>
              </w:rPr>
              <w:t>项目经理</w:t>
            </w:r>
          </w:p>
        </w:tc>
        <w:tc>
          <w:tcPr>
            <w:tcW w:w="1767" w:type="dxa"/>
            <w:vAlign w:val="center"/>
          </w:tcPr>
          <w:p w14:paraId="2CF3DACD">
            <w:pPr>
              <w:widowControl/>
              <w:spacing w:line="240" w:lineRule="auto"/>
              <w:ind w:firstLine="0" w:firstLineChars="0"/>
              <w:jc w:val="center"/>
              <w:rPr>
                <w:sz w:val="21"/>
                <w:szCs w:val="21"/>
              </w:rPr>
            </w:pPr>
            <w:r>
              <w:rPr>
                <w:rFonts w:hint="eastAsia"/>
                <w:sz w:val="21"/>
                <w:szCs w:val="21"/>
              </w:rPr>
              <w:t>负责项目质量和进度控制</w:t>
            </w:r>
          </w:p>
        </w:tc>
        <w:tc>
          <w:tcPr>
            <w:tcW w:w="0" w:type="auto"/>
            <w:noWrap/>
            <w:vAlign w:val="center"/>
          </w:tcPr>
          <w:p w14:paraId="67013B8C">
            <w:pPr>
              <w:widowControl/>
              <w:spacing w:line="240" w:lineRule="auto"/>
              <w:ind w:firstLine="0" w:firstLineChars="0"/>
              <w:jc w:val="center"/>
              <w:rPr>
                <w:sz w:val="21"/>
                <w:szCs w:val="21"/>
              </w:rPr>
            </w:pPr>
            <w:r>
              <w:rPr>
                <w:rFonts w:hint="eastAsia"/>
              </w:rPr>
              <w:t>1人</w:t>
            </w:r>
          </w:p>
        </w:tc>
        <w:tc>
          <w:tcPr>
            <w:tcW w:w="2408" w:type="dxa"/>
            <w:vAlign w:val="center"/>
          </w:tcPr>
          <w:p w14:paraId="3A6DA969">
            <w:pPr>
              <w:widowControl/>
              <w:spacing w:line="240" w:lineRule="auto"/>
              <w:ind w:firstLine="0" w:firstLineChars="0"/>
              <w:jc w:val="center"/>
              <w:rPr>
                <w:sz w:val="21"/>
                <w:szCs w:val="21"/>
              </w:rPr>
            </w:pPr>
            <w:r>
              <w:rPr>
                <w:rFonts w:hint="eastAsia"/>
              </w:rPr>
              <w:t>本科及以上学历，计算机类相关专业，具有工业和信息化部门或人力资源社会保障部门颁发的计算机技术与软件专业技术资格高级证书、具备政务类项目工作经验</w:t>
            </w:r>
          </w:p>
        </w:tc>
        <w:tc>
          <w:tcPr>
            <w:tcW w:w="1757" w:type="dxa"/>
            <w:noWrap/>
            <w:vAlign w:val="center"/>
          </w:tcPr>
          <w:p w14:paraId="7B816703">
            <w:pPr>
              <w:widowControl/>
              <w:spacing w:line="240" w:lineRule="auto"/>
              <w:ind w:firstLine="0" w:firstLineChars="0"/>
              <w:jc w:val="center"/>
              <w:rPr>
                <w:sz w:val="21"/>
                <w:szCs w:val="21"/>
              </w:rPr>
            </w:pPr>
            <w:r>
              <w:rPr>
                <w:rFonts w:hint="eastAsia"/>
              </w:rPr>
              <w:t>驻场</w:t>
            </w:r>
          </w:p>
        </w:tc>
      </w:tr>
      <w:tr w14:paraId="58EF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D4A9E96">
            <w:pPr>
              <w:widowControl/>
              <w:spacing w:line="240" w:lineRule="auto"/>
              <w:ind w:firstLine="0" w:firstLineChars="0"/>
              <w:jc w:val="center"/>
              <w:rPr>
                <w:sz w:val="21"/>
                <w:szCs w:val="21"/>
              </w:rPr>
            </w:pPr>
            <w:r>
              <w:rPr>
                <w:rFonts w:hint="eastAsia"/>
                <w:sz w:val="21"/>
                <w:szCs w:val="21"/>
              </w:rPr>
              <w:t>产品经理</w:t>
            </w:r>
          </w:p>
        </w:tc>
        <w:tc>
          <w:tcPr>
            <w:tcW w:w="1767" w:type="dxa"/>
            <w:vAlign w:val="center"/>
          </w:tcPr>
          <w:p w14:paraId="06F425F9">
            <w:pPr>
              <w:widowControl/>
              <w:spacing w:line="240" w:lineRule="auto"/>
              <w:ind w:firstLine="0" w:firstLineChars="0"/>
              <w:jc w:val="center"/>
              <w:rPr>
                <w:sz w:val="21"/>
                <w:szCs w:val="21"/>
              </w:rPr>
            </w:pPr>
            <w:r>
              <w:rPr>
                <w:rFonts w:hint="eastAsia"/>
                <w:sz w:val="21"/>
                <w:szCs w:val="21"/>
              </w:rPr>
              <w:t>负责项目需求评估与产品设计</w:t>
            </w:r>
          </w:p>
        </w:tc>
        <w:tc>
          <w:tcPr>
            <w:tcW w:w="0" w:type="auto"/>
            <w:noWrap/>
            <w:vAlign w:val="center"/>
          </w:tcPr>
          <w:p w14:paraId="65629714">
            <w:pPr>
              <w:widowControl/>
              <w:spacing w:line="240" w:lineRule="auto"/>
              <w:ind w:firstLine="0" w:firstLineChars="0"/>
              <w:jc w:val="center"/>
              <w:rPr>
                <w:sz w:val="21"/>
                <w:szCs w:val="21"/>
              </w:rPr>
            </w:pPr>
            <w:r>
              <w:rPr>
                <w:rFonts w:hint="eastAsia"/>
              </w:rPr>
              <w:t>1人</w:t>
            </w:r>
          </w:p>
        </w:tc>
        <w:tc>
          <w:tcPr>
            <w:tcW w:w="2408" w:type="dxa"/>
            <w:vAlign w:val="center"/>
          </w:tcPr>
          <w:p w14:paraId="0A280DBA">
            <w:pPr>
              <w:widowControl/>
              <w:spacing w:line="240" w:lineRule="auto"/>
              <w:ind w:firstLine="0" w:firstLineChars="0"/>
              <w:jc w:val="center"/>
              <w:rPr>
                <w:sz w:val="21"/>
                <w:szCs w:val="21"/>
              </w:rPr>
            </w:pPr>
            <w:r>
              <w:rPr>
                <w:rFonts w:hint="eastAsia"/>
              </w:rPr>
              <w:t>本科及以上学历，计算机类相关专业，具有工业和信息化部门或人力资源社会保障部门颁发的计算机技术与软件专业技术资格高级证书，具备政务类项目工作经验</w:t>
            </w:r>
          </w:p>
        </w:tc>
        <w:tc>
          <w:tcPr>
            <w:tcW w:w="1757" w:type="dxa"/>
            <w:noWrap/>
            <w:vAlign w:val="center"/>
          </w:tcPr>
          <w:p w14:paraId="3634CA86">
            <w:pPr>
              <w:widowControl/>
              <w:spacing w:line="240" w:lineRule="auto"/>
              <w:ind w:firstLine="0" w:firstLineChars="0"/>
              <w:jc w:val="center"/>
              <w:rPr>
                <w:sz w:val="21"/>
                <w:szCs w:val="21"/>
              </w:rPr>
            </w:pPr>
            <w:r>
              <w:rPr>
                <w:rFonts w:hint="eastAsia"/>
              </w:rPr>
              <w:t>不驻场</w:t>
            </w:r>
          </w:p>
        </w:tc>
      </w:tr>
      <w:tr w14:paraId="5754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6AE1E6E">
            <w:pPr>
              <w:widowControl/>
              <w:spacing w:line="240" w:lineRule="auto"/>
              <w:ind w:firstLine="0" w:firstLineChars="0"/>
              <w:jc w:val="center"/>
              <w:rPr>
                <w:sz w:val="21"/>
                <w:szCs w:val="21"/>
              </w:rPr>
            </w:pPr>
            <w:r>
              <w:rPr>
                <w:rFonts w:hint="eastAsia"/>
                <w:sz w:val="21"/>
                <w:szCs w:val="21"/>
              </w:rPr>
              <w:t>研发</w:t>
            </w:r>
          </w:p>
        </w:tc>
        <w:tc>
          <w:tcPr>
            <w:tcW w:w="1767" w:type="dxa"/>
            <w:noWrap/>
            <w:vAlign w:val="center"/>
          </w:tcPr>
          <w:p w14:paraId="6617B354">
            <w:pPr>
              <w:widowControl/>
              <w:spacing w:line="240" w:lineRule="auto"/>
              <w:ind w:firstLine="0" w:firstLineChars="0"/>
              <w:jc w:val="center"/>
              <w:rPr>
                <w:sz w:val="21"/>
                <w:szCs w:val="21"/>
              </w:rPr>
            </w:pPr>
            <w:r>
              <w:rPr>
                <w:rFonts w:hint="eastAsia"/>
                <w:sz w:val="21"/>
                <w:szCs w:val="21"/>
              </w:rPr>
              <w:t>负责项目具体开发与实施</w:t>
            </w:r>
          </w:p>
        </w:tc>
        <w:tc>
          <w:tcPr>
            <w:tcW w:w="0" w:type="auto"/>
            <w:noWrap/>
            <w:vAlign w:val="center"/>
          </w:tcPr>
          <w:p w14:paraId="7D453DCE">
            <w:pPr>
              <w:widowControl/>
              <w:spacing w:line="240" w:lineRule="auto"/>
              <w:ind w:firstLine="0" w:firstLineChars="0"/>
              <w:jc w:val="center"/>
              <w:rPr>
                <w:sz w:val="21"/>
                <w:szCs w:val="21"/>
              </w:rPr>
            </w:pPr>
            <w:r>
              <w:rPr>
                <w:rFonts w:hint="eastAsia"/>
              </w:rPr>
              <w:t>8人</w:t>
            </w:r>
          </w:p>
        </w:tc>
        <w:tc>
          <w:tcPr>
            <w:tcW w:w="2408" w:type="dxa"/>
            <w:vAlign w:val="center"/>
          </w:tcPr>
          <w:p w14:paraId="5FF4F62D">
            <w:pPr>
              <w:widowControl/>
              <w:spacing w:line="240" w:lineRule="auto"/>
              <w:ind w:firstLine="0" w:firstLineChars="0"/>
              <w:jc w:val="center"/>
              <w:rPr>
                <w:sz w:val="21"/>
                <w:szCs w:val="21"/>
              </w:rPr>
            </w:pPr>
            <w:r>
              <w:rPr>
                <w:rFonts w:hint="eastAsia"/>
              </w:rPr>
              <w:t>专科及以上学历，计算机类、地理信息类、相关专业，具备政务类项目工作经验</w:t>
            </w:r>
          </w:p>
        </w:tc>
        <w:tc>
          <w:tcPr>
            <w:tcW w:w="1757" w:type="dxa"/>
            <w:noWrap/>
            <w:vAlign w:val="center"/>
          </w:tcPr>
          <w:p w14:paraId="37473186">
            <w:pPr>
              <w:widowControl/>
              <w:spacing w:line="240" w:lineRule="auto"/>
              <w:ind w:firstLine="0" w:firstLineChars="0"/>
              <w:jc w:val="center"/>
              <w:rPr>
                <w:sz w:val="21"/>
                <w:szCs w:val="21"/>
              </w:rPr>
            </w:pPr>
            <w:r>
              <w:rPr>
                <w:rFonts w:hint="eastAsia"/>
              </w:rPr>
              <w:t>不少于1人驻场</w:t>
            </w:r>
          </w:p>
        </w:tc>
      </w:tr>
    </w:tbl>
    <w:p w14:paraId="23924ACA">
      <w:r>
        <w:t>2）</w:t>
      </w:r>
      <w:r>
        <w:rPr>
          <w:rFonts w:hint="eastAsia"/>
        </w:rPr>
        <w:t>供应商</w:t>
      </w:r>
      <w:r>
        <w:t>应针对本项目提供不少于</w:t>
      </w:r>
      <w:r>
        <w:rPr>
          <w:rFonts w:hint="eastAsia"/>
        </w:rPr>
        <w:t>4</w:t>
      </w:r>
      <w:r>
        <w:t>人的质保期间支撑团队（其中技术经理</w:t>
      </w:r>
      <w:r>
        <w:rPr>
          <w:rFonts w:hint="eastAsia"/>
        </w:rPr>
        <w:t>1</w:t>
      </w:r>
      <w:r>
        <w:t>人，产品经理</w:t>
      </w:r>
      <w:r>
        <w:rPr>
          <w:rFonts w:hint="eastAsia"/>
        </w:rPr>
        <w:t>1</w:t>
      </w:r>
      <w:r>
        <w:t>人，技术工程师不少于</w:t>
      </w:r>
      <w:r>
        <w:rPr>
          <w:rFonts w:hint="eastAsia"/>
        </w:rPr>
        <w:t>2</w:t>
      </w:r>
      <w:r>
        <w:t>人）；</w:t>
      </w:r>
      <w:r>
        <w:rPr>
          <w:rFonts w:hint="eastAsia"/>
        </w:rPr>
        <w:t>供应商</w:t>
      </w:r>
      <w:r>
        <w:t>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669"/>
        <w:gridCol w:w="1276"/>
        <w:gridCol w:w="2693"/>
        <w:gridCol w:w="1474"/>
      </w:tblGrid>
      <w:tr w14:paraId="672F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8EB6275">
            <w:pPr>
              <w:widowControl/>
              <w:spacing w:line="240" w:lineRule="auto"/>
              <w:ind w:firstLine="0" w:firstLineChars="0"/>
              <w:jc w:val="center"/>
              <w:rPr>
                <w:b/>
              </w:rPr>
            </w:pPr>
            <w:r>
              <w:rPr>
                <w:rFonts w:hint="eastAsia"/>
                <w:b/>
              </w:rPr>
              <w:t>角色</w:t>
            </w:r>
          </w:p>
        </w:tc>
        <w:tc>
          <w:tcPr>
            <w:tcW w:w="1669" w:type="dxa"/>
            <w:noWrap/>
            <w:vAlign w:val="center"/>
          </w:tcPr>
          <w:p w14:paraId="1CFE2F46">
            <w:pPr>
              <w:widowControl/>
              <w:spacing w:line="240" w:lineRule="auto"/>
              <w:ind w:firstLine="0" w:firstLineChars="0"/>
              <w:jc w:val="center"/>
              <w:rPr>
                <w:b/>
              </w:rPr>
            </w:pPr>
            <w:r>
              <w:rPr>
                <w:rFonts w:hint="eastAsia"/>
                <w:b/>
              </w:rPr>
              <w:t>主要职责</w:t>
            </w:r>
          </w:p>
        </w:tc>
        <w:tc>
          <w:tcPr>
            <w:tcW w:w="1276" w:type="dxa"/>
            <w:noWrap/>
            <w:vAlign w:val="center"/>
          </w:tcPr>
          <w:p w14:paraId="4A4E262C">
            <w:pPr>
              <w:widowControl/>
              <w:spacing w:line="240" w:lineRule="auto"/>
              <w:ind w:firstLine="0" w:firstLineChars="0"/>
              <w:jc w:val="center"/>
              <w:rPr>
                <w:b/>
              </w:rPr>
            </w:pPr>
            <w:r>
              <w:rPr>
                <w:rFonts w:hint="eastAsia"/>
                <w:b/>
              </w:rPr>
              <w:t>人员数量</w:t>
            </w:r>
          </w:p>
        </w:tc>
        <w:tc>
          <w:tcPr>
            <w:tcW w:w="2693" w:type="dxa"/>
            <w:vAlign w:val="center"/>
          </w:tcPr>
          <w:p w14:paraId="57C2B2A3">
            <w:pPr>
              <w:widowControl/>
              <w:spacing w:line="240" w:lineRule="auto"/>
              <w:ind w:firstLine="0" w:firstLineChars="0"/>
              <w:jc w:val="center"/>
              <w:rPr>
                <w:b/>
              </w:rPr>
            </w:pPr>
            <w:r>
              <w:rPr>
                <w:rFonts w:hint="eastAsia"/>
                <w:b/>
              </w:rPr>
              <w:t>人员要求</w:t>
            </w:r>
          </w:p>
        </w:tc>
        <w:tc>
          <w:tcPr>
            <w:tcW w:w="1474" w:type="dxa"/>
            <w:noWrap/>
            <w:vAlign w:val="center"/>
          </w:tcPr>
          <w:p w14:paraId="2C260332">
            <w:pPr>
              <w:widowControl/>
              <w:spacing w:line="240" w:lineRule="auto"/>
              <w:ind w:firstLine="0" w:firstLineChars="0"/>
              <w:jc w:val="center"/>
              <w:rPr>
                <w:b/>
              </w:rPr>
            </w:pPr>
            <w:r>
              <w:rPr>
                <w:rFonts w:hint="eastAsia"/>
                <w:b/>
              </w:rPr>
              <w:t>驻场要求</w:t>
            </w:r>
          </w:p>
        </w:tc>
      </w:tr>
      <w:tr w14:paraId="4B66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7248B15F">
            <w:pPr>
              <w:widowControl/>
              <w:spacing w:line="240" w:lineRule="auto"/>
              <w:ind w:firstLine="0" w:firstLineChars="0"/>
              <w:jc w:val="center"/>
            </w:pPr>
            <w:r>
              <w:rPr>
                <w:rFonts w:hint="eastAsia"/>
              </w:rPr>
              <w:t>项目经理</w:t>
            </w:r>
          </w:p>
        </w:tc>
        <w:tc>
          <w:tcPr>
            <w:tcW w:w="1669" w:type="dxa"/>
            <w:vAlign w:val="center"/>
          </w:tcPr>
          <w:p w14:paraId="2D63434A">
            <w:pPr>
              <w:widowControl/>
              <w:spacing w:line="240" w:lineRule="auto"/>
              <w:ind w:firstLine="0" w:firstLineChars="0"/>
              <w:jc w:val="center"/>
            </w:pPr>
            <w:r>
              <w:rPr>
                <w:rFonts w:hint="eastAsia"/>
              </w:rPr>
              <w:t>负责项目质量和进度控制</w:t>
            </w:r>
          </w:p>
        </w:tc>
        <w:tc>
          <w:tcPr>
            <w:tcW w:w="1276" w:type="dxa"/>
            <w:noWrap/>
            <w:vAlign w:val="center"/>
          </w:tcPr>
          <w:p w14:paraId="034816C3">
            <w:pPr>
              <w:widowControl/>
              <w:spacing w:line="240" w:lineRule="auto"/>
              <w:ind w:firstLine="0" w:firstLineChars="0"/>
              <w:jc w:val="center"/>
            </w:pPr>
            <w:r>
              <w:t>1</w:t>
            </w:r>
            <w:r>
              <w:rPr>
                <w:rFonts w:hint="eastAsia"/>
              </w:rPr>
              <w:t>人</w:t>
            </w:r>
          </w:p>
        </w:tc>
        <w:tc>
          <w:tcPr>
            <w:tcW w:w="2693" w:type="dxa"/>
            <w:vAlign w:val="center"/>
          </w:tcPr>
          <w:p w14:paraId="3E481693">
            <w:pPr>
              <w:widowControl/>
              <w:spacing w:line="240" w:lineRule="auto"/>
              <w:ind w:firstLine="0" w:firstLineChars="0"/>
              <w:jc w:val="center"/>
            </w:pPr>
            <w:r>
              <w:rPr>
                <w:rFonts w:hint="eastAsia"/>
              </w:rPr>
              <w:t>本科及以上学历，计算机类相关专业，具有工业和信息化部门或人力资源社会保障部门颁发的计算机技术与软件专业技术资格高级证书，具备政务类项目工作经验</w:t>
            </w:r>
          </w:p>
        </w:tc>
        <w:tc>
          <w:tcPr>
            <w:tcW w:w="1474" w:type="dxa"/>
            <w:noWrap/>
            <w:vAlign w:val="center"/>
          </w:tcPr>
          <w:p w14:paraId="383F768E">
            <w:pPr>
              <w:widowControl/>
              <w:spacing w:line="240" w:lineRule="auto"/>
              <w:ind w:firstLine="0" w:firstLineChars="0"/>
              <w:jc w:val="center"/>
            </w:pPr>
            <w:r>
              <w:rPr>
                <w:rFonts w:hint="eastAsia"/>
              </w:rPr>
              <w:t>不驻场</w:t>
            </w:r>
          </w:p>
        </w:tc>
      </w:tr>
      <w:tr w14:paraId="17E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2A131FA">
            <w:pPr>
              <w:widowControl/>
              <w:spacing w:line="240" w:lineRule="auto"/>
              <w:ind w:firstLine="0" w:firstLineChars="0"/>
              <w:jc w:val="center"/>
            </w:pPr>
            <w:r>
              <w:rPr>
                <w:rFonts w:hint="eastAsia"/>
              </w:rPr>
              <w:t>产品经理</w:t>
            </w:r>
          </w:p>
        </w:tc>
        <w:tc>
          <w:tcPr>
            <w:tcW w:w="1669" w:type="dxa"/>
            <w:vAlign w:val="center"/>
          </w:tcPr>
          <w:p w14:paraId="3671EE7C">
            <w:pPr>
              <w:widowControl/>
              <w:spacing w:line="240" w:lineRule="auto"/>
              <w:ind w:firstLine="0" w:firstLineChars="0"/>
              <w:jc w:val="center"/>
            </w:pPr>
            <w:r>
              <w:rPr>
                <w:rFonts w:hint="eastAsia"/>
              </w:rPr>
              <w:t>负责项目需求的跟进</w:t>
            </w:r>
          </w:p>
        </w:tc>
        <w:tc>
          <w:tcPr>
            <w:tcW w:w="1276" w:type="dxa"/>
            <w:noWrap/>
            <w:vAlign w:val="center"/>
          </w:tcPr>
          <w:p w14:paraId="5A21E617">
            <w:pPr>
              <w:widowControl/>
              <w:spacing w:line="240" w:lineRule="auto"/>
              <w:ind w:firstLine="0" w:firstLineChars="0"/>
              <w:jc w:val="center"/>
            </w:pPr>
            <w:r>
              <w:rPr>
                <w:rFonts w:hint="eastAsia"/>
              </w:rPr>
              <w:t>1人</w:t>
            </w:r>
          </w:p>
        </w:tc>
        <w:tc>
          <w:tcPr>
            <w:tcW w:w="2693" w:type="dxa"/>
            <w:vAlign w:val="center"/>
          </w:tcPr>
          <w:p w14:paraId="0D979303">
            <w:pPr>
              <w:widowControl/>
              <w:spacing w:line="240" w:lineRule="auto"/>
              <w:ind w:firstLine="0" w:firstLineChars="0"/>
              <w:jc w:val="center"/>
            </w:pPr>
            <w:r>
              <w:rPr>
                <w:rFonts w:hint="eastAsia"/>
              </w:rPr>
              <w:t>本科及以上学历，计算机类相关专业，具有工业和信息化部门或人力资源社会保障部门颁发的计算机技术与软件专业技术资格高级证书，具备政务类项目工作经验</w:t>
            </w:r>
          </w:p>
        </w:tc>
        <w:tc>
          <w:tcPr>
            <w:tcW w:w="1474" w:type="dxa"/>
            <w:noWrap/>
            <w:vAlign w:val="center"/>
          </w:tcPr>
          <w:p w14:paraId="54C0D260">
            <w:pPr>
              <w:widowControl/>
              <w:spacing w:line="240" w:lineRule="auto"/>
              <w:ind w:firstLine="0" w:firstLineChars="0"/>
              <w:jc w:val="center"/>
            </w:pPr>
            <w:r>
              <w:rPr>
                <w:rFonts w:hint="eastAsia"/>
              </w:rPr>
              <w:t>不驻场</w:t>
            </w:r>
          </w:p>
        </w:tc>
      </w:tr>
      <w:tr w14:paraId="4E79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522ACDD">
            <w:pPr>
              <w:widowControl/>
              <w:spacing w:line="240" w:lineRule="auto"/>
              <w:ind w:firstLine="0" w:firstLineChars="0"/>
              <w:jc w:val="center"/>
            </w:pPr>
            <w:r>
              <w:rPr>
                <w:rFonts w:hint="eastAsia"/>
              </w:rPr>
              <w:t>工程师</w:t>
            </w:r>
          </w:p>
        </w:tc>
        <w:tc>
          <w:tcPr>
            <w:tcW w:w="1669" w:type="dxa"/>
            <w:noWrap/>
            <w:vAlign w:val="center"/>
          </w:tcPr>
          <w:p w14:paraId="126BDEF6">
            <w:pPr>
              <w:widowControl/>
              <w:spacing w:line="240" w:lineRule="auto"/>
              <w:ind w:firstLine="0" w:firstLineChars="0"/>
              <w:jc w:val="center"/>
            </w:pPr>
            <w:r>
              <w:rPr>
                <w:rFonts w:hint="eastAsia"/>
              </w:rPr>
              <w:t>负责项目运行维护</w:t>
            </w:r>
          </w:p>
        </w:tc>
        <w:tc>
          <w:tcPr>
            <w:tcW w:w="1276" w:type="dxa"/>
            <w:noWrap/>
            <w:vAlign w:val="center"/>
          </w:tcPr>
          <w:p w14:paraId="1B646D63">
            <w:pPr>
              <w:widowControl/>
              <w:spacing w:line="240" w:lineRule="auto"/>
              <w:ind w:firstLine="0" w:firstLineChars="0"/>
              <w:jc w:val="center"/>
            </w:pPr>
            <w:r>
              <w:rPr>
                <w:rFonts w:hint="eastAsia"/>
              </w:rPr>
              <w:t>2人</w:t>
            </w:r>
          </w:p>
        </w:tc>
        <w:tc>
          <w:tcPr>
            <w:tcW w:w="2693" w:type="dxa"/>
            <w:vAlign w:val="center"/>
          </w:tcPr>
          <w:p w14:paraId="0172184F">
            <w:pPr>
              <w:widowControl/>
              <w:spacing w:line="240" w:lineRule="auto"/>
              <w:ind w:firstLine="0" w:firstLineChars="0"/>
              <w:jc w:val="center"/>
            </w:pPr>
            <w:r>
              <w:rPr>
                <w:rFonts w:hint="eastAsia"/>
              </w:rPr>
              <w:t>专科及以上学历，计算机、地理信息类相关专业，具备政务类项目工作经验</w:t>
            </w:r>
          </w:p>
        </w:tc>
        <w:tc>
          <w:tcPr>
            <w:tcW w:w="1474" w:type="dxa"/>
            <w:noWrap/>
            <w:vAlign w:val="center"/>
          </w:tcPr>
          <w:p w14:paraId="5D1C15D3">
            <w:pPr>
              <w:widowControl/>
              <w:spacing w:line="240" w:lineRule="auto"/>
              <w:ind w:firstLine="0" w:firstLineChars="0"/>
              <w:jc w:val="center"/>
            </w:pPr>
            <w:r>
              <w:rPr>
                <w:rFonts w:hint="eastAsia"/>
              </w:rPr>
              <w:t>不驻场</w:t>
            </w:r>
          </w:p>
        </w:tc>
      </w:tr>
    </w:tbl>
    <w:p w14:paraId="58E758C2">
      <w:pPr>
        <w:ind w:firstLine="0" w:firstLineChars="0"/>
      </w:pPr>
    </w:p>
    <w:p w14:paraId="0E3537CE">
      <w:pPr>
        <w:pStyle w:val="3"/>
        <w:spacing w:before="0"/>
        <w:ind w:left="1614" w:leftChars="200" w:hanging="1134"/>
      </w:pPr>
      <w:bookmarkStart w:id="34" w:name="_Toc63785511"/>
      <w:r>
        <w:rPr>
          <w:rFonts w:hint="eastAsia"/>
        </w:rPr>
        <w:t>等级保护要求</w:t>
      </w:r>
      <w:bookmarkEnd w:id="34"/>
    </w:p>
    <w:p w14:paraId="1F672B4B">
      <w:r>
        <w:t>本项目等级保护要求：</w:t>
      </w:r>
      <w:r>
        <w:rPr>
          <w:rFonts w:hint="eastAsia"/>
        </w:rPr>
        <w:t>三级</w:t>
      </w:r>
    </w:p>
    <w:p w14:paraId="178F0533">
      <w:pPr>
        <w:pStyle w:val="3"/>
        <w:spacing w:before="0"/>
        <w:ind w:left="1614" w:leftChars="200" w:hanging="1134"/>
      </w:pPr>
      <w:r>
        <w:rPr>
          <w:rFonts w:hint="eastAsia"/>
        </w:rPr>
        <w:t>商用密码应用需求</w:t>
      </w:r>
    </w:p>
    <w:p w14:paraId="32DC0049">
      <w:r>
        <w:rPr>
          <w:rFonts w:hint="eastAsia"/>
        </w:rPr>
        <w:t>本项目的密码应用依据GB/T 39786-2021《信息安全技术 信息系统密码应用基本要求》第三级信息系统要求建设，具体需求如下：</w:t>
      </w:r>
    </w:p>
    <w:tbl>
      <w:tblPr>
        <w:tblStyle w:val="35"/>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85"/>
        <w:gridCol w:w="788"/>
        <w:gridCol w:w="2098"/>
        <w:gridCol w:w="3411"/>
        <w:gridCol w:w="1443"/>
      </w:tblGrid>
      <w:tr w14:paraId="653C8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tblHeader/>
          <w:jc w:val="center"/>
        </w:trPr>
        <w:tc>
          <w:tcPr>
            <w:tcW w:w="922" w:type="pct"/>
            <w:gridSpan w:val="2"/>
            <w:vAlign w:val="center"/>
          </w:tcPr>
          <w:p w14:paraId="462FD5CE">
            <w:pPr>
              <w:pStyle w:val="16"/>
              <w:jc w:val="center"/>
              <w:rPr>
                <w:b/>
                <w:bCs/>
              </w:rPr>
            </w:pPr>
            <w:r>
              <w:rPr>
                <w:rFonts w:hint="eastAsia"/>
                <w:b/>
                <w:bCs/>
              </w:rPr>
              <w:t>安全层面</w:t>
            </w:r>
          </w:p>
        </w:tc>
        <w:tc>
          <w:tcPr>
            <w:tcW w:w="1230" w:type="pct"/>
            <w:vAlign w:val="center"/>
          </w:tcPr>
          <w:p w14:paraId="740C0750">
            <w:pPr>
              <w:pStyle w:val="16"/>
              <w:jc w:val="center"/>
              <w:rPr>
                <w:b/>
                <w:bCs/>
              </w:rPr>
            </w:pPr>
            <w:r>
              <w:rPr>
                <w:rFonts w:hint="eastAsia"/>
                <w:b/>
                <w:bCs/>
              </w:rPr>
              <w:t>指标要求</w:t>
            </w:r>
          </w:p>
        </w:tc>
        <w:tc>
          <w:tcPr>
            <w:tcW w:w="2000" w:type="pct"/>
            <w:vAlign w:val="center"/>
          </w:tcPr>
          <w:p w14:paraId="4F899638">
            <w:pPr>
              <w:pStyle w:val="16"/>
              <w:jc w:val="center"/>
              <w:rPr>
                <w:b/>
                <w:bCs/>
              </w:rPr>
            </w:pPr>
            <w:r>
              <w:rPr>
                <w:rFonts w:hint="eastAsia"/>
                <w:b/>
                <w:bCs/>
              </w:rPr>
              <w:t>系统密码应用需求</w:t>
            </w:r>
          </w:p>
        </w:tc>
        <w:tc>
          <w:tcPr>
            <w:tcW w:w="846" w:type="pct"/>
            <w:vAlign w:val="center"/>
          </w:tcPr>
          <w:p w14:paraId="78CCAA38">
            <w:pPr>
              <w:pStyle w:val="16"/>
              <w:jc w:val="center"/>
              <w:rPr>
                <w:b/>
                <w:bCs/>
              </w:rPr>
            </w:pPr>
            <w:r>
              <w:rPr>
                <w:rFonts w:hint="eastAsia"/>
                <w:b/>
                <w:bCs/>
              </w:rPr>
              <w:t>不适用说明</w:t>
            </w:r>
          </w:p>
        </w:tc>
      </w:tr>
      <w:tr w14:paraId="7A1B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restart"/>
            <w:vAlign w:val="center"/>
          </w:tcPr>
          <w:p w14:paraId="69A328B2">
            <w:pPr>
              <w:pStyle w:val="16"/>
            </w:pPr>
            <w:r>
              <w:rPr>
                <w:rFonts w:hint="eastAsia"/>
              </w:rPr>
              <w:t>计算平台安全</w:t>
            </w:r>
          </w:p>
        </w:tc>
        <w:tc>
          <w:tcPr>
            <w:tcW w:w="462" w:type="pct"/>
            <w:vMerge w:val="restart"/>
            <w:vAlign w:val="center"/>
          </w:tcPr>
          <w:p w14:paraId="66EAECE6">
            <w:pPr>
              <w:pStyle w:val="16"/>
            </w:pPr>
            <w:r>
              <w:rPr>
                <w:rFonts w:hint="eastAsia"/>
              </w:rPr>
              <w:t>物理和环境安全</w:t>
            </w:r>
          </w:p>
        </w:tc>
        <w:tc>
          <w:tcPr>
            <w:tcW w:w="1230" w:type="pct"/>
            <w:vAlign w:val="center"/>
          </w:tcPr>
          <w:p w14:paraId="7A2DA98B">
            <w:pPr>
              <w:pStyle w:val="16"/>
            </w:pPr>
            <w:r>
              <w:rPr>
                <w:rFonts w:hint="eastAsia"/>
              </w:rPr>
              <w:t>身份鉴别</w:t>
            </w:r>
          </w:p>
        </w:tc>
        <w:tc>
          <w:tcPr>
            <w:tcW w:w="2000" w:type="pct"/>
            <w:vAlign w:val="center"/>
          </w:tcPr>
          <w:p w14:paraId="0A4C1C1F">
            <w:pPr>
              <w:pStyle w:val="16"/>
            </w:pPr>
            <w:r>
              <w:rPr>
                <w:rFonts w:hint="eastAsia"/>
              </w:rPr>
              <w:t>已符合密码应用要求。</w:t>
            </w:r>
          </w:p>
        </w:tc>
        <w:tc>
          <w:tcPr>
            <w:tcW w:w="846" w:type="pct"/>
            <w:vAlign w:val="center"/>
          </w:tcPr>
          <w:p w14:paraId="771DECC3">
            <w:pPr>
              <w:pStyle w:val="16"/>
            </w:pPr>
            <w:r>
              <w:rPr>
                <w:rFonts w:hint="eastAsia"/>
              </w:rPr>
              <w:t>无</w:t>
            </w:r>
          </w:p>
        </w:tc>
      </w:tr>
      <w:tr w14:paraId="44B9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2059F64A">
            <w:pPr>
              <w:pStyle w:val="16"/>
            </w:pPr>
          </w:p>
        </w:tc>
        <w:tc>
          <w:tcPr>
            <w:tcW w:w="462" w:type="pct"/>
            <w:vMerge w:val="continue"/>
            <w:vAlign w:val="center"/>
          </w:tcPr>
          <w:p w14:paraId="03A37703">
            <w:pPr>
              <w:pStyle w:val="16"/>
            </w:pPr>
          </w:p>
        </w:tc>
        <w:tc>
          <w:tcPr>
            <w:tcW w:w="1230" w:type="pct"/>
            <w:vAlign w:val="center"/>
          </w:tcPr>
          <w:p w14:paraId="069838E3">
            <w:pPr>
              <w:pStyle w:val="16"/>
            </w:pPr>
            <w:r>
              <w:rPr>
                <w:rFonts w:hint="eastAsia"/>
              </w:rPr>
              <w:t>电子门禁记录数据完整性</w:t>
            </w:r>
          </w:p>
        </w:tc>
        <w:tc>
          <w:tcPr>
            <w:tcW w:w="2000" w:type="pct"/>
            <w:vMerge w:val="restart"/>
            <w:vAlign w:val="center"/>
          </w:tcPr>
          <w:p w14:paraId="1D1A6D75">
            <w:pPr>
              <w:pStyle w:val="16"/>
            </w:pPr>
            <w:r>
              <w:rPr>
                <w:rFonts w:hint="eastAsia"/>
              </w:rPr>
              <w:t>已符合密码应用要求。</w:t>
            </w:r>
          </w:p>
        </w:tc>
        <w:tc>
          <w:tcPr>
            <w:tcW w:w="846" w:type="pct"/>
            <w:vMerge w:val="restart"/>
            <w:vAlign w:val="center"/>
          </w:tcPr>
          <w:p w14:paraId="401A7117">
            <w:pPr>
              <w:pStyle w:val="16"/>
            </w:pPr>
            <w:r>
              <w:rPr>
                <w:rFonts w:hint="eastAsia"/>
              </w:rPr>
              <w:t>无</w:t>
            </w:r>
          </w:p>
        </w:tc>
      </w:tr>
      <w:tr w14:paraId="2A78D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37879399">
            <w:pPr>
              <w:pStyle w:val="16"/>
            </w:pPr>
          </w:p>
        </w:tc>
        <w:tc>
          <w:tcPr>
            <w:tcW w:w="462" w:type="pct"/>
            <w:vMerge w:val="continue"/>
            <w:vAlign w:val="center"/>
          </w:tcPr>
          <w:p w14:paraId="49893F68">
            <w:pPr>
              <w:pStyle w:val="16"/>
            </w:pPr>
          </w:p>
        </w:tc>
        <w:tc>
          <w:tcPr>
            <w:tcW w:w="1230" w:type="pct"/>
            <w:vAlign w:val="center"/>
          </w:tcPr>
          <w:p w14:paraId="5E85F0C4">
            <w:pPr>
              <w:pStyle w:val="16"/>
            </w:pPr>
            <w:r>
              <w:rPr>
                <w:rFonts w:hint="eastAsia"/>
              </w:rPr>
              <w:t>视频监控记录数据完整性</w:t>
            </w:r>
          </w:p>
        </w:tc>
        <w:tc>
          <w:tcPr>
            <w:tcW w:w="2000" w:type="pct"/>
            <w:vMerge w:val="continue"/>
            <w:vAlign w:val="center"/>
          </w:tcPr>
          <w:p w14:paraId="3D5BBBCC">
            <w:pPr>
              <w:pStyle w:val="16"/>
            </w:pPr>
          </w:p>
        </w:tc>
        <w:tc>
          <w:tcPr>
            <w:tcW w:w="846" w:type="pct"/>
            <w:vMerge w:val="continue"/>
            <w:vAlign w:val="center"/>
          </w:tcPr>
          <w:p w14:paraId="106B5936">
            <w:pPr>
              <w:pStyle w:val="16"/>
            </w:pPr>
          </w:p>
        </w:tc>
      </w:tr>
      <w:tr w14:paraId="04D3C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1E125073">
            <w:pPr>
              <w:pStyle w:val="16"/>
            </w:pPr>
          </w:p>
        </w:tc>
        <w:tc>
          <w:tcPr>
            <w:tcW w:w="462" w:type="pct"/>
            <w:vMerge w:val="continue"/>
            <w:vAlign w:val="center"/>
          </w:tcPr>
          <w:p w14:paraId="5E04C65A">
            <w:pPr>
              <w:pStyle w:val="16"/>
            </w:pPr>
          </w:p>
        </w:tc>
        <w:tc>
          <w:tcPr>
            <w:tcW w:w="1230" w:type="pct"/>
            <w:vAlign w:val="center"/>
          </w:tcPr>
          <w:p w14:paraId="1E2B51A7">
            <w:pPr>
              <w:pStyle w:val="16"/>
            </w:pPr>
            <w:r>
              <w:rPr>
                <w:rFonts w:hint="eastAsia"/>
              </w:rPr>
              <w:t>密码服务</w:t>
            </w:r>
          </w:p>
        </w:tc>
        <w:tc>
          <w:tcPr>
            <w:tcW w:w="2000" w:type="pct"/>
            <w:vAlign w:val="center"/>
          </w:tcPr>
          <w:p w14:paraId="1DC2E84D">
            <w:pPr>
              <w:pStyle w:val="16"/>
            </w:pPr>
            <w:r>
              <w:rPr>
                <w:rFonts w:hint="eastAsia"/>
              </w:rPr>
              <w:t>不适用。</w:t>
            </w:r>
          </w:p>
        </w:tc>
        <w:tc>
          <w:tcPr>
            <w:tcW w:w="846" w:type="pct"/>
            <w:vAlign w:val="center"/>
          </w:tcPr>
          <w:p w14:paraId="2DC80A1A">
            <w:pPr>
              <w:pStyle w:val="16"/>
            </w:pPr>
            <w:r>
              <w:rPr>
                <w:rFonts w:hint="eastAsia"/>
              </w:rPr>
              <w:t>无密码服务需求</w:t>
            </w:r>
          </w:p>
        </w:tc>
      </w:tr>
      <w:tr w14:paraId="1B69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77420B04">
            <w:pPr>
              <w:pStyle w:val="16"/>
            </w:pPr>
          </w:p>
        </w:tc>
        <w:tc>
          <w:tcPr>
            <w:tcW w:w="462" w:type="pct"/>
            <w:vMerge w:val="continue"/>
            <w:vAlign w:val="center"/>
          </w:tcPr>
          <w:p w14:paraId="3684CAF9">
            <w:pPr>
              <w:pStyle w:val="16"/>
            </w:pPr>
          </w:p>
        </w:tc>
        <w:tc>
          <w:tcPr>
            <w:tcW w:w="1230" w:type="pct"/>
            <w:vAlign w:val="center"/>
          </w:tcPr>
          <w:p w14:paraId="2F47D824">
            <w:pPr>
              <w:pStyle w:val="16"/>
            </w:pPr>
            <w:r>
              <w:rPr>
                <w:rFonts w:hint="eastAsia"/>
              </w:rPr>
              <w:t>密码产品</w:t>
            </w:r>
          </w:p>
        </w:tc>
        <w:tc>
          <w:tcPr>
            <w:tcW w:w="2000" w:type="pct"/>
            <w:vAlign w:val="center"/>
          </w:tcPr>
          <w:p w14:paraId="081FDA24">
            <w:pPr>
              <w:pStyle w:val="16"/>
            </w:pPr>
            <w:r>
              <w:rPr>
                <w:rFonts w:hint="eastAsia"/>
              </w:rPr>
              <w:t>采用的密码产品应达到</w:t>
            </w:r>
            <w:r>
              <w:t>GB/T 37092</w:t>
            </w:r>
            <w:r>
              <w:rPr>
                <w:rFonts w:hint="eastAsia"/>
              </w:rPr>
              <w:t>-2018二级及以上安全要求。</w:t>
            </w:r>
          </w:p>
        </w:tc>
        <w:tc>
          <w:tcPr>
            <w:tcW w:w="846" w:type="pct"/>
            <w:vAlign w:val="center"/>
          </w:tcPr>
          <w:p w14:paraId="5A3887BF">
            <w:pPr>
              <w:pStyle w:val="16"/>
            </w:pPr>
            <w:r>
              <w:rPr>
                <w:rFonts w:hint="eastAsia"/>
              </w:rPr>
              <w:t>无</w:t>
            </w:r>
          </w:p>
        </w:tc>
      </w:tr>
      <w:tr w14:paraId="1F558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43FAE1B5">
            <w:pPr>
              <w:pStyle w:val="16"/>
            </w:pPr>
          </w:p>
        </w:tc>
        <w:tc>
          <w:tcPr>
            <w:tcW w:w="462" w:type="pct"/>
            <w:vMerge w:val="restart"/>
            <w:vAlign w:val="center"/>
          </w:tcPr>
          <w:p w14:paraId="0D8E76CD">
            <w:pPr>
              <w:pStyle w:val="16"/>
            </w:pPr>
            <w:r>
              <w:rPr>
                <w:rFonts w:hint="eastAsia"/>
              </w:rPr>
              <w:t>网络和通信安全</w:t>
            </w:r>
          </w:p>
        </w:tc>
        <w:tc>
          <w:tcPr>
            <w:tcW w:w="1230" w:type="pct"/>
            <w:vAlign w:val="center"/>
          </w:tcPr>
          <w:p w14:paraId="6F781AC7">
            <w:pPr>
              <w:pStyle w:val="16"/>
            </w:pPr>
            <w:r>
              <w:rPr>
                <w:rFonts w:hint="eastAsia"/>
              </w:rPr>
              <w:t>身份鉴别</w:t>
            </w:r>
          </w:p>
        </w:tc>
        <w:tc>
          <w:tcPr>
            <w:tcW w:w="2000" w:type="pct"/>
            <w:vAlign w:val="center"/>
          </w:tcPr>
          <w:p w14:paraId="6B581312">
            <w:pPr>
              <w:pStyle w:val="16"/>
            </w:pPr>
            <w:r>
              <w:rPr>
                <w:rFonts w:hint="eastAsia"/>
              </w:rPr>
              <w:t>已符合密码应用要求。</w:t>
            </w:r>
          </w:p>
        </w:tc>
        <w:tc>
          <w:tcPr>
            <w:tcW w:w="846" w:type="pct"/>
            <w:vAlign w:val="center"/>
          </w:tcPr>
          <w:p w14:paraId="0DFF8D22">
            <w:pPr>
              <w:pStyle w:val="16"/>
            </w:pPr>
            <w:r>
              <w:rPr>
                <w:rFonts w:hint="eastAsia"/>
              </w:rPr>
              <w:t>无</w:t>
            </w:r>
          </w:p>
        </w:tc>
      </w:tr>
      <w:tr w14:paraId="18418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1A488A48">
            <w:pPr>
              <w:pStyle w:val="16"/>
            </w:pPr>
          </w:p>
        </w:tc>
        <w:tc>
          <w:tcPr>
            <w:tcW w:w="462" w:type="pct"/>
            <w:vMerge w:val="continue"/>
            <w:vAlign w:val="center"/>
          </w:tcPr>
          <w:p w14:paraId="195A134D">
            <w:pPr>
              <w:pStyle w:val="16"/>
            </w:pPr>
          </w:p>
        </w:tc>
        <w:tc>
          <w:tcPr>
            <w:tcW w:w="1230" w:type="pct"/>
            <w:vAlign w:val="center"/>
          </w:tcPr>
          <w:p w14:paraId="01FD0082">
            <w:pPr>
              <w:pStyle w:val="16"/>
            </w:pPr>
            <w:r>
              <w:rPr>
                <w:rFonts w:hint="eastAsia"/>
              </w:rPr>
              <w:t>通信数据完整性</w:t>
            </w:r>
          </w:p>
        </w:tc>
        <w:tc>
          <w:tcPr>
            <w:tcW w:w="2000" w:type="pct"/>
            <w:vMerge w:val="restart"/>
            <w:vAlign w:val="center"/>
          </w:tcPr>
          <w:p w14:paraId="16E57B49">
            <w:pPr>
              <w:pStyle w:val="16"/>
            </w:pPr>
            <w:r>
              <w:rPr>
                <w:rFonts w:hint="eastAsia"/>
              </w:rPr>
              <w:t>保护通信过程中重要业务数据的完整性和机密性，防止数据被非授权篡改，防止重要数据泄露。</w:t>
            </w:r>
          </w:p>
        </w:tc>
        <w:tc>
          <w:tcPr>
            <w:tcW w:w="846" w:type="pct"/>
            <w:vAlign w:val="center"/>
          </w:tcPr>
          <w:p w14:paraId="74323799">
            <w:pPr>
              <w:pStyle w:val="16"/>
            </w:pPr>
            <w:r>
              <w:rPr>
                <w:rFonts w:hint="eastAsia"/>
              </w:rPr>
              <w:t>无</w:t>
            </w:r>
          </w:p>
        </w:tc>
      </w:tr>
      <w:tr w14:paraId="0F8BA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6C9D7959">
            <w:pPr>
              <w:pStyle w:val="16"/>
            </w:pPr>
          </w:p>
        </w:tc>
        <w:tc>
          <w:tcPr>
            <w:tcW w:w="462" w:type="pct"/>
            <w:vMerge w:val="continue"/>
            <w:vAlign w:val="center"/>
          </w:tcPr>
          <w:p w14:paraId="2E866FC9">
            <w:pPr>
              <w:pStyle w:val="16"/>
            </w:pPr>
          </w:p>
        </w:tc>
        <w:tc>
          <w:tcPr>
            <w:tcW w:w="1230" w:type="pct"/>
            <w:vAlign w:val="center"/>
          </w:tcPr>
          <w:p w14:paraId="659EA8EE">
            <w:pPr>
              <w:pStyle w:val="16"/>
            </w:pPr>
            <w:r>
              <w:rPr>
                <w:rFonts w:hint="eastAsia"/>
              </w:rPr>
              <w:t>通信过程中重要数据的机密性</w:t>
            </w:r>
          </w:p>
        </w:tc>
        <w:tc>
          <w:tcPr>
            <w:tcW w:w="2000" w:type="pct"/>
            <w:vMerge w:val="continue"/>
            <w:vAlign w:val="center"/>
          </w:tcPr>
          <w:p w14:paraId="3F553D8D">
            <w:pPr>
              <w:pStyle w:val="16"/>
            </w:pPr>
          </w:p>
        </w:tc>
        <w:tc>
          <w:tcPr>
            <w:tcW w:w="846" w:type="pct"/>
            <w:vAlign w:val="center"/>
          </w:tcPr>
          <w:p w14:paraId="422D33A9">
            <w:pPr>
              <w:pStyle w:val="16"/>
            </w:pPr>
            <w:r>
              <w:rPr>
                <w:rFonts w:hint="eastAsia"/>
              </w:rPr>
              <w:t>无</w:t>
            </w:r>
          </w:p>
        </w:tc>
      </w:tr>
      <w:tr w14:paraId="6311E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2095234D">
            <w:pPr>
              <w:pStyle w:val="16"/>
            </w:pPr>
          </w:p>
        </w:tc>
        <w:tc>
          <w:tcPr>
            <w:tcW w:w="462" w:type="pct"/>
            <w:vMerge w:val="continue"/>
            <w:vAlign w:val="center"/>
          </w:tcPr>
          <w:p w14:paraId="69AAA710">
            <w:pPr>
              <w:pStyle w:val="16"/>
            </w:pPr>
          </w:p>
        </w:tc>
        <w:tc>
          <w:tcPr>
            <w:tcW w:w="1230" w:type="pct"/>
            <w:vAlign w:val="center"/>
          </w:tcPr>
          <w:p w14:paraId="6316002C">
            <w:pPr>
              <w:pStyle w:val="16"/>
            </w:pPr>
            <w:r>
              <w:rPr>
                <w:rFonts w:hint="eastAsia"/>
              </w:rPr>
              <w:t>网络边界访问控制信息的完整性</w:t>
            </w:r>
            <w:r>
              <w:t xml:space="preserve"> </w:t>
            </w:r>
          </w:p>
        </w:tc>
        <w:tc>
          <w:tcPr>
            <w:tcW w:w="2000" w:type="pct"/>
            <w:vAlign w:val="center"/>
          </w:tcPr>
          <w:p w14:paraId="4DA49E38">
            <w:pPr>
              <w:pStyle w:val="16"/>
            </w:pPr>
            <w:r>
              <w:rPr>
                <w:rFonts w:hint="eastAsia"/>
              </w:rPr>
              <w:t>保护用户访问应用系统的网络边界访问控制信息的完整性，防止被非授权篡改。</w:t>
            </w:r>
          </w:p>
        </w:tc>
        <w:tc>
          <w:tcPr>
            <w:tcW w:w="846" w:type="pct"/>
            <w:vAlign w:val="center"/>
          </w:tcPr>
          <w:p w14:paraId="4350311C">
            <w:pPr>
              <w:pStyle w:val="16"/>
            </w:pPr>
            <w:r>
              <w:rPr>
                <w:rFonts w:hint="eastAsia"/>
              </w:rPr>
              <w:t>无</w:t>
            </w:r>
          </w:p>
        </w:tc>
      </w:tr>
      <w:tr w14:paraId="481AE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352AFD09">
            <w:pPr>
              <w:pStyle w:val="16"/>
            </w:pPr>
          </w:p>
        </w:tc>
        <w:tc>
          <w:tcPr>
            <w:tcW w:w="462" w:type="pct"/>
            <w:vMerge w:val="continue"/>
            <w:vAlign w:val="center"/>
          </w:tcPr>
          <w:p w14:paraId="3D393EBE">
            <w:pPr>
              <w:pStyle w:val="16"/>
            </w:pPr>
          </w:p>
        </w:tc>
        <w:tc>
          <w:tcPr>
            <w:tcW w:w="1230" w:type="pct"/>
            <w:vAlign w:val="center"/>
          </w:tcPr>
          <w:p w14:paraId="2C2431F1">
            <w:pPr>
              <w:pStyle w:val="16"/>
            </w:pPr>
            <w:r>
              <w:rPr>
                <w:rFonts w:hint="eastAsia"/>
              </w:rPr>
              <w:t>安全接入认证</w:t>
            </w:r>
          </w:p>
        </w:tc>
        <w:tc>
          <w:tcPr>
            <w:tcW w:w="2000" w:type="pct"/>
            <w:vAlign w:val="center"/>
          </w:tcPr>
          <w:p w14:paraId="38F5054E">
            <w:pPr>
              <w:pStyle w:val="16"/>
            </w:pPr>
            <w:r>
              <w:rPr>
                <w:rFonts w:hint="eastAsia"/>
              </w:rPr>
              <w:t>不适用。</w:t>
            </w:r>
          </w:p>
        </w:tc>
        <w:tc>
          <w:tcPr>
            <w:tcW w:w="846" w:type="pct"/>
            <w:vAlign w:val="center"/>
          </w:tcPr>
          <w:p w14:paraId="56EA7558">
            <w:pPr>
              <w:pStyle w:val="16"/>
            </w:pPr>
            <w:r>
              <w:rPr>
                <w:rFonts w:hint="eastAsia"/>
              </w:rPr>
              <w:t>无外部设备接入本系统的需求</w:t>
            </w:r>
          </w:p>
        </w:tc>
      </w:tr>
      <w:tr w14:paraId="24B6D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4FF52A13">
            <w:pPr>
              <w:pStyle w:val="16"/>
            </w:pPr>
          </w:p>
        </w:tc>
        <w:tc>
          <w:tcPr>
            <w:tcW w:w="462" w:type="pct"/>
            <w:vMerge w:val="continue"/>
            <w:vAlign w:val="center"/>
          </w:tcPr>
          <w:p w14:paraId="0E4081DA">
            <w:pPr>
              <w:pStyle w:val="16"/>
            </w:pPr>
          </w:p>
        </w:tc>
        <w:tc>
          <w:tcPr>
            <w:tcW w:w="1230" w:type="pct"/>
            <w:vAlign w:val="center"/>
          </w:tcPr>
          <w:p w14:paraId="336E61B8">
            <w:pPr>
              <w:pStyle w:val="16"/>
            </w:pPr>
            <w:r>
              <w:rPr>
                <w:rFonts w:hint="eastAsia"/>
              </w:rPr>
              <w:t>密码服务</w:t>
            </w:r>
          </w:p>
        </w:tc>
        <w:tc>
          <w:tcPr>
            <w:tcW w:w="2000" w:type="pct"/>
            <w:vAlign w:val="center"/>
          </w:tcPr>
          <w:p w14:paraId="5FACCD8A">
            <w:pPr>
              <w:pStyle w:val="16"/>
            </w:pPr>
            <w:r>
              <w:rPr>
                <w:rFonts w:hint="eastAsia"/>
              </w:rPr>
              <w:t>采用的数字证书由具有电子认证服务资质的机构签发。</w:t>
            </w:r>
          </w:p>
        </w:tc>
        <w:tc>
          <w:tcPr>
            <w:tcW w:w="846" w:type="pct"/>
            <w:vAlign w:val="center"/>
          </w:tcPr>
          <w:p w14:paraId="0725CFAA">
            <w:pPr>
              <w:pStyle w:val="16"/>
            </w:pPr>
            <w:r>
              <w:rPr>
                <w:rFonts w:hint="eastAsia"/>
              </w:rPr>
              <w:t>无</w:t>
            </w:r>
          </w:p>
        </w:tc>
      </w:tr>
      <w:tr w14:paraId="29B06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69EB3D5A">
            <w:pPr>
              <w:pStyle w:val="16"/>
            </w:pPr>
          </w:p>
        </w:tc>
        <w:tc>
          <w:tcPr>
            <w:tcW w:w="462" w:type="pct"/>
            <w:vMerge w:val="continue"/>
            <w:vAlign w:val="center"/>
          </w:tcPr>
          <w:p w14:paraId="5C77B91C">
            <w:pPr>
              <w:pStyle w:val="16"/>
            </w:pPr>
          </w:p>
        </w:tc>
        <w:tc>
          <w:tcPr>
            <w:tcW w:w="1230" w:type="pct"/>
            <w:vAlign w:val="center"/>
          </w:tcPr>
          <w:p w14:paraId="43532616">
            <w:pPr>
              <w:pStyle w:val="16"/>
            </w:pPr>
            <w:r>
              <w:rPr>
                <w:rFonts w:hint="eastAsia"/>
              </w:rPr>
              <w:t>密码产品</w:t>
            </w:r>
          </w:p>
        </w:tc>
        <w:tc>
          <w:tcPr>
            <w:tcW w:w="2000" w:type="pct"/>
            <w:vAlign w:val="center"/>
          </w:tcPr>
          <w:p w14:paraId="796D9C4F">
            <w:pPr>
              <w:pStyle w:val="16"/>
            </w:pPr>
            <w:r>
              <w:rPr>
                <w:rFonts w:hint="eastAsia"/>
              </w:rPr>
              <w:t>采用的密码产品应达到</w:t>
            </w:r>
            <w:r>
              <w:t>GB/T 37092</w:t>
            </w:r>
            <w:r>
              <w:rPr>
                <w:rFonts w:hint="eastAsia"/>
              </w:rPr>
              <w:t>-2018二级及以上安全要求。</w:t>
            </w:r>
          </w:p>
        </w:tc>
        <w:tc>
          <w:tcPr>
            <w:tcW w:w="846" w:type="pct"/>
            <w:vAlign w:val="center"/>
          </w:tcPr>
          <w:p w14:paraId="15C58D21">
            <w:pPr>
              <w:pStyle w:val="16"/>
            </w:pPr>
            <w:r>
              <w:rPr>
                <w:rFonts w:hint="eastAsia"/>
              </w:rPr>
              <w:t>无</w:t>
            </w:r>
          </w:p>
        </w:tc>
      </w:tr>
      <w:tr w14:paraId="54E0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30926610">
            <w:pPr>
              <w:pStyle w:val="16"/>
            </w:pPr>
          </w:p>
        </w:tc>
        <w:tc>
          <w:tcPr>
            <w:tcW w:w="462" w:type="pct"/>
            <w:vMerge w:val="restart"/>
            <w:vAlign w:val="center"/>
          </w:tcPr>
          <w:p w14:paraId="17158C3C">
            <w:pPr>
              <w:pStyle w:val="16"/>
            </w:pPr>
            <w:r>
              <w:rPr>
                <w:rFonts w:hint="eastAsia"/>
              </w:rPr>
              <w:t>设备和计算安全</w:t>
            </w:r>
          </w:p>
        </w:tc>
        <w:tc>
          <w:tcPr>
            <w:tcW w:w="1230" w:type="pct"/>
            <w:vAlign w:val="center"/>
          </w:tcPr>
          <w:p w14:paraId="6AF97A46">
            <w:pPr>
              <w:pStyle w:val="16"/>
            </w:pPr>
            <w:r>
              <w:rPr>
                <w:rFonts w:hint="eastAsia"/>
              </w:rPr>
              <w:t>身份鉴别</w:t>
            </w:r>
          </w:p>
        </w:tc>
        <w:tc>
          <w:tcPr>
            <w:tcW w:w="2000" w:type="pct"/>
            <w:vAlign w:val="center"/>
          </w:tcPr>
          <w:p w14:paraId="6395ABA3">
            <w:pPr>
              <w:pStyle w:val="16"/>
            </w:pPr>
            <w:r>
              <w:rPr>
                <w:rFonts w:hint="eastAsia"/>
              </w:rPr>
              <w:t>管理员通过远程运维管理终端访问堡垒机、服务器虚拟机、数据库、密码服务时，对其</w:t>
            </w:r>
            <w:r>
              <w:t>身份真实性进行识别和确认，防止假冒人员登录</w:t>
            </w:r>
            <w:r>
              <w:rPr>
                <w:rFonts w:hint="eastAsia"/>
              </w:rPr>
              <w:t>。</w:t>
            </w:r>
          </w:p>
        </w:tc>
        <w:tc>
          <w:tcPr>
            <w:tcW w:w="846" w:type="pct"/>
            <w:vAlign w:val="center"/>
          </w:tcPr>
          <w:p w14:paraId="02072D82">
            <w:pPr>
              <w:pStyle w:val="16"/>
            </w:pPr>
            <w:r>
              <w:t>无</w:t>
            </w:r>
          </w:p>
        </w:tc>
      </w:tr>
      <w:tr w14:paraId="5307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366B2B8C">
            <w:pPr>
              <w:pStyle w:val="16"/>
            </w:pPr>
          </w:p>
        </w:tc>
        <w:tc>
          <w:tcPr>
            <w:tcW w:w="462" w:type="pct"/>
            <w:vMerge w:val="continue"/>
            <w:vAlign w:val="center"/>
          </w:tcPr>
          <w:p w14:paraId="508A1CA5">
            <w:pPr>
              <w:pStyle w:val="16"/>
            </w:pPr>
          </w:p>
        </w:tc>
        <w:tc>
          <w:tcPr>
            <w:tcW w:w="1230" w:type="pct"/>
            <w:vAlign w:val="center"/>
          </w:tcPr>
          <w:p w14:paraId="0B665F01">
            <w:pPr>
              <w:pStyle w:val="16"/>
            </w:pPr>
            <w:r>
              <w:rPr>
                <w:rFonts w:hint="eastAsia"/>
              </w:rPr>
              <w:t>远程管理通道安全</w:t>
            </w:r>
          </w:p>
        </w:tc>
        <w:tc>
          <w:tcPr>
            <w:tcW w:w="2000" w:type="pct"/>
            <w:vAlign w:val="center"/>
          </w:tcPr>
          <w:p w14:paraId="5155C1F3">
            <w:pPr>
              <w:pStyle w:val="16"/>
            </w:pPr>
            <w:r>
              <w:t>在</w:t>
            </w:r>
            <w:r>
              <w:rPr>
                <w:rFonts w:hint="eastAsia"/>
              </w:rPr>
              <w:t>设备实施</w:t>
            </w:r>
            <w:r>
              <w:t>远程</w:t>
            </w:r>
            <w:r>
              <w:rPr>
                <w:rFonts w:hint="eastAsia"/>
              </w:rPr>
              <w:t>运维</w:t>
            </w:r>
            <w:r>
              <w:t>管理时，对</w:t>
            </w:r>
            <w:r>
              <w:rPr>
                <w:rFonts w:hint="eastAsia"/>
              </w:rPr>
              <w:t>设备的运维</w:t>
            </w:r>
            <w:r>
              <w:t>管理</w:t>
            </w:r>
            <w:r>
              <w:rPr>
                <w:rFonts w:hint="eastAsia"/>
              </w:rPr>
              <w:t>通道进行</w:t>
            </w:r>
            <w:r>
              <w:t>保护，防止</w:t>
            </w:r>
            <w:r>
              <w:rPr>
                <w:rFonts w:hint="eastAsia"/>
              </w:rPr>
              <w:t>运维管理数据</w:t>
            </w:r>
            <w:r>
              <w:t>泄漏</w:t>
            </w:r>
            <w:r>
              <w:rPr>
                <w:rFonts w:hint="eastAsia"/>
              </w:rPr>
              <w:t>。</w:t>
            </w:r>
          </w:p>
        </w:tc>
        <w:tc>
          <w:tcPr>
            <w:tcW w:w="846" w:type="pct"/>
            <w:vAlign w:val="center"/>
          </w:tcPr>
          <w:p w14:paraId="67C463E1">
            <w:pPr>
              <w:pStyle w:val="16"/>
            </w:pPr>
            <w:r>
              <w:t>无</w:t>
            </w:r>
          </w:p>
        </w:tc>
      </w:tr>
      <w:tr w14:paraId="493F9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199CCC9A">
            <w:pPr>
              <w:pStyle w:val="16"/>
            </w:pPr>
          </w:p>
        </w:tc>
        <w:tc>
          <w:tcPr>
            <w:tcW w:w="462" w:type="pct"/>
            <w:vMerge w:val="continue"/>
            <w:vAlign w:val="center"/>
          </w:tcPr>
          <w:p w14:paraId="227F2AC7">
            <w:pPr>
              <w:pStyle w:val="16"/>
            </w:pPr>
          </w:p>
        </w:tc>
        <w:tc>
          <w:tcPr>
            <w:tcW w:w="1230" w:type="pct"/>
            <w:vAlign w:val="center"/>
          </w:tcPr>
          <w:p w14:paraId="2A42D205">
            <w:pPr>
              <w:pStyle w:val="16"/>
            </w:pPr>
            <w:r>
              <w:rPr>
                <w:rFonts w:hint="eastAsia"/>
              </w:rPr>
              <w:t>系统资源访问控制信息完整性</w:t>
            </w:r>
          </w:p>
        </w:tc>
        <w:tc>
          <w:tcPr>
            <w:tcW w:w="2000" w:type="pct"/>
            <w:vAlign w:val="center"/>
          </w:tcPr>
          <w:p w14:paraId="67625019">
            <w:pPr>
              <w:pStyle w:val="16"/>
            </w:pPr>
            <w:r>
              <w:t>保护系统中服务器</w:t>
            </w:r>
            <w:r>
              <w:rPr>
                <w:rFonts w:hint="eastAsia"/>
              </w:rPr>
              <w:t>虚拟机、数据库、密码服务的</w:t>
            </w:r>
            <w:r>
              <w:t>访问控制信息的完整性，防止被非授权篡改</w:t>
            </w:r>
            <w:r>
              <w:rPr>
                <w:rFonts w:hint="eastAsia"/>
              </w:rPr>
              <w:t>。</w:t>
            </w:r>
          </w:p>
        </w:tc>
        <w:tc>
          <w:tcPr>
            <w:tcW w:w="846" w:type="pct"/>
            <w:vAlign w:val="center"/>
          </w:tcPr>
          <w:p w14:paraId="635F2FF6">
            <w:pPr>
              <w:pStyle w:val="16"/>
            </w:pPr>
            <w:r>
              <w:t>无</w:t>
            </w:r>
          </w:p>
        </w:tc>
      </w:tr>
      <w:tr w14:paraId="111A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70643675">
            <w:pPr>
              <w:pStyle w:val="16"/>
            </w:pPr>
          </w:p>
        </w:tc>
        <w:tc>
          <w:tcPr>
            <w:tcW w:w="462" w:type="pct"/>
            <w:vMerge w:val="continue"/>
            <w:vAlign w:val="center"/>
          </w:tcPr>
          <w:p w14:paraId="50C533AB">
            <w:pPr>
              <w:pStyle w:val="16"/>
            </w:pPr>
          </w:p>
        </w:tc>
        <w:tc>
          <w:tcPr>
            <w:tcW w:w="1230" w:type="pct"/>
            <w:vAlign w:val="center"/>
          </w:tcPr>
          <w:p w14:paraId="1F1FF997">
            <w:pPr>
              <w:pStyle w:val="16"/>
            </w:pPr>
            <w:r>
              <w:rPr>
                <w:rFonts w:hint="eastAsia"/>
              </w:rPr>
              <w:t>重要信息资源安全标记完整性</w:t>
            </w:r>
          </w:p>
        </w:tc>
        <w:tc>
          <w:tcPr>
            <w:tcW w:w="2000" w:type="pct"/>
            <w:vAlign w:val="center"/>
          </w:tcPr>
          <w:p w14:paraId="43526824">
            <w:pPr>
              <w:pStyle w:val="16"/>
            </w:pPr>
            <w:r>
              <w:t>不适用</w:t>
            </w:r>
            <w:r>
              <w:rPr>
                <w:rFonts w:hint="eastAsia"/>
              </w:rPr>
              <w:t>。</w:t>
            </w:r>
          </w:p>
        </w:tc>
        <w:tc>
          <w:tcPr>
            <w:tcW w:w="846" w:type="pct"/>
            <w:vAlign w:val="center"/>
          </w:tcPr>
          <w:p w14:paraId="3AB6A1CA">
            <w:pPr>
              <w:pStyle w:val="16"/>
            </w:pPr>
            <w:r>
              <w:t>设备没有安全标记</w:t>
            </w:r>
          </w:p>
        </w:tc>
      </w:tr>
      <w:tr w14:paraId="4D4FB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0E2D5D7E">
            <w:pPr>
              <w:pStyle w:val="16"/>
            </w:pPr>
          </w:p>
        </w:tc>
        <w:tc>
          <w:tcPr>
            <w:tcW w:w="462" w:type="pct"/>
            <w:vMerge w:val="continue"/>
            <w:vAlign w:val="center"/>
          </w:tcPr>
          <w:p w14:paraId="1F1F8028">
            <w:pPr>
              <w:pStyle w:val="16"/>
            </w:pPr>
          </w:p>
        </w:tc>
        <w:tc>
          <w:tcPr>
            <w:tcW w:w="1230" w:type="pct"/>
            <w:vAlign w:val="center"/>
          </w:tcPr>
          <w:p w14:paraId="5C242FB7">
            <w:pPr>
              <w:pStyle w:val="16"/>
            </w:pPr>
            <w:r>
              <w:rPr>
                <w:rFonts w:hint="eastAsia"/>
              </w:rPr>
              <w:t>日志记录完整性</w:t>
            </w:r>
          </w:p>
        </w:tc>
        <w:tc>
          <w:tcPr>
            <w:tcW w:w="2000" w:type="pct"/>
            <w:vAlign w:val="center"/>
          </w:tcPr>
          <w:p w14:paraId="37CBB18F">
            <w:pPr>
              <w:pStyle w:val="16"/>
            </w:pPr>
            <w:r>
              <w:t>保护系统中服务器</w:t>
            </w:r>
            <w:r>
              <w:rPr>
                <w:rFonts w:hint="eastAsia"/>
              </w:rPr>
              <w:t>虚拟机、数据库、密码服务的</w:t>
            </w:r>
            <w:r>
              <w:t>日志记录的完整性，防止被非授权篡改</w:t>
            </w:r>
            <w:r>
              <w:rPr>
                <w:rFonts w:hint="eastAsia"/>
              </w:rPr>
              <w:t>。</w:t>
            </w:r>
          </w:p>
        </w:tc>
        <w:tc>
          <w:tcPr>
            <w:tcW w:w="846" w:type="pct"/>
            <w:vAlign w:val="center"/>
          </w:tcPr>
          <w:p w14:paraId="62F48E04">
            <w:pPr>
              <w:pStyle w:val="16"/>
            </w:pPr>
            <w:r>
              <w:t>无</w:t>
            </w:r>
          </w:p>
        </w:tc>
      </w:tr>
      <w:tr w14:paraId="5CED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54F89F71">
            <w:pPr>
              <w:pStyle w:val="16"/>
            </w:pPr>
          </w:p>
        </w:tc>
        <w:tc>
          <w:tcPr>
            <w:tcW w:w="462" w:type="pct"/>
            <w:vMerge w:val="continue"/>
            <w:vAlign w:val="center"/>
          </w:tcPr>
          <w:p w14:paraId="33BB7D6E">
            <w:pPr>
              <w:pStyle w:val="16"/>
            </w:pPr>
          </w:p>
        </w:tc>
        <w:tc>
          <w:tcPr>
            <w:tcW w:w="1230" w:type="pct"/>
            <w:vAlign w:val="center"/>
          </w:tcPr>
          <w:p w14:paraId="6D1C183A">
            <w:pPr>
              <w:pStyle w:val="16"/>
            </w:pPr>
            <w:r>
              <w:rPr>
                <w:rFonts w:hint="eastAsia"/>
              </w:rPr>
              <w:t>重要可执行程序完整性、</w:t>
            </w:r>
          </w:p>
          <w:p w14:paraId="13820167">
            <w:pPr>
              <w:pStyle w:val="16"/>
            </w:pPr>
            <w:r>
              <w:rPr>
                <w:rFonts w:hint="eastAsia"/>
              </w:rPr>
              <w:t>来源真实性</w:t>
            </w:r>
          </w:p>
        </w:tc>
        <w:tc>
          <w:tcPr>
            <w:tcW w:w="2000" w:type="pct"/>
            <w:vAlign w:val="center"/>
          </w:tcPr>
          <w:p w14:paraId="3D1927E4">
            <w:pPr>
              <w:pStyle w:val="16"/>
            </w:pPr>
            <w:r>
              <w:t>保护</w:t>
            </w:r>
            <w:r>
              <w:rPr>
                <w:rFonts w:hint="eastAsia"/>
              </w:rPr>
              <w:t>应用</w:t>
            </w:r>
            <w:r>
              <w:t>服务器等设备中</w:t>
            </w:r>
            <w:r>
              <w:rPr>
                <w:rFonts w:hint="eastAsia"/>
              </w:rPr>
              <w:t>部署的</w:t>
            </w:r>
            <w:r>
              <w:t>重要可执行程序的完整性</w:t>
            </w:r>
            <w:r>
              <w:rPr>
                <w:rFonts w:hint="eastAsia"/>
              </w:rPr>
              <w:t>和来源真实性</w:t>
            </w:r>
            <w:r>
              <w:t>，防止被非授权篡改</w:t>
            </w:r>
            <w:r>
              <w:rPr>
                <w:rFonts w:hint="eastAsia"/>
              </w:rPr>
              <w:t>。</w:t>
            </w:r>
          </w:p>
        </w:tc>
        <w:tc>
          <w:tcPr>
            <w:tcW w:w="846" w:type="pct"/>
            <w:vAlign w:val="center"/>
          </w:tcPr>
          <w:p w14:paraId="0119EDF0">
            <w:pPr>
              <w:pStyle w:val="16"/>
            </w:pPr>
            <w:r>
              <w:t>无</w:t>
            </w:r>
          </w:p>
        </w:tc>
      </w:tr>
      <w:tr w14:paraId="172BA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50840848">
            <w:pPr>
              <w:pStyle w:val="16"/>
            </w:pPr>
          </w:p>
        </w:tc>
        <w:tc>
          <w:tcPr>
            <w:tcW w:w="462" w:type="pct"/>
            <w:vMerge w:val="continue"/>
            <w:vAlign w:val="center"/>
          </w:tcPr>
          <w:p w14:paraId="27894E1F">
            <w:pPr>
              <w:pStyle w:val="16"/>
            </w:pPr>
          </w:p>
        </w:tc>
        <w:tc>
          <w:tcPr>
            <w:tcW w:w="1230" w:type="pct"/>
            <w:vAlign w:val="center"/>
          </w:tcPr>
          <w:p w14:paraId="05C3F5B4">
            <w:pPr>
              <w:pStyle w:val="16"/>
            </w:pPr>
            <w:r>
              <w:rPr>
                <w:rFonts w:hint="eastAsia"/>
              </w:rPr>
              <w:t>密码服务</w:t>
            </w:r>
          </w:p>
        </w:tc>
        <w:tc>
          <w:tcPr>
            <w:tcW w:w="2000" w:type="pct"/>
            <w:vAlign w:val="center"/>
          </w:tcPr>
          <w:p w14:paraId="3510E861">
            <w:pPr>
              <w:pStyle w:val="16"/>
            </w:pPr>
            <w:r>
              <w:rPr>
                <w:rFonts w:hint="eastAsia"/>
              </w:rPr>
              <w:t>不适用。</w:t>
            </w:r>
          </w:p>
        </w:tc>
        <w:tc>
          <w:tcPr>
            <w:tcW w:w="846" w:type="pct"/>
            <w:vAlign w:val="center"/>
          </w:tcPr>
          <w:p w14:paraId="30389D56">
            <w:pPr>
              <w:pStyle w:val="16"/>
            </w:pPr>
            <w:r>
              <w:rPr>
                <w:rFonts w:hint="eastAsia"/>
              </w:rPr>
              <w:t>无密码服务需求</w:t>
            </w:r>
          </w:p>
        </w:tc>
      </w:tr>
      <w:tr w14:paraId="493AA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58880993">
            <w:pPr>
              <w:pStyle w:val="16"/>
            </w:pPr>
          </w:p>
        </w:tc>
        <w:tc>
          <w:tcPr>
            <w:tcW w:w="462" w:type="pct"/>
            <w:vMerge w:val="continue"/>
            <w:vAlign w:val="center"/>
          </w:tcPr>
          <w:p w14:paraId="2CE49E37">
            <w:pPr>
              <w:pStyle w:val="16"/>
            </w:pPr>
          </w:p>
        </w:tc>
        <w:tc>
          <w:tcPr>
            <w:tcW w:w="1230" w:type="pct"/>
            <w:vAlign w:val="center"/>
          </w:tcPr>
          <w:p w14:paraId="5897FFC7">
            <w:pPr>
              <w:pStyle w:val="16"/>
            </w:pPr>
            <w:r>
              <w:rPr>
                <w:rFonts w:hint="eastAsia"/>
              </w:rPr>
              <w:t>密码产品</w:t>
            </w:r>
          </w:p>
        </w:tc>
        <w:tc>
          <w:tcPr>
            <w:tcW w:w="2000" w:type="pct"/>
            <w:vAlign w:val="center"/>
          </w:tcPr>
          <w:p w14:paraId="4003995F">
            <w:pPr>
              <w:pStyle w:val="16"/>
            </w:pPr>
            <w:r>
              <w:rPr>
                <w:rFonts w:hint="eastAsia"/>
              </w:rPr>
              <w:t>采用的密码产品应达到</w:t>
            </w:r>
            <w:r>
              <w:t>GB/T 37092</w:t>
            </w:r>
            <w:r>
              <w:rPr>
                <w:rFonts w:hint="eastAsia"/>
              </w:rPr>
              <w:t>-2018二级及以上安全要求。</w:t>
            </w:r>
          </w:p>
        </w:tc>
        <w:tc>
          <w:tcPr>
            <w:tcW w:w="846" w:type="pct"/>
            <w:vAlign w:val="center"/>
          </w:tcPr>
          <w:p w14:paraId="74253D98">
            <w:pPr>
              <w:pStyle w:val="16"/>
            </w:pPr>
            <w:r>
              <w:rPr>
                <w:rFonts w:hint="eastAsia"/>
              </w:rPr>
              <w:t>无</w:t>
            </w:r>
          </w:p>
        </w:tc>
      </w:tr>
      <w:tr w14:paraId="4A31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restart"/>
            <w:vAlign w:val="center"/>
          </w:tcPr>
          <w:p w14:paraId="71C528FA">
            <w:pPr>
              <w:pStyle w:val="16"/>
            </w:pPr>
            <w:r>
              <w:rPr>
                <w:rFonts w:hint="eastAsia"/>
              </w:rPr>
              <w:t>业务应用安全</w:t>
            </w:r>
          </w:p>
        </w:tc>
        <w:tc>
          <w:tcPr>
            <w:tcW w:w="462" w:type="pct"/>
            <w:vMerge w:val="restart"/>
            <w:vAlign w:val="center"/>
          </w:tcPr>
          <w:p w14:paraId="66B1CF55">
            <w:pPr>
              <w:pStyle w:val="16"/>
            </w:pPr>
            <w:r>
              <w:rPr>
                <w:rFonts w:hint="eastAsia"/>
              </w:rPr>
              <w:t>应用和数据安全</w:t>
            </w:r>
          </w:p>
        </w:tc>
        <w:tc>
          <w:tcPr>
            <w:tcW w:w="1230" w:type="pct"/>
            <w:vAlign w:val="center"/>
          </w:tcPr>
          <w:p w14:paraId="19CA13CB">
            <w:pPr>
              <w:pStyle w:val="16"/>
            </w:pPr>
            <w:r>
              <w:rPr>
                <w:rFonts w:hint="eastAsia"/>
              </w:rPr>
              <w:t>身份鉴别</w:t>
            </w:r>
          </w:p>
        </w:tc>
        <w:tc>
          <w:tcPr>
            <w:tcW w:w="2000" w:type="pct"/>
            <w:vAlign w:val="center"/>
          </w:tcPr>
          <w:p w14:paraId="3C2DE034">
            <w:pPr>
              <w:pStyle w:val="16"/>
            </w:pPr>
            <w:r>
              <w:t>确认</w:t>
            </w:r>
            <w:r>
              <w:rPr>
                <w:rFonts w:hint="eastAsia"/>
              </w:rPr>
              <w:t>应用系统</w:t>
            </w:r>
            <w:r>
              <w:t>用户身份的真实性，防止假冒人员登录</w:t>
            </w:r>
            <w:r>
              <w:rPr>
                <w:rFonts w:hint="eastAsia"/>
              </w:rPr>
              <w:t>。</w:t>
            </w:r>
          </w:p>
        </w:tc>
        <w:tc>
          <w:tcPr>
            <w:tcW w:w="846" w:type="pct"/>
            <w:vAlign w:val="center"/>
          </w:tcPr>
          <w:p w14:paraId="3F0B5D08">
            <w:pPr>
              <w:pStyle w:val="16"/>
            </w:pPr>
            <w:r>
              <w:t>无</w:t>
            </w:r>
          </w:p>
        </w:tc>
      </w:tr>
      <w:tr w14:paraId="315B6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42604849">
            <w:pPr>
              <w:pStyle w:val="16"/>
            </w:pPr>
          </w:p>
        </w:tc>
        <w:tc>
          <w:tcPr>
            <w:tcW w:w="462" w:type="pct"/>
            <w:vMerge w:val="continue"/>
            <w:vAlign w:val="center"/>
          </w:tcPr>
          <w:p w14:paraId="4061A388">
            <w:pPr>
              <w:pStyle w:val="16"/>
            </w:pPr>
          </w:p>
        </w:tc>
        <w:tc>
          <w:tcPr>
            <w:tcW w:w="1230" w:type="pct"/>
            <w:vAlign w:val="center"/>
          </w:tcPr>
          <w:p w14:paraId="0ED21873">
            <w:pPr>
              <w:pStyle w:val="16"/>
            </w:pPr>
            <w:r>
              <w:rPr>
                <w:rFonts w:hint="eastAsia"/>
              </w:rPr>
              <w:t>访问控制信息完整性</w:t>
            </w:r>
          </w:p>
        </w:tc>
        <w:tc>
          <w:tcPr>
            <w:tcW w:w="2000" w:type="pct"/>
            <w:vAlign w:val="center"/>
          </w:tcPr>
          <w:p w14:paraId="7DDCBE34">
            <w:pPr>
              <w:pStyle w:val="16"/>
            </w:pPr>
            <w:r>
              <w:t>对</w:t>
            </w:r>
            <w:r>
              <w:rPr>
                <w:rFonts w:hint="eastAsia"/>
              </w:rPr>
              <w:t>应用系统</w:t>
            </w:r>
            <w:r>
              <w:t>的访问权限控制列表进行完整性保护，防止被非授权篡改</w:t>
            </w:r>
            <w:r>
              <w:rPr>
                <w:rFonts w:hint="eastAsia"/>
              </w:rPr>
              <w:t>。</w:t>
            </w:r>
          </w:p>
        </w:tc>
        <w:tc>
          <w:tcPr>
            <w:tcW w:w="846" w:type="pct"/>
            <w:vAlign w:val="center"/>
          </w:tcPr>
          <w:p w14:paraId="739469D6">
            <w:pPr>
              <w:pStyle w:val="16"/>
            </w:pPr>
            <w:r>
              <w:t>无</w:t>
            </w:r>
          </w:p>
        </w:tc>
      </w:tr>
      <w:tr w14:paraId="41BC6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316288B9">
            <w:pPr>
              <w:pStyle w:val="16"/>
            </w:pPr>
          </w:p>
        </w:tc>
        <w:tc>
          <w:tcPr>
            <w:tcW w:w="462" w:type="pct"/>
            <w:vMerge w:val="continue"/>
            <w:vAlign w:val="center"/>
          </w:tcPr>
          <w:p w14:paraId="6F6A17CB">
            <w:pPr>
              <w:pStyle w:val="16"/>
            </w:pPr>
          </w:p>
        </w:tc>
        <w:tc>
          <w:tcPr>
            <w:tcW w:w="1230" w:type="pct"/>
            <w:vAlign w:val="center"/>
          </w:tcPr>
          <w:p w14:paraId="5A6B63B4">
            <w:pPr>
              <w:pStyle w:val="16"/>
            </w:pPr>
            <w:r>
              <w:rPr>
                <w:rFonts w:hint="eastAsia"/>
              </w:rPr>
              <w:t>重要信息资源安全标记完整性</w:t>
            </w:r>
          </w:p>
        </w:tc>
        <w:tc>
          <w:tcPr>
            <w:tcW w:w="2000" w:type="pct"/>
            <w:vAlign w:val="center"/>
          </w:tcPr>
          <w:p w14:paraId="453F4480">
            <w:pPr>
              <w:pStyle w:val="16"/>
            </w:pPr>
            <w:r>
              <w:t>不适用</w:t>
            </w:r>
            <w:r>
              <w:rPr>
                <w:rFonts w:hint="eastAsia"/>
              </w:rPr>
              <w:t>。</w:t>
            </w:r>
          </w:p>
        </w:tc>
        <w:tc>
          <w:tcPr>
            <w:tcW w:w="846" w:type="pct"/>
            <w:vAlign w:val="center"/>
          </w:tcPr>
          <w:p w14:paraId="36ED8BEC">
            <w:pPr>
              <w:pStyle w:val="16"/>
            </w:pPr>
            <w:r>
              <w:t>应用没有安全标记</w:t>
            </w:r>
            <w:r>
              <w:rPr>
                <w:rFonts w:hint="eastAsia"/>
              </w:rPr>
              <w:t>。</w:t>
            </w:r>
          </w:p>
        </w:tc>
      </w:tr>
      <w:tr w14:paraId="530D9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460" w:type="pct"/>
            <w:vMerge w:val="continue"/>
            <w:vAlign w:val="center"/>
          </w:tcPr>
          <w:p w14:paraId="43F2824A">
            <w:pPr>
              <w:pStyle w:val="16"/>
            </w:pPr>
          </w:p>
        </w:tc>
        <w:tc>
          <w:tcPr>
            <w:tcW w:w="462" w:type="pct"/>
            <w:vMerge w:val="continue"/>
            <w:vAlign w:val="center"/>
          </w:tcPr>
          <w:p w14:paraId="3029D4CE">
            <w:pPr>
              <w:pStyle w:val="16"/>
            </w:pPr>
          </w:p>
        </w:tc>
        <w:tc>
          <w:tcPr>
            <w:tcW w:w="1230" w:type="pct"/>
            <w:vAlign w:val="center"/>
          </w:tcPr>
          <w:p w14:paraId="1B257BF1">
            <w:pPr>
              <w:pStyle w:val="16"/>
            </w:pPr>
            <w:r>
              <w:rPr>
                <w:rFonts w:hint="eastAsia"/>
              </w:rPr>
              <w:t>数据传输机密性</w:t>
            </w:r>
          </w:p>
        </w:tc>
        <w:tc>
          <w:tcPr>
            <w:tcW w:w="2000" w:type="pct"/>
            <w:vMerge w:val="restart"/>
            <w:vAlign w:val="center"/>
          </w:tcPr>
          <w:p w14:paraId="05D902B7">
            <w:pPr>
              <w:pStyle w:val="16"/>
            </w:pPr>
            <w:r>
              <w:rPr>
                <w:rFonts w:hint="eastAsia"/>
              </w:rPr>
              <w:t>保护客户端与服务端之间传输和存储的用户登录身份鉴别信息、信用信息数据等重要数据的机密性和完整性，防止数据泄露给非授权的个人、进程等。保护系统业务日志数据的完整性，防止该数据被非授权篡改。</w:t>
            </w:r>
          </w:p>
        </w:tc>
        <w:tc>
          <w:tcPr>
            <w:tcW w:w="846" w:type="pct"/>
            <w:vMerge w:val="restart"/>
            <w:vAlign w:val="center"/>
          </w:tcPr>
          <w:p w14:paraId="51944DB9">
            <w:pPr>
              <w:pStyle w:val="16"/>
            </w:pPr>
            <w:r>
              <w:rPr>
                <w:rFonts w:hint="eastAsia"/>
              </w:rPr>
              <w:t>无</w:t>
            </w:r>
          </w:p>
        </w:tc>
      </w:tr>
      <w:tr w14:paraId="76E6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460" w:type="pct"/>
            <w:vMerge w:val="continue"/>
            <w:vAlign w:val="center"/>
          </w:tcPr>
          <w:p w14:paraId="543217CE">
            <w:pPr>
              <w:pStyle w:val="16"/>
            </w:pPr>
          </w:p>
        </w:tc>
        <w:tc>
          <w:tcPr>
            <w:tcW w:w="462" w:type="pct"/>
            <w:vMerge w:val="continue"/>
            <w:vAlign w:val="center"/>
          </w:tcPr>
          <w:p w14:paraId="32E8D7BE">
            <w:pPr>
              <w:pStyle w:val="16"/>
            </w:pPr>
          </w:p>
        </w:tc>
        <w:tc>
          <w:tcPr>
            <w:tcW w:w="1230" w:type="pct"/>
            <w:vAlign w:val="center"/>
          </w:tcPr>
          <w:p w14:paraId="52188EAD">
            <w:pPr>
              <w:pStyle w:val="16"/>
            </w:pPr>
            <w:r>
              <w:rPr>
                <w:rFonts w:hint="eastAsia"/>
              </w:rPr>
              <w:t>数据存储机密性</w:t>
            </w:r>
          </w:p>
        </w:tc>
        <w:tc>
          <w:tcPr>
            <w:tcW w:w="2000" w:type="pct"/>
            <w:vMerge w:val="continue"/>
            <w:vAlign w:val="center"/>
          </w:tcPr>
          <w:p w14:paraId="16798EE6">
            <w:pPr>
              <w:pStyle w:val="16"/>
            </w:pPr>
          </w:p>
        </w:tc>
        <w:tc>
          <w:tcPr>
            <w:tcW w:w="846" w:type="pct"/>
            <w:vMerge w:val="continue"/>
            <w:vAlign w:val="center"/>
          </w:tcPr>
          <w:p w14:paraId="66D0F7B1">
            <w:pPr>
              <w:pStyle w:val="16"/>
            </w:pPr>
          </w:p>
        </w:tc>
      </w:tr>
      <w:tr w14:paraId="06C7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460" w:type="pct"/>
            <w:vMerge w:val="continue"/>
            <w:vAlign w:val="center"/>
          </w:tcPr>
          <w:p w14:paraId="1FB7D20E">
            <w:pPr>
              <w:pStyle w:val="16"/>
            </w:pPr>
          </w:p>
        </w:tc>
        <w:tc>
          <w:tcPr>
            <w:tcW w:w="462" w:type="pct"/>
            <w:vMerge w:val="continue"/>
            <w:vAlign w:val="center"/>
          </w:tcPr>
          <w:p w14:paraId="0364851F">
            <w:pPr>
              <w:pStyle w:val="16"/>
            </w:pPr>
          </w:p>
        </w:tc>
        <w:tc>
          <w:tcPr>
            <w:tcW w:w="1230" w:type="pct"/>
            <w:vAlign w:val="center"/>
          </w:tcPr>
          <w:p w14:paraId="13585213">
            <w:pPr>
              <w:pStyle w:val="16"/>
            </w:pPr>
            <w:r>
              <w:rPr>
                <w:rFonts w:hint="eastAsia"/>
              </w:rPr>
              <w:t>数据传输完整性</w:t>
            </w:r>
          </w:p>
        </w:tc>
        <w:tc>
          <w:tcPr>
            <w:tcW w:w="2000" w:type="pct"/>
            <w:vMerge w:val="continue"/>
            <w:vAlign w:val="center"/>
          </w:tcPr>
          <w:p w14:paraId="2DB7A1C5">
            <w:pPr>
              <w:pStyle w:val="16"/>
            </w:pPr>
          </w:p>
        </w:tc>
        <w:tc>
          <w:tcPr>
            <w:tcW w:w="846" w:type="pct"/>
            <w:vMerge w:val="continue"/>
            <w:vAlign w:val="center"/>
          </w:tcPr>
          <w:p w14:paraId="20299E85">
            <w:pPr>
              <w:pStyle w:val="16"/>
            </w:pPr>
          </w:p>
        </w:tc>
      </w:tr>
      <w:tr w14:paraId="1B3E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460" w:type="pct"/>
            <w:vMerge w:val="continue"/>
            <w:vAlign w:val="center"/>
          </w:tcPr>
          <w:p w14:paraId="4389825F">
            <w:pPr>
              <w:pStyle w:val="16"/>
            </w:pPr>
          </w:p>
        </w:tc>
        <w:tc>
          <w:tcPr>
            <w:tcW w:w="462" w:type="pct"/>
            <w:vMerge w:val="continue"/>
            <w:vAlign w:val="center"/>
          </w:tcPr>
          <w:p w14:paraId="4957C1AC">
            <w:pPr>
              <w:pStyle w:val="16"/>
            </w:pPr>
          </w:p>
        </w:tc>
        <w:tc>
          <w:tcPr>
            <w:tcW w:w="1230" w:type="pct"/>
            <w:vAlign w:val="center"/>
          </w:tcPr>
          <w:p w14:paraId="4B264E92">
            <w:pPr>
              <w:pStyle w:val="16"/>
            </w:pPr>
            <w:r>
              <w:rPr>
                <w:rFonts w:hint="eastAsia"/>
              </w:rPr>
              <w:t>数据存储完整性</w:t>
            </w:r>
          </w:p>
        </w:tc>
        <w:tc>
          <w:tcPr>
            <w:tcW w:w="2000" w:type="pct"/>
            <w:vMerge w:val="continue"/>
            <w:vAlign w:val="center"/>
          </w:tcPr>
          <w:p w14:paraId="69D1A6AF">
            <w:pPr>
              <w:pStyle w:val="16"/>
            </w:pPr>
          </w:p>
        </w:tc>
        <w:tc>
          <w:tcPr>
            <w:tcW w:w="846" w:type="pct"/>
            <w:vMerge w:val="continue"/>
            <w:vAlign w:val="center"/>
          </w:tcPr>
          <w:p w14:paraId="235532AF">
            <w:pPr>
              <w:pStyle w:val="16"/>
            </w:pPr>
          </w:p>
        </w:tc>
      </w:tr>
      <w:tr w14:paraId="58852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2533EAA0">
            <w:pPr>
              <w:pStyle w:val="16"/>
            </w:pPr>
          </w:p>
        </w:tc>
        <w:tc>
          <w:tcPr>
            <w:tcW w:w="462" w:type="pct"/>
            <w:vMerge w:val="continue"/>
            <w:vAlign w:val="center"/>
          </w:tcPr>
          <w:p w14:paraId="4A712AE1">
            <w:pPr>
              <w:pStyle w:val="16"/>
            </w:pPr>
          </w:p>
        </w:tc>
        <w:tc>
          <w:tcPr>
            <w:tcW w:w="1230" w:type="pct"/>
            <w:vAlign w:val="center"/>
          </w:tcPr>
          <w:p w14:paraId="7852B6BC">
            <w:pPr>
              <w:pStyle w:val="16"/>
            </w:pPr>
            <w:r>
              <w:rPr>
                <w:rFonts w:hint="eastAsia"/>
              </w:rPr>
              <w:t>不可否认性</w:t>
            </w:r>
          </w:p>
        </w:tc>
        <w:tc>
          <w:tcPr>
            <w:tcW w:w="2000" w:type="pct"/>
            <w:vAlign w:val="center"/>
          </w:tcPr>
          <w:p w14:paraId="3409AD66">
            <w:pPr>
              <w:pStyle w:val="16"/>
            </w:pPr>
            <w:r>
              <w:rPr>
                <w:rFonts w:hint="eastAsia"/>
              </w:rPr>
              <w:t>不适用。</w:t>
            </w:r>
          </w:p>
        </w:tc>
        <w:tc>
          <w:tcPr>
            <w:tcW w:w="846" w:type="pct"/>
            <w:vAlign w:val="center"/>
          </w:tcPr>
          <w:p w14:paraId="1A359758">
            <w:pPr>
              <w:pStyle w:val="16"/>
            </w:pPr>
            <w:r>
              <w:rPr>
                <w:rFonts w:hint="eastAsia"/>
              </w:rPr>
              <w:t>不适用</w:t>
            </w:r>
          </w:p>
        </w:tc>
      </w:tr>
      <w:tr w14:paraId="43D0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7D4C47D4">
            <w:pPr>
              <w:pStyle w:val="16"/>
            </w:pPr>
          </w:p>
        </w:tc>
        <w:tc>
          <w:tcPr>
            <w:tcW w:w="462" w:type="pct"/>
            <w:vMerge w:val="continue"/>
            <w:vAlign w:val="center"/>
          </w:tcPr>
          <w:p w14:paraId="2330B954">
            <w:pPr>
              <w:pStyle w:val="16"/>
            </w:pPr>
          </w:p>
        </w:tc>
        <w:tc>
          <w:tcPr>
            <w:tcW w:w="1230" w:type="pct"/>
            <w:vAlign w:val="center"/>
          </w:tcPr>
          <w:p w14:paraId="776B9D59">
            <w:pPr>
              <w:pStyle w:val="16"/>
            </w:pPr>
            <w:r>
              <w:rPr>
                <w:rFonts w:hint="eastAsia"/>
              </w:rPr>
              <w:t>密码服务</w:t>
            </w:r>
          </w:p>
        </w:tc>
        <w:tc>
          <w:tcPr>
            <w:tcW w:w="2000" w:type="pct"/>
            <w:vAlign w:val="center"/>
          </w:tcPr>
          <w:p w14:paraId="07ACBB8E">
            <w:pPr>
              <w:pStyle w:val="16"/>
            </w:pPr>
            <w:r>
              <w:rPr>
                <w:rFonts w:hint="eastAsia"/>
              </w:rPr>
              <w:t>采用的数字证书由具有电子认证服务资质的机构签发。</w:t>
            </w:r>
          </w:p>
        </w:tc>
        <w:tc>
          <w:tcPr>
            <w:tcW w:w="846" w:type="pct"/>
            <w:vAlign w:val="center"/>
          </w:tcPr>
          <w:p w14:paraId="1B474972">
            <w:pPr>
              <w:pStyle w:val="16"/>
            </w:pPr>
            <w:r>
              <w:rPr>
                <w:rFonts w:hint="eastAsia"/>
              </w:rPr>
              <w:t>无</w:t>
            </w:r>
          </w:p>
        </w:tc>
      </w:tr>
      <w:tr w14:paraId="16126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460" w:type="pct"/>
            <w:vMerge w:val="continue"/>
            <w:vAlign w:val="center"/>
          </w:tcPr>
          <w:p w14:paraId="0FE023D7">
            <w:pPr>
              <w:pStyle w:val="16"/>
            </w:pPr>
          </w:p>
        </w:tc>
        <w:tc>
          <w:tcPr>
            <w:tcW w:w="462" w:type="pct"/>
            <w:vMerge w:val="continue"/>
            <w:vAlign w:val="center"/>
          </w:tcPr>
          <w:p w14:paraId="424DEA65">
            <w:pPr>
              <w:pStyle w:val="16"/>
            </w:pPr>
          </w:p>
        </w:tc>
        <w:tc>
          <w:tcPr>
            <w:tcW w:w="1230" w:type="pct"/>
            <w:vAlign w:val="center"/>
          </w:tcPr>
          <w:p w14:paraId="164DEFE0">
            <w:pPr>
              <w:pStyle w:val="16"/>
            </w:pPr>
            <w:r>
              <w:rPr>
                <w:rFonts w:hint="eastAsia"/>
              </w:rPr>
              <w:t>密码产品</w:t>
            </w:r>
          </w:p>
        </w:tc>
        <w:tc>
          <w:tcPr>
            <w:tcW w:w="2000" w:type="pct"/>
            <w:vAlign w:val="center"/>
          </w:tcPr>
          <w:p w14:paraId="513228E5">
            <w:pPr>
              <w:pStyle w:val="16"/>
            </w:pPr>
            <w:r>
              <w:rPr>
                <w:rFonts w:hint="eastAsia"/>
              </w:rPr>
              <w:t>采用的密码产品，应达到</w:t>
            </w:r>
            <w:r>
              <w:t>GB/T 37092</w:t>
            </w:r>
            <w:r>
              <w:rPr>
                <w:rFonts w:hint="eastAsia"/>
              </w:rPr>
              <w:t>-2018二级及以上安全要求。</w:t>
            </w:r>
          </w:p>
        </w:tc>
        <w:tc>
          <w:tcPr>
            <w:tcW w:w="846" w:type="pct"/>
            <w:vAlign w:val="center"/>
          </w:tcPr>
          <w:p w14:paraId="63739978">
            <w:pPr>
              <w:pStyle w:val="16"/>
            </w:pPr>
            <w:r>
              <w:rPr>
                <w:rFonts w:hint="eastAsia"/>
              </w:rPr>
              <w:t>无</w:t>
            </w:r>
          </w:p>
        </w:tc>
      </w:tr>
    </w:tbl>
    <w:p w14:paraId="5813D5F6">
      <w:pPr>
        <w:pStyle w:val="3"/>
        <w:spacing w:before="0"/>
        <w:ind w:left="1614" w:leftChars="200" w:hanging="1134"/>
      </w:pPr>
      <w:bookmarkStart w:id="35" w:name="_Toc63785512"/>
      <w:r>
        <w:rPr>
          <w:rFonts w:hint="eastAsia"/>
        </w:rPr>
        <w:t>技术文件要求</w:t>
      </w:r>
    </w:p>
    <w:p w14:paraId="643D99C8">
      <w:r>
        <w:rPr>
          <w:rFonts w:hint="eastAsia"/>
        </w:rPr>
        <w:t>供应商提供的书面技术资料应能确保系统正常运行所需的管理、运营及维护有关的全套文件。技术文件应该全面、完整、详细。供应商提供的技术文件至少应包括：</w:t>
      </w:r>
    </w:p>
    <w:p w14:paraId="121C8AD6">
      <w:r>
        <w:rPr>
          <w:rFonts w:hint="eastAsia"/>
        </w:rPr>
        <w:t>－</w:t>
      </w:r>
      <w:r>
        <w:t xml:space="preserve"> 系统说明文件； </w:t>
      </w:r>
    </w:p>
    <w:p w14:paraId="16C37ECF">
      <w:r>
        <w:rPr>
          <w:rFonts w:hint="eastAsia"/>
        </w:rPr>
        <w:t>－</w:t>
      </w:r>
      <w:r>
        <w:t xml:space="preserve"> 技术手册(安装、测试、操作、维护、故障排除等)； </w:t>
      </w:r>
    </w:p>
    <w:p w14:paraId="493FD236">
      <w:r>
        <w:rPr>
          <w:rFonts w:hint="eastAsia"/>
        </w:rPr>
        <w:t>－</w:t>
      </w:r>
      <w:r>
        <w:t xml:space="preserve"> 项目文档，应该包括：</w:t>
      </w:r>
    </w:p>
    <w:p w14:paraId="5A401697">
      <w:pPr>
        <w:ind w:left="360"/>
      </w:pPr>
      <w:r>
        <w:t>(1)软件需求说明书</w:t>
      </w:r>
    </w:p>
    <w:p w14:paraId="669CE84B">
      <w:pPr>
        <w:ind w:left="360"/>
      </w:pPr>
      <w:r>
        <w:t>(2)</w:t>
      </w:r>
      <w:r>
        <w:tab/>
      </w:r>
      <w:r>
        <w:t>系统总体设计说明书</w:t>
      </w:r>
    </w:p>
    <w:p w14:paraId="0AFACF10">
      <w:pPr>
        <w:ind w:left="360"/>
      </w:pPr>
      <w:r>
        <w:t>(3)</w:t>
      </w:r>
      <w:r>
        <w:tab/>
      </w:r>
      <w:r>
        <w:t>应用软件功能清单</w:t>
      </w:r>
    </w:p>
    <w:p w14:paraId="05BFB64A">
      <w:r>
        <w:rPr>
          <w:rFonts w:hint="eastAsia"/>
        </w:rPr>
        <w:t>提供全套技术文件纸介质</w:t>
      </w:r>
      <w:r>
        <w:t>3套以及电子文件1套。</w:t>
      </w:r>
    </w:p>
    <w:bookmarkEnd w:id="35"/>
    <w:p w14:paraId="3AFAE4F1">
      <w:pPr>
        <w:ind w:firstLine="482" w:firstLineChars="0"/>
        <w:jc w:val="left"/>
        <w:rPr>
          <w:b/>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auto"/>
    <w:pitch w:val="default"/>
    <w:sig w:usb0="00000000" w:usb1="00000000" w:usb2="0000003F" w:usb3="00000000" w:csb0="601F00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000101FF" w:csb1="0000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E7936">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0D731C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9ECB"/>
  <w:p w14:paraId="29FDD2A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DD0">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0459">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200772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28AE1">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703BB"/>
  <w:p w14:paraId="3EA55B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6F97">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56107"/>
    <w:multiLevelType w:val="singleLevel"/>
    <w:tmpl w:val="20756107"/>
    <w:lvl w:ilvl="0" w:tentative="0">
      <w:start w:val="1"/>
      <w:numFmt w:val="decimal"/>
      <w:suff w:val="nothing"/>
      <w:lvlText w:val="%1）"/>
      <w:lvlJc w:val="left"/>
    </w:lvl>
  </w:abstractNum>
  <w:abstractNum w:abstractNumId="1">
    <w:nsid w:val="47E08DB7"/>
    <w:multiLevelType w:val="singleLevel"/>
    <w:tmpl w:val="47E08DB7"/>
    <w:lvl w:ilvl="0" w:tentative="0">
      <w:start w:val="2"/>
      <w:numFmt w:val="decimal"/>
      <w:lvlText w:val="%1."/>
      <w:lvlJc w:val="left"/>
      <w:pPr>
        <w:tabs>
          <w:tab w:val="left" w:pos="312"/>
        </w:tabs>
      </w:pPr>
    </w:lvl>
  </w:abstractNum>
  <w:abstractNum w:abstractNumId="2">
    <w:nsid w:val="5D82F6A7"/>
    <w:multiLevelType w:val="singleLevel"/>
    <w:tmpl w:val="5D82F6A7"/>
    <w:lvl w:ilvl="0" w:tentative="0">
      <w:start w:val="1"/>
      <w:numFmt w:val="bullet"/>
      <w:lvlText w:val=""/>
      <w:lvlJc w:val="left"/>
      <w:pPr>
        <w:ind w:left="420" w:hanging="420"/>
      </w:pPr>
      <w:rPr>
        <w:rFonts w:hint="default" w:ascii="Wingdings" w:hAnsi="Wingdings"/>
      </w:rPr>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ZhZTM4MDQ0MjE0NzZkMDgxNGZjMjYxNzEzNTkwZWIifQ=="/>
  </w:docVars>
  <w:rsids>
    <w:rsidRoot w:val="006910C0"/>
    <w:rsid w:val="0000005A"/>
    <w:rsid w:val="00000AED"/>
    <w:rsid w:val="00002DBA"/>
    <w:rsid w:val="00003516"/>
    <w:rsid w:val="0000380E"/>
    <w:rsid w:val="00005AFD"/>
    <w:rsid w:val="00006563"/>
    <w:rsid w:val="000074F1"/>
    <w:rsid w:val="00007A41"/>
    <w:rsid w:val="00007DA7"/>
    <w:rsid w:val="00012EF0"/>
    <w:rsid w:val="00014FC3"/>
    <w:rsid w:val="000156DE"/>
    <w:rsid w:val="000165AD"/>
    <w:rsid w:val="000179E9"/>
    <w:rsid w:val="00020C18"/>
    <w:rsid w:val="00021EE6"/>
    <w:rsid w:val="0002280E"/>
    <w:rsid w:val="00022C74"/>
    <w:rsid w:val="00025122"/>
    <w:rsid w:val="000252D5"/>
    <w:rsid w:val="00026997"/>
    <w:rsid w:val="00027A64"/>
    <w:rsid w:val="00032D27"/>
    <w:rsid w:val="00035325"/>
    <w:rsid w:val="00035CDF"/>
    <w:rsid w:val="00035D5B"/>
    <w:rsid w:val="000378D0"/>
    <w:rsid w:val="00037F2C"/>
    <w:rsid w:val="00040464"/>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1649"/>
    <w:rsid w:val="0006231F"/>
    <w:rsid w:val="00062A05"/>
    <w:rsid w:val="00062EE6"/>
    <w:rsid w:val="0006344E"/>
    <w:rsid w:val="000645F8"/>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05ED"/>
    <w:rsid w:val="000E24D6"/>
    <w:rsid w:val="000E6072"/>
    <w:rsid w:val="000E6D61"/>
    <w:rsid w:val="000E7A23"/>
    <w:rsid w:val="000F1C29"/>
    <w:rsid w:val="000F1E9E"/>
    <w:rsid w:val="000F2B10"/>
    <w:rsid w:val="000F3F72"/>
    <w:rsid w:val="000F48F1"/>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828"/>
    <w:rsid w:val="00122898"/>
    <w:rsid w:val="00122A7F"/>
    <w:rsid w:val="00123F98"/>
    <w:rsid w:val="001242A5"/>
    <w:rsid w:val="00124531"/>
    <w:rsid w:val="00126999"/>
    <w:rsid w:val="00126EDF"/>
    <w:rsid w:val="00127BBE"/>
    <w:rsid w:val="00131D52"/>
    <w:rsid w:val="001329C1"/>
    <w:rsid w:val="00132C16"/>
    <w:rsid w:val="00136320"/>
    <w:rsid w:val="00136FFA"/>
    <w:rsid w:val="00137AC6"/>
    <w:rsid w:val="001413E0"/>
    <w:rsid w:val="0014222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6AD7"/>
    <w:rsid w:val="001B0230"/>
    <w:rsid w:val="001B13AB"/>
    <w:rsid w:val="001B3907"/>
    <w:rsid w:val="001B3B49"/>
    <w:rsid w:val="001B4907"/>
    <w:rsid w:val="001B4DC5"/>
    <w:rsid w:val="001B5505"/>
    <w:rsid w:val="001C2180"/>
    <w:rsid w:val="001C29CC"/>
    <w:rsid w:val="001C3217"/>
    <w:rsid w:val="001C3B98"/>
    <w:rsid w:val="001C6028"/>
    <w:rsid w:val="001C6289"/>
    <w:rsid w:val="001C6365"/>
    <w:rsid w:val="001C7F57"/>
    <w:rsid w:val="001D0E79"/>
    <w:rsid w:val="001D5383"/>
    <w:rsid w:val="001D6049"/>
    <w:rsid w:val="001D7339"/>
    <w:rsid w:val="001E2750"/>
    <w:rsid w:val="001E4343"/>
    <w:rsid w:val="001E52BB"/>
    <w:rsid w:val="001E660A"/>
    <w:rsid w:val="001F0542"/>
    <w:rsid w:val="001F05D6"/>
    <w:rsid w:val="001F0E6C"/>
    <w:rsid w:val="001F5B0A"/>
    <w:rsid w:val="001F640F"/>
    <w:rsid w:val="001F6794"/>
    <w:rsid w:val="001F6F65"/>
    <w:rsid w:val="002002DF"/>
    <w:rsid w:val="00202748"/>
    <w:rsid w:val="00203A6F"/>
    <w:rsid w:val="00205646"/>
    <w:rsid w:val="002063F7"/>
    <w:rsid w:val="002129E5"/>
    <w:rsid w:val="00212AA4"/>
    <w:rsid w:val="00212E13"/>
    <w:rsid w:val="002163C8"/>
    <w:rsid w:val="0021771E"/>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09C7"/>
    <w:rsid w:val="002719CC"/>
    <w:rsid w:val="002730C5"/>
    <w:rsid w:val="0027337C"/>
    <w:rsid w:val="0027602B"/>
    <w:rsid w:val="00277F5E"/>
    <w:rsid w:val="00280084"/>
    <w:rsid w:val="00280490"/>
    <w:rsid w:val="002860B8"/>
    <w:rsid w:val="00287769"/>
    <w:rsid w:val="002914AA"/>
    <w:rsid w:val="0029206E"/>
    <w:rsid w:val="002930E5"/>
    <w:rsid w:val="00293382"/>
    <w:rsid w:val="00294F51"/>
    <w:rsid w:val="002A2342"/>
    <w:rsid w:val="002A279E"/>
    <w:rsid w:val="002A4FA3"/>
    <w:rsid w:val="002B3606"/>
    <w:rsid w:val="002B3D80"/>
    <w:rsid w:val="002B4402"/>
    <w:rsid w:val="002B4946"/>
    <w:rsid w:val="002B4AE9"/>
    <w:rsid w:val="002B4C41"/>
    <w:rsid w:val="002B588D"/>
    <w:rsid w:val="002C1839"/>
    <w:rsid w:val="002C214A"/>
    <w:rsid w:val="002C28E8"/>
    <w:rsid w:val="002C3027"/>
    <w:rsid w:val="002C65C3"/>
    <w:rsid w:val="002C674D"/>
    <w:rsid w:val="002C7648"/>
    <w:rsid w:val="002C7DC4"/>
    <w:rsid w:val="002D0821"/>
    <w:rsid w:val="002D1929"/>
    <w:rsid w:val="002D1B73"/>
    <w:rsid w:val="002D3CB0"/>
    <w:rsid w:val="002D3E50"/>
    <w:rsid w:val="002D4800"/>
    <w:rsid w:val="002D5B21"/>
    <w:rsid w:val="002D65FF"/>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B5D"/>
    <w:rsid w:val="00337C79"/>
    <w:rsid w:val="00337FEF"/>
    <w:rsid w:val="0034084C"/>
    <w:rsid w:val="00340D5E"/>
    <w:rsid w:val="003420B5"/>
    <w:rsid w:val="00343646"/>
    <w:rsid w:val="00344CCB"/>
    <w:rsid w:val="00345897"/>
    <w:rsid w:val="00351BFC"/>
    <w:rsid w:val="003556BD"/>
    <w:rsid w:val="0035575E"/>
    <w:rsid w:val="003565B4"/>
    <w:rsid w:val="00362E75"/>
    <w:rsid w:val="003631AA"/>
    <w:rsid w:val="003632D5"/>
    <w:rsid w:val="00363575"/>
    <w:rsid w:val="00364EF9"/>
    <w:rsid w:val="00367579"/>
    <w:rsid w:val="0036795B"/>
    <w:rsid w:val="00370A29"/>
    <w:rsid w:val="00371879"/>
    <w:rsid w:val="003720F6"/>
    <w:rsid w:val="003722F9"/>
    <w:rsid w:val="00372349"/>
    <w:rsid w:val="00372CBC"/>
    <w:rsid w:val="00373A61"/>
    <w:rsid w:val="00374BDE"/>
    <w:rsid w:val="00374CD1"/>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19B7"/>
    <w:rsid w:val="003A317E"/>
    <w:rsid w:val="003A345B"/>
    <w:rsid w:val="003A3DBA"/>
    <w:rsid w:val="003A49EE"/>
    <w:rsid w:val="003A4FD6"/>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6A9"/>
    <w:rsid w:val="003F1936"/>
    <w:rsid w:val="003F1BDD"/>
    <w:rsid w:val="003F3BA3"/>
    <w:rsid w:val="003F3BD5"/>
    <w:rsid w:val="003F400E"/>
    <w:rsid w:val="003F4CB4"/>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617C"/>
    <w:rsid w:val="00417842"/>
    <w:rsid w:val="00417A6E"/>
    <w:rsid w:val="00420CDF"/>
    <w:rsid w:val="0042285D"/>
    <w:rsid w:val="00427D2B"/>
    <w:rsid w:val="00430B13"/>
    <w:rsid w:val="00430CE5"/>
    <w:rsid w:val="0043153C"/>
    <w:rsid w:val="00431D0F"/>
    <w:rsid w:val="004339C3"/>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1081"/>
    <w:rsid w:val="00482501"/>
    <w:rsid w:val="00482E7D"/>
    <w:rsid w:val="004837C8"/>
    <w:rsid w:val="00484395"/>
    <w:rsid w:val="004865FB"/>
    <w:rsid w:val="00486C03"/>
    <w:rsid w:val="00491AB3"/>
    <w:rsid w:val="00497A33"/>
    <w:rsid w:val="004A1112"/>
    <w:rsid w:val="004A1DA0"/>
    <w:rsid w:val="004A1F20"/>
    <w:rsid w:val="004A2393"/>
    <w:rsid w:val="004A3569"/>
    <w:rsid w:val="004A452A"/>
    <w:rsid w:val="004A5F2C"/>
    <w:rsid w:val="004A6E4F"/>
    <w:rsid w:val="004A70F0"/>
    <w:rsid w:val="004A720D"/>
    <w:rsid w:val="004B00D0"/>
    <w:rsid w:val="004B6084"/>
    <w:rsid w:val="004B67AE"/>
    <w:rsid w:val="004B7AE0"/>
    <w:rsid w:val="004C0BC4"/>
    <w:rsid w:val="004C260D"/>
    <w:rsid w:val="004C2D47"/>
    <w:rsid w:val="004C4357"/>
    <w:rsid w:val="004C4477"/>
    <w:rsid w:val="004C5730"/>
    <w:rsid w:val="004C5D53"/>
    <w:rsid w:val="004C6397"/>
    <w:rsid w:val="004C668F"/>
    <w:rsid w:val="004C682B"/>
    <w:rsid w:val="004D142C"/>
    <w:rsid w:val="004D29F7"/>
    <w:rsid w:val="004D36D8"/>
    <w:rsid w:val="004D403D"/>
    <w:rsid w:val="004D4C5C"/>
    <w:rsid w:val="004D5AB0"/>
    <w:rsid w:val="004D5EAE"/>
    <w:rsid w:val="004D7A0E"/>
    <w:rsid w:val="004E05E3"/>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36E8"/>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74C"/>
    <w:rsid w:val="00564B9A"/>
    <w:rsid w:val="00565694"/>
    <w:rsid w:val="00566DD6"/>
    <w:rsid w:val="005714EF"/>
    <w:rsid w:val="005717D9"/>
    <w:rsid w:val="00571CEC"/>
    <w:rsid w:val="00572FCE"/>
    <w:rsid w:val="005750DB"/>
    <w:rsid w:val="005759FC"/>
    <w:rsid w:val="00575B85"/>
    <w:rsid w:val="00576DB9"/>
    <w:rsid w:val="0057738F"/>
    <w:rsid w:val="00580201"/>
    <w:rsid w:val="005805E4"/>
    <w:rsid w:val="0058202F"/>
    <w:rsid w:val="00584221"/>
    <w:rsid w:val="0058483D"/>
    <w:rsid w:val="00584EB6"/>
    <w:rsid w:val="00586B68"/>
    <w:rsid w:val="0058774E"/>
    <w:rsid w:val="005878CF"/>
    <w:rsid w:val="00590CA0"/>
    <w:rsid w:val="00595B01"/>
    <w:rsid w:val="00596D98"/>
    <w:rsid w:val="005979A5"/>
    <w:rsid w:val="005A0021"/>
    <w:rsid w:val="005A017B"/>
    <w:rsid w:val="005A2AEC"/>
    <w:rsid w:val="005A412D"/>
    <w:rsid w:val="005A4B58"/>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797"/>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4F5C"/>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0E96"/>
    <w:rsid w:val="006910C0"/>
    <w:rsid w:val="00691954"/>
    <w:rsid w:val="00691B96"/>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D0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4BE6"/>
    <w:rsid w:val="00715A16"/>
    <w:rsid w:val="007164B0"/>
    <w:rsid w:val="007166FF"/>
    <w:rsid w:val="007260CC"/>
    <w:rsid w:val="00726543"/>
    <w:rsid w:val="0073353E"/>
    <w:rsid w:val="00736633"/>
    <w:rsid w:val="00741EE7"/>
    <w:rsid w:val="00743A79"/>
    <w:rsid w:val="00743B9C"/>
    <w:rsid w:val="007444D4"/>
    <w:rsid w:val="0074594D"/>
    <w:rsid w:val="007459F3"/>
    <w:rsid w:val="00746E35"/>
    <w:rsid w:val="007470E2"/>
    <w:rsid w:val="0075232F"/>
    <w:rsid w:val="00753132"/>
    <w:rsid w:val="007550B3"/>
    <w:rsid w:val="00760451"/>
    <w:rsid w:val="00764EE8"/>
    <w:rsid w:val="00765ED0"/>
    <w:rsid w:val="0077182A"/>
    <w:rsid w:val="00771913"/>
    <w:rsid w:val="00772718"/>
    <w:rsid w:val="00775BCF"/>
    <w:rsid w:val="007818AA"/>
    <w:rsid w:val="00783140"/>
    <w:rsid w:val="007838B6"/>
    <w:rsid w:val="00783E77"/>
    <w:rsid w:val="007865B2"/>
    <w:rsid w:val="007906F1"/>
    <w:rsid w:val="0079243D"/>
    <w:rsid w:val="00794A9B"/>
    <w:rsid w:val="0079583B"/>
    <w:rsid w:val="00796602"/>
    <w:rsid w:val="00797185"/>
    <w:rsid w:val="007976B7"/>
    <w:rsid w:val="00797A7E"/>
    <w:rsid w:val="00797D6F"/>
    <w:rsid w:val="007A53F6"/>
    <w:rsid w:val="007B014B"/>
    <w:rsid w:val="007B0D88"/>
    <w:rsid w:val="007B306F"/>
    <w:rsid w:val="007B4714"/>
    <w:rsid w:val="007B471F"/>
    <w:rsid w:val="007B4E82"/>
    <w:rsid w:val="007C15B0"/>
    <w:rsid w:val="007C1996"/>
    <w:rsid w:val="007C3028"/>
    <w:rsid w:val="007C3773"/>
    <w:rsid w:val="007C3F1F"/>
    <w:rsid w:val="007C46F8"/>
    <w:rsid w:val="007C795A"/>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4EF4"/>
    <w:rsid w:val="008159F4"/>
    <w:rsid w:val="008167C1"/>
    <w:rsid w:val="008167C6"/>
    <w:rsid w:val="00816B8F"/>
    <w:rsid w:val="00820331"/>
    <w:rsid w:val="00820BF5"/>
    <w:rsid w:val="008212B1"/>
    <w:rsid w:val="0082155A"/>
    <w:rsid w:val="008219C3"/>
    <w:rsid w:val="0082209F"/>
    <w:rsid w:val="008223C2"/>
    <w:rsid w:val="0082492F"/>
    <w:rsid w:val="008250A2"/>
    <w:rsid w:val="00825D64"/>
    <w:rsid w:val="0082650B"/>
    <w:rsid w:val="008301CE"/>
    <w:rsid w:val="008312E3"/>
    <w:rsid w:val="00831534"/>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2BED"/>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2CAE"/>
    <w:rsid w:val="008848A3"/>
    <w:rsid w:val="00884AF1"/>
    <w:rsid w:val="00885F7A"/>
    <w:rsid w:val="00890712"/>
    <w:rsid w:val="00890D81"/>
    <w:rsid w:val="00892955"/>
    <w:rsid w:val="00893628"/>
    <w:rsid w:val="00893E57"/>
    <w:rsid w:val="008941EB"/>
    <w:rsid w:val="0089545A"/>
    <w:rsid w:val="00895A02"/>
    <w:rsid w:val="008A01EE"/>
    <w:rsid w:val="008A0DAC"/>
    <w:rsid w:val="008A3B78"/>
    <w:rsid w:val="008A4166"/>
    <w:rsid w:val="008A7DBF"/>
    <w:rsid w:val="008B136C"/>
    <w:rsid w:val="008B55EF"/>
    <w:rsid w:val="008B602D"/>
    <w:rsid w:val="008B6910"/>
    <w:rsid w:val="008C0B5C"/>
    <w:rsid w:val="008C1343"/>
    <w:rsid w:val="008C3912"/>
    <w:rsid w:val="008C5598"/>
    <w:rsid w:val="008C69EA"/>
    <w:rsid w:val="008C6F8B"/>
    <w:rsid w:val="008C7AB7"/>
    <w:rsid w:val="008C7FB4"/>
    <w:rsid w:val="008D093F"/>
    <w:rsid w:val="008D2C8C"/>
    <w:rsid w:val="008D3040"/>
    <w:rsid w:val="008D3ECD"/>
    <w:rsid w:val="008D5C03"/>
    <w:rsid w:val="008D7580"/>
    <w:rsid w:val="008D7C35"/>
    <w:rsid w:val="008E5698"/>
    <w:rsid w:val="008E5733"/>
    <w:rsid w:val="008E6978"/>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1CC6"/>
    <w:rsid w:val="00934461"/>
    <w:rsid w:val="00934F7E"/>
    <w:rsid w:val="00936A1C"/>
    <w:rsid w:val="00936DD5"/>
    <w:rsid w:val="00943E35"/>
    <w:rsid w:val="00945278"/>
    <w:rsid w:val="0094658D"/>
    <w:rsid w:val="00947678"/>
    <w:rsid w:val="00947878"/>
    <w:rsid w:val="009504C2"/>
    <w:rsid w:val="009520F1"/>
    <w:rsid w:val="0095254A"/>
    <w:rsid w:val="0095273B"/>
    <w:rsid w:val="00953E7C"/>
    <w:rsid w:val="009559E1"/>
    <w:rsid w:val="009568D5"/>
    <w:rsid w:val="00957CD3"/>
    <w:rsid w:val="0096269B"/>
    <w:rsid w:val="00963FB0"/>
    <w:rsid w:val="00964C86"/>
    <w:rsid w:val="00965E82"/>
    <w:rsid w:val="009664BB"/>
    <w:rsid w:val="009669F8"/>
    <w:rsid w:val="00966F89"/>
    <w:rsid w:val="00973B5D"/>
    <w:rsid w:val="00975EA0"/>
    <w:rsid w:val="0097755E"/>
    <w:rsid w:val="00981467"/>
    <w:rsid w:val="00981C24"/>
    <w:rsid w:val="00982E34"/>
    <w:rsid w:val="00984493"/>
    <w:rsid w:val="009852F6"/>
    <w:rsid w:val="00985DE5"/>
    <w:rsid w:val="00986254"/>
    <w:rsid w:val="009863C3"/>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02D2"/>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86B"/>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D72"/>
    <w:rsid w:val="00A52F99"/>
    <w:rsid w:val="00A538BB"/>
    <w:rsid w:val="00A54164"/>
    <w:rsid w:val="00A56737"/>
    <w:rsid w:val="00A60002"/>
    <w:rsid w:val="00A603D8"/>
    <w:rsid w:val="00A60AE2"/>
    <w:rsid w:val="00A61834"/>
    <w:rsid w:val="00A618B0"/>
    <w:rsid w:val="00A62790"/>
    <w:rsid w:val="00A6291F"/>
    <w:rsid w:val="00A6296D"/>
    <w:rsid w:val="00A63F53"/>
    <w:rsid w:val="00A7111E"/>
    <w:rsid w:val="00A72E70"/>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1234"/>
    <w:rsid w:val="00AB6327"/>
    <w:rsid w:val="00AB6B8F"/>
    <w:rsid w:val="00AC0C65"/>
    <w:rsid w:val="00AC0FB2"/>
    <w:rsid w:val="00AC3721"/>
    <w:rsid w:val="00AC41C6"/>
    <w:rsid w:val="00AC70C7"/>
    <w:rsid w:val="00AC76B7"/>
    <w:rsid w:val="00AD0223"/>
    <w:rsid w:val="00AD123A"/>
    <w:rsid w:val="00AD15FF"/>
    <w:rsid w:val="00AD1AA5"/>
    <w:rsid w:val="00AD1AF7"/>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092"/>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1A21"/>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3CF0"/>
    <w:rsid w:val="00BB4086"/>
    <w:rsid w:val="00BB4F70"/>
    <w:rsid w:val="00BB67FF"/>
    <w:rsid w:val="00BC11B9"/>
    <w:rsid w:val="00BC138C"/>
    <w:rsid w:val="00BC14CF"/>
    <w:rsid w:val="00BC1659"/>
    <w:rsid w:val="00BC2C91"/>
    <w:rsid w:val="00BC3A9C"/>
    <w:rsid w:val="00BC5288"/>
    <w:rsid w:val="00BC6A71"/>
    <w:rsid w:val="00BC6B2F"/>
    <w:rsid w:val="00BC7856"/>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E7B64"/>
    <w:rsid w:val="00BF0E1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32D0"/>
    <w:rsid w:val="00C453A9"/>
    <w:rsid w:val="00C45614"/>
    <w:rsid w:val="00C465D5"/>
    <w:rsid w:val="00C4756A"/>
    <w:rsid w:val="00C47C39"/>
    <w:rsid w:val="00C5059E"/>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D7D"/>
    <w:rsid w:val="00C82E22"/>
    <w:rsid w:val="00C85144"/>
    <w:rsid w:val="00C86738"/>
    <w:rsid w:val="00C86A27"/>
    <w:rsid w:val="00C91517"/>
    <w:rsid w:val="00C927A7"/>
    <w:rsid w:val="00C929BD"/>
    <w:rsid w:val="00C931A2"/>
    <w:rsid w:val="00C96EAE"/>
    <w:rsid w:val="00CA02E1"/>
    <w:rsid w:val="00CA15DA"/>
    <w:rsid w:val="00CA224E"/>
    <w:rsid w:val="00CA41C5"/>
    <w:rsid w:val="00CA42B7"/>
    <w:rsid w:val="00CA4A53"/>
    <w:rsid w:val="00CA51F5"/>
    <w:rsid w:val="00CB218A"/>
    <w:rsid w:val="00CB225A"/>
    <w:rsid w:val="00CB2F85"/>
    <w:rsid w:val="00CB69E6"/>
    <w:rsid w:val="00CB761B"/>
    <w:rsid w:val="00CB7E33"/>
    <w:rsid w:val="00CC13DF"/>
    <w:rsid w:val="00CC1EEE"/>
    <w:rsid w:val="00CC562B"/>
    <w:rsid w:val="00CC6C15"/>
    <w:rsid w:val="00CC7FCF"/>
    <w:rsid w:val="00CD2749"/>
    <w:rsid w:val="00CD2A60"/>
    <w:rsid w:val="00CD306F"/>
    <w:rsid w:val="00CD3971"/>
    <w:rsid w:val="00CD3DAB"/>
    <w:rsid w:val="00CD42D0"/>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4C4C"/>
    <w:rsid w:val="00D253DD"/>
    <w:rsid w:val="00D26FFA"/>
    <w:rsid w:val="00D273A7"/>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693"/>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77497"/>
    <w:rsid w:val="00D8032C"/>
    <w:rsid w:val="00D80CE2"/>
    <w:rsid w:val="00D828A1"/>
    <w:rsid w:val="00D83080"/>
    <w:rsid w:val="00D83E66"/>
    <w:rsid w:val="00D84D5F"/>
    <w:rsid w:val="00D851E2"/>
    <w:rsid w:val="00D87FFA"/>
    <w:rsid w:val="00D90AF7"/>
    <w:rsid w:val="00D91419"/>
    <w:rsid w:val="00D92A09"/>
    <w:rsid w:val="00D92D2A"/>
    <w:rsid w:val="00D92EEC"/>
    <w:rsid w:val="00D92FCA"/>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447D"/>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7B"/>
    <w:rsid w:val="00E024A3"/>
    <w:rsid w:val="00E0423D"/>
    <w:rsid w:val="00E057B5"/>
    <w:rsid w:val="00E0581E"/>
    <w:rsid w:val="00E079C5"/>
    <w:rsid w:val="00E07CBD"/>
    <w:rsid w:val="00E07F56"/>
    <w:rsid w:val="00E10A16"/>
    <w:rsid w:val="00E1112F"/>
    <w:rsid w:val="00E1318F"/>
    <w:rsid w:val="00E13B3B"/>
    <w:rsid w:val="00E13E29"/>
    <w:rsid w:val="00E16857"/>
    <w:rsid w:val="00E16A74"/>
    <w:rsid w:val="00E16C3A"/>
    <w:rsid w:val="00E20651"/>
    <w:rsid w:val="00E2107C"/>
    <w:rsid w:val="00E21E70"/>
    <w:rsid w:val="00E224DE"/>
    <w:rsid w:val="00E23B35"/>
    <w:rsid w:val="00E23DCE"/>
    <w:rsid w:val="00E26363"/>
    <w:rsid w:val="00E272A4"/>
    <w:rsid w:val="00E305F9"/>
    <w:rsid w:val="00E306AC"/>
    <w:rsid w:val="00E34446"/>
    <w:rsid w:val="00E3633B"/>
    <w:rsid w:val="00E36870"/>
    <w:rsid w:val="00E374E1"/>
    <w:rsid w:val="00E4018A"/>
    <w:rsid w:val="00E417AB"/>
    <w:rsid w:val="00E42C57"/>
    <w:rsid w:val="00E43D48"/>
    <w:rsid w:val="00E4542D"/>
    <w:rsid w:val="00E45BE0"/>
    <w:rsid w:val="00E46CAD"/>
    <w:rsid w:val="00E47521"/>
    <w:rsid w:val="00E4760C"/>
    <w:rsid w:val="00E507A6"/>
    <w:rsid w:val="00E5375C"/>
    <w:rsid w:val="00E561AD"/>
    <w:rsid w:val="00E57FAF"/>
    <w:rsid w:val="00E60BA9"/>
    <w:rsid w:val="00E63510"/>
    <w:rsid w:val="00E635EA"/>
    <w:rsid w:val="00E6429D"/>
    <w:rsid w:val="00E655E5"/>
    <w:rsid w:val="00E65F4E"/>
    <w:rsid w:val="00E662E0"/>
    <w:rsid w:val="00E67D5D"/>
    <w:rsid w:val="00E71C7A"/>
    <w:rsid w:val="00E73119"/>
    <w:rsid w:val="00E73E1E"/>
    <w:rsid w:val="00E767FF"/>
    <w:rsid w:val="00E830EC"/>
    <w:rsid w:val="00E84C91"/>
    <w:rsid w:val="00E84E60"/>
    <w:rsid w:val="00E8556E"/>
    <w:rsid w:val="00E86B2D"/>
    <w:rsid w:val="00E86F4D"/>
    <w:rsid w:val="00E87D08"/>
    <w:rsid w:val="00E90BB4"/>
    <w:rsid w:val="00E90D0E"/>
    <w:rsid w:val="00E91B2D"/>
    <w:rsid w:val="00E92FCA"/>
    <w:rsid w:val="00E95CAA"/>
    <w:rsid w:val="00E963DE"/>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D66FD"/>
    <w:rsid w:val="00EE742D"/>
    <w:rsid w:val="00EF0A22"/>
    <w:rsid w:val="00EF1267"/>
    <w:rsid w:val="00EF180C"/>
    <w:rsid w:val="00EF3B6B"/>
    <w:rsid w:val="00EF4B43"/>
    <w:rsid w:val="00EF6750"/>
    <w:rsid w:val="00EF770B"/>
    <w:rsid w:val="00F02836"/>
    <w:rsid w:val="00F02FB5"/>
    <w:rsid w:val="00F0534E"/>
    <w:rsid w:val="00F05C30"/>
    <w:rsid w:val="00F0773E"/>
    <w:rsid w:val="00F10F1B"/>
    <w:rsid w:val="00F14179"/>
    <w:rsid w:val="00F15786"/>
    <w:rsid w:val="00F167C5"/>
    <w:rsid w:val="00F16A12"/>
    <w:rsid w:val="00F176D3"/>
    <w:rsid w:val="00F20B5A"/>
    <w:rsid w:val="00F21F0B"/>
    <w:rsid w:val="00F236AB"/>
    <w:rsid w:val="00F2457A"/>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29C3"/>
    <w:rsid w:val="00F44CC0"/>
    <w:rsid w:val="00F450BA"/>
    <w:rsid w:val="00F4684B"/>
    <w:rsid w:val="00F46BE9"/>
    <w:rsid w:val="00F47C3B"/>
    <w:rsid w:val="00F506CA"/>
    <w:rsid w:val="00F50F0E"/>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94A6C"/>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2DE"/>
    <w:rsid w:val="00FD2F6B"/>
    <w:rsid w:val="00FE064A"/>
    <w:rsid w:val="00FE0B55"/>
    <w:rsid w:val="00FE1E98"/>
    <w:rsid w:val="00FE2452"/>
    <w:rsid w:val="00FE5469"/>
    <w:rsid w:val="00FE66C2"/>
    <w:rsid w:val="00FE684A"/>
    <w:rsid w:val="00FE6F23"/>
    <w:rsid w:val="00FF05EF"/>
    <w:rsid w:val="00FF0F8C"/>
    <w:rsid w:val="00FF408B"/>
    <w:rsid w:val="00FF43E1"/>
    <w:rsid w:val="03430854"/>
    <w:rsid w:val="039F5FA6"/>
    <w:rsid w:val="07FF30DC"/>
    <w:rsid w:val="09305ADA"/>
    <w:rsid w:val="0A3F5A05"/>
    <w:rsid w:val="0E8013B7"/>
    <w:rsid w:val="10D604C6"/>
    <w:rsid w:val="11B515E0"/>
    <w:rsid w:val="13A53267"/>
    <w:rsid w:val="13F970D2"/>
    <w:rsid w:val="14AA4136"/>
    <w:rsid w:val="1572463D"/>
    <w:rsid w:val="163A420B"/>
    <w:rsid w:val="19413B26"/>
    <w:rsid w:val="1BB023FC"/>
    <w:rsid w:val="1C6D3688"/>
    <w:rsid w:val="1C974DF7"/>
    <w:rsid w:val="1CC63D0A"/>
    <w:rsid w:val="1DC2081A"/>
    <w:rsid w:val="1DD94266"/>
    <w:rsid w:val="1E6B547D"/>
    <w:rsid w:val="1F9D0947"/>
    <w:rsid w:val="1FFB29C6"/>
    <w:rsid w:val="22AF3620"/>
    <w:rsid w:val="22E70AD4"/>
    <w:rsid w:val="24F1508D"/>
    <w:rsid w:val="266F634F"/>
    <w:rsid w:val="291059EA"/>
    <w:rsid w:val="2BBF12EC"/>
    <w:rsid w:val="2BC649D9"/>
    <w:rsid w:val="31AE0613"/>
    <w:rsid w:val="3515160D"/>
    <w:rsid w:val="36EA344F"/>
    <w:rsid w:val="3B7807FE"/>
    <w:rsid w:val="3C7D00D8"/>
    <w:rsid w:val="3CA06C0C"/>
    <w:rsid w:val="3EA25851"/>
    <w:rsid w:val="3F6C3757"/>
    <w:rsid w:val="3FBDC618"/>
    <w:rsid w:val="405D6A10"/>
    <w:rsid w:val="40AD0EB9"/>
    <w:rsid w:val="41DA6594"/>
    <w:rsid w:val="444C1A75"/>
    <w:rsid w:val="44A3526F"/>
    <w:rsid w:val="44B032F4"/>
    <w:rsid w:val="457D25F7"/>
    <w:rsid w:val="468341CD"/>
    <w:rsid w:val="472C2589"/>
    <w:rsid w:val="474DB90F"/>
    <w:rsid w:val="49AA2A6A"/>
    <w:rsid w:val="4A760AEB"/>
    <w:rsid w:val="4A822475"/>
    <w:rsid w:val="4F3162CA"/>
    <w:rsid w:val="50D95873"/>
    <w:rsid w:val="526102AF"/>
    <w:rsid w:val="528444DA"/>
    <w:rsid w:val="537745D5"/>
    <w:rsid w:val="552306F6"/>
    <w:rsid w:val="56E352D5"/>
    <w:rsid w:val="57E435FE"/>
    <w:rsid w:val="582D0655"/>
    <w:rsid w:val="5951205C"/>
    <w:rsid w:val="59D079E8"/>
    <w:rsid w:val="59D40847"/>
    <w:rsid w:val="5AE37F25"/>
    <w:rsid w:val="5CB23D47"/>
    <w:rsid w:val="5D7360A7"/>
    <w:rsid w:val="5FAF09C4"/>
    <w:rsid w:val="608C4642"/>
    <w:rsid w:val="62795572"/>
    <w:rsid w:val="64DD6417"/>
    <w:rsid w:val="66004745"/>
    <w:rsid w:val="67D20EF7"/>
    <w:rsid w:val="6A567F20"/>
    <w:rsid w:val="6CD97953"/>
    <w:rsid w:val="6ED30FD7"/>
    <w:rsid w:val="6FB76DBB"/>
    <w:rsid w:val="6FFF7BD7"/>
    <w:rsid w:val="716EB1BE"/>
    <w:rsid w:val="727D78FD"/>
    <w:rsid w:val="72EF1B65"/>
    <w:rsid w:val="73CC655F"/>
    <w:rsid w:val="73FA8648"/>
    <w:rsid w:val="75957445"/>
    <w:rsid w:val="75D01AE1"/>
    <w:rsid w:val="77524363"/>
    <w:rsid w:val="77B917B5"/>
    <w:rsid w:val="77F75380"/>
    <w:rsid w:val="78703975"/>
    <w:rsid w:val="7A88378C"/>
    <w:rsid w:val="7B6649CD"/>
    <w:rsid w:val="7BDC08A0"/>
    <w:rsid w:val="7BE420FD"/>
    <w:rsid w:val="7C7C3892"/>
    <w:rsid w:val="7D0D296B"/>
    <w:rsid w:val="7D4E0B54"/>
    <w:rsid w:val="7D503E78"/>
    <w:rsid w:val="7E0160D4"/>
    <w:rsid w:val="7FBD4822"/>
    <w:rsid w:val="9FB33B07"/>
    <w:rsid w:val="A7F9273E"/>
    <w:rsid w:val="AFDAE1FB"/>
    <w:rsid w:val="B79A69B2"/>
    <w:rsid w:val="BF784337"/>
    <w:rsid w:val="DABF131A"/>
    <w:rsid w:val="EFC79608"/>
    <w:rsid w:val="EFCF9EAA"/>
    <w:rsid w:val="F97E00E0"/>
    <w:rsid w:val="FEFFCF8E"/>
    <w:rsid w:val="FF7D01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0"/>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0"/>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0"/>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 w:type="paragraph" w:customStyle="1" w:styleId="135">
    <w:name w:val="修订2"/>
    <w:hidden/>
    <w:unhideWhenUsed/>
    <w:qFormat/>
    <w:uiPriority w:val="99"/>
    <w:rPr>
      <w:rFonts w:ascii="宋体" w:hAnsi="宋体" w:eastAsia="宋体" w:cs="Times New Roman"/>
      <w:kern w:val="2"/>
      <w:sz w:val="24"/>
      <w:szCs w:val="24"/>
      <w:lang w:val="en-US" w:eastAsia="zh-CN" w:bidi="ar-SA"/>
    </w:rPr>
  </w:style>
  <w:style w:type="character" w:customStyle="1" w:styleId="136">
    <w:name w:val="样式2 Char"/>
    <w:link w:val="137"/>
    <w:qFormat/>
    <w:uiPriority w:val="0"/>
    <w:rPr>
      <w:rFonts w:ascii="仿宋" w:hAnsi="宋体" w:eastAsia="仿宋"/>
      <w:sz w:val="28"/>
      <w:szCs w:val="24"/>
      <w:lang w:eastAsia="en-US"/>
    </w:rPr>
  </w:style>
  <w:style w:type="paragraph" w:customStyle="1" w:styleId="137">
    <w:name w:val="样式2"/>
    <w:basedOn w:val="1"/>
    <w:link w:val="136"/>
    <w:qFormat/>
    <w:uiPriority w:val="0"/>
    <w:pPr>
      <w:widowControl/>
      <w:adjustRightInd w:val="0"/>
      <w:snapToGrid w:val="0"/>
      <w:ind w:firstLine="200"/>
    </w:pPr>
    <w:rPr>
      <w:rFonts w:ascii="仿宋" w:eastAsia="仿宋"/>
      <w:kern w:val="0"/>
      <w:sz w:val="28"/>
      <w:lang w:eastAsia="en-US"/>
    </w:rPr>
  </w:style>
  <w:style w:type="paragraph" w:customStyle="1" w:styleId="138">
    <w:name w:val="修订3"/>
    <w:hidden/>
    <w:unhideWhenUsed/>
    <w:qFormat/>
    <w:uiPriority w:val="99"/>
    <w:rPr>
      <w:rFonts w:ascii="宋体" w:hAnsi="宋体" w:eastAsia="宋体" w:cs="Times New Roman"/>
      <w:kern w:val="2"/>
      <w:sz w:val="24"/>
      <w:szCs w:val="24"/>
      <w:lang w:val="en-US" w:eastAsia="zh-CN" w:bidi="ar-SA"/>
    </w:rPr>
  </w:style>
  <w:style w:type="paragraph" w:customStyle="1" w:styleId="139">
    <w:name w:val="修订4"/>
    <w:hidden/>
    <w:unhideWhenUsed/>
    <w:qFormat/>
    <w:uiPriority w:val="99"/>
    <w:rPr>
      <w:rFonts w:ascii="宋体" w:hAnsi="宋体" w:eastAsia="宋体" w:cs="Times New Roman"/>
      <w:kern w:val="2"/>
      <w:sz w:val="24"/>
      <w:szCs w:val="24"/>
      <w:lang w:val="en-US" w:eastAsia="zh-CN" w:bidi="ar-SA"/>
    </w:rPr>
  </w:style>
  <w:style w:type="paragraph" w:customStyle="1" w:styleId="140">
    <w:name w:val="修订5"/>
    <w:hidden/>
    <w:unhideWhenUsed/>
    <w:qFormat/>
    <w:uiPriority w:val="99"/>
    <w:rPr>
      <w:rFonts w:ascii="宋体" w:hAnsi="宋体" w:eastAsia="宋体" w:cs="Times New Roman"/>
      <w:kern w:val="2"/>
      <w:sz w:val="24"/>
      <w:szCs w:val="24"/>
      <w:lang w:val="en-US" w:eastAsia="zh-CN" w:bidi="ar-SA"/>
    </w:rPr>
  </w:style>
  <w:style w:type="paragraph" w:customStyle="1" w:styleId="141">
    <w:name w:val="修订6"/>
    <w:hidden/>
    <w:unhideWhenUsed/>
    <w:qFormat/>
    <w:uiPriority w:val="99"/>
    <w:rPr>
      <w:rFonts w:ascii="宋体" w:hAnsi="宋体" w:eastAsia="宋体" w:cs="Times New Roman"/>
      <w:kern w:val="2"/>
      <w:sz w:val="24"/>
      <w:szCs w:val="24"/>
      <w:lang w:val="en-US" w:eastAsia="zh-CN" w:bidi="ar-SA"/>
    </w:rPr>
  </w:style>
  <w:style w:type="paragraph" w:customStyle="1" w:styleId="142">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5b52b54c-faba-45da-8cc1-4663d3ea7f3f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27FFCE12</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e07933f3-749b-48d3-8ca7-a51dcafe3c57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27FFCE12</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4d60e338-9904-4ab4-bbe8-1ae2c14c5dc7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64D0B42C</paraID>
      <start xmlns="http://schemas.wps.cn/vas-ai-hub/contract-review">232</start>
      <end xmlns="http://schemas.wps.cn/vas-ai-hub/contract-review">233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572c3032-3f0b-4fb9-a883-944bca6da477</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64D0B42C</paraID>
      <start xmlns="http://schemas.wps.cn/vas-ai-hub/contract-review">250</start>
      <end xmlns="http://schemas.wps.cn/vas-ai-hub/contract-review">251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0956454c-5e7c-47c6-afd5-855cdb615112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64D0B42C</paraID>
      <start xmlns="http://schemas.wps.cn/vas-ai-hub/contract-review">271</start>
      <end xmlns="http://schemas.wps.cn/vas-ai-hub/contract-review">272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f8bb4ffc-ae77-4e2b-8eaf-44d8bf8c04fb</errorID>
      <errorWord xmlns="http://schemas.wps.cn/vas-ai-hub/contract-review">）的通知</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item>
      </candidateList>
      <explain xmlns="http://schemas.wps.cn/vas-ai-hub/contract-review"/>
      <paraID xmlns="http://schemas.wps.cn/vas-ai-hub/contract-review">5E64B593</paraID>
      <start xmlns="http://schemas.wps.cn/vas-ai-hub/contract-review">61</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77440ac9-60be-44a9-afac-530d5e65584f</errorID>
      <errorWord xmlns="http://schemas.wps.cn/vas-ai-hub/contract-review">《城市体检信息平台建设指南》（试行）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《城市体检信息平台建设指南（试行）》</item>
      </candidateList>
      <explain xmlns="http://schemas.wps.cn/vas-ai-hub/contract-review">疑似政策文件、法律法规名称等书写不规范，请注意检查。</explain>
      <paraID xmlns="http://schemas.wps.cn/vas-ai-hub/contract-review">7AE00AF3</paraID>
      <start xmlns="http://schemas.wps.cn/vas-ai-hub/contract-review">156</start>
      <end xmlns="http://schemas.wps.cn/vas-ai-hub/contract-review">174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20abc3dd-d81a-4f00-a21c-fe89716707a6</errorID>
      <errorWord xmlns="http://schemas.wps.cn/vas-ai-hub/contract-review">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地</item>
      </candidateList>
      <explain xmlns="http://schemas.wps.cn/vas-ai-hub/contract-review"/>
      <paraID xmlns="http://schemas.wps.cn/vas-ai-hub/contract-review">7AE00AF3</paraID>
      <start xmlns="http://schemas.wps.cn/vas-ai-hub/contract-review">212</start>
      <end xmlns="http://schemas.wps.cn/vas-ai-hub/contract-review">213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c5e24611-7ebf-421d-847a-f5f5e941e31b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7AE00AF3</paraID>
      <start xmlns="http://schemas.wps.cn/vas-ai-hub/contract-review">259</start>
      <end xmlns="http://schemas.wps.cn/vas-ai-hub/contract-review">260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291f8791-993c-4c05-a48e-4273a34f60b2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7AE00AF3</paraID>
      <start xmlns="http://schemas.wps.cn/vas-ai-hub/contract-review">264</start>
      <end xmlns="http://schemas.wps.cn/vas-ai-hub/contract-review">265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166895a2-0ffd-42a8-ba77-4efe475da5b5</errorID>
      <errorWord xmlns="http://schemas.wps.cn/vas-ai-hub/contract-review">加强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强化</item>
      </candidateList>
      <explain xmlns="http://schemas.wps.cn/vas-ai-hub/contract-review"/>
      <paraID xmlns="http://schemas.wps.cn/vas-ai-hub/contract-review">3EE45B71</paraID>
      <start xmlns="http://schemas.wps.cn/vas-ai-hub/contract-review">59</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4e44815d-fb19-449a-bbeb-d5488d4945bc</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6B6D4814</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81fce307-e6d1-4941-b8a4-f98689b7cbcd</errorID>
      <errorWord xmlns="http://schemas.wps.cn/vas-ai-hub/contract-review">热点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特点</item>
      </candidateList>
      <explain xmlns="http://schemas.wps.cn/vas-ai-hub/contract-review"/>
      <paraID xmlns="http://schemas.wps.cn/vas-ai-hub/contract-review">69113682</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9615b7ca-65af-4f39-ba95-b3c29e4832d6</errorID>
      <errorWord xmlns="http://schemas.wps.cn/vas-ai-hub/contract-review">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用</item>
      </candidateList>
      <explain xmlns="http://schemas.wps.cn/vas-ai-hub/contract-review">存在字形相近字词的误用。</explain>
      <paraID xmlns="http://schemas.wps.cn/vas-ai-hub/contract-review">362C1A34</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e52a3cab-3712-4362-b7c3-ee88d7de840c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502C724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9f1b25bc-1433-4e02-ab2c-c10eddb00149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569E6B1F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656beeef-a817-4370-a4c3-9f0f81c5054d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16806333</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68817ebd-efd5-4434-96e5-5b9efbddc10c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566A5452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7e2d979c-85f2-45e1-9d8f-22610f6bc1cd</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4831C1DA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cf2d5db9-8e8c-4c52-989b-12ec0dc3a3a9</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37E6AFE6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2f98a3db-b2c7-4214-9d3d-c15dd765c55f</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27F6CD05</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fffe28a3-6516-4b69-924f-f22dfbf04e0e</errorID>
      <errorWord xmlns="http://schemas.wps.cn/vas-ai-hub/contract-review">、等</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等</item>
      </candidateList>
      <explain xmlns="http://schemas.wps.cn/vas-ai-hub/contract-review">“及”“和”“等”连词前不宜使用顿号，建议删除（或使用逗号）。</explain>
      <paraID xmlns="http://schemas.wps.cn/vas-ai-hub/contract-review">27F6CD05</paraID>
      <start xmlns="http://schemas.wps.cn/vas-ai-hub/contract-review">62</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1cd041df-5c7e-4691-8832-9a8220c38129</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4223F0B7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b22a6b5a-9641-46a3-a353-1bc6dc5c33df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39E2ED07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5a564679-5c53-4482-9e68-550308c5719c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51AC07C6</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ee05f9c4-4e9e-4f55-a3fd-c7fe2f60c124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4FB315CA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7b0d3b6b-d3e9-46e3-b944-0b9a215db6c4</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4FB315CA</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5f47fe1b-5908-45be-8de0-077cfdc3450b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41CAA1E</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9b597ddb-30f1-4ec7-a269-161961d2ecc8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41CAA1E</paraID>
      <start xmlns="http://schemas.wps.cn/vas-ai-hub/contract-review">39</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a6b7534e-6f64-40ed-9876-e4c3f0290ee6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41CAA1E</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c37a4e03-f7b0-4a17-9693-0b31467d517c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41CAA1E</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9d6f8666-0a7c-458a-a210-1c898bcc5b23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41CAA1E</paraID>
      <start xmlns="http://schemas.wps.cn/vas-ai-hub/contract-review">70</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082cb42e-f8f4-4cef-a564-362ab5f7a2bb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41CAA1E</paraID>
      <start xmlns="http://schemas.wps.cn/vas-ai-hub/contract-review">79</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bc61060a-6365-4d0b-be85-a0963f39a1ba</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4924D99F</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1763b48b-6fda-4f62-b4ab-4413c4800e00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12B1EC25</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19388cd9-bfd1-402e-8be0-77e70c4e01c8</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61F3B5E9</paraID>
      <start xmlns="http://schemas.wps.cn/vas-ai-hub/contract-review">66</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4795a5cf-7f39-43dc-91a6-ffe35ca1d555</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33C8EBFD</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b06e524c-37f6-47cf-ba2d-e906e8903357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38A8F591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39a913e3-1a54-4656-ba4d-f1d9f5170f51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20E8BA86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39a1b2c2-086c-49e1-a2df-4465ea2b212c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20E8BA86</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45fe49d9-d907-4fce-84f5-44fd261b9d60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4294D83F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2893671f-2d9c-4494-92b9-1bad5a4b5550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6338B7DC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d1c2a911-5ac6-424a-9c6f-bba1d97d6213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11F25DFF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0ee33b64-f8d8-4b92-b4a0-f10a2b9b5c65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15B6EC0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91e960d4-ecb6-4103-b5c3-70fc9abbda6a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2BB462DD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fdbc784d-13dc-44a4-b6bb-fe638fc7274b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67817EF4</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e1b5b77a-f0cb-4d73-bf3d-2b9bc057c765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67817EF4</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41ef8717-4ff7-4d0f-af0f-7eb987f6d96c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67817EF4</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9162dd91-d5ac-4b48-aa04-03a0a95d8668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67817EF4</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de692b9e-e025-46b7-b63b-4e9da3489624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6F610655</paraID>
      <start xmlns="http://schemas.wps.cn/vas-ai-hub/contract-review">41</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52335463-4c0d-4578-b87d-9018d1e98ed0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783CDB32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523fa390-c6d1-408e-b956-d4ba94eef5e0</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783CDB32</paraID>
      <start xmlns="http://schemas.wps.cn/vas-ai-hub/contract-review">158</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24d6efb3-7dd7-4b22-96df-25128721908c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51B208B8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bf2993d1-c6cc-41c2-966f-20853a723952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360568EA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2c0ce902-47e6-433a-860e-72a1793b7c9f</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896AC55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afa51a64-b637-42b3-bd11-0b12b46edef9</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175DEBC2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6d2eb82a-c169-4909-8d12-bca0f830f186</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32C40033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f13f9653-f093-451d-892f-5cb7f51a4fce</errorID>
      <errorWord xmlns="http://schemas.wps.cn/vas-ai-hub/contract-review">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料和</item>
      </candidateList>
      <explain xmlns="http://schemas.wps.cn/vas-ai-hub/contract-review"/>
      <paraID xmlns="http://schemas.wps.cn/vas-ai-hub/contract-review">32CD5A56</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44f7f672-2379-461e-b82a-b9ce131cfcf2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28C8E810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2e6992a2-e963-4016-ae4e-1cde63f16cee</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7AB0072B</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4aefdcd8-13b9-40b2-b233-0797484d9f54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4E0FECCA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62b55195-8759-4b77-b8d3-ac9de0c6fed1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53FBD813</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c8f73d6f-da2f-4578-b7f9-3f37f72ea6cc</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19C13499</paraID>
      <start xmlns="http://schemas.wps.cn/vas-ai-hub/contract-review">54</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fda43cd3-1f6a-484a-94c2-7fc5eecb654c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258262E2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dd2ab37a-aca4-4801-824d-0b15c6305409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16183C10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c5b0812a-ff82-4241-a049-58934ebd9187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3AC501FD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362f02e7-e649-40b9-9529-e1ceb026bad4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89AA070</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07b8f8f4-70b9-47ba-bdd9-292155f62af5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89AA070</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e3700ff9-b06f-47d2-88ec-e46feb828e7f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89AA070</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11b5916d-07b1-4433-873f-ebf61bace580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89AA070</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4646bc3a-7d9f-47ec-96ae-f71f5f2afbcc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89AA070</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28d39eb0-a44f-4999-8b06-706150b78194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89AA070</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3ca8361a-ec03-4108-981e-b4da23768d09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756ED81E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c5cbe5c9-28d7-4cfb-aeb5-39e8ce49fd8f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51B2B020</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148c3d9f-52d3-49b6-8576-d27403355659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7B556D49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f5bbd32f-4676-4469-b7f1-2272ef560e81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3A7C5629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51a7a650-1fe8-4ee0-9308-df1f1668c907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25C0D460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6D5DE1D5-9D66-4169-BA57-B998F30C024B}">
  <ds:schemaRefs/>
</ds:datastoreItem>
</file>

<file path=customXml/itemProps2.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Template>
  <Pages>20</Pages>
  <Words>8259</Words>
  <Characters>8508</Characters>
  <Lines>1063</Lines>
  <Paragraphs>728</Paragraphs>
  <TotalTime>81</TotalTime>
  <ScaleCrop>false</ScaleCrop>
  <LinksUpToDate>false</LinksUpToDate>
  <CharactersWithSpaces>16039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2026-01-19T03:43:00Z</dcterms:created>
  <dc:creator>gtig_tzb</dc:creator>
  <cp:lastModifiedBy>魏允晗</cp:lastModifiedBy>
  <cp:lastPrinted>2020-08-10T04:08:00Z</cp:lastPrinted>
  <dcterms:modified xsi:type="dcterms:W3CDTF">2026-03-27T14:01:00Z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5D533A2932B54139D5FDC069F814EA94_43</vt:lpwstr>
  </property>
  <property fmtid="{D5CDD505-2E9C-101B-9397-08002B2CF9AE}" pid="4" name="KSOTemplateDocerSaveRecord">
    <vt:lpwstr>eyJoZGlkIjoiYzZkNzQ4ZWFiZmQ4NTRhOWRkZTk3YTMwMjlmMmZhYmUiLCJ1c2VySWQiOiI5OTE3MzkwODYifQ==</vt:lpwstr>
  </property>
</Properties>
</file>