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黑体" w:hAnsi="黑体" w:eastAsia="黑体" w:cs="黑体"/>
          <w:b/>
          <w:bCs/>
          <w:sz w:val="32"/>
          <w:szCs w:val="32"/>
        </w:rPr>
      </w:pPr>
      <w:bookmarkStart w:id="0" w:name="_Toc63785461"/>
      <w:bookmarkStart w:id="42" w:name="_GoBack"/>
      <w:bookmarkEnd w:id="42"/>
      <w:r>
        <w:rPr>
          <w:rFonts w:hint="eastAsia" w:ascii="黑体" w:hAnsi="黑体" w:eastAsia="黑体" w:cs="黑体"/>
          <w:b/>
          <w:bCs/>
          <w:sz w:val="32"/>
          <w:szCs w:val="32"/>
        </w:rPr>
        <w:t>检察管理子系统建设项目</w:t>
      </w:r>
    </w:p>
    <w:p>
      <w:pPr>
        <w:spacing w:line="240" w:lineRule="auto"/>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采购需求</w:t>
      </w:r>
    </w:p>
    <w:p>
      <w:pPr>
        <w:pStyle w:val="11"/>
        <w:ind w:left="0" w:leftChars="0" w:firstLine="0" w:firstLineChars="0"/>
        <w:rPr>
          <w:lang w:eastAsia="zh-CN"/>
        </w:rPr>
      </w:pPr>
    </w:p>
    <w:p>
      <w:pPr>
        <w:pStyle w:val="3"/>
        <w:rPr>
          <w:rFonts w:hint="eastAsia"/>
        </w:rPr>
      </w:pPr>
      <w:r>
        <w:rPr>
          <w:rFonts w:hint="eastAsia"/>
        </w:rPr>
        <w:t>项目概况</w:t>
      </w:r>
      <w:bookmarkEnd w:id="0"/>
    </w:p>
    <w:p>
      <w:pPr>
        <w:pStyle w:val="2"/>
        <w:ind w:firstLine="480"/>
        <w:rPr>
          <w:rFonts w:hint="eastAsia"/>
        </w:rPr>
      </w:pPr>
      <w:r>
        <w:rPr>
          <w:rFonts w:hint="eastAsia"/>
        </w:rPr>
        <w:t>2017年最高检印发《人民检察院案件质量评查工作规定（试行）》，对落实检察官办案责任制、加强对检察官司法办案的监督管理发挥了积极作用。2024年10月，为深入贯彻</w:t>
      </w:r>
      <w:r>
        <w:rPr>
          <w:rFonts w:hint="eastAsia"/>
          <w:lang w:eastAsia="zh-CN"/>
        </w:rPr>
        <w:t>习主席</w:t>
      </w:r>
      <w:r>
        <w:rPr>
          <w:rFonts w:hint="eastAsia"/>
        </w:rPr>
        <w:t>法治思想，最高检研究加强和改进检察管理、为基层减负的措施，提出“一取消三不再”，贯通推进“三个管理”，并强调“检察管理的抓手是案件质量检查评查和司法责任追究惩戒”，为了适应新形势、新变化，最高检对《人民检察院案件质量评查工作规定（试行）》进行了修订，印发了《人民检察院案件质量检查与评查工作规定（试行）》（下称《规定》）。</w:t>
      </w:r>
    </w:p>
    <w:p>
      <w:pPr>
        <w:pStyle w:val="2"/>
        <w:ind w:firstLine="480"/>
        <w:rPr>
          <w:rFonts w:hint="eastAsia"/>
        </w:rPr>
      </w:pPr>
      <w:r>
        <w:rPr>
          <w:rFonts w:hint="eastAsia"/>
        </w:rPr>
        <w:t>《规定》是一体抓实“三个管理”，推进宏观管理与微观管理相结合的重要举措，明确了在检察业务“大管理”格局下，构建案件质量检查与案件质量评查相结合的案件质量“大检查”体系。《规定》强调，各级人民检察院应当建立健全“每案必检”工作机制，对办理的每一个案件探索由不同主体、不同层级，采用不同形式、各有侧重的案件质量检查与评查方式，推动实现案件质量检查与评查常态化、规范化。</w:t>
      </w:r>
    </w:p>
    <w:p>
      <w:pPr>
        <w:pStyle w:val="2"/>
        <w:ind w:firstLine="480"/>
        <w:rPr>
          <w:rFonts w:hint="eastAsia"/>
        </w:rPr>
      </w:pPr>
      <w:r>
        <w:rPr>
          <w:rFonts w:hint="eastAsia"/>
        </w:rPr>
        <w:t>通过项目建设，构建检察“大管理”格局，一体抓实“三个管理”推动高质效办案，强化微观管理，提升办案质效。</w:t>
      </w:r>
    </w:p>
    <w:p>
      <w:pPr>
        <w:rPr>
          <w:rFonts w:hint="eastAsia"/>
        </w:rPr>
      </w:pPr>
      <w:r>
        <w:rPr>
          <w:rFonts w:hint="eastAsia"/>
        </w:rPr>
        <w:t>本项目建设须符合</w:t>
      </w:r>
      <w:r>
        <w:rPr>
          <w:rFonts w:hint="eastAsia"/>
          <w:lang w:val="en-US" w:eastAsia="zh-CN"/>
        </w:rPr>
        <w:t>XC</w:t>
      </w:r>
      <w:r>
        <w:rPr>
          <w:rFonts w:hint="eastAsia"/>
        </w:rPr>
        <w:t>要求。</w:t>
      </w:r>
    </w:p>
    <w:p>
      <w:pPr>
        <w:pStyle w:val="3"/>
        <w:rPr>
          <w:rFonts w:hint="eastAsia"/>
        </w:rPr>
      </w:pPr>
      <w:bookmarkStart w:id="1" w:name="_Toc47536644"/>
      <w:bookmarkEnd w:id="1"/>
      <w:bookmarkStart w:id="2" w:name="_Toc47532255"/>
      <w:bookmarkEnd w:id="2"/>
      <w:bookmarkStart w:id="3" w:name="_Toc47532891"/>
      <w:bookmarkEnd w:id="3"/>
      <w:bookmarkStart w:id="4" w:name="_Toc47537134"/>
      <w:bookmarkEnd w:id="4"/>
      <w:bookmarkStart w:id="5" w:name="_Toc47531634"/>
      <w:bookmarkEnd w:id="5"/>
      <w:bookmarkStart w:id="6" w:name="_Toc47533256"/>
      <w:bookmarkEnd w:id="6"/>
      <w:bookmarkStart w:id="7" w:name="_Toc47539070"/>
      <w:bookmarkEnd w:id="7"/>
      <w:bookmarkStart w:id="8" w:name="_Toc47536272"/>
      <w:bookmarkEnd w:id="8"/>
      <w:bookmarkStart w:id="9" w:name="_Toc48223882"/>
      <w:bookmarkStart w:id="10" w:name="_Toc63785463"/>
      <w:r>
        <w:rPr>
          <w:rFonts w:hint="eastAsia"/>
        </w:rPr>
        <w:t>建设目标</w:t>
      </w:r>
      <w:bookmarkEnd w:id="9"/>
      <w:bookmarkEnd w:id="10"/>
    </w:p>
    <w:p>
      <w:pPr>
        <w:pStyle w:val="4"/>
        <w:ind w:left="480"/>
        <w:rPr>
          <w:rFonts w:hint="eastAsia"/>
        </w:rPr>
      </w:pPr>
      <w:r>
        <w:rPr>
          <w:rFonts w:hint="eastAsia"/>
        </w:rPr>
        <w:t>项目目标</w:t>
      </w:r>
    </w:p>
    <w:p>
      <w:pPr>
        <w:pStyle w:val="2"/>
        <w:ind w:firstLine="480"/>
        <w:rPr>
          <w:rFonts w:hint="eastAsia"/>
        </w:rPr>
      </w:pPr>
      <w:r>
        <w:rPr>
          <w:rFonts w:hint="eastAsia"/>
        </w:rPr>
        <w:t>通过项目建设，构建检察“大管理”格局，一体抓实“三个管理”推动高质效办案，强化微观管理，提升办案质效。</w:t>
      </w:r>
    </w:p>
    <w:p>
      <w:pPr>
        <w:pStyle w:val="2"/>
        <w:ind w:firstLine="480"/>
        <w:rPr>
          <w:rFonts w:hint="eastAsia" w:cs="仿宋"/>
          <w:b/>
          <w:bCs/>
        </w:rPr>
      </w:pPr>
      <w:r>
        <w:rPr>
          <w:rFonts w:hint="eastAsia" w:cs="仿宋"/>
          <w:b/>
          <w:bCs/>
        </w:rPr>
        <w:t>一、建设“大管理”格局，夯实案件质量根基</w:t>
      </w:r>
    </w:p>
    <w:p>
      <w:pPr>
        <w:pStyle w:val="2"/>
        <w:ind w:firstLine="480"/>
        <w:rPr>
          <w:rFonts w:hint="eastAsia"/>
        </w:rPr>
      </w:pPr>
      <w:r>
        <w:t>检察业务管理是一项系统工程，涵盖线索管理、立案管理、办案流程监控、案件质量评查、业务数据分析研判等多个环节。长期以来，检察机关不断探索加强业务管理的有效方式，但在实践中，仍存在管理职能分散、协同性不足等问题，影响了案件质量的整体提升。为破解这一难题，检察机关积极构建“大管理”格局，整合管理资源，优化管理流程，形成管理合力。</w:t>
      </w:r>
      <w:r>
        <w:rPr>
          <w:rFonts w:ascii="Times New Roman" w:hAnsi="Times New Roman" w:cs="仿宋"/>
        </w:rPr>
        <w:t>​</w:t>
      </w:r>
    </w:p>
    <w:p>
      <w:pPr>
        <w:pStyle w:val="2"/>
        <w:ind w:firstLine="480"/>
        <w:rPr>
          <w:rFonts w:hint="eastAsia"/>
        </w:rPr>
      </w:pPr>
      <w:r>
        <w:t>在“大管理”格局下，业务部门、案件管理部门以及其他相关部门各司其职、密切配合。业务部门作为办案主体，强化自我管理，严格落实司法责任制，确保案件办理的实体公正和程序规范；案件管理部门发挥枢纽作用，统筹协调案件管理工作，加强对办案流程的动态监控和案件质量的整体把控；其他相关部门则在各自职责范围内，为案件办理提供支持和保障。通过建立健全沟通协调机制、信息共享机制和监督制约机制，实现了各管理环节的有机衔接和良性互动，为提升案件质量奠定了坚实基础。</w:t>
      </w:r>
    </w:p>
    <w:p>
      <w:pPr>
        <w:pStyle w:val="2"/>
        <w:ind w:firstLine="480"/>
        <w:rPr>
          <w:rFonts w:hint="eastAsia" w:cs="仿宋"/>
          <w:b/>
          <w:bCs/>
        </w:rPr>
      </w:pPr>
      <w:r>
        <w:rPr>
          <w:rFonts w:hint="eastAsia" w:cs="仿宋"/>
          <w:b/>
          <w:bCs/>
        </w:rPr>
        <w:t>二、构建“大检查”体系，强化案件质量管控</w:t>
      </w:r>
      <w:r>
        <w:rPr>
          <w:rFonts w:ascii="Times New Roman" w:hAnsi="Times New Roman" w:cs="仿宋"/>
          <w:b/>
          <w:bCs/>
        </w:rPr>
        <w:t>​</w:t>
      </w:r>
    </w:p>
    <w:p>
      <w:pPr>
        <w:pStyle w:val="2"/>
        <w:ind w:firstLine="480"/>
        <w:rPr>
          <w:rFonts w:hint="eastAsia"/>
        </w:rPr>
      </w:pPr>
      <w:r>
        <w:t>案件质量是检察工作的生命线。为加强对案件质量的监督管理，《规定》明确构建案件质量检查与案件质量评查相结合的案件质量 “大检查”体系，推动案件质量管理由事后监督向事前预防、事中控制、事后评查的全过程、全要素管理转变。</w:t>
      </w:r>
      <w:r>
        <w:rPr>
          <w:rFonts w:ascii="Times New Roman" w:hAnsi="Times New Roman" w:cs="仿宋"/>
        </w:rPr>
        <w:t>​</w:t>
      </w:r>
    </w:p>
    <w:p>
      <w:pPr>
        <w:pStyle w:val="2"/>
        <w:ind w:firstLine="480"/>
        <w:rPr>
          <w:rFonts w:hint="eastAsia"/>
        </w:rPr>
      </w:pPr>
      <w:r>
        <w:t>案件质量检查是对案件办理过程和结果的全面审查，包括对办案程序、证据采信、法律适用、文书制作等方面的检查。通过定期或不定期开展案件质量检查，及时发现和纠正案件办理中存在的问题，确保案件办理依法依规进行。案件质量评查则是对已办结案件的质量进行综合评价，通过对案件实体处理、程序规范、法律效果和社会效果等方面的分析评估，总结经验教训，提出改进措施，促进办案质量的持续提升。</w:t>
      </w:r>
      <w:r>
        <w:rPr>
          <w:rFonts w:ascii="Times New Roman" w:hAnsi="Times New Roman" w:cs="仿宋"/>
        </w:rPr>
        <w:t>​</w:t>
      </w:r>
    </w:p>
    <w:p>
      <w:pPr>
        <w:pStyle w:val="2"/>
        <w:ind w:firstLine="480"/>
        <w:rPr>
          <w:rFonts w:ascii="宋体" w:hAnsi="宋体"/>
        </w:rPr>
      </w:pPr>
      <w:r>
        <w:t>为确保“大检查”体系的有效运行，《规定》对案件质量检查与评查的组织实施、人员配置、工作程序、结果运用等作出了详细规定。成立案件质量检查与评查工作领导小组，负责统筹协调相关工作；明确案件质量检查与评查人员的选任标准和职责要求，确保检查与评查工作的专业性和公正性；规范检查与评查的工作流程，严格按照规定的程序和方法开展工作；强化检查与评查结果的运用，将其作为检察官业绩评价、评先评优、晋职晋级的重要依据，对存在严重质量问题的案件，依法依规追究相关人员的责任。</w:t>
      </w:r>
      <w:r>
        <w:rPr>
          <w:rFonts w:ascii="Times New Roman" w:hAnsi="Times New Roman" w:cs="Times New Roman"/>
        </w:rPr>
        <w:t>​</w:t>
      </w:r>
    </w:p>
    <w:p>
      <w:pPr>
        <w:pStyle w:val="2"/>
        <w:ind w:firstLine="480"/>
        <w:rPr>
          <w:rFonts w:hint="eastAsia" w:cs="仿宋"/>
          <w:b/>
          <w:bCs/>
        </w:rPr>
      </w:pPr>
      <w:r>
        <w:rPr>
          <w:rFonts w:hint="eastAsia" w:cs="仿宋"/>
          <w:b/>
          <w:bCs/>
        </w:rPr>
        <w:t>三、强化“大模型”赋能，提升案件管理效能</w:t>
      </w:r>
      <w:r>
        <w:rPr>
          <w:rFonts w:ascii="Times New Roman" w:hAnsi="Times New Roman" w:cs="仿宋"/>
          <w:b/>
          <w:bCs/>
        </w:rPr>
        <w:t>​</w:t>
      </w:r>
    </w:p>
    <w:p>
      <w:pPr>
        <w:pStyle w:val="2"/>
        <w:ind w:firstLine="480"/>
        <w:rPr>
          <w:rFonts w:hint="eastAsia"/>
        </w:rPr>
      </w:pPr>
      <w:r>
        <w:t>随着人工智能技术的快速发展，检察机关积极探索运用大数据、人工智能等现代科技手段，为案件管理工作赋能增效。《规定》明确提出，要充分利用信息化技术，建立健全案件质量智能管理系统，实现对案件质量的精准分析和动态监控。</w:t>
      </w:r>
      <w:r>
        <w:rPr>
          <w:rFonts w:ascii="Times New Roman" w:hAnsi="Times New Roman" w:cs="仿宋"/>
        </w:rPr>
        <w:t>​</w:t>
      </w:r>
    </w:p>
    <w:p>
      <w:pPr>
        <w:pStyle w:val="2"/>
        <w:ind w:firstLine="480"/>
        <w:rPr>
          <w:rFonts w:hint="eastAsia"/>
        </w:rPr>
      </w:pPr>
      <w:r>
        <w:t>在实践中，检察机关依托大数据、人工智能等技术，构建案件质量“大模型”。通过对海量案件数据的收集、整理和分析，建立案件质量评估指标体系，运用机器学习、深度学习等算法，对案件质量进行智能评估和预测。案件质量“大模型”能够自动识别案件办理中的风险点和问题线索，为案件质量检查与评查提供精准指引，提高工作效率和质量。</w:t>
      </w:r>
      <w:r>
        <w:rPr>
          <w:rFonts w:ascii="Times New Roman" w:hAnsi="Times New Roman" w:cs="仿宋"/>
        </w:rPr>
        <w:t>​</w:t>
      </w:r>
    </w:p>
    <w:p>
      <w:pPr>
        <w:pStyle w:val="2"/>
        <w:ind w:firstLine="480"/>
        <w:rPr>
          <w:rFonts w:hint="eastAsia"/>
        </w:rPr>
      </w:pPr>
      <w:r>
        <w:t>同时，案件质量智能管理系统还实现了与</w:t>
      </w:r>
      <w:r>
        <w:rPr>
          <w:rFonts w:hint="eastAsia"/>
        </w:rPr>
        <w:t>检察</w:t>
      </w:r>
      <w:r>
        <w:t>业务应用系统的深度融合，通过数据共享和业务协同，实现了对案件办理全过程的实时监控和管理。办案人员可以通过系统及时了解案件办理进度、质量情况，发现问题及时整改；案件管理部门可以通过系统对案件质量进行动态分析和评估，为领导决策提供数据支持。</w:t>
      </w:r>
    </w:p>
    <w:p>
      <w:pPr>
        <w:pStyle w:val="4"/>
        <w:ind w:left="480"/>
        <w:rPr>
          <w:rFonts w:hint="eastAsia"/>
        </w:rPr>
      </w:pPr>
      <w:r>
        <w:rPr>
          <w:rFonts w:hint="eastAsia"/>
        </w:rPr>
        <w:t>绩效目标</w:t>
      </w:r>
    </w:p>
    <w:p>
      <w:pPr>
        <w:pStyle w:val="2"/>
        <w:ind w:firstLine="480"/>
        <w:rPr>
          <w:rFonts w:hint="eastAsia"/>
        </w:rPr>
      </w:pPr>
      <w:r>
        <w:rPr>
          <w:rFonts w:hint="eastAsia"/>
        </w:rPr>
        <w:t>本项目建设完成后，需达成以下绩效目标：</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1096"/>
        <w:gridCol w:w="1448"/>
        <w:gridCol w:w="1734"/>
        <w:gridCol w:w="2355"/>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一级指标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二级指标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三级指标</w:t>
            </w:r>
          </w:p>
        </w:tc>
        <w:tc>
          <w:tcPr>
            <w:tcW w:w="1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四级指标</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产出数量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软件开发完成率</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软件测试达标</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安全事件发生次数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密码测试达标</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安全测试达标</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网络安全等级保护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一次性验收合格率</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系统可靠性</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产出时效</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项目建设周期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kern w:val="0"/>
                <w:sz w:val="22"/>
                <w:szCs w:val="22"/>
                <w:u w:val="none"/>
                <w:lang w:val="en-US" w:eastAsia="zh-CN" w:bidi="ar"/>
              </w:rPr>
              <w:t>≤17个月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应用系统</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用户使用情况</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系统用户量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≥5000个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通用指标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应用系统</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用户使用情况</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月活跃用户量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≥10000人次</w:t>
            </w:r>
            <w:r>
              <w:rPr>
                <w:rFonts w:hint="default" w:ascii="等线" w:hAnsi="等线" w:eastAsia="等线" w:cs="等线"/>
                <w:b w:val="0"/>
                <w:bCs w:val="0"/>
                <w:i w:val="0"/>
                <w:iCs w:val="0"/>
                <w:color w:val="000000"/>
                <w:kern w:val="0"/>
                <w:sz w:val="22"/>
                <w:szCs w:val="22"/>
                <w:u w:val="none"/>
                <w:lang w:val="en-US" w:eastAsia="zh-CN" w:bidi="ar"/>
              </w:rPr>
              <w:t>/</w:t>
            </w:r>
            <w:r>
              <w:rPr>
                <w:rFonts w:hint="eastAsia" w:ascii="等线" w:hAnsi="等线" w:eastAsia="等线" w:cs="等线"/>
                <w:b w:val="0"/>
                <w:bCs w:val="0"/>
                <w:i w:val="0"/>
                <w:iCs w:val="0"/>
                <w:color w:val="000000"/>
                <w:kern w:val="0"/>
                <w:sz w:val="22"/>
                <w:szCs w:val="22"/>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一般时段数据操作响应时间</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w:t>
            </w:r>
            <w:r>
              <w:rPr>
                <w:rFonts w:hint="default" w:ascii="等线" w:hAnsi="等线" w:eastAsia="等线" w:cs="等线"/>
                <w:b w:val="0"/>
                <w:bCs w:val="0"/>
                <w:i w:val="0"/>
                <w:iCs w:val="0"/>
                <w:color w:val="000000"/>
                <w:kern w:val="0"/>
                <w:sz w:val="22"/>
                <w:szCs w:val="22"/>
                <w:u w:val="none"/>
                <w:lang w:val="en-US" w:eastAsia="zh-CN" w:bidi="ar"/>
              </w:rPr>
              <w:t>3</w:t>
            </w:r>
            <w:r>
              <w:rPr>
                <w:rFonts w:hint="eastAsia" w:ascii="等线" w:hAnsi="等线" w:eastAsia="等线" w:cs="等线"/>
                <w:b w:val="0"/>
                <w:bCs w:val="0"/>
                <w:i w:val="0"/>
                <w:iCs w:val="0"/>
                <w:color w:val="000000"/>
                <w:kern w:val="0"/>
                <w:sz w:val="22"/>
                <w:szCs w:val="22"/>
                <w:u w:val="none"/>
                <w:lang w:val="en-US" w:eastAsia="zh-CN" w:bidi="ar"/>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一般时段简单查询响应时间</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≤5秒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支持同时在线用户数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w:t>
            </w:r>
            <w:r>
              <w:rPr>
                <w:rFonts w:hint="default" w:ascii="等线" w:hAnsi="等线" w:eastAsia="等线" w:cs="等线"/>
                <w:b w:val="0"/>
                <w:bCs w:val="0"/>
                <w:i w:val="0"/>
                <w:iCs w:val="0"/>
                <w:color w:val="000000"/>
                <w:kern w:val="0"/>
                <w:sz w:val="22"/>
                <w:szCs w:val="22"/>
                <w:u w:val="none"/>
                <w:lang w:val="en-US" w:eastAsia="zh-CN" w:bidi="ar"/>
              </w:rPr>
              <w:t>3000</w:t>
            </w:r>
            <w:r>
              <w:rPr>
                <w:rFonts w:hint="eastAsia" w:ascii="等线" w:hAnsi="等线" w:eastAsia="等线" w:cs="等线"/>
                <w:b w:val="0"/>
                <w:bCs w:val="0"/>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产出质量</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支持并发用户数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效益指标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220" w:firstLineChars="100"/>
              <w:jc w:val="both"/>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 xml:space="preserve"> 社会效益</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管理案件数量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≥100000个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效益指标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220" w:firstLineChars="100"/>
              <w:jc w:val="both"/>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 xml:space="preserve"> 社会效益</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实现线上业务流程数量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效益指标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220" w:firstLineChars="100"/>
              <w:jc w:val="both"/>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 xml:space="preserve"> 社会效益</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每月质效分析案件数量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≥2000个</w:t>
            </w:r>
            <w:r>
              <w:rPr>
                <w:rFonts w:hint="default" w:ascii="等线" w:hAnsi="等线" w:eastAsia="等线" w:cs="等线"/>
                <w:b w:val="0"/>
                <w:bCs w:val="0"/>
                <w:i w:val="0"/>
                <w:iCs w:val="0"/>
                <w:color w:val="000000"/>
                <w:kern w:val="0"/>
                <w:sz w:val="22"/>
                <w:szCs w:val="22"/>
                <w:u w:val="none"/>
                <w:lang w:val="en-US" w:eastAsia="zh-CN" w:bidi="ar"/>
              </w:rPr>
              <w:t>/</w:t>
            </w:r>
            <w:r>
              <w:rPr>
                <w:rFonts w:hint="eastAsia" w:ascii="等线" w:hAnsi="等线" w:eastAsia="等线" w:cs="等线"/>
                <w:b w:val="0"/>
                <w:bCs w:val="0"/>
                <w:i w:val="0"/>
                <w:iCs w:val="0"/>
                <w:color w:val="000000"/>
                <w:kern w:val="0"/>
                <w:sz w:val="22"/>
                <w:szCs w:val="22"/>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19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效益指标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220" w:firstLineChars="100"/>
              <w:jc w:val="both"/>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 xml:space="preserve"> 社会效益</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每月线上完成质量检查评价案件数量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≥2000个</w:t>
            </w:r>
            <w:r>
              <w:rPr>
                <w:rFonts w:hint="default" w:ascii="等线" w:hAnsi="等线" w:eastAsia="等线" w:cs="等线"/>
                <w:b w:val="0"/>
                <w:bCs w:val="0"/>
                <w:i w:val="0"/>
                <w:iCs w:val="0"/>
                <w:color w:val="000000"/>
                <w:kern w:val="0"/>
                <w:sz w:val="22"/>
                <w:szCs w:val="22"/>
                <w:u w:val="none"/>
                <w:lang w:val="en-US" w:eastAsia="zh-CN" w:bidi="ar"/>
              </w:rPr>
              <w:t>/</w:t>
            </w:r>
            <w:r>
              <w:rPr>
                <w:rFonts w:hint="eastAsia" w:ascii="等线" w:hAnsi="等线" w:eastAsia="等线" w:cs="等线"/>
                <w:b w:val="0"/>
                <w:bCs w:val="0"/>
                <w:i w:val="0"/>
                <w:iCs w:val="0"/>
                <w:color w:val="000000"/>
                <w:kern w:val="0"/>
                <w:sz w:val="22"/>
                <w:szCs w:val="22"/>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业务指标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效益指标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220" w:firstLineChars="100"/>
              <w:jc w:val="both"/>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 xml:space="preserve"> 社会效益</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每月通过智能接访工作台接待来访人员数量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≥20人</w:t>
            </w:r>
            <w:r>
              <w:rPr>
                <w:rFonts w:hint="default" w:ascii="等线" w:hAnsi="等线" w:eastAsia="等线" w:cs="等线"/>
                <w:b w:val="0"/>
                <w:bCs w:val="0"/>
                <w:i w:val="0"/>
                <w:iCs w:val="0"/>
                <w:color w:val="000000"/>
                <w:kern w:val="0"/>
                <w:sz w:val="22"/>
                <w:szCs w:val="22"/>
                <w:u w:val="none"/>
                <w:lang w:val="en-US" w:eastAsia="zh-CN" w:bidi="ar"/>
              </w:rPr>
              <w:t>/</w:t>
            </w:r>
            <w:r>
              <w:rPr>
                <w:rFonts w:hint="eastAsia" w:ascii="等线" w:hAnsi="等线" w:eastAsia="等线" w:cs="等线"/>
                <w:b w:val="0"/>
                <w:bCs w:val="0"/>
                <w:i w:val="0"/>
                <w:iCs w:val="0"/>
                <w:color w:val="000000"/>
                <w:kern w:val="0"/>
                <w:sz w:val="22"/>
                <w:szCs w:val="22"/>
                <w:u w:val="none"/>
                <w:lang w:val="en-US" w:eastAsia="zh-CN" w:bidi="ar"/>
              </w:rPr>
              <w:t>月</w:t>
            </w:r>
          </w:p>
        </w:tc>
      </w:tr>
    </w:tbl>
    <w:p>
      <w:pPr>
        <w:pStyle w:val="2"/>
        <w:ind w:firstLine="480"/>
        <w:rPr>
          <w:rFonts w:hint="eastAsia"/>
        </w:rPr>
      </w:pPr>
    </w:p>
    <w:p>
      <w:pPr>
        <w:pStyle w:val="3"/>
        <w:rPr>
          <w:rFonts w:hint="eastAsia"/>
        </w:rPr>
      </w:pPr>
      <w:bookmarkStart w:id="11" w:name="_Toc47537166"/>
      <w:bookmarkEnd w:id="11"/>
      <w:bookmarkStart w:id="12" w:name="_Toc47532923"/>
      <w:bookmarkEnd w:id="12"/>
      <w:bookmarkStart w:id="13" w:name="_Toc47536304"/>
      <w:bookmarkEnd w:id="13"/>
      <w:bookmarkStart w:id="14" w:name="_Toc47536676"/>
      <w:bookmarkEnd w:id="14"/>
      <w:bookmarkStart w:id="15" w:name="_Toc47539102"/>
      <w:bookmarkEnd w:id="15"/>
      <w:bookmarkStart w:id="16" w:name="_Toc47533288"/>
      <w:bookmarkEnd w:id="16"/>
      <w:r>
        <w:rPr>
          <w:rFonts w:hint="eastAsia"/>
        </w:rPr>
        <w:t>项目建设内容</w:t>
      </w:r>
    </w:p>
    <w:p>
      <w:pPr>
        <w:pStyle w:val="4"/>
        <w:ind w:left="480"/>
        <w:rPr>
          <w:rFonts w:hint="eastAsia"/>
        </w:rPr>
      </w:pPr>
      <w:r>
        <w:rPr>
          <w:rFonts w:hint="eastAsia"/>
        </w:rPr>
        <w:t>总体架构</w:t>
      </w:r>
    </w:p>
    <w:p>
      <w:pPr>
        <w:pStyle w:val="2"/>
        <w:ind w:firstLine="480"/>
        <w:rPr>
          <w:rFonts w:hint="eastAsia"/>
        </w:rPr>
      </w:pPr>
      <w:r>
        <w:rPr>
          <w:rFonts w:hint="eastAsia"/>
          <w:lang w:val="en-US" w:eastAsia="zh-CN"/>
        </w:rPr>
        <w:t>本项目</w:t>
      </w:r>
      <w:r>
        <w:rPr>
          <w:rFonts w:hint="eastAsia"/>
        </w:rPr>
        <w:t>总体架构</w:t>
      </w:r>
      <w:r>
        <w:rPr>
          <w:rFonts w:hint="eastAsia"/>
          <w:lang w:eastAsia="zh-CN"/>
        </w:rPr>
        <w:t>包含</w:t>
      </w:r>
      <w:r>
        <w:rPr>
          <w:rFonts w:hint="eastAsia"/>
        </w:rPr>
        <w:t>用户层、应用层、数据层以及基础支撑层：</w:t>
      </w:r>
    </w:p>
    <w:p>
      <w:pPr>
        <w:pStyle w:val="2"/>
        <w:numPr>
          <w:ilvl w:val="0"/>
          <w:numId w:val="2"/>
        </w:numPr>
        <w:ind w:firstLineChars="0"/>
        <w:rPr>
          <w:rFonts w:hint="eastAsia"/>
        </w:rPr>
      </w:pPr>
      <w:r>
        <w:rPr>
          <w:rFonts w:hint="eastAsia"/>
        </w:rPr>
        <w:t>用户层</w:t>
      </w:r>
    </w:p>
    <w:p>
      <w:pPr>
        <w:pStyle w:val="2"/>
        <w:ind w:firstLine="480"/>
        <w:rPr>
          <w:rFonts w:hint="eastAsia"/>
        </w:rPr>
      </w:pPr>
      <w:r>
        <w:rPr>
          <w:rFonts w:hint="eastAsia"/>
        </w:rPr>
        <w:t>系统服务对象大致可分为领导、检察官、</w:t>
      </w:r>
      <w:r>
        <w:rPr>
          <w:rFonts w:hint="eastAsia"/>
          <w:lang w:eastAsia="zh-CN"/>
        </w:rPr>
        <w:t>技术</w:t>
      </w:r>
      <w:r>
        <w:rPr>
          <w:rFonts w:hint="eastAsia"/>
        </w:rPr>
        <w:t>人员，根据不用户类型，系统提供与之对应的展示界面、流程控制、操作权限等。</w:t>
      </w:r>
    </w:p>
    <w:p>
      <w:pPr>
        <w:pStyle w:val="2"/>
        <w:numPr>
          <w:ilvl w:val="0"/>
          <w:numId w:val="2"/>
        </w:numPr>
        <w:ind w:firstLineChars="0"/>
        <w:rPr>
          <w:rFonts w:hint="eastAsia"/>
        </w:rPr>
      </w:pPr>
      <w:r>
        <w:rPr>
          <w:rFonts w:hint="eastAsia"/>
        </w:rPr>
        <w:t>应用层</w:t>
      </w:r>
    </w:p>
    <w:p>
      <w:pPr>
        <w:pStyle w:val="2"/>
        <w:ind w:firstLine="480"/>
        <w:rPr>
          <w:rFonts w:hint="eastAsia"/>
        </w:rPr>
      </w:pPr>
      <w:r>
        <w:rPr>
          <w:rFonts w:hint="eastAsia"/>
        </w:rPr>
        <w:t>建设“三个管理”分析功能，管理智能预警提示;新增刑事执行检察、未成年人检察、控告申诉检察三个业务14类案件的办案巡逻车，规范案件管理;开发办案权限管理</w:t>
      </w:r>
      <w:r>
        <w:rPr>
          <w:rFonts w:hint="eastAsia"/>
          <w:lang w:eastAsia="zh-CN"/>
        </w:rPr>
        <w:t>、</w:t>
      </w:r>
      <w:r>
        <w:rPr>
          <w:rFonts w:hint="eastAsia"/>
        </w:rPr>
        <w:t>期限管理、案件分配管理等功能，推进更全面的案件管理;开发办案质效分析管理专题，实现业务管理的跟踪问效。建设覆盖“四大检察”常见案件类型的案件检查流程，用于检察官自查和部门评查，有效落实“每案必检”;打通案件检查和案件质量评查，并引入人工智能技术辅助，以类案方式推进“每案必评”，助力构建“大检查”体系统，促进高质效办案。</w:t>
      </w:r>
    </w:p>
    <w:p>
      <w:pPr>
        <w:pStyle w:val="2"/>
        <w:numPr>
          <w:ilvl w:val="0"/>
          <w:numId w:val="2"/>
        </w:numPr>
        <w:ind w:firstLineChars="0"/>
        <w:rPr>
          <w:rFonts w:hint="eastAsia"/>
        </w:rPr>
      </w:pPr>
      <w:r>
        <w:rPr>
          <w:rFonts w:hint="eastAsia"/>
        </w:rPr>
        <w:t>数据层</w:t>
      </w:r>
    </w:p>
    <w:p>
      <w:pPr>
        <w:pStyle w:val="2"/>
        <w:ind w:firstLine="480"/>
        <w:rPr>
          <w:rFonts w:hint="eastAsia"/>
        </w:rPr>
      </w:pPr>
      <w:r>
        <w:rPr>
          <w:rFonts w:hint="eastAsia"/>
        </w:rPr>
        <w:t>全流程办案体系业务数据作为数据资源管理平台的主要数据来源，为数据治理、数据分析提供了基础，同时数据资源管理平台也将数据治理后的成果形成统一的数据服务与数据应用，支撑本项目业务应用，提供通用能力，方便本项目各业务应用进行调用。</w:t>
      </w:r>
    </w:p>
    <w:p>
      <w:pPr>
        <w:pStyle w:val="2"/>
        <w:numPr>
          <w:ilvl w:val="0"/>
          <w:numId w:val="2"/>
        </w:numPr>
        <w:ind w:firstLineChars="0"/>
        <w:rPr>
          <w:rFonts w:hint="eastAsia"/>
        </w:rPr>
      </w:pPr>
      <w:r>
        <w:rPr>
          <w:rFonts w:hint="eastAsia"/>
        </w:rPr>
        <w:t>基础支撑层</w:t>
      </w:r>
    </w:p>
    <w:p>
      <w:pPr>
        <w:pStyle w:val="2"/>
        <w:ind w:firstLine="480"/>
        <w:rPr>
          <w:rFonts w:hint="eastAsia"/>
        </w:rPr>
      </w:pPr>
      <w:r>
        <w:rPr>
          <w:rFonts w:hint="eastAsia"/>
        </w:rPr>
        <w:t>本系统基础支撑层基于上海市电子政务云构建，主要包括服务器、存储系统、数据库、中间件及安全网关等核心组件，相关资源向电子政务云申请。</w:t>
      </w:r>
    </w:p>
    <w:p>
      <w:pPr>
        <w:pStyle w:val="4"/>
        <w:ind w:left="480"/>
        <w:rPr>
          <w:rFonts w:hint="eastAsia"/>
        </w:rPr>
      </w:pPr>
      <w:r>
        <w:rPr>
          <w:rFonts w:hint="eastAsia"/>
        </w:rPr>
        <w:t>建设原则</w:t>
      </w:r>
    </w:p>
    <w:p>
      <w:pPr>
        <w:pStyle w:val="2"/>
        <w:ind w:firstLine="480"/>
        <w:rPr>
          <w:rFonts w:ascii="宋体" w:hAnsi="宋体"/>
          <w:szCs w:val="24"/>
        </w:rPr>
      </w:pPr>
      <w:r>
        <w:rPr>
          <w:rFonts w:hint="eastAsia" w:ascii="宋体" w:hAnsi="宋体"/>
          <w:szCs w:val="24"/>
        </w:rPr>
        <w:t>充分适应上海检察信息化发展的需要，遵循长远规划、基础规范、充分论证、可靠实用的理念，确保系统高效智能、操作简单、安全稳定、维护方便、升级灵活。需遵循以下原则：</w:t>
      </w:r>
    </w:p>
    <w:p>
      <w:pPr>
        <w:numPr>
          <w:ilvl w:val="0"/>
          <w:numId w:val="3"/>
        </w:numPr>
        <w:ind w:left="0" w:firstLine="480"/>
        <w:rPr>
          <w:rFonts w:hint="eastAsia"/>
          <w:szCs w:val="20"/>
        </w:rPr>
      </w:pPr>
      <w:r>
        <w:rPr>
          <w:rFonts w:hint="eastAsia"/>
          <w:szCs w:val="20"/>
        </w:rPr>
        <w:t>开放性和标准性原则</w:t>
      </w:r>
    </w:p>
    <w:p>
      <w:pPr>
        <w:rPr>
          <w:rFonts w:ascii="宋体" w:hAnsi="宋体"/>
          <w:szCs w:val="24"/>
        </w:rPr>
      </w:pPr>
      <w:r>
        <w:rPr>
          <w:rFonts w:hint="eastAsia" w:ascii="Tahoma" w:hAnsi="Tahoma"/>
          <w:szCs w:val="20"/>
        </w:rPr>
        <w:t>软</w:t>
      </w:r>
      <w:r>
        <w:rPr>
          <w:rFonts w:hint="eastAsia" w:ascii="宋体" w:hAnsi="宋体"/>
          <w:szCs w:val="24"/>
        </w:rPr>
        <w:t>件系统应具备良好的开放性，可以根据检察业务的需要，进行多种系统或多种设备的集成和拓展。系统设计要遵循开放性标准，符合上海检察机关信息化建设基础规范的要求，实现业务信息的输入、输出标准化，便于与其他系统之间的互联互通。</w:t>
      </w:r>
      <w:r>
        <w:rPr>
          <w:rFonts w:ascii="宋体" w:hAnsi="宋体"/>
          <w:szCs w:val="24"/>
        </w:rPr>
        <w:t xml:space="preserve"> </w:t>
      </w:r>
    </w:p>
    <w:p>
      <w:pPr>
        <w:numPr>
          <w:ilvl w:val="0"/>
          <w:numId w:val="3"/>
        </w:numPr>
        <w:ind w:left="0" w:firstLine="480"/>
        <w:rPr>
          <w:rFonts w:hint="eastAsia"/>
          <w:szCs w:val="20"/>
        </w:rPr>
      </w:pPr>
      <w:bookmarkStart w:id="17" w:name="_Toc80859958"/>
      <w:bookmarkEnd w:id="17"/>
      <w:bookmarkStart w:id="18" w:name="_Toc80627411"/>
      <w:r>
        <w:rPr>
          <w:rFonts w:hint="eastAsia"/>
          <w:szCs w:val="20"/>
        </w:rPr>
        <w:t>先进性和实用性原则</w:t>
      </w:r>
      <w:bookmarkEnd w:id="18"/>
    </w:p>
    <w:p>
      <w:pPr>
        <w:rPr>
          <w:rFonts w:ascii="Tahoma" w:hAnsi="Tahoma"/>
          <w:szCs w:val="20"/>
        </w:rPr>
      </w:pPr>
      <w:r>
        <w:rPr>
          <w:rFonts w:hint="eastAsia" w:ascii="Tahoma" w:hAnsi="Tahoma"/>
          <w:szCs w:val="20"/>
        </w:rPr>
        <w:t>采用基于三层体系结构的系统构架和面向对象设计的应用软件；选用稳定可靠且通用的系统软件、数据库软件、中间件软件、工具软件等开发平台；选用技术领先、设备先进、质量可靠、性能价格比合理的设备。</w:t>
      </w:r>
    </w:p>
    <w:p>
      <w:pPr>
        <w:numPr>
          <w:ilvl w:val="0"/>
          <w:numId w:val="3"/>
        </w:numPr>
        <w:ind w:left="0" w:firstLine="480"/>
        <w:rPr>
          <w:rFonts w:hint="eastAsia"/>
          <w:szCs w:val="20"/>
        </w:rPr>
      </w:pPr>
      <w:bookmarkStart w:id="19" w:name="_Toc80627413"/>
      <w:bookmarkEnd w:id="19"/>
      <w:bookmarkStart w:id="20" w:name="_Toc80859960"/>
      <w:r>
        <w:rPr>
          <w:rFonts w:hint="eastAsia"/>
          <w:szCs w:val="20"/>
        </w:rPr>
        <w:t>扩展性和维护性原则</w:t>
      </w:r>
      <w:bookmarkEnd w:id="20"/>
    </w:p>
    <w:p>
      <w:pPr>
        <w:rPr>
          <w:rFonts w:ascii="Tahoma" w:hAnsi="Tahoma"/>
          <w:szCs w:val="20"/>
        </w:rPr>
      </w:pPr>
      <w:r>
        <w:rPr>
          <w:rFonts w:hint="eastAsia" w:ascii="Tahoma" w:hAnsi="Tahoma"/>
          <w:szCs w:val="20"/>
        </w:rPr>
        <w:t>系统采用的技术架构应具有较强的可扩展性与维护性，可根据业务需求变化进行灵活的功能调整和扩展，便于系统维护和故障排查。</w:t>
      </w:r>
    </w:p>
    <w:p>
      <w:pPr>
        <w:numPr>
          <w:ilvl w:val="0"/>
          <w:numId w:val="3"/>
        </w:numPr>
        <w:ind w:left="0" w:firstLine="480"/>
        <w:rPr>
          <w:rFonts w:hint="eastAsia"/>
          <w:szCs w:val="20"/>
        </w:rPr>
      </w:pPr>
      <w:bookmarkStart w:id="21" w:name="_Toc80627414"/>
      <w:bookmarkEnd w:id="21"/>
      <w:bookmarkStart w:id="22" w:name="_Toc80859961"/>
      <w:r>
        <w:rPr>
          <w:rFonts w:hint="eastAsia"/>
          <w:szCs w:val="20"/>
        </w:rPr>
        <w:t>安全性和可靠性原则</w:t>
      </w:r>
      <w:bookmarkEnd w:id="22"/>
    </w:p>
    <w:p>
      <w:pPr>
        <w:rPr>
          <w:rFonts w:ascii="Tahoma" w:hAnsi="Tahoma"/>
          <w:szCs w:val="20"/>
        </w:rPr>
      </w:pPr>
      <w:r>
        <w:rPr>
          <w:rFonts w:hint="eastAsia" w:ascii="Tahoma" w:hAnsi="Tahoma"/>
          <w:szCs w:val="20"/>
        </w:rPr>
        <w:t>必须保证系统与各相关系统之间数据传输的准确性、可靠性，不能出现数据丢失和错误的现象；充分考虑系统的备份与恢复。保证数据通信的安全，所有用户的操作应在授权下执行，不能越权操作数据。系统建立日志记录、运行监控等机制，保证系统安全可靠。</w:t>
      </w:r>
    </w:p>
    <w:p>
      <w:pPr>
        <w:pStyle w:val="4"/>
        <w:ind w:left="480"/>
        <w:rPr>
          <w:rFonts w:hint="eastAsia"/>
        </w:rPr>
      </w:pPr>
      <w:r>
        <w:rPr>
          <w:rFonts w:hint="eastAsia"/>
        </w:rPr>
        <w:t>建设规范</w:t>
      </w:r>
    </w:p>
    <w:p>
      <w:pPr>
        <w:pStyle w:val="2"/>
        <w:ind w:firstLine="480"/>
        <w:rPr>
          <w:rFonts w:ascii="Tahoma" w:hAnsi="Tahoma"/>
          <w:szCs w:val="20"/>
        </w:rPr>
      </w:pPr>
      <w:r>
        <w:rPr>
          <w:rFonts w:hint="eastAsia" w:ascii="Tahoma" w:hAnsi="Tahoma"/>
          <w:szCs w:val="20"/>
        </w:rPr>
        <w:t>本项目建设遵循《</w:t>
      </w:r>
      <w:r>
        <w:rPr>
          <w:rFonts w:hint="eastAsia"/>
        </w:rPr>
        <w:t>人民检察院案件质量检查与评查工作规定（试行）</w:t>
      </w:r>
      <w:r>
        <w:rPr>
          <w:rFonts w:hint="eastAsia" w:ascii="Tahoma" w:hAnsi="Tahoma"/>
          <w:szCs w:val="20"/>
        </w:rPr>
        <w:t>》、《</w:t>
      </w:r>
      <w:r>
        <w:rPr>
          <w:rFonts w:hint="eastAsia"/>
        </w:rPr>
        <w:t>上海市检察机关案件质量检查与评查工作实施细则（试行）</w:t>
      </w:r>
      <w:r>
        <w:rPr>
          <w:rFonts w:hint="eastAsia" w:ascii="Tahoma" w:hAnsi="Tahoma"/>
          <w:szCs w:val="20"/>
        </w:rPr>
        <w:t>》、《</w:t>
      </w:r>
      <w:r>
        <w:rPr>
          <w:rFonts w:hint="eastAsia"/>
        </w:rPr>
        <w:t>关于人民检察院全面准确落实司法责任制的若干意见》（2024年）</w:t>
      </w:r>
      <w:r>
        <w:rPr>
          <w:rFonts w:hint="eastAsia" w:ascii="Tahoma" w:hAnsi="Tahoma"/>
          <w:szCs w:val="20"/>
        </w:rPr>
        <w:t>、</w:t>
      </w:r>
      <w:r>
        <w:rPr>
          <w:rFonts w:hint="eastAsia"/>
        </w:rPr>
        <w:t>《2023-2027 年检察改革工作规划》</w:t>
      </w:r>
      <w:r>
        <w:rPr>
          <w:rFonts w:hint="eastAsia" w:ascii="Tahoma" w:hAnsi="Tahoma"/>
          <w:szCs w:val="20"/>
        </w:rPr>
        <w:t>、</w:t>
      </w:r>
      <w:r>
        <w:rPr>
          <w:rFonts w:hint="eastAsia"/>
        </w:rPr>
        <w:t>最高检《“十四五”时期检察工作发展规划》</w:t>
      </w:r>
      <w:r>
        <w:rPr>
          <w:rFonts w:hint="eastAsia" w:ascii="Tahoma" w:hAnsi="Tahoma"/>
          <w:szCs w:val="20"/>
        </w:rPr>
        <w:t>以及</w:t>
      </w:r>
      <w:r>
        <w:rPr>
          <w:rFonts w:hint="eastAsia"/>
        </w:rPr>
        <w:t>《最高人民检察院关于全面深化检察改革、进一步加强新时代检察工作的意见》</w:t>
      </w:r>
      <w:r>
        <w:rPr>
          <w:rFonts w:hint="eastAsia" w:ascii="Tahoma" w:hAnsi="Tahoma"/>
          <w:szCs w:val="20"/>
        </w:rPr>
        <w:t>。</w:t>
      </w:r>
    </w:p>
    <w:p>
      <w:pPr>
        <w:pStyle w:val="4"/>
        <w:ind w:left="480"/>
        <w:rPr>
          <w:rFonts w:hint="eastAsia"/>
        </w:rPr>
      </w:pPr>
      <w:r>
        <w:rPr>
          <w:rFonts w:hint="eastAsia"/>
        </w:rPr>
        <w:t>建设内容</w:t>
      </w:r>
    </w:p>
    <w:p>
      <w:pPr>
        <w:pStyle w:val="2"/>
        <w:ind w:firstLine="480"/>
        <w:rPr>
          <w:rFonts w:hint="eastAsia"/>
        </w:rPr>
      </w:pPr>
      <w:r>
        <w:rPr>
          <w:rFonts w:hint="eastAsia"/>
        </w:rPr>
        <w:t>根据最高检一体抓实“三个管理”新要求和案件检查评查的新规定，上海检察机关探索构建检察大管理格局和大检查体系，拟在前期上海检察机关全流程在线办案子系统和全过程在线管理子系统建设基础上建设“大管理”和“大检查”两大内容。</w:t>
      </w:r>
    </w:p>
    <w:p>
      <w:pPr>
        <w:pStyle w:val="2"/>
        <w:ind w:firstLine="480"/>
        <w:rPr>
          <w:rFonts w:hint="eastAsia"/>
        </w:rPr>
      </w:pPr>
      <w:r>
        <w:rPr>
          <w:rFonts w:hint="eastAsia"/>
        </w:rPr>
        <w:t>1.“大管理”</w:t>
      </w:r>
      <w:r>
        <w:rPr>
          <w:rFonts w:hint="eastAsia"/>
          <w:lang w:eastAsia="zh-CN"/>
        </w:rPr>
        <w:t>内容</w:t>
      </w:r>
      <w:r>
        <w:rPr>
          <w:rFonts w:hint="eastAsia"/>
        </w:rPr>
        <w:t>：包括建设“三个管理”分析功能，除整合现有的管理数据进行可视化展示外，增加管理智能预警提示;新增刑事执行检察、未成年人</w:t>
      </w:r>
      <w:r>
        <w:rPr>
          <w:rFonts w:hint="eastAsia"/>
          <w:color w:val="auto"/>
        </w:rPr>
        <w:t>检察、控告申诉检察三个业务14类案件的办案巡逻车，规范案件管理;开发办案权限管理</w:t>
      </w:r>
      <w:r>
        <w:rPr>
          <w:rFonts w:hint="eastAsia"/>
          <w:color w:val="auto"/>
          <w:lang w:eastAsia="zh-CN"/>
        </w:rPr>
        <w:t>、</w:t>
      </w:r>
      <w:r>
        <w:rPr>
          <w:rFonts w:hint="eastAsia"/>
          <w:color w:val="auto"/>
        </w:rPr>
        <w:t>期限管理、案件分配管理等功能</w:t>
      </w:r>
      <w:r>
        <w:rPr>
          <w:rFonts w:hint="eastAsia"/>
        </w:rPr>
        <w:t>，推进更全面的案件管理;开发办案质效分析管理专题，实现业务管理的跟踪问效。</w:t>
      </w:r>
    </w:p>
    <w:p>
      <w:pPr>
        <w:pStyle w:val="2"/>
        <w:ind w:firstLine="480"/>
        <w:rPr>
          <w:rFonts w:hint="eastAsia"/>
        </w:rPr>
      </w:pPr>
      <w:r>
        <w:rPr>
          <w:rFonts w:hint="eastAsia"/>
        </w:rPr>
        <w:t>2.“大检查”</w:t>
      </w:r>
      <w:r>
        <w:rPr>
          <w:rFonts w:hint="eastAsia"/>
          <w:lang w:eastAsia="zh-CN"/>
        </w:rPr>
        <w:t>内容</w:t>
      </w:r>
      <w:r>
        <w:rPr>
          <w:rFonts w:hint="eastAsia"/>
        </w:rPr>
        <w:t>：包括建设覆盖“四大检察”常见案件类型的案件检查流程，用于检察官自查和部门评查，有效落实“每案必检”;打通案件检查和案件质量评查，并引入人工智能技术辅助，以类案方式推进“每案必评”，助力构建“大检查”体系统，促进高质效办案。</w:t>
      </w:r>
    </w:p>
    <w:p>
      <w:pPr>
        <w:rPr>
          <w:rFonts w:hint="eastAsia" w:ascii="Tahoma" w:hAnsi="Tahoma" w:eastAsia="宋体" w:cs="Times New Roman"/>
          <w:szCs w:val="20"/>
          <w:lang w:val="en-US" w:eastAsia="zh-CN"/>
        </w:rPr>
      </w:pPr>
      <w:r>
        <w:rPr>
          <w:rFonts w:hint="eastAsia" w:ascii="Tahoma" w:hAnsi="Tahoma" w:eastAsia="宋体" w:cs="Times New Roman"/>
          <w:szCs w:val="20"/>
          <w:lang w:val="en-US" w:eastAsia="zh-CN"/>
        </w:rPr>
        <w:t>本项目建设内容的</w:t>
      </w:r>
      <w:r>
        <w:rPr>
          <w:rFonts w:hint="eastAsia" w:ascii="Tahoma" w:hAnsi="Tahoma" w:cs="Times New Roman"/>
          <w:szCs w:val="20"/>
          <w:lang w:val="en-US" w:eastAsia="zh-CN"/>
        </w:rPr>
        <w:t>功能模块包括：三个管理分析、办案巡逻车、质效分析管理专题、案件质量检查、案件质量评查智能化、信访法治化应用。</w:t>
      </w:r>
    </w:p>
    <w:p>
      <w:pPr>
        <w:rPr>
          <w:rFonts w:hint="eastAsia" w:ascii="Tahoma" w:hAnsi="Tahoma" w:eastAsia="宋体" w:cs="Times New Roman"/>
          <w:szCs w:val="20"/>
          <w:lang w:val="en-US" w:eastAsia="zh-CN"/>
        </w:rPr>
      </w:pPr>
      <w:r>
        <w:rPr>
          <w:rFonts w:hint="eastAsia" w:ascii="Tahoma" w:hAnsi="Tahoma" w:eastAsia="宋体" w:cs="Times New Roman"/>
          <w:szCs w:val="20"/>
        </w:rPr>
        <w:t>软件开发清单</w:t>
      </w:r>
      <w:r>
        <w:rPr>
          <w:rFonts w:hint="eastAsia" w:ascii="Tahoma" w:hAnsi="Tahoma" w:eastAsia="宋体" w:cs="Times New Roman"/>
          <w:szCs w:val="20"/>
          <w:lang w:val="en-US" w:eastAsia="zh-CN"/>
        </w:rPr>
        <w:t>如下：</w:t>
      </w:r>
    </w:p>
    <w:tbl>
      <w:tblPr>
        <w:tblStyle w:val="12"/>
        <w:tblW w:w="5000" w:type="pct"/>
        <w:jc w:val="center"/>
        <w:tblLayout w:type="autofit"/>
        <w:tblCellMar>
          <w:top w:w="0" w:type="dxa"/>
          <w:left w:w="108" w:type="dxa"/>
          <w:bottom w:w="0" w:type="dxa"/>
          <w:right w:w="108" w:type="dxa"/>
        </w:tblCellMar>
      </w:tblPr>
      <w:tblGrid>
        <w:gridCol w:w="571"/>
        <w:gridCol w:w="850"/>
        <w:gridCol w:w="2012"/>
        <w:gridCol w:w="5095"/>
      </w:tblGrid>
      <w:tr>
        <w:tblPrEx>
          <w:tblCellMar>
            <w:top w:w="0" w:type="dxa"/>
            <w:left w:w="108" w:type="dxa"/>
            <w:bottom w:w="0" w:type="dxa"/>
            <w:right w:w="108" w:type="dxa"/>
          </w:tblCellMar>
        </w:tblPrEx>
        <w:trPr>
          <w:trHeight w:val="552" w:hRule="atLeast"/>
          <w:tblHeader/>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b/>
                <w:bCs/>
                <w:color w:val="000000"/>
                <w:sz w:val="22"/>
                <w:szCs w:val="22"/>
              </w:rPr>
            </w:pPr>
            <w:r>
              <w:rPr>
                <w:rFonts w:hint="eastAsia" w:cs="宋体"/>
                <w:b/>
                <w:bCs/>
                <w:color w:val="000000"/>
                <w:kern w:val="0"/>
                <w:sz w:val="22"/>
                <w:szCs w:val="22"/>
                <w:lang w:bidi="ar"/>
              </w:rPr>
              <w:t>序号</w:t>
            </w:r>
          </w:p>
        </w:tc>
        <w:tc>
          <w:tcPr>
            <w:tcW w:w="498" w:type="pct"/>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b/>
                <w:bCs/>
                <w:color w:val="000000"/>
                <w:kern w:val="0"/>
                <w:sz w:val="22"/>
                <w:szCs w:val="22"/>
                <w:lang w:bidi="ar"/>
              </w:rPr>
            </w:pPr>
            <w:r>
              <w:rPr>
                <w:rFonts w:hint="eastAsia" w:cs="宋体"/>
                <w:b/>
                <w:bCs/>
                <w:color w:val="000000"/>
                <w:kern w:val="0"/>
                <w:sz w:val="22"/>
                <w:szCs w:val="22"/>
                <w:lang w:bidi="ar"/>
              </w:rPr>
              <w:t>模块名称</w:t>
            </w: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b/>
                <w:bCs/>
                <w:color w:val="000000"/>
                <w:sz w:val="22"/>
                <w:szCs w:val="22"/>
              </w:rPr>
            </w:pPr>
            <w:r>
              <w:rPr>
                <w:rFonts w:hint="eastAsia" w:cs="宋体"/>
                <w:b/>
                <w:bCs/>
                <w:color w:val="000000"/>
                <w:kern w:val="0"/>
                <w:sz w:val="22"/>
                <w:szCs w:val="22"/>
                <w:lang w:bidi="ar"/>
              </w:rPr>
              <w:t>功能名称</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b/>
                <w:bCs/>
                <w:color w:val="000000"/>
                <w:sz w:val="22"/>
                <w:szCs w:val="22"/>
              </w:rPr>
            </w:pPr>
            <w:r>
              <w:rPr>
                <w:rFonts w:hint="eastAsia" w:cs="宋体"/>
                <w:b/>
                <w:bCs/>
                <w:color w:val="000000"/>
                <w:kern w:val="0"/>
                <w:sz w:val="22"/>
                <w:szCs w:val="22"/>
                <w:lang w:bidi="ar"/>
              </w:rPr>
              <w:t>功能描述</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b w:val="0"/>
                <w:bCs w:val="0"/>
                <w:color w:val="000000"/>
                <w:kern w:val="0"/>
                <w:sz w:val="22"/>
                <w:szCs w:val="22"/>
                <w:lang w:bidi="ar"/>
              </w:rPr>
              <w:t>三个管理分析</w:t>
            </w: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三个管理总界面-业务管理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从重要业务态势的整体发展趋势、关键业务领域的具体分布情况、重点案件类型的详细分类及其特点、以及综合研判、专题研判的具体情况四个主要方面，全面而细致地展示业务管理的概要情况，以便更好地理解和把握当前业务运行的整体状况和核心要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宋体" w:hAnsi="宋体" w:eastAsia="宋体" w:cs="宋体"/>
                <w:b w:val="0"/>
                <w:bCs w:val="0"/>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三个管理总界面-案件管理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从案件承办的确定环节开始，细致地分析案件承办人员的选定及其职责分配情况；深入探讨办案期限的管理机制，包括期限的设定、提醒以及逾期处理的规范流程。在检察权的行使方面，全面审视检察机关在案件处理中的权力运用情况。同时，对检察听证程序的规范性以及听证结果的公正性进行详尽分析。此外，针对案件处理过程中的风险评估工作，分析评估风险识别、从风险等级、风险类别进行分析。在流程监控方面，着重考察案件流转各环节的监控机制及其执行力度，确保案件处理的透明与高效；对数据管理方面的的情况进行全方位的分析，全面掌握案件办理过程中关于数据填录方面的各类问题情况。</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三个管理总界面-质量管理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从检察官自身的自查工作入手，深入剖析每位检察官在案件处理过程中的自我审视与反思情况；接着扩展到部门层面的检查活动，详细探讨各部门开展案件质量检查情况、监督等方面的具体落实情况。此外，对案件质量评查环节进行细致分析，重点关注评查标准的制定、评查过程的规范性以及评查结果的运用情况。同时，围绕案例工作展开全面阐述，既包括对指导性案例的筛选，也涵盖典型案例的选取、分析和推广。最后，通过检务督察与上述各环节的衔接机制，分析其在确保检察工作公正、高效方面的作用和意义，从而形成一个多层次、全方位的分析展示体系。</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业务管理-重要业务态势</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研判相关数据进行采集后，通过数据治理，再根据需要的指标定制化开发，最后推送到研判数据专题库，通过接口平台编写数据查询接口，UI定制化设计展示界面，实现对研判名称、研判类型、开展次数、研判主题、参会人员情况、上级院指出问题、问题类型、问题分布、问题落实情况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业务管理-重点办案领域</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针对刑事检察中的金融案件、知识产权案件、未成年人案件、涉外案件、严重暴力犯罪案件等重点领域，以及民事、行政、公益诉讼检察中的重点案件类型，打造集数据整合、智能分析、趋势研判、协同办案于一体的专业化分析模块。</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业务管理-重点案件类型</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立足刑事检察、民事检察、行政检察、公益诉讼检察四大业务的重点案件类型，构建集数据整合、多维分析、辅助决策于一体的专业化分析模块。通过对四大检察业务中重点案件类型的全方位、深层次分析，揭示案件规律、发现办案难点、预警潜在风险，为检察官精准办案提供有力支撑，为检察机关科学决策提供数据依据，推动重点案件办理质效全面提升。</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业务管理-研判意见落实情况</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全面展示全市范围内各项研判意见的具体落实情况，涵盖了多个关键信息维度。包括已经采取的措施、取得的成效以及尚未解决的问题，旨在为后续的改进和跟进工作提供有力支持。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案件管理-案件承办确定</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案件承办确定相关数据进行采集后，通过数据治理，再根据需要的指标定制化开发，最后推送到案件承办确定专题库，通过接口平台编写数据查询接口，UI定制化设计展示界面，实现对办案单元情况、繁简分流情况、随机分案情况、指定分案情况、变更承办人情况、适用程序情况、案件性质情况、案件难易程度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案件管理-办案期限管理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办案期限管理相关数据进行采集后，通过数据治理，再根据需要的指标定制化开发，最后推送到办案期限管理专题库，通过接口平台编写数据查询接口，UI定制化设计展示界面，实现对长期未接收情况、长期未分配情况、刑事检察办结情况、民事检察办结情况、行政检察办结情况、公益诉讼检察办结情况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案件管理-检察权行使</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办案权限管理相关数据进行采集后，通过数据治理，再根据需要的指标定制化开发，最后推送到办案权限管理专题库，通过接口平台编写数据查询接口，UI定制化设计展示界面，实现对审批权限情况、审核权限情况、功能授权情况、数据查询授权情况、系统权限、模块权限、角色权限、权限变动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案件管理-检察听证</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数据管理相关数据进行采集后，通过数据治理，再根据需要的指标定制化开发，最后推送到数据管理专题库，通过接口平台编写数据查询接口，UI定制化设计展示界面，实现对数据核查基本情况、数据处理情况、数据质量趋势、数据质量条线分布、数据问题情形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案件管理-风险管理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流程监控相关数据进行采集后，通过数据治理，再根据需要的指标定制化开发，最后推送到流程监控专题库，通过接口平台编写数据查询接口，UI定制化设计展示界面，实现对预警情况、提出纠正情况、异议情况、整改情况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案件管理-流程监控</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聚焦全市检察机关办案流程的全周期规范化监控，通过整合预警情况、提出纠正情况、异议情况、整改情况等核心流程节点数据，构建流程合规性监测、问题处置闭环、监控效能评估一体化视图，为强化流程管控、提升办案规范化水平提供数据支撑</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案件管理-数据管理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涉案财物管理相关数据进行采集后，通过数据治理，再根据需要的指标定制化开发，最后推送到涉案财物管理专题库，通过接口平台编写数据查询接口，UI定制化设计展示界面，实现对对涉案案件管理、涉案物品情况、涉案款项情况、涉案财物流程管理、出库登记情况、入库登记情况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质量管理-案件质量检查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聚焦全市检察机关案件质量全流程检查监督，通过整合办案人员自查、办案部门核查、予以纠正等核心环节数据，构建案件质量问题识别、处置、改进的一体化视图，为提升司法办案质效、强化内部监督提供数据支撑。</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质量管理-案件质量评查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聚焦全市检察机关案件质量评查的系统性监管，通过整合评查案件总量、不同质量等级案件分布（优质、合格、不合格、瑕疵）及各类评查形式（常规抽查、重点评查、专项评查）的核心数据，构建多维度、全周期的案件质量评查视图，为精准掌握质量态势、提升司法办案质效提供数据支撑</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质量管理-案例工作</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聚焦全市检察机关案例工作的系统性管理与价值挖掘，通过整合指导性案例、典型案例等核心数据，构建案例生成、应用、推广的全流程可视化视图，为提升案例指导效能、统一司法尺度提供数据支撑。</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质量管理-检务督查衔接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案件质量检查相关数据进行采集后，通过数据治理，再根据需要的指标定制化开发，最后推送到案件质量检查专题库，通过接口平台编写数据查询接口，UI定制化设计展示界面，实现对办案人员自查情况、办案部门核查情况、予以纠正情况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管案与管人衔接-检察官基础信息</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从检察官个人信息核心视图，以卡片形式展示各项核心信息。实施分级权限管理，本人：可查看完整个人信息及全部业务数据，支持申请修改错误信息；部门负责人：可查看本部门检察官的核心信息及业务数据（隐去个人隐私内容）；院级管理员：可查看全院检察官的汇总数据及个体画像，用于队伍分析</w:t>
            </w:r>
            <w:r>
              <w:rPr>
                <w:rFonts w:ascii="Times New Roman" w:hAnsi="Times New Roman" w:eastAsia="宋体"/>
                <w:b w:val="0"/>
                <w:bCs w:val="0"/>
                <w:color w:val="000000"/>
                <w:kern w:val="0"/>
                <w:sz w:val="22"/>
                <w:szCs w:val="22"/>
                <w:lang w:bidi="ar"/>
              </w:rPr>
              <w:t>​</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市级管理员：可查看全市检察官的匿名化群体画像及区域对比数据；敏感信息脱敏处理：身份证号、家庭住址等非必要信息一律隐藏，仅保留职业身份相关内容，符合《个人信息保护法》要求</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管案与管人衔接-多维度业务数据</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从办案数量、办案效率、办案质量多个维度展示检察官办案核心数据的概览情况。</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管案与管人衔接-综合能力数据</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扩展呈现四大进阶指标，从履职能力、理论研究、个人荣誉、廉政风险各维度，采用 “数据 + 图标” 组合展示，如理论研究板块用书籍图标配合数字，个人荣誉板块用奖章图标展示等级，增强视觉辨识度</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ascii="等线" w:hAnsi="等线" w:eastAsia="等线"/>
                <w:b/>
                <w:bCs/>
                <w:color w:val="000000"/>
                <w:sz w:val="22"/>
                <w:szCs w:val="22"/>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管案与管人衔接-雷达图数据画像</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从办案数量、办案效率、办案质量、办案效果、履职能力、理论研究、个人荣誉、廉政风险创建八维评估模型构建，以雷达图的形式展示检察官能力画像</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23</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cs="宋体"/>
                <w:color w:val="000000"/>
                <w:kern w:val="0"/>
                <w:sz w:val="22"/>
                <w:szCs w:val="22"/>
                <w:lang w:bidi="ar"/>
              </w:rPr>
              <w:t>办案巡逻车</w:t>
            </w: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刑事执行检察业务-暂予监外执行审查案件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实现暂予监外执行审查案件行为结构配置、行为规则配置、行为文书配置、行为控制配置、行为跳转配置、系统对接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刑事执行检察业务-收监执行审查案件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实现收监执行审查案件行为结构配置、行为规则配置、行为文书配置、行为控制配置、行为跳转配置、系统对接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刑事执行检察业务-重大案件侦查终结前讯问合法性核查案件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实现重大案件侦查终结前讯问合法性核查案件行为结构配置、行为规则配置、行为文书配置、行为控制配置、行为跳转配置、系统对接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刑事执行检察业务-事项议题提请（执检）</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实现事项议题提请（执检）行为结构配置、行为规则配置、行为文书配置、行为控制配置、行为跳转配置、系统对接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未成年人检察业务-审查逮捕案件（未检）</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实现审查逮捕案件（未检）行为结构配置、行为规则配置、行为文书配置、行为控制配置、行为跳转配置、系统对接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未成年人检察业务-一审公诉案件（未检）</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实现一审公诉案件（未检）行为结构配置、行为规则配置、行为文书配置、行为控制配置、行为跳转配置、系统对接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未成年人检察业务-一般预防案件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实现一般预防案件行为结构配置、行为规则配置、行为文书配置、行为控制配置、行为跳转配置、系统对接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未成年人检察业务-特殊预防案件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实现特殊预防案件行为结构配置、行为规则配置、行为文书配置、行为控制配置、行为跳转配置、系统对接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控告申诉检察业务-申诉类案件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实现申诉类案件行为结构配置、行为规则配置、行为文书配置、行为控制配置、行为跳转配置、系统对接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控告申诉检察业务-刑事赔偿案件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实现刑事赔偿案件行为结构配置、行为规则配置、行为文书配置、行为控制配置、行为跳转配置、系统对接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控告申诉检察业务-民事诉讼监督案件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实现民事诉讼监督案件行为结构配置、行为规则配置、行为文书配置、行为控制配置、行为跳转配置、系统对接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控告申诉检察业务-行政诉讼监督案件</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实现行政诉讼监督案件行为结构配置、行为规则配置、行为文书配置、行为控制配置、行为跳转配置、系统对接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控告申诉检察业务-检察建议（控申）</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实现检察建议（控申）行为结构配置、行为规则配置、行为文书配置、行为控制配置、行为跳转配置、系统对接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控告申诉检察业务-事项议题提请（控申）</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实现事项议题提请（控申）行为结构配置、行为规则配置、行为文书配置、行为控制配置、行为跳转配置、系统对接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37</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cs="宋体"/>
                <w:color w:val="000000"/>
                <w:kern w:val="0"/>
                <w:sz w:val="22"/>
                <w:szCs w:val="22"/>
                <w:lang w:bidi="ar"/>
              </w:rPr>
              <w:t>质效分析管理专题</w:t>
            </w: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办案+B108:Q120</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支持建立问题库并添加问题点分类、描述及来源，提供多条件组合查询功能。</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办案质效-分析报告-报告基础管理功能</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新建报告流程：点击 “新增” 按钮后，系统弹出表单界面，选择报告类别（专题分析报告、综合分析报告、调度材料），系统自动生成报告名称，并创建空白报告文档。</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39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办案质效-分屏协同分析界面</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以基层院为例，右屏展示 “本院问题库” 与 “分院问题库”、“市院问题库”，默认分栏显示，可通过标签页切换查看。问题库按分类进行排列，每个问题点显示名称、来源等信息；</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左屏为 Word 在线编辑区，支持插入表格、图片等信息</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办案质效-问题库检索与应用</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检索条件包括问题来源、分类（刑事检察、民事检察、行政检察等十大业务）、登记日期（支持日历选择或时间区间输入）、关键词；</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支持关键词组合查询，如同时选择 “问题来源 = 1-3月分析报告”“分类 = 刑事检察” 并输入关键词 “超期”，系统将筛选出涉及超期程序违法的问题点；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办案质效-问题点动态管理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快速新增问题点：在报告分析过程中发现问题库未覆盖的新问题，可点击 “新增” 按钮，填写以下信息：问题分类（选择现有分类或申请新增子分类）；问题描述；问题来源（手动选择或输入）；关联业务点。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办案质效-分析报告-分析报告查询</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支持查询基层院及本院创建的分析报告，提供关键词组合查询和快速查看功能。</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办案质效-研判纪要（意见）-新增与基础信息管理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点击 “新增” 按钮后，系统弹出信息录入表单，需填写以下内容：</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类别：选择预设类别（研判纪要 / 研判意见 / 调度意见）；</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名称：录入研判纪要名称；</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关联分析报告：可勾选已创建的分析报告（如 “2025 年第一季度分析报告”），系统自动提取该报告中的问题点至研判池。</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办案质效-研判纪要（意见）-分屏协同分析界面</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右屏：问题库双栏展示</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右侧上栏为 “市院问题库”“分院问题库”“本院问题库”“本次分析点”；下栏为 “研判纪要新增问题”，展示本次新增问题点内容。点击问题名称可查看详细描述；</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左屏：Word 在线编辑区。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办案质效-研判纪要（意见）-多维度问题库检索</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问题来源：自动报告所覆盖的问题来源；</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分类：刑事检察、民事检察、行政检察、公益诉讼等十大业务；</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登记日期：支持日历选择或 “2025-01 至 2025-03” 区间输入；</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关键词检索：可同时选择 “来源 ”“分类” 并输入关键词，系统筛选出专项检查中涉及超期程序违法的问题点；</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结果展示：按分类进行展示，每条结果显示问题名称、分类、来源及关联业务点，支持勾选后批量添加至研判纪要。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办案质效-研判纪要（意见）-问题点动态管理与数据同步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新增问题点入库</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快捷添加：研判过程中发现问题库未覆盖的新问题，点击 “新增” 按钮，填写：</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分类：刑事检察、民事检察、行政检察、公益诉讼等十大业务；</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描述：问题点具体描述；</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问题来源：手动输入（如 “XX 案件研讨发现”）；</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关注单位：选择问题点所关注的单位列表，支持多选。</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办案质效-研判纪要（意见）-与其他模块的数据交互</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1. 关联分析报告</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数据提取：关联分析报告后，系统支持提取该报告中的 “高频问题点”“未整改问题” 至研判纪要编辑区，减少重复录入；</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双向追溯：在分析报告中可查看关联的研判纪要列表。</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2. 对接专项检查与质效报表</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专项检查：市院可基于报送的研判纪要启动专项检查，针对关注的单位，作为检查重点；</w:t>
            </w:r>
            <w:r>
              <w:rPr>
                <w:rFonts w:hint="eastAsia" w:ascii="宋体" w:hAnsi="宋体" w:eastAsia="宋体" w:cs="宋体"/>
                <w:b w:val="0"/>
                <w:bCs w:val="0"/>
                <w:color w:val="000000"/>
                <w:kern w:val="0"/>
                <w:sz w:val="22"/>
                <w:szCs w:val="22"/>
                <w:lang w:bidi="ar"/>
              </w:rPr>
              <w:br w:type="textWrapping"/>
            </w:r>
            <w:r>
              <w:rPr>
                <w:rFonts w:hint="eastAsia" w:ascii="宋体" w:hAnsi="宋体" w:eastAsia="宋体" w:cs="宋体"/>
                <w:b w:val="0"/>
                <w:bCs w:val="0"/>
                <w:color w:val="000000"/>
                <w:kern w:val="0"/>
                <w:sz w:val="22"/>
                <w:szCs w:val="22"/>
                <w:lang w:bidi="ar"/>
              </w:rPr>
              <w:t>质效报表：报送过的研判纪要中的问题点统计数据自动汇入 “办案质效报表” 模块，支持按 “报告分类”“问题来源” 等维度生成统计图表。</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办案质效-研判纪要（意见）-研判纪要报告查询</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本模块支持查询基层院及本院创建的分析报告。支持问题来源、分类、登记日期，支持关键词组合查询。支持点击报告名称快速查看报告内容。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49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办案质效-研判纪要（意见）-专项检查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本模块具备对基层院提交的研判纪要进行详细审查的功能。市院工作人员可以登录系统，浏览基层院所报送的研判纪要文件，并通过点击报告的名称来启动专项检查流程。该模块不仅允许用户查看研判纪要的详细内容，还能够查阅基层院在报告中添加的分析问题点。系统具备智能识别功能，能够将那些被关注单位尚未进行分析或已经分析过的问题点进行高亮显示，以便用户能够快速识别和关注。此外，该模块还支持对研判纪要中列出的分析问题点进行核查，帮助用户判断这些问题点是否已经得到妥善处理和分析，从而确保报告的准确性和完整性。</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办案质效-研判纪要（意见）-办案质效报表</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本模块具备对基层院提交的研判纪要中的分析点进行全面且细致的统计展示功能，用户可以通过点击相应的数字，便捷地实现对具体分析点的反向查询操作。这一功能不仅提升了数据的可追溯性，还极大地增强了用户的使用体验。同时，该模块能够以醒目的高亮形式标出那些市院特别关注的问题点，这种视觉上的突出显示，使得用户能够迅速识别并重点关注这些关键问题，从而提高工作效率和决策的精准度。</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认罪认罚案件调整确定刑量刑建议专题分析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调整量刑建议相关数据进行采集后，通过数据治理，再根据需要的指标定制化开发，最后推送到调整量刑建议专题库，通过接口平台编写数据查询接口，UI定制化设计展示界面，实现认罪认罚从宽适用情况和调整确定刑量刑建议数据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长期未结专题分析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长期未结相关数据进行采集后，通过数据治理，再根据需要的指标定制化开发，最后推送到长期未结专题库，通过接口平台编写数据查询接口，UI定制化设计展示界面，实现对长期未结（超过一年）的案件和事项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无罪专题分析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无罪案件相关数据进行采集后，通过数据治理，再根据需要的指标定制化开发，最后推送到无罪案件专题库，通过接口平台编写数据查询接口，UI定制化设计展示界面，实现对无罪案件基本情况、案由、原因、案件办理情况、抗诉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撤回起诉专题分析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撤回起诉案件相关数据进行采集后，通过数据治理，再根据需要的指标定制化开发，最后推送到撤回起诉案件专题库，通过接口平台编写数据查询接口，UI定制化设计展示界面，实现对撤回起诉案件基本情况、撤回起诉后处理情况、案由、原因、案件办理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行刑反向衔接专题分析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行刑反向衔接案件相关数据进行采集后，通过数据治理，再根据需要的指标定制化开发，最后推送到行刑反向衔接案件专题库，通过接口平台编写数据查询接口，UI定制化设计展示界面，实现对不追究刑事责任或者免予刑事处罚但应当给予行政处罚的案件数据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涉外犯罪案件专题分析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涉外案件相关数据进行采集后，通过数据治理，再根据需要的指标定制化开发，最后推送到涉外案件专题库，通过接口平台编写数据查询接口，UI定制化设计展示界面，实现对涉外审查逮捕、审查起诉案件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刑事抗诉专题分析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刑事抗诉案件相关数据进行采集后，通过数据治理，再根据需要的指标定制化开发，最后推送到刑事抗诉案件专题库，通过接口平台编写数据查询接口，UI定制化设计展示界面，实现对刑事案件提出抗诉和抗诉后裁判结果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监督质效专题分析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监督质效案件相关数据进行采集后，通过数据治理，再根据需要的指标定制化开发，最后推送到监督质效专题库，通过接口平台编写数据查询接口，UI定制化设计展示界面，实现对立案监督、侦查活动监督、纠正漏捕漏诉、刑事执行监督、刑事审判活动违法监督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59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检察建议专题分析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检察建议案件相关数据进行采集后，通过数据治理，再根据需要的指标定制化开发，最后推送到检察建议专题库，通过接口平台编写数据查询接口，UI定制化设计展示界面，实现对检察建议总体情况、社会治理检察建议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金融检察专题分析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金融检察案件相关数据进行采集后，通过数据治理，再根据需要的指标定制化开发，最后推送到金融检察专题库，通过接口平台编写数据查询接口，UI定制化设计展示界面，实现对金融检察涉及刑事检察、民事检察、行政检察、公益诉讼检察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知识产权专题分析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知识产权案件相关数据进行采集后，通过数据治理，再根据需要的指标定制化开发，最后推送到知识产权专题库，通过接口平台编写数据查询接口，UI定制化设计展示界面，实现对知识产权涉及刑事检察、民事检察、行政检察、公益诉讼检察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危险驾驶专题分析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危险驾驶案件相关数据进行采集后，通过数据治理，再根据需要的指标定制化开发，最后推送到危险驾驶专题库，通过接口平台编写数据查询接口，UI定制化设计展示界面，实现对基本情况、要素提取情况、量刑建议情况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故意伤害专题分析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业务数据库、统计数据库对故意伤害案件相关数据进行采集后，通过数据治理，再根据需要的指标定制化开发，最后推送到故意伤害专题库，通过接口平台编写数据查询接口，UI定制化设计展示界面，实现对基本情况、要素提取情况、量刑建议情况进行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auto"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检察建议全流程在线办理子系统应用情况专题分析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检察建议全流程在线办理子系统数据库对相关数据进行采集后，通过数据治理，再根据需要的指标定制化开发，最后推送到检察建议全流程在线办理子系统专题库，通过接口平台编写数据查询接口，UI定制化设计展示界面，实现对基本情况、检察建议类型、业务类型、平均办理时长专项分析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65</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cs="宋体"/>
                <w:color w:val="000000"/>
                <w:kern w:val="0"/>
                <w:sz w:val="22"/>
                <w:szCs w:val="22"/>
                <w:lang w:bidi="ar"/>
              </w:rPr>
              <w:t>案件质量检查</w:t>
            </w: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办案人员自查-智能检查-办案程序检查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系统自动抓取案件全过程在线管理系统中发现的办案程序问题进行检查和处理。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办案人员自查-智能检查-数据质量检查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系统自动抓取案件全过程在线管理系统中发现的数据质量问题进行检查和处理。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办案人员自查-智能检查-量刑模型检查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系统自动抓取案件由智能辅助系统自动推送发现的量刑智能辅助系统记录的未使用模型情形。</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办案人员自查-审查报告检查-被害人及其代理人的意见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对审查逮捕、一审公诉案件审查报告中的被害人及其代理人的意见进行提取、分析与反馈。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69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办案人员自查-审查报告检查-辩护人及其他代理人的意见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对审查逮捕、一审公诉案件审查报告中的辩护人及其他代理人的意见进行提取、分析与反馈。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办案人员自查-审查报告检查-相关诉讼参与人的其他意见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对审查逮捕、一审公诉案件审查报告中的相关诉讼参与人的其他意见进行提取、分析与反馈。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办案人员自查-审查报告检查-对全案事实证据情况的认定意见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对审查逮捕、一审公诉案件审查报告中的对全案事实证据情况的认定意见进行提取、分析与反馈。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办案人员自查-审查报告检查-社会危险性分析</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对审查逮捕、一审公诉案件审查报告中的社会危险性分析进行提取、分析与反馈。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办案人员自查-审查报告检查-犯罪嫌疑人认罪认罚情况</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对审查逮捕、一审公诉案件审查报告中的犯罪嫌疑人认罪认罚情况进行提取、分析与反馈。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办案人员自查-审查报告检查-继续侦查意见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对审查逮捕、一审公诉案件审查报告中的继续侦查意见进行提取、分析与反馈。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办案人员自查-审查报告检查-侦查监督及追捕漏犯意见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对审查逮捕、一审公诉案件审查报告中的侦查监督及追捕漏犯意见进行提取、分析与反馈。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办案人员自查-侦诉比对检查-被告人基本信息</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对一审公诉案件的起诉书或不起诉书与起诉意见书中的被告人基本信息进行比对分析，将不一致的进行展示，填写处理意见。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办案人员自查-侦诉比对检查-审查过程</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对一审公诉案件的起诉书或不起诉书与起诉意见书中的审查过程进行比对分析，将不一致的进行展示，填写处理意见。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办案人员自查-侦诉比对检查-诉讼流程</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对一审公诉案件的起诉书或不起诉书与起诉意见书中的诉讼流程进行比对分析，将不一致的进行展示，填写处理意见。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79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办案人员自查-侦诉比对检查-案件事实</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对一审公诉案件的起诉书或不起诉书与起诉意见书中的案件事实进行比对分析，将不一致的进行展示，填写处理意见。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办案人员自查-侦诉比对检查-案件定性</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对一审公诉案件的起诉书或不起诉书与起诉意见书中的案件定性进行比对分析，将不一致的进行展示，填写处理意见。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办案人员自查-侦诉比对检查-量刑情节</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对一审公诉案件的起诉书或不起诉书与起诉意见书中的量刑情节进行比对分析，将不一致的进行展示，填写处理意见。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办案人员自查-检察官自查-审查逮捕案件自查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审查逮捕案件对犯罪事实认定、法律适用是否准确，定性是否准确等进行自查。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办案人员自查-检察官自查-审查起诉案件自查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审查起诉案件对犯罪事实认定、法律适用、量刑情节是否准确等进行自查。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办案人员自查-检察官自查-立案监督案件自查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立案监督案件对被监督的违法事实是否存在错误或者遗漏等进行自查。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办案人员自查-检察官自查-侦查活动监督案件自查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侦查活动监督案件对被监督的违法事实是否存在错误或者遗漏等进行自查。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办案人员自查-检察官自查-刑事审判监督案件自查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刑事审判监督案件对被监督的违法事实或者判决裁定是否存在错误或者遗漏等进行自查。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办案人员自查-检察官自查-刑事执行检察案件自查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刑事执行检察案件对被监督事实是否存在错误或者遗漏等进行自查。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办案人员自查-检察官自查-民事检察案件自查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民事检察案件对被监督的违法事实或者判决裁定是否存在错误或者遗漏等进行自查。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89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办案人员自查-检察官自查-行政检察案件自查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行政检察案件对被监督的违法事实或者判决裁定是否存在错误或者遗漏等进行自查。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办案人员自查-检察官自查-公益诉讼检察案件自查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公益诉讼检察案件对是否准确查明、认定公益损害事实等进行自查。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办案人员自查-检察官自查-直接受理侦查案件自查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直接受理侦查案件对犯罪事实认定、法律适用、量刑情节是否准确等进行自查。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办案人员自查-检察官自查-刑事申诉案件自查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刑事申诉案件对是否准确审查原判决、裁定或者处理决定等进行自查。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办案人员自查-类案自查-危险驾驶类案件类案自查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危险驾驶类案件对血液样本提取、封装、保管等程序实质性审查等进行自查。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办案人员自查-类案自查-伤害类案件类案自查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伤害类案件对技术性证据进行实质性审查等进行自查。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办案人员自查-类案自查-诈骗类案件类案自查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诈骗类案件对被害人报案金额与实际审查认定金额不一致的是否说明理由等进行自查。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办案人员自查-类案自查-职务侵占案件类案自查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职务侵占案件对是否准确认定犯罪主体资格等进行自查。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办案人员自查-类案自查-性侵类案件类案自查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性侵类案件是否关注报案情况等进行自查。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办案人员自查-类案自查-合同诈骗类案件类案自查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合同诈骗类案件是否正确界分合同诈骗与民商事合同纠纷等进行自查。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99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办案人员自查-类案自查-掩饰隐瞒犯罪所得类案件类案自查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掩饰隐瞒犯罪所得类案件是否关注犯罪嫌疑人有异常的既往经历等进行自查。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办案人员自查-类案自查-销售假冒注册商标的商品类案件类案自查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销售假冒注册商标的商品类案件是否明确被侵权的商标等进行自查。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办案部门检查-部门检查案件受理-部门检查案件抓取</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系统根据部门检查人员所在部门拉取本部门办理的已完成办案人员自查的案件进行划分。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办案部门检查-办案质量检查-办案部门检查-部门检查案件受理-部门检查案件受理</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系统对本部门办理的已完成办案人员自查的案件进行受理分配。</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办案部门检查-办案质量检查-办案部门检查-部门检查案件审批-部门主任审批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部门主任对部门检查的案件进行审批，填写审批意见，可发起联席会议等。</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办案部门检查-办案质量检查-办案部门检查-部门检查案件审批-院领导审批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院领导对部门检查的案件进行审批，填写审批意见并返回至承办人。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办案部门检查-部门检查案件办理-部门检查分配</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系统根据部门检查人员所在部门拉取本部门办理的已完成办案人员自查的案件进行分配。</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办案部门检查-部门检查案件办理-部门检查办理</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部门检查员对案件进行部门检查，可查看检察官自查详情等并填写检查意见。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办案部门检查-部门检查案件办理-部门检查确认</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承办人对部门检查员已检查的案件进行确认反馈，对检查意见有异议的可提出异议。</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办案部门检查-部门专项检查-新建专项检查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部门检查员可进行专项活动检查的新建，可启动专项活动并对案件进行专项检查分配。</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109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办案部门检查-部门专项检查-在办专项检查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部门检查员对案件进行专项活动部门检查，可查看检察官自查详情及相应的检查文书。</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办案部门检查-部门专项检查-专项检查办理</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部门检查员对案件进行专项活动部门检查，可查看检察官自查详情并填写检查意见。</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办案部门检查-部门专项检查-专项检查查询统计</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对专项活动检查的案件进行查询统计，可统计待检查案件数、检查办理数等信息。</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办案部门检查-部门检查轮案管理-轮案人员管理</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对本单位检查人员进行配置和管理。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办案部门检查-部门检查轮案管理-轮案规则管理</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对本单位检查轮案规则进行管理，可对参与轮案和轮案系数进行管理。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114</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cs="宋体"/>
                <w:color w:val="000000"/>
                <w:kern w:val="0"/>
                <w:sz w:val="22"/>
                <w:szCs w:val="22"/>
                <w:lang w:bidi="ar"/>
              </w:rPr>
              <w:t>案件质量评查智能化</w:t>
            </w: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质量评查规则-筛选规则</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根据最新规定调整重点评查筛选规则</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质量评查规则-质量评查审批规则</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针对最新的评查细则，系统根据评查规定发送给承办人的听取意见流程进行改造。此流程改造适用随机评查、重点评查、专项评查。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质量评查规则-共享评查规则</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系统产生的评查规则，共享至个案全景地图，从个案全景地图中直接办理未整改的问题点，在承办检察官办结案件时将提示承办人，并跳转至系统进行整改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质量评查规则-快速评查规则</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新增10类案由的评查规则，对危险驾驶、故意伤害、盗窃罪、帮助信息网络犯罪活动罪、掩饰、隐瞒犯罪所得收益罪，寻衅滋事罪、走私贩卖运输制造毒品罪、咋骗罪10类刑事类案由，开展快速评查。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专项质量评查活动-新建专项评查活动</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新建评查活动基本信息，例如活动名称和开始时间等基础信息设置。</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119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专项质量评查活动-评查小组</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创建评查小组并添加成员，支持从人才库中选择人员加入小组。</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专项质量评查活动-案件筛选</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提供自定义查询功能，用于筛选本单位及下级单位的相关案件。</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专项质量评查活动-案件分配</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支持对案件进行自动或手动分配，以满足不同评查任务的需求。</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专项质量评查活动-专项评查-自动生成评查报告</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支持选择“案件质量评查报告（简化版）”“案件质量评查报告”“市院本级案件评查报告”三份评查报告，供不同形式的专项评查活动选择。系统自动填充评查信息及案件信息，自动生成评查文号，提高文书生成的效率</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专项质量评查活动-专项评查-问题共享</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在评查过程中可查看流程监控的未整改的问题点，并对问题点进行定性</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专项质量评查活动-专项评查-查看2.0的案卡和文书</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系统支持无缝查看被评查案件的案卡级文书，辅助评查员进行评查。提高评查效率，支持分屏展示，查看问题点及文书或案卡。</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专项质量评查活动-专项评查-问题标注</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支持查看2.0文书，并同步进行标注，支持自定义添加问题名称、问题描述、上传附件图片材料，并对问题点标记，同时选择认定环节、问题定性、认定依据等。并形成标注栏，可直接将标注问题进行引用到问题清单中，辅助评查员进行评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专项质量评查活动-专项评查-评查定等</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支持对案件评定等次，生成评查意见。当选择具体等次时，系统会提示相应等次的标准，供评查员进行参考。</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专项质量评查活动-专项评查-生成评查流转单</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系统自动生成评查流转单，将会记录评查过程中的审批信息及所有流程，实现全程留痕。</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专项质量评查活动-专项评查-听取承办人、办案部门意见</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支持听取承办人、办案部门意见，当承办人有异议时讲提交部门领导进行审批，自动生成《听取意见表》，将承办人、评查员、办案部门领导意见及审批日期进行自动生成。形成线上全面留痕。支持查看听取意见异议。</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129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专项质量评查活动-专项评查-评查公示</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系统针对评定为优质的案件，支持5天评查公示。办案单位范围内的进行公示，支持每个人对案件提出异议，并支持查看公示异议记录。</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专项质量评查活动-专项评查-异议处理</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支持对异议/公示意见进行反馈处理，评查员对意见进行处理，如果承办人对评查认定等次有异议，则需要支持或不支持异议，根据评查认定等次，系统设定不同的最低领导审批权限，达到最低审批权限，案件将流转至确认等次环节。</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专项质量评查活动-专项评查-评查结果通知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评查员对最终进行确认，系统自动生成《评查结果通知书》，发送承办人。承办人登录2.0系统，查看评查通知。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快速评查-三书比对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本模块结合三书比对功能，将提取三书的要素进行比对，将比对异常点进行展示，并引用到规则筛选异常界面。</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快速评查-生成快速评查报告</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在生成快速评查报告的过程中，系统会整合之前识别出的所有异常点，包括三书比对中的不一致之处，以及快速评查规则筛选出的潜在问题。报告内容条理清晰，既包括了异常点的详细列举，也附带了相应的处理建议或注意事项。这样，承办人员在收到报告后，可以迅速了解案件的关键问题所在，并根据报告中的建议进行针对性的处理。同时，快速评查报告通知书也会一并发送，确保承办人员能够及时关注并响应报告中的内容，从而进一步提升评查工作的效率与质量。</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交叉监控审核-交叉监控审核</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查看其他单位审核情况，支持快速审核发起的流程监控通知书，并提供列表导出功能。</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交叉监控审核-市院复核</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市院可复核基层院提交的交叉监控复核异议数据，并批量导出问题列表。</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交叉监控审核-通报情况统计</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统计监控通知书的审核结果，支持按单位维度查看认可与不认可情况并生成通报草稿。</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专项文书评查-新增专项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此模块主要是新增专项文书评查。包括添加活动基本信息，添加小组，文书分配，文书筛选等。</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专项文书评查-在办专项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用户可以在此模块中浏览当前正在进行以及已完成的所有文书评查活动。在办专项列表清晰展示了每个活动的标题、评查状态、进度百分比以及预计完成时间等关键信息。通过点击活动标题，用户可以进一步查看活动的详细情况，如参与的小组、已分配的文书、评查进度报告等。此外，系统还提供了筛选功能，允许用户根据特定条件，如活动状态、评查时间跨度或参与部门等，快速定位到所需的活动记录。这种设计不仅提高了工作效率，还确保了评查活动的透明度和可追溯性。</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139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专项文书评查-专项文书评查查询</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用户可以通过输入关键词、选择评查时间段或筛选特定评查小组等方式，快速检索出相关的案件信息。查询结果以列表形式展现，详细列出了每个案件的部门受案号、案件名称、评查状态、评查人、评查时间等关键字段。此外，系统还支持导出查询结果至Excel，方便用户进行后续的数据分析和报告编写。</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专项文书评查-开展专项文书评查</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此模块主要是开展专项文书评查，包括对问题的的标注，通用制作要求和制作要求的管理等。生成评查文书及结束评查等操作。</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专项数据核查-新建专项-发布专项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支持一键发布专项活动，发布后相关参与单位可在其关联专项列表中看到该活动并操作。</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专项数据核查-新建专项-监管小组</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支持添加、编辑和删除监管小组成员，便于对专项核查工作的组织与管理。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专项数据核查-新建专项-筛选案件</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支持以核查规则、单位名称、案件类别等条件筛选案件，可批量筛选并导出结果，便于后续分配处理。</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专项数据核查-新建专项-补充材料</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支持查看参与单位申请补充提交的相关材料，方便审核人员了解补充信息。</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专项数据核查-新建专项-分配案件</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支持对监管小组成员进行案件分配，包括批量分配和指定人员分配等多种方式。</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专项数据核查-新建专项-发布确认</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在发布专项活动时校验是否完成案件筛选、是否审批入卷、是否选择参与单位，未完成则跳转对应页面。</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专项数据核查-在办专项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支持查看本院及下级院正在办理的专项活动，显示活动名称、发起单位、状态及关联案件总数。</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专项数据核查-已办专项</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支持查看已完成的专项数据核查任务，提供关键词搜索功能以便快速查找历史记录。</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149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专项数据核查-专项查询统计</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支持以单位为维度查看各类组织（自行组织、分院组织、市院组织）的专项活动办理情况并点击数字反查。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对接档案系统-自动关联案件</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系统自动匹配评查案件和承办案件，自动判断档案系统所需要的文书编号的文书。根据不同的评查案件，发送给承办人的诉讼档案，方便承办人自动归入诉讼档案</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对接档案系统-智能推送文书</w:t>
            </w:r>
          </w:p>
        </w:tc>
        <w:tc>
          <w:tcPr>
            <w:tcW w:w="2986"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由评查员点击，将不同批次的评查案件的评查报告、评查通知书推送至档案系统。</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152</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cs="宋体"/>
                <w:color w:val="000000"/>
                <w:kern w:val="0"/>
                <w:sz w:val="22"/>
                <w:szCs w:val="22"/>
                <w:lang w:bidi="ar"/>
              </w:rPr>
              <w:t>信访法治化应用</w:t>
            </w:r>
          </w:p>
        </w:tc>
        <w:tc>
          <w:tcPr>
            <w:tcW w:w="1179" w:type="pct"/>
            <w:tcBorders>
              <w:top w:val="single" w:color="auto"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智能接访工作台-来访人风险预警查看</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接访窗口检察官在使用系统的过程中，系统可通过消息弹出框或者滚动播放的方式对人像采集识别系统识别到的风险信访人进行预警提醒。</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智能接访工作台-窗口刷证拍照</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通过对接多媒体设备，在数智接访的页面中，可通过“刷证”、“拍照”的功能对接访窗口信访人的身份证及人像照片进行采集，并在页面中进行展示。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智能接访工作台-信访数据录入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提供信访人、被信访人、信访内容、突出行为等内容的数据录入功能。支持多个信访人、被访人的数据录入。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智能接访工作台-重大信访事项登记</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系统可对信访人存在的重大信访事项进行登记，重大信访事项的选项支持检察官自行添加和修改。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智能接访工作台-历史信访信息</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根据来访人的身份证件号码、手机号、姓名自动匹配信访案件数据仓的本地历史信访信息，并集成高检网上信访系统中的“历史信访”功能，查看自动关联到的信访人的历史信访数据，包括信访人信息、被信访人信息、信访信息、受理审查信息、办理信息、回复答复信息等，并可基于本地历史信访数据的基础上直接进行首次访或重复访的等级。</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智能接访工作台-历史信访手动添加</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检察官在接访的过程中，可实时通过身份证号、手机号码检索历史信访信息，并可将检索的结果数据手工关联到当前信访件，手动添加形成该信访件的历史信访数据。</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智能接访工作台-基于历史信息登记</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当检察官在查看历史信访信息时，可选择某一条历史信访信息做为当前信访件的重复访进行登记，选择后系统自动带出已录入的重复访中填录的数据，无需二次录入，直接就行补充和修改即可使用。</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159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智能接访工作台-重复访智能判断与提醒</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为避免干警将重复访做为首次访进行录入使用，系统在建设时可自动对信访件根据信访人基本信息、信访事由、案情摘要等内容自动判断是否为重复访，并提醒检察官进行判别。</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智能接访工作台-自动关联原案</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检察官在系统接访页面，可点击“查看原案”，系统自动根据身份证号、手机号码在检察业务系统2.0获取的案件数据中匹配对应的原案数据，并展示原案核心案卡页面，包括嫌疑人信息、案件信息以及对应的文书和电子卷宗目录。</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智能接访工作台-原案手动查询</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支持检察官手动输入姓名、证件号码、手机号码检索检察业务系统2.0中的案件数据，并可将检索的案件结果数据手动进行关联到当前信访件，描述当前信访件和案件的关系，形成该信访件的关联原案的查看。页面中可提供检索输入框，根据检索条件展示检索结果，提供选择检索结果操作确认关联，并填写关联关系。</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智能接访工作台-历史风险信息</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系统可自动将信访人历史的风险等级及分值以可视化趋势图的形式进行展示，点击可查看风险研判详细信息。</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智能接访工作台-历史化解措施</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系统自动清洗信访人全部记录中存在的化解措施，并按时间顺序进行展示，点击可打开详情。</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智能接访工作台-信访材料扫描展现</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接上海市检察院采购的扫描仪设备，在系统页面中点击“材料扫描”，即获取扫描仪扫描的信访材料，自动传入系统中可视化展示，支持翻页操作。同时系统对接上海市检察院提供的OCR识别系统，将信访材料进行OCR识别，检察官可直接复制识别后材料中的内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智能接访工作台-信访事项管理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检察官可选择多个信访件或多个信访人，创建信访事项，填录信访事项内容。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智能接访工作台-接访大厅日志管理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提供接访干警可填写各类接访大厅日志数据，并自动汇总形成日志。</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接访结果评价-信访人风险评价</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支持根据信访人以往信访经历，对信访人风险等级进行智能评级。在系统中可对信访人风险进行定义，选取安全性指标对信访人风险等级进行评价，安全性指标包括暴力倾向、言语威胁、历史风险因素等内容。</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接访结果评价-信访难度评价</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支持根据信访人以往信访经历，对信访难度进行智能评级。选取业务处理难度指标对信访人信访难度进行评价，安全性指标包括问题重大程度、复杂程度、重复时长、延宕时间等因素，根据设定的难度等级指标，系统参照信访人风险评估项，自动给出评价结果。</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169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接访结果评价-接访建议或策略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为信访人每一个风险项预设相应的接访建议或策略。依据对信访人的风险评估项，干警可查看应对每一个风险项的接访建议或策略。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人脸信息采集识别-人像底库管理</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可将在高检网上信访系统中归属上海检察机关信访数据中的人像信息作为底库，形成人像底库信息。在系统使用过程中可自动积累人像库数据，并根据风险人员等级自动变更人像库中人员的风险标记。根据来访次数自动变更信访次数。</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171</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人脸信息采集识别-预警信息推送及展示</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可对采集识别到的风险人员信息按接访窗口、法警、部门领导、院领导等多角色进行推送及展示。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172</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信访支撑平台-人像采集分析集成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开发数据接口，将信访法治化应用系统与上海市检察院提供的12309大厅的人像信息采集的摄像头及分析系统集成对接。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173</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信访支撑平台-窗口智能化设备集成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开发数据接口，将信访法治化应用系统与上海市检察院提供的12309大厅的窗口智能化设备集成对接。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174</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信访支撑平台-增量获取网上信访系统数据</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开发并部署获取高检网上信访系统数据的前置应用，部署在上海市检察院，并开发不同信访类型的各类数据对接接口，可每天定时增量获取高检网上信访系统中归属上海市检察机关的各类数据。</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175</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信访支撑平台-推送数据到网上信访系统数据</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开发并部署推送数据到高检网上信访系统的前置应用，部署在上海市检察院，并开发数据推送接口，包括推送首次访案卡数据、重复访案卡数据、信访材料数据。可准实时推送到高检网上信访系统中。避免数据的二次录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176</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信访支撑平台-历史信访实时查询对接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全国历史信访数据的查询功能目前只有高检网上信访系统中具备，且在上海院无法获取到全国信访数据，因此开发全国历史信访数据实时查询对接的功能，可通过接口调用高检网上信访系统的历史信访的功能，集成到本项目系统页面中进行展示。</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177</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信访支撑平台-案件实时查询对接</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开发部署前置应用，与部署在上海检察院的检察业务系统2.0进行对接，实现案件数据的实时查询。</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178</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信访支撑平台-信访系统2.0页面集成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本项目建设的系统的功能实现与检察官日常信访办案使用的网上信访信息系统2.0页面集成，在系统中可直接打开网上信访信息系统2.0功能页面，整个操作过程无缝衔接。</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179</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信访支撑平台-信访系统2.0用户集成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系统的用户与高检网上信访信息系统2.0用户集成，用户名、密码及权限保持一致。</w:t>
            </w:r>
          </w:p>
        </w:tc>
      </w:tr>
      <w:tr>
        <w:tblPrEx>
          <w:tblCellMar>
            <w:top w:w="0" w:type="dxa"/>
            <w:left w:w="108" w:type="dxa"/>
            <w:bottom w:w="0" w:type="dxa"/>
            <w:right w:w="108" w:type="dxa"/>
          </w:tblCellMar>
        </w:tblPrEx>
        <w:trPr>
          <w:trHeight w:val="288" w:hRule="atLeast"/>
          <w:jc w:val="center"/>
        </w:trPr>
        <w:tc>
          <w:tcPr>
            <w:tcW w:w="335" w:type="pct"/>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180</w:t>
            </w:r>
          </w:p>
        </w:tc>
        <w:tc>
          <w:tcPr>
            <w:tcW w:w="498" w:type="pct"/>
            <w:vMerge w:val="continue"/>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center"/>
              <w:rPr>
                <w:rFonts w:hint="eastAsia" w:cs="宋体"/>
                <w:color w:val="000000"/>
                <w:kern w:val="0"/>
                <w:sz w:val="22"/>
                <w:szCs w:val="22"/>
                <w:lang w:bidi="ar"/>
              </w:rPr>
            </w:pPr>
          </w:p>
        </w:tc>
        <w:tc>
          <w:tcPr>
            <w:tcW w:w="1179" w:type="pct"/>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信访支撑平台-信访系统2.0单点登录集成</w:t>
            </w:r>
          </w:p>
        </w:tc>
        <w:tc>
          <w:tcPr>
            <w:tcW w:w="2986"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cs="宋体"/>
                <w:color w:val="000000"/>
                <w:kern w:val="0"/>
                <w:sz w:val="22"/>
                <w:szCs w:val="22"/>
                <w:lang w:bidi="ar"/>
              </w:rPr>
            </w:pPr>
            <w:r>
              <w:rPr>
                <w:rFonts w:hint="eastAsia" w:ascii="宋体" w:hAnsi="宋体" w:eastAsia="宋体" w:cs="宋体"/>
                <w:b w:val="0"/>
                <w:bCs w:val="0"/>
                <w:color w:val="000000"/>
                <w:kern w:val="0"/>
                <w:sz w:val="22"/>
                <w:szCs w:val="22"/>
                <w:lang w:bidi="ar"/>
              </w:rPr>
              <w:t>系统与高检网上信访信息系统2.0，用户只需要登录任意一个系统，即可直接进入另外一个系统，无需重复登录。</w:t>
            </w:r>
          </w:p>
        </w:tc>
      </w:tr>
    </w:tbl>
    <w:p>
      <w:pPr>
        <w:pStyle w:val="3"/>
        <w:rPr>
          <w:rFonts w:hint="eastAsia"/>
        </w:rPr>
      </w:pPr>
      <w:bookmarkStart w:id="23" w:name="_Toc63785502"/>
      <w:r>
        <w:rPr>
          <w:rFonts w:hint="eastAsia"/>
        </w:rPr>
        <w:t>电子政务云资源需求</w:t>
      </w:r>
      <w:bookmarkEnd w:id="23"/>
    </w:p>
    <w:p>
      <w:pPr>
        <w:rPr>
          <w:rFonts w:hint="eastAsia"/>
        </w:rPr>
      </w:pPr>
      <w:r>
        <w:rPr>
          <w:rFonts w:hint="eastAsia"/>
        </w:rPr>
        <w:t>本项目建设拟向电子政务云申请</w:t>
      </w:r>
      <w:r>
        <w:rPr>
          <w:rFonts w:hint="eastAsia"/>
          <w:lang w:val="en-US" w:eastAsia="zh-CN"/>
        </w:rPr>
        <w:t>13</w:t>
      </w:r>
      <w:r>
        <w:rPr>
          <w:rFonts w:hint="eastAsia"/>
        </w:rPr>
        <w:t xml:space="preserve">台服务器资源，其中CPU </w:t>
      </w:r>
      <w:r>
        <w:rPr>
          <w:rFonts w:hint="eastAsia"/>
          <w:lang w:val="en-US" w:eastAsia="zh-CN"/>
        </w:rPr>
        <w:t>256</w:t>
      </w:r>
      <w:r>
        <w:rPr>
          <w:rFonts w:hint="eastAsia"/>
        </w:rPr>
        <w:t>核、内存</w:t>
      </w:r>
      <w:r>
        <w:rPr>
          <w:rFonts w:hint="eastAsia"/>
          <w:lang w:val="en-US" w:eastAsia="zh-CN"/>
        </w:rPr>
        <w:t>512</w:t>
      </w:r>
      <w:r>
        <w:rPr>
          <w:rFonts w:hint="eastAsia"/>
        </w:rPr>
        <w:t>G、存储6500GB，均为虚拟机，</w:t>
      </w:r>
      <w:r>
        <w:rPr>
          <w:rFonts w:hint="eastAsia"/>
          <w:lang w:val="en-US" w:eastAsia="zh-CN"/>
        </w:rPr>
        <w:t>同时申请所需的服务器操作系统、数据库软件、中间件软件等基础软件，</w:t>
      </w:r>
      <w:r>
        <w:rPr>
          <w:rFonts w:hint="eastAsia"/>
        </w:rPr>
        <w:t>供应商需按照实际的资源批复完成本项目的部署。</w:t>
      </w:r>
    </w:p>
    <w:p>
      <w:pPr>
        <w:pStyle w:val="3"/>
        <w:rPr>
          <w:rFonts w:hint="eastAsia"/>
        </w:rPr>
      </w:pPr>
      <w:bookmarkStart w:id="24" w:name="_Toc63785503"/>
      <w:r>
        <w:rPr>
          <w:rFonts w:hint="eastAsia"/>
        </w:rPr>
        <w:t>其他工作要求</w:t>
      </w:r>
      <w:bookmarkEnd w:id="24"/>
    </w:p>
    <w:p>
      <w:pPr>
        <w:pStyle w:val="4"/>
        <w:ind w:left="480"/>
        <w:rPr>
          <w:rFonts w:hint="eastAsia"/>
        </w:rPr>
      </w:pPr>
      <w:r>
        <w:rPr>
          <w:rFonts w:hint="eastAsia"/>
        </w:rPr>
        <w:t>总体要求</w:t>
      </w:r>
    </w:p>
    <w:p>
      <w:pPr>
        <w:numPr>
          <w:ilvl w:val="0"/>
          <w:numId w:val="4"/>
        </w:numPr>
        <w:ind w:left="0" w:firstLine="480"/>
        <w:rPr>
          <w:rFonts w:hint="eastAsia"/>
          <w:b/>
          <w:bCs/>
          <w:szCs w:val="20"/>
        </w:rPr>
      </w:pPr>
      <w:r>
        <w:rPr>
          <w:rFonts w:hint="eastAsia"/>
          <w:szCs w:val="20"/>
        </w:rPr>
        <w:t>供应商需充分考虑满足采购项目的建设要求，根据采购人的详细需求，提出完整的项目管理、培训、项目验收、售后服务方案。</w:t>
      </w:r>
    </w:p>
    <w:p>
      <w:pPr>
        <w:numPr>
          <w:ilvl w:val="0"/>
          <w:numId w:val="4"/>
        </w:numPr>
        <w:ind w:left="0" w:firstLine="480"/>
        <w:rPr>
          <w:rFonts w:hint="eastAsia"/>
          <w:szCs w:val="20"/>
        </w:rPr>
      </w:pPr>
      <w:r>
        <w:rPr>
          <w:rFonts w:hint="eastAsia"/>
          <w:szCs w:val="20"/>
        </w:rPr>
        <w:t>供应商应本着认真负责态度，组织技术队伍，认真做好项目的实施工作。在签订合同前，提出具体实施、服务、维护以及今后技术支持的措施计划。</w:t>
      </w:r>
    </w:p>
    <w:p>
      <w:pPr>
        <w:numPr>
          <w:ilvl w:val="0"/>
          <w:numId w:val="4"/>
        </w:numPr>
        <w:ind w:left="0" w:firstLine="480"/>
        <w:rPr>
          <w:rFonts w:hint="eastAsia"/>
          <w:szCs w:val="20"/>
        </w:rPr>
      </w:pPr>
      <w:r>
        <w:rPr>
          <w:rFonts w:hint="eastAsia"/>
          <w:szCs w:val="20"/>
        </w:rPr>
        <w:t>供应商在中标并签署合同后，应通过谈话、现场考察、资料学习、座谈会等形式深度了解用户需求，进一步细化明确建设内容，优化技术方案，并组织邀请社会专家参加的方案论证会，系统开发或硬件、软件产品等采购前须制作需求规格说明书或硬件、软件产品采购清单，由用户方书面确认后实施。咨询论证等费用由成交单位承担。</w:t>
      </w:r>
    </w:p>
    <w:p>
      <w:pPr>
        <w:pStyle w:val="4"/>
        <w:ind w:left="480"/>
        <w:rPr>
          <w:rFonts w:hint="eastAsia"/>
        </w:rPr>
      </w:pPr>
      <w:r>
        <w:rPr>
          <w:rFonts w:hint="eastAsia"/>
        </w:rPr>
        <w:t>技术和性能要求</w:t>
      </w:r>
    </w:p>
    <w:p>
      <w:pPr>
        <w:numPr>
          <w:ilvl w:val="0"/>
          <w:numId w:val="5"/>
        </w:numPr>
        <w:ind w:left="0" w:firstLine="480"/>
        <w:rPr>
          <w:rFonts w:hint="eastAsia"/>
          <w:szCs w:val="20"/>
        </w:rPr>
      </w:pPr>
      <w:r>
        <w:rPr>
          <w:rFonts w:hint="eastAsia"/>
          <w:szCs w:val="20"/>
        </w:rPr>
        <w:t>本项目建设须符合</w:t>
      </w:r>
      <w:r>
        <w:rPr>
          <w:rFonts w:hint="eastAsia"/>
          <w:szCs w:val="20"/>
          <w:lang w:val="en-US" w:eastAsia="zh-CN"/>
        </w:rPr>
        <w:t>XC</w:t>
      </w:r>
      <w:r>
        <w:rPr>
          <w:rFonts w:hint="eastAsia"/>
          <w:szCs w:val="20"/>
        </w:rPr>
        <w:t>要求</w:t>
      </w:r>
      <w:r>
        <w:rPr>
          <w:rFonts w:hint="eastAsia"/>
          <w:szCs w:val="20"/>
          <w:lang w:eastAsia="zh-CN"/>
        </w:rPr>
        <w:t>，</w:t>
      </w:r>
      <w:r>
        <w:rPr>
          <w:rFonts w:hint="eastAsia"/>
          <w:szCs w:val="20"/>
        </w:rPr>
        <w:t>系统支持</w:t>
      </w:r>
      <w:r>
        <w:rPr>
          <w:rFonts w:hint="eastAsia"/>
          <w:szCs w:val="20"/>
          <w:lang w:val="en-US" w:eastAsia="zh-CN"/>
        </w:rPr>
        <w:t>XC</w:t>
      </w:r>
      <w:r>
        <w:rPr>
          <w:rFonts w:hint="eastAsia"/>
          <w:szCs w:val="20"/>
        </w:rPr>
        <w:t>环境</w:t>
      </w:r>
      <w:bookmarkStart w:id="25" w:name="_Hlk97889730"/>
      <w:r>
        <w:rPr>
          <w:rFonts w:hint="eastAsia"/>
          <w:szCs w:val="20"/>
        </w:rPr>
        <w:t>。</w:t>
      </w:r>
      <w:bookmarkEnd w:id="25"/>
    </w:p>
    <w:p>
      <w:pPr>
        <w:numPr>
          <w:ilvl w:val="0"/>
          <w:numId w:val="5"/>
        </w:numPr>
        <w:ind w:left="0" w:firstLine="480"/>
        <w:rPr>
          <w:rFonts w:hint="eastAsia"/>
          <w:szCs w:val="20"/>
        </w:rPr>
      </w:pPr>
      <w:r>
        <w:rPr>
          <w:rFonts w:hint="eastAsia"/>
          <w:szCs w:val="20"/>
        </w:rPr>
        <w:t>系统具备良好的开放性，充分考虑今后功能扩展和应用系统集成。</w:t>
      </w:r>
    </w:p>
    <w:p>
      <w:pPr>
        <w:numPr>
          <w:ilvl w:val="0"/>
          <w:numId w:val="5"/>
        </w:numPr>
        <w:ind w:left="0" w:firstLine="480"/>
        <w:rPr>
          <w:rFonts w:hint="eastAsia"/>
          <w:szCs w:val="20"/>
        </w:rPr>
      </w:pPr>
      <w:r>
        <w:rPr>
          <w:rFonts w:hint="eastAsia"/>
          <w:szCs w:val="20"/>
        </w:rPr>
        <w:t>性能指标：</w:t>
      </w:r>
    </w:p>
    <w:p>
      <w:pPr>
        <w:numPr>
          <w:ilvl w:val="0"/>
          <w:numId w:val="6"/>
        </w:numPr>
        <w:ind w:left="480" w:firstLine="0" w:firstLineChars="0"/>
        <w:rPr>
          <w:rFonts w:hint="eastAsia"/>
          <w:szCs w:val="20"/>
        </w:rPr>
      </w:pPr>
      <w:r>
        <w:rPr>
          <w:rFonts w:hint="eastAsia"/>
          <w:szCs w:val="20"/>
        </w:rPr>
        <w:t>标准软硬件配置环境下简单操作响应时间小于等于2秒，复杂操作响应时间不超过10秒；</w:t>
      </w:r>
    </w:p>
    <w:p>
      <w:pPr>
        <w:numPr>
          <w:ilvl w:val="0"/>
          <w:numId w:val="6"/>
        </w:numPr>
        <w:ind w:left="480" w:firstLine="0" w:firstLineChars="0"/>
        <w:rPr>
          <w:rFonts w:hint="eastAsia"/>
          <w:szCs w:val="20"/>
        </w:rPr>
      </w:pPr>
      <w:r>
        <w:rPr>
          <w:rFonts w:hint="eastAsia"/>
          <w:szCs w:val="20"/>
        </w:rPr>
        <w:t>一般统计查询响应时间小于等于5秒，复杂查询提供进度状态标志，且响应时间小于1</w:t>
      </w:r>
      <w:r>
        <w:rPr>
          <w:rFonts w:hint="eastAsia"/>
          <w:szCs w:val="20"/>
          <w:lang w:val="en-US" w:eastAsia="zh-CN"/>
        </w:rPr>
        <w:t>0</w:t>
      </w:r>
      <w:r>
        <w:rPr>
          <w:rFonts w:hint="eastAsia"/>
          <w:szCs w:val="20"/>
        </w:rPr>
        <w:t>秒；</w:t>
      </w:r>
    </w:p>
    <w:p>
      <w:pPr>
        <w:numPr>
          <w:ilvl w:val="0"/>
          <w:numId w:val="6"/>
        </w:numPr>
        <w:ind w:left="480" w:firstLine="0" w:firstLineChars="0"/>
        <w:rPr>
          <w:rFonts w:hint="eastAsia"/>
          <w:color w:val="auto"/>
          <w:szCs w:val="20"/>
        </w:rPr>
      </w:pPr>
      <w:r>
        <w:rPr>
          <w:rFonts w:hint="eastAsia"/>
          <w:color w:val="auto"/>
          <w:szCs w:val="20"/>
        </w:rPr>
        <w:t>支持不少于100并发用户。</w:t>
      </w:r>
    </w:p>
    <w:p>
      <w:pPr>
        <w:numPr>
          <w:ilvl w:val="0"/>
          <w:numId w:val="5"/>
        </w:numPr>
        <w:ind w:left="0" w:firstLine="480"/>
        <w:rPr>
          <w:rFonts w:hint="eastAsia"/>
          <w:szCs w:val="20"/>
        </w:rPr>
      </w:pPr>
      <w:r>
        <w:rPr>
          <w:rFonts w:hint="eastAsia"/>
          <w:szCs w:val="20"/>
        </w:rPr>
        <w:t>本项目建设严格遵循等级保护等相关标准规范要求，依托于上海市电子政务云资源进行部署，做好信息安全防护。</w:t>
      </w:r>
    </w:p>
    <w:p>
      <w:pPr>
        <w:numPr>
          <w:ilvl w:val="0"/>
          <w:numId w:val="5"/>
        </w:numPr>
        <w:ind w:left="0" w:firstLine="480"/>
        <w:rPr>
          <w:rFonts w:hint="eastAsia"/>
        </w:rPr>
      </w:pPr>
      <w:r>
        <w:rPr>
          <w:rFonts w:hint="eastAsia"/>
          <w:szCs w:val="20"/>
        </w:rPr>
        <w:t>系统产生的电子文件符合电子归档的相关要求。</w:t>
      </w:r>
    </w:p>
    <w:p>
      <w:pPr>
        <w:keepNext/>
        <w:keepLines/>
        <w:numPr>
          <w:ilvl w:val="1"/>
          <w:numId w:val="7"/>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6" w:name="_Toc63585480"/>
      <w:bookmarkEnd w:id="26"/>
      <w:bookmarkStart w:id="27" w:name="_Toc61968111"/>
      <w:bookmarkEnd w:id="27"/>
      <w:bookmarkStart w:id="28" w:name="_Toc63151871"/>
      <w:bookmarkEnd w:id="28"/>
      <w:bookmarkStart w:id="29" w:name="_Toc63785439"/>
      <w:bookmarkEnd w:id="29"/>
      <w:bookmarkStart w:id="30" w:name="_Toc63785504"/>
      <w:bookmarkEnd w:id="30"/>
      <w:bookmarkStart w:id="31" w:name="_Toc63762370"/>
      <w:bookmarkEnd w:id="31"/>
      <w:bookmarkStart w:id="32" w:name="_Toc62219358"/>
      <w:bookmarkEnd w:id="32"/>
      <w:bookmarkStart w:id="33" w:name="_Toc62209488"/>
      <w:bookmarkEnd w:id="33"/>
    </w:p>
    <w:p>
      <w:pPr>
        <w:pStyle w:val="4"/>
        <w:ind w:left="480"/>
        <w:rPr>
          <w:rFonts w:hint="eastAsia"/>
        </w:rPr>
      </w:pPr>
      <w:bookmarkStart w:id="34" w:name="_Toc63785505"/>
      <w:r>
        <w:rPr>
          <w:rFonts w:hint="eastAsia"/>
        </w:rPr>
        <w:t>售后服务要求</w:t>
      </w:r>
      <w:bookmarkEnd w:id="34"/>
    </w:p>
    <w:p>
      <w:pPr>
        <w:widowControl/>
        <w:adjustRightInd w:val="0"/>
        <w:jc w:val="left"/>
        <w:rPr>
          <w:rFonts w:hint="eastAsia" w:cs="宋体"/>
          <w:color w:val="000000"/>
          <w:kern w:val="0"/>
        </w:rPr>
      </w:pPr>
      <w:r>
        <w:rPr>
          <w:rFonts w:hint="eastAsia"/>
        </w:rPr>
        <w:t>本</w:t>
      </w:r>
      <w:r>
        <w:rPr>
          <w:rFonts w:hint="eastAsia" w:cs="宋体"/>
          <w:color w:val="000000"/>
          <w:kern w:val="0"/>
        </w:rPr>
        <w:t>项目验收通过后，提供一年的免费质量保证服务，承诺为系统提供终身技术支服务。服务对象为全市检察机关与项目相关的单位、部门和用户。为确保系统的正常运行，及时解决发生的各类问题，需结合项目实际，制定有效的运维保障方案和安全应急措施。并按约定，提供以下方式服务：</w:t>
      </w:r>
    </w:p>
    <w:p>
      <w:pPr>
        <w:numPr>
          <w:ilvl w:val="0"/>
          <w:numId w:val="8"/>
        </w:numPr>
        <w:ind w:firstLine="0" w:firstLineChars="0"/>
        <w:rPr>
          <w:rFonts w:hint="eastAsia"/>
          <w:b/>
          <w:bCs/>
          <w:szCs w:val="20"/>
        </w:rPr>
      </w:pPr>
      <w:r>
        <w:rPr>
          <w:rFonts w:hint="eastAsia"/>
          <w:b/>
          <w:bCs/>
          <w:szCs w:val="20"/>
        </w:rPr>
        <w:t>驻场技术服务</w:t>
      </w:r>
    </w:p>
    <w:p>
      <w:pPr>
        <w:widowControl/>
        <w:adjustRightInd w:val="0"/>
        <w:jc w:val="left"/>
        <w:rPr>
          <w:rFonts w:hint="eastAsia" w:cs="宋体"/>
          <w:color w:val="000000"/>
          <w:kern w:val="0"/>
        </w:rPr>
      </w:pPr>
      <w:r>
        <w:rPr>
          <w:rFonts w:hint="eastAsia" w:cs="宋体"/>
          <w:color w:val="000000"/>
          <w:kern w:val="0"/>
        </w:rPr>
        <w:t>运维期间，根据系统运行的实际需求派驻现场工作人员，面向全市检察机关，对系统发生的事件、用户的要求进行及时响应；通过应用指导、运维保障和软件开发等多种方式提供高效和优质的综合技术服务。</w:t>
      </w:r>
    </w:p>
    <w:p>
      <w:pPr>
        <w:numPr>
          <w:ilvl w:val="0"/>
          <w:numId w:val="8"/>
        </w:numPr>
        <w:ind w:firstLine="0" w:firstLineChars="0"/>
        <w:rPr>
          <w:rFonts w:hint="eastAsia"/>
          <w:b/>
          <w:bCs/>
          <w:szCs w:val="20"/>
        </w:rPr>
      </w:pPr>
      <w:r>
        <w:rPr>
          <w:rFonts w:hint="eastAsia"/>
          <w:b/>
          <w:bCs/>
          <w:szCs w:val="20"/>
        </w:rPr>
        <w:t>重大活动伴随服务</w:t>
      </w:r>
    </w:p>
    <w:p>
      <w:pPr>
        <w:widowControl/>
        <w:adjustRightInd w:val="0"/>
        <w:jc w:val="left"/>
        <w:rPr>
          <w:rFonts w:hint="eastAsia" w:cs="宋体"/>
          <w:color w:val="000000"/>
          <w:kern w:val="0"/>
        </w:rPr>
      </w:pPr>
      <w:r>
        <w:rPr>
          <w:rFonts w:hint="eastAsia" w:cs="宋体"/>
          <w:color w:val="000000"/>
          <w:kern w:val="0"/>
        </w:rPr>
        <w:t>用户若有跟系统相关的重大活动，项目组需提供活动所需专人进行事前调试和始终伴随服务，以确保系统的正常运行，最终实现用户活动的顺利完成。</w:t>
      </w:r>
    </w:p>
    <w:p>
      <w:pPr>
        <w:numPr>
          <w:ilvl w:val="0"/>
          <w:numId w:val="8"/>
        </w:numPr>
        <w:ind w:firstLine="0" w:firstLineChars="0"/>
        <w:rPr>
          <w:rFonts w:hint="eastAsia"/>
          <w:b/>
          <w:bCs/>
          <w:szCs w:val="20"/>
        </w:rPr>
      </w:pPr>
      <w:r>
        <w:rPr>
          <w:rFonts w:hint="eastAsia"/>
          <w:b/>
          <w:bCs/>
          <w:szCs w:val="20"/>
        </w:rPr>
        <w:t>巡检服务</w:t>
      </w:r>
    </w:p>
    <w:p>
      <w:pPr>
        <w:widowControl/>
        <w:adjustRightInd w:val="0"/>
        <w:jc w:val="left"/>
        <w:rPr>
          <w:rFonts w:hint="eastAsia" w:cs="宋体"/>
          <w:color w:val="000000"/>
          <w:kern w:val="0"/>
        </w:rPr>
      </w:pPr>
      <w:r>
        <w:rPr>
          <w:rFonts w:hint="eastAsia" w:cs="宋体"/>
          <w:color w:val="000000"/>
          <w:kern w:val="0"/>
        </w:rPr>
        <w:t>每月进行一次巡检服务，由专业的技术支持人员上门通过专业的方式对系统运行状况进行全面检查测试，及时发现和排除隐患，确保数据备份的可靠性，保证系统可持续正常运行，并提交巡检报告。</w:t>
      </w:r>
    </w:p>
    <w:p>
      <w:pPr>
        <w:numPr>
          <w:ilvl w:val="0"/>
          <w:numId w:val="8"/>
        </w:numPr>
        <w:ind w:firstLine="0" w:firstLineChars="0"/>
        <w:rPr>
          <w:rFonts w:hint="eastAsia"/>
          <w:b/>
          <w:bCs/>
          <w:szCs w:val="20"/>
        </w:rPr>
      </w:pPr>
      <w:r>
        <w:rPr>
          <w:rFonts w:hint="eastAsia"/>
          <w:b/>
          <w:bCs/>
          <w:szCs w:val="20"/>
        </w:rPr>
        <w:t>远程支持服务</w:t>
      </w:r>
    </w:p>
    <w:p>
      <w:pPr>
        <w:pStyle w:val="17"/>
        <w:numPr>
          <w:ilvl w:val="0"/>
          <w:numId w:val="9"/>
        </w:numPr>
        <w:ind w:left="0" w:firstLine="480"/>
        <w:rPr>
          <w:rFonts w:hint="eastAsia" w:eastAsia="宋体"/>
          <w:sz w:val="24"/>
          <w:szCs w:val="22"/>
        </w:rPr>
      </w:pPr>
      <w:r>
        <w:rPr>
          <w:rFonts w:hint="eastAsia" w:eastAsia="宋体"/>
          <w:sz w:val="24"/>
          <w:szCs w:val="22"/>
        </w:rPr>
        <w:t>热线电话服务</w:t>
      </w:r>
    </w:p>
    <w:p>
      <w:pPr>
        <w:widowControl/>
        <w:adjustRightInd w:val="0"/>
        <w:jc w:val="left"/>
        <w:rPr>
          <w:rFonts w:hint="eastAsia" w:cs="宋体"/>
          <w:color w:val="000000"/>
          <w:kern w:val="0"/>
        </w:rPr>
      </w:pPr>
      <w:r>
        <w:rPr>
          <w:rFonts w:hint="eastAsia" w:cs="宋体"/>
          <w:color w:val="000000"/>
          <w:kern w:val="0"/>
        </w:rPr>
        <w:t>提供项目组技术人员的7*24小时服务热线；针对检察院提出的问题，通过电话解答咨询、指导应用和故障排除。对于无法解决的问题，及时受理登记，安排运维任务。</w:t>
      </w:r>
    </w:p>
    <w:p>
      <w:pPr>
        <w:pStyle w:val="17"/>
        <w:numPr>
          <w:ilvl w:val="0"/>
          <w:numId w:val="9"/>
        </w:numPr>
        <w:ind w:left="0" w:firstLine="480"/>
        <w:rPr>
          <w:rFonts w:hint="eastAsia" w:eastAsia="宋体"/>
          <w:sz w:val="24"/>
          <w:szCs w:val="22"/>
        </w:rPr>
      </w:pPr>
      <w:r>
        <w:rPr>
          <w:rFonts w:hint="eastAsia" w:eastAsia="宋体"/>
          <w:sz w:val="24"/>
          <w:szCs w:val="22"/>
        </w:rPr>
        <w:t>电子邮件服务</w:t>
      </w:r>
    </w:p>
    <w:p>
      <w:pPr>
        <w:widowControl/>
        <w:adjustRightInd w:val="0"/>
        <w:jc w:val="left"/>
        <w:rPr>
          <w:rFonts w:hint="eastAsia" w:cs="宋体"/>
          <w:color w:val="000000"/>
          <w:kern w:val="0"/>
        </w:rPr>
      </w:pPr>
      <w:r>
        <w:rPr>
          <w:rFonts w:hint="eastAsia" w:cs="宋体"/>
          <w:color w:val="000000"/>
          <w:kern w:val="0"/>
        </w:rPr>
        <w:t>提供项目组负责人邮箱地址，若遇到疑难的问题，用户可将问题通过E-mail的方式发给项目组相关负责人，项目组每天至少接收一次邮件，并在2个工作日内及时予以回复。</w:t>
      </w:r>
    </w:p>
    <w:p>
      <w:pPr>
        <w:numPr>
          <w:ilvl w:val="0"/>
          <w:numId w:val="8"/>
        </w:numPr>
        <w:ind w:firstLine="0" w:firstLineChars="0"/>
        <w:rPr>
          <w:rFonts w:hint="eastAsia"/>
          <w:b/>
          <w:bCs/>
          <w:szCs w:val="20"/>
        </w:rPr>
      </w:pPr>
      <w:r>
        <w:rPr>
          <w:rFonts w:hint="eastAsia"/>
          <w:b/>
          <w:bCs/>
          <w:szCs w:val="20"/>
        </w:rPr>
        <w:t>其它</w:t>
      </w:r>
    </w:p>
    <w:p>
      <w:pPr>
        <w:pStyle w:val="15"/>
        <w:snapToGrid w:val="0"/>
        <w:spacing w:line="360" w:lineRule="auto"/>
        <w:ind w:firstLine="480"/>
        <w:rPr>
          <w:rFonts w:hint="eastAsia" w:ascii="宋体" w:hAnsi="宋体"/>
          <w:sz w:val="24"/>
          <w:szCs w:val="24"/>
        </w:rPr>
      </w:pPr>
      <w:r>
        <w:rPr>
          <w:rFonts w:hint="eastAsia" w:ascii="宋体" w:hAnsi="宋体" w:cs="宋体"/>
          <w:color w:val="000000"/>
          <w:kern w:val="0"/>
          <w:sz w:val="24"/>
        </w:rPr>
        <w:t>将各项运维服务纳入上海检察机关统一运维平台，实现问题统一受理、解决、反馈和汇总，所有运维工作均应在运维管理平台中全程详细记录，并不断丰富应用系统常见问题知识库。</w:t>
      </w:r>
    </w:p>
    <w:p>
      <w:pPr>
        <w:pStyle w:val="4"/>
        <w:ind w:left="480"/>
        <w:rPr>
          <w:rFonts w:hint="eastAsia"/>
        </w:rPr>
      </w:pPr>
      <w:bookmarkStart w:id="35" w:name="_Toc63785506"/>
      <w:r>
        <w:rPr>
          <w:rFonts w:hint="eastAsia"/>
        </w:rPr>
        <w:t>应急响应要求</w:t>
      </w:r>
      <w:bookmarkEnd w:id="35"/>
    </w:p>
    <w:p>
      <w:pPr>
        <w:pStyle w:val="15"/>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5"/>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5"/>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5"/>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5"/>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4"/>
        <w:ind w:left="480"/>
        <w:rPr>
          <w:rFonts w:hint="eastAsia"/>
        </w:rPr>
      </w:pPr>
      <w:bookmarkStart w:id="36" w:name="_Toc63785507"/>
      <w:r>
        <w:rPr>
          <w:rFonts w:hint="eastAsia"/>
        </w:rPr>
        <w:t>培训要求</w:t>
      </w:r>
      <w:bookmarkEnd w:id="36"/>
    </w:p>
    <w:p>
      <w:pPr>
        <w:pStyle w:val="2"/>
        <w:ind w:firstLine="480"/>
        <w:rPr>
          <w:rFonts w:hint="eastAsia"/>
          <w:bCs/>
        </w:rPr>
      </w:pPr>
      <w:r>
        <w:rPr>
          <w:rFonts w:hint="eastAsia"/>
          <w:bCs/>
        </w:rPr>
        <w:t>根据用户的要求，针对系统用户，应该组织技术交流和培训，内容包括系统的功能升级、常见问题、配置说明、操作技巧等。</w:t>
      </w:r>
    </w:p>
    <w:p>
      <w:pPr>
        <w:rPr>
          <w:rFonts w:hint="eastAsia"/>
          <w:strike/>
          <w:szCs w:val="21"/>
        </w:rPr>
      </w:pPr>
      <w:r>
        <w:rPr>
          <w:rFonts w:hint="eastAsia"/>
          <w:bCs/>
        </w:rPr>
        <w:t>培训对象包括系统管理员、业务操作人员，其中系统管理员不少于2天培训，业务操作人员不少于3天培训。系统管理员，经培训后能够完成系统的日常管理维护工作；业务操作人员，经培训后能够熟练掌握使用本系统进行相关业务操作。</w:t>
      </w:r>
    </w:p>
    <w:p>
      <w:pPr>
        <w:pStyle w:val="4"/>
        <w:ind w:left="480"/>
        <w:rPr>
          <w:rFonts w:hint="eastAsia"/>
        </w:rPr>
      </w:pPr>
      <w:bookmarkStart w:id="37" w:name="_Toc63785509"/>
      <w:r>
        <w:rPr>
          <w:rFonts w:hint="eastAsia"/>
        </w:rPr>
        <w:t>进度要求</w:t>
      </w:r>
      <w:bookmarkEnd w:id="37"/>
    </w:p>
    <w:p>
      <w:pPr>
        <w:pStyle w:val="2"/>
        <w:ind w:firstLine="480"/>
        <w:rPr>
          <w:rFonts w:hint="eastAsia"/>
          <w:szCs w:val="20"/>
        </w:rPr>
      </w:pPr>
      <w:r>
        <w:rPr>
          <w:rFonts w:hint="eastAsia"/>
          <w:szCs w:val="20"/>
        </w:rPr>
        <w:t>本项目要求合同签订后，供应商应根据用户方要求，及时整体或分批启动项目，在需求规格说明书确认后，按双方约定的时间节点完成项目。</w:t>
      </w:r>
    </w:p>
    <w:p>
      <w:pPr>
        <w:pStyle w:val="2"/>
        <w:ind w:firstLine="480"/>
        <w:rPr>
          <w:rFonts w:hint="eastAsia"/>
          <w:szCs w:val="20"/>
        </w:rPr>
      </w:pPr>
      <w:r>
        <w:rPr>
          <w:rFonts w:hint="eastAsia"/>
          <w:szCs w:val="20"/>
        </w:rPr>
        <w:t>履行期限</w:t>
      </w:r>
      <w:r>
        <w:rPr>
          <w:rFonts w:hint="eastAsia"/>
          <w:szCs w:val="20"/>
          <w:lang w:eastAsia="zh-CN"/>
        </w:rPr>
        <w:t>：</w:t>
      </w:r>
      <w:bookmarkStart w:id="38" w:name="PO_服务期限6"/>
      <w:r>
        <w:rPr>
          <w:rFonts w:hint="eastAsia"/>
          <w:szCs w:val="20"/>
          <w:lang w:eastAsia="zh-CN"/>
        </w:rPr>
        <w:t>自合同签订之日起至202</w:t>
      </w:r>
      <w:r>
        <w:rPr>
          <w:rFonts w:hint="eastAsia"/>
          <w:szCs w:val="20"/>
          <w:lang w:val="en-US" w:eastAsia="zh-CN"/>
        </w:rPr>
        <w:t>7</w:t>
      </w:r>
      <w:r>
        <w:rPr>
          <w:rFonts w:hint="eastAsia"/>
          <w:szCs w:val="20"/>
          <w:lang w:eastAsia="zh-CN"/>
        </w:rPr>
        <w:t>年11月30日前完成系统建设并通过验收</w:t>
      </w:r>
      <w:bookmarkEnd w:id="38"/>
      <w:r>
        <w:rPr>
          <w:rFonts w:hint="eastAsia"/>
          <w:szCs w:val="20"/>
        </w:rPr>
        <w:t>。</w:t>
      </w:r>
    </w:p>
    <w:p>
      <w:pPr>
        <w:pStyle w:val="2"/>
        <w:ind w:firstLine="480"/>
        <w:rPr>
          <w:rFonts w:hint="eastAsia" w:cs="宋体"/>
          <w:color w:val="auto"/>
          <w:kern w:val="0"/>
          <w:lang w:eastAsia="zh-CN"/>
        </w:rPr>
      </w:pPr>
      <w:r>
        <w:rPr>
          <w:rFonts w:hint="eastAsia" w:ascii="Tahoma" w:hAnsi="Tahoma" w:eastAsia="宋体" w:cs="Times New Roman"/>
          <w:szCs w:val="20"/>
          <w:lang w:val="en-US" w:eastAsia="zh-CN"/>
        </w:rPr>
        <w:t>本项目建设内容的</w:t>
      </w:r>
      <w:r>
        <w:rPr>
          <w:rFonts w:hint="eastAsia" w:ascii="Tahoma" w:hAnsi="Tahoma" w:cs="Times New Roman"/>
          <w:szCs w:val="20"/>
          <w:lang w:val="en-US" w:eastAsia="zh-CN"/>
        </w:rPr>
        <w:t>功能模块包括：三个管理分析、办案巡逻车、质效分析管理专题、案件质量检查、案件质量评查智能化、信访法治化应用，须按照以下</w:t>
      </w:r>
      <w:r>
        <w:rPr>
          <w:rFonts w:hint="eastAsia" w:cs="宋体"/>
          <w:color w:val="auto"/>
          <w:kern w:val="0"/>
          <w:lang w:eastAsia="zh-CN"/>
        </w:rPr>
        <w:t>时间节点完成建设：</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4"/>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pStyle w:val="2"/>
              <w:numPr>
                <w:ilvl w:val="0"/>
                <w:numId w:val="0"/>
              </w:numPr>
              <w:jc w:val="center"/>
              <w:rPr>
                <w:rFonts w:hint="eastAsia"/>
                <w:vertAlign w:val="baseline"/>
                <w:lang w:val="en-US" w:eastAsia="zh-CN"/>
              </w:rPr>
            </w:pPr>
            <w:r>
              <w:rPr>
                <w:rFonts w:hint="eastAsia"/>
                <w:b/>
                <w:bCs/>
                <w:vertAlign w:val="baseline"/>
                <w:lang w:val="en-US" w:eastAsia="zh-CN"/>
              </w:rPr>
              <w:t>时间节点</w:t>
            </w:r>
          </w:p>
        </w:tc>
        <w:tc>
          <w:tcPr>
            <w:tcW w:w="5364" w:type="dxa"/>
          </w:tcPr>
          <w:p>
            <w:pPr>
              <w:pStyle w:val="2"/>
              <w:numPr>
                <w:ilvl w:val="0"/>
                <w:numId w:val="0"/>
              </w:numPr>
              <w:jc w:val="center"/>
              <w:rPr>
                <w:rFonts w:hint="eastAsia"/>
                <w:vertAlign w:val="baseline"/>
                <w:lang w:val="en-US" w:eastAsia="zh-CN"/>
              </w:rPr>
            </w:pPr>
            <w:r>
              <w:rPr>
                <w:rFonts w:hint="eastAsia"/>
                <w:b/>
                <w:bCs/>
                <w:vertAlign w:val="baseline"/>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2026年11月30日前</w:t>
            </w:r>
          </w:p>
        </w:tc>
        <w:tc>
          <w:tcPr>
            <w:tcW w:w="5364" w:type="dxa"/>
          </w:tcPr>
          <w:p>
            <w:pPr>
              <w:pStyle w:val="2"/>
              <w:numPr>
                <w:ilvl w:val="0"/>
                <w:numId w:val="0"/>
              </w:numPr>
              <w:rPr>
                <w:rFonts w:hint="eastAsia"/>
                <w:vertAlign w:val="baseline"/>
                <w:lang w:val="en-US" w:eastAsia="zh-CN"/>
              </w:rPr>
            </w:pPr>
            <w:r>
              <w:rPr>
                <w:rFonts w:hint="eastAsia" w:ascii="Tahoma" w:hAnsi="Tahoma" w:cs="Times New Roman"/>
                <w:szCs w:val="20"/>
                <w:lang w:val="en-US" w:eastAsia="zh-CN"/>
              </w:rPr>
              <w:t>完成以下软件功能模块开发：三个管理分析、案件质量检查、信访法治化应用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Align w:val="center"/>
          </w:tcPr>
          <w:p>
            <w:pPr>
              <w:pStyle w:val="2"/>
              <w:numPr>
                <w:ilvl w:val="0"/>
                <w:numId w:val="0"/>
              </w:numPr>
              <w:jc w:val="center"/>
              <w:rPr>
                <w:rFonts w:hint="eastAsia"/>
                <w:vertAlign w:val="baseline"/>
                <w:lang w:val="en-US" w:eastAsia="zh-CN"/>
              </w:rPr>
            </w:pPr>
            <w:r>
              <w:rPr>
                <w:rFonts w:hint="eastAsia"/>
                <w:vertAlign w:val="baseline"/>
                <w:lang w:val="en-US" w:eastAsia="zh-CN"/>
              </w:rPr>
              <w:t>2027年7月31日前</w:t>
            </w:r>
          </w:p>
        </w:tc>
        <w:tc>
          <w:tcPr>
            <w:tcW w:w="5364" w:type="dxa"/>
          </w:tcPr>
          <w:p>
            <w:pPr>
              <w:pStyle w:val="2"/>
              <w:numPr>
                <w:ilvl w:val="0"/>
                <w:numId w:val="0"/>
              </w:numPr>
              <w:rPr>
                <w:rFonts w:hint="eastAsia"/>
                <w:vertAlign w:val="baseline"/>
                <w:lang w:val="en-US" w:eastAsia="zh-CN"/>
              </w:rPr>
            </w:pPr>
            <w:r>
              <w:rPr>
                <w:rFonts w:hint="eastAsia" w:ascii="Tahoma" w:hAnsi="Tahoma" w:cs="Times New Roman"/>
                <w:szCs w:val="20"/>
                <w:lang w:val="en-US" w:eastAsia="zh-CN"/>
              </w:rPr>
              <w:t>完成以下软件功能模块开发：办案巡逻车、质效分析管理专题、案件质量评查智能化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Align w:val="center"/>
          </w:tcPr>
          <w:p>
            <w:pPr>
              <w:pStyle w:val="2"/>
              <w:numPr>
                <w:ilvl w:val="0"/>
                <w:numId w:val="0"/>
              </w:numPr>
              <w:jc w:val="center"/>
              <w:rPr>
                <w:rFonts w:hint="eastAsia"/>
                <w:vertAlign w:val="baseline"/>
                <w:lang w:val="en-US" w:eastAsia="zh-CN"/>
              </w:rPr>
            </w:pPr>
            <w:r>
              <w:rPr>
                <w:rFonts w:hint="eastAsia"/>
                <w:vertAlign w:val="baseline"/>
                <w:lang w:val="en-US" w:eastAsia="zh-CN"/>
              </w:rPr>
              <w:t>2027年8月31日前</w:t>
            </w:r>
          </w:p>
        </w:tc>
        <w:tc>
          <w:tcPr>
            <w:tcW w:w="5364" w:type="dxa"/>
          </w:tcPr>
          <w:p>
            <w:pPr>
              <w:pStyle w:val="2"/>
              <w:numPr>
                <w:ilvl w:val="0"/>
                <w:numId w:val="0"/>
              </w:numPr>
              <w:rPr>
                <w:rFonts w:hint="eastAsia" w:ascii="Tahoma" w:hAnsi="Tahoma" w:cs="Times New Roman"/>
                <w:szCs w:val="20"/>
                <w:lang w:val="en-US" w:eastAsia="zh-CN"/>
              </w:rPr>
            </w:pPr>
            <w:r>
              <w:rPr>
                <w:rFonts w:hint="eastAsia" w:ascii="Tahoma" w:hAnsi="Tahoma" w:cs="Times New Roman"/>
                <w:szCs w:val="20"/>
                <w:lang w:val="en-US" w:eastAsia="zh-CN"/>
              </w:rPr>
              <w:t>系统上线试运行</w:t>
            </w:r>
          </w:p>
        </w:tc>
      </w:tr>
    </w:tbl>
    <w:p>
      <w:pPr>
        <w:pStyle w:val="2"/>
        <w:numPr>
          <w:ilvl w:val="0"/>
          <w:numId w:val="0"/>
        </w:numPr>
        <w:rPr>
          <w:rFonts w:hint="default"/>
          <w:lang w:val="en-US" w:eastAsia="zh-CN"/>
        </w:rPr>
      </w:pPr>
    </w:p>
    <w:p>
      <w:pPr>
        <w:pStyle w:val="4"/>
        <w:ind w:left="480"/>
        <w:rPr>
          <w:rFonts w:hint="eastAsia"/>
        </w:rPr>
      </w:pPr>
      <w:bookmarkStart w:id="39" w:name="_Toc63785510"/>
      <w:r>
        <w:rPr>
          <w:rFonts w:hint="eastAsia"/>
        </w:rPr>
        <w:t>项目团队及驻场人员要求</w:t>
      </w:r>
      <w:bookmarkEnd w:id="39"/>
    </w:p>
    <w:p>
      <w:pPr>
        <w:numPr>
          <w:ilvl w:val="0"/>
          <w:numId w:val="10"/>
        </w:numPr>
        <w:rPr>
          <w:rFonts w:hint="eastAsia"/>
        </w:rPr>
      </w:pPr>
      <w:r>
        <w:rPr>
          <w:rFonts w:hint="eastAsia"/>
        </w:rPr>
        <w:t>投标人须具有稳定的在职技术保障力量，能够提供及时的技术支援或服务，应针对本项目提供不少于1</w:t>
      </w:r>
      <w:r>
        <w:rPr>
          <w:rFonts w:hint="eastAsia"/>
          <w:lang w:val="en-US" w:eastAsia="zh-CN"/>
        </w:rPr>
        <w:t>3</w:t>
      </w:r>
      <w:r>
        <w:rPr>
          <w:rFonts w:hint="eastAsia"/>
        </w:rPr>
        <w:t>人的项目服务团队（包括项目负责人、研发工程师、实施工程师等），投标单位的相关服务人员需具备相应的服务能力，需提供相关证明。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265"/>
        <w:gridCol w:w="1200"/>
        <w:gridCol w:w="258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角色</w:t>
            </w:r>
          </w:p>
        </w:tc>
        <w:tc>
          <w:tcPr>
            <w:tcW w:w="22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主要职责</w:t>
            </w:r>
          </w:p>
        </w:tc>
        <w:tc>
          <w:tcPr>
            <w:tcW w:w="12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人员数量</w:t>
            </w:r>
          </w:p>
        </w:tc>
        <w:tc>
          <w:tcPr>
            <w:tcW w:w="25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人员要求</w:t>
            </w:r>
          </w:p>
        </w:tc>
        <w:tc>
          <w:tcPr>
            <w:tcW w:w="13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项目</w:t>
            </w:r>
            <w:r>
              <w:rPr>
                <w:rFonts w:hint="eastAsia" w:ascii="宋体" w:hAnsi="宋体" w:eastAsia="宋体" w:cs="宋体"/>
                <w:szCs w:val="22"/>
                <w:lang w:eastAsia="zh-CN"/>
                <w14:ligatures w14:val="none"/>
              </w:rPr>
              <w:t>负责人</w:t>
            </w:r>
          </w:p>
        </w:tc>
        <w:tc>
          <w:tcPr>
            <w:tcW w:w="22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负责项目质量和进度控制</w:t>
            </w:r>
          </w:p>
        </w:tc>
        <w:tc>
          <w:tcPr>
            <w:tcW w:w="12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1人</w:t>
            </w:r>
          </w:p>
        </w:tc>
        <w:tc>
          <w:tcPr>
            <w:tcW w:w="25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具备信息系统项目管理师证书，10年（含）以上类似经历</w:t>
            </w:r>
          </w:p>
        </w:tc>
        <w:tc>
          <w:tcPr>
            <w:tcW w:w="13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lang w:val="en-US" w:eastAsia="zh-CN"/>
                <w14:ligatures w14:val="none"/>
              </w:rPr>
            </w:pPr>
            <w:r>
              <w:rPr>
                <w:rFonts w:hint="eastAsia" w:ascii="宋体" w:hAnsi="宋体" w:eastAsia="宋体" w:cs="宋体"/>
                <w:szCs w:val="22"/>
                <w14:ligatures w14:val="none"/>
              </w:rPr>
              <w:t>研发</w:t>
            </w:r>
            <w:r>
              <w:rPr>
                <w:rFonts w:hint="eastAsia" w:ascii="宋体" w:hAnsi="宋体" w:eastAsia="宋体" w:cs="宋体"/>
                <w:szCs w:val="22"/>
                <w:lang w:val="en-US" w:eastAsia="zh-CN"/>
                <w14:ligatures w14:val="none"/>
              </w:rPr>
              <w:t>工程师</w:t>
            </w:r>
            <w:r>
              <w:rPr>
                <w:rFonts w:hint="eastAsia" w:cs="宋体"/>
                <w:szCs w:val="22"/>
                <w:lang w:val="en-US" w:eastAsia="zh-CN"/>
                <w14:ligatures w14:val="none"/>
              </w:rPr>
              <w:t>、</w:t>
            </w:r>
            <w:r>
              <w:rPr>
                <w:rFonts w:hint="eastAsia" w:ascii="宋体" w:hAnsi="宋体" w:eastAsia="宋体" w:cs="宋体"/>
                <w:szCs w:val="22"/>
                <w14:ligatures w14:val="none"/>
              </w:rPr>
              <w:t>实施工程师</w:t>
            </w:r>
          </w:p>
        </w:tc>
        <w:tc>
          <w:tcPr>
            <w:tcW w:w="22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负责项目需求调研</w:t>
            </w:r>
            <w:r>
              <w:rPr>
                <w:rFonts w:hint="eastAsia" w:ascii="宋体" w:hAnsi="宋体" w:eastAsia="宋体" w:cs="宋体"/>
                <w:szCs w:val="22"/>
                <w:lang w:eastAsia="zh-CN"/>
                <w14:ligatures w14:val="none"/>
              </w:rPr>
              <w:t>、</w:t>
            </w:r>
            <w:r>
              <w:rPr>
                <w:rFonts w:hint="eastAsia" w:ascii="宋体" w:hAnsi="宋体" w:eastAsia="宋体" w:cs="宋体"/>
                <w:szCs w:val="22"/>
                <w14:ligatures w14:val="none"/>
              </w:rPr>
              <w:t>功能开发</w:t>
            </w:r>
            <w:r>
              <w:rPr>
                <w:rFonts w:hint="eastAsia" w:ascii="宋体" w:hAnsi="宋体" w:eastAsia="宋体" w:cs="宋体"/>
                <w:szCs w:val="22"/>
                <w:lang w:eastAsia="zh-CN"/>
                <w14:ligatures w14:val="none"/>
              </w:rPr>
              <w:t>和测试</w:t>
            </w:r>
            <w:r>
              <w:rPr>
                <w:rFonts w:hint="eastAsia" w:cs="宋体"/>
                <w:szCs w:val="22"/>
                <w:lang w:eastAsia="zh-CN"/>
                <w14:ligatures w14:val="none"/>
              </w:rPr>
              <w:t>、</w:t>
            </w:r>
            <w:r>
              <w:rPr>
                <w:rFonts w:hint="eastAsia" w:ascii="宋体" w:hAnsi="宋体" w:eastAsia="宋体" w:cs="宋体"/>
                <w:szCs w:val="22"/>
                <w14:ligatures w14:val="none"/>
              </w:rPr>
              <w:t>实施部署与</w:t>
            </w:r>
            <w:r>
              <w:rPr>
                <w:rFonts w:hint="eastAsia" w:ascii="宋体" w:hAnsi="宋体" w:eastAsia="宋体" w:cs="宋体"/>
                <w:szCs w:val="22"/>
                <w:lang w:eastAsia="zh-CN"/>
                <w14:ligatures w14:val="none"/>
              </w:rPr>
              <w:t>技术</w:t>
            </w:r>
            <w:r>
              <w:rPr>
                <w:rFonts w:hint="eastAsia" w:ascii="宋体" w:hAnsi="宋体" w:eastAsia="宋体" w:cs="宋体"/>
                <w:szCs w:val="22"/>
                <w14:ligatures w14:val="none"/>
              </w:rPr>
              <w:t>支撑</w:t>
            </w:r>
          </w:p>
        </w:tc>
        <w:tc>
          <w:tcPr>
            <w:tcW w:w="12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lang w:val="en-US" w:eastAsia="zh-CN"/>
                <w14:ligatures w14:val="none"/>
              </w:rPr>
              <w:t>1</w:t>
            </w:r>
            <w:r>
              <w:rPr>
                <w:rFonts w:hint="eastAsia" w:cs="宋体"/>
                <w:szCs w:val="22"/>
                <w:lang w:val="en-US" w:eastAsia="zh-CN"/>
                <w14:ligatures w14:val="none"/>
              </w:rPr>
              <w:t>2</w:t>
            </w:r>
            <w:r>
              <w:rPr>
                <w:rFonts w:hint="eastAsia" w:ascii="宋体" w:hAnsi="宋体" w:eastAsia="宋体" w:cs="宋体"/>
                <w:szCs w:val="22"/>
                <w14:ligatures w14:val="none"/>
              </w:rPr>
              <w:t>人</w:t>
            </w:r>
          </w:p>
        </w:tc>
        <w:tc>
          <w:tcPr>
            <w:tcW w:w="25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color w:val="FF0000"/>
                <w:sz w:val="24"/>
                <w:lang w:val="en-US"/>
                <w14:ligatures w14:val="none"/>
              </w:rPr>
            </w:pPr>
            <w:r>
              <w:rPr>
                <w:rFonts w:hint="eastAsia" w:cs="宋体"/>
                <w:szCs w:val="22"/>
                <w:lang w:eastAsia="zh-CN"/>
                <w14:ligatures w14:val="none"/>
              </w:rPr>
              <w:t>团队人员中</w:t>
            </w:r>
            <w:r>
              <w:rPr>
                <w:rFonts w:hint="eastAsia" w:ascii="宋体" w:hAnsi="宋体" w:eastAsia="宋体" w:cs="宋体"/>
                <w:szCs w:val="22"/>
                <w14:ligatures w14:val="none"/>
              </w:rPr>
              <w:t>具备系统</w:t>
            </w:r>
            <w:r>
              <w:rPr>
                <w:rFonts w:hint="eastAsia" w:ascii="宋体" w:hAnsi="宋体" w:eastAsia="宋体" w:cs="宋体"/>
                <w:szCs w:val="22"/>
                <w:lang w:eastAsia="zh-CN"/>
                <w14:ligatures w14:val="none"/>
              </w:rPr>
              <w:t>分析师证书</w:t>
            </w:r>
            <w:r>
              <w:rPr>
                <w:rFonts w:hint="eastAsia" w:cs="宋体"/>
                <w:szCs w:val="22"/>
                <w:lang w:eastAsia="zh-CN"/>
                <w14:ligatures w14:val="none"/>
              </w:rPr>
              <w:t>、</w:t>
            </w:r>
            <w:r>
              <w:rPr>
                <w:rFonts w:hint="eastAsia" w:ascii="宋体" w:hAnsi="宋体" w:eastAsia="宋体" w:cs="宋体"/>
                <w:szCs w:val="22"/>
                <w14:ligatures w14:val="none"/>
              </w:rPr>
              <w:t>系统集成项目管理工程师</w:t>
            </w:r>
            <w:r>
              <w:rPr>
                <w:rFonts w:hint="eastAsia" w:ascii="宋体" w:hAnsi="宋体" w:eastAsia="宋体" w:cs="宋体"/>
                <w:szCs w:val="22"/>
                <w:lang w:eastAsia="zh-CN"/>
                <w14:ligatures w14:val="none"/>
              </w:rPr>
              <w:t>证书</w:t>
            </w:r>
          </w:p>
        </w:tc>
        <w:tc>
          <w:tcPr>
            <w:tcW w:w="13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 w:val="22"/>
                <w:szCs w:val="22"/>
                <w:lang w:val="en-US" w:eastAsia="zh-CN"/>
              </w:rPr>
              <w:t>不</w:t>
            </w:r>
            <w:r>
              <w:rPr>
                <w:rFonts w:hint="eastAsia" w:ascii="宋体" w:hAnsi="宋体" w:eastAsia="宋体" w:cs="宋体"/>
                <w:szCs w:val="22"/>
                <w:lang w:val="en-US" w:eastAsia="zh-CN"/>
                <w14:ligatures w14:val="none"/>
              </w:rPr>
              <w:t>少于</w:t>
            </w:r>
            <w:r>
              <w:rPr>
                <w:rFonts w:hint="eastAsia" w:cs="宋体"/>
                <w:szCs w:val="22"/>
                <w:lang w:val="en-US" w:eastAsia="zh-CN"/>
                <w14:ligatures w14:val="none"/>
              </w:rPr>
              <w:t>3</w:t>
            </w:r>
            <w:r>
              <w:rPr>
                <w:rFonts w:hint="eastAsia" w:ascii="宋体" w:hAnsi="宋体" w:eastAsia="宋体" w:cs="宋体"/>
                <w:szCs w:val="22"/>
                <w:lang w:val="en-US" w:eastAsia="zh-CN"/>
                <w14:ligatures w14:val="none"/>
              </w:rPr>
              <w:t>人</w:t>
            </w:r>
            <w:r>
              <w:rPr>
                <w:rFonts w:hint="eastAsia" w:ascii="宋体" w:hAnsi="宋体" w:eastAsia="宋体" w:cs="宋体"/>
                <w:szCs w:val="22"/>
                <w14:ligatures w14:val="none"/>
              </w:rPr>
              <w:t>驻场</w:t>
            </w:r>
          </w:p>
        </w:tc>
      </w:tr>
    </w:tbl>
    <w:p>
      <w:pPr>
        <w:numPr>
          <w:ilvl w:val="0"/>
          <w:numId w:val="10"/>
        </w:numPr>
        <w:rPr>
          <w:rFonts w:hint="eastAsia"/>
        </w:rPr>
      </w:pPr>
      <w:r>
        <w:rPr>
          <w:rFonts w:hint="eastAsia"/>
        </w:rPr>
        <w:t>投标人应针对本项目提供不少于2人的质保期间支撑团队（运维人员2人），投标人的相关服务人员需具备相应的服务能力，需提供相关证明。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165"/>
        <w:gridCol w:w="1200"/>
        <w:gridCol w:w="2211"/>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角色</w:t>
            </w:r>
          </w:p>
        </w:tc>
        <w:tc>
          <w:tcPr>
            <w:tcW w:w="21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主要职责</w:t>
            </w:r>
          </w:p>
        </w:tc>
        <w:tc>
          <w:tcPr>
            <w:tcW w:w="12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人员数量</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人员要求</w:t>
            </w:r>
          </w:p>
        </w:tc>
        <w:tc>
          <w:tcPr>
            <w:tcW w:w="1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b/>
                <w:sz w:val="24"/>
                <w14:ligatures w14:val="none"/>
              </w:rPr>
            </w:pPr>
            <w:r>
              <w:rPr>
                <w:rFonts w:hint="eastAsia" w:ascii="宋体" w:hAnsi="宋体" w:eastAsia="宋体" w:cs="Times New Roman"/>
                <w:b/>
                <w:sz w:val="24"/>
                <w14:ligatures w14: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运维人员</w:t>
            </w:r>
          </w:p>
        </w:tc>
        <w:tc>
          <w:tcPr>
            <w:tcW w:w="2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负责项目具体运维</w:t>
            </w:r>
          </w:p>
        </w:tc>
        <w:tc>
          <w:tcPr>
            <w:tcW w:w="12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lang w:val="en-US" w:eastAsia="zh-CN"/>
                <w14:ligatures w14:val="none"/>
              </w:rPr>
              <w:t>2</w:t>
            </w:r>
            <w:r>
              <w:rPr>
                <w:rFonts w:hint="eastAsia" w:ascii="宋体" w:hAnsi="宋体" w:eastAsia="宋体" w:cs="Times New Roman"/>
                <w:sz w:val="24"/>
                <w14:ligatures w14:val="none"/>
              </w:rPr>
              <w:t>人</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Times New Roman"/>
                <w:sz w:val="24"/>
                <w:lang w:val="en-US" w:eastAsia="zh-CN"/>
                <w14:ligatures w14:val="none"/>
              </w:rPr>
            </w:pPr>
            <w:r>
              <w:rPr>
                <w:rFonts w:hint="eastAsia" w:cs="Times New Roman"/>
                <w:sz w:val="24"/>
                <w:lang w:val="en-US" w:eastAsia="zh-CN"/>
                <w14:ligatures w14:val="none"/>
              </w:rPr>
              <w:t>可与实施团队中研发实施人员为同一人</w:t>
            </w:r>
          </w:p>
        </w:tc>
        <w:tc>
          <w:tcPr>
            <w:tcW w:w="1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sz w:val="24"/>
                <w14:ligatures w14:val="none"/>
              </w:rPr>
            </w:pPr>
            <w:r>
              <w:rPr>
                <w:rFonts w:hint="eastAsia" w:ascii="宋体" w:hAnsi="宋体" w:eastAsia="宋体" w:cs="宋体"/>
                <w:szCs w:val="22"/>
                <w14:ligatures w14:val="none"/>
              </w:rPr>
              <w:t>驻场</w:t>
            </w:r>
          </w:p>
        </w:tc>
      </w:tr>
    </w:tbl>
    <w:p>
      <w:pPr>
        <w:pStyle w:val="4"/>
        <w:ind w:left="480"/>
        <w:rPr>
          <w:rFonts w:hint="eastAsia"/>
        </w:rPr>
      </w:pPr>
      <w:bookmarkStart w:id="40" w:name="_Toc63785511"/>
      <w:r>
        <w:rPr>
          <w:rFonts w:hint="eastAsia"/>
        </w:rPr>
        <w:t>等级保护要求</w:t>
      </w:r>
      <w:bookmarkEnd w:id="40"/>
    </w:p>
    <w:p>
      <w:pPr>
        <w:ind w:firstLine="420" w:firstLineChars="0"/>
        <w:rPr>
          <w:rFonts w:hint="eastAsia"/>
        </w:rPr>
      </w:pPr>
      <w:r>
        <w:rPr>
          <w:rFonts w:hint="eastAsia"/>
        </w:rPr>
        <w:t>本项目按照等保2.0第三级进行建设。</w:t>
      </w:r>
    </w:p>
    <w:p>
      <w:pPr>
        <w:pStyle w:val="4"/>
        <w:ind w:left="480"/>
        <w:rPr>
          <w:rFonts w:hint="eastAsia"/>
        </w:rPr>
      </w:pPr>
      <w:r>
        <w:rPr>
          <w:rFonts w:hint="eastAsia"/>
        </w:rPr>
        <w:t>商业密码应用需求</w:t>
      </w:r>
    </w:p>
    <w:p>
      <w:pPr>
        <w:pStyle w:val="2"/>
        <w:ind w:firstLine="480"/>
        <w:rPr>
          <w:rFonts w:hint="eastAsia"/>
          <w:bCs/>
        </w:rPr>
      </w:pPr>
      <w:r>
        <w:rPr>
          <w:rFonts w:hint="eastAsia"/>
          <w:bCs/>
        </w:rPr>
        <w:t>本项目依据GB/T39786-2021《信息安全技术信息系统密码应用基本要求》第三级指标要求进行建设，建设完成后需通过第三方密码应用测评，供应商需配合相关的测评工作，对测评中发现的安全问题进行整改，具备的密码应用功能应达到项目验收要求。</w:t>
      </w:r>
    </w:p>
    <w:p>
      <w:pPr>
        <w:pStyle w:val="4"/>
        <w:ind w:left="480"/>
        <w:rPr>
          <w:rFonts w:hint="eastAsia"/>
        </w:rPr>
      </w:pPr>
      <w:bookmarkStart w:id="41" w:name="_Toc63785512"/>
      <w:r>
        <w:rPr>
          <w:rFonts w:hint="eastAsia"/>
        </w:rPr>
        <w:t>技术文件要求</w:t>
      </w:r>
    </w:p>
    <w:bookmarkEnd w:id="41"/>
    <w:p>
      <w:pPr>
        <w:pStyle w:val="16"/>
        <w:ind w:firstLine="480"/>
        <w:rPr>
          <w:rFonts w:hint="eastAsia"/>
        </w:rPr>
      </w:pPr>
      <w:r>
        <w:rPr>
          <w:rFonts w:hint="eastAsia"/>
          <w:sz w:val="24"/>
          <w:szCs w:val="20"/>
        </w:rPr>
        <w:t>项目验收以用户书面确认的细化需求为依据，完成所有建设要求并通过一个月试运行，期间产生的所有问题都已解决且用户满意。须提交与本项目开发相关的所有文档，包括最终版本需求规格说明书、源代码、数据字典、概要设计文档、详细设计文档、数据库设计文档、安装部署文档、用户手册、维护手册、测试报告等。</w:t>
      </w:r>
    </w:p>
    <w:p>
      <w:pPr>
        <w:pStyle w:val="4"/>
        <w:ind w:left="480"/>
        <w:rPr>
          <w:rFonts w:hint="eastAsia"/>
        </w:rPr>
      </w:pPr>
      <w:r>
        <w:rPr>
          <w:rFonts w:hint="eastAsia"/>
        </w:rPr>
        <w:t>验收要求</w:t>
      </w:r>
    </w:p>
    <w:p>
      <w:pPr>
        <w:pStyle w:val="17"/>
        <w:numPr>
          <w:ilvl w:val="0"/>
          <w:numId w:val="9"/>
        </w:numPr>
        <w:ind w:left="0" w:firstLine="480"/>
        <w:rPr>
          <w:rFonts w:hint="eastAsia" w:eastAsia="宋体"/>
          <w:sz w:val="24"/>
          <w:szCs w:val="22"/>
        </w:rPr>
      </w:pPr>
      <w:r>
        <w:rPr>
          <w:rFonts w:hint="eastAsia" w:eastAsia="宋体"/>
          <w:sz w:val="24"/>
          <w:szCs w:val="22"/>
        </w:rPr>
        <w:t>完成应用系统开发部署；</w:t>
      </w:r>
    </w:p>
    <w:p>
      <w:pPr>
        <w:pStyle w:val="17"/>
        <w:numPr>
          <w:ilvl w:val="0"/>
          <w:numId w:val="9"/>
        </w:numPr>
        <w:ind w:left="0" w:firstLine="480"/>
        <w:rPr>
          <w:rFonts w:hint="eastAsia" w:eastAsia="宋体"/>
          <w:sz w:val="24"/>
          <w:szCs w:val="22"/>
        </w:rPr>
      </w:pPr>
      <w:r>
        <w:rPr>
          <w:rFonts w:hint="eastAsia" w:eastAsia="宋体"/>
          <w:sz w:val="24"/>
          <w:szCs w:val="22"/>
        </w:rPr>
        <w:t>试运行时出现的问题已解决；</w:t>
      </w:r>
    </w:p>
    <w:p>
      <w:pPr>
        <w:pStyle w:val="17"/>
        <w:numPr>
          <w:ilvl w:val="0"/>
          <w:numId w:val="9"/>
        </w:numPr>
        <w:ind w:left="0" w:firstLine="480"/>
        <w:rPr>
          <w:rFonts w:hint="eastAsia" w:eastAsia="宋体"/>
          <w:sz w:val="24"/>
          <w:szCs w:val="22"/>
        </w:rPr>
      </w:pPr>
      <w:r>
        <w:rPr>
          <w:rFonts w:hint="eastAsia" w:eastAsia="宋体"/>
          <w:sz w:val="24"/>
          <w:szCs w:val="22"/>
        </w:rPr>
        <w:t>通过第三方软件测试、安全测评、密码应用测评；</w:t>
      </w:r>
    </w:p>
    <w:p>
      <w:pPr>
        <w:pStyle w:val="17"/>
        <w:numPr>
          <w:ilvl w:val="0"/>
          <w:numId w:val="9"/>
        </w:numPr>
        <w:ind w:left="0" w:firstLine="480"/>
        <w:rPr>
          <w:rFonts w:hint="eastAsia" w:eastAsia="宋体"/>
          <w:sz w:val="24"/>
          <w:szCs w:val="22"/>
        </w:rPr>
      </w:pPr>
      <w:r>
        <w:rPr>
          <w:rFonts w:hint="eastAsia" w:eastAsia="宋体"/>
          <w:sz w:val="24"/>
          <w:szCs w:val="22"/>
        </w:rPr>
        <w:t>系统稳定运行后，由用户方组织项目验收；</w:t>
      </w:r>
    </w:p>
    <w:p>
      <w:pPr>
        <w:pStyle w:val="17"/>
        <w:numPr>
          <w:ilvl w:val="0"/>
          <w:numId w:val="9"/>
        </w:numPr>
        <w:ind w:left="0" w:firstLine="480"/>
        <w:rPr>
          <w:rFonts w:hint="eastAsia" w:eastAsia="宋体"/>
          <w:sz w:val="24"/>
          <w:szCs w:val="22"/>
        </w:rPr>
      </w:pPr>
      <w:r>
        <w:rPr>
          <w:rFonts w:hint="eastAsia" w:eastAsia="宋体"/>
          <w:sz w:val="24"/>
          <w:szCs w:val="22"/>
        </w:rPr>
        <w:t>供应商需提供详细的相关技术文档、使用说明书、维护手册等文档资料。</w:t>
      </w:r>
    </w:p>
    <w:p>
      <w:pPr>
        <w:pStyle w:val="4"/>
        <w:ind w:left="480"/>
        <w:rPr>
          <w:rFonts w:hint="eastAsia"/>
        </w:rPr>
      </w:pPr>
      <w:r>
        <w:rPr>
          <w:rFonts w:hint="eastAsia"/>
        </w:rPr>
        <w:t>其它要求</w:t>
      </w:r>
    </w:p>
    <w:p>
      <w:pPr>
        <w:pStyle w:val="17"/>
        <w:numPr>
          <w:ilvl w:val="0"/>
          <w:numId w:val="9"/>
        </w:numPr>
        <w:ind w:left="0" w:firstLine="480"/>
        <w:rPr>
          <w:rFonts w:hint="eastAsia" w:eastAsia="宋体"/>
          <w:sz w:val="24"/>
          <w:szCs w:val="22"/>
        </w:rPr>
      </w:pPr>
      <w:r>
        <w:rPr>
          <w:rFonts w:hint="eastAsia" w:eastAsia="宋体"/>
          <w:sz w:val="24"/>
          <w:szCs w:val="22"/>
        </w:rPr>
        <w:t>供应商需根据上海市人民检察院设计规划要求进行功能调整等工作。</w:t>
      </w:r>
    </w:p>
    <w:p>
      <w:pPr>
        <w:pStyle w:val="17"/>
        <w:numPr>
          <w:ilvl w:val="0"/>
          <w:numId w:val="9"/>
        </w:numPr>
        <w:ind w:left="0" w:firstLine="480"/>
        <w:rPr>
          <w:rFonts w:hint="eastAsia"/>
        </w:rPr>
      </w:pPr>
      <w:r>
        <w:rPr>
          <w:rFonts w:hint="eastAsia" w:eastAsia="宋体"/>
          <w:sz w:val="24"/>
          <w:szCs w:val="22"/>
        </w:rPr>
        <w:t>系统建设过程中需要配合监理方监督检查。</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F7835A1"/>
    <w:multiLevelType w:val="singleLevel"/>
    <w:tmpl w:val="DF7835A1"/>
    <w:lvl w:ilvl="0" w:tentative="0">
      <w:start w:val="1"/>
      <w:numFmt w:val="bullet"/>
      <w:lvlText w:val=""/>
      <w:lvlJc w:val="left"/>
      <w:pPr>
        <w:ind w:left="420" w:hanging="420"/>
      </w:pPr>
      <w:rPr>
        <w:rFonts w:hint="default" w:ascii="Wingdings" w:hAnsi="Wingdings"/>
      </w:rPr>
    </w:lvl>
  </w:abstractNum>
  <w:abstractNum w:abstractNumId="2">
    <w:nsid w:val="FC2F375C"/>
    <w:multiLevelType w:val="singleLevel"/>
    <w:tmpl w:val="FC2F375C"/>
    <w:lvl w:ilvl="0" w:tentative="0">
      <w:start w:val="1"/>
      <w:numFmt w:val="decimal"/>
      <w:suff w:val="nothing"/>
      <w:lvlText w:val="%1）"/>
      <w:lvlJc w:val="left"/>
    </w:lvl>
  </w:abstractNum>
  <w:abstractNum w:abstractNumId="3">
    <w:nsid w:val="FDEBD78F"/>
    <w:multiLevelType w:val="multilevel"/>
    <w:tmpl w:val="FDEBD78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FFFA96EA"/>
    <w:multiLevelType w:val="multilevel"/>
    <w:tmpl w:val="FFFA96EA"/>
    <w:lvl w:ilvl="0" w:tentative="0">
      <w:start w:val="1"/>
      <w:numFmt w:val="decimal"/>
      <w:lvlText w:val="%1)"/>
      <w:lvlJc w:val="left"/>
      <w:pPr>
        <w:ind w:left="920" w:hanging="440"/>
      </w:pPr>
      <w:rPr>
        <w:rFonts w:hint="default"/>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0E4A502D"/>
    <w:multiLevelType w:val="multilevel"/>
    <w:tmpl w:val="0E4A502D"/>
    <w:lvl w:ilvl="0" w:tentative="0">
      <w:start w:val="1"/>
      <w:numFmt w:val="bullet"/>
      <w:lvlText w:val=""/>
      <w:lvlJc w:val="left"/>
      <w:pPr>
        <w:ind w:left="482" w:hanging="440"/>
      </w:pPr>
      <w:rPr>
        <w:rFonts w:hint="default" w:ascii="Wingdings" w:hAnsi="Wingdings"/>
      </w:rPr>
    </w:lvl>
    <w:lvl w:ilvl="1" w:tentative="0">
      <w:start w:val="1"/>
      <w:numFmt w:val="bullet"/>
      <w:lvlText w:val=""/>
      <w:lvlJc w:val="left"/>
      <w:pPr>
        <w:ind w:left="922" w:hanging="440"/>
      </w:pPr>
      <w:rPr>
        <w:rFonts w:hint="default" w:ascii="Wingdings" w:hAnsi="Wingdings"/>
      </w:rPr>
    </w:lvl>
    <w:lvl w:ilvl="2" w:tentative="0">
      <w:start w:val="1"/>
      <w:numFmt w:val="bullet"/>
      <w:lvlText w:val=""/>
      <w:lvlJc w:val="left"/>
      <w:pPr>
        <w:ind w:left="1362" w:hanging="440"/>
      </w:pPr>
      <w:rPr>
        <w:rFonts w:hint="default" w:ascii="Wingdings" w:hAnsi="Wingdings"/>
      </w:rPr>
    </w:lvl>
    <w:lvl w:ilvl="3" w:tentative="0">
      <w:start w:val="1"/>
      <w:numFmt w:val="bullet"/>
      <w:lvlText w:val=""/>
      <w:lvlJc w:val="left"/>
      <w:pPr>
        <w:ind w:left="1802" w:hanging="440"/>
      </w:pPr>
      <w:rPr>
        <w:rFonts w:hint="default" w:ascii="Wingdings" w:hAnsi="Wingdings"/>
      </w:rPr>
    </w:lvl>
    <w:lvl w:ilvl="4" w:tentative="0">
      <w:start w:val="1"/>
      <w:numFmt w:val="bullet"/>
      <w:lvlText w:val=""/>
      <w:lvlJc w:val="left"/>
      <w:pPr>
        <w:ind w:left="2242" w:hanging="440"/>
      </w:pPr>
      <w:rPr>
        <w:rFonts w:hint="default" w:ascii="Wingdings" w:hAnsi="Wingdings"/>
      </w:rPr>
    </w:lvl>
    <w:lvl w:ilvl="5" w:tentative="0">
      <w:start w:val="1"/>
      <w:numFmt w:val="bullet"/>
      <w:lvlText w:val=""/>
      <w:lvlJc w:val="left"/>
      <w:pPr>
        <w:ind w:left="2682" w:hanging="440"/>
      </w:pPr>
      <w:rPr>
        <w:rFonts w:hint="default" w:ascii="Wingdings" w:hAnsi="Wingdings"/>
      </w:rPr>
    </w:lvl>
    <w:lvl w:ilvl="6" w:tentative="0">
      <w:start w:val="1"/>
      <w:numFmt w:val="bullet"/>
      <w:lvlText w:val=""/>
      <w:lvlJc w:val="left"/>
      <w:pPr>
        <w:ind w:left="3122" w:hanging="440"/>
      </w:pPr>
      <w:rPr>
        <w:rFonts w:hint="default" w:ascii="Wingdings" w:hAnsi="Wingdings"/>
      </w:rPr>
    </w:lvl>
    <w:lvl w:ilvl="7" w:tentative="0">
      <w:start w:val="1"/>
      <w:numFmt w:val="bullet"/>
      <w:lvlText w:val=""/>
      <w:lvlJc w:val="left"/>
      <w:pPr>
        <w:ind w:left="3562" w:hanging="440"/>
      </w:pPr>
      <w:rPr>
        <w:rFonts w:hint="default" w:ascii="Wingdings" w:hAnsi="Wingdings"/>
      </w:rPr>
    </w:lvl>
    <w:lvl w:ilvl="8" w:tentative="0">
      <w:start w:val="1"/>
      <w:numFmt w:val="bullet"/>
      <w:lvlText w:val=""/>
      <w:lvlJc w:val="left"/>
      <w:pPr>
        <w:ind w:left="4002" w:hanging="440"/>
      </w:pPr>
      <w:rPr>
        <w:rFonts w:hint="default" w:ascii="Wingdings" w:hAnsi="Wingdings"/>
      </w:rPr>
    </w:lvl>
  </w:abstractNum>
  <w:abstractNum w:abstractNumId="6">
    <w:nsid w:val="3596779C"/>
    <w:multiLevelType w:val="multilevel"/>
    <w:tmpl w:val="3596779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7">
    <w:nsid w:val="66EC3AB1"/>
    <w:multiLevelType w:val="multilevel"/>
    <w:tmpl w:val="66EC3AB1"/>
    <w:lvl w:ilvl="0" w:tentative="0">
      <w:start w:val="1"/>
      <w:numFmt w:val="decimal"/>
      <w:lvlText w:val="%1)"/>
      <w:lvlJc w:val="left"/>
      <w:pPr>
        <w:tabs>
          <w:tab w:val="left" w:pos="-420"/>
        </w:tabs>
        <w:ind w:left="502" w:hanging="440"/>
      </w:pPr>
      <w:rPr>
        <w:rFonts w:hint="eastAsia"/>
      </w:rPr>
    </w:lvl>
    <w:lvl w:ilvl="1" w:tentative="0">
      <w:start w:val="1"/>
      <w:numFmt w:val="lowerLetter"/>
      <w:lvlText w:val="%2)"/>
      <w:lvlJc w:val="left"/>
      <w:pPr>
        <w:tabs>
          <w:tab w:val="left" w:pos="-420"/>
        </w:tabs>
        <w:ind w:left="460" w:hanging="440"/>
      </w:pPr>
    </w:lvl>
    <w:lvl w:ilvl="2" w:tentative="0">
      <w:start w:val="1"/>
      <w:numFmt w:val="lowerRoman"/>
      <w:lvlText w:val="%3."/>
      <w:lvlJc w:val="right"/>
      <w:pPr>
        <w:tabs>
          <w:tab w:val="left" w:pos="-420"/>
        </w:tabs>
        <w:ind w:left="900" w:hanging="440"/>
      </w:pPr>
    </w:lvl>
    <w:lvl w:ilvl="3" w:tentative="0">
      <w:start w:val="1"/>
      <w:numFmt w:val="decimal"/>
      <w:lvlText w:val="%4."/>
      <w:lvlJc w:val="left"/>
      <w:pPr>
        <w:tabs>
          <w:tab w:val="left" w:pos="-420"/>
        </w:tabs>
        <w:ind w:left="1340" w:hanging="440"/>
      </w:pPr>
    </w:lvl>
    <w:lvl w:ilvl="4" w:tentative="0">
      <w:start w:val="1"/>
      <w:numFmt w:val="lowerLetter"/>
      <w:lvlText w:val="%5)"/>
      <w:lvlJc w:val="left"/>
      <w:pPr>
        <w:tabs>
          <w:tab w:val="left" w:pos="-420"/>
        </w:tabs>
        <w:ind w:left="1780" w:hanging="440"/>
      </w:pPr>
    </w:lvl>
    <w:lvl w:ilvl="5" w:tentative="0">
      <w:start w:val="1"/>
      <w:numFmt w:val="lowerRoman"/>
      <w:lvlText w:val="%6."/>
      <w:lvlJc w:val="right"/>
      <w:pPr>
        <w:tabs>
          <w:tab w:val="left" w:pos="-420"/>
        </w:tabs>
        <w:ind w:left="2220" w:hanging="440"/>
      </w:pPr>
    </w:lvl>
    <w:lvl w:ilvl="6" w:tentative="0">
      <w:start w:val="1"/>
      <w:numFmt w:val="decimal"/>
      <w:lvlText w:val="%7."/>
      <w:lvlJc w:val="left"/>
      <w:pPr>
        <w:tabs>
          <w:tab w:val="left" w:pos="-420"/>
        </w:tabs>
        <w:ind w:left="2660" w:hanging="440"/>
      </w:pPr>
    </w:lvl>
    <w:lvl w:ilvl="7" w:tentative="0">
      <w:start w:val="1"/>
      <w:numFmt w:val="lowerLetter"/>
      <w:lvlText w:val="%8)"/>
      <w:lvlJc w:val="left"/>
      <w:pPr>
        <w:tabs>
          <w:tab w:val="left" w:pos="-420"/>
        </w:tabs>
        <w:ind w:left="3100" w:hanging="440"/>
      </w:pPr>
    </w:lvl>
    <w:lvl w:ilvl="8" w:tentative="0">
      <w:start w:val="1"/>
      <w:numFmt w:val="lowerRoman"/>
      <w:lvlText w:val="%9."/>
      <w:lvlJc w:val="right"/>
      <w:pPr>
        <w:tabs>
          <w:tab w:val="left" w:pos="-420"/>
        </w:tabs>
        <w:ind w:left="3540" w:hanging="440"/>
      </w:pPr>
    </w:lvl>
  </w:abstractNum>
  <w:abstractNum w:abstractNumId="8">
    <w:nsid w:val="6A2F4AB3"/>
    <w:multiLevelType w:val="multilevel"/>
    <w:tmpl w:val="6A2F4AB3"/>
    <w:lvl w:ilvl="0" w:tentative="0">
      <w:start w:val="1"/>
      <w:numFmt w:val="chineseCountingThousand"/>
      <w:pStyle w:val="3"/>
      <w:suff w:val="nothing"/>
      <w:lvlText w:val="%1、"/>
      <w:lvlJc w:val="left"/>
      <w:pPr>
        <w:ind w:left="425" w:hanging="425"/>
      </w:pPr>
      <w:rPr>
        <w:rFonts w:hint="eastAsia"/>
        <w:sz w:val="32"/>
        <w:szCs w:val="32"/>
      </w:rPr>
    </w:lvl>
    <w:lvl w:ilvl="1" w:tentative="0">
      <w:start w:val="1"/>
      <w:numFmt w:val="decimal"/>
      <w:pStyle w:val="4"/>
      <w:isLgl/>
      <w:suff w:val="nothing"/>
      <w:lvlText w:val="%1.%2、"/>
      <w:lvlJc w:val="left"/>
      <w:pPr>
        <w:ind w:left="567"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9">
    <w:nsid w:val="7362488C"/>
    <w:multiLevelType w:val="multilevel"/>
    <w:tmpl w:val="7362488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8"/>
  </w:num>
  <w:num w:numId="2">
    <w:abstractNumId w:val="6"/>
  </w:num>
  <w:num w:numId="3">
    <w:abstractNumId w:val="3"/>
  </w:num>
  <w:num w:numId="4">
    <w:abstractNumId w:val="4"/>
  </w:num>
  <w:num w:numId="5">
    <w:abstractNumId w:val="9"/>
  </w:num>
  <w:num w:numId="6">
    <w:abstractNumId w:val="5"/>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6A3A50"/>
    <w:rsid w:val="000478D1"/>
    <w:rsid w:val="000A4980"/>
    <w:rsid w:val="000C58F0"/>
    <w:rsid w:val="0010359C"/>
    <w:rsid w:val="00105437"/>
    <w:rsid w:val="0012015F"/>
    <w:rsid w:val="001605F5"/>
    <w:rsid w:val="0016420E"/>
    <w:rsid w:val="00180ACC"/>
    <w:rsid w:val="001A514E"/>
    <w:rsid w:val="001A7F1E"/>
    <w:rsid w:val="001B4EB0"/>
    <w:rsid w:val="001D6287"/>
    <w:rsid w:val="001D69BB"/>
    <w:rsid w:val="00276806"/>
    <w:rsid w:val="00280328"/>
    <w:rsid w:val="002E4076"/>
    <w:rsid w:val="00303C22"/>
    <w:rsid w:val="00322B1A"/>
    <w:rsid w:val="003B26F1"/>
    <w:rsid w:val="00427C5C"/>
    <w:rsid w:val="00461B1A"/>
    <w:rsid w:val="00490C81"/>
    <w:rsid w:val="0049686B"/>
    <w:rsid w:val="004A2E32"/>
    <w:rsid w:val="0050059D"/>
    <w:rsid w:val="00503ABE"/>
    <w:rsid w:val="005458F0"/>
    <w:rsid w:val="00580A07"/>
    <w:rsid w:val="005C3FD3"/>
    <w:rsid w:val="00602CAE"/>
    <w:rsid w:val="00623B2E"/>
    <w:rsid w:val="00652575"/>
    <w:rsid w:val="006734FD"/>
    <w:rsid w:val="00682426"/>
    <w:rsid w:val="00690524"/>
    <w:rsid w:val="006A3A50"/>
    <w:rsid w:val="00720014"/>
    <w:rsid w:val="00726008"/>
    <w:rsid w:val="007421B3"/>
    <w:rsid w:val="007558D5"/>
    <w:rsid w:val="007841A8"/>
    <w:rsid w:val="0078527A"/>
    <w:rsid w:val="00797347"/>
    <w:rsid w:val="0082331E"/>
    <w:rsid w:val="0086708A"/>
    <w:rsid w:val="00873B72"/>
    <w:rsid w:val="008B4B17"/>
    <w:rsid w:val="008C3462"/>
    <w:rsid w:val="00902271"/>
    <w:rsid w:val="00933805"/>
    <w:rsid w:val="0097257D"/>
    <w:rsid w:val="00A137C2"/>
    <w:rsid w:val="00A47875"/>
    <w:rsid w:val="00A55BAD"/>
    <w:rsid w:val="00A82CA6"/>
    <w:rsid w:val="00B06508"/>
    <w:rsid w:val="00B4782E"/>
    <w:rsid w:val="00B92525"/>
    <w:rsid w:val="00BB3A24"/>
    <w:rsid w:val="00BD1D99"/>
    <w:rsid w:val="00BD3751"/>
    <w:rsid w:val="00BE1D7E"/>
    <w:rsid w:val="00C07087"/>
    <w:rsid w:val="00C1489E"/>
    <w:rsid w:val="00C27049"/>
    <w:rsid w:val="00C72E2D"/>
    <w:rsid w:val="00C82B2A"/>
    <w:rsid w:val="00CC0D14"/>
    <w:rsid w:val="00D44A1C"/>
    <w:rsid w:val="00D975DF"/>
    <w:rsid w:val="00DA708F"/>
    <w:rsid w:val="00DD1454"/>
    <w:rsid w:val="00DE3B50"/>
    <w:rsid w:val="00E6317D"/>
    <w:rsid w:val="00E64402"/>
    <w:rsid w:val="00F67A98"/>
    <w:rsid w:val="00FD4AC5"/>
    <w:rsid w:val="00FF734C"/>
    <w:rsid w:val="077C5CCD"/>
    <w:rsid w:val="0EE5B67A"/>
    <w:rsid w:val="12615C1C"/>
    <w:rsid w:val="182E448E"/>
    <w:rsid w:val="1A5168E3"/>
    <w:rsid w:val="1CF3274B"/>
    <w:rsid w:val="206E4BD9"/>
    <w:rsid w:val="210014BF"/>
    <w:rsid w:val="223E701A"/>
    <w:rsid w:val="253FD354"/>
    <w:rsid w:val="2FBE240B"/>
    <w:rsid w:val="3A9BBA55"/>
    <w:rsid w:val="3E774C0F"/>
    <w:rsid w:val="3E8F757A"/>
    <w:rsid w:val="3FC91B34"/>
    <w:rsid w:val="438C3071"/>
    <w:rsid w:val="44004A5D"/>
    <w:rsid w:val="492267EA"/>
    <w:rsid w:val="4AEF483C"/>
    <w:rsid w:val="531E7094"/>
    <w:rsid w:val="577EF9D5"/>
    <w:rsid w:val="579A19DD"/>
    <w:rsid w:val="5AC1FE5D"/>
    <w:rsid w:val="5F7FFC74"/>
    <w:rsid w:val="63037662"/>
    <w:rsid w:val="63754E3A"/>
    <w:rsid w:val="645D785C"/>
    <w:rsid w:val="64FC8089"/>
    <w:rsid w:val="67EB10FE"/>
    <w:rsid w:val="6EFFAB6B"/>
    <w:rsid w:val="6FBF76F2"/>
    <w:rsid w:val="6FFE9C8D"/>
    <w:rsid w:val="71C55E43"/>
    <w:rsid w:val="73825A34"/>
    <w:rsid w:val="73FF2685"/>
    <w:rsid w:val="753FB2EB"/>
    <w:rsid w:val="76FFF7FA"/>
    <w:rsid w:val="779C9624"/>
    <w:rsid w:val="77E771D0"/>
    <w:rsid w:val="797F9B33"/>
    <w:rsid w:val="7A9F1628"/>
    <w:rsid w:val="7AEFA239"/>
    <w:rsid w:val="7DBF54B0"/>
    <w:rsid w:val="7DBF8F19"/>
    <w:rsid w:val="7EDF1366"/>
    <w:rsid w:val="7F5BDA87"/>
    <w:rsid w:val="7F9BF504"/>
    <w:rsid w:val="7FB56C11"/>
    <w:rsid w:val="7FDF4D0B"/>
    <w:rsid w:val="7FFF035F"/>
    <w:rsid w:val="9F761DCF"/>
    <w:rsid w:val="9FFBF255"/>
    <w:rsid w:val="9FFF8C25"/>
    <w:rsid w:val="B3CFA376"/>
    <w:rsid w:val="BBFDC71C"/>
    <w:rsid w:val="BDFBC96B"/>
    <w:rsid w:val="BEFE4EB4"/>
    <w:rsid w:val="BFFE02A0"/>
    <w:rsid w:val="D6F745A0"/>
    <w:rsid w:val="DE6F0614"/>
    <w:rsid w:val="DF7D647F"/>
    <w:rsid w:val="DFB3B4FE"/>
    <w:rsid w:val="E7D76E0A"/>
    <w:rsid w:val="EDFE529F"/>
    <w:rsid w:val="EDFF8DC3"/>
    <w:rsid w:val="EFEB462B"/>
    <w:rsid w:val="F24EDC54"/>
    <w:rsid w:val="F38D91C0"/>
    <w:rsid w:val="F69BAF89"/>
    <w:rsid w:val="FE9BF089"/>
    <w:rsid w:val="FEF70E9E"/>
    <w:rsid w:val="FFAF46A5"/>
    <w:rsid w:val="FFDAEAB1"/>
    <w:rsid w:val="FFFB7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4">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5">
    <w:name w:val="heading 3"/>
    <w:basedOn w:val="1"/>
    <w:next w:val="1"/>
    <w:unhideWhenUsed/>
    <w:qFormat/>
    <w:uiPriority w:val="0"/>
    <w:pPr>
      <w:outlineLvl w:val="2"/>
    </w:pPr>
    <w:rPr>
      <w:rFonts w:ascii="Tahoma" w:hAnsi="Tahoma"/>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Document Map"/>
    <w:basedOn w:val="1"/>
    <w:link w:val="18"/>
    <w:qFormat/>
    <w:uiPriority w:val="0"/>
    <w:rPr>
      <w:rFonts w:ascii="微软雅黑" w:eastAsia="微软雅黑"/>
      <w:sz w:val="18"/>
      <w:szCs w:val="18"/>
    </w:rPr>
  </w:style>
  <w:style w:type="paragraph" w:styleId="7">
    <w:name w:val="Body Text"/>
    <w:basedOn w:val="1"/>
    <w:qFormat/>
    <w:uiPriority w:val="0"/>
  </w:style>
  <w:style w:type="paragraph" w:styleId="8">
    <w:name w:val="Body Text Indent"/>
    <w:basedOn w:val="1"/>
    <w:unhideWhenUsed/>
    <w:qFormat/>
    <w:uiPriority w:val="0"/>
    <w:pPr>
      <w:spacing w:after="120"/>
      <w:ind w:left="420" w:leftChars="200" w:firstLine="200"/>
    </w:pPr>
    <w:rPr>
      <w:szCs w:val="21"/>
    </w:rPr>
  </w:style>
  <w:style w:type="paragraph" w:styleId="9">
    <w:name w:val="footer"/>
    <w:basedOn w:val="1"/>
    <w:qFormat/>
    <w:uiPriority w:val="99"/>
    <w:pPr>
      <w:tabs>
        <w:tab w:val="center" w:pos="4320"/>
        <w:tab w:val="right" w:pos="8640"/>
      </w:tabs>
      <w:adjustRightInd w:val="0"/>
      <w:spacing w:line="240" w:lineRule="atLeast"/>
      <w:jc w:val="left"/>
    </w:pPr>
    <w:rPr>
      <w:kern w:val="0"/>
      <w:sz w:val="18"/>
      <w:szCs w:val="20"/>
    </w:rPr>
  </w:style>
  <w:style w:type="paragraph" w:styleId="10">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1">
    <w:name w:val="Body Text First Indent 2"/>
    <w:basedOn w:val="8"/>
    <w:next w:val="1"/>
    <w:unhideWhenUsed/>
    <w:qFormat/>
    <w:uiPriority w:val="0"/>
    <w:pPr>
      <w:ind w:firstLine="420"/>
    </w:pPr>
    <w:rPr>
      <w:rFonts w:ascii="Times New Roman" w:hAnsi="Times New Roman"/>
      <w:kern w:val="0"/>
      <w:szCs w:val="24"/>
      <w:lang w:val="en-GB" w:eastAsia="en-U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缩进1"/>
    <w:basedOn w:val="1"/>
    <w:qFormat/>
    <w:uiPriority w:val="0"/>
    <w:pPr>
      <w:spacing w:line="240" w:lineRule="auto"/>
      <w:ind w:firstLine="420"/>
    </w:pPr>
    <w:rPr>
      <w:rFonts w:ascii="Times New Roman" w:hAnsi="Times New Roman"/>
      <w:sz w:val="21"/>
      <w:szCs w:val="20"/>
    </w:rPr>
  </w:style>
  <w:style w:type="paragraph" w:customStyle="1" w:styleId="16">
    <w:name w:val="正文正文2"/>
    <w:basedOn w:val="1"/>
    <w:qFormat/>
    <w:uiPriority w:val="0"/>
    <w:pPr>
      <w:ind w:firstLine="460"/>
    </w:pPr>
    <w:rPr>
      <w:sz w:val="21"/>
      <w:szCs w:val="21"/>
    </w:rPr>
  </w:style>
  <w:style w:type="paragraph" w:styleId="17">
    <w:name w:val="List Paragraph"/>
    <w:basedOn w:val="1"/>
    <w:qFormat/>
    <w:uiPriority w:val="0"/>
    <w:pPr>
      <w:ind w:firstLine="420"/>
    </w:pPr>
    <w:rPr>
      <w:rFonts w:eastAsia="楷体_GB2312"/>
      <w:sz w:val="26"/>
      <w:szCs w:val="20"/>
    </w:rPr>
  </w:style>
  <w:style w:type="character" w:customStyle="1" w:styleId="18">
    <w:name w:val="文档结构图 字符"/>
    <w:basedOn w:val="14"/>
    <w:link w:val="6"/>
    <w:qFormat/>
    <w:uiPriority w:val="0"/>
    <w:rPr>
      <w:rFonts w:ascii="微软雅黑" w:hAnsi="宋体" w:eastAsia="微软雅黑"/>
      <w:kern w:val="2"/>
      <w:sz w:val="18"/>
      <w:szCs w:val="18"/>
    </w:rPr>
  </w:style>
  <w:style w:type="character" w:customStyle="1" w:styleId="19">
    <w:name w:val="font31"/>
    <w:basedOn w:val="14"/>
    <w:qFormat/>
    <w:uiPriority w:val="0"/>
    <w:rPr>
      <w:rFonts w:ascii="Arial" w:hAnsi="Arial" w:cs="Arial"/>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2"/>
      <w:szCs w:val="22"/>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rPr>
  </w:style>
  <w:style w:type="paragraph" w:customStyle="1" w:styleId="23">
    <w:name w:val="Revision"/>
    <w:hidden/>
    <w:unhideWhenUsed/>
    <w:qFormat/>
    <w:uiPriority w:val="99"/>
    <w:rPr>
      <w:rFonts w:ascii="宋体" w:hAnsi="宋体" w:eastAsia="宋体" w:cs="Times New Roman"/>
      <w:kern w:val="2"/>
      <w:sz w:val="24"/>
      <w:szCs w:val="24"/>
      <w:lang w:val="en-US" w:eastAsia="zh-CN" w:bidi="ar-SA"/>
    </w:rPr>
  </w:style>
  <w:style w:type="paragraph" w:customStyle="1" w:styleId="24">
    <w:name w:val="可研正文"/>
    <w:basedOn w:val="1"/>
    <w:link w:val="25"/>
    <w:qFormat/>
    <w:uiPriority w:val="0"/>
    <w:pPr>
      <w:ind w:firstLine="200"/>
    </w:pPr>
    <w:rPr>
      <w:rFonts w:ascii="仿宋" w:hAnsi="仿宋" w:eastAsia="仿宋" w:cstheme="minorBidi"/>
      <w:sz w:val="28"/>
      <w:szCs w:val="28"/>
    </w:rPr>
  </w:style>
  <w:style w:type="character" w:customStyle="1" w:styleId="25">
    <w:name w:val="可研正文 Char"/>
    <w:link w:val="24"/>
    <w:qFormat/>
    <w:uiPriority w:val="0"/>
    <w:rPr>
      <w:rFonts w:ascii="仿宋" w:hAnsi="仿宋" w:eastAsia="仿宋" w:cstheme="minorBidi"/>
      <w:kern w:val="2"/>
      <w:sz w:val="28"/>
      <w:szCs w:val="28"/>
    </w:rPr>
  </w:style>
  <w:style w:type="paragraph" w:customStyle="1" w:styleId="26">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42</Pages>
  <Words>4251</Words>
  <Characters>4321</Characters>
  <Lines>3836</Lines>
  <Paragraphs>4071</Paragraphs>
  <TotalTime>66</TotalTime>
  <ScaleCrop>false</ScaleCrop>
  <LinksUpToDate>false</LinksUpToDate>
  <CharactersWithSpaces>4329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2026-01-25T10:51:00Z</dcterms:created>
  <dc:creator>user</dc:creator>
  <cp:lastModifiedBy>朱  晨</cp:lastModifiedBy>
  <dcterms:modified xsi:type="dcterms:W3CDTF">2026-04-15T13:28:16Z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66F9945A56944BBC8FBD13AF5DBB8007_13</vt:lpwstr>
  </property>
  <property fmtid="{D5CDD505-2E9C-101B-9397-08002B2CF9AE}" pid="4" name="KSOTemplateDocerSaveRecord">
    <vt:lpwstr>eyJoZGlkIjoiOWYzNWUyYmJiMGNiNGIzNDJlNzAzOTBkMWE5NDhmMTYiLCJ1c2VySWQiOiIzMzE1MjkzOTcifQ==</vt:lpwstr>
  </property>
</Properties>
</file>