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黑体" w:hAnsi="黑体" w:eastAsia="黑体"/>
          <w:sz w:val="48"/>
          <w:szCs w:val="48"/>
          <w:highlight w:val="none"/>
        </w:rPr>
      </w:pPr>
    </w:p>
    <w:p>
      <w:pPr>
        <w:ind w:firstLine="0" w:firstLineChars="0"/>
        <w:jc w:val="center"/>
        <w:rPr>
          <w:rFonts w:hint="eastAsia" w:ascii="黑体" w:hAnsi="黑体" w:eastAsia="黑体"/>
          <w:sz w:val="48"/>
          <w:szCs w:val="48"/>
          <w:highlight w:val="none"/>
        </w:rPr>
      </w:pPr>
    </w:p>
    <w:p>
      <w:pPr>
        <w:ind w:firstLine="0" w:firstLineChars="0"/>
        <w:jc w:val="center"/>
        <w:rPr>
          <w:rFonts w:hint="eastAsia" w:ascii="黑体" w:hAnsi="黑体" w:eastAsia="黑体"/>
          <w:sz w:val="52"/>
          <w:szCs w:val="52"/>
          <w:highlight w:val="none"/>
        </w:rPr>
      </w:pPr>
      <w:r>
        <w:rPr>
          <w:rFonts w:hint="eastAsia" w:ascii="黑体" w:hAnsi="黑体" w:eastAsia="黑体"/>
          <w:sz w:val="52"/>
          <w:szCs w:val="52"/>
          <w:highlight w:val="none"/>
        </w:rPr>
        <w:t>上海市房屋管理局住房保障管理平台建设项目（2026年升级改造）</w:t>
      </w:r>
    </w:p>
    <w:p>
      <w:pPr>
        <w:ind w:firstLine="0" w:firstLineChars="0"/>
        <w:jc w:val="center"/>
        <w:rPr>
          <w:rFonts w:hint="eastAsia" w:ascii="黑体" w:hAnsi="黑体" w:eastAsia="黑体"/>
          <w:sz w:val="52"/>
          <w:szCs w:val="52"/>
          <w:highlight w:val="none"/>
        </w:rPr>
      </w:pPr>
      <w:r>
        <w:rPr>
          <w:rFonts w:hint="eastAsia" w:ascii="黑体" w:hAnsi="黑体" w:eastAsia="黑体"/>
          <w:sz w:val="52"/>
          <w:szCs w:val="52"/>
          <w:highlight w:val="none"/>
        </w:rPr>
        <w:t>采购需求</w:t>
      </w:r>
    </w:p>
    <w:p>
      <w:pPr>
        <w:ind w:firstLine="0" w:firstLineChars="0"/>
        <w:jc w:val="center"/>
        <w:rPr>
          <w:rFonts w:hint="eastAsia" w:ascii="黑体" w:hAnsi="黑体" w:eastAsia="黑体"/>
          <w:sz w:val="72"/>
          <w:szCs w:val="72"/>
          <w:highlight w:val="none"/>
        </w:rPr>
      </w:pPr>
    </w:p>
    <w:p>
      <w:pPr>
        <w:ind w:firstLine="0" w:firstLineChars="0"/>
        <w:jc w:val="center"/>
        <w:rPr>
          <w:rFonts w:hint="eastAsia" w:ascii="黑体" w:hAnsi="黑体" w:eastAsia="黑体"/>
          <w:sz w:val="48"/>
          <w:szCs w:val="48"/>
          <w:highlight w:val="none"/>
        </w:rPr>
      </w:pPr>
    </w:p>
    <w:p>
      <w:pPr>
        <w:ind w:firstLine="0" w:firstLineChars="0"/>
        <w:jc w:val="center"/>
        <w:rPr>
          <w:rFonts w:hint="eastAsia" w:ascii="黑体" w:hAnsi="黑体" w:eastAsia="黑体"/>
          <w:sz w:val="52"/>
          <w:szCs w:val="52"/>
          <w:highlight w:val="none"/>
        </w:rPr>
      </w:pPr>
    </w:p>
    <w:p>
      <w:pPr>
        <w:ind w:firstLine="0" w:firstLineChars="0"/>
        <w:jc w:val="center"/>
        <w:rPr>
          <w:rFonts w:hint="eastAsia" w:ascii="黑体" w:hAnsi="黑体" w:eastAsia="黑体"/>
          <w:sz w:val="52"/>
          <w:szCs w:val="52"/>
          <w:highlight w:val="none"/>
        </w:rPr>
      </w:pPr>
    </w:p>
    <w:p>
      <w:pPr>
        <w:ind w:firstLine="0" w:firstLineChars="0"/>
        <w:jc w:val="center"/>
        <w:rPr>
          <w:rFonts w:hint="eastAsia"/>
          <w:highlight w:val="none"/>
        </w:rPr>
      </w:pPr>
    </w:p>
    <w:p>
      <w:pPr>
        <w:ind w:firstLine="0" w:firstLineChars="0"/>
        <w:jc w:val="center"/>
        <w:rPr>
          <w:rFonts w:hint="eastAsia"/>
          <w:highlight w:val="none"/>
        </w:rPr>
      </w:pPr>
    </w:p>
    <w:p>
      <w:pPr>
        <w:ind w:firstLine="0" w:firstLineChars="0"/>
        <w:jc w:val="center"/>
        <w:rPr>
          <w:rFonts w:hint="eastAsia"/>
          <w:highlight w:val="none"/>
        </w:rPr>
      </w:pPr>
    </w:p>
    <w:p>
      <w:pPr>
        <w:ind w:firstLine="0" w:firstLineChars="0"/>
        <w:jc w:val="center"/>
        <w:rPr>
          <w:rFonts w:hint="eastAsia"/>
          <w:highlight w:val="none"/>
        </w:rPr>
      </w:pPr>
    </w:p>
    <w:p>
      <w:pPr>
        <w:ind w:firstLine="0" w:firstLineChars="0"/>
        <w:jc w:val="center"/>
        <w:rPr>
          <w:rFonts w:hint="eastAsia"/>
          <w:highlight w:val="none"/>
        </w:rPr>
      </w:pPr>
    </w:p>
    <w:p>
      <w:pPr>
        <w:ind w:firstLine="0" w:firstLineChars="0"/>
        <w:jc w:val="left"/>
        <w:rPr>
          <w:rFonts w:hint="eastAsia" w:ascii="黑体" w:hAnsi="黑体" w:eastAsia="黑体"/>
          <w:sz w:val="52"/>
          <w:szCs w:val="52"/>
          <w:highlight w:val="none"/>
        </w:rPr>
      </w:pPr>
    </w:p>
    <w:p>
      <w:pPr>
        <w:ind w:firstLine="0" w:firstLineChars="0"/>
        <w:jc w:val="left"/>
        <w:rPr>
          <w:rFonts w:hint="eastAsia"/>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pPr>
        <w:pStyle w:val="2"/>
        <w:rPr>
          <w:rFonts w:hint="eastAsia"/>
          <w:highlight w:val="none"/>
        </w:rPr>
      </w:pPr>
      <w:bookmarkStart w:id="0" w:name="_Toc63785461"/>
      <w:r>
        <w:rPr>
          <w:rFonts w:hint="eastAsia"/>
          <w:highlight w:val="none"/>
        </w:rPr>
        <w:t>项目概况</w:t>
      </w:r>
      <w:bookmarkEnd w:id="0"/>
    </w:p>
    <w:p>
      <w:pPr>
        <w:pStyle w:val="3"/>
        <w:ind w:left="960" w:leftChars="0" w:firstLineChars="0"/>
        <w:rPr>
          <w:rFonts w:hint="eastAsia"/>
          <w:highlight w:val="none"/>
        </w:rPr>
      </w:pPr>
      <w:bookmarkStart w:id="1" w:name="_Toc47532891"/>
      <w:bookmarkEnd w:id="1"/>
      <w:bookmarkStart w:id="2" w:name="_Toc47531634"/>
      <w:bookmarkEnd w:id="2"/>
      <w:bookmarkStart w:id="3" w:name="_Toc47536644"/>
      <w:bookmarkEnd w:id="3"/>
      <w:bookmarkStart w:id="4" w:name="_Toc47539070"/>
      <w:bookmarkEnd w:id="4"/>
      <w:bookmarkStart w:id="5" w:name="_Toc47532255"/>
      <w:bookmarkEnd w:id="5"/>
      <w:bookmarkStart w:id="6" w:name="_Toc47533256"/>
      <w:bookmarkEnd w:id="6"/>
      <w:bookmarkStart w:id="7" w:name="_Toc47536272"/>
      <w:bookmarkEnd w:id="7"/>
      <w:bookmarkStart w:id="8" w:name="_Toc47537134"/>
      <w:bookmarkEnd w:id="8"/>
      <w:bookmarkStart w:id="9" w:name="_Toc48223882"/>
      <w:bookmarkStart w:id="10" w:name="_Toc63785463"/>
      <w:r>
        <w:rPr>
          <w:rFonts w:hint="eastAsia"/>
          <w:highlight w:val="none"/>
        </w:rPr>
        <w:t>项目建设背景</w:t>
      </w:r>
    </w:p>
    <w:p>
      <w:pPr>
        <w:rPr>
          <w:rFonts w:hint="eastAsia"/>
          <w:highlight w:val="none"/>
        </w:rPr>
      </w:pPr>
      <w:r>
        <w:rPr>
          <w:rFonts w:hint="eastAsia"/>
          <w:highlight w:val="none"/>
        </w:rPr>
        <w:t>党的二十大报告指出，要加快建立多主体供给、多渠道保障、租购并举的住房制度，让全体人民住有所居。2023年9月1日，《国务院关于规划建设保障性住房的指导意见》（国发〔2023〕14号）印发实施，规划建设保障性住房是</w:t>
      </w:r>
      <w:bookmarkStart w:id="28" w:name="_GoBack"/>
      <w:bookmarkEnd w:id="28"/>
      <w:r>
        <w:rPr>
          <w:rFonts w:hint="eastAsia"/>
          <w:highlight w:val="none"/>
        </w:rPr>
        <w:t>在促进实现共同富裕和中国式现代化战略全局高度作出的重大工作部署，是在房地产供求关系发生重大变化的新形势下，完善住房制度和供应体系，重构住房保障和住房市场体系的一项重大改革。</w:t>
      </w:r>
    </w:p>
    <w:p>
      <w:pPr>
        <w:rPr>
          <w:rFonts w:hint="eastAsia"/>
          <w:highlight w:val="none"/>
        </w:rPr>
      </w:pPr>
      <w:r>
        <w:rPr>
          <w:rFonts w:hint="eastAsia"/>
          <w:highlight w:val="none"/>
        </w:rPr>
        <w:t>2024年12月31日《住房和城乡建设部关于加快建立住房轮候保障库的通知》（建保〔2024〕89号）要求加快建设保障性住房轮候库管理系统，收集城市工薪收入住房困难家庭真实居住需求，建立潜在的保障对象轮候库，为保障性住房的建设规划做好数据支撑。</w:t>
      </w:r>
    </w:p>
    <w:p>
      <w:pPr>
        <w:rPr>
          <w:rFonts w:hint="eastAsia"/>
          <w:highlight w:val="none"/>
        </w:rPr>
      </w:pPr>
      <w:r>
        <w:rPr>
          <w:rFonts w:hint="eastAsia"/>
          <w:highlight w:val="none"/>
        </w:rPr>
        <w:t>《关于进一步规范房屋征收事务所及其工作人员房屋征收补偿行为的通知》（上海市房屋管理局2024年11月8日）指出加强国有土地上房屋征收和补偿的廉政风险防控，落实廉政防控各项制度，完善房屋征收信用管理和规范征收事务所跨区承接业务及人员调动。规范征收基地签约启动流程化、清地交付的建档立案，实现市区两级征收管理系统的廉政相关数据信息衔接。</w:t>
      </w:r>
    </w:p>
    <w:p>
      <w:pPr>
        <w:rPr>
          <w:rFonts w:hint="eastAsia"/>
          <w:highlight w:val="none"/>
        </w:rPr>
      </w:pPr>
      <w:r>
        <w:rPr>
          <w:rFonts w:hint="eastAsia"/>
          <w:highlight w:val="none"/>
        </w:rPr>
        <w:t>上海市的人才战略不仅要站在国家战略的高度，而且要面向全球，要建成具有全球影响力的人才高地，建立积极灵活的创新人才发展制度，打造具有国际竞争力的人才引进制度，要建立更加便捷、更有针对性、更具吸引力的人才引进制度。目前上海市已经构建了“海聚英才”人才计划体系，推进高峰人才引领等工程，努力达到吸引人才、留住人才、成就人才的目标。</w:t>
      </w:r>
    </w:p>
    <w:p>
      <w:pPr>
        <w:pStyle w:val="3"/>
        <w:ind w:left="960" w:leftChars="0" w:firstLineChars="0"/>
        <w:rPr>
          <w:rFonts w:hint="eastAsia"/>
          <w:highlight w:val="none"/>
        </w:rPr>
      </w:pPr>
      <w:r>
        <w:rPr>
          <w:rFonts w:hint="eastAsia"/>
          <w:highlight w:val="none"/>
        </w:rPr>
        <w:t>项目基本信息</w:t>
      </w:r>
    </w:p>
    <w:p>
      <w:pPr>
        <w:rPr>
          <w:rFonts w:hint="eastAsia"/>
          <w:highlight w:val="none"/>
        </w:rPr>
      </w:pPr>
      <w:r>
        <w:rPr>
          <w:rFonts w:hint="eastAsia"/>
          <w:highlight w:val="none"/>
        </w:rPr>
        <w:t>项目名称：上海市房屋管理局住房保障管理平台建设项目</w:t>
      </w:r>
      <w:r>
        <w:rPr>
          <w:rFonts w:hint="eastAsia"/>
          <w:highlight w:val="none"/>
          <w:lang w:eastAsia="zh-CN"/>
        </w:rPr>
        <w:t>（</w:t>
      </w:r>
      <w:r>
        <w:rPr>
          <w:rFonts w:hint="eastAsia"/>
          <w:highlight w:val="none"/>
        </w:rPr>
        <w:t>2026年升级改造</w:t>
      </w:r>
      <w:r>
        <w:rPr>
          <w:rFonts w:hint="eastAsia"/>
          <w:highlight w:val="none"/>
          <w:lang w:eastAsia="zh-CN"/>
        </w:rPr>
        <w:t>）</w:t>
      </w:r>
    </w:p>
    <w:p>
      <w:pPr>
        <w:rPr>
          <w:rFonts w:hint="eastAsia"/>
          <w:highlight w:val="none"/>
        </w:rPr>
      </w:pPr>
      <w:r>
        <w:rPr>
          <w:rFonts w:hint="eastAsia"/>
          <w:highlight w:val="none"/>
        </w:rPr>
        <w:t>建设期限：合同签订之日起至2027年6月30日</w:t>
      </w:r>
    </w:p>
    <w:p>
      <w:pPr>
        <w:pStyle w:val="26"/>
        <w:rPr>
          <w:rFonts w:hint="eastAsia"/>
          <w:highlight w:val="none"/>
        </w:rPr>
      </w:pPr>
      <w:r>
        <w:rPr>
          <w:rFonts w:hint="eastAsia"/>
          <w:highlight w:val="none"/>
        </w:rPr>
        <w:t>建设地址：上海市浦东新区世博村路</w:t>
      </w:r>
      <w:r>
        <w:rPr>
          <w:rFonts w:hint="eastAsia" w:ascii="Times New Roman" w:hAnsi="Times New Roman"/>
          <w:highlight w:val="none"/>
        </w:rPr>
        <w:t>300</w:t>
      </w:r>
      <w:r>
        <w:rPr>
          <w:rFonts w:hint="eastAsia"/>
          <w:highlight w:val="none"/>
        </w:rPr>
        <w:t>号</w:t>
      </w:r>
    </w:p>
    <w:p>
      <w:pPr>
        <w:rPr>
          <w:rFonts w:hint="eastAsia"/>
          <w:highlight w:val="none"/>
        </w:rPr>
      </w:pPr>
      <w:r>
        <w:rPr>
          <w:rFonts w:hint="eastAsia"/>
          <w:highlight w:val="none"/>
        </w:rPr>
        <w:t>预算金额：6515000</w:t>
      </w:r>
      <w:r>
        <w:rPr>
          <w:highlight w:val="none"/>
        </w:rPr>
        <w:t>.00</w:t>
      </w:r>
      <w:r>
        <w:rPr>
          <w:rFonts w:hint="eastAsia"/>
          <w:highlight w:val="none"/>
        </w:rPr>
        <w:t>元</w:t>
      </w:r>
    </w:p>
    <w:p>
      <w:pPr>
        <w:rPr>
          <w:rFonts w:hint="eastAsia"/>
          <w:highlight w:val="none"/>
        </w:rPr>
      </w:pPr>
      <w:r>
        <w:rPr>
          <w:rFonts w:hint="eastAsia"/>
          <w:highlight w:val="none"/>
        </w:rPr>
        <w:t>采购金额（最高限价）：6515000</w:t>
      </w:r>
      <w:r>
        <w:rPr>
          <w:highlight w:val="none"/>
        </w:rPr>
        <w:t>.00</w:t>
      </w:r>
      <w:r>
        <w:rPr>
          <w:rFonts w:hint="eastAsia"/>
          <w:highlight w:val="none"/>
        </w:rPr>
        <w:t>元</w:t>
      </w:r>
    </w:p>
    <w:p>
      <w:pPr>
        <w:rPr>
          <w:rFonts w:hint="eastAsia"/>
          <w:highlight w:val="none"/>
        </w:rPr>
      </w:pPr>
      <w:r>
        <w:rPr>
          <w:rFonts w:hint="eastAsia"/>
          <w:highlight w:val="none"/>
        </w:rPr>
        <w:t>组织形式：集中采购</w:t>
      </w:r>
    </w:p>
    <w:p>
      <w:pPr>
        <w:rPr>
          <w:rFonts w:hint="eastAsia"/>
          <w:highlight w:val="none"/>
        </w:rPr>
      </w:pPr>
      <w:r>
        <w:rPr>
          <w:rFonts w:hint="eastAsia"/>
          <w:highlight w:val="none"/>
        </w:rPr>
        <w:t>采购方式：公开招标</w:t>
      </w:r>
    </w:p>
    <w:p>
      <w:pPr>
        <w:rPr>
          <w:rFonts w:hint="eastAsia"/>
          <w:highlight w:val="none"/>
        </w:rPr>
      </w:pPr>
      <w:r>
        <w:rPr>
          <w:rFonts w:hint="eastAsia"/>
          <w:highlight w:val="none"/>
        </w:rPr>
        <w:t>是否接受联合体投标：否</w:t>
      </w:r>
    </w:p>
    <w:p>
      <w:pPr>
        <w:rPr>
          <w:rFonts w:hint="eastAsia"/>
          <w:highlight w:val="none"/>
        </w:rPr>
      </w:pPr>
      <w:r>
        <w:rPr>
          <w:rFonts w:hint="eastAsia"/>
          <w:highlight w:val="none"/>
        </w:rPr>
        <w:t>是否按XC要求建设：是</w:t>
      </w:r>
    </w:p>
    <w:p>
      <w:pPr>
        <w:tabs>
          <w:tab w:val="left" w:pos="3120"/>
        </w:tabs>
        <w:rPr>
          <w:rFonts w:hint="default"/>
          <w:highlight w:val="none"/>
        </w:rPr>
      </w:pPr>
      <w:r>
        <w:rPr>
          <w:rFonts w:hint="eastAsia"/>
          <w:highlight w:val="none"/>
          <w:lang w:eastAsia="zh-CN"/>
        </w:rPr>
        <w:t>是否采用低代码建设：</w:t>
      </w:r>
      <w:r>
        <w:rPr>
          <w:rFonts w:hint="eastAsia"/>
          <w:highlight w:val="none"/>
          <w:lang w:val="en-US" w:eastAsia="zh-CN"/>
        </w:rPr>
        <w:t>是</w:t>
      </w:r>
    </w:p>
    <w:p>
      <w:pPr>
        <w:rPr>
          <w:rFonts w:hint="eastAsia"/>
          <w:highlight w:val="none"/>
        </w:rPr>
      </w:pPr>
      <w:r>
        <w:rPr>
          <w:rFonts w:hint="eastAsia"/>
          <w:highlight w:val="none"/>
        </w:rPr>
        <w:t>运维后所属大系统：上海市房屋管理局住房保障管理平台</w:t>
      </w:r>
    </w:p>
    <w:p>
      <w:pPr>
        <w:pStyle w:val="2"/>
        <w:rPr>
          <w:rFonts w:hint="eastAsia"/>
          <w:highlight w:val="none"/>
        </w:rPr>
      </w:pPr>
      <w:r>
        <w:rPr>
          <w:rFonts w:hint="eastAsia"/>
          <w:highlight w:val="none"/>
        </w:rPr>
        <w:t>建设目标</w:t>
      </w:r>
      <w:bookmarkEnd w:id="9"/>
      <w:bookmarkEnd w:id="10"/>
    </w:p>
    <w:p>
      <w:pPr>
        <w:pStyle w:val="3"/>
        <w:ind w:left="960" w:leftChars="0" w:firstLineChars="0"/>
        <w:rPr>
          <w:rFonts w:hint="eastAsia"/>
          <w:highlight w:val="none"/>
        </w:rPr>
      </w:pPr>
      <w:bookmarkStart w:id="11" w:name="_Toc47536304"/>
      <w:bookmarkEnd w:id="11"/>
      <w:bookmarkStart w:id="12" w:name="_Toc47536676"/>
      <w:bookmarkEnd w:id="12"/>
      <w:bookmarkStart w:id="13" w:name="_Toc47532923"/>
      <w:bookmarkEnd w:id="13"/>
      <w:bookmarkStart w:id="14" w:name="_Toc47537166"/>
      <w:bookmarkEnd w:id="14"/>
      <w:bookmarkStart w:id="15" w:name="_Toc47533288"/>
      <w:bookmarkEnd w:id="15"/>
      <w:bookmarkStart w:id="16" w:name="_Toc47539102"/>
      <w:bookmarkEnd w:id="16"/>
      <w:r>
        <w:rPr>
          <w:rFonts w:hint="eastAsia"/>
          <w:highlight w:val="none"/>
        </w:rPr>
        <w:t>总体目标</w:t>
      </w:r>
    </w:p>
    <w:p>
      <w:pPr>
        <w:rPr>
          <w:rFonts w:hint="eastAsia" w:asciiTheme="minorEastAsia" w:hAnsiTheme="minorEastAsia" w:eastAsiaTheme="minorEastAsia" w:cstheme="minorEastAsia"/>
          <w:szCs w:val="28"/>
          <w:highlight w:val="none"/>
        </w:rPr>
      </w:pPr>
      <w:r>
        <w:rPr>
          <w:rFonts w:hint="eastAsia" w:asciiTheme="minorEastAsia" w:hAnsiTheme="minorEastAsia" w:eastAsiaTheme="minorEastAsia" w:cstheme="minorEastAsia"/>
          <w:szCs w:val="28"/>
          <w:highlight w:val="none"/>
        </w:rPr>
        <w:t>整合重构市房管局现有各种类保障房系统，打通市、区和运营机构之间的相关业务流程和数据。通过数据赋能，提升供后监测、轮候推演智能化水平，提高住房保障的供后管理水平。新建住房保障轮候库、征收安置廉政风险防控、保租房项目城市基础设施配套费免缴、重点人才分级保障服务等应用，符合国家住建部相关政策要求，满足市房管局业务需求。</w:t>
      </w:r>
    </w:p>
    <w:p>
      <w:pPr>
        <w:pStyle w:val="3"/>
        <w:ind w:left="960" w:leftChars="0" w:firstLineChars="0"/>
        <w:rPr>
          <w:rFonts w:hint="eastAsia"/>
          <w:highlight w:val="none"/>
        </w:rPr>
      </w:pPr>
      <w:r>
        <w:rPr>
          <w:rFonts w:hint="eastAsia"/>
          <w:highlight w:val="none"/>
        </w:rPr>
        <w:t>技术目标</w:t>
      </w:r>
    </w:p>
    <w:p>
      <w:pPr>
        <w:rPr>
          <w:rFonts w:hint="eastAsia"/>
          <w:highlight w:val="none"/>
        </w:rPr>
      </w:pPr>
      <w:r>
        <w:rPr>
          <w:rFonts w:hint="eastAsia"/>
          <w:highlight w:val="none"/>
        </w:rPr>
        <w:t>（1）系统支持每日访问量不少于1000次；</w:t>
      </w:r>
    </w:p>
    <w:p>
      <w:pPr>
        <w:rPr>
          <w:rFonts w:hint="eastAsia"/>
          <w:highlight w:val="none"/>
        </w:rPr>
      </w:pPr>
      <w:r>
        <w:rPr>
          <w:rFonts w:hint="eastAsia"/>
          <w:highlight w:val="none"/>
        </w:rPr>
        <w:t>（2）并发用户数≥50；</w:t>
      </w:r>
    </w:p>
    <w:p>
      <w:pPr>
        <w:rPr>
          <w:rFonts w:hint="eastAsia"/>
          <w:highlight w:val="none"/>
        </w:rPr>
      </w:pPr>
      <w:r>
        <w:rPr>
          <w:rFonts w:hint="eastAsia"/>
          <w:highlight w:val="none"/>
        </w:rPr>
        <w:t>（3）一般查询操作响应时间≤</w:t>
      </w:r>
      <w:r>
        <w:rPr>
          <w:rFonts w:hint="eastAsia"/>
          <w:highlight w:val="none"/>
          <w:lang w:val="en-US" w:eastAsia="zh-CN"/>
        </w:rPr>
        <w:t>5</w:t>
      </w:r>
      <w:r>
        <w:rPr>
          <w:rFonts w:hint="eastAsia"/>
          <w:highlight w:val="none"/>
        </w:rPr>
        <w:t>秒；</w:t>
      </w:r>
    </w:p>
    <w:p>
      <w:pPr>
        <w:rPr>
          <w:rFonts w:hint="eastAsia"/>
          <w:highlight w:val="none"/>
        </w:rPr>
      </w:pPr>
      <w:r>
        <w:rPr>
          <w:rFonts w:hint="eastAsia"/>
          <w:highlight w:val="none"/>
        </w:rPr>
        <w:t>（4）一般写入操作响应时间≤5秒。</w:t>
      </w:r>
    </w:p>
    <w:p>
      <w:pPr>
        <w:rPr>
          <w:rFonts w:hint="eastAsia"/>
          <w:highlight w:val="none"/>
        </w:rPr>
      </w:pPr>
      <w:r>
        <w:rPr>
          <w:rFonts w:hint="eastAsia"/>
          <w:highlight w:val="none"/>
        </w:rPr>
        <w:t>（5）报表统计类操作响应时间≤10秒。</w:t>
      </w:r>
    </w:p>
    <w:p>
      <w:pPr>
        <w:pStyle w:val="3"/>
        <w:ind w:left="960" w:leftChars="0" w:firstLineChars="0"/>
        <w:rPr>
          <w:rFonts w:hint="eastAsia"/>
          <w:highlight w:val="none"/>
        </w:rPr>
      </w:pPr>
      <w:r>
        <w:rPr>
          <w:rFonts w:hint="eastAsia"/>
          <w:highlight w:val="none"/>
        </w:rPr>
        <w:t>绩效目标</w:t>
      </w:r>
    </w:p>
    <w:tbl>
      <w:tblPr>
        <w:tblStyle w:val="35"/>
        <w:tblW w:w="4998" w:type="pct"/>
        <w:tblInd w:w="0" w:type="dxa"/>
        <w:tblLayout w:type="fixed"/>
        <w:tblCellMar>
          <w:top w:w="0" w:type="dxa"/>
          <w:left w:w="108" w:type="dxa"/>
          <w:bottom w:w="0" w:type="dxa"/>
          <w:right w:w="108" w:type="dxa"/>
        </w:tblCellMar>
      </w:tblPr>
      <w:tblGrid>
        <w:gridCol w:w="645"/>
        <w:gridCol w:w="1306"/>
        <w:gridCol w:w="1228"/>
        <w:gridCol w:w="1513"/>
        <w:gridCol w:w="2448"/>
        <w:gridCol w:w="1385"/>
      </w:tblGrid>
      <w:tr>
        <w:tblPrEx>
          <w:tblCellMar>
            <w:top w:w="0" w:type="dxa"/>
            <w:left w:w="108" w:type="dxa"/>
            <w:bottom w:w="0" w:type="dxa"/>
            <w:right w:w="108" w:type="dxa"/>
          </w:tblCellMar>
        </w:tblPrEx>
        <w:trPr>
          <w:trHeight w:val="390" w:hRule="atLeast"/>
        </w:trPr>
        <w:tc>
          <w:tcPr>
            <w:tcW w:w="378"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b/>
                <w:bCs/>
                <w:color w:val="000000"/>
                <w:sz w:val="22"/>
                <w:szCs w:val="22"/>
                <w:highlight w:val="none"/>
              </w:rPr>
            </w:pPr>
            <w:r>
              <w:rPr>
                <w:rFonts w:hint="eastAsia" w:cs="宋体"/>
                <w:b/>
                <w:bCs/>
                <w:color w:val="000000"/>
                <w:kern w:val="0"/>
                <w:sz w:val="22"/>
                <w:szCs w:val="22"/>
                <w:highlight w:val="none"/>
                <w:lang w:bidi="ar"/>
              </w:rPr>
              <w:t>序号</w:t>
            </w:r>
          </w:p>
        </w:tc>
        <w:tc>
          <w:tcPr>
            <w:tcW w:w="765" w:type="pct"/>
            <w:tcBorders>
              <w:top w:val="single" w:color="auto" w:sz="4" w:space="0"/>
              <w:left w:val="single" w:color="auto" w:sz="4" w:space="0"/>
              <w:bottom w:val="single" w:color="auto" w:sz="4" w:space="0"/>
              <w:right w:val="single" w:color="auto" w:sz="4" w:space="0"/>
            </w:tcBorders>
            <w:noWrap/>
            <w:vAlign w:val="center"/>
          </w:tcPr>
          <w:p>
            <w:pPr>
              <w:widowControl/>
              <w:ind w:firstLine="0" w:firstLineChars="0"/>
              <w:textAlignment w:val="center"/>
              <w:rPr>
                <w:rFonts w:hint="eastAsia" w:cs="宋体"/>
                <w:b/>
                <w:bCs/>
                <w:color w:val="000000"/>
                <w:kern w:val="0"/>
                <w:sz w:val="22"/>
                <w:szCs w:val="22"/>
                <w:highlight w:val="none"/>
                <w:lang w:bidi="ar"/>
              </w:rPr>
            </w:pPr>
            <w:r>
              <w:rPr>
                <w:rFonts w:hint="eastAsia" w:cs="宋体"/>
                <w:b/>
                <w:bCs/>
                <w:color w:val="000000"/>
                <w:kern w:val="0"/>
                <w:sz w:val="22"/>
                <w:szCs w:val="22"/>
                <w:highlight w:val="none"/>
                <w:lang w:bidi="ar"/>
              </w:rPr>
              <w:t>一级指标</w:t>
            </w:r>
          </w:p>
        </w:tc>
        <w:tc>
          <w:tcPr>
            <w:tcW w:w="720" w:type="pct"/>
            <w:tcBorders>
              <w:top w:val="single" w:color="auto" w:sz="4" w:space="0"/>
              <w:left w:val="single" w:color="auto" w:sz="4" w:space="0"/>
              <w:bottom w:val="single" w:color="auto" w:sz="4" w:space="0"/>
              <w:right w:val="single" w:color="auto" w:sz="4" w:space="0"/>
            </w:tcBorders>
            <w:noWrap/>
            <w:vAlign w:val="center"/>
          </w:tcPr>
          <w:p>
            <w:pPr>
              <w:widowControl/>
              <w:ind w:firstLine="0" w:firstLineChars="0"/>
              <w:textAlignment w:val="center"/>
              <w:rPr>
                <w:rFonts w:hint="eastAsia" w:cs="宋体"/>
                <w:b/>
                <w:bCs/>
                <w:color w:val="000000"/>
                <w:kern w:val="0"/>
                <w:sz w:val="22"/>
                <w:szCs w:val="22"/>
                <w:highlight w:val="none"/>
                <w:lang w:bidi="ar"/>
              </w:rPr>
            </w:pPr>
            <w:r>
              <w:rPr>
                <w:rFonts w:hint="eastAsia" w:cs="宋体"/>
                <w:b/>
                <w:bCs/>
                <w:color w:val="000000"/>
                <w:kern w:val="0"/>
                <w:sz w:val="22"/>
                <w:szCs w:val="22"/>
                <w:highlight w:val="none"/>
                <w:lang w:bidi="ar"/>
              </w:rPr>
              <w:t>二级指标</w:t>
            </w:r>
          </w:p>
        </w:tc>
        <w:tc>
          <w:tcPr>
            <w:tcW w:w="887" w:type="pct"/>
            <w:tcBorders>
              <w:top w:val="single" w:color="auto" w:sz="4" w:space="0"/>
              <w:left w:val="single" w:color="auto" w:sz="4" w:space="0"/>
              <w:bottom w:val="single" w:color="auto" w:sz="4" w:space="0"/>
              <w:right w:val="single" w:color="auto" w:sz="4" w:space="0"/>
            </w:tcBorders>
            <w:noWrap/>
            <w:vAlign w:val="center"/>
          </w:tcPr>
          <w:p>
            <w:pPr>
              <w:widowControl/>
              <w:ind w:firstLine="0" w:firstLineChars="0"/>
              <w:textAlignment w:val="center"/>
              <w:rPr>
                <w:rFonts w:hint="eastAsia" w:cs="宋体"/>
                <w:b/>
                <w:bCs/>
                <w:color w:val="000000"/>
                <w:kern w:val="0"/>
                <w:sz w:val="22"/>
                <w:szCs w:val="22"/>
                <w:highlight w:val="none"/>
                <w:lang w:bidi="ar"/>
              </w:rPr>
            </w:pPr>
            <w:r>
              <w:rPr>
                <w:rFonts w:hint="eastAsia" w:cs="宋体"/>
                <w:b/>
                <w:bCs/>
                <w:color w:val="000000"/>
                <w:kern w:val="0"/>
                <w:sz w:val="22"/>
                <w:szCs w:val="22"/>
                <w:highlight w:val="none"/>
                <w:lang w:bidi="ar"/>
              </w:rPr>
              <w:t>三级指标</w:t>
            </w:r>
          </w:p>
        </w:tc>
        <w:tc>
          <w:tcPr>
            <w:tcW w:w="1435" w:type="pct"/>
            <w:tcBorders>
              <w:top w:val="single" w:color="auto" w:sz="4" w:space="0"/>
              <w:left w:val="single" w:color="auto" w:sz="4" w:space="0"/>
              <w:bottom w:val="single" w:color="auto" w:sz="4" w:space="0"/>
              <w:right w:val="single" w:color="auto" w:sz="4" w:space="0"/>
            </w:tcBorders>
            <w:noWrap/>
            <w:vAlign w:val="center"/>
          </w:tcPr>
          <w:p>
            <w:pPr>
              <w:widowControl/>
              <w:ind w:firstLine="0" w:firstLineChars="0"/>
              <w:textAlignment w:val="center"/>
              <w:rPr>
                <w:rFonts w:hint="eastAsia" w:cs="宋体"/>
                <w:b/>
                <w:bCs/>
                <w:color w:val="000000"/>
                <w:kern w:val="0"/>
                <w:sz w:val="22"/>
                <w:szCs w:val="22"/>
                <w:highlight w:val="none"/>
                <w:lang w:bidi="ar"/>
              </w:rPr>
            </w:pPr>
            <w:r>
              <w:rPr>
                <w:rFonts w:hint="eastAsia" w:cs="宋体"/>
                <w:b/>
                <w:bCs/>
                <w:color w:val="000000"/>
                <w:kern w:val="0"/>
                <w:sz w:val="22"/>
                <w:szCs w:val="22"/>
                <w:highlight w:val="none"/>
                <w:lang w:bidi="ar"/>
              </w:rPr>
              <w:t>四级指标</w:t>
            </w:r>
          </w:p>
        </w:tc>
        <w:tc>
          <w:tcPr>
            <w:tcW w:w="812" w:type="pct"/>
            <w:tcBorders>
              <w:top w:val="single" w:color="auto" w:sz="4" w:space="0"/>
              <w:left w:val="single" w:color="auto" w:sz="4" w:space="0"/>
              <w:bottom w:val="single" w:color="auto" w:sz="4" w:space="0"/>
              <w:right w:val="single" w:color="auto" w:sz="4" w:space="0"/>
            </w:tcBorders>
            <w:noWrap/>
            <w:vAlign w:val="center"/>
          </w:tcPr>
          <w:p>
            <w:pPr>
              <w:widowControl/>
              <w:ind w:firstLine="0" w:firstLineChars="0"/>
              <w:textAlignment w:val="center"/>
              <w:rPr>
                <w:rFonts w:hint="eastAsia" w:cs="宋体"/>
                <w:b/>
                <w:bCs/>
                <w:color w:val="000000"/>
                <w:kern w:val="0"/>
                <w:sz w:val="22"/>
                <w:szCs w:val="22"/>
                <w:highlight w:val="none"/>
                <w:lang w:bidi="ar"/>
              </w:rPr>
            </w:pPr>
            <w:r>
              <w:rPr>
                <w:rFonts w:hint="eastAsia" w:cs="宋体"/>
                <w:b/>
                <w:bCs/>
                <w:color w:val="000000"/>
                <w:kern w:val="0"/>
                <w:sz w:val="22"/>
                <w:szCs w:val="22"/>
                <w:highlight w:val="none"/>
                <w:lang w:bidi="ar"/>
              </w:rPr>
              <w:t>目标值</w:t>
            </w:r>
          </w:p>
        </w:tc>
      </w:tr>
      <w:tr>
        <w:tblPrEx>
          <w:tblCellMar>
            <w:top w:w="0" w:type="dxa"/>
            <w:left w:w="108" w:type="dxa"/>
            <w:bottom w:w="0" w:type="dxa"/>
            <w:right w:w="108" w:type="dxa"/>
          </w:tblCellMar>
        </w:tblPrEx>
        <w:trPr>
          <w:trHeight w:val="283" w:hRule="atLeast"/>
        </w:trPr>
        <w:tc>
          <w:tcPr>
            <w:tcW w:w="378"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1</w:t>
            </w:r>
          </w:p>
        </w:tc>
        <w:tc>
          <w:tcPr>
            <w:tcW w:w="765" w:type="pct"/>
            <w:vMerge w:val="restar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通用指标</w:t>
            </w:r>
          </w:p>
        </w:tc>
        <w:tc>
          <w:tcPr>
            <w:tcW w:w="720" w:type="pct"/>
            <w:vMerge w:val="restar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产出指标</w:t>
            </w:r>
          </w:p>
        </w:tc>
        <w:tc>
          <w:tcPr>
            <w:tcW w:w="887"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产出时效</w:t>
            </w:r>
          </w:p>
        </w:tc>
        <w:tc>
          <w:tcPr>
            <w:tcW w:w="1435"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项目建设周期</w:t>
            </w:r>
          </w:p>
        </w:tc>
        <w:tc>
          <w:tcPr>
            <w:tcW w:w="812"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=10月</w:t>
            </w:r>
          </w:p>
        </w:tc>
      </w:tr>
      <w:tr>
        <w:tblPrEx>
          <w:tblCellMar>
            <w:top w:w="0" w:type="dxa"/>
            <w:left w:w="108" w:type="dxa"/>
            <w:bottom w:w="0" w:type="dxa"/>
            <w:right w:w="108" w:type="dxa"/>
          </w:tblCellMar>
        </w:tblPrEx>
        <w:trPr>
          <w:trHeight w:val="283" w:hRule="atLeast"/>
        </w:trPr>
        <w:tc>
          <w:tcPr>
            <w:tcW w:w="378"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2</w:t>
            </w:r>
          </w:p>
        </w:tc>
        <w:tc>
          <w:tcPr>
            <w:tcW w:w="765"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p>
        </w:tc>
        <w:tc>
          <w:tcPr>
            <w:tcW w:w="720"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p>
        </w:tc>
        <w:tc>
          <w:tcPr>
            <w:tcW w:w="887"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产出数量</w:t>
            </w:r>
          </w:p>
        </w:tc>
        <w:tc>
          <w:tcPr>
            <w:tcW w:w="1435"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软件开发完成率</w:t>
            </w:r>
          </w:p>
        </w:tc>
        <w:tc>
          <w:tcPr>
            <w:tcW w:w="812"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=100%</w:t>
            </w:r>
          </w:p>
        </w:tc>
      </w:tr>
      <w:tr>
        <w:tblPrEx>
          <w:tblCellMar>
            <w:top w:w="0" w:type="dxa"/>
            <w:left w:w="108" w:type="dxa"/>
            <w:bottom w:w="0" w:type="dxa"/>
            <w:right w:w="108" w:type="dxa"/>
          </w:tblCellMar>
        </w:tblPrEx>
        <w:trPr>
          <w:trHeight w:val="283" w:hRule="atLeast"/>
        </w:trPr>
        <w:tc>
          <w:tcPr>
            <w:tcW w:w="378"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3</w:t>
            </w:r>
          </w:p>
        </w:tc>
        <w:tc>
          <w:tcPr>
            <w:tcW w:w="765"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p>
        </w:tc>
        <w:tc>
          <w:tcPr>
            <w:tcW w:w="720"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p>
        </w:tc>
        <w:tc>
          <w:tcPr>
            <w:tcW w:w="887" w:type="pct"/>
            <w:vMerge w:val="restar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产出质量</w:t>
            </w:r>
          </w:p>
        </w:tc>
        <w:tc>
          <w:tcPr>
            <w:tcW w:w="1435"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软件测试达标</w:t>
            </w:r>
          </w:p>
        </w:tc>
        <w:tc>
          <w:tcPr>
            <w:tcW w:w="812"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通过</w:t>
            </w:r>
          </w:p>
        </w:tc>
      </w:tr>
      <w:tr>
        <w:tblPrEx>
          <w:tblCellMar>
            <w:top w:w="0" w:type="dxa"/>
            <w:left w:w="108" w:type="dxa"/>
            <w:bottom w:w="0" w:type="dxa"/>
            <w:right w:w="108" w:type="dxa"/>
          </w:tblCellMar>
        </w:tblPrEx>
        <w:trPr>
          <w:trHeight w:val="283" w:hRule="atLeast"/>
        </w:trPr>
        <w:tc>
          <w:tcPr>
            <w:tcW w:w="37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4</w:t>
            </w:r>
          </w:p>
        </w:tc>
        <w:tc>
          <w:tcPr>
            <w:tcW w:w="76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1435"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系统可靠性</w:t>
            </w:r>
          </w:p>
        </w:tc>
        <w:tc>
          <w:tcPr>
            <w:tcW w:w="812"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≥99.9%</w:t>
            </w:r>
          </w:p>
        </w:tc>
      </w:tr>
      <w:tr>
        <w:tblPrEx>
          <w:tblCellMar>
            <w:top w:w="0" w:type="dxa"/>
            <w:left w:w="108" w:type="dxa"/>
            <w:bottom w:w="0" w:type="dxa"/>
            <w:right w:w="108" w:type="dxa"/>
          </w:tblCellMar>
        </w:tblPrEx>
        <w:trPr>
          <w:trHeight w:val="283" w:hRule="atLeast"/>
        </w:trPr>
        <w:tc>
          <w:tcPr>
            <w:tcW w:w="37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5</w:t>
            </w:r>
          </w:p>
        </w:tc>
        <w:tc>
          <w:tcPr>
            <w:tcW w:w="76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1435"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密码测试达标</w:t>
            </w:r>
          </w:p>
        </w:tc>
        <w:tc>
          <w:tcPr>
            <w:tcW w:w="812"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通过</w:t>
            </w:r>
          </w:p>
        </w:tc>
      </w:tr>
      <w:tr>
        <w:tblPrEx>
          <w:tblCellMar>
            <w:top w:w="0" w:type="dxa"/>
            <w:left w:w="108" w:type="dxa"/>
            <w:bottom w:w="0" w:type="dxa"/>
            <w:right w:w="108" w:type="dxa"/>
          </w:tblCellMar>
        </w:tblPrEx>
        <w:trPr>
          <w:trHeight w:val="283" w:hRule="atLeast"/>
        </w:trPr>
        <w:tc>
          <w:tcPr>
            <w:tcW w:w="37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6</w:t>
            </w:r>
          </w:p>
        </w:tc>
        <w:tc>
          <w:tcPr>
            <w:tcW w:w="76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1435"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安全测试达标</w:t>
            </w:r>
          </w:p>
        </w:tc>
        <w:tc>
          <w:tcPr>
            <w:tcW w:w="812"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通过</w:t>
            </w:r>
          </w:p>
        </w:tc>
      </w:tr>
      <w:tr>
        <w:tblPrEx>
          <w:tblCellMar>
            <w:top w:w="0" w:type="dxa"/>
            <w:left w:w="108" w:type="dxa"/>
            <w:bottom w:w="0" w:type="dxa"/>
            <w:right w:w="108" w:type="dxa"/>
          </w:tblCellMar>
        </w:tblPrEx>
        <w:trPr>
          <w:trHeight w:val="283" w:hRule="atLeast"/>
        </w:trPr>
        <w:tc>
          <w:tcPr>
            <w:tcW w:w="37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7</w:t>
            </w:r>
          </w:p>
        </w:tc>
        <w:tc>
          <w:tcPr>
            <w:tcW w:w="76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1435"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网络安全等级保护</w:t>
            </w:r>
          </w:p>
        </w:tc>
        <w:tc>
          <w:tcPr>
            <w:tcW w:w="812"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三级</w:t>
            </w:r>
          </w:p>
        </w:tc>
      </w:tr>
      <w:tr>
        <w:tblPrEx>
          <w:tblCellMar>
            <w:top w:w="0" w:type="dxa"/>
            <w:left w:w="108" w:type="dxa"/>
            <w:bottom w:w="0" w:type="dxa"/>
            <w:right w:w="108" w:type="dxa"/>
          </w:tblCellMar>
        </w:tblPrEx>
        <w:trPr>
          <w:trHeight w:val="283" w:hRule="atLeast"/>
        </w:trPr>
        <w:tc>
          <w:tcPr>
            <w:tcW w:w="37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8</w:t>
            </w:r>
          </w:p>
        </w:tc>
        <w:tc>
          <w:tcPr>
            <w:tcW w:w="76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1435"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安全事件发生次数</w:t>
            </w:r>
          </w:p>
        </w:tc>
        <w:tc>
          <w:tcPr>
            <w:tcW w:w="812"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0次</w:t>
            </w:r>
          </w:p>
        </w:tc>
      </w:tr>
      <w:tr>
        <w:tblPrEx>
          <w:tblCellMar>
            <w:top w:w="0" w:type="dxa"/>
            <w:left w:w="108" w:type="dxa"/>
            <w:bottom w:w="0" w:type="dxa"/>
            <w:right w:w="108" w:type="dxa"/>
          </w:tblCellMar>
        </w:tblPrEx>
        <w:trPr>
          <w:trHeight w:val="283" w:hRule="atLeast"/>
        </w:trPr>
        <w:tc>
          <w:tcPr>
            <w:tcW w:w="37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9</w:t>
            </w:r>
          </w:p>
        </w:tc>
        <w:tc>
          <w:tcPr>
            <w:tcW w:w="76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1435"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一次性验收合格率</w:t>
            </w:r>
          </w:p>
        </w:tc>
        <w:tc>
          <w:tcPr>
            <w:tcW w:w="812"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=100%</w:t>
            </w:r>
          </w:p>
        </w:tc>
      </w:tr>
      <w:tr>
        <w:tblPrEx>
          <w:tblCellMar>
            <w:top w:w="0" w:type="dxa"/>
            <w:left w:w="108" w:type="dxa"/>
            <w:bottom w:w="0" w:type="dxa"/>
            <w:right w:w="108" w:type="dxa"/>
          </w:tblCellMar>
        </w:tblPrEx>
        <w:trPr>
          <w:trHeight w:val="283" w:hRule="atLeast"/>
        </w:trPr>
        <w:tc>
          <w:tcPr>
            <w:tcW w:w="37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10</w:t>
            </w:r>
          </w:p>
        </w:tc>
        <w:tc>
          <w:tcPr>
            <w:tcW w:w="76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产出成本</w:t>
            </w:r>
          </w:p>
        </w:tc>
        <w:tc>
          <w:tcPr>
            <w:tcW w:w="1435"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标准化内容支出比例</w:t>
            </w:r>
          </w:p>
        </w:tc>
        <w:tc>
          <w:tcPr>
            <w:tcW w:w="812"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≥8%</w:t>
            </w:r>
          </w:p>
        </w:tc>
      </w:tr>
      <w:tr>
        <w:tblPrEx>
          <w:tblCellMar>
            <w:top w:w="0" w:type="dxa"/>
            <w:left w:w="108" w:type="dxa"/>
            <w:bottom w:w="0" w:type="dxa"/>
            <w:right w:w="108" w:type="dxa"/>
          </w:tblCellMar>
        </w:tblPrEx>
        <w:trPr>
          <w:trHeight w:val="283" w:hRule="atLeast"/>
        </w:trPr>
        <w:tc>
          <w:tcPr>
            <w:tcW w:w="378" w:type="pct"/>
            <w:tcBorders>
              <w:top w:val="single" w:color="auto"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11</w:t>
            </w:r>
          </w:p>
        </w:tc>
        <w:tc>
          <w:tcPr>
            <w:tcW w:w="765" w:type="pct"/>
            <w:vMerge w:val="continue"/>
            <w:tcBorders>
              <w:top w:val="single" w:color="auto" w:sz="4" w:space="0"/>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restart"/>
            <w:tcBorders>
              <w:top w:val="single" w:color="auto" w:sz="4" w:space="0"/>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共性平台</w:t>
            </w:r>
          </w:p>
        </w:tc>
        <w:tc>
          <w:tcPr>
            <w:tcW w:w="887" w:type="pct"/>
            <w:tcBorders>
              <w:top w:val="single" w:color="auto"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系统共享水平</w:t>
            </w:r>
          </w:p>
        </w:tc>
        <w:tc>
          <w:tcPr>
            <w:tcW w:w="1435" w:type="pct"/>
            <w:tcBorders>
              <w:top w:val="single" w:color="auto"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跨部门数据共享程度</w:t>
            </w:r>
          </w:p>
        </w:tc>
        <w:tc>
          <w:tcPr>
            <w:tcW w:w="812" w:type="pct"/>
            <w:tcBorders>
              <w:top w:val="single" w:color="auto"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≥90%</w:t>
            </w:r>
          </w:p>
        </w:tc>
      </w:tr>
      <w:tr>
        <w:tblPrEx>
          <w:tblCellMar>
            <w:top w:w="0" w:type="dxa"/>
            <w:left w:w="108" w:type="dxa"/>
            <w:bottom w:w="0" w:type="dxa"/>
            <w:right w:w="108" w:type="dxa"/>
          </w:tblCellMar>
        </w:tblPrEx>
        <w:trPr>
          <w:trHeight w:val="283" w:hRule="atLeast"/>
        </w:trPr>
        <w:tc>
          <w:tcPr>
            <w:tcW w:w="37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12</w:t>
            </w:r>
          </w:p>
        </w:tc>
        <w:tc>
          <w:tcPr>
            <w:tcW w:w="765"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数据质量水平</w:t>
            </w:r>
          </w:p>
        </w:tc>
        <w:tc>
          <w:tcPr>
            <w:tcW w:w="143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核心数据缺失率</w:t>
            </w:r>
          </w:p>
        </w:tc>
        <w:tc>
          <w:tcPr>
            <w:tcW w:w="812"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=0%</w:t>
            </w:r>
          </w:p>
        </w:tc>
      </w:tr>
      <w:tr>
        <w:tblPrEx>
          <w:tblCellMar>
            <w:top w:w="0" w:type="dxa"/>
            <w:left w:w="108" w:type="dxa"/>
            <w:bottom w:w="0" w:type="dxa"/>
            <w:right w:w="108" w:type="dxa"/>
          </w:tblCellMar>
        </w:tblPrEx>
        <w:trPr>
          <w:trHeight w:val="283" w:hRule="atLeast"/>
        </w:trPr>
        <w:tc>
          <w:tcPr>
            <w:tcW w:w="37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13</w:t>
            </w:r>
          </w:p>
        </w:tc>
        <w:tc>
          <w:tcPr>
            <w:tcW w:w="765"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平台整合能力</w:t>
            </w:r>
          </w:p>
        </w:tc>
        <w:tc>
          <w:tcPr>
            <w:tcW w:w="143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统筹对接系统数量</w:t>
            </w:r>
          </w:p>
        </w:tc>
        <w:tc>
          <w:tcPr>
            <w:tcW w:w="812"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≥2个</w:t>
            </w:r>
          </w:p>
        </w:tc>
      </w:tr>
      <w:tr>
        <w:tblPrEx>
          <w:tblCellMar>
            <w:top w:w="0" w:type="dxa"/>
            <w:left w:w="108" w:type="dxa"/>
            <w:bottom w:w="0" w:type="dxa"/>
            <w:right w:w="108" w:type="dxa"/>
          </w:tblCellMar>
        </w:tblPrEx>
        <w:trPr>
          <w:trHeight w:val="283" w:hRule="atLeast"/>
        </w:trPr>
        <w:tc>
          <w:tcPr>
            <w:tcW w:w="37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14</w:t>
            </w:r>
          </w:p>
        </w:tc>
        <w:tc>
          <w:tcPr>
            <w:tcW w:w="765"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restart"/>
            <w:tcBorders>
              <w:top w:val="single" w:color="000000" w:sz="4" w:space="0"/>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重点应用</w:t>
            </w:r>
          </w:p>
        </w:tc>
        <w:tc>
          <w:tcPr>
            <w:tcW w:w="887" w:type="pct"/>
            <w:vMerge w:val="restart"/>
            <w:tcBorders>
              <w:top w:val="single" w:color="000000" w:sz="4" w:space="0"/>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数据服务</w:t>
            </w:r>
          </w:p>
        </w:tc>
        <w:tc>
          <w:tcPr>
            <w:tcW w:w="143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进入公共数据目录条目占比</w:t>
            </w:r>
          </w:p>
        </w:tc>
        <w:tc>
          <w:tcPr>
            <w:tcW w:w="812"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≥10%</w:t>
            </w:r>
          </w:p>
        </w:tc>
      </w:tr>
      <w:tr>
        <w:tblPrEx>
          <w:tblCellMar>
            <w:top w:w="0" w:type="dxa"/>
            <w:left w:w="108" w:type="dxa"/>
            <w:bottom w:w="0" w:type="dxa"/>
            <w:right w:w="108" w:type="dxa"/>
          </w:tblCellMar>
        </w:tblPrEx>
        <w:trPr>
          <w:trHeight w:val="283" w:hRule="atLeast"/>
        </w:trPr>
        <w:tc>
          <w:tcPr>
            <w:tcW w:w="37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15</w:t>
            </w:r>
          </w:p>
        </w:tc>
        <w:tc>
          <w:tcPr>
            <w:tcW w:w="765"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143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完成数据融合的数据条数</w:t>
            </w:r>
          </w:p>
        </w:tc>
        <w:tc>
          <w:tcPr>
            <w:tcW w:w="812"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≥2000000条</w:t>
            </w:r>
          </w:p>
        </w:tc>
      </w:tr>
      <w:tr>
        <w:tblPrEx>
          <w:tblCellMar>
            <w:top w:w="0" w:type="dxa"/>
            <w:left w:w="108" w:type="dxa"/>
            <w:bottom w:w="0" w:type="dxa"/>
            <w:right w:w="108" w:type="dxa"/>
          </w:tblCellMar>
        </w:tblPrEx>
        <w:trPr>
          <w:trHeight w:val="283" w:hRule="atLeast"/>
        </w:trPr>
        <w:tc>
          <w:tcPr>
            <w:tcW w:w="37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16</w:t>
            </w:r>
          </w:p>
        </w:tc>
        <w:tc>
          <w:tcPr>
            <w:tcW w:w="765"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vMerge w:val="continue"/>
            <w:tcBorders>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143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完成迁移数据库记录数量</w:t>
            </w:r>
          </w:p>
        </w:tc>
        <w:tc>
          <w:tcPr>
            <w:tcW w:w="812"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≥100千万条</w:t>
            </w:r>
          </w:p>
        </w:tc>
      </w:tr>
      <w:tr>
        <w:tblPrEx>
          <w:tblCellMar>
            <w:top w:w="0" w:type="dxa"/>
            <w:left w:w="108" w:type="dxa"/>
            <w:bottom w:w="0" w:type="dxa"/>
            <w:right w:w="108" w:type="dxa"/>
          </w:tblCellMar>
        </w:tblPrEx>
        <w:trPr>
          <w:trHeight w:val="283" w:hRule="atLeast"/>
        </w:trPr>
        <w:tc>
          <w:tcPr>
            <w:tcW w:w="37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17</w:t>
            </w:r>
          </w:p>
        </w:tc>
        <w:tc>
          <w:tcPr>
            <w:tcW w:w="765"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restart"/>
            <w:tcBorders>
              <w:top w:val="single" w:color="000000" w:sz="4" w:space="0"/>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应用系统</w:t>
            </w:r>
          </w:p>
        </w:tc>
        <w:tc>
          <w:tcPr>
            <w:tcW w:w="887"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系统与业务融合能力</w:t>
            </w:r>
          </w:p>
        </w:tc>
        <w:tc>
          <w:tcPr>
            <w:tcW w:w="143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线上业务流程数</w:t>
            </w:r>
          </w:p>
        </w:tc>
        <w:tc>
          <w:tcPr>
            <w:tcW w:w="812"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≥4个</w:t>
            </w:r>
          </w:p>
        </w:tc>
      </w:tr>
      <w:tr>
        <w:tblPrEx>
          <w:tblCellMar>
            <w:top w:w="0" w:type="dxa"/>
            <w:left w:w="108" w:type="dxa"/>
            <w:bottom w:w="0" w:type="dxa"/>
            <w:right w:w="108" w:type="dxa"/>
          </w:tblCellMar>
        </w:tblPrEx>
        <w:trPr>
          <w:trHeight w:val="283" w:hRule="atLeast"/>
        </w:trPr>
        <w:tc>
          <w:tcPr>
            <w:tcW w:w="37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18</w:t>
            </w:r>
          </w:p>
        </w:tc>
        <w:tc>
          <w:tcPr>
            <w:tcW w:w="765"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系统能力利用水平</w:t>
            </w:r>
          </w:p>
        </w:tc>
        <w:tc>
          <w:tcPr>
            <w:tcW w:w="143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线上办件占比</w:t>
            </w:r>
          </w:p>
        </w:tc>
        <w:tc>
          <w:tcPr>
            <w:tcW w:w="812"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≥90%</w:t>
            </w:r>
          </w:p>
        </w:tc>
      </w:tr>
      <w:tr>
        <w:tblPrEx>
          <w:tblCellMar>
            <w:top w:w="0" w:type="dxa"/>
            <w:left w:w="108" w:type="dxa"/>
            <w:bottom w:w="0" w:type="dxa"/>
            <w:right w:w="108" w:type="dxa"/>
          </w:tblCellMar>
        </w:tblPrEx>
        <w:trPr>
          <w:trHeight w:val="283" w:hRule="atLeast"/>
        </w:trPr>
        <w:tc>
          <w:tcPr>
            <w:tcW w:w="37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19</w:t>
            </w:r>
          </w:p>
        </w:tc>
        <w:tc>
          <w:tcPr>
            <w:tcW w:w="765"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用户使用情况</w:t>
            </w:r>
          </w:p>
        </w:tc>
        <w:tc>
          <w:tcPr>
            <w:tcW w:w="143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月活跃用户量</w:t>
            </w:r>
          </w:p>
        </w:tc>
        <w:tc>
          <w:tcPr>
            <w:tcW w:w="812"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≥500人次/月</w:t>
            </w:r>
          </w:p>
        </w:tc>
      </w:tr>
      <w:tr>
        <w:tblPrEx>
          <w:tblCellMar>
            <w:top w:w="0" w:type="dxa"/>
            <w:left w:w="108" w:type="dxa"/>
            <w:bottom w:w="0" w:type="dxa"/>
            <w:right w:w="108" w:type="dxa"/>
          </w:tblCellMar>
        </w:tblPrEx>
        <w:trPr>
          <w:trHeight w:val="283" w:hRule="atLeast"/>
        </w:trPr>
        <w:tc>
          <w:tcPr>
            <w:tcW w:w="37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20</w:t>
            </w:r>
          </w:p>
        </w:tc>
        <w:tc>
          <w:tcPr>
            <w:tcW w:w="765"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用户使用情况</w:t>
            </w:r>
          </w:p>
        </w:tc>
        <w:tc>
          <w:tcPr>
            <w:tcW w:w="143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系统用户量</w:t>
            </w:r>
          </w:p>
        </w:tc>
        <w:tc>
          <w:tcPr>
            <w:tcW w:w="812"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≥5000个</w:t>
            </w:r>
          </w:p>
        </w:tc>
      </w:tr>
      <w:tr>
        <w:tblPrEx>
          <w:tblCellMar>
            <w:top w:w="0" w:type="dxa"/>
            <w:left w:w="108" w:type="dxa"/>
            <w:bottom w:w="0" w:type="dxa"/>
            <w:right w:w="108" w:type="dxa"/>
          </w:tblCellMar>
        </w:tblPrEx>
        <w:trPr>
          <w:trHeight w:val="283" w:hRule="atLeast"/>
        </w:trPr>
        <w:tc>
          <w:tcPr>
            <w:tcW w:w="37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21</w:t>
            </w:r>
          </w:p>
        </w:tc>
        <w:tc>
          <w:tcPr>
            <w:tcW w:w="765"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vMerge w:val="restart"/>
            <w:tcBorders>
              <w:top w:val="single" w:color="000000" w:sz="4" w:space="0"/>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对外发布网站水平</w:t>
            </w:r>
          </w:p>
        </w:tc>
        <w:tc>
          <w:tcPr>
            <w:tcW w:w="143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网页查询平均响应时间</w:t>
            </w:r>
          </w:p>
        </w:tc>
        <w:tc>
          <w:tcPr>
            <w:tcW w:w="812"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≤5秒</w:t>
            </w:r>
          </w:p>
        </w:tc>
      </w:tr>
      <w:tr>
        <w:tblPrEx>
          <w:tblCellMar>
            <w:top w:w="0" w:type="dxa"/>
            <w:left w:w="108" w:type="dxa"/>
            <w:bottom w:w="0" w:type="dxa"/>
            <w:right w:w="108" w:type="dxa"/>
          </w:tblCellMar>
        </w:tblPrEx>
        <w:trPr>
          <w:trHeight w:val="283" w:hRule="atLeast"/>
        </w:trPr>
        <w:tc>
          <w:tcPr>
            <w:tcW w:w="37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22</w:t>
            </w:r>
          </w:p>
        </w:tc>
        <w:tc>
          <w:tcPr>
            <w:tcW w:w="765"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143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网页访问量（次/月）</w:t>
            </w:r>
          </w:p>
        </w:tc>
        <w:tc>
          <w:tcPr>
            <w:tcW w:w="812"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≥200次/月</w:t>
            </w:r>
          </w:p>
        </w:tc>
      </w:tr>
      <w:tr>
        <w:tblPrEx>
          <w:tblCellMar>
            <w:top w:w="0" w:type="dxa"/>
            <w:left w:w="108" w:type="dxa"/>
            <w:bottom w:w="0" w:type="dxa"/>
            <w:right w:w="108" w:type="dxa"/>
          </w:tblCellMar>
        </w:tblPrEx>
        <w:trPr>
          <w:trHeight w:val="283" w:hRule="atLeast"/>
        </w:trPr>
        <w:tc>
          <w:tcPr>
            <w:tcW w:w="378"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23</w:t>
            </w:r>
          </w:p>
        </w:tc>
        <w:tc>
          <w:tcPr>
            <w:tcW w:w="765" w:type="pct"/>
            <w:vMerge w:val="continue"/>
            <w:tcBorders>
              <w:left w:val="single" w:color="000000" w:sz="4" w:space="0"/>
              <w:bottom w:val="single" w:color="auto"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left w:val="single" w:color="000000" w:sz="4" w:space="0"/>
              <w:bottom w:val="single" w:color="auto"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vMerge w:val="continue"/>
            <w:tcBorders>
              <w:left w:val="single" w:color="000000" w:sz="4" w:space="0"/>
              <w:bottom w:val="single" w:color="auto"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1435" w:type="pct"/>
            <w:tcBorders>
              <w:top w:val="single" w:color="000000" w:sz="4" w:space="0"/>
              <w:left w:val="single" w:color="000000" w:sz="4" w:space="0"/>
              <w:bottom w:val="single" w:color="auto"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公众投诉数</w:t>
            </w:r>
          </w:p>
        </w:tc>
        <w:tc>
          <w:tcPr>
            <w:tcW w:w="812"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≤100次</w:t>
            </w:r>
          </w:p>
        </w:tc>
      </w:tr>
      <w:tr>
        <w:tblPrEx>
          <w:tblCellMar>
            <w:top w:w="0" w:type="dxa"/>
            <w:left w:w="108" w:type="dxa"/>
            <w:bottom w:w="0" w:type="dxa"/>
            <w:right w:w="108" w:type="dxa"/>
          </w:tblCellMar>
        </w:tblPrEx>
        <w:trPr>
          <w:trHeight w:val="283" w:hRule="atLeast"/>
        </w:trPr>
        <w:tc>
          <w:tcPr>
            <w:tcW w:w="378" w:type="pct"/>
            <w:tcBorders>
              <w:top w:val="single" w:color="000000" w:sz="4" w:space="0"/>
              <w:left w:val="single" w:color="000000" w:sz="4" w:space="0"/>
              <w:bottom w:val="single" w:color="000000"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24</w:t>
            </w:r>
          </w:p>
        </w:tc>
        <w:tc>
          <w:tcPr>
            <w:tcW w:w="765" w:type="pct"/>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业务指标</w:t>
            </w:r>
          </w:p>
        </w:tc>
        <w:tc>
          <w:tcPr>
            <w:tcW w:w="720" w:type="pct"/>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产出指标</w:t>
            </w:r>
          </w:p>
        </w:tc>
        <w:tc>
          <w:tcPr>
            <w:tcW w:w="887" w:type="pct"/>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产出质量</w:t>
            </w:r>
          </w:p>
        </w:tc>
        <w:tc>
          <w:tcPr>
            <w:tcW w:w="1435"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支持同时在线人数</w:t>
            </w:r>
          </w:p>
        </w:tc>
        <w:tc>
          <w:tcPr>
            <w:tcW w:w="812" w:type="pct"/>
            <w:tcBorders>
              <w:top w:val="single" w:color="000000" w:sz="4" w:space="0"/>
              <w:left w:val="single" w:color="auto"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≥1000人</w:t>
            </w:r>
          </w:p>
        </w:tc>
      </w:tr>
      <w:tr>
        <w:tblPrEx>
          <w:tblCellMar>
            <w:top w:w="0" w:type="dxa"/>
            <w:left w:w="108" w:type="dxa"/>
            <w:bottom w:w="0" w:type="dxa"/>
            <w:right w:w="108" w:type="dxa"/>
          </w:tblCellMar>
        </w:tblPrEx>
        <w:trPr>
          <w:trHeight w:val="283" w:hRule="atLeast"/>
        </w:trPr>
        <w:tc>
          <w:tcPr>
            <w:tcW w:w="378" w:type="pct"/>
            <w:tcBorders>
              <w:top w:val="single" w:color="000000" w:sz="4" w:space="0"/>
              <w:left w:val="single" w:color="000000" w:sz="4" w:space="0"/>
              <w:bottom w:val="single" w:color="000000"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25</w:t>
            </w:r>
          </w:p>
        </w:tc>
        <w:tc>
          <w:tcPr>
            <w:tcW w:w="76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1435"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支持并发用户数</w:t>
            </w:r>
          </w:p>
        </w:tc>
        <w:tc>
          <w:tcPr>
            <w:tcW w:w="812" w:type="pct"/>
            <w:tcBorders>
              <w:top w:val="single" w:color="000000" w:sz="4" w:space="0"/>
              <w:left w:val="single" w:color="auto"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≥50人</w:t>
            </w:r>
          </w:p>
        </w:tc>
      </w:tr>
      <w:tr>
        <w:tblPrEx>
          <w:tblCellMar>
            <w:top w:w="0" w:type="dxa"/>
            <w:left w:w="108" w:type="dxa"/>
            <w:bottom w:w="0" w:type="dxa"/>
            <w:right w:w="108" w:type="dxa"/>
          </w:tblCellMar>
        </w:tblPrEx>
        <w:trPr>
          <w:trHeight w:val="283" w:hRule="atLeast"/>
        </w:trPr>
        <w:tc>
          <w:tcPr>
            <w:tcW w:w="378" w:type="pct"/>
            <w:tcBorders>
              <w:top w:val="single" w:color="000000" w:sz="4" w:space="0"/>
              <w:left w:val="single" w:color="000000" w:sz="4" w:space="0"/>
              <w:bottom w:val="single" w:color="000000"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26</w:t>
            </w:r>
          </w:p>
        </w:tc>
        <w:tc>
          <w:tcPr>
            <w:tcW w:w="76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1435"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系统登录时间</w:t>
            </w:r>
          </w:p>
        </w:tc>
        <w:tc>
          <w:tcPr>
            <w:tcW w:w="812" w:type="pct"/>
            <w:tcBorders>
              <w:top w:val="single" w:color="000000" w:sz="4" w:space="0"/>
              <w:left w:val="single" w:color="auto"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≤5秒</w:t>
            </w:r>
          </w:p>
        </w:tc>
      </w:tr>
      <w:tr>
        <w:tblPrEx>
          <w:tblCellMar>
            <w:top w:w="0" w:type="dxa"/>
            <w:left w:w="108" w:type="dxa"/>
            <w:bottom w:w="0" w:type="dxa"/>
            <w:right w:w="108" w:type="dxa"/>
          </w:tblCellMar>
        </w:tblPrEx>
        <w:trPr>
          <w:trHeight w:val="283" w:hRule="atLeast"/>
        </w:trPr>
        <w:tc>
          <w:tcPr>
            <w:tcW w:w="378" w:type="pct"/>
            <w:tcBorders>
              <w:top w:val="single" w:color="000000" w:sz="4" w:space="0"/>
              <w:left w:val="single" w:color="000000" w:sz="4" w:space="0"/>
              <w:bottom w:val="single" w:color="000000"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27</w:t>
            </w:r>
          </w:p>
        </w:tc>
        <w:tc>
          <w:tcPr>
            <w:tcW w:w="76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1435"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一般查询、写入、搜索操作响应时间（90%的操作页面）</w:t>
            </w:r>
          </w:p>
        </w:tc>
        <w:tc>
          <w:tcPr>
            <w:tcW w:w="812" w:type="pct"/>
            <w:tcBorders>
              <w:top w:val="single" w:color="000000" w:sz="4" w:space="0"/>
              <w:left w:val="single" w:color="auto"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≤10秒</w:t>
            </w:r>
          </w:p>
        </w:tc>
      </w:tr>
      <w:tr>
        <w:tblPrEx>
          <w:tblCellMar>
            <w:top w:w="0" w:type="dxa"/>
            <w:left w:w="108" w:type="dxa"/>
            <w:bottom w:w="0" w:type="dxa"/>
            <w:right w:w="108" w:type="dxa"/>
          </w:tblCellMar>
        </w:tblPrEx>
        <w:trPr>
          <w:trHeight w:val="283" w:hRule="atLeast"/>
        </w:trPr>
        <w:tc>
          <w:tcPr>
            <w:tcW w:w="378" w:type="pct"/>
            <w:tcBorders>
              <w:top w:val="single" w:color="000000" w:sz="4" w:space="0"/>
              <w:left w:val="single" w:color="000000" w:sz="4" w:space="0"/>
              <w:bottom w:val="single" w:color="000000"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28</w:t>
            </w:r>
          </w:p>
        </w:tc>
        <w:tc>
          <w:tcPr>
            <w:tcW w:w="76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1435"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报表统计类操作响应时间</w:t>
            </w:r>
          </w:p>
        </w:tc>
        <w:tc>
          <w:tcPr>
            <w:tcW w:w="812" w:type="pct"/>
            <w:tcBorders>
              <w:top w:val="single" w:color="000000" w:sz="4" w:space="0"/>
              <w:left w:val="single" w:color="auto"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≤10秒</w:t>
            </w:r>
          </w:p>
        </w:tc>
      </w:tr>
      <w:tr>
        <w:tblPrEx>
          <w:tblCellMar>
            <w:top w:w="0" w:type="dxa"/>
            <w:left w:w="108" w:type="dxa"/>
            <w:bottom w:w="0" w:type="dxa"/>
            <w:right w:w="108" w:type="dxa"/>
          </w:tblCellMar>
        </w:tblPrEx>
        <w:trPr>
          <w:trHeight w:val="283" w:hRule="atLeast"/>
        </w:trPr>
        <w:tc>
          <w:tcPr>
            <w:tcW w:w="378" w:type="pct"/>
            <w:tcBorders>
              <w:top w:val="single" w:color="000000" w:sz="4" w:space="0"/>
              <w:left w:val="single" w:color="000000" w:sz="4" w:space="0"/>
              <w:bottom w:val="single" w:color="000000"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29</w:t>
            </w:r>
          </w:p>
        </w:tc>
        <w:tc>
          <w:tcPr>
            <w:tcW w:w="765" w:type="pct"/>
            <w:vMerge w:val="continue"/>
            <w:tcBorders>
              <w:top w:val="single" w:color="auto" w:sz="4" w:space="0"/>
              <w:left w:val="single" w:color="auto"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restart"/>
            <w:tcBorders>
              <w:top w:val="single" w:color="auto" w:sz="4" w:space="0"/>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效益指标</w:t>
            </w:r>
          </w:p>
        </w:tc>
        <w:tc>
          <w:tcPr>
            <w:tcW w:w="887" w:type="pct"/>
            <w:vMerge w:val="restart"/>
            <w:tcBorders>
              <w:top w:val="single" w:color="auto" w:sz="4" w:space="0"/>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社会效益</w:t>
            </w:r>
          </w:p>
        </w:tc>
        <w:tc>
          <w:tcPr>
            <w:tcW w:w="1435" w:type="pct"/>
            <w:tcBorders>
              <w:top w:val="single" w:color="auto"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覆盖保障住房管理机构数量</w:t>
            </w:r>
          </w:p>
        </w:tc>
        <w:tc>
          <w:tcPr>
            <w:tcW w:w="812"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≥30家</w:t>
            </w:r>
          </w:p>
        </w:tc>
      </w:tr>
      <w:tr>
        <w:tblPrEx>
          <w:tblCellMar>
            <w:top w:w="0" w:type="dxa"/>
            <w:left w:w="108" w:type="dxa"/>
            <w:bottom w:w="0" w:type="dxa"/>
            <w:right w:w="108" w:type="dxa"/>
          </w:tblCellMar>
        </w:tblPrEx>
        <w:trPr>
          <w:trHeight w:val="283" w:hRule="atLeast"/>
        </w:trPr>
        <w:tc>
          <w:tcPr>
            <w:tcW w:w="378" w:type="pct"/>
            <w:tcBorders>
              <w:top w:val="single" w:color="000000" w:sz="4" w:space="0"/>
              <w:left w:val="single" w:color="000000" w:sz="4" w:space="0"/>
              <w:bottom w:val="single" w:color="000000"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30</w:t>
            </w:r>
          </w:p>
        </w:tc>
        <w:tc>
          <w:tcPr>
            <w:tcW w:w="765" w:type="pct"/>
            <w:vMerge w:val="continue"/>
            <w:tcBorders>
              <w:left w:val="single" w:color="auto"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143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覆盖保障住房运营机构数量</w:t>
            </w:r>
          </w:p>
        </w:tc>
        <w:tc>
          <w:tcPr>
            <w:tcW w:w="812"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≥430家</w:t>
            </w:r>
          </w:p>
        </w:tc>
      </w:tr>
      <w:tr>
        <w:tblPrEx>
          <w:tblCellMar>
            <w:top w:w="0" w:type="dxa"/>
            <w:left w:w="108" w:type="dxa"/>
            <w:bottom w:w="0" w:type="dxa"/>
            <w:right w:w="108" w:type="dxa"/>
          </w:tblCellMar>
        </w:tblPrEx>
        <w:trPr>
          <w:trHeight w:val="283" w:hRule="atLeast"/>
        </w:trPr>
        <w:tc>
          <w:tcPr>
            <w:tcW w:w="378" w:type="pct"/>
            <w:tcBorders>
              <w:top w:val="single" w:color="000000" w:sz="4" w:space="0"/>
              <w:left w:val="single" w:color="000000" w:sz="4" w:space="0"/>
              <w:bottom w:val="single" w:color="000000"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31</w:t>
            </w:r>
          </w:p>
        </w:tc>
        <w:tc>
          <w:tcPr>
            <w:tcW w:w="765" w:type="pct"/>
            <w:vMerge w:val="continue"/>
            <w:tcBorders>
              <w:left w:val="single" w:color="auto"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vMerge w:val="continue"/>
            <w:tcBorders>
              <w:left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143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纳管房源数量</w:t>
            </w:r>
          </w:p>
        </w:tc>
        <w:tc>
          <w:tcPr>
            <w:tcW w:w="812"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≥450000套</w:t>
            </w:r>
          </w:p>
        </w:tc>
      </w:tr>
      <w:tr>
        <w:tblPrEx>
          <w:tblCellMar>
            <w:top w:w="0" w:type="dxa"/>
            <w:left w:w="108" w:type="dxa"/>
            <w:bottom w:w="0" w:type="dxa"/>
            <w:right w:w="108" w:type="dxa"/>
          </w:tblCellMar>
        </w:tblPrEx>
        <w:trPr>
          <w:trHeight w:val="283" w:hRule="atLeast"/>
        </w:trPr>
        <w:tc>
          <w:tcPr>
            <w:tcW w:w="378" w:type="pct"/>
            <w:tcBorders>
              <w:top w:val="single" w:color="000000" w:sz="4" w:space="0"/>
              <w:left w:val="single" w:color="000000" w:sz="4" w:space="0"/>
              <w:bottom w:val="single" w:color="000000" w:sz="4" w:space="0"/>
              <w:right w:val="single" w:color="auto"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32</w:t>
            </w:r>
          </w:p>
        </w:tc>
        <w:tc>
          <w:tcPr>
            <w:tcW w:w="765" w:type="pct"/>
            <w:vMerge w:val="continue"/>
            <w:tcBorders>
              <w:left w:val="single" w:color="auto"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720" w:type="pct"/>
            <w:vMerge w:val="continue"/>
            <w:tcBorders>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887" w:type="pct"/>
            <w:vMerge w:val="continue"/>
            <w:tcBorders>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p>
        </w:tc>
        <w:tc>
          <w:tcPr>
            <w:tcW w:w="1435"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通过平台每月实现住房审核数量</w:t>
            </w:r>
          </w:p>
        </w:tc>
        <w:tc>
          <w:tcPr>
            <w:tcW w:w="812" w:type="pct"/>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center"/>
              <w:rPr>
                <w:rFonts w:hint="eastAsia" w:cs="宋体"/>
                <w:color w:val="000000"/>
                <w:kern w:val="0"/>
                <w:sz w:val="22"/>
                <w:szCs w:val="22"/>
                <w:highlight w:val="none"/>
                <w:lang w:bidi="ar"/>
              </w:rPr>
            </w:pPr>
            <w:r>
              <w:rPr>
                <w:rFonts w:hint="eastAsia" w:cs="宋体"/>
                <w:color w:val="000000"/>
                <w:kern w:val="0"/>
                <w:sz w:val="22"/>
                <w:szCs w:val="22"/>
                <w:highlight w:val="none"/>
                <w:lang w:bidi="ar"/>
              </w:rPr>
              <w:t>≥10000套/月</w:t>
            </w:r>
          </w:p>
        </w:tc>
      </w:tr>
    </w:tbl>
    <w:p>
      <w:pPr>
        <w:rPr>
          <w:rFonts w:hint="eastAsia"/>
          <w:highlight w:val="none"/>
        </w:rPr>
      </w:pPr>
    </w:p>
    <w:p>
      <w:pPr>
        <w:pStyle w:val="2"/>
        <w:rPr>
          <w:rFonts w:hint="eastAsia"/>
          <w:highlight w:val="none"/>
        </w:rPr>
      </w:pPr>
      <w:r>
        <w:rPr>
          <w:rFonts w:hint="eastAsia"/>
          <w:highlight w:val="none"/>
        </w:rPr>
        <w:t>项目建设内容</w:t>
      </w:r>
    </w:p>
    <w:p>
      <w:pPr>
        <w:pStyle w:val="3"/>
        <w:ind w:left="960" w:leftChars="0" w:firstLineChars="0"/>
        <w:rPr>
          <w:rFonts w:hint="eastAsia"/>
          <w:highlight w:val="none"/>
        </w:rPr>
      </w:pPr>
      <w:bookmarkStart w:id="17" w:name="_Toc63785502"/>
      <w:r>
        <w:rPr>
          <w:rFonts w:hint="eastAsia"/>
          <w:highlight w:val="none"/>
        </w:rPr>
        <w:t>软件</w:t>
      </w:r>
      <w:r>
        <w:rPr>
          <w:rFonts w:hint="eastAsia"/>
          <w:highlight w:val="none"/>
          <w:lang w:val="en-US" w:eastAsia="zh-CN"/>
        </w:rPr>
        <w:t>开发</w:t>
      </w:r>
      <w:r>
        <w:rPr>
          <w:rFonts w:hint="eastAsia"/>
          <w:highlight w:val="none"/>
        </w:rPr>
        <w:t>清单</w:t>
      </w:r>
    </w:p>
    <w:tbl>
      <w:tblPr>
        <w:tblStyle w:val="35"/>
        <w:tblW w:w="101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4"/>
        <w:gridCol w:w="1414"/>
        <w:gridCol w:w="1383"/>
        <w:gridCol w:w="5677"/>
        <w:gridCol w:w="8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序号</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应用系统名称</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模块名称</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模块描述</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kern w:val="0"/>
                <w:sz w:val="20"/>
                <w:szCs w:val="20"/>
                <w:highlight w:val="none"/>
                <w:u w:val="none"/>
                <w:lang w:val="en-US" w:eastAsia="zh-CN" w:bidi="ar"/>
              </w:rPr>
            </w:pPr>
            <w:r>
              <w:rPr>
                <w:rFonts w:hint="eastAsia" w:ascii="宋体" w:hAnsi="宋体" w:eastAsia="宋体" w:cs="宋体"/>
                <w:b/>
                <w:i w:val="0"/>
                <w:iCs w:val="0"/>
                <w:color w:val="000000"/>
                <w:kern w:val="0"/>
                <w:sz w:val="20"/>
                <w:szCs w:val="20"/>
                <w:highlight w:val="none"/>
                <w:u w:val="none"/>
                <w:lang w:val="en-US" w:eastAsia="zh-CN" w:bidi="ar"/>
              </w:rPr>
              <w:t>使用低代码平台开发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住保集成门户</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住保门户_市级、区级、运营公司工作视图</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1.市级工作视图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为市级住房保障部门的工作人员提供专属的工作界面和视图，展示市级层面的住房保障业务数据和工作内容。包括全市住房保障政策的制定与发布、房源的统筹管理、业务的监督与考核等功能入口，方便市级工作人员全面掌握全市住房保障工作的整体情况，进行宏观管理和决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2.区级工作视图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为区级住房保障部门的工作人员提供工作视图，聚焦区级层面的住房保障业务。包括本辖区内住房保障申请的受理、审核、房源的分配与管理、政策的具体执行等功能入口，满足区级工作人员对本辖区住房保障业务的精细化管理需求，实现与市级系统的数据对接和业务协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3.运营公司工作视图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为住房保障运营公司的工作人员提供工作界面，展示与运营公司相关的业务内容。包括保障申请对象的申请资料核验，公租网签合同备案等服务入口，便于运营公司高效开展住房保障相关的运营工作，实现与住房保障管理部门的数据共享和业务协作。</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住保集成门户</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应用中心_应用注册管理、上下架管理、定制服务</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1.应用注册管理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提供门户应用功能注册管理，可选择设定功能入口图标，提供和内部菜单管理模块的数据共享能力。</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2.应用上下架管理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提供应用功能的发布上线、显示顺序设定以及下架操作等管理功能。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3.应用定制服务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在应用中心中汇聚各应用系统中的应用功能，结合业务权限和用户的个性化要求，定制组合应用功能，方便用户日常工作。</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住保集成门户</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任务中心_待办任务、已办任务、任务开放接口</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1.待办任务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集中展示用户尚未处理的任务列表，包括任务的名称、任务来源、任务要求、截止时间等信息。用户可通过待办任务模块及时了解需要处理的工作，按照任务的优先级和时间要求进行处理，确保任务按时完成，避免遗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2.已办任务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记录用户已经处理完成的任务信息，包括任务的处理结果、处理时间、处理人员等，方便用户查阅和追溯历史任务。通过已办任务模块，可对任务的处理情况进行统计和分析，评估工作效率和工作质量。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3.任务开放接口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提供任务的开放接口和服务，允许上层业务应用调用任务相关的功能，实现任务的协同处理和数据共享。例如，与其他业务系统对接，将待办任务信息推送给相关系统或获取外部系统的任务数据，提高业务流程的自动化和协同性。</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住保集成门户</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消息中心_工作消息、通知公告、消息开放接口</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1.工作消息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针对工作任务的提醒、逾期办理的提醒等其他需要用户及时处理的事项，通过系统消息、邮件等方式向用户发送提醒通知，确保用户及时了解待办事项，避免因延误处理而影响业务进展。提醒内容可包括任务名称、截止时间、处理要求等关键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2.通知公告</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发布住房保障业务相关的通知、公告和政策信息，如住房保障政策的调整、房源的最新动态、业务办理的通知等。通知公告可根据不同的用户角色和权限进行定向发布，确保相关信息准确传达给目标用户，提高信息的传播效率和针对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3.消息开放接口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提供消息的开放接口和服务，支持外部系统或其他模块向消息中心发送消息或接收消息中心的消息，实现消息的跨系统传递和共享。例如，与短信平台、邮件系统对接，通过消息开放服务实现消息的多渠道发送，或与其他业务系统集成，实现业务数据与消息的联动。</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一网通办/随申办接口集_公共租赁住房申请审核（新办和复核）</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为一网通办公共租赁住房申请审核（新办和复核）事项提供一系列接口，具体包括：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1、提供人员校验接口，调用接口可以校验申请人是不是有在办案件和现实有效案件；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2、提供现实有效案件详细信息接口，调用接口可以查询当前现势有效的案件信息包括案件号、申请人、受理机构、生效时间等信息，用于生成复核案件；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3、提供补件材料告知接口，调用接口可以判断申请人需要提交补件材料的信息；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4、提供受理机构信息列表接口，调用接口可以调用对应行政区的受理机构信息列表，用于绑定区筹项目的受理机构。</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一网通办/随申办接口集_保障性租赁住房申请审核（新办和复核）房源及轮候查询</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为一网通办保障性租赁住房申请审核（新办和复核）事项房源及轮候查询提供一系列接口，具体包括：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1.提供户型详情接口，调用接口可以浏览户型详情信息，通过项目信息过滤检索符合该项目的户型信息。如剩余可租、户型图、面积段，租金等；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2.提供房源列表接口，调用接口可以浏览项目下的房源信息，根据项目信息、户型信息等条件，检索该项目下所有房源，包括户型房源面积、室号等房源信息列表；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3.提供房源明细接口，调用接口可以查询具体房屋的详细信息，根据房源列表中的房源编号查询房源明细信息包括床位号、房屋月租金、建筑面积、供应状态、房源图编号房源地址等详细信息；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4.提供户型图接口，调用接口可以方便用户了解该项目户型信息和提高信息公开度及透明度，通过项目编号获取项目户型图信息；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5.提供房源图接口，调用接口可以提高选房效率，方便用户线上直观了解房源，根据房源图编号获取该项目房源图信息；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提供申请人员当前轮候信息接口，调用接口可以方便申请人查询轮候相关情况，获取申请人轮候中、待申请等状态的轮候信息包括申请人证件号，联系方式，是否有房，项目坐落，轮回状态，轮回时间，意向租金等信息。</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一网通办/随申办接口集_保障性租赁住房申请审核（新办和复核）项目及申请查询</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为一网通办保障性租赁住房申请审核（新办和复核）事项项目及申请查询提供一系列接口，具体包括：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提供项目查询接口，调用接口可以方便用户了解保租房项目供应相关情况，根据户型、租金、项目名称、行政街道、配租供应等条件使用集中配租常态配租等规则返回项目信息包括项目集中受理、集中供应、可租、轮候、房屋配套、便民等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2.提供项目视频接口，调用接口可以方便用户了解项目详情，根据项目编号获取该项目总览视频信息和项目视频封面信息；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3.提供项目视频封面接口，调用接口可以向用户展示项目预公告信息包括出租单位、计划供应时间、项目供应范围、预计租金水平等信息；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4.提供项目预告信息接口，调用接口可以获取上市项目的一些预告信息，包括项目套数、租金等信息；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提供申请案件摘要信息查询接口，调用接口可以通过证件号码查询主申请人或者共同申请人的有效案件（不予受理办结、审核不通过办结、合同退出、轮候解除、合同撤销、合同到期的案件属于无效案件）的摘要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6.提供最新申请信息接口，调用接口可以获取当前用户最新的申请信息包括申请时间，审核进度，项目名称，意向户型，审核意见等信息，方便用户查询和了解申请详情；</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7.提供预约看房信息接口，调用接口可以根据项目编号，获取该项目运营单位名称，联系方式，工作时间等信息，方便用户准确了解运营单位详情，提高预约看房效率。</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一网通办/随申办接口集_保障性租赁住房申请审核（新办和复核）业务办理及信息校验</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一、信息校验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为一网通办保障性租赁住房申请审核（新办和复核）事项信息校验提供一系列接口，具体包括：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1.提供项目及申请校验接口，调用接口可以判断项目是否为集中受理期、集中供应期，校验申请人是否已经存在申请案件或者轮候案件；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2.提供可租房源校验接口，调用接口可以用于判断剩余可租房源，除了集中配租项目受理期间不判断剩余可租房源，其他均需判断项目户型下是否还有剩余可租房源；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3.提供接口访问授权校验接口，调用接口可以校验不同用户访问接口是否具备许可权限，所有保障业务对接的一网通办通办/随申办业务鉴权统一使用此接口；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提供用户信息令牌接口，调用接口可以用于一网通办用户通过用户证件号，用户姓名等信息检索该用户是否为保租房合法用户，合法用户发放回授权令牌。所有保障业务对接的一网通办通办/随申办业务授权统一使用此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5.提供超时申请校验接口，调用接口可以校验用户轮候转申请是否超过24小时，校验成功可进入申请填写页面，校验不成功应该阻止用户填写申请数据，此时轮候状态会更新为超时放弃；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二、业务办理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为一网通办保障性租赁住房申请审核（新办和复核）事项业务办理提供一系列接口，具体包括：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1.提供区/市两级项目统计接口，调用接口可以方便用户了解区/市两级项目的相关统计信息，包括项目套数等；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提供用户提交申请接口，调用接口可以将部分摘要数据提交至后台业务系统，扣减剩余可租套数，当提交的是轮候转申请的案件，后台业务系统首先会校验提交时间与申请时间是否超过3小时，超时会拦截提交，轮候状态更新为超时放弃，此时应取消提交办件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3.提供放弃轮候接口，调用接口可以在用户放弃轮候时，将轮候中和待审核的轮候设置为自愿放弃且将户型表，可租剩余房源等信息恢复；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提供轮候提交接口，调用接口可以根据用户提交的轮候信息，检查是否可以轮候（是否存在当前申请及当前轮候）如果不存在轮候或者申请，则根据获取的项目编号获取项目信息，保存到轮候表，更新户型的轮候数量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5.提供用户提交申请回滚接口，调用接口可以删除申请相关的数据、常态化期间恢复扣减的剩余可租套数、轮候转申请的案件轮候状态恢复成待申请；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6.提供办件库中间表接口，调用接口可以查询用户提交申请但办件库无记录的数据信息。</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一网通办/随申办接口集_保障性租赁住房租赁合同网签备案和我要租房</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为一网通办保障性租赁住房租赁合同网签备案和我要租房事项提供一系列接口，具体包括：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1.提供合同文件查询接口，调用接口可以在网签状态为“乙方待签”状态下，获取的是甲方盖章的合同文件，网签状态为“备案” 状态下，获取的是完整的合同文件；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2.提供上传乙方签字的合同文件接口，调用接口可以在经过合同状态和合同一致性校验后，上传保存合同文件，记录乙方签字时间和更改合同状态；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3.提供保障性租赁住房合同撤销接口，调用接口可以在合同校验撤销后，撤销未完成签约的合同，解除人房关联关系，案件状态置为“合同撤销”，恢复户型表中剩余可租套数；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4.定制开发任务自动程序，调用数据治理部针对一件事专门提供的数据入湖接口，上报和同步更新保障性租赁住房房源数据；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5.定制开发任务自动程序，调用数据治理部针对一件事专门提供的数据入湖接口，上报和同步更新保障性租赁住房项目数据。</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一网通办/随申办接口集_共有产权保障住房满五年询价及转让（购买政府产权份额）申请审核</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为一网通办共有产权保障住房满五年询价及转让（购买政府产权份额）申请审核事项提供一系列接口，具体包括：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1.提供满五年询价接口，调用接口可以根据不动产权证，身份证件，坐落，产权人等信息获取该房屋价格相关信息包括小区评估均价、每平米单价、购买政府产权总价、价格有效期，是否满五年，房源地址等；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2.提供房屋校验接口，调用接口可以查询房屋是否是共产权房，非共产权房校验不通过，共产权房根据5年规则返回不同的价格信息；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3.提供签约申请人校验接口，调用接口可以在共有产权保障住房满五年转让时严格校验当前申请人是否是共产权房的签约申请人；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4.提供案件校验接口，调用接口可以在共有产权保障住房满五年转让申请时校验存在未办结重复案件，如果复审通过但是未签约、未付款等情形提醒用户去区保障机构处理，缴纳价款办结后也不允许再次申请；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5.提供家庭结构校验接口，调用接口可以在共有产权保障住房满五年转让申请时校验申请前后家庭成员结构，如有变化，不允许一网通办通办申请，提醒用户去区保障机构处理；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6.提供申请材料上传/下载接口，调用接口可以下载《购买政府产权份额申请表》《违规违约情况征询通知书》等材料，填写签字后上传材料。</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申请管理_街镇一门式申请信息传送管理、签收管理、企业线下新办申请</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1、街镇一门式申请信息传送管理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申请人至街镇一门式窗口办理廉租房、共有产权房申请后，街镇一门式系统调用住房保障系统提供的5个系统接口（包括：填报信息接收合规检查接口、填报信息接收传送接口、行政区字典接口、收入核对中心街道字典接口、居委会字典接口），把住房保障申请信息传送到住房保障平台，申请信息包括案件基本信息（姓名、申请类型等）、申请家庭人员信息（成员关系、收入等）、收件材料信息（材料名称、份数等）以及申请家庭住房信息（住房地址、性质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2、签收管理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廉租房和共有产权房的案件申请信息传送至住房保障平台后，经办人通过待签收案件列表输入一门式编号、申请时间段等查询条件，筛选并查看传送过来的申请详细信息（包括案件基本信息、申请家庭人员信息、收件材料信息、申请家庭住房信息等），经办人选择收件日期同时可对该案件申请信息进行签收操作，完成信息填写后，点击签收按钮把案件提交至受理节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3、企业线下新办申请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与保租房申请服务中，申请人可到运营企业前台现场提交申请材料办理资格新办，运营企业经办人借助企业线下新办申请功能，在新办申请案件列表中，新增录入申请案件的基本信息、家庭信息、住房信息等。录入过程中，经办人可对案件进行编辑、修改、暂存、保存等操作，最后点击提交，案件进入受理节点。</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申请管理_企业线下复核申请、街道一门式复核申请</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1、企业线下复核申请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复核申请服务中，主要支持资格到期重新办理和合同到期续租复核两套业务，经办人可前往运营企业前台申请复核，经办人进入复核申请案件列表，通过输入历史案件编号等查询历史资格案件信息，经办人根据查询结果判断申请人是否具备复核资格，若有资格，操作系统读取历史申请信息生成复核申请案件。经办人可对复核案件进行编辑、修改、暂存、保存、提交等操作，最后把复核案件提交至受理节点，同时，将历史案件编号与复核案件编号进行关联。</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2、街道一门式复核申请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廉租复核申请服务中，经办人点击复核，输入历史资格办件的受理编号、输入一门式编号，系统通过读取民政受理系统的复核案件申请信息及材料，经数据规则匹配通过后下载该户家庭的廉租房历史办件信息和材料文件，展示在廉租复核申请电子表单中。经办人选择收件日期，保存复核申请信息，申请案件提交受理。</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申请管理_“智慧好办”预填管理、企业线下申请材料管理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1、“智慧好办”预填管理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公租房资格申请和保租房网签备案服务事项的办件在申请人提交办件前，系统调用办件库通用预填接口，匹配事项服务编码，上传办件基本信息。公租事项上传办件基本信息、申请家庭数据、家庭房屋信息、所有申请人数据和自动生成的申请表电子档。保租事项上传办件基本信息，自动生成网签合同的预填文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2、企业线下申请材料管理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和保租房申请业务中，经办人收到申请材料后，借助材料管理功能进行材料分类、上传、查看、下载和保存，并进行必传材料校验，校验未传材料需拦截并提醒经办人补充上传，否则无法提交受理案件，但允许案件提交不予受理。对于申请人有电子证照的材料，经办人可点击电子证照，系统调用证照库获取申请人授权的文件。保租房文件材料可进行自定义文件名称命名，已上传材料可以删除后重新上传。</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是,全部使用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申请管理_申请案件校验、预审超时管理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1、申请案件校验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保租房、廉租房、共产房申请业务中，经办人在首次查看或录入申请信息时，都需要对申请人员进行申请案件数据校验，主要是进行申请资格条件检验，检验的时候需要关联查询申请人在多个保障房源品种是否有在办案件数据、是否有历史资格、是否有退出资格等情况。查询到的结果以列表形式且按照公租、保租、廉租、共有产权四个房源品种的重复案件信息展示。供经办人判断申请人是否满足申请条件。其中，保租房或公租房还需明确是否有合同签约数据、是否退出合同等。有签约数据的，需明确签约状态和签约项目信息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2、预审超时管理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和保租房申请业务中，设计了超时管理机制，对于保租房办件，若超过规定时间未预审通过或不通过，系统将自动预审通过并记录自动预审标签，且此类案件不会自动调用登记核查和公房核查接口；对于公租房办件，自申请提交至办件库后，若未签收受理出现超时情况，系统通过登录首页弹窗提示，并在审查页面展示超时案件信息及超时时间。</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申请管理_公租申请表管理、公租申请预检和待办理收取</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1、公租申请表管理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在公租房申请业务中，需要对申请表进行管理，系统基于申请人填报的申请信息，自动生成内容完整的申请表供经办人查阅，经办人对信息确认无误后，将信息提交至办件库，供后续案件进行审核的时候使用。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2、公租申请预检和待办理收取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申请业务中，在申请人提交办件前，系统匹配事项服务编码，调用办件库预检接口，针对预填内容进行预检验证。系统通过定时任务，批量读取办件库中的待预审办件。读取到办件库信息后自动下载待预审办件的结构化数据及材料。识别办件提交渠道并分别展示来源一网通办或随申办、案件类型区分是否复核案件。对于已下载的数据及材料展示在线上办件处理节点，经办人点击办理，可查看案件详情。</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是,全部使用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申请管理_公租线上办件管理-预审、公租市筹和区筹申请</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1、公租线上办件管理-预审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申请业务中，系统自动区分新办及复核类型案件，不同类型的案件采用不同的办理流程。办理过程中，系统能调用申请人证照并保存至系统，经办人可根据实际情况，选择将案件提交至受理节点或不予受理节点。对于预审通过的办件，系统会自动触发短信通知机制，及时告知申请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2、公租市筹和区筹申请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申请业务中，提供市筹和区筹申请功能，系统匹配申请人条件与房源筹集类型，自动给申请人分配受理机构。根据申请人选择的市筹或区筹项目进行分配。若为市统筹申请，系统将申请信息推送至市统筹受理机构；若为区筹申请，则分配至对应的区受理机构。</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申请管理_廉租申请个性填报</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在廉租房申请业务中，收集申请家庭特有的信息用于审核判断，系统提供特有申请信息填报功能，涵盖家庭低保、特困信息（如是否为低保特困家庭、享受低保特困是否满一年、是否为因病支出型贫困家庭等标识字段）以及经济财产信息。同时，要求申请人上传相关经济财产材料，以佐证填报信息的真实性。</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是,全部使用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申请管理_保租待办理收取、预处理、保租线下复核申请、保租人才申请管理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1、保租待办理收取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保租房申请业务中，系统通过定时任务自动读取在办件库中待预审状态的指定服务事项下的批量办件，下载办件信息，根据保租业务数据处理标准，按照申请家庭信息、人员信息、住房信息和文件列表进行数据重构，显示在保租的待办理列表中。点击查看案件，可查看案件详情。</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2、预处理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保租房申请业务中，保租房待办理预处理功能按照业务规则，对待办数据按照规则进行校验，确保数据准确性与合规性。校验一致后，经办人员可提交预审结果，若不通过则需设定理由，且对不通过理由的字数加以限制，以保证反馈简捷有效。预审通过时，系统自动调用不动产登记核查接口和公房核查接口，实现跨部门数据联动核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3、保租线下复核申请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保租房复核申请服务中，针对保租房的申请人已经签订的合同快要到期的时候，可前往运营企业前台申请复核，经办人新增复核案件，输入证件号码查询历史备案合同或正在备案合同信息，系统判断是否符合复核资格，并在前端给出相应提示语，经办人根据系统判定结果继续操作复核申请。若有资格，操作系统读取历史申请信息生成复核申请案件。经办人可对复核案件进行编辑、修改、暂存、保存、提交等操作，复核家庭结构和就业情况如未发生变化，则为快捷复核案件，不可修改基本信息，只允许补充上传文件材料。若家庭结构或就业情况发生变化，则为普通复核，经办人可编辑非主申请人以外的其他信息，并重新上传申请材料。最后把复核案件提交至受理节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4、保租人才申请管理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保租房申请业务中，有面向保租房人才群体的申请管理，人才申请数据来自随申办保租房一件事服务接口，主要通过申请办件信息中的“是否人才、项目所在区、意向户型”识别人才标签、人才所属区域、意向项目和意向户型，并进一步区分市级或区级人才。人才标识与网签备案关联，市级人才后续可签订保租系统内全部房源，区级人才仅可签订本区人才标识的保租房源。</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申请管理_保租人证校验、保租申请名额管理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1、保租人证校验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保障性租赁住房申请资格审核环节，针对证件类型为身份证的申请人，点击人员校验可进行人证一致校验。建设与公安部人员库之间的数据核验接口，在操作时，系统会调用该接口，发送申请人的证件号。接口会先判断身份证号码组成规则是否合理，之后返回核验结果，系统将结果详细记录。当保存申请人信息页面时，系统会再次校验认证是否通过。若未通过，会立即拦截提交，避免错误或虚假信息进入后续流程；若校验通过，申请人信息就能顺利提交受理。人证一致通过且具有准入资格后，在网签合同备案时，需要将签约合同推送证照库，对其进行身份证号的二次校验，校验通过，合同签约备案完成。校验不通过，备案失败，需要提示经办人检查数据内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2、保租申请名额管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保障性租赁住房申请业务中，申请人在随申办移动端保租房一件事提交办件或在房企现场使用业务系统录入申请数据时，需先选择项目和户型，再填写个人信息。系统将自动计算该项目该户型的已申请房源数据，并计算该项该户型的剩余可申请房源套数，实时锁定项目户型下的申请名额。当项目户型下申请人数大于供应房源数时，再有申请人提交申请，需进入轮候列队。当项目户型下申请人数小于供应房源数时，申请人可正常进入申请流程提交申请信息。当已取得准入资格的人放弃资格时，对应项目户型下的可申请房源数相应增加。</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申请管理_共有产权申请表管理、共有产权特殊情况填报管理、共有产权待申请收取和预检</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1、共有产权申请表管理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共有产权住房满五年申请购买政府产权份额业务，通过“一网通办”或现场方式向区住房保障中心提交申请。系统自动建立填报材料与申请表字段的映射关系。前端通过表单生成填报界面，用户通过填报界面输入信息。后端接收到输入信息后，依据映射规则将数据填充至申请表模板中，模板可提前设计好固定样式与动态内容区域。同时，对数据进行逻辑校验，确保信息完整准确。最后，系统将填充好的申请表导出为指定格式（如 PDF），供用户下载或打印。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2、共有产权特殊情况填报管理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共有产权保障住房申请家庭在填报完基本信息、申请家庭及同住人基本情况、住房情况和基本申请材料文件的基础上，还需要填报一些特殊情况，例如家庭成员的经济财产信息，并上传相关经济财产材料，如实上报家庭经济状况。本市户籍家庭需选择是否为优先保障对象，如需选择保障类型（如烈士遗属、见义勇为人员）、是否部队营连职干部、是否有征收安置情况、是否领取居住困难户保障补贴和是否有五年内取得货币补偿款情况等。非本市户籍家庭需选择是否为优先保障对象，如需选择保障类型（如烈士遗属、见义勇为人员、其他）、是否持有港澳通行证或台胞证、是否持有《上海市居住证》、居住证积分是否达到标准分值、社会保险或者个人所得税是否连续缴纳满5年。住房情况需上报本市房屋和非本市房屋情况及5年内出售或赠予房屋情况（在本市拥有的非居住类房屋，以及在本市以外拥有的居住类房屋和非居住类房屋计入申请家庭财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3、共有产权待申请收取和预检</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共有产权住房申请业务中，针对共有产权待申请收取和预检工作，系统会自动定时读取办件库中待预审的办件，对申请信息进行预检，如信息未填写完整，办件信息依旧会展示给经办人查看案件信息，但无法提交下一步。待2份申请信息完成后，经办人点击查看信息，可顺利提交申请。</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是,全部使用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申请管理_共有产权待申请预处理、共有产权购买政府产权申请、共有产权转让政府产权申请</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1、共有产权待申请预处理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共有产权住房申请业务中，在待申请预处理环节，系统会对申请人是否上传必传材料进行校验，并自动识别材料缺失情况。若存在未上传的必传材料，系统将自动拦截，禁止办件进入下一步流程。当材料上传齐全后，系统自动解锁，允许办件提交到受理环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2、共有产权购买政府产权申请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共有产权住房申请业务中，针对共有产权房政府产权购买申请的业务，经办人登录系统后，如有一网通办申请案件，则首页弹窗提示：“您有未处理的五年-购买政府产权份额新申请案件（一网通办）”。用户输入受理编号后，系统读取满五年产权相关详细信息及房屋数据，包括项目信息、坐落信息和产证号等关键要素。系统根据房屋总价和缴费比例自动计算本次需缴纳的金额，支持经办人手动修改，最终保存申请内容，点击提交至下一环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3、共有产权转让政府产权申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共有产权住房申请业务中，针对共有产权房转让政府产权申请的业务。用户输入身份证号后，系统调取满五年产权的详细信息，以及房屋的全面属性数据。在获取完整信息后，用户需填写转让价格等数据。系统会对填写的数据进行校验，包括数据类型、逻辑关系等，确保信息准确合规。完成校验后，将申请数据提交至受理环节。</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申请管理_申请信息统计分析、综合查询</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1、综合查询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申请信息综合查询模块，支持对案件信息、超时办件信息、一门式编号信息查询及短信发送日志查询等多类数据进行多维度查询。用户可根据案件类型、时间范围、办理阶段等维度检索申请详情；按部门、超时时长等维度筛选超时办件；通过业务类型、时间等维度查找一门式编号；依据发送时间、接收对象等维度查询短信记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2、申请信息统计分析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申请信息统计分析模块，可以对住房保障资格申请情况汇总分析。它记录申请人基本信息（如姓名、联系方式）、申请时间、申请类型（如公租房、共有产权房、保租房、廉租房等）、家庭人口数、收入状况等。通过该表，可统计各时间段申请总量、不同申请类型的分布情况，分析申请人群特征，如年龄、职业结构等。还能对比不同区域申请数量差异，为管理部门掌握申请动态、合理调配资源、制定针对性政策提供数据支持。</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受理管理_受理信息管理、受理分流管理、不予受理管理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1、受理信息管理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保租房、廉租房、共产房申请业务中，经办人可全面查看案件受理详情，涵盖基本信息、家庭结构、住房状况及材料文件等，确保信息完整准确。签收案件时，系统自动记录操作日志。针对重复申请案件，进行数据校验，避免重复申请。经办人依据判断填写审核意见，选择提交至下一审核节点或不予受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2、受理分流管理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保租房、廉租房、共产房申请业务中，面对受理节点大量案件，系统实现分流管理：公租案件由运营机构从待办箱签收至在受理箱，廉租和共有产权案件则由街道经办人完成这一操作。通过严格的权限管控机制，当前人员接收案件后，其他人员无法查看与操作，确保案件流程提交的唯一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3、不予受理管理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保租房、廉租房、共产房申请业务中，经办人可以通过不予受理功能，详细查看案件信息，填写不予受理原因，经数据校验后完成不予受理办结，并将办理结果推送至办件库。办结后，系统自动标记该申请人无资格，但下次重新申请时不拦截其资格。对于保租房，不予受理办结后，系统将智能释放该项目指定户型下的可申请人员名额数量，并与可租套数实时关联，确保房源信息准确。</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受理管理_受理通知书管理、受理补件管理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1、受理通知书管理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廉租房、共产房申请业务中，不同业务类型创建对应的通知书格式，在业务办理的受理环节，基于业务节点的判定数据，生成公租房受理/不予受理通知书、廉租房受理/不予受理通知书、共有产权房受理/不予受理通知书。生成的通知书内容涵盖关键业务信息。同时模块提供打印通知书服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2、受理补件管理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申请业务中，针对材料缺失的办件，经办人可精准选择需补件的文件名称，并录入详细补件信息，随后向申请人发起补件通知,提供多种渠道以方便申请人查询需要补件的具体内容。申请人拥有灵活的补件方式，既可选择线下补件并上传材料，也能通过线上一网通办/随申办入口便捷补件。补件完成后，系统将自动提交至办件库更新补件状态，及时同步线上数据，线下经办人能够快速审核补件材料，继续案件流程。业务系统实时获取最新办件状态，并全面记录各补件状态下的操作数据。</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受理管理_受理综合查询、统计分析</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1、受理综合查询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受理综合查询模块提供灵活的数据查询能力。违规违约查询功能可提供多种维度，如时间跨度、违规违约类型、涉及主体等，对违规违约信息进行全方位查询，自助终端访问量查询功能从不同维度，如终端位置、访问时段、访问用户群体等，查询自助终端访问量信息，以便分析终端使用情况，优化终端布局与服务策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2、统计分析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受理统计表，用于汇总、分析住房保障资格申请受理情况。它详细记录申请时间、申请人基本信息（如姓名、身份证号）、申请类型（如公租房、廉租房、保租房、共有产权房等）、受理状态（如已受理、待补件等）。通过该表，可统计各时间段申请数量、不同申请类型的占比，分析受理效率及高峰时段。不予受理统计表，聚焦于对住房保障资格申请中未被受理的情况进行系统统计与分析。该表详细记录申请人基本信息、申请时间、申请类型、不予受理原因（如材料不全、不符合收入标准等）。通过统计不同不予受理原因的数量及占比，可直观发现申请过程中的共性问题。同时，按时间段统计可分析趋势变化，为管理部门优化申请流程、完善政策宣传提供数据依据。</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核查管理_社保查询、婚姻核查</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1、社保查询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和保租房业务体系中，需要对申请人的社保信息进行核查。模块通过委中台调用接口服务查询社保信息。在调用过程中，严格遵循接口规范，精准配置各类参数，同时运用加密技术保障数据传输安全，防止信息泄露。获取到社保数据后，系统会对数据进行格式化处理，最终以表单形式在前端页面呈现，助力经办人高效完成社保审核工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2、婚姻核查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廉租房、共产房业务体系中，需要对申请人的婚姻信息进行核查。模块通过与大数据中心提供的婚姻数据接口建立安全、稳定的连接，通过调用接口以获取申请人婚姻信息。这一过程涉及数据通信协议处理、接口权限验证等技术环节。获取信息后，系统会进行严格的数据校验、格式转换，并安全存储至数据库，经办人可以通过婚姻核查结果页面查询相关案件婚姻信息，为婚姻审核提供准确、完整的婚姻信息依据。</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核查管理_户籍核查、公房核查</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1、户籍核查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廉租房、共产房业务体系中，需要对申请人的户籍信息进行核查。户籍核查模块支持生成并打印户籍协查单。申请人可依据该协查单与相关部门进行信息交互，经办人最终核实申请人户籍情况。这一过程涉及与外部系统的数据对接、信息格式转换以及协查单的规范化生成等复杂技术操作。通过该模块，能高效确认申请人是否通过户籍核查，为后续户籍审核提供关键依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2、公房核查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保租房、廉租房、共产房业务中，需要对申请人的公房信息进行核查。模块通过调用公有住房系统的公房核查接口，将构建的结构化数据发送至公房核查系统，这一过程涉及数据格式校验、传输加密等复杂技术，以保障数据安全与完整。随后，接收公房核查结果数据，并进行深度匹配分析。当数据匹配一致时，将核查结果清晰、直观地展示在相应界面，为审核人员提供公房核查依据。</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核查管理_不动产登记住房核查</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在公租房、保租房、廉租房、共产房业务中，需要对申请人的不动产登记信息进行核查。模块通过调用不动产登记核查接口，发送查询条件的结构化数据及核查结果数据，涉及数据字段的严谨映射与传输协议的规范适配。使用定时任务机制，自动、定时获取核查结果数据，确保信息及时性。获取结果后，进行复杂的数据匹配分析，当数据匹配一致时，将核查结果清晰呈现，为审核人员提供不动产核查依据。</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核查管理_征收安置住房核查</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在公租房、保租房、廉租房、共产房业务中，需要对申请人的征收安置信息进行核查。模块通过调用征收安置房核查接口，发送结构化数据及核查结果数据，此过程涉及数据字段的精准定义、传输协议的安全配置等复杂技术操作。随后，对接收到的数据进行深度匹配分析，当数据完全匹配一致时，将核查结果清晰、完整地展示在相应界面。这一功能为审核人员提供了准确依据，有效提升了征收安置核查的效率和准确性。</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核查管理_线下案件住房核查结果核验管理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在公租房、保租房、廉租房、共产房业务中，针对线下案件可以对申请人的住房核查结果核验。经办人依据业务需求发起住房核查结果查看申请，随后进入管理部门审核环节，管理部门需对核查结果进行确认，涉及数据比对、逻辑校验等多维度审核操作。只有当管理部门确认无误并反馈后，经办人才可获取核查结果。此流程有效保障了核查结果的权威性与准确性，避免信息误用，提升整体业务办理质量。</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核查管理_核查渠道管理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在公租房、保租房、廉租房、共有产权住房业务中，为满足多样化核查业务需求，核查渠道根据房屋数据源分为线上住房核查和线下住房核查。线上住房核查为保租房资格申请预审通过时需要调用大数据中心中台服务不动产登记住房核查接口，实时发起申请并实时获取住房核查结果。线下住房核查则依次向不动产登记、公有住房、征收安置房三方系统定时发起核查申请，隔日获取核查结果。这两种渠道设计兼顾了效率与时效性，有效应对不同场景下的核查需求。</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核查管理_核查结果管理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在公租房、保租房、廉租房、共产房业务中，核查结果管理是根据不同业务类型和核查类型创建各个不同的核查结果单和住房核查报告，同时系统根据类型自动将核查结果数据精准填入核查结果单。随后，依据预设算法进行人均住房面积计算，计算完成后，由经办人根据规则勾选是否通过住房核查。最后，系统支持一键打印住房核查报告。</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核查管理_核查不通过管理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在公租房、廉租房、共产房业务中，系统在受理、初审、审核多个节点会校验经济核查/住房核查/婚姻核查的核查结果，校验出任意一个核查不通过，系统都会强制要求案件提交不通过处理，选择不通过类型，填写不通过理由（要求15字及以上）填写案件审核意见，办结案件。系统会自动触发按户型恢复可租房源套数机制，实时更新房源库存信息。案件审核结果推送办件库，不通过理由推送办件库供申请人查看。系统同步注销该户家庭的资格在审名额，使其再次申请时通过重复申请校验，顺利提交新申请。</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核查管理_委托经济核查、中止经济核查</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1、委托经济核查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廉租房、共产房业务中，核查人员可便捷查看经济核查家庭基本信息，同时能够上传核查委托书，并且详细填写核查起止日期及范围，住房保障平台通过安全标准接口将结构化数据与文件材料同步给民政经济核查中心，同时向经济核查中心发起经济核查委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2、中止经济核查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廉租房、共产房业务中，中止经济核查主要功能为住房保障平台能够实时接收来自民政经济核对中心系统的中止状态数据，读取核对中心的中止核查报告，并支持报告打印，便于存档与查阅。在中止状态下，允许民政受理系统撤回申请案件，同时可重新发送中止补充信息及材料。系统接收到这些信息后，会自动对结构化数据及文件材料列表进行更新。</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核查管理_继续经济核查、延期经济核查、终止经济核查</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1、继续经济核查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廉租房、共产房业务中，当中止补充信息获取后，经办人需依据案件类型选择审核大类和小类，随后上传继续核对通知书，并详细填写、保存继续核对说明，点击委托后，系统通过继续经济核查接口获取经济核对中心的核对指令，最后将通知书及案件信息准确发送给民政经济核对中心，继续进行经济核查流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2、延期经济核查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廉租房、共产房业务中，延期经济核查主要为应对业务中的特殊情况。首先会校验当前核查状态，经办人依据案件特性选择审核大类和小类，上传延期核对通知书并填写、保存详细延期核对说明后，点击委托按钮，系统会通过延期经济核查接口与经济核对中心进行交互，获取核对指令。最终将核对通知书及案件信息准确发送到民族经济核对中心，完成延期经济核查流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3、终止经济核查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廉租房和共有产权住房业务中，终止经济核查就是当经济核查已成功委托后至出具报告前的时间段内，业务场景可能因多种因素（如申请家庭主动放弃等原因）发生动态变化时，经办人可选择审核大类为终止核查，选择核查小类，填写操作理由，点击保存上述内容，点击发送。终止核对请求的数据会通过大数据中心中台服务的经济核对接口发送给民政经济核对中心。待民政核对中心更新终止核查数据后，廉租系统通过中台接口获取终止核对状态后，更新廉租系统经济核对状态，案件可继续审核提交下一步。</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核查管理_经济核查报告管理、核查操作日志管理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1、经济核查报告管理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廉租房、共产房业务中，经济核查报告管理主要功能是实时检索民政经济核对中心核对状态，当状态显示为出具报告时，会精准读取报告详细数据及PDF文件。随后，进行数据匹配操作，确保数据一致性。匹配成功后，系统自动将核查结果数据填入系统页面相应字段，减少人工录入误差。经办人根据结果勾选是否通过经济核查，若通过可提交审核，不通过则需提交审核不通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2、核查操作日志管理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实时记录经济核查业务流程中各操作人和核查状态数据的更新记录。包括操作时间（格式yyyy-mm-dd 00:00:00）、操作人和操作类型。操作类型通过这些动态操作（委托经济核对、接收中止核对、发送继续核对、发送延期核对、发送终止核对、读取经济核对报告）实时获取操作时间并记录。通过将这些信息进行整合展示，为业务审计、问题排查提供了详实依据。</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核查管理_低保核查、低保年限管理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1、低保核查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廉租房业务中，低保核查主要是建设与大数据中心中台服务接口，借助该接口，以身份证号为关键标识，精准查询低保、特困信息，信息获取后保存至住房保障平台，并开展复杂的数据格式比对工作，涵盖字段类型、长度、取值范围等多维度校验，保障数据质量。比对通过的数据，会以清晰直观的表格形式展示，便于审核人员快速查阅与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2、低保年限管理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基于低保核查返回的低保发放的详细月份记录，系统运用固定计算公式自动计算低保享受时长，以13个月为判定标准，精准判断该户家庭低保享受是否满一年。此计算并非简单的数值累加，还需考虑数据完整性、异常情况处理等复杂逻辑。低保年限计算结果在低保核查报告中体现，低保满一年的申请家庭无需进行经济核查，低保不满一年的家庭需进行经济核查。</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核查管理_死亡信息查询、出租人银行卡校验、罪犯信息核查</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1、死亡信息查询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廉租房业务中，死亡信息查询主要是构建与委中台的数据接口，通过该接口高效、精准地查询申请家庭中所有成员的死亡信息。此过程涉及海量数据的快速检索与精准匹配，查询结果将以清晰直观的表单形式展示，涵盖成员姓名、身份证号、死亡时间等关键信息，这一模块为后续业务审核提供了数据依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2、出租人银行卡校验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建设与委中台的银行卡校验接口，在住房保障租金补贴发放业务中，每日定时对所有正在享受租金补贴的出租人上报的银行卡进行有效性校验。系统记录校验结果中的正常及异常信息，在区经办人登录系统后，通过弹窗提醒的形式以核查结果列表样式展示给系统用户查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3、罪犯信息核查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廉租房业务体系中，在初审环节增加罪犯信息查询功能，建设与委中台的罪犯信息实时查询接口，通过身份证号查询申请家庭中所有成员是否有范围信息，如有，则查询结果以表单形式展示，涵盖姓名、证件类型、证件号码、户籍地址（省、市、区）、户籍地址、编号、罪犯状态、刑期起日、执行刑期止日、矫正类别 在册状态 矫正起始日期 矫正结束日期、 编号、离监类别和入监日期等关键信息。涉及三个编目数据，初始查询使用证件号查询，查得罪犯编号后需使用罪犯编号查询矫正类型等信息。</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核查管理_机管局专项核查</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与机管局系统建立接口服务，接收机管局提交的核查名单，通过比对证件号，查询该人员的在保及历史案件情况和本市住房情况。在保及历史案件情况主要查询其在本保障体系内的历史申请案件及保障资格信息进行严格校验，以列表形式展示各保障品种的案件信息。本市住房情况主要核查目标人当前在本市的房产信息，房屋类型包括登记产权房、公有住房和征收安置住房的房产情况。最终生成核查报告，并开放数据共享接口，供机管局调取核查结果的结构化数据和PDF格式的核查报告文件。</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核查管理_机管局二次核查</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针对在机要局专项核查中发现有房产信息的人员，将提醒经办人可进行二次核查。二次核查通过不动产登记中心的全量产权核查接口，查询目标人的房屋信息，包括具体坐落位置、室号、面积等基础信息。查询历史产权交易记录，包括交易时间、房屋坐落、产权变更前后双方等关键数据。最终生成专有的“不动产权住房情况核查报告”，并开放数据共享接口，供机管局调取核查结果的结构化数据和PDF格式的核查报告文件。</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核查管理_机管局批量核查</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针对机要局专项核查及二次核查业务为集中式、大流量业务需要，存在某一时期的高并发性，批量核查可针对大量申请对象同时开展核查工作。它需整合多源异构数据，包括机管局、不动产登记、物业中心、征收处等多部门信息，在复杂的数据关联与比对逻辑下，快速且精准地核查申请对象的资格条件，如历史申请案件信息、房产等情况。</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核查管理_核查综合查询、核查统计分析</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1、核查综合查询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核查综合查询模块，包括住房核查查询、犯罪信息查询、银行卡校验查询、违规违约查询，支持从不同维度对各类核查信息进行全量查询，查询结果以列表形式展示，部分查询结果支持二次点击跳转详情，查看更多详细信息。住房核查查询，可快速查询核查进度，主要查询结果包括住房核查状态、住房核查起止日期及核查信息，可点击核查信息查看核查结果明细。犯罪信息查询，记录每月三次核查结果数据，主要查询结果包括犯罪类型、刑期起日、执行刑期止日，严格把守保障对象的合规性，应保尽保不盲保。死亡信息查询，记录每月三次核查结果数据，主要查询结果包括查询日期范围、是否死亡、家庭。银行卡校验结果信息查询，每日更新核查结果数据，主要查询结果包括银行卡号、校验结果等数据。违规违约查询，记录案件受理环节中的违约查询记录，实时更新查询结果，主要查询结果包括是否违规违约、违规违约类型、记录时间等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2、核查统计分析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核查统计分析模块，包括户籍核查统计表、住房核查统计表、经济核对统计表，旨在核实申请人是否符合住房保障条件。该功能通过多渠道获取申请人信息，如对接公安、民政、人社等部门数据，核查其户籍、婚姻、收入、资产、住房等情况。筛查不符合条件的申请人，如收入超标、拥有多套房产等，对有疑问的申请进行深入调查，最终出具相应的核查报告。核查结果实时反馈，为后续审核流程提供审核依据。</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审核管理_初审管理、初审公示</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1、初审管理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廉租房、共产房审核业务中，初审管理主要功能是对案件受理的接收、受理登记以及详细核查等环节，经办人需全面收集核验初审案件申请、受理、核查等信息，填写初审意见提交初审核定，主要核定初审意见与案件情况是否匹配，如该申请家庭不符合保障享受条件，可提交初审不符合做案件办结。不符合办结的同时会注销资格在审名额，不影响该申请家庭下次重新提交申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2、初审公示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廉租房、共产房审核业务中，初审公示环节，经办人可在此查看初审意见，并填写详细的公示信息，包含公示起止时间、显示地址等，确保公示信息完整准确。公示期满后，需记录有无异议、公示意见及核实结果。若公示无异议，经办人需认真填写初审公示意见，经审核无误后提交至下一环节。</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审核管理_复审管理、网上公示</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1、复审管理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廉租房、共产房审核业务中，初审通过的案件进入复审环节，复审人员需对初审情况进行深度复核，涵盖申请家庭收入、住房状况等关键信息查询和核验。复审通过后提交复审核定，严格比对复审意见与案件实际是否契合。若不匹配，可提交复审不符合，系统同步注销资格在审名额。但此操作不影响申请家庭后续重新申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2、网上公示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廉租房、共产房审核业务中，网上公示是审核的一个重要节点，复审通过后需进行网上公示，填写网上公示信息，包括公示开始时间和结束时间、公示显示地址。待公示时间结束，填写公示期是否有异议、公示意见和核实结果。如无异议即公示通过，则填写网上公示意见后提交网上公示核定，主要核定网上公示的情况。</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审核管理_准入管理、删除管理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1、准入管理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廉租房、共产房审核业务中，对申请对象进行最终审核，即确定准入资格。保租房系统根据自主申报和数据生成申请表；填写准入信息，包括准入条件和优先组信息；填写审核意见，确认审核通过办结。审核结果同步推送主题库和办件库。系统自动生成准入资格单，并精准读取业务办理机构信息，将其写入准入资格证落款处。同时，调用数字认证中心 CA 签章服务，生成具有法律效力的电子签章文件。凭借有效的准入资格，申请对象可在保障平台中开展签约备案。</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2、删除管理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公租房、廉租房、共产房审核业务中，针对处于审核中的案件，经办人可发起删除申请操作。该申请需经市级业务严格审核，审核通过后，系统将精准删除案件的申请审核记录，使其不再于业务系统主界面显示。然而，为保障申请人权益，通过接口将案件数据共享到办件库，申请人仍可在“我的办件”中查询该办件信息。</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审核管理_审核结果文件管理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公共租赁住房申请审核通过后，无需人工手动输入准入资格证的起止日期，系统会自动读取当期日期计算有效期，并发放准入资格编号。同时，依据案件的详细数据，自动生成《上海市公共租赁住房准入资格证》，明确有效期为2年。申请人凭借此准入资格证，即可进行公租房网签备案业务，公租系统为网签系统提供查询资格证信息的接口服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廉租住房申请审核通过后，系统同样自动计算有效期并发放登录编号，生成《上海市廉租住房申请家庭登录证明》，有效期设定为3年。申请人凭借该登录证明信息，可进行租金配租业务。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共有产权保障申请审核最后一步，经办人输入登记资格有效的起止日期，审核通过办结后，系统发放登录编号，并根据案件数据生成《上海市共有产权申请家庭登录证明》，有效期为3年。申请人可凭借此登录证明信息，进行轮候摇号及选房。</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审核管理_短信管理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在公租房、保租房审核业务中，新增受理机构信息维护模块，经办人维护编辑运营公司代码、运营公司名称、运营公司代码和运营公司电话，维护的内容将通过案件中的手机号信息，以短信形式发送给申请人，确保信息传递的及时性与准确性。短信发送具备自动与选择性两种模式。在审核流程的关键节点，如待办理、审核通过办结时，系统自动实时发送短信，让申请人第一时间掌握业务动态。而在不予受理办结、审核不通过办结等特殊节点，经办人可自主选择性告知申请人案件受理情况，增强沟通的灵活性。此外，短信发送记录以清晰的列表形式呈现，经办人可随时查询短信发送详情，便于追溯与统计。</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审核管理_倒计时管理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在公租房、廉租房、共产房审核业务中，新增针对申请人提交申请成功至案件办结前的倒计时管理功能，以工作日为计算基准，精准把控业务办理进度。系统会对倒计时数据进行统计，为业务分析与优化提供数据支撑。同时，支持查询展示列表功能，经办人可直观查看各案件倒计时状态、剩余工作日等信息，及时发现超期风险，提前干预，确保案件按时办结。</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审核管理_共有产权供应方案</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在共有产权住房资格审核的复审环节，点击申请人案件详情，进入“供应方案”选择，系统根据案件申请中的申请人数量自动计算配售人口，但仍支持重新选择配售人口。系统字段计算缺额建筑面积及配售户型等核心要素，但仍支持重新在合理范围内的手动编辑数据。</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住房保障资格管理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审核管理_审核综合查询、审核统计分析</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1、审核综合查询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审核综合查询功能，旨在为经办人提供便捷的查询渠道，使其能够快速查询住房保障家庭的审核进度与审核结果。同时，在审核过程中，系统会通过短信等方式及时通知申请者审核结果，确保信息传递的及时性。审核办结分为初审不通过办结、复审不通过办结、审核通过办结、办结后自愿放弃等多种分类结束的状态，为用户提供统计案件办结类型的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2、审核统计分析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审核统计分析功能，主要是收集审核通过、未通过及待审核的申请者数量，按家庭类型、申请区域等维度分类统计审核结果。分析审核未通过的主要原因，审核通过的人群、项目分布、意向户型等，通过生成可视化图表与报告，管理部门可直观掌握审核动态，优化审核流程，确保住房保障资源精准分配给符合条件的家庭。</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住房保障轮候及选房管理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轮候管理_轮候方案管理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轮候入列标准：根据不同保障房源轮候规则接收轮候入列名单；轮候在列管理：设定合理的轮候期限，实时记录并展示申请人轮候顺序、状态等信息，支持信息变更处理，还能按规则动态调整轮候次序；轮候出列条件：如轮候时长达到规定期限，优先考虑长期等待者；依据家庭困难程度，优先保障特困、低保等特殊家庭；还会结合房源类型与申请人需求匹配度，如特定户型适配特定家庭人口结构。当申请人满足任一或多项既定条件时，系统自动判定其符合出列标准，触发后续分配流程，确保保障房精准分配；轮候退出机制：当申请人出现不符合轮候条件（如收入超标、已购住房）、主动放弃轮候、提供虚假信息等情况时，系统自动触发退出流程，及时将其移出轮候队列，保障轮候公平有序。</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住房保障轮候及选房管理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轮候管理_轮候报名管理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公租房的申请家庭在具备有效准入资格的情况下，可通过该模块进行轮候报名，需详细填写意向表，涵盖家庭基本信息、意向房屋区域、项目及户型等内容，系统自动生成轮候报名申请表，并支持经办人打印申请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共有产权住房的申请家庭在具备有效准入资格的情况下，自动进入轮候状态。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保租房轮候报名由我要租房保租房服务移动端提交轮候报名。</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住房保障轮候及选房管理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轮候管理_轮候队列管理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在公租房轮候方面，以获得准入资格日期为首要排序要素，资格日期越早，排序越靠前，且需在准入资格证有效期内。同时，为特殊人群开辟优先选房通道，按各区规则保障其权益，选房成功后可进行网上签约。直至签约完成，视为轮候出列。</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在共有产权房轮候中，获得准入资格后自动进入轮候列队，选房前需要表达选房意愿，由经办人在系统中标记1次标注、2次标注或未标注。意愿标注人员方可参与后续的选房业务。直至签约完成，视为轮候出列。</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保租房列队数据通过大数据中心中台服务接口获取，列队数据包括项目信息、申请轮候信息、家庭信息、意愿承租信息、联系电话、轮候状态、轮候次序和剩余可租套数。当有房源时，经办人点击申请审核，提示申请人可以在移动端提交资格申请信息。或轮候期间存在申请人自愿放弃的，由经办人在系统点击自愿放弃，完成轮候放弃，申请家庭可重新选择其他项目或户型提交新的资格申请。轮候转申请成功和自愿放弃轮候均视为轮候出列。</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住房保障轮候及选房管理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轮候摇号_摇号管理、摇号工具-摇号执行、摇号结果管理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摇号管理。在共有产权房轮候业务场景中，摇号管理模包括摇号公告功能，及时向社会及轮候人员公布摇号相关信息。同时，系统可精准选定轮候人员，自动生成通知摇号文件，保障信息准确传达。此外，支持导出待摇号人员清单，方便经办人进行数据核对、备份及后续操作。摇号结果需导回到系统中，完成摇号工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摇号工具。摇号工具因建设年数已久，都是适配老电脑老系统版本，且代码、开发技术老旧。现根据用户市保障中心要求，进行工具的改造翻建，进行国产化系统适配改造。市保障中心2025年正在采购新电脑，专门用来安装摇号工具。此次改造翻建的摇号工具需与新电脑适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摇号前先将系统中待摇号人员批量导出。打开摇号工具，第一步，自定义设置每次摇号的标题，点击确认。第二步，设定起始编号，将待摇号人员所在的表格导入到摇号工具中，页面提示导入成功。第三步，点击摇号设定，设定好“开始间隔时间(秒)”以及“摇号间隔时间(秒)”后点击“开始摇号”。页面展示动态摇号页面，点击开始摇号，页面实时展示已经排序对象数量和等待排队对象数量。摇号名单部分按需显示每一个出具摇号结果的人员信息。直至全部摇号完成，页面提示摇号完毕，并显示参与本次摇号的总人数和目前已经摇号的总人数。点击确认，提示导出摇号结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完成摇号后点击数据导出，将摇号产生的结果数据按照规格要求导出工具，导出文件格式为XML或EXCEL，点击退出，退出摇号工具。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3、摇号结果管理。将摇号工具导出的摇号结果再通过业务系统中的导入摇号结果功能导入到住保平台。选中轮候列队中的人员，点击“打印轮后序号证明”将轮候序号打印出来，至此，摇号流程结束。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摇号工具需要支持单机部署，也要确保摇号过程完全随机、不可预测，杜绝任何人为干预的可能性。</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住房保障轮候及选房管理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轮候选房_选房管理、选房工具-选房执行、选房结果管理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选房管理。在住房保障共有产权轮候选房业务中，具有轮候序号的家庭可在线上或线下业务系统中表达选房意愿，意愿信息同步到平台选房管理中。之后，各区根据选房意愿会通知家庭线下看房选房，让家庭直观了解房源情况。最后，经办人将选房结果精准导入业务系统，实现选房流程的线上线下一体化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选房工具。选房工具因建设年数已久，都是适配老电脑老系统版本，且代码、开发技术老旧。现根据用户市保障中心要求，进行工具的改造翻建，进行国产化系统适配改造。市保障中心2025年正在采购新电脑，专门用来安装选房工具。此次改造翻建的选房工具需与新电脑适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选房前需先将业务系统中待选房清单导出系统，已备导入选房工作使用。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第一步，打开选房工具，点击导入将待选房人员名单导入工具。页面提示上传成功。第二步，点击报道，将每户家庭的条形码信息输入工具，页面显示申请人基本信息，点击确定报道成功。第三步，可选择性进行预选房。第四步，点击正式选房。该操作只执行一次！页面显示房源信息，确定选房，页面提示导出选房确认书。第五步，如当即未打印选房确认通知书，可点击工具中的业务操作按钮补打选房确认书。点击大屏可实时显示本批次选房情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选房结果管理。本场选房操作完成后，点击导出，可将加密且非明文的选房结果文件导出选房工具，以备导回住保业务系统，建立人房关系。点击选房工具的打印房源，可打印本批次全部房源，其中已确认选房的房源会显示人员信息。点击已选房大屏可实时查看已选房情况。点击解除选房，可现场解除选房关系。将导出的选房结果文件导回再通过业务系统中的导入选房结果功能导入到住保平台。至此，选房流程结束。</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住房保障轮候及选房管理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轮候个性化定制_公租房批次管理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公租房轮候成功后，先新建批次，选定房源、确认批次周期，建完批次分配各户型对应人员数量。批次未发布之前，支持编辑批次、关闭批次</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住房保障轮候及选房管理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轮候个性化定制_公租房预约看房管理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轮候租户在前端选中批次房源后，可一键完成要房申请并同步预约看房时间，后台同步展示预约记录，并支持取消预约、修改预约看房时间</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住房保障轮候及选房管理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轮候统计分析_工作节点任务量统计、选房工作进度表</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工作节点任务量统计。轮候统计分析功能，包括工作节点任务量统计模块聚焦于全市及各区在轮候和选房关键时期，对各维度数据量进行全面、精准统计。涵盖轮候家庭数量、选房意向分布、不同区域房源需求等多方面数据。通过深度挖掘这些数据，能够清晰洞察住房保障工作的进展与瓶颈。</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选房工作进度表。选房工作进度表功能，能够自动生成各保障房项目的已选房和可选房数量报表，直观呈现房源供需状况。同时，还可生成各区总选房户数、已选房户数、未选房户数以及放弃选房户数的详细报表。这些报表通过多维度数据统计与分析，为管理部门提供全面、准确的选房工作进展信息。</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住房保障轮候及选房管理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轮候队列研判_保租房轮候研判、配售型保障房轮候分析、房源轮候趋势分析</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1、保租房轮候研判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对保租房按照行政区划、板块、项目、户型等分析轮候到申请户数、轮候到申请天数、轮候等待中户数、轮候等待中天数等指标。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2、配售型保障房轮候分析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对配售型保障房家按照行政区划、意向区域、项目等分析入库户数、入库到签约天数、入库阶段（审核通过、一次报名、一次摇号、一次选房、二次报名、二次摇号、二次选房等）的户数、轮候天数等指标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3、房源轮候趋势分析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按时间序列，分析等候到申请户数、轮候到申请天数、轮候等待中户数、轮候等待中天数等统计指标的逐月趋势变化的同比、环比情况</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住房保障轮候及选房管理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房源供需研判_房源供应区域分析、综合分析研判</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1、房源供应区域分析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按照行政区划、板块、项目、户型等分析可申请房源数、轮候等待中户数、供需比率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2、综合分析研判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结合供给侧的项目、板块、基地、房源的数据，需求侧轮候的申请户数，轮候天数，申请对象的家庭结构、综合分析展示轮候情况态势。</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住房保障轮候及选房管理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申请人研判_申请人分布结构分析、申请轮候优先组分析</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1、申请人分布结构分析：按照家庭结构、年龄等分析申请转轮候户数、轮候等待中户数等情况。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2、申请轮候优先组分析：按照经济收入、住房情况、行业情况等优先组条件符合情况等，分析各优先组的数量、组成比例等。</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住房保障轮候及选房管理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申请人研判_申请家庭保障路径分析</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基于申请人历史申请记录，分析申请人在同一品种内不同项目的申请、申请转轮候、自愿放弃等路径数量，分析跨品种的申请路径数量。通过申请用户的申请行为，了解用户需求实现路径，为优化政策提供依据。</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住房保障网签备案管理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合同管理_登记合同</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针对已有资格的租户，支持一键录入合同，通过输入当前租户的资格证号，可调取资格库中该租户的姓名、性别、证件号码、手机号等承租人信息。同时填写合同的基本信息，包括合同属性、合同类型、交租方式、合同起始和合同截止时间等。若有同住人或临时人信息，也可一键添加同住人或临时人的姓名、证件号码、手机号、关系字段。信息填写完成后，当前合同为签约状态，可支持编辑合同、取消合同。</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住房保障网签备案管理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合同管理_批量导入、下载、打印合同</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持一键批量导入合同，系统提供下载导入模板，按照导入模板填写好表格中的合同编号、合同属性、合同状态、合同类型、签约日期、合同起始、合同截止、交租方式、项目编号等合同详细信息。支持批量下载合同详细信息、下载合同、打印合同。</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住房保障网签备案管理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合同管理_合同签约、合同流程图</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合同签约：合同签约分为线上签约、线下签约。线下签约针对签约状态下的合同，系统支持一键生效，生效后记录此份合同的生效时间。线上签约系统支持对接线上电子签章，可发送签约链接短信至承租方手机或接入随身办，发送至个人待办事项，从而实现线上签约流程。系统支持打印电子签章后的合同内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合同流程图：以流程图的形式展示合同流程节点，从合同修改、合同签约到打印合同、打印备案、续租、申退、主承租人变更。合同走到相应节点后，对应节点高亮展示。且支持查看合同详情，包括承租人、合同、房源、同住人、临时人详细信息。</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住房保障网签备案管理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合同管理_备案通知书管理、模板管理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备案通知书管理：针对所有合同，可支持点击打印备案通知书，后端立即调用制证接口，前端页面出现备案通知书预览页面，页面包括出租人、承租人、居住使用人、租赁房屋坐落、租赁部份、租赁面积、租金、租期、备案有效期、备案日期、打印单位等字段，也可直接下载备案通知书。同时支持配置打印权限，各区运营机构只可打印有权限的备案通知书.针对单位合同有效期内，有新的同住人入住的特性场景，也可支持补打备案通知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2、模板管理：针对不同房源品种，支持配置不同房源配种且不同小区的合同模板，支持下载合同模板、上传合同模板、支持在线预览。</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住房保障网签备案管理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保租合同定制化_补充条款模板管理、房屋状态可视化管理、可签户型管理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补充条款模板管理。在保租房合同管理业务中，补充条款模板管理支持根据不同业务类型需求新增不同的补充条款模板，也可对现有模板进行编辑、查看，确保内容准确无误；具备提交与删除功能，实现模板的有效流转与更新。同时，引入审核与回退机制，审核环节严格把控模板质量，回退功能则允许在发现问题时及时修正，审核通过的模块，提供模板服务，能够被签约调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房屋状态可视化管理。房屋状态可视化管理就是以房屋最小租赁单元为基础，采用矩阵式展示方式，清晰呈现房屋布局。通过不同颜色区分处于不同状态的房屋合同，让经办人一眼即可掌握房屋租赁动态。同时，直观展示租客姓名、房屋面积、房型等关键信息，实现房屋信息的全面集成与可视化呈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3、可签户型管理。在住房保障保租房业务中，可签户型管理具备自动匹配功能，当签约户型与承租人意向户型完全一致时，系统自动将承租人信息精准显示在预签列表中。</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住房保障网签备案管理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保租合同定制化_草签管理、乙方待签管理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草签管理。在保障性住房保租业务中，合同草签管理除了草签合同的维护以外，还需要同时支持选定甲、乙方完成人房精准关联，编辑并保存合同内容时，严格限制合同开始日期不得超过当前日期前30个自然日。同时，草签合同可以随时换签承租人，且被草签人员自动从其他房屋合同预签列表中删除，避免信息冲突与重复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乙方待签管理。在保租房合同签订业务中，乙方待签管理规定乙方待签合同具有不可更换承租人，同时可同步接收来自一网通办申请端的合同签订成功备案数据或撤销合同数据，并据此更新平台中的合同状态。</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住房保障网签备案管理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保租合同定制化_快速签订管理、电子签约管理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快速签订管理。在保障性租赁住房合同签订流程中，打通了合同签订与备案环节，构建了“签订即备案”场景，草签合同经快速签订操作后，能直接完成合同备案，并即时生成备案通知书，缩短了业务办理周期。同时，将合同文件精准推送至主题库、证照库、办件库，备案数据同步推送至大数据电子证照库，可以生产电子备案书，提供预览和下载功能，实现多系统间数据实时共享与交互。</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电子签约管理。电子签约管理具备智能化的签约流程管理能力，出租方可主动向承租方精准发起签约邀请，并将签约信息从线下保障平台推送至线上（一网通办或随申办）办件库，实现线上线下联动签约，待承租人可以在线上完成签订后，线下平台自动同步线上办件库合同数据，实时更新住保平台中的合同数据，确保多端数据状态同步集成，主要为了简化了签约流程，方便保障对象。</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住房保障网签备案管理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保租合同定制化_合同网签备案打印、退出网签备案、锁定和解锁管理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合同网签备案打印。在住房保障网签业务流程中，合同网签备案打印主要具备合同文件生成与处理能力，能快速生成合同文件，并提供预览功能，方便用户预览检索。同时，通过与大数据电子证照库深度集成，可精准生成备案电子通知书并进行下载预览。</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退出网签备案。在住房保障网签业务管理流程中，退出网签备案模块支持对已完成人房关联的合同进行退出操作，能精准更新房屋与人员为未关联状态，确保数据一致性。同时，退出操作后系统设定房屋不可使用，防止房屋在未完成后续处理前被重复操作或误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锁定和解锁管理。锁定和解锁主要管理房源的锁状态，对于未锁定房源，既支持管理人员手动锁定，以应对特殊管理需求；又能依据房源属性“不可出租”自动识别为锁定状态，实现智能化管控。锁定后的房源无法进行出租操作，确保房源处于可控状态。若需出租，必须先解锁房源。</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住房保障网签备案管理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共有产权合同定制化_预售合同管理、出售合同管理、定金合同管理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预售合同管理。在住房保障共有产权住房出售业务中，共有产权预售合同管理聚焦预售合同全生命周期管理，合同可查询、签订、保存、变更和撤销等操作。主要流程为输入受理编号，选择预售合同类型，选择并确定权利人，再编辑详细的预售合同内容，最后保存，需提交至已签合同，不动产登记中心通过数据授权服务校验合同信息，从而保障家庭可至不动产登记中心办理预告登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出售合同管理。在住房保障共有产权住房出售业务中，共有产权出售合同管理聚焦出售合同全生命周期管理，合同可查询、签订、保存、变更和撤销等操作。主要流程为输入受理编号，选择出售合同类型，选择并确定权利人，再编辑详细的出售合同内容，最后保存，需提交至已签合同，不动产登记中心通过数据授权服务校验合同信息，从而保障家庭可至不动产登记中心办理产权登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定金合同管理。在住房保障共有产权住房出售业务中，共有产权定金合同管理主要是定金合同全生命周期管理，由房地产开发企业与共有产权保障住房申请户申请人代表协商一致签署定金合同。由开发商操作查询、签订、保存、变更、撤销等操作。。</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住房保障网签备案管理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共有产权合同定制化_房屋交接书管理、不动产登记业务协同</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房屋交接书管理。保障共有产权业务中，在预售合同签订后，真实交接房屋时启动《上海市共有产权保障住房房屋交接书》签订流程。用户输入受理编号并点击新增后，进入交接书签订环节，系统根据申请人身份证号绑定的选房关系，自动读取房屋坐落信息且不可修改、输入不动产权证（大产证）号、已付清总房价款、其他备注信息、选择签订日期，填写完成后点击保存。房屋交接书中的房价信息将作为后续办理满五年业务申请表中的价款数据源被读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不动产登记业务协同。保障共有产权业务中，不动产登记业务协同主要在于深度对接不动产登记系统，搭建已签合同数据查询与下载接口，实现数据互通，保障登记系统能调用已签合同推进不动产权登记业务。同时，建立严谨的合同撤销机制，若需撤销合同，需先调用不动产登记接口查询产权信息，确认无有效产权信息后才可操作。</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住房保障网签备案管理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续租管理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针对在租合同，可对此份合同操作续租，点击后进入续租合同页面，可修改当前合同的承租人信息、合同属性和合同类型等合同信息、同住人和临时人信息。同时需要判断续租租户是否有资格续租当前合同，如若资格都符合，则续租成功。</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住房保障网签备案管理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退租管理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针对在租合同，可对此份合同操作退租，分为到期退租、提前退租，点击后则将当前合同退租，自动记录退租时间。</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住房保障网签备案管理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退出管理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针对在租单位合同，合同内的居住人都可进行退出管理，针对承租人退出，需要坐承租人变更处理。针对同住人退出，记录退出时间</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住房保障网签备案管理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换房管理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针对在租合同，可对此份合同操作换房，选择换房后的具体房源，系统自动读取房源租金，自动计算合同起始和截止时间，同时一键带入原房间的承租人、同住人及临时人信息。换房信息填写完成后支持一键换房，原房间则回到可租状态，且会生成新的合同内容，供其打印合同内容</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住房保障网签备案管理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房态图管理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提供不同品种房源房态图展示，通过楼栋依次展示所有房源，同时支持项目名名称、楼栋筛选。通过不同房源状态点击进入不同的详情页面，点击可选房源，进入录入合同页面。点击已选房源，进入已签约合同页面。</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是,全部使用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住房保障网签备案管理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公积金管理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公租、保租、共有产权三种品种房源的签约合同均与公积金接口对接，公积金方拉取合同信息，当合同为退租时，则不可提取公积金。同时支持查看提取公积金记录，包括姓名、证件号码、项目名称、合同号、提取时间、运营机构名称。</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住房保障网签备案管理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网签备案综合查询、数据统计</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网签备案综合查询：支持用户快速检索当前合同下所有已打印备案通知书的历史记录。查询结果列表直观呈现核心信息：备案号作为唯一识别码精准定位文件；备案状态实时展示业务进程，确保数据时效性；备案时间精确到时分秒，完整记录操作轨迹。用户可通过点击查看备案通知书按钮，一键调取对应备案通知书，不仅能查看最新内容，更可追溯往期版本详情。</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网签备案数据统计：全方位统计总备案量，完整覆盖历史与现行备案数据，确保数据完整性；深度挖掘有效备案量，精准识别处于有效期内、符合现行管理规范的备案记录。同时，智能追踪备案文件打印频次，通过量化操作行为，辅助评估租户业务需求强度与服务流程优化方向。</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巡查管理_巡查计划管理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针对巡查计划列表，支持登记市-区巡查任务计划，包含巡查类型、年份、执行周期、计划任务周期、计划巡检任务数，支持修改、删除巡查计划，支持一键导出巡查计划、支持查看巡检明细。</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巡查管理_巡查记录管理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持登记巡查详细记录，支持登记空置房、公区、出租房三种巡检类型记录，包括项目名称、巡视日期、巡视人、房源地址、实际居住人数、房屋是否完好，支持修改、删除巡检记录明细，支持一键导出巡检记录、查看巡检详细记录。</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巡查管理_巡查月报</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巡检月报功能实现巡检数据的高效整合与可视化呈现，系统自动归集巡检过程中产生的设备状态、隐患排查、整改进度等全维度数据。用户可一键导出 PDF 或 Excel 格式报告，支持自定义筛选时间周期、巡检区域等维度，满足不同管理场景需求。</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违规管理_违规违约记录、整改记录、处理机制</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违规违约记录：支持登记违规违约记录，登记姓名、证件号码、项目名称、坐落地址、合同起始、合同截止、公司名称、违规内容、违规日期、整改日期、状态，支持自定义筛选姓名、证件号码、运营机构名称进行查询，支持导出所有违规违约记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2、整改记录：针对每条违规违约记录，支持违规详情追溯，精准记录事件时间、地点、责任主体及违规事实。支持整改方案制定，提供规范化整改措施库供用户灵活调用，明确整改目标、责任人与完成时限。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3、处理机制：针对未整改事项，录入合同时，通过姓名和证件号码判断，如查询到未整改的违规违约事项，则限制其不可打印备案。如确定已整改完成，则填写整改日期后整改完成。</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抽查管理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已取得且生效中的住房保障资格人员，采用按指定区县、受理编号、项目类型、收件日期起止时间段、抽查方式（指定件数或百分比）设定抽查比例的方式，进行抽查办理。在抽查中状态下，抽查结果展示在结果列表中，可看见区县、身份证、受理编号、主申请人、抽查日、抽查结果、抽查状态、抽查人信息，可导出抽查列表。点击案件查看抽查明细，按需打印抽查结果通知书、打印抽查表。填写抽查人意见和抽查结果，提交抽查审核。抽查审核时，除可查看案件资格审核阶段全部数据外，查看抽查办理意见，填写抽查审核意见，回退或审核完毕。至此，抽查结束。</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供后预警_租赁预警、违规违约预警、罪犯信息预警</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租赁预警。支持统计系统租赁时长满6年以及6年小于4个月的租户和合同数据，支持按运营机构、项目名称等维度灵活筛选，可通过站内信、短信等方式推送预警信息。支持查询当前租户历史租住的房屋和签约的合同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2、支持违规违约整改进度跟踪，通过进度条可视化呈现整改进展，自动触发逾期预警机制，同时向相关管理人员推送预警信息，明确标注风险类型、违规主体及影响等级。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罪犯信息预警。保障廉租业务中，保障家庭每月领取补贴租金，平台每月定时通过第三方数据接口调用罪犯信息数据查询服务。一旦查询到保障家庭中有罪犯人员信息，系统将立即触发预警提醒。经办人收到提醒后需及时介入，核实罪犯具体情况，并依据相关规定重新核定该家庭的保障资格。</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供后预警_死亡信息预警、银行卡校验失败预警、租赁到期预警</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死亡信息预警。保障廉租业务中，廉租房保障家庭每月领取补贴租金，平台每月定时调用委中台接口的死亡信息数据查询服务。一旦检索到保障家庭存在死亡人员信息，系统会迅速发出预警提醒。经办人收到预警后，需及时介入核实死亡情况，并依据规定重新核定该家庭的保障资格。从而避免保障资源因家庭成员死亡而出现的不合理占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银行卡校验失败预警。保障廉租业务中，保障家庭每月领取补贴租金，平台每月定时调用大数据中心银行卡校验接口，精准查询出租人银行卡有效情况。若发现银行卡未通过银行校验，当经办人登录系统时，首页会立即弹窗提示未通过校验的列表，避免补贴资金发放异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租赁到期预警。保障廉租业务中，廉租房租金配租单详细记录租赁起止日期，需要依据此信息，对租期到期天数进行按日倒计时提醒。一旦租期超期，系统会将其标红并以负数形式持续提醒。预警界面主要展示申请人、登记编号、出租人姓名、租期起止日期及剩余天数等关键信息，用来帮助管理人员及时掌握租赁状态，提前做好续租或腾退安排。</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廉租配租管理_租金配租单管理、出租人管理、租金发放管理、租金台账管理、租金补贴管理、过渡期管理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租金配租单管理：廉租配置租金配租单管理业务中，经办人可选择已取得准入资格的家庭，填写配租方案信息，并灵活增减多条补充条款。系统自动读取各区维护的租金补贴标准，精准计算补贴配租金额。对于保障期限临近或已到期的家庭，模块能自动识别过渡期标识，按相应比例调整补贴租金，最终生成租金配租通知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出租人管理：选定保障家庭，编辑对应出租人信息，包括姓名、身份证号、银行卡信息、出租房屋及租赁相关详情、租金发放时间区间、准入资格有效期等。为保障租金发放顺畅，系统会对出租人银行卡进行有效性校验。该模块具备信息快速复用功能，可复制出租人信息用于新案件，实现快速粘贴与修改。对于复核类型案件，编辑出租人信息时能一键读取历史配租案件的相关信息并支持修改，简化业务流程。记录出租人历史记录，包括出租人的社保卡银行与卡号信息，以及出租人历史操作记录等。为后续的审计、查询提供支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租金发放管理：在选定指定区域后，经办人可进行发放确认操作。针对特定家庭，系统支持暂停发放、恢复发放以及特殊发放功能。特殊发放涵盖补发或追回租金场景，经办人需填写发放起止日期、金额，并选定操作原因后保存，确保每一笔特殊发放都有据可查。支持按发放起止年度筛选租金发放结果，以区为统计单位。点击各区发放户数，可查看每户家庭的详细租金发放信息，实现发放明细的可追溯性。发放户列表提供多维度排序功能，可按准入编号、受理编号、出租人审核时间等进行排序，方便经办人快速定位所需信息。可全选导出查询结果的清单表格，用于进行数据存档、分析或与其他系统进行数据交互。</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租金补贴管理：租金台账管理功能专为廉租住房租金管理打造,各区可在系统下载台账模板，填写后先选择实发年-月,再将表格导入系统。台账导入后需进行比对操作，经与系统各区配租数据进行比对，比对完成会生成比对结果，页面提示已成功上传的条数，包括正确的条数和错误的条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租金补贴管理：租金补贴维护功能允许经办人针对单条租金补贴，精确填写发放金额及月份数据，并备注维护理由，确认后即可刷新补贴数据，确保数据实时准确。配租标准维护由经办人选择对应的区县并保存确认，为后续补贴计算提供基础依据。差额补贴比例管理需选择区县后新增记录，详细填写区县、文件号、配租人数范围等多项关键信息。同时，支持对单条差额信息修改结束时间，并以列表形式展示历史记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过渡期管理：签订过渡期协议的家庭必须为已办理退出的家庭，区保障中心经办人在通过各查询条件，在已退出列表中勾选需签订协议的家庭。选择街道和街道进行查询。勾选对应的案件，点击签订过渡期协议.可以增加额外补贴协议，填写好必要的信息后，点击保存，保存完后就可以提交。提交会在过渡期租金发放生成过渡期发放记录。过渡期协议中其他内容为系统自动生成。系统根据过渡期协议金额，自动生成每月一条过渡期发放金额，该金额为默认可编辑，如果遇到需要发半月的情况，由经办人编辑该月的发放金额，点击保存后，以后每月过渡期发放金额根据此补贴维护自动生成。选择街道和街道进行查询。勾选案件确认发放后生成对应的发放记录。</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廉租配租管理_配租综合查询</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廉租房配租综合查询模块主要是廉租房配租业务数据检索与分析。其中，租金发放汇总查询可按发放时间、保障区域等查询条件查询各区发放情况，如发放总金额、累计发放户数等；配租方案查询可按申请人代表姓名、操作时间范围等查询条件，查询配租方案详情如配租单信息、社保卡信息和出租人信息等；过渡期租金汇总查询通过登录编号或租金发放起止日期等查询各区发放租金总额等情况。台账查询可通过发放类型和发放起止月份查询每户租金台账数据。</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廉租房应用场景维护_家庭维护</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该模块致力于全面获取廉租房实物配租家庭的基础数据，涵盖姓名、身份证号等身份信息，以及房屋坐落、合同类型、起止日期等业务信息，还有月租金、自付租金、政府补贴等经济数据，并将这些信息清晰展示，为管理人员提供直观的家庭全域数据视图。尤为重要的是，模块聚焦缴费状态监控，通过实时数据分析，精准识别缴费异常情况，如逾期未缴、欠费金额异常等。一旦发现异常，系统将及时预警。</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廉租房应用场景维护_房源维护</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该模块聚焦廉租房实物配租房源，全面获取并展示关键数据，涵盖房源使用区、项目所在区等区位信息，房屋类型、户型、面积等物理属性，以及房屋状态、项目名称、房屋坐落等基础信息，也包含市场租金这一经济指标。提供标准的展示界面精准整合与清晰呈现这些数据，能为管理部门提供全面的房源画像，辅助其科学规划房源分配、合理调整租金标准。</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廉租房应用场景维护_用水维护</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在住房保障供后管理中，廉租房用水维护模块可以保障资源合理使用和防范违规行为。该模块每日通过房屋关联的表卡编号，精准调用用水信息接口获取数据。为确保用水状态判断的准确性与合理性，采用对最近三条用水数据取平均值的方式进行分析。基于此平均值，系统智能判定用水状态，涵盖“存在违规行为”“正常使用”“疑似存在违规行为”三种情况，为后续管理提供有力依据。</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廉租房应用场景维护_静态数据维护</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静态数据维护模块涵盖多个维度的数据维护与分析功能。通过对接委中台数据接口自动校对各类详细数据，同时提供人工校对维护功能，主要信息为：本市历年廉租住房保障政策变化图、本市历年廉租住房保障受益家庭户数图、本市2011年以来廉租住房租金配租和实物配租政策享受户数对比图、廉租住房保障家庭户数各区分布以及本区户籍户数占全市总量对比图、申请家庭人口结构分析图（申请家庭申请人数量）、申请家庭人均住房面积（居住条件）分析图（按四档划分：0平方、0-4平方、4-6平方、6-7平方）、申请家庭经济状况（人均可支配收入、人均财产）分析图（收入按三档划分：2000元以下、2000-2800元、2800-3300元；财产按三档划分：8万元以下、8-12万、12万）、租金配租租金发放总量（各区）和分档发放（全市）分析图、当年本市廉租住房申请户数、审核（中）户数、登录户数（按受理地）、发放廉租租金补贴金额（全市、16区分别展示）、今日全市廉租住房申请户数、审核（中）户数、登录户数（按受理地）（全市、16区分别展示）、当年廉租住房申请家庭调取电子证照件数、当年廉租住房申请审核平均时长（2021年1月1日之后的申请家庭；一般家庭、低保家庭分开）、当月审核时长、本市面上实物配租家庭人均居住面积配租前后对比分析图（市筹大居转化及公积金：建筑面积/2=居住面积，再除以核定面积人数=人均居住面积；配租前按系统中人均面积，配租后按计算公式得出）、实物配租合同管理数据分析图（合同期内/过渡期内/合同过期）、实物配租家庭自付段租金标准分析图、实物配租家庭（特定家庭）分析图（低保、孤老、老年夫妇家庭、重大病、失业、残疾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所有上述条目数据均通过接口开放给廉租房应用场景大屏应用系统，实现数据的实时调取与动态展示。</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评估信息管理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评估信息管理模块具备评估信息录入功能，可全面收集各类评估数据，构建完整的评估信息；评估信息审核环节严格把关，通过预设规则与人工复核相结合，保障评估数据真实性与合规性；评估信息维护则支持对已录入数据进行动态更新与修正，以适应业务变化。</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共有产权房满五年业务_申请管理、审核管理、协议管理、缴款管理、注销管理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1.申请管理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满五年业务申请管理主要功能是用户可通过输入受理编号或身份证号精准定位申请户，选择购买政府产权或政府回购业务类型后填写申请表。通过信息自动读取汇集功能，能快速获取申请户基本信息、产证信息、房屋信息以及转让价格信息等，减少人工录入错误，提高工作效率。填写完成后点击保存提交审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2.审核管理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满五年业务审核管理是保障共有产权独有业务，主要特色如下：初审环节，经办人可全面查看申请案件的基本信息与登记信息，精准掌握申请情况。通过上传和查看申请材料，核实申请的真实性与完整性。同时，能填写并保存违规违约情况征询信息，及时发现潜在风险。此外，还支持打印申请表及征询通知书，便于后续存档与沟通。填写初审意见后，经办人可根据实际情况选择提交复审或判定初审不通过，确保审核流程的规范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3.协议管理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注销管理复审阶段，经办人需综合查看案件基本信息、登记信息、材料及初审意见，进行全面复核。填写复审意见后，可根据审核结果进行回退、判定复审不通过或提交至协议管理。对于政府回购类型，需经房屋所在区和分配供应区分别审核，进一步强化审核的严格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协议管理主要是购买政府产权份额协议和政府优先购买转让合同的管理和协议流程管理，其中新增协议时，在协议类型上提供购买政府产权份额协议和政府优先购买转让合同供二选一，满足不同业务场景需求。经办人可查看申请家庭基本信息、违规违约情况征询信息、申请表及材料提交情况等，全面掌握申请家庭状况。签订协议时，需详细填写甲、乙方信息及协议内容，并选择合适的附件模板。完成填写后保存协议内容并提交下一个流程节点，确保协议签订流程严谨规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4、缴款管理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缴款管理主要功能是在购买政府产权业务中，经办人点击申请编号进入缴纳价款页面，可灵活编辑缴款通知书。系统自动读取申请户基本信息、房屋详情、转让价格及收款账号等关键数据，确保通知书信息准确无误。通知书经区住房保障实施机构盖章后打印，保障流程规范。申请户缴清款项后，经办人在系统编辑缴清证明，系统再次自动读取相关信息，盖章打印。填写并保存审核意见后办结案件，也可根据实际情况回退或注销案件。此外，缴清信息与不动产登记中心数据实时互通，申请户办理登记变更业务时，可便捷读取本系统缴清数据和缴清证明 PDF 文件。政府回购业务中，经办人点击申请编号查看案件信息，填写并保存意见后办结案件，同样具备回退或注销案件功能。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5、注销管理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注销管理模块主要功能为：案件申请提交后，在审核、协议、缴费等任意节点，均可通过注销管理进行案件注销操作。申请户注销后，下次有需求时可重新提交申请，但存在再审案件时，不可重复发起转让产权申请，避免业务混乱。同时，与不动产登记中心建设产权登记状态读取接口，若该户家庭在不动产登记受理中，系统无法注销案件，需待不动产登记中心办结不受理该户登记案件后，方可注销本系统案件，确保保障业务和不动产登记业务衔接准确无误。</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公积金提取管理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通过与市公积金中心构建合同交互接口，向市公积金中心提供保租房租赁备案状态合同以及共有产权住房合同的结构化数据，同时传输对应的非结构化数据如合同PDF文件等。为公积金中心的保障性租房业务和配售类还贷业务提供数据基础，确保公积金业务办理时可以获取准确的合同信息。</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退出管理_退出备案管理、退出资格管理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退出备案管理：退出备案模块是住房保障平台保障资源合理配置的重要环节。在业务操作中，当保障家庭有退出备案需求时，可于系统中选择处于备案状态的合同进行退出备案操作。系统将精准解除人房关联，确保数据更新的准确性与及时性。这一功能为保障家庭提供了极大的便利，使其能够根据自身需求更换其他房源，并重新签订合同及完成备案。</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退出资格管理：退出资格模块是保障资格管理动态化的重要部分。保障家庭在获得准入资格后，若处于无签约合同状态，可主动申请退出有效资格（办结后自愿放弃）；同时，系统设定资格有效期，到期后可自动触发退出机制。退出资格后，保障家庭可依据自身情况重新提交资格申请，形成动态的资格管理循环。另外还有新增注销，表示申请家庭获得资格后，因抽查或其他情形致使申请家庭强制退出资格，需新增注销案件，填写意见后完成案件注销，同时失去准入资格。</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供后统计分析_租金发放统计、租金台账统计、续租率分析、退租率分析</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1、租金发放统计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租金发放统计表是针对廉租住房租金发放分析的功能模块，通过整合租户基础信息、配租标准、租金发放金额、发放月份及状态等核心数据，实现租金发放流程的透明化与精准化。系统支持按区域、月份或发放类型分类筛选，实时追踪发放进度并标记异常记录，自动生成统计表，同时提供多维度数据导出功能，支撑保障部门高效完成资金审核、对账及政策效果评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2、租金台账统计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按照发放类别和发放起止月份统计租金补贴台账数据，以表格样式展示每户在保家庭的基本信息，统计范围包括保障区县、申请人信息、出租人信息、正常发放数据、补发数据、追回数据、过渡期数据等台账数据，并统计累计受益家庭户数，累计发放租金额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3、续租率分析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续租率分析功能是对保障住房租户续租情况进行深度分析的功能模块。它通过收集租户租期、续租申请等数据，计算续租率指标，如整体续租率、不同项目或户型的续租率。功能还包括对比不同时间段续租率变化，分析影响因素，如租金调整、周边配套等。同时，可生成可视化图表展示分析结果，为运营方提供决策依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4、退租率分析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保障房退租率分析功能是对保障住房租户退租情况展开深入探究的功能模块。该功能会收集租户退租时间、退租原因、租期长短等数据，精准计算退租率，如整体退租率、不同项目或户型的退租率。通过对比不同时间段的退租率，剖析其变化趋势及背后的驱动因素，像租金水平、周边配套设施完善程度等。最终生成直观的图表与报告，辅助管理部门掌握租户流动情况，优化房源配置与管理策略。</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供后统计分析_租务数据（续租、退租、换房）统计、租户用户画像统计</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续租率统计：续租率统计功能依托智能数据分析引擎，深度整合各区历年合同数据，以可视化图表形式精准呈现续租率演变趋势。系统自动抓取合同起止时间、续租状态、区域归属等关键信息，按年度、季度维度计算各区续租率，并支持自定义时间区间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退租率统计：退租率统计功能借助智能数据分析引擎，全面归集各区历年合同数据，以多维度可视化图表深度剖析退租率变化态势。系统自动筛选合同截止时间、退租原因、区域分布等关键数据，支持按年度、季度等时间粒度计算退租率，并可自定义时间范围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换房率统计：深度整合各区历年租赁合同数据，通过多维度可视化图表精准剖析换房率变化规律。系统自动抓取合同变更记录、换房时间、原房源与目标房源区域信息等核心数据，支持按年度、季度、月份等时间粒度统计换房率，并可自定义筛选不同房源类型、租户群体等条件进行交叉统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租户入住时长统计：支持按区域、房源类型、客户单位等维度，对租户入住时长进行 0-2 年、2-4 年、4-6 年及 6 年以上 区间划分，并交叉统计各区间合同数量，实时计算其在总合同数量中的占比。</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租户学历统计：系统自动抓取租户学历信息字段，运用数据校验算法核查异常录入（如错误格式、模糊表述），并支持手动补录修正，精准统计博士、硕士、本科、大专、高中、初中、小学 等不同学历层次租户在网签备案在租租户中的占比情况。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租户年龄统计：系统自动抓取租户身份证号、出生日期等关键信息，结合智能算法自动计算租户年龄，并运用数据清洗机制剔除异常数据，精准统计 30 岁以下、30 - 45 岁、46 - 60 岁 租户群体在网签备案在租租户中的占比情况。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婚姻状况统计：系统自动抓取租户婚姻状况信息字段，对不同婚姻状况的租户合同数量进行交叉统计，并实时计算各婚姻状况区间合同数量在总合同数量中的占比。</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单位性质统计：系统实时抓取租户单位性质字段信息，通过全链路数据整合与智能运算，精准统计国有企业、民营企业、外资企业、事业单位、个体经营、其他 等不同单位性质租户在网签备案合同中的占比情况。</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供后统计分析_各区项目、房源数据统计</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项目数据统计：深度分析网签备案的项目总数、面积总数，可穿透至二级查看具体项目名称、坐落位置、区域、性质、运营机构名称。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房源出租率统计：统计网签备案的房源总数、在租房源总数、户型分布总数、总体出租率，同时可按照区域展示房源总数、在租总数及出租率。穿透至二级可查看具体运营机构的总房源数、总出租数及出租率。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房源新增数量统计：支持按月、年双维度对房源新增数据进行深度剖析与可视化呈现。系统实时归集房源创建时间、房源类型、所属区域等全量数据，自动筛选各自然月、年度内新增房源记录，通过高精度算法快速计算总数，确保数据的实时性与准确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房源换手率统计：系统自动整合网签房源上报记录、合同起止时间、房源所属区域等核心数据，支持按月度、年度双时间维度，对各区房源换手率进行动态统计。通过内置算法，精准计算各周期内房源签约数量与区域房源总量的比例。</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供后统计分析_合同数据统计、合同入住人数统计</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签约金额统计：系统自动关联网签备案签约合同库，实时抓取合同金额、签约时间等核心字段，支持按月度、年度双时间维度，精准计算各时段内的平均签约金额。通过智能算法对数据进行清洗与聚合，剔除异常合同数据干扰，确保统计结果的准确性与代表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价格趋势统计：支持按自然月、年度两种时间粒度，对各区域网签备案房源的平均价格、中位价格进行精细化统计。通过动态追踪不同时间段房源价格波动，生成详实的价格趋势数据。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合同签约数量统计：支持按自然月、年度两种时间周期，对各区域、各业务类型的增量合同签约数量进行精细化统计。系统自动对比不同时间段的合同签约数据，实时计算新增合同数量，并生成连续的增长趋势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合同数量统计：支持对不同状态的合同数量进行交叉统计，动态环形图以不同扇区展示历史合同、在期合同、待生效合同的占比情况，直观呈现合同状态结构分布。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同入住人数统计：在数据计算维度，系统不仅支持按自然月、年度两种时间周期，还可结合区域、房源类型等维度，对居住人数为 1 人、2 人、3 人及以上的合同数量进行交叉统计，并实时计算各居住人数区间合同数量在总合同数量中的占比。</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退租数量统计：系统通过对比不同时间段的合同数据，实时计算各周期内的退租合同数量，生成连续的退租趋势数据。自动抓取合同终止时间、退租原因、客户单位等核心数据，利用智能数据筛选算法，精准识别退租合同记录，同步剔除异常数据，确保统计结果真实可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到期数量统计：在统计维度设计上，支持按自然月、年度两种时间周期，同时可按区域、合同类型、客户规模等维度，对到期合同数量进行精细化分类统计。系统实时对比合同到期时间与当前时间，自动计算各周期内的到期合同数量，生成连续的到期趋势数据，方便管理者提前预判合同到期高峰与低谷。</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供后报表管理_合同报表、租务报表</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合同报表。系统每月自动触发数据采集机制，实时锁定当月处于签约、待退、已退、续签等全生命周期状态的合同，快速整合项目名称、坐落位置、面积、合同状态、合同周期、价格等核心业务数据。在数据筛选层面，创新设计多维动态筛选引擎，支持按项目名称进行模糊检索。同时，提供合同状态可视化筛选面板，涵盖 “签约”“待退”“已退” 等状态标签，用户可一键筛选目标状态合同，且支持多条件交叉筛选，实现复杂业务场景下的数据精准定位。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租务报表。系统自动抓取合同续约时间、退租申请记录、合同状态变更日志等核心数据，结合合同起止时间等基础信息，利用智能算法精准识别续租、退租合同。用户可快速检索特定时间段内不同区域的续租、退租合同数量，且自动计算续租率、退租率等核心指标。</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是,全部使用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供后报表管理_换房报表、巡查报表</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换房报表：系统实时抓取合同换房申请记录、原房源信息、新房源信息、换房时间、换房原因等核心数据，利用智能识别算法精准定位换房合同。支持按时间维度、区域、项目名称、原房源类型、新房源类型等多维度交叉筛选。用户可快速检索特定时间段内不同区域的换房合同数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巡查报表：支持按时间维度、巡查区域、巡查人员、设备类型、问题类型、处理状态等多维度采集、多维分析与直观呈现，系统内置标准化巡查记录报表模板，一键生成包含数据汇总、趋势分析、问题分类占比、整改情况统计等内容的完整报告。</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是,全部使用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住房保障供后管理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供后报表管理_租户报表、违规违约报表</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1、租户报表：自动获取租户基础信息、租赁期限、设施使用等数据，智能清洗异常值与重复项，统一数据标准，支持按时间（日 / 月 / 年）、租户类型（个人 / 企业）、区域（楼层 / 楼栋）、租赁面积等维度自由组合统计，计算出租率、空置率、平均租金等核心指标。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违规违约报表：对接合同、租户等数据及数据库、日志文件，自动抓取违规违约数据，通过清洗转换，消除重复、错误及缺失数据，统一数据格式。支持按日、周、月等周期定时生成报表，通过邮件、短信等多渠道推送给相关人员；重大违规事件触发即时推送。</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是,全部使用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市级人才公寓运营服务管理-梯次化市级人才公寓保障管理-挂牌人才公寓梯次化分类管理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对挂牌的市级人才公寓进行分类管理。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一、市级人才公寓挂牌条件管理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管理市级人才公寓挂牌的基本条件指标要求，方便后续认定时进行对比审核判断，主要条件指标包括：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1、所在区域人才集聚度较高，交通便捷，周边商业、文体、医疗资源丰富，配备人才工作生活需要的必要公共设施；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2、为入住人才提供优惠租赁价格，每年价格涨幅符合市区房管、价格部门的有关规定；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3、配备了人才综合服务载体空间；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4、组建了相应的人才安居服务团队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系统提供对上述基础指标条件的定义、管理并作为审核事项，方便灵活调整。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二、梯次化分类标准管理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市级人才公寓按照以下标准进行分类，每一类针对不同的服务群体，并作为数据分类核验的条件。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1、A类人才公寓：由市人才局统筹调配的建筑面积一般不低于200平方米的花园住宅、新建别墅、大平层或部分高品质房源。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2、B类人才公寓：由市人才局统筹调配的建筑面积一般在90平方米到200平方米之间的保障性租赁住房和市场化方式筹措的高品质房源。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3、C类人才公寓：在重点用人单位分布相对集中的区域的保障性租赁住房和市场化租赁住房中，能够提供市场价70%-90%优惠租赁价格，经一定程序认定后为市级人才公寓。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4、青年驿站：在交通便利、青年集聚、求职便捷区域的保障性租赁住房和市场化租赁住房中筹建，以解决青年求职就业过程中过渡性住房需求的公益服务项目。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系统提供对上述分类指标的定义、管理并作为审核事项，方便灵活调整。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三、挂牌人才公寓分类查询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对认定挂牌后的市级人才公寓进行展示，可按照不同的分类、所在区域、租金、面积、名称等进行分类检索。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并可根据相应权限及流程，进行数据的导出及维护。</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市级人才公寓运营服务管理-梯次化市级人才公寓保障管理-A、B类人才公寓保障-A、B类人才公寓筹集指标配额管理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针对A、B类市级人才公寓，由市人才局会同市房管局制定筹集指标，并将指标进一步分解分配到各区。各区将按照本区的指标进行市级人才公寓的筹集。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主要功能包括全市总目标（包括A类指标、B类指标）、各区指标（A类指标、B类指标）的录入与维护。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1、全市总指标录入与维护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录入全市总指标，以年为单位，包括A类总指标、B类总指标。并可进行维护管理，包括修改、删除等。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同时，也可按照时间进行查询。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2、各区配额指标录入与维护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录入各区（16个区）分项指标，以年为单位，包括各区的A类指标、B类指标。并可进行维护管理，包括修改、删除等。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同时，也可按照区域及时间进行查询。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3、配额指标一致性核验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根据所录入的全市指标与各区的配额指标，自动核验各区指标的分项汇总值与全市总指标是否一致，避免录入错误。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对不一致的，可给出提示。</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市级人才公寓运营服务管理-梯次化市级人才公寓保障管理-A、B类人才公寓保障-A、B类人才公寓房源保障管理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A、B类市级人才公寓根据“区属市用”的房源管理机制，由各区按照筹集指标将相应类型的房源信息统一上报，实现人才公寓房源信息实时共享。</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一、A、B类市级人才公寓填报采集（针对无信息化系统区域）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各区按照筹集指标，将相应的A、B类人才公寓的房源信息（按照标准格式要求，包括基本信息、楼盘信息及影像资料等）上报到市人才安居平台。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填报采集包括界面录入、修改及批量导入（Excel）操作。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填报内容包括：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基本信息：项目名称、项目类别、项目所属区域、项目地址、所属重点区域、开盘日期、运营公司统一社会信用代码、运营公司名称、项目性质、供应对象范围、项目归属、项目来源、供应状态、项目供应日期、计划供应日期、所属板块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2、楼幢信息：楼幢地址、楼幢名、总层数、每层户数、电梯状况、竣工日期、供应状态等。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3、房屋信息：楼层、室号、卧室数、厅数、床位数、面积、朝向、装修、是否拆套、实际月租金、市场月租金、房源状态等。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4、图片信息：项目名称、图片类型、图片名称、图片显示顺序、图片存放位置、是否有效、图片形状等。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二、A、B类市级人才公寓接口采集（针对有信息化系统区域）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通过应用接口方式完成各区A、B类人才公寓的采集。请求方式为POST方式，请求参数采用DES加密。相关接口包括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1、人才公寓项目接口：主要是自动获取A、B类市级人才公寓的房源项目信息。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2、人才公寓楼幢接口：主要是自动获取A、B类市级人才公寓的楼幢信息。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3、人才公寓房屋接口：主要是自动获取A、B类市级人才公寓的具体房屋信息，包括户型、面积、装修、租金等。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4、影像资料上传接口。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通过接口上传的内容包括室外图、室内图、户型图、项目视频、项目VR等影像资料。</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三、A、B类市级人才公寓检验与审核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对各区按照筹集指标上报的A、B类人才公寓的房源信息进行核验，确保数据质量满足要求。核验完成后进行审核入库。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四、A、B类市级人才公寓更新管理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建立A、B类市级人才公寓与各区房源信息之间数据实时共享机制，约定相关流程及核验条件，确保A、B类市级人才公寓房源信息的准确性、及市区一致性。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五、A、B类市级人才公寓指标动态监控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动态监控各区筹集指标是否达标，若不达标或房源发生变更，给出预警提醒，确保筹集指标保持动态达标。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1、指标完成度展示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可查询展示各区A、B类市级人才公寓的指标完成度。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2、异常提示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对不达标或房源发生变更的项目进行异常提示，并可查询异常原因。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3、处理提醒</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对于不达到或出现异常的区域或项目，可点击“处理提醒”按钮，给经办人或管理人发送处理提醒，以催促其尽快完成处理。</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市级人才公寓运营服务管理-梯次化市级人才公寓保障管理-A、B类人才公寓保障-A、B类市级人才公寓调剂申报审核管理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由于A、B类市级人才公寓采用的是“区属市用”的房源管理机制，各区可根据房源租赁实际动态调剂房源，调出房源应按同类别要求进行及时补入，确保筹集指标保持动态达标。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A、B类市级人才公寓调剂需要按照相应的审核流程进行。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一、A、B类市级人才公寓调剂申请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1、调剂申请填报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根据实际需要，可对已经入库的A、B类房源进行调剂申请，包括调出项目名称、户型、面积、数量、补入房源项目名称、户型、面积、数量、时间、调剂原因等。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2、调剂审核结果查看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可查看所上报的调剂申请记录，并可按照时间、项目名称、审核状态进行分类查询。未审核的记录可进行编辑修改，重新提交。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对审核驳回的，也可补充材料及原因，重新申请。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二、A、B类市级人才公寓调剂审核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1、调剂申请列表查询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列表展示各区上报的调剂申请，并可按照区域、时间、项目等信息进行分类检索。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2、调剂审核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市人才局对各区的调剂申请进行审核，包括调剂事项、申请调剂的人才公寓实时情况等，审核不通过的，则填写原因，进行驳回。</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3、人才公寓锁定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若调剂申请审核通过，则需要同时对所调剂的人才公寓进行锁定（锁定后的人才公寓不对外展示），避免出现选房冲突。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三、A、B类市级人才公寓调出房源变更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调剂审核通过后，需要对调出的人才公寓进行属性变更，确保数据的一致性。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四、A、B类市级人才公寓补入房源审核入库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对补入房源的数据质量与数量信息进行核验，审核通过成入库，完成调剂过程。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五、调剂完成确认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各区申报的调剂工作完成后，需要点击“调剂完成”按钮，系统会自动根据本区的筹集指标、A、B类市级人才公寓的要求等对其数据进行检验，若有问题，则给出提示。若无问题，则调剂工作完成。</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市级人才公寓运营服务管理-梯次化市级人才公寓保障管理-C类人才公寓保障-C类人才公寓数据上报、C类公寓数据核验与审核入库</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1、C类人才公寓数据上报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C类人才公寓是指在重点用人单位分布相对集中、周边轨道交通相对便利、公共配套相对完善的保障性租赁住房和市场化租赁住房中，经一定程序认定后的人才公寓。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认定通过的C类人才公寓，产权单位或运营方需要上报实际的房源数据。C类人才公寓上报的数据要按照C类人才公寓标准格式要求，包括基本信息、楼盘信息及影像资料、VR数据等。对接方式既包括服务接口，也包括通过界面录入和管理，也可进行批量导入（Excel）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2、C类公寓数据核验与审核入库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对上报的C类人才公寓房源数据进行核验，包括数据的完整性、一致性、有效性等，核验完成后进行审核入库。</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市级人才公寓运营服务管理-梯次化市级人才公寓保障管理-青年驿站人才公寓保障-青年驿站人才公寓数据采集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青年驿站是在交通便利、青年集聚、求职便捷区域的保障性租赁住房和市场化租赁住房中筹建，以解决青年求职就业过程中过渡性住房需求的公益服务项目。青年驿站人才公寓的数据主要来源于市团委相关系统。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主要涵盖内容包括：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1、青年驿站公寓基础数据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采集青年驿站公寓基础数据信息，对接方式为服务接口。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数据类型包括青年驿站项目信息、青年驿站楼幢信息、青年驿站房屋信息、青年驿站户型信息，主要内容包括：项目名称、项目地址、项目所在区、联系人、联系方式、驿站介绍、入住条件、公共空间、户型、户型数量、户型可租数量、户型面积范围、户型租金范围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2、青年驿站公寓影像数据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包括青年驿站公寓的分类图片信息（如图片类型、图片对应项目区域、图片展示顺序、图片格式大小等）、青年驿站公寓的VR数据等。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3、青年驿站入住人才信息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采集入住人才基本信息，对接方式包括服务接口、文件导入、数据录入等多种方式，主要包括：姓名、证件类型、证件号、专业方向等。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4、青年驿站租赁情况信息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采集租赁情况信息，对接方式为服务接口方式，主要包括：项目名称、所在区、项目地址、楼幢、室号、人员姓名、证件类型、证件号、所在单位、单位统一信用代码、租赁起止日期、租金、租赁状态等。</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市级人才公寓运营服务管理-梯次化市级人才公寓保障管理-青年驿站人才公寓保障-青年驿站公寓数据核验与审核入库</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对采集的青年驿站人才公寓的相关数据进行核验，包括数据的完整性、一致性、有效性等，核验完成后进行审核入库。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由于青年驿站公寓房源数据的复杂性及重要性，必须确保其数据的准确性、有效性与一致性，避免在选房时，出现异常矛盾冲突，给人才带来不良体验。因此，需要对所采集人才公寓房源数据进行核验，检验通过后方可正式入库。核验主要包括如下内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1、项目表业务核验结果管理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列表展示青年驿站公寓房源项目数据的业务核验结果，若有异常，则注明异常原因，包括项目基本信息、操作类型、操作日期、错误原因等。对核验不通过的项目数据，可进行修改后重新上报。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根据权限，可执行清空、删除错误数据、导出EXCEL等操作。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核验的内容主要包括：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（1）项目表非空内容核验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非空字段进行核验，包括项目ID，项目名称，项目类别，项目所属区域代码，项目地址，运营公司统一社会信用代码，运营公司名称，项目性质，供应对象范围，项目归属，项目来源，供应状态，项目供应日期，计划供应日期，操作类型，操作日期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（2）项目表字典值核验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对有数据字典的字段进行核验，确保数据在字典范围内。包括项目类别，项目所属区域代码，所属重点区域，项目性质，供应对象范围，项目归属，项目来源，供应状态，操作类型等。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（3）日期格式核验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对日期字段的数据格式进行核验，确保数据格式正确。包括项目供应日期，计划供应日期，操作日期等。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2、楼幢表业务核验结果管理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列表展示青年驿站公寓房源楼幢数据的业务核验结果，若有异常，则注明异常原因，包括楼幢基本信息、操作类型、操作日期、错误原因等。对核验不通过的房屋数据，需要重新修改上报。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根据权限，可执行清空、删除错误数据、导出EXCEL等操作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核验的内容主要包括：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（1）楼幢表非空内容核验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对非空字段进行核验，包括楼幢ID，项目ID，楼幢名，总层数，每层户数，竣工日期，操作类型，操作日期等。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（2）楼幢表字典值核验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对有数据字典的字段进行核验，确保数据在字典范围内。包括有电梯状况，供应状态，操作类型等。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（3）日期格式核验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对日期字段的数据格式进行核验，确保数据格式正确。包括竣工日期，项目供应日期，计划供应日期，操作日期等。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（4）数字类型核验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对数字字段数据格式进行核验，确保数据格式正确。包括总层数，每层户数等。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（5）楼幢合法性核验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字段数据的合法性进行核验，确保数据符合业务规则。部分规则如下：总层数，当前房间最高楼层与总层数对比，总层数不能小于最高楼层数，不能大于合理楼层高度阈值100；每层户数，从表中查询最大室号，每层户数不能小于最大室号，且不能大于合理每层户数阈值30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3、房屋表业务核验结果管理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列表展示青年驿站公寓房源房屋数据的业务核验结果，若有异常，则注明异常原因，包括房屋基本信息、操作类型、操作日期、错误原因等。对核验不通过的房屋数据，需要重新修改上报。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根据权限，可执行清空、删除错误数据、导出EXCEL等操作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（1）房屋表非空内容核验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对非空字段进行核验，包括房屋ID，项目ID，楼幢ID，楼层，室号，卧室数，厅数，面积，是否拆套，实际月租金，市场月租金，房源状态，操作类型，操作时间等。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（2）房屋表字典值核验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对有数据字典的字段进行核验，确保数据在字典范围内。包括朝向，装修，是否拆套，房源状态，操作类型等。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（3）日期格式核验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对日期字段的数据格式进行核验，确保数据格式正确。包括操作日期等。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（4）房屋数字类型核验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对数字字段数据格式进行核验，确保数据格式正确。包括楼层，卧室数，厅数，床位数，面积，实际月租金，市场月租金等。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（5）房屋合法性核验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对字段数据的合法性进行核验，确保数据符合业务规则。部分规则如下：卧室数为0或正整数，且不能大于5；厅数为0或正整数，且不能大于5。</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市级人才公寓运营服务管理-梯次化市级人才公寓保障管理-青年驿站人才公寓保障-青年驿站公寓专题展示</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一、青年驿站公寓位置坐标生成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根据青年驿站公寓的房源地址信息，完成经纬度坐标转换，生成地理位置信息，以进行地图展示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二、青年驿站公寓地图展示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基于电子地图综合展示青年驿站公寓的空间位置分布，并用指标的房源符号图标进行标注，点击图标，可进行青年驿站的详情查看。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同时，提供图表互动操作。在地图上可同步显示青年驿站公寓的统计数据及分项明细列表，并可通过点击列表上的青年驿站公寓的名称，完成地图定位操作。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三、青年驿站公寓汇总查询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主要包括：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1、青年驿站公寓房屋信息展示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列表展示全市青年驿站公寓的汇总信息，并可按照区域、户型、面积、房屋状态等进行分类检索。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2、青年驿站公寓人才信息展示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列表展示青年驿站公寓的相关入住人才信息，并可按照所在区域、所在单位、人才姓名等条件进行分类检索。展示内容主要包括：姓名、证件类型、证件号、专业方向、所在单位、单位统一信用代码等。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3、青年驿站公寓租赁信息展示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基于青年驿站的房屋或人才信息，可关联查询相关人、房匹配的租赁信息。同时，也可单独对青年驿站的租赁信息进行查询汇总。</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展示的内容主要包括：项目名称、所在区、项目地址、楼幢、室号、人员姓名、证件类型、证件号、所在单位、单位统一信用代码、租赁起止日期、租金、租赁状态等。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对展示结果可按照区域、项目名称、人才名称、所在单位等条件进行分类查询与检索。</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市级人才公寓运营服务管理-梯次化市级人才公寓保障管理-配套服务采集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对有特色的、个性化的市级人才公寓，可以进一步完善其相关配套服务信息，如提供交流洽谈室、娱乐活动场所、运动健身、图书馆等相关社区服务等。采集方式如下：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1、填报采集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各运营单位将相应的人才公寓的配套服务信息（按照标准格式要求，包括基本信息、预定信息及影像资料等）上报到市人才安居平台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包括界面录入、修改及批量导入（Excel）操作。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2、接口自动采集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通过应用接口方式完成人才公寓的配套服务信息采集。包括基本信息接口、预定信息接口、影像资料上传接口等。</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市级人才公寓运营服务管理-梯次化市级人才公寓保障管理-筹集认定动态监管-筹集认定动态监管规则设置</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设置动态监管及预警的相关规则，包括定期核验机制（时间或频率等）、监控核验内容（如数量、变化、完成率、时限等）、预警规则及方式等。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并根据所设置的动态监管及预警规则，定时或按时自动进行检测与核验。并记录相关检验结果。</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市级人才公寓运营服务管理-梯次化市级人才公寓保障管理-筹集认定动态监管-指标变化动态提醒</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根据筹集认定的相关进展，对相关指标发生变化时，可进行提示，方便及时进行管理。同时，也可对变化过程留痕。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1、异常预警提示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基于预警信息列表，按照预警规则，进行预警提示。比如对出现异常的信息，如进度过慢、超标、指标修改后的不一致等异常情况可进行列表提示展示，并标明异常原因或情况，方便管理人员及时了解情况。同时可进行分类检索与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2、异常预警移除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对核实后的预警情况，可解除预警。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3、异常处理提醒</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对于不达到或出现异常的区域或项目，可点击“处理提醒”按钮，给经办人或管理人发送处理提醒，以催促其尽快完成处理。</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市级人才公寓运营服务管理-梯次化市级人才公寓保障管理-筹集认定动态监管-筹集认定情况分析</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1、全市筹集认定情况综合展示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基于图、表等方式，综合展示全市及各区各类市级人才公寓的筹集认定情况，包括指标值、完成数量、进度比例、待完成数量、完成时间等。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可按照区域、类别、进度比例等进行分类检索。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具有权限的用户，可进行导出操作。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2、各区详情查询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针对综合展示中的各区信息，可点击进行详情查看。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3、催办通知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根据各区市级人才公寓的指标完成度（不同的完成进度用不同的颜色表示），对完成进度不理想的区，可下发“催办”通知，催促其尽快完成。</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市级人才公寓运营服务管理-运营服务及监督管理-市级人才公寓专题展示</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对市级人才公寓的运营与服务进行全生命周期管理，以提升其运营效率及服务质量。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基于电子地图及报表等方式，对全市人才公寓进行集中汇总展示，方便管理人员全面了解、掌握市级人才公寓的基本情况。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一、专题地图展示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基于电子地图展示市级人才公寓的空间分布情况，并可按照行政区划（全市、16个区）、市级人才公寓类别（A类、B类、C类、青年驿站等）、运营状态（已租、可租）、项目性质（保租、市场化等）、户型、面积范围、租金范围、特色服务等条件进行分类检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在地图上通过鼠标点击具体的市级人才公寓图标，可查看该人才公寓的详细信息。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二、核心数据统计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配合电子地图，在其上以浮动窗的方式展示市级人才公寓运营的关键数据，包括市级人才公寓总量及分类汇总（如A类、B类、C类、青年驿站等）、各类公寓配租信息、认定挂牌情况、星级等，方便用户及时了市级人才公寓整体运营情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三、分项列表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在地图的浮动窗上，点击核心数据统计的数值，可弹出列表，展示组成该数据的具体情况，如具体的项目组成、具体的配租数据、具体的挂牌公寓等；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四、地图定位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在分项列表窗口，点击市级人才公寓项目，可在电子地图上显示公寓的空间位置定位，并可显示其详细信息，如基本信息、楼盘信息及影像资料等。</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市级人才公寓运营服务管理-运营服务及监督管理-公寓个性化服务</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于具有一些特色服务（比如，有些公寓有配套的健身场馆，如网球场、篮球场、健身房等，人才可进行线上预约）的市级人才公寓，可将其服务与本系统进行对接，以便为入住人才提供更全面、高效的服务保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一、个性化服务配置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将各公寓的个性化服务展示的部分配置到本平台上，可进行添加、修改调整与取消。同时，提供相关服务介绍的概要展示。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二、个性化服务展示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在市级人才公寓的信息展示中，提供各公寓个性化服务的展示，供人才查看，满足条件的，可直接进行申请或预约。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三、个性化服务对接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提供标准化的服务接口，可供各公寓个性化服务系统的调用，实现服务之间的无缝衔接。如查看申请或预约的结果等。</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市级人才公寓运营服务管理-运营服务及监督管理-人才公寓评定管理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一、评定标准管理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对具体的星级评定标准与规范进行管理，包括录入、编辑、修改、删除等操作。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1、五星市级人才公寓应达到以下标准：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w:t>
            </w:r>
            <w:r>
              <w:rPr>
                <w:rStyle w:val="144"/>
                <w:rFonts w:hint="eastAsia" w:ascii="宋体" w:hAnsi="宋体" w:eastAsia="宋体" w:cs="宋体"/>
                <w:sz w:val="20"/>
                <w:szCs w:val="20"/>
                <w:highlight w:val="none"/>
                <w:lang w:val="en-US" w:eastAsia="zh-CN" w:bidi="ar"/>
              </w:rPr>
              <w:t>可提供“24小时”管家式安居服务；</w:t>
            </w:r>
            <w:r>
              <w:rPr>
                <w:rStyle w:val="144"/>
                <w:rFonts w:hint="eastAsia" w:ascii="宋体" w:hAnsi="宋体" w:eastAsia="宋体" w:cs="宋体"/>
                <w:sz w:val="20"/>
                <w:szCs w:val="20"/>
                <w:highlight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w:t>
            </w:r>
            <w:r>
              <w:rPr>
                <w:rStyle w:val="144"/>
                <w:rFonts w:hint="eastAsia" w:ascii="宋体" w:hAnsi="宋体" w:eastAsia="宋体" w:cs="宋体"/>
                <w:sz w:val="20"/>
                <w:szCs w:val="20"/>
                <w:highlight w:val="none"/>
                <w:lang w:val="en-US" w:eastAsia="zh-CN" w:bidi="ar"/>
              </w:rPr>
              <w:t>组建通晓国际规则的人才安居服务团队；</w:t>
            </w:r>
            <w:r>
              <w:rPr>
                <w:rStyle w:val="144"/>
                <w:rFonts w:hint="eastAsia" w:ascii="宋体" w:hAnsi="宋体" w:eastAsia="宋体" w:cs="宋体"/>
                <w:sz w:val="20"/>
                <w:szCs w:val="20"/>
                <w:highlight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w:t>
            </w:r>
            <w:r>
              <w:rPr>
                <w:rStyle w:val="144"/>
                <w:rFonts w:hint="eastAsia" w:ascii="宋体" w:hAnsi="宋体" w:eastAsia="宋体" w:cs="宋体"/>
                <w:sz w:val="20"/>
                <w:szCs w:val="20"/>
                <w:highlight w:val="none"/>
                <w:lang w:val="en-US" w:eastAsia="zh-CN" w:bidi="ar"/>
              </w:rPr>
              <w:t>建立人才会客厅，提供一站式人才综合服务；</w:t>
            </w:r>
            <w:r>
              <w:rPr>
                <w:rStyle w:val="144"/>
                <w:rFonts w:hint="eastAsia" w:ascii="宋体" w:hAnsi="宋体" w:eastAsia="宋体" w:cs="宋体"/>
                <w:sz w:val="20"/>
                <w:szCs w:val="20"/>
                <w:highlight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w:t>
            </w:r>
            <w:r>
              <w:rPr>
                <w:rStyle w:val="144"/>
                <w:rFonts w:hint="eastAsia" w:ascii="宋体" w:hAnsi="宋体" w:eastAsia="宋体" w:cs="宋体"/>
                <w:sz w:val="20"/>
                <w:szCs w:val="20"/>
                <w:highlight w:val="none"/>
                <w:lang w:val="en-US" w:eastAsia="zh-CN" w:bidi="ar"/>
              </w:rPr>
              <w:t>定期开展品牌化的人才创新创业活动；</w:t>
            </w:r>
            <w:r>
              <w:rPr>
                <w:rStyle w:val="144"/>
                <w:rFonts w:hint="eastAsia" w:ascii="宋体" w:hAnsi="宋体" w:eastAsia="宋体" w:cs="宋体"/>
                <w:sz w:val="20"/>
                <w:szCs w:val="20"/>
                <w:highlight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w:t>
            </w:r>
            <w:r>
              <w:rPr>
                <w:rStyle w:val="144"/>
                <w:rFonts w:hint="eastAsia" w:ascii="宋体" w:hAnsi="宋体" w:eastAsia="宋体" w:cs="宋体"/>
                <w:sz w:val="20"/>
                <w:szCs w:val="20"/>
                <w:highlight w:val="none"/>
                <w:lang w:val="en-US" w:eastAsia="zh-CN" w:bidi="ar"/>
              </w:rPr>
              <w:t>对接“海聚英才通”人才服务系统、市人才安居服务平台，并建立相应的智能化服务信息系统；</w:t>
            </w:r>
            <w:r>
              <w:rPr>
                <w:rStyle w:val="144"/>
                <w:rFonts w:hint="eastAsia" w:ascii="宋体" w:hAnsi="宋体" w:eastAsia="宋体" w:cs="宋体"/>
                <w:sz w:val="20"/>
                <w:szCs w:val="20"/>
                <w:highlight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w:t>
            </w:r>
            <w:r>
              <w:rPr>
                <w:rStyle w:val="144"/>
                <w:rFonts w:hint="eastAsia" w:ascii="宋体" w:hAnsi="宋体" w:eastAsia="宋体" w:cs="宋体"/>
                <w:sz w:val="20"/>
                <w:szCs w:val="20"/>
                <w:highlight w:val="none"/>
                <w:lang w:val="en-US" w:eastAsia="zh-CN" w:bidi="ar"/>
              </w:rPr>
              <w:t>落实保密制度及安全防范措施等。</w:t>
            </w:r>
            <w:r>
              <w:rPr>
                <w:rStyle w:val="144"/>
                <w:rFonts w:hint="eastAsia" w:ascii="宋体" w:hAnsi="宋体" w:eastAsia="宋体" w:cs="宋体"/>
                <w:sz w:val="20"/>
                <w:szCs w:val="20"/>
                <w:highlight w:val="none"/>
                <w:lang w:val="en-US" w:eastAsia="zh-CN" w:bidi="ar"/>
              </w:rPr>
              <w:br w:type="textWrapping"/>
            </w:r>
            <w:r>
              <w:rPr>
                <w:rStyle w:val="144"/>
                <w:rFonts w:hint="eastAsia" w:ascii="宋体" w:hAnsi="宋体" w:eastAsia="宋体" w:cs="宋体"/>
                <w:sz w:val="20"/>
                <w:szCs w:val="20"/>
                <w:highlight w:val="none"/>
                <w:lang w:val="en-US" w:eastAsia="zh-CN" w:bidi="ar"/>
              </w:rPr>
              <w:t>2、三星市级人才公寓应达到以下标准：</w:t>
            </w:r>
            <w:r>
              <w:rPr>
                <w:rStyle w:val="144"/>
                <w:rFonts w:hint="eastAsia" w:ascii="宋体" w:hAnsi="宋体" w:eastAsia="宋体" w:cs="宋体"/>
                <w:sz w:val="20"/>
                <w:szCs w:val="20"/>
                <w:highlight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w:t>
            </w:r>
            <w:r>
              <w:rPr>
                <w:rStyle w:val="144"/>
                <w:rFonts w:hint="eastAsia" w:ascii="宋体" w:hAnsi="宋体" w:eastAsia="宋体" w:cs="宋体"/>
                <w:sz w:val="20"/>
                <w:szCs w:val="20"/>
                <w:highlight w:val="none"/>
                <w:lang w:val="en-US" w:eastAsia="zh-CN" w:bidi="ar"/>
              </w:rPr>
              <w:t>统筹考虑人才多样化需求，因地制宜完善周边各类配套设施建设；</w:t>
            </w:r>
            <w:r>
              <w:rPr>
                <w:rStyle w:val="144"/>
                <w:rFonts w:hint="eastAsia" w:ascii="宋体" w:hAnsi="宋体" w:eastAsia="宋体" w:cs="宋体"/>
                <w:sz w:val="20"/>
                <w:szCs w:val="20"/>
                <w:highlight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w:t>
            </w:r>
            <w:r>
              <w:rPr>
                <w:rStyle w:val="144"/>
                <w:rFonts w:hint="eastAsia" w:ascii="宋体" w:hAnsi="宋体" w:eastAsia="宋体" w:cs="宋体"/>
                <w:sz w:val="20"/>
                <w:szCs w:val="20"/>
                <w:highlight w:val="none"/>
                <w:lang w:val="en-US" w:eastAsia="zh-CN" w:bidi="ar"/>
              </w:rPr>
              <w:t>设立专职团队提供人才综合服务；</w:t>
            </w:r>
            <w:r>
              <w:rPr>
                <w:rStyle w:val="144"/>
                <w:rFonts w:hint="eastAsia" w:ascii="宋体" w:hAnsi="宋体" w:eastAsia="宋体" w:cs="宋体"/>
                <w:sz w:val="20"/>
                <w:szCs w:val="20"/>
                <w:highlight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w:t>
            </w:r>
            <w:r>
              <w:rPr>
                <w:rStyle w:val="144"/>
                <w:rFonts w:hint="eastAsia" w:ascii="宋体" w:hAnsi="宋体" w:eastAsia="宋体" w:cs="宋体"/>
                <w:sz w:val="20"/>
                <w:szCs w:val="20"/>
                <w:highlight w:val="none"/>
                <w:lang w:val="en-US" w:eastAsia="zh-CN" w:bidi="ar"/>
              </w:rPr>
              <w:t>设立人才服务窗口，可代办各类人才高频需求服务；</w:t>
            </w:r>
            <w:r>
              <w:rPr>
                <w:rStyle w:val="144"/>
                <w:rFonts w:hint="eastAsia" w:ascii="宋体" w:hAnsi="宋体" w:eastAsia="宋体" w:cs="宋体"/>
                <w:sz w:val="20"/>
                <w:szCs w:val="20"/>
                <w:highlight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w:t>
            </w:r>
            <w:r>
              <w:rPr>
                <w:rStyle w:val="144"/>
                <w:rFonts w:hint="eastAsia" w:ascii="宋体" w:hAnsi="宋体" w:eastAsia="宋体" w:cs="宋体"/>
                <w:sz w:val="20"/>
                <w:szCs w:val="20"/>
                <w:highlight w:val="none"/>
                <w:lang w:val="en-US" w:eastAsia="zh-CN" w:bidi="ar"/>
              </w:rPr>
              <w:t>积极导入优质社会资源等。</w:t>
            </w:r>
            <w:r>
              <w:rPr>
                <w:rStyle w:val="144"/>
                <w:rFonts w:hint="eastAsia" w:ascii="宋体" w:hAnsi="宋体" w:eastAsia="宋体" w:cs="宋体"/>
                <w:sz w:val="20"/>
                <w:szCs w:val="20"/>
                <w:highlight w:val="none"/>
                <w:lang w:val="en-US" w:eastAsia="zh-CN" w:bidi="ar"/>
              </w:rPr>
              <w:br w:type="textWrapping"/>
            </w:r>
            <w:r>
              <w:rPr>
                <w:rStyle w:val="144"/>
                <w:rFonts w:hint="eastAsia" w:ascii="宋体" w:hAnsi="宋体" w:eastAsia="宋体" w:cs="宋体"/>
                <w:sz w:val="20"/>
                <w:szCs w:val="20"/>
                <w:highlight w:val="none"/>
                <w:lang w:val="en-US" w:eastAsia="zh-CN" w:bidi="ar"/>
              </w:rPr>
              <w:t>二、市级人才公寓标注</w:t>
            </w:r>
            <w:r>
              <w:rPr>
                <w:rStyle w:val="144"/>
                <w:rFonts w:hint="eastAsia" w:ascii="宋体" w:hAnsi="宋体" w:eastAsia="宋体" w:cs="宋体"/>
                <w:sz w:val="20"/>
                <w:szCs w:val="20"/>
                <w:highlight w:val="none"/>
                <w:lang w:val="en-US" w:eastAsia="zh-CN" w:bidi="ar"/>
              </w:rPr>
              <w:br w:type="textWrapping"/>
            </w:r>
            <w:r>
              <w:rPr>
                <w:rStyle w:val="144"/>
                <w:rFonts w:hint="eastAsia" w:ascii="宋体" w:hAnsi="宋体" w:eastAsia="宋体" w:cs="宋体"/>
                <w:sz w:val="20"/>
                <w:szCs w:val="20"/>
                <w:highlight w:val="none"/>
                <w:lang w:val="en-US" w:eastAsia="zh-CN" w:bidi="ar"/>
              </w:rPr>
              <w:t>对市级人才公寓的星级进行标注。</w:t>
            </w:r>
            <w:r>
              <w:rPr>
                <w:rStyle w:val="144"/>
                <w:rFonts w:hint="eastAsia" w:ascii="宋体" w:hAnsi="宋体" w:eastAsia="宋体" w:cs="宋体"/>
                <w:sz w:val="20"/>
                <w:szCs w:val="20"/>
                <w:highlight w:val="none"/>
                <w:lang w:val="en-US" w:eastAsia="zh-CN" w:bidi="ar"/>
              </w:rPr>
              <w:br w:type="textWrapping"/>
            </w:r>
            <w:r>
              <w:rPr>
                <w:rStyle w:val="144"/>
                <w:rFonts w:hint="eastAsia" w:ascii="宋体" w:hAnsi="宋体" w:eastAsia="宋体" w:cs="宋体"/>
                <w:sz w:val="20"/>
                <w:szCs w:val="20"/>
                <w:highlight w:val="none"/>
                <w:lang w:val="en-US" w:eastAsia="zh-CN" w:bidi="ar"/>
              </w:rPr>
              <w:t>三、市级人才公寓评定展示</w:t>
            </w:r>
            <w:r>
              <w:rPr>
                <w:rStyle w:val="144"/>
                <w:rFonts w:hint="eastAsia" w:ascii="宋体" w:hAnsi="宋体" w:eastAsia="宋体" w:cs="宋体"/>
                <w:sz w:val="20"/>
                <w:szCs w:val="20"/>
                <w:highlight w:val="none"/>
                <w:lang w:val="en-US" w:eastAsia="zh-CN" w:bidi="ar"/>
              </w:rPr>
              <w:br w:type="textWrapping"/>
            </w:r>
            <w:r>
              <w:rPr>
                <w:rStyle w:val="144"/>
                <w:rFonts w:hint="eastAsia" w:ascii="宋体" w:hAnsi="宋体" w:eastAsia="宋体" w:cs="宋体"/>
                <w:sz w:val="20"/>
                <w:szCs w:val="20"/>
                <w:highlight w:val="none"/>
                <w:lang w:val="en-US" w:eastAsia="zh-CN" w:bidi="ar"/>
              </w:rPr>
              <w:t>在房源地图中能展示市级人才公寓的星级评定。</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市级人才公寓运营服务管理-运营服务及监督管理-人才公寓运营监督管理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对市级人才公寓进行规范化监督管理，包括名称、项目宣传推广、管理服务等。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一、取消认定管理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对于违约市级人才公寓管理规定的人才公寓，可进行摘牌与取消认定处理。并由相关管理部门给予处罚。主要包括：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（一）日租；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（二）收取表外租金费用的；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（三）允许未通过资格审核入住人才公寓的；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（四）通过分销方式开展项目推广的；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（五）其他严重违反相关管理规定的。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系统可对上述取消认定过程进行管理，主要包括取消认定申请、取消认定审核。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二、人才公寓清退管理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对于存在违约情形的人才租赁行为，人才公寓运营机构可直接解除租赁合同，并进行清退。主要包括：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（一）出现情况变更不再符合房屋使用资格条件的；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（二）将房屋转租、出借或者擅自调换房屋的；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（三）改变房屋用途用于经营活动的；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（四）破坏房屋结构，或者擅自装修，在运营机构要求的期限内未修复或赔偿的；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（五）欠缴相关费用给运营机构造成较大损失的；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（六）连续3个月在房屋内居住累计不满30日的（确因工作需要的除外）；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（七）其他违反法律、法规规定及租赁合同约定的。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系统可对上述清退过程进行管理，主要包括清退申请、清退审核。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三、信用名单管理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建立信用名单管理机制，对在市级人才公寓申请及使用过程中，存在不诚信情况的进行记录及跟踪管理，并给予相关处罚。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如申请人有开具虚假证明、谎报家庭住房信息等情形的，取消其申请资格且不得再次申报，情节严重的，纳入本市征信系统。已经使用房屋的，按照市场租金标准补交租金，由人才公寓运营机构收回房屋；其中属于国家工作人员的，通报用人单位，并按照干部管理权限，给予党纪政纪处分或组织处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四、社会转供应审核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市级人才公寓认定、管理、展示等工作统一在市人才安居服务平台实施。在满足相应人才租赁需求的前提下仍有剩余房源的，人才公寓运营方可按规定通过市人才安居服务平台面向社会供应。其他租赁平台未经市区两级房管部门允许，不能转发相关租赁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1、社会转供应申请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对于需要转供应的房源，需由市级人才公寓运营方提出申请，包括项目、户型、数量、室号、转供应原因及相关材料等，报由市区两级房管部门及市人才局审核。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2、社会转供应审核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市、区两级房管部门及市人才局对市级人才公寓运营方提出的转供应申请进行审核。审核通过的，可进行社会转供应。</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3、转供应房源变更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对审核通过的转供应人才公寓进行状态变更，并进行相应处理，确保数据的一致性。</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市级人才公寓运营服务管理-运营服务及监督管理-人才公寓社会转供应申请及审核-人才公寓社会转供应申请</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1、社会转供应申请填报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对于需要转供应的房源，需由市级人才公寓运营方提出申请，填报内容包括项目、户型、数量、室号、转供应原因、转供应去向及相关材料等，报由市区两级房管部门及市人才局审核。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2、社会转供应申请查询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人才公寓运营方可查看本单位所上报的社会转供应申请记录，并可对未审核的记录可进行编辑修改，重新提交。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同时，还可按照申报时间、项目名称、审核状态进行分类检索。</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市级人才公寓运营服务管理-运营服务及监督管理-人才公寓社会转供应申请及审核-人才公寓社会转供应审核</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市、区两级房管部门及市人才局对市级人才公寓运营方提出的转供应申请进行审核。审核通过的，可进行社会转供应处理。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1、区级审核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各区级房管部门及人才局可对本区的社会转供应申请进行审核，审核通过的，统一汇总上报到市级。审核不通过的，写明原因直接驳回或要求重新补充材料上报。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2、市级审核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（1）列表查询：列表展示各区审核通过，汇总上报的社会转供应申请，并可按照时间、区域等进行分类检索。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（2）市级审核：查查看各区审核通过的社会转供申请，并进行审核。若审核不通过，可写明原因直接驳回给区级审核单位，或要求重新补充材料上报。若审核通过，则可注明相关要求，开始进行社会转供应。</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市级人才公寓运营服务管理-运营服务及监督管理-人才公寓社会转供应申请及审核-转供应房源变更调整</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对审核通过的转供应人才公寓进行状态变更，并进行相应处理，确保数据的一致性。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1、社会转供应房源锁定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锁定审核通过的社会转供应房源，确保其处于不可选的状态，避免选房冲突。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2、社会转供应房源移出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列表展示可社会转供应的房源，由运营方选择哪些房源转出进行社会转供应。被选中的房源由市级人才公寓库中移出。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3、筹集指标修改并标注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根据移出的数量，同步更新各区相应的筹集指标信息，并标注变化原因。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4、历史转供应房源查询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可列表展示历史社会转供应信息，并可按照时间、区域、项目、转供应去向等条件进行检索。</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市级人才公寓运营服务管理-运营服务及监督管理-人才公寓展示控制</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具有相关权限的用户可对在地图上展示的人才公寓进行显示范围控制，如设置哪些房源供管理者查看、哪些供人才选房时查看、哪些房源暂不对外展示等。进而实现房源的管理查询与选房地图的独立管理。</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市级人才公寓运营服务管理-运营服务及监督管理-人才公寓服务管理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与东方菁汇的“菁英汇”服务对接，采集“菁英汇”人才公寓服务信息，并进行展示。对接方式包括服务接口、文件导入、数据录入等多种方式，数据类型包括服务信息名称、服务信息类型、服务信息内容、所在项目、服务图片等。</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市级人才公寓运营服务管理-分级配租管理-配租资格条件核验、配租统计分析</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一、配租资格条件核验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对申请配租的人才等级资格及租赁资格进行核验，核验通过的方可进行租赁。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申请配租的人才应满足以下基本条件：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1、遵纪守法、无违法犯罪记录；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2、一般应全职来沪工作，并与用人单位签订工作合同或意向性协议；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3、人才家庭（含本人、配偶和共同生活的子女）应在本市无自有住房，原则上一个人才家庭只能申请使用一套人才公寓，夫妻双方同时符合申请条件的，按就高原则申请。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入住的人才公寓为保障性租赁住房、公共租赁住房的，还须符合相应的准入资格。</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二、配租统计分析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1、配租清单查询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可按时间顺序，列表展示市级人才公寓的配租申请清单，并可按照公寓名称、申请人姓名、公寓类别、人才层级以及时间范围等进行过滤检索。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根据用户权限，可提供导出操作。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2、配租统计分析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按照配租数据，结合租赁需求及实际配租的公寓情况进行统计，展示方式包括图、表。并按照区域、人才层级、户型结构、租金范围等进行汇总、对比、分析。</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市级人才公寓运营服务管理-分级配租管理-人才配租管理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对市重点单位推荐的人才采取定向配租方式。由重点单位提出安居需求，市住房保障部门根据需求，在已认定的市级C类人才公寓中排摸适配房源，实施专项配租。流程说明如下：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1、人才可登录人才安居系统。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2、系统会根据本次专项配租的保障范围，确定该人才是否参与本次配租。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3、若参与本次配租，系统自动为其推荐全市C类人才公寓（根据紧缺急需人才人才的配租标准进行推荐）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4、根据系统提供的在线看房功能，通过VR等完成在线看房。</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5、对于有意向的房源，可直接在线申请。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6、系统会根据申请的情况及供需情况，进行摇号轮候，确保公平性。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7、根据摇号结果，与运营机构完成合同或协议的签订。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8、房源状态动态更新，确保信息同步与一致性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二、租赁需求单位申报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由重点单位根据本单位的实际情况，对相应的安居需求进行申报，为专项配租供应提供参考。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三、专项配租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市住房保障部门根据需求，在已认定的市级C类人才公寓中排摸适配房源，实施专项配租。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1、专项房源的发布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对进行专项配租的C类人才公寓进行审核发布（同时，也对供用对象的范围进行标记），发布后的人才公寓方可在线查看并进行选房。</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2、专项配租范围设定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设定本次进行专项配租的相关人才（由各党口及各区人才局申报），并设定不同人才所能申请的C类人才公寓范围（比如，区里的特殊房源只能供本区人才申请等）。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3、线上申请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符合条件的相关人才可在线完成线上看房与在线租赁申请，并可查看其审核与轮候的结果与进展。</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市级人才公寓运营服务管理-分级配租管理-摇号轮候配租</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一、申请清单管理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列表展示相关租赁申请清单，并可按照区域、申请人、人才公寓项目、户型、申请时间等条件进行过滤检索。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具有相关权限的用户还可进行导出操作。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二、申请清单摇号轮候</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为了体现配租的公平性与公正性，需要进行摇号轮候。</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1、建立摇号轮候模型与算法，以体现公平性与随机性。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2、根据模型及算法，可分项目、分户型对申请人进行随机摇号，并生成结果顺序清单。不同房源项目、不同户型分别独立摇号轮候。</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3、结合房源户型的实际数量，分项目及户型，分别确定中签者与轮候者。</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三、摇号轮候结果审核发布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对摇号轮候的结果进行审核，确保其公平性。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审核通过后，进行发布（下发给各管理部门、运营公司及申请单位及申请人）。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四、运营公司签约反馈</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运营公司根据摇号轮候结果，对接申请人完成租赁签约管理，并反馈签约信息。同时，反馈签约合同。</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市级人才公寓运营服务管理-分级配租管理-人才优租计算器</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为方便重点人才选择市级人才公寓时，对所承担的租金支出有更清晰的了解与掌握，系统提优租计算器功能，自动匹配计算重点人才实际所承担的的租金金额范围。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一、人才公寓房租价格展示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自动获取所选人才公寓（具体到室号）的房租原价与优惠价，以“元”为单位。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二、租房补贴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计算并显示该人才（根据人才层级不同的优惠）所能享受的租房补贴金额（若该人才公寓还有其它优惠，则一并展示），以“元”为单位。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三、公积金提取金额</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根据重点人才的公积金缴纳情况及公积金管理的规定，调用接口获取基本公积金和补充公积金，通过计算展示本人可提供的公积金金额范围，通过滚动条拖拉，可设置希望提取的公积金金额。</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1、基本公积金获取（接口）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根据申请人的相关信息，通过接口获取其可提取的基本公积金金额。</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2、补充公积金金额获取（接口）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根据申请人的相关信息，通过接口获取其可提取的补充公积金金额。</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3、公积金提取金额设置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申请人可根据自己的实际情况，在本人可提供的公积金金额范围内（基本公积金与补充公积金之和），通过滚动条拖拉，设置自己希望提取的公积金金额。</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四、签约价格预估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根据上述相关金额，自动计算预计签约的房租价格。可在一定程度上充分体现对高次人才的优租优惠力度，提升人才的满意度与幸福感。</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重点人才优购服务管理-重点人才购房信息管理-购房人才信息归集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1、购房人才信息归集（接口）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通过接口获取购房人才信息（第三方平台），并进行查询管理。主要内容包括：所属区域、市级认定层次、区级认定层次、姓名、手机号码、性别、出生日期、证件类型、证件号码、国籍、户籍、婚姻情况、配偶姓名、配偶证件类型、配偶证件号码、未成年子女姓名、取得居住证年月、居住证是否满120分、最高学历、最高学位、单位名称、工作单位联系人、工作单位联系电话、职务、职称、是否为创业类人才或企业主要负责人、企业成立年限（年）、企业前三年累计纳税额（亿元）、是否拥有海外工作经历、所属街道、行业领域、专业技术职称、人才认定机构、人才类型、机构认定日期、认定有效期、可以购房区域、意向购房地址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2、购房人才信息查询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列表展示归集的购房人才信息，并可进行分类统计查询。</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重点人才优购服务管理-重点人才购房信息管理-购房人才信息申请服务</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将归集到的购房人才信息，通过单独接口的方式对外提供服务。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1、开发购房人才信息接口服务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为“购房业务系统”提供调用服务。通过接收购房业务系统的调用请求，可将核验结果反馈给购房业务系统。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2、开发购房结果接收接口服务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当人才完成购房后，购房业务系统调用本接口（购房结果接收接口）反馈人才购房结果（同时，涵盖所购房源信息）。</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重点人才优购服务管理-重点人才购房信息管理-购房房源落图服务及服务调用监控</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将通过接口获取购房房源信息进行规范化处理，并进行落图（根据位置信息完成经纬度坐标转换）。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根据业务监控要求，需要记录购房人才信息服务的接口调用情况，包括时间、次数、调用来源、运行是否正常等，以方便问题追溯和业务管理。</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重点人才优购服务管理-重点人才购房“优补”管理-购房“优补”方案管理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根据市经济社会发展和人才工作实际，由市人才安居工作联席会议认定每年重点人才购房补贴的资金总额，并实行排序轮候制度（如按人才认定层次、个人所得税缴纳、服务企业纳税等情况排序），完成购房补贴的申报与发放服务，降低人才的安居成本，提升人才安居服务的保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一、业务流程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引进的重点人才和确有居住困难的存量重点人才给予人才购房补贴，其中:全球顶尖人才按照“一事一议”原则给予购房补贴支持，国家高端人才和经认定的我市重点创新创业团队核心成员按相关标准给予购房补贴支持，重点单位推荐的紧缺急需人才也可申请购房补贴支持，用人单位原则上不低于1:1予以配套。鼓励用人单位所在地区按照市级购房补贴50%的比例予以配套。市、区两级购房补贴的实际金额根据用人单位可配套的补贴金额予以确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市级购房补贴与其他市级人才计划奖项提供的“安家费”之间，按照“就高不重复”原则享受，避免重复资助。购房补贴按年分批拨付人才。重点人才购房“优补”管理业务流程说明如下：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1、市人才办会同相关部门统一明确重点人才购房“优补”的具体条件和标准。（购房补贴资金安排与分配实现额度管理。市人才办商财政部门确定资金总额度，报人才安居联席会确认分配额度）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2、市人才局根据资金额度限制要求，给各大口党委进行配额（包括人数与金额）</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3、各大口党委可根据本条线的实际情况，制定本条线各用人单位的配额及总额，报人才局审批，通过后执行。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4、人才局及大口党委下发相关通知，符合条件的补贴申领对象（重点人才）根据相关申报条件要求及标准进行购房补贴申报，并报送到所在单位进行审核、汇总。</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5、申请人所在单位审核通过后，集中报送到所在大口党委，由大口党委完成本条线的数据汇总及初步审核。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6、大口党委初审通过后，汇总统计本行业重点单位需要申请购房补贴的重点人才清单，并推荐至市人才局进行统筹汇总。</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7、市人才局就补贴清单中的重点人才购房补贴资格进行核验（结合补贴申请条件进行。其中，房管部门负责对购房情况进行核验）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8、核验通过后，形成初步的补贴清单（市人才局备案），并根据申请人的人才层级及不同层级的补贴标准，生成补贴发放台帐，供市人才安居联席会审核。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9、补贴台账清单经市人才安居联席会审核通过由，由市人才局向财政部门发起拨付申请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10、市财政部门根据相关规定，完成购房补贴资金的拨付。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11、市人才办明知监督补贴发放结果，并归档记录.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12、根据购房补贴的申报条件与要求，各用人单位及所在区可按适当比例配套购房补贴。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二、年度购房“优补”方案</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制定年度购房“优补”方案，涵盖具体的申报条件、申报要求及相关配额分配、金额要求等，同时，可设置各党口配额申报时间（开始与结束时间）、购房补贴申报开始时间与结束时间等。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根据需要可对购房补贴方案进行启用、禁用等操作。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三、年度购房“优补”配额</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根据购房“优补”方案，对各党口进行配额，各党口可查看本党口的配额总量，并按照要求，给本行业条线的重点单位进行配额。</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四、配额明细上报审核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各党口根据本党口的配额数据，生成本党口的配额明细（即给本行业条线的重点单位分配额度），并上报市人才局审核（同时上传购房补贴方案文件电子扫描件），审核通过后，完成备案，并可启动本党口的购房补贴申报工作。</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重点人才优购服务管理-重点人才购房“优补”管理-购房“优补”规则配置</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一、分级标准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根据年度购房“优补”方案，对购房补贴的发放标准进行分级管理。包括标准名称、补贴方式（如固定额度、按比例等）、补贴金额、补贴限制条件等。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可进行添加、修改、删除以及导入、导出等操作。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可按照不同年度、不同人才层级进行查询；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二、资格标准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根据年度购房“优补”方案，对申请购房补贴的基本条件进行管理，以方便进行资格核验。包括不同层级人才的不同申报条件要求。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可进行添加、修改、删除以及导入、导出等操作。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可按照不同年度、不同人才层级进行查询；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三、核算规则</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为适应购房“优补”政策的变化，需要根据人才层级、购房补贴标准、购房补贴条件等建立不同的购房补贴计算规则。并可根据实际需要，灵活对规则进行维护管理，设置其是否生效（如启用、停用等）。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购房补贴计算规则包括标准配置、计算规则配置（包括规则的计算基础数值（如固定金额或金额比例等）以及计算公式）、限制条件配置、特殊情况处理等。</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重点人才优购服务管理-重点人才购房“优补”管理-购房“优补”申报</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符合条件的申请人，可通过移动端在线完成购房补贴的填写、上报。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一、购房“优补”人员管理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根据党口分配给本单位的购房补贴配额，添加本单位拟推荐人才，并可进行维护管理。只用推荐的人员才可能登录系统进行购房补贴申报。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二、购房“优补”申报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符合购房补贴申请条件的相关人才（购房补贴对象）可在线完成购房补贴申请的提交。申报内容至少涵盖以下几个方面：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1、个人基本信息：包括姓名、性别、人才类别、证件类型、证件号、最高学历、毕业院校、专业、户籍所在地址、开户行、开户账号、手机号码。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2、工作信息：工作单位、单位工作年限、本次劳动合同起止日期、现任职务、职称，个人在本市的全部工作经（起止时间、工作单位）。人事姓名、人事手机号。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3、家庭信息：婚姻状况、配偶姓名、配偶证件类型、配偶证件号、工作单位、子女信息（包括姓名、工作单位、身份证号码）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4、购房补贴申请信息：本人及其家庭成员在上海市购房情况（购房时间、产权所有人、地址、面积）、本人及其家庭成员是否已享受过上海市人才购房补贴。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相关附件：根据申报要求，其它相关补充相关材料。包括本人及家庭成员的身份证、户口本、婚育证明材料、个人单身承诺说明、在沪购买产权住房的相关证明（房产证或预售合同）、购房发票、单位发放的购房补贴相关证明（银行流水与单位支付凭证）、近24个月个人在沪实际纳税清单、近12个月社保缴纳证明、购房补贴承诺书、无犯罪记录证明等材料。</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三、合同备案智能识别</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根据业务需要，需要对申请人扫描上传的合同网签备案信息进行自动识别，以简化业务操作。识别内容主要包括一些合同关键信息，如购房时间、产权所有人、地址、面积等。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四、申报记录及反馈</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1、申报记录查看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可查看所提交的购房补贴申请记录，包括历史申请记录，并可按照时间进行检索；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2、填报记录修改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对于审核不通过的购房补贴申请记录或临时存储但尚未提交的购房补贴申请记录，可进行修改、补充，并重新上报。</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重点人才优购服务管理-重点人才购房“优补”管理-分级审核-用人单位审核推荐、党口审核推荐</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用人单位审核推荐：用人单位汇总本单位的购房补贴申请，并核实、审核其相关情况。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一、用人单位汇总审核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1、购房补贴申报清单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可实时查看本单位的购房补贴申请信息，并可按照申请时间、申请人姓名、审核结果等条件进行检索。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2、购房补贴申请审核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汇总本单位的购房补贴申请信息，并进行相应的审核，包括资料的完整性、信息的准确性、上传资料的质量等，对审核不通过的，可退回（包括不满足、重新补充材料等）。审核通过的，则直接进入本单位的补贴申报清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3、批量管理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为了方便单位快速完成审核及对申请数据的管理，系统也提供对购房补贴申报信息的批量审核处理，填写审核意见。具有权限审核人也可进行批量导出操作（根据权限，可实现补贴清单的导出功能）。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二、用人单位填报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单位申请页面与功能与个人申请相同，操作方式可参考个人申请，唯一不同是个人只能填报本人的信息，且无法选择人事（联系人），但单位申请可以。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为了方便用人单位进行填报操作，系统也可提供批量导入功能，快速完成基础数据的录入（批量导入需要先下载模板，并按模板要求填写信息）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三、单位汇总上报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1、汇总上报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各用人单位对本单位审核通过的购房补贴申请进行汇总，形成本单位的购房补贴申报清单，并可批量上报到区人才服务中心。上报的信息除了个人申报的信息外，还会同步上报本单位的相关信息，如人事（联系人）、本联系人手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对于上报的申请，系统会自动核验其数量与本单位的配额数量是否一致，不一致的则给出提示。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对于形成的购房补贴申报清单可提供导出操作，并可按照时间、上报状态、审核结果、申请人等信息进行快速分类检索。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2、审核意见处理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对所上报的购房补贴申请，若党口或人才局审核未通过（包括修改补充材料等事项），则需根据审核意见进行相应的办理。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3、历史查询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党口审核推荐：可查看本单位购房补贴的历史申报信息，并可按照时间、申请人姓名、金额等条件进行检索。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一、党口汇总审核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1、购房补贴申报清单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可实时查看本党口各单位上报的购房补贴申请信息，并可按照申请时间、所在单位、申请人姓名、审核结果等条件进行检索。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2、党口审核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汇总本党口的购房补贴申请信息，并进行相应的审核，包括资料的完整性、信息的准确性、上传资料的质量等，对审核不通过的，可退回（包括不满足、重新补充材料等）。审核通过的，则直接进入本党口的补贴申报清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3、批量管理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为了方便党口快速完成审核及对申请数据的管理，系统也提供对购房补贴申报信息的批量审核处理，填写审核意见。具有权限审核人也可进行批量导出操作（根据权限，可实现补贴清单的导出功能）。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二、党口汇总上报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1、汇总上报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各党口对本党口审核通过的购房补贴申请进行汇总，形成本党口的购房补贴申报清单，并可批量上报到人才局。</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对于上报的申请，系统会自动核验其数量与本党口的配额数量是否一致，不一致的则给出提示。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对于形成的购房补贴申报清单可提供导出操作，并可按照时间、上报状态、审核结果、所在单位、申请人等信息进行快速分类检索。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2、审核意见处理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对所上报的购房补贴申请，若人才局审核未通过（包括修改补充材料等事项），则需根据审核意见进行相应的办理。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3、历史查询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可查看本党口购房补贴的历史申报信息，并可按照时间、所在单位、申请人姓名、金额等条件进行检索。</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重点人才优购服务管理-重点人才购房“优补”管理-分级审核-人才局审核及特殊业务处理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一、购房补贴申报清单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可实时查看本党口各单位上报的购房补贴申请信息，并可按照申请时间、所在党口、所在单位、申请人姓名、审核结果等条件进行检索。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二、审核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汇总各党口的购房补贴申请信息，并进行相应的审核，包括资料的完整性、信息的准确性、上传资料的质量等，对审核不通过的，可退回（包括不满足、重新补充材料等）。审核通过的，则直接进入本年度购房补贴推荐清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三、批量管理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为了方便快速完成审核及对申请数据的管理，系统也提供对购房补贴申报信息的批量审核处理，填写审核意见。具有权限审核人也可进行批量导出操作（根据权限，可实现补贴清单的导出功能）。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特殊业务处理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对于在实际业务中，可能出现的特殊申请及例外处理，系统提供购房补贴清单录入、导入等功能，以有效解决异常情况。</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重点人才优购服务管理-重点人才购房“优补”管理-购房补贴核算与发放</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对审核通过的购房补贴申请，进行补贴金额核算，并完成发放。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一、购房补贴申请清单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对资格检验及审核通过的购房补贴申请数据，形成本年度市级人才购房补贴推荐人选汇总表。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列表展示的内容主要包括申请人姓名、证件类型、证件号、所在用人单位、人才层级、申请购房补贴金额（元）、银行账号、开户行、申请时间等。并可进一步查看申报人详细信息。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对上列表可按照年度、党口、所在单位、申请人姓名等条件进行分类查询检索。具有权限的用户可进行导出操作。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二、购房补贴金额核算</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根据申报材料，结合相关审核情况，根据购房补贴标准模型，自动计算出申请人相应的购房补贴标准及金额。</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系统会自动将计算所得购房补贴金额与申报购房补贴金额进行对比，一致的，直接进入购房补贴发放台帐，不一致的，给出提示并进入异常。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三、购房补贴发放台帐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列表展示满足发放条件的购房补贴台帐。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内容包括：申请人姓名、证件类型、证件号、所在用人单位、人才层级、申请购房补贴金额（元）、核算后购房补贴金额、银行账号、开户行、申请时间等。并可进一步查看申报人详细信息。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在补贴发放台帐列表中，选择相关记录后，点击“购房补贴发放”按钮，可生成购房补贴发放清单，供银行发放使用。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四、购房补贴发放记录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根据购房补贴发放台账生成银行的数据格式，形成报盘文件。银行发放完成后形成回盘文件，将回盘文件导入系统更新购房补贴发放台账。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银行回盘主要字段包括：发放统一编号、序号、申请人姓名、申请人证件号、账号、开户行、实发金额（元）、发放状态、发放日期等。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同时，也可对历史购房补贴发放记录进行查询检索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五、异常情况处理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1、金额核算不一致异常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对于申报的购买补贴金额与实际核算的补贴金额不一致的情况，需要申请人进行确认，并由人才局复核确认最终发放金额。</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2、购房补贴发放异常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对购房补贴发放过程中出现的例外情况进行集中管理（如未发放成功的，如何补发、银行账户异常、人才离沪、住房交易等等），并做好后续处理的记录。</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重点人才优购服务管理-重点人才购房“优补”管理-重点人才购房“优补”管理统计分析</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主要针对购房补贴发放整体情况，如涉及人数、资格类别、购房补贴金额等进行统计对比分析。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一、单位购房补贴报表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对各申报重点单位的购房补贴申请与发放情况进行统计分析报表。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包括申请人数、审核通过人数、购房补贴发放金额等。并可进行历史对比分析。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二、党口购房补贴报表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辅助各党口完成对本行业条线的购房补贴申请与发放情况进行统计分析。包括年度变化趋势、各重点单位的配额与金额变化、涉及人数、区域分布等。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三、购房补贴统计分析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根据业务需要，对购房补贴的申请与发放情况进行统计分析。主要包括购房补贴金额、区域分布、人才层级分布、人才数量等。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展示方式以图、表相结合的方式，并可按照时间维度、区域维度、人才层级维度、行业结构维度、所属党口维度进行对比分析与趋势分析，方便管理者了解购房补贴的变化情况与趋势。</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重点人才优购服务管理-人才优购专题展示</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一、专题地图展示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基于电子地图展示人才购房的空间分布情况，并可按照行政区划（全市、16个区）、户型、面积范围、价格范围等条件进行分类检索。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在地图上通过鼠标点击具体的房源图标，可查看该房源的详细信息。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二、购房数据汇总</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配合电子地图，在其上以浮动窗的方式展示人才优购的汇总数据，包括房源总量及分类汇总等。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三、分项列表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在地图的浮动窗上，点击汇总统计数据的数值，可弹出列表，展示组成该数据的具体情况。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四、地图定位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在分项列表窗口，点击房源项目，可在电子地图上显示房源的地理位置定位，并可显示其详细信息，如基本信息、楼盘信息及影像资料等。</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人才综合服务一体化-“海聚英才通”业务服务对接-“海聚英才通”一站式登录实现</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一站式登录流程说明如下：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1、登录海聚英才通系统。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2、海聚英才通系统对身份证号进行加密。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3、海聚英才通系统以加密身份证号作为参数调用人才安居平台服务。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4、人才安居平台解密收到的身份证号。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5、人才安居平台对身份证号进行加密。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6、人才安居平台调用加密身份证号作为参数海聚英才通系统的服务获取该身份证号的相关信息。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7、海聚英才通系统解密收到的身份证号。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8、海聚英才通系统对身份证号相关信息进行加密。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9、海聚英才通系统返回加密信息.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10、人才安居平台解密收到的加密信息。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11、人才安居平台根据身份证号相关信息提供服务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实现一站式登录模块主要包括：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1、房补联动服务登录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2、人才租房补贴服务登录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3、租赁房源信息服务登录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后台管理服务登录等。</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人才综合服务一体化-“海聚英才通”业务服务对接-房补联动服务对接、人才租房补贴服务对接</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1、房补联动服务对接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实现“房补联动系统”与“海聚英才通”之间的业务联动。将“房补联动系统”集成到“海聚英才通”上，具有资格的人才可通过“海聚英才通”可直接进入“房补联动系统”完成选房。系统通过接口，获取人才加密身份信息，再根据加密身份证信息获取人员基本信息、人员所在单位信息、单位所属行业主管部门信息、人才级别等信息，根据获取的信息确定人员的权限，并进入房补联动系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2、人才租房补贴服务对接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实现“人才租房补贴系统”与“海聚英才通”之间的业务联动。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重点单位在“海聚英才通”平台完成本单位可参与租房补贴申请的人才信息维护与设置。满足资格要求的人才可从“海聚英才通”入口进入“人才租房补贴系统”完成补贴申请。人才租房补贴系统会通过接口，从“海聚英才通”获取加密身份信息，并根据加密身份证信息获取补贴人员的归属信息，包括人员所在单位信息、单位补贴配额信息、单位所属行业主管部门信息、主管部门补贴配额等信息，根据获取的信息确定人员的权限与补贴归口，完成补贴的申请与审核。</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人才综合服务一体化-“海聚英才通”业务服务对接-租赁房源信息服务对接、后台管理服务对接</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一、租赁房源信息服务对接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实现“租赁房源信息系统”与“海聚英才通”之间的业务联动。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用户从“海聚英才通”的入口进入“租赁房源信息系统”，系统会通过接口从海聚英才通获取用户加密身份信息，并根据用户身份信息获取其人才层级、所在区域、位置信息等，并据此授予其看房、选房权限范围，并根据其位置信息为其推荐房源。以满足市、区不同层级人才的差异化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二、后台管理服务对接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打通“海聚英才通”后台与人才安居系统后台的服务对接，确保用户体验的无缝衔接。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1、海聚英才通平台中点击人才安居系统专题项，系统会跳转到人才安居系统的专题链接。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2、跳转后，人才安居系统需要通过平台统一授权页进行授权，并携带系统编码和回调url</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3、授权页中会验证登录状态，如果已经登录，则跳转回调url，并且携带用用户相关信息。如果未登录，则跳转登录页面，登录后跳转回调url。</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人才综合服务一体化-“海聚英才通”数据服务对接-房补联动资格认定数据、人才租房补贴资格认定数据、重点单位信息、安居人才基本信息对接服务</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1、房补联动资格认定数据对接服务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通过接口从“海聚英才通”获取参与房补联动的人才资格信息，并写入房补联动人才资格信息表中。主要内容包括：姓名、证件类型、证件号、人才层级、房补联动资格状态等。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2、人才租房补贴资格认定信息对接服务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通过接口从“海聚英才通”获取参与租房补贴申请的人才信息，并写入租房补贴人才信息表中。主要内容包括：姓名、证件类型、证件号、人才租房补贴资格状态等。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3、重点单位信息对接服务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于人才所在单位的具体信息由“海聚英才通”提供，通过本接口，从“海聚英才通”获取人才所在单位的基本信息，并写入重点单位信息表中。主要内容包括：单位名称、统一信用代码、归属大口党委、单位级别、单位性质、所属行业、所属区、单位地址、联系人、联系电话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4、安居人才基本信息对接服务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通过接口从“海聚英才通”获取安居人才的基本信息，方便在线选使用。主要内容包括：姓名、性别、证件类型、证件号码、民族、学历、手机号、来沪日期、户籍所在地 所属单位、居住地址、人才类别等。</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人才综合服务一体化-“海聚英才通”数据服务对接-人才公寓申请及审核数据对接服务</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1、人才公寓申请数据对接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向“海聚英才通”推送人才公寓的申请数据，确保人才在“海聚英才通”中便可查询自己的申请记录。通过接口推送的内容主要包括：申请人姓名、证件类型、证件号、所在单位、单位统一信用代码、项目名称、楼幢号、室号、户型、手机号、申请时间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2、人才公寓申请审核数据对接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将人才公寓申请摇号轮候审核后的记录推送给“海聚英才通”。通过接口推送的内容主要内容：姓名、证件类型、证件号、所在单位、单位统一信用代码、项目名称、楼幢号、室号、户型、手机号、摇号序号、摇号类型等。</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人才综合服务一体化-“海聚英才通”数据服务对接-合同数据对接服务、自动数据分发管理功能</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一、合同数据对接服务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向“海聚英才通”推送人才公寓租赁合同数据。通过接口推送的合同数据主要包括：合同编号、项目名称、楼幢号、房屋号、房间号、床位号、签约主体类型、主申请人姓名、居住人数、租赁开始日期、租赁截止日期、合同类型、续租前合同编号、合同月租金（元）、租金支付方式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为区房管局及区人才局提供对本区房源数据的管理与分发功能。例如，区可以选择本区的房源数据下发到各区人才安居平台或分发到人才局“海聚英才通”租赁房源信息系统等，在确保数据一致性的同时，提升效率、减少重复操作，总共涉及2个数据服务对接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二、自动数据分发管理功能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本模块总共涉及2个数据服务对接接口。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向各区分发房源数据：通过接口，将房源数据下发到各区的人才安居平台，主要内容包括项目名称、项目类别、项目所属区域代码、项目地址、所属重点区域、开盘日期、运营公司统一社会信用代码、运营公司名称、项目性质、供应对象范围、项目归属、项目来源、供应状态、项目供应日期、计划供应日期等。需要与各区人才安居平台对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向“海聚英才通”分发房源数据：通过接口，将房源数据分发到“海聚英才通”租赁房源信息系统。主要分布的内容包括：项目名称、项目类别、项目所属区域代码、项目地址、所属重点区域、开盘日期、运营公司统一社会信用代码、运营公司名称、项目性质、供应对象范围、项目归属、项目来源、供应状态、项目供应日期、计划供应日期等。需要与“海聚英才通”租赁房源信息系统对接。</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人才综合服务一体化-运营公司数据服务对接</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与市级人才公寓的运营公司进行服务对接，获取人才公寓房源变化情况、公寓共享空间情况、公寓周边配套情况、公寓居家配套情况等。可采用数据接口服务调用方式或数据编目方式，并为运营公司提供数据维护管理服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本模块总共涉及4个数据服务对接接口。不同的运营公司需要调整与适配。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1、公寓房源变化数据服务对接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人才公寓房源变化情况，主要内容包括：项目号、项目名称、楼幢号、房间号、面积、月租金、锁定状态、租赁状态等。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运营公司通过对接接口即时更新房源项目中房屋的基本信息和状态信息，用于支持常态化选房。</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2、公寓共享空间情况数据服务对接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对接的主要内容包括：共享空间名称、共享空间类型、共享空间说明、所属项目、所属楼幢、可预定时间、已申请时间等。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运营公司通过对接接口即时更新房源项目的共享空间情况和楼幢额共享空间情况，包括共享空间情况基本情况、预定规则和预定情况，用于支持人才公寓共享空间的分享。</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3、公寓周边配套情况数据服务对接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对接的主要内容包括：周边配套名称、周边配套类型、周边配套说明、所属项目号、所属项目名称等。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运营公司通过对接接口即时更新房源项目周边电影院、公园等公共服务的基本情况，用于展示房源项目所在社区的成熟度。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4、公寓居家配套情况数据服务对接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对接的主要内容包括：居家配套、居家配套类型、居家配套说明、所属项目号、所属项目名称等。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运营公司通过对接接口即时更新房间提供的空调、洗衣机等配套设施，用于展示项目的服务内容。</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房补联动及地图服务管理-业务地图服务</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1、接入新的业务地图，以提供更多的地图数据及更加即时的地图操作服务。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2、基于新的地图所提供的接口或服务，叠加安居业务相关功能。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涉及地图的主要服务包括：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（1）一图通查房源地图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（2）一图通查单位地图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（3）一图通查筹措地图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（4）移动端批次选房地图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（5）移动端区标准版选房地图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（6）移动端常态化选房地图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涉及地图功能主要包括：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（1）人才公寓数据聚合展示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基于电子地图，将全市各区的人才公寓汇总数据以聚合点的方式集中展示，默认显示全市各区可供人才公寓数据。聚合数据点标示：可租数/总数。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（2）项目板块聚合展示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发布并叠加项目板块电子地图，并以项目板块为基础，显示各板块的可供人才公寓数据，并以聚合数据点的方式进行标示。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（3）分级展示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点击某一聚合数据点，地图自动进行放大，分级展示该聚合区域的具体人才公寓的位置分布。其中，可租人才公寓与已租人才公寓分别用绿色标签、蓝色标签来区分展示。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（4）分区展示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可选择全市、16个区进行分区域人才公寓空间分布展示，地图自动放大定位到具体的行政区域。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（5）租赁状态分类展示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设置可按照全部及已租、可租等不同的租赁状态来展示人才公寓的分布，根据当前视图的范围选择是否采用聚合数据展示。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（6）出租方式分类展示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按照人才公寓的出租方式，如全部、整租、分间进行人才公寓空间分布的分类展示。根据当前视图的范围选择是否采用聚合数据展示。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（7）户型分类展示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按照人才公寓的户型如一居、二居、三居、四居等进行人才公寓空间分布的分类展示。并根据当前视图的范围选择是否采用聚合数据展示。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（8）租金范围分类展示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按照人才公寓的租金范围展示符合该条件的人才公寓的空间位置分布。并根据当前视图的范围选择是否采用聚合数据展示。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（9）浮动信息展示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在电子地图上，当鼠标移动到某一房源停留2秒，便可浮出透明窗口，展示该人才公寓的基本信息，包括项目名称、可供套数、面积范围、租金范围等。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（10）汇总信息展示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1）汇总信息展示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在电子地图上，以浮动窗的方式展示人才公寓汇总信息，包括所选区域的总房源数量、目前可租房源数量、已租房源数量、在建房源数量等汇总信息，方便用户及时了解房源筹集进展情况。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2）地图反选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在浮动窗上，点击可租房源，可在电子地图上显示可租房源的分布情况；点击在建房源，可在电子地图上显示在建房源的分布情况（在线房源用灰色标签展示）。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3）列表查询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在浮动窗上，点击可租房源的数值，可弹出列表，展示可租房源的具体情况，并可按照区域、筹集方式、租金范围、主力户型来进行分类检索；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（11）组合条件搜索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1）关键字搜索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已经知道具体人才公寓房源名称的情况下，系统提供关键字直接搜索功能。在搜索框输入房源关键字，点击搜索，便可进行关键字模糊查询，查询结果直接在电子地图上进行显示。点击某一人才公寓，可查看其详细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2）组合条件检索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基于电子地图，可以通过区域、租金、房型条件对人才公寓房源项目进行筛选，点击“更多”进入条件设置界面，在该界面中，可设置组合检索条件，包括：面积、朝向、电梯、楼层等条件对房源项目进行筛选。搜索结果直接在电子地图上按区域进行“聚合”展示，通过点击操作可逐级进入查看具体房源详情。</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房补联动及地图服务管理-运营公司房补联动补贴资金管理-运营公司房补联动补贴资金申请</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1、运营公司选择申请补贴的时间段，并从能够申请补贴的人才清单中选择进行申请人才，人才清单生成规则如下：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1）根据运营公司的统一信用代码查询该运营公司的项目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2）根据项目号查询该项目号所有的网签合同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3）查询网签合同中所有的主申请人的姓名和证件号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4）核验所有主申请人的姓名和证件号是否在人才表中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5）显示所有在人才表中的主申请人，需要根据证件号去重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2、根据人才在申请补贴时间段中的合同以及人才历史补贴发放情况计算补贴金额</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3、运营公司下载申请单，盖章后上传并进行提交。</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房补联动及地图服务管理-运营公司房补联动补贴资金管理-运营公司房补联动补贴资金审核</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市人才局和市保障中心对补贴申请进行并联审核，两个单位都审核通过可以进行补贴的发放，任一单位审核不通过退回到运营公司补贴申请。</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房补联动及地图服务管理-运营公司房补联动补贴资金管理-运营公司房补联动补贴资金发放</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对审核通过的补贴申请进行集中管理，并完成资金的发放。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1、房补联动补贴资金发放清单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对审核通过的运营公司房补联动补贴申请数据形成补贴发放清单。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列表展示的内容主要包括单位名称、申请时间段、房源套数、补贴金额、开户行、账号等。并可进一步查看详细信息。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对上列表可按照申请时间段、单位名称条件进行分类查询检索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在补贴发放清单列表中，选择相关记录后，点击“补贴发放”按钮，可下载补贴发放清单，供银行发放使用。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2、房补联动补贴资金发放记录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根据房补联动补贴发放清单生成银行的数据格式，形成报盘文件。银行发放完成后形成回盘文件，将回盘文件导入系统形成补贴发放记录。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银行回盘主要字段包括：发放统一编号、序号、公司名称、统一信用代码、账号、开户行、实发金额（元）、发放状态、发放日期等。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同时，也可对历史补贴发放记录进行查询检索。</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房补联动及地图服务管理-运营公司房补联动补贴资金管理-房补联动补贴情况统计分析</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1、运营单位补贴报表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对运营单位的补贴申请与发放情况进行统计分析报表。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包括申请套数、审核通过套数、补贴发放金额等。并可进行历史对比分析。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2、运营公司补贴统计分析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根据业务需要，对运营单位补贴的申请与发放情况进行统计分析。主要包括运营单位补贴金额、区域分布、数量等。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展示方式以图、表相结合的方式，并可按照时间维度、区域维度进行对比分析与趋势分析，方便管理者了解补贴的变化情况与趋势。</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房补联动及地图服务管理-基于LBS推荐房源</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1、房源推荐增加根据人才（登录用户）当前所在地理位置进行推荐的功能（原来是根据人才所在单位的地理位置进行推荐）。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2、房源展示需要进行分类，新增按照安居房源、市级人才公寓、房补联动房源等多种房源分类展示。</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房补联动及地图服务管理-接口管理及监控</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一、OCR文字识别平台对接服务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新增与OCR文字识别平台的对接，方便对补贴申请用户所上传合同的重要信息进行自动识别，实现业务管理的智能化。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当人才安居补贴的申请金额与核算金额不一致时，需要申请人补充租赁合同材料进行复核，通过OCR文字识别平台，可有效提升审核效率，减轻人工工作量。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二、网签合同接口调用监控管理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新增对公租房、保租房、市场化网签合同接口调用情况查询、监控与管理。其中：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市场化租赁房屋当前与历史网签备案信息供数，由上海市住房租赁公共服务平台提供市场化租赁房屋当前与历史网签备案基本信息。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市场化租赁房安居房源房屋信息供数，由上海市住房租赁公共服务平台提供市场化租赁房安居房源房屋信息。</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重点人才分级保障服务</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房补联动及地图服务管理-共享空间申请预订及短信提醒</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新增房屋属性信息采集与展示，包括项目共享空间信息（如健身房、游泳馆、桌游、咖啡厅、自习室、羽毛球馆）、周边配套信息（如社区食堂、餐厅、药店、菜市场、超市、提款机等）、居家配套信息（如无线WIFI、电视、冰箱、洗衣机、吹风机、清洁工具）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2、提供共享空间申请预定功能。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3、新增选房短信提醒功能，包括选房结束前短信通知提醒、摇号结束后，线下签约提醒等。</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征收廉政风险防控管理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征收人员跨区调动管理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1、跨区承接业务申请：提供征收人员提交在线跨区调动申请表单，包含个人信息、希望调动的区域等，申请人可以查看审核进度。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2、跨区承接业务审核：区主管部门审批，并更新调动记录情况。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3、跨区承接业务备案：实际部门完成备案，历史调动记录查询功能，便于管理和审计。</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征收廉政风险防控管理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征收事务所跨区承接业务管理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1、跨区调动申请：由征收事务所的管理人员，进行跨区承接业务申请，说明跨区情况、承接项目情况，申请人可以查看审核进度，提供历史调动记录查询功能，便于管理和审计。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2、跨区调动申请审核：跨区房管部门进行并联审批。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3、跨区调动申请备案：审批完成后自动提交市房管局完成备案。</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征收廉政风险防控管理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征收启动规范化管理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1、签约启动申请：规范基地征收启动过程，实现线上流程化管理。各区向市房管局报备征收决定文件及基地补偿方案，申请启动签约。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2、启动申请审核：市房管局在线审核征收度决定文件和补偿方案的一致，支持征收决定文件及基地补偿方案倒查。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3、开放基地签约：市房管局在线审核通过后，市房管局可择时解锁开放基地签约</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征收廉政风险防控管理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基地清地交付建档立案</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1、资料目录建档。清地交付后征收资料归档备案，按照征收档案管理要求的资料目录，提交征收项目周期内的相关文档。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2、影像资料归集。归集现场影像资料，实现征收工作全程留痕。</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征收廉政风险防控管理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征收人员信用档案管理_工作档案管理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记录征收人员的工作表现、历年的征收安置情况，接受的奖励或惩罚情况，跨区调动情况，培训考核情况等</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征收廉政风险防控管理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征收人员信用档案管理_人员信用评估</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结合工作档案资料，从工作年限、业务工作量，培训考核等维度设定可量化的指标，进行信用评估。</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征收廉政风险防控管理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征收廉政数据市区对接_征收基础数据对接</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对接全市16个区各征收基地的征收工作管理系统，实现各区基地的房源信息、两清信息等相关业务数据上报对接，服务征收审计工作。</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征收廉政风险防控管理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征收廉政数据市区对接_征收人员操作数据对接</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对接全市16个区各征收基地的征收工作管理系统，实现各区基地的征收经办人信息、电子协议等征收廉政相关业务数据上报对接，服务征收审计工作。</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征收廉政风险防控管理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征收廉政数据比对核查_征收数据业务稽核</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将各区征收廉政工作数据关系稽核，验证征收证数和对应资金补偿、安置面积以及征收面积之间的数据逻辑关系。</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征收廉政风险防控管理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征收廉政数据比对核查_征收数据核查整改</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对于存在不一致性的征收数据，通过数据核查整改单督促各区征收系统排查解决问题，确保征收廉政业务数据的质量。</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征收廉政风险防控管理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征收廉政数据统计分析_征收实施统计、非居旧改统计</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按时间区间统计实际总征收、同期证数、实际征收居住房等征收廉政工作指标。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按时间区间统计实际实际征收非居住房屋、旧改证数、旧改建筑面积等征收廉政工作指标。</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保租房项目城市基础设施配套费免缴管理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免缴项目管理_保租项目登记、自动归集材料、免缴材料核查</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1.保租项目登记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区房管局工作人员线下获取《保障性租赁住房项目认定书》或者《配建协议书》《土地划拨决定书或出让合同》，手动上传至系统，并录入企业名称、统一社会信用代码等必要信息，补充完善项目档案。</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2.自动归集材料</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工作人员上传确认《保障性租赁住房项目认定书》或者保租项目《配建协议书》后，触发系统通过项目名称，从大数据中心数据湖自动查询并归集《建设工程规划许可证》材料，《总平面图》通过授权接口调用下载。匹配上了再发消息提醒工作人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3.免缴材料核查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区局工作人员比对保租房项目资料，确认材料符合情况，触发生成办件。</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是,全部使用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保租房项目城市基础设施配套费免缴管理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免缴审核管理_生成办件、区内审核</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1.生成办件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区局工作人员完成材料核查后，系统调取保租房认定书、电子证照等材料，生成《城市基础设施配套费免缴申请表》办件，包含项目基本信息、材料列表。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2.区内审核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按照区局内部审核流程，经办人、科室负责人、分管区局领导、主要领导审批等逐级审核材料完整性，提出具体批办意见。</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是,全部使用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保租房项目城市基础设施配套费免缴管理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免缴通知书管理_免缴通知书证照生成、对接推送电子证照库、免缴证照推送提醒</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1.免缴通知书证照生成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审核通过后，系统自动生成《上海城市基础设施配套费免缴证明》，载明以下内容：文号（文号按照16各区单独编号）企业名称、项目名称，四至范围、住宅建筑面积、房屋幢号、日期等。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2.对接推送电子证照库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授权16个区房管局的电子印章后，自动加盖受理区的电子印章，并同步归集至电子证照库，供后续行政审批环节自动调用，实现 “一次生成，全程共享”。</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3.免缴证照推送提醒</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推送至随申办APP“我的证照”栏目，企业可从该栏目获取；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推送消息参考：贵企业符合“城市基础设施配套费免缴（保租房项目）”条件，该事项已实现“免申即享”，现已将审核结果材料推送至随申办APP“我的证照”栏目，您可进行亮证或下载该材料。</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是,全部使用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保租房项目城市基础设施配套费免缴管理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配建免缴管控_应享未享项目发现、免缴证明汇总分析</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1.应享未享项目发现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通过比对保租房供应项目情况，分析《保障性租赁住房项目认定书》或者保租项目《配建协议书》的文号，提示缺号、跳号等情况，为督导各区及时全面提供免审即享的服务。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2.免缴证明汇总分析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按照行政区划和统计时间区间，汇总统计各区以及临港、长兴等区域的享受保租房配套费免缴的项目数，免缴配套费的建筑面积数量。</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是,全部使用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项目管理_预售许可管理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申请管理。预售许可证申请管理除了维护申请相关信息以外还具备数据交互能力，能够精准根据预约号等条件快速获取预售许可申请系统中的预售许可申请信息，涵盖项目概况、规划指标等关键内容，同时完整获取与之关联的文件材料，如土地使用证明、规划图纸等，在此基础上继续完善预售基本信息或预售申请材料文件，从而构建完整的预售许可申请信息，实现预售许可申请信息的集中管理与高效流转，简化申请流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受理管理。预售许可证受理模块具备高效的数据读取能力，对接成果系统，全面获取房屋信息，包括但不限于房屋坐落、户型面积、规划用途等核心数据。通过对这些关键信息的展示与修订，构造出完整的预售许可受理信息，为预售许可证下一步业务提供数据支撑。主要流程为点击预售受理列表中查询到的案件的申请组织名称跳转到受理提交页面，此时在申请过程中输入的信息是可以进行再次修正其中包括基本信息，提交资料项目信息，交互成果数据，点击保存完信息的修正。点击打印列表打印相关回执单据。打印完成后再次点击受理信息，提交此案件，结束受理流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办理管理。预售许可证办理主要内容是用户点击申请组织名称项可进入办理页面，在此点击编辑按钮，能对基本信息等进行修正，还可进行回执单打印与流程查看，满足多场景需求。为提升操作便捷性，意见栏支持通用意见或自定义意见选择。完成信息调整与意见填写后，点击保存并提交，即可完成办理流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审核管理。预售许可证审核模块主要内容为审核人员点击申请组织名称项进入审核页面，点击历史意见栏可查看过往意见，同时支持打印相关回执单及流程查看，便于全面掌握案件信息。意见栏提供通用意见与自定义意见两种选择，兼顾效率与灵活性。审核人员完成意见填写后，点击保存并提交，即可完成审核操作。若对案件内容存疑，可点击退回按钮，将案件退至上一节点重新修正。审批结果分为通过与不通过两种：通过则生成相关预售证等信息，推动项目进入预售环节；不通过则中止案件，避免不符合要求的项目进入市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文印管理。该模块具备许可证生成能力，能依据预设的规范格式与业务规则，整合了预售许可相关信息，生成格式规范、内容准确的预售许可证。文印管理人员点击预售许可证文印，输入受理编号点击查询，找到需文印的案件。点击申请组织名称项打开办理页面，在此点击历史意见栏可看到历史意见，并可以对打印相关回执单和流程查看。许可证打印列表有正文、副本和存根三种。为方便操作在意见栏可以使用通用意见或是自定义意见，点击保存，提交完成办理操作。如果对此案件内容有疑义，可以点击退回按钮将案件退回到上一个节点，重新进行修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不动产登记业务协同。预售许可管理与不动产登记业务协同主要承担着预售数据交互的重要功能，它能够深度解析预售许可证信息，将其中结构化数据，如项目详情、房屋具体信息等精准提取，同时获取预售许可管理的非结构化文件如许可证PDF文件等，并安全、及时地推送给不动产登记系统，协助和支撑不动产登记系统的预售业务的开展。</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项目管理_大居项目核定管理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居项目核定管理构建了三级核定流程，首先是建设单位依据实际情况准确填报大居项目信息，包括建设工程信息、建设单位信息、项目总投资额、房屋建筑面积、建设工程规模等信息，确保数据基础真实可靠；接着区级对填报内容进行细致确认；随后市级进行审核,通过后可打印大型居住社区项目开发范围和规模核定单；最后完成归档，形成完整项目档案。</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项目管理_项目认定管理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认定管理模块主要具备数据交互与处理能力，通过接口与行政审批系统无缝对接，实时读取保障房项目认定数据。读取后的数据需历经严格的数据规则校验，确保其准确性、完整性与合规性。校验通过后，自动下载数据并在系统中清晰展示。经办人可便捷点击项目列表查看详情，实现项目认定信息的快速查询与精准管理。</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项目管理_项目建设计划管理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建设计划管理模块中由区县依据实际规划上报项目建设计划，其中提供新增上报信息，选定基地名称，上报年份，点击查询项目数据等功能，同时展示区县、基地名称、地块编号、原规划房屋类型、规划用地面积、规划容积率和规划建筑面等信息，市级对上报内容进行严格确认。确认后进行计划发布，也可导出计划文件，确保信息及时传达。同时，提供已发布计划管理功能，便于动态调整。最终完成归档，形成完整项目档案。</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项目管理_建设主体管理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建设主体管理模块构建了区县与市级协同工作的流程，区县依据实际情况详细填写建设主体信息，包括基地信息、拟确定建设单位信息、建设单位资质信息等，并且针对不同类型信息提供多种归集方式，如可上传资格证明文件或通过接口读取建设单位资质证书信息等，确保信息全面准确。市级对区县填写内容进行严格确认，从政策合规性、数据准确性等方面严格把关。确认无误后进行导出并归档，形成规范的建设主体信息档案。</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项目管理_计划实施管理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在住房保障平台计划实施管理流程中。区县需依据实际进展，详细填写计划实施情况，包括基地名称、地块编号、规划用地面积、规划容积率、可建建筑面积、区县、地块四至范围等信息，同时提供修改、提交、导出、删除、查看等基本功能，确保数据全面且具时效性。市级则对区县填写内容进行严格确认，从政策符合度、资源调配合理性等维度进行审核把关。经确认无误后，相关信息将进行归档处理，形成完整的计划实施档案。</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项目管理_建设项目协议管理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建设项目协议管理模块构建了严谨的三级确认流程，由建设单位新增填写基地名称信息、建设单位信息、项目公司、计划保障房类型、四至范围、户型比例、建房协议价格、未尽事宜、建设单位意见等信息，同时支持建设单位下载pdf预览协议文件并且由建设单位提交下一级确认；区县进行初步确认，从区域规划、资源匹配等角度审核；市级最终确认，确保协议符合政策法规与整体布局。同时，模块提供协议书管理功能，可对协议进行分类存储、便捷查询下载与动态更新。</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项目管理_项目建设进度管理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进度管理模块构建了区县审核机制，由建设单位按实际情况进行进度申报，详细记录工程各阶段完成情况，基本信息、前期手续、项目建设情况、交付使用情况。其中，前期手续需填写房地产权证（土地部分）、 建设用地规划许可证、 建设工程规划许可证、 建筑工程施工许可证信息等。建设情况需针对楼幢填写建设进度及计划首次交付时间。交付使用情况需关联交付使用许可证信息和房地产权证（大产证）信息。通过区市审核，保障住房保障项目顺利落地。</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项目管理_搭桥供应管理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搭桥供应管理模块是先由需求方发起搭桥供应申请，明确供应需求细节如项目名称、 建设单位、项目所在基地、项目地块编号、房源类型、办理事项、供应均价等信息。提交市级办理，市级操作确认入库和预览供应联系单。随后开展搭桥供应操作入库及打印供应联系单，提交供应单，如发现供应单有误可回退修改后重新提交。</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项目管理_预售认定管理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售认定管理模块是建设单位依据项目实际进展提出预售认定申请，详细说明项目条件、进度等关键信息。市级作为审核主体，从政策法规、市场供需、项目质量等多维度严格审核，确保预售认定的准确与合规。审核通过后，系统提供认定单管理功能，可对认定单进行分类存储、便捷查询、动态更新等操作，形成完整的预售认定档案。</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项目管理_项目楼盘管理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在项目楼盘管理过程中，用户可针对选定项目开展新增房屋操作，并将其与对应楼盘进行精准关联。这一过程并非简单的数据匹配，而是要确保房屋信息与楼盘信息的全面、准确对接，涵盖房屋位置、户型、面积等多维度数据，通过此功能，平台能够清晰掌握各项目下楼盘的房源分布情况。</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项目管理_供应信息管理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供应信息管理包括基本信息、视频信息、配套信息、配租规则、便民信息、办理须知。基本信息记录项目基础信息，包括供应日期、价格、受理周期、租金水平、联系电话等；视频信息为用户上传的视频文件，可在线播放；配套为用户在线勾选项目供应所具备的配套设施，如冰箱、沙发、电视等；配租规则为文本内容编辑（不超过2000字）；便民信息为文本内容编辑（不超过500字）；办理须知为文本内容编辑（不超过2000字）；上述内容均通过与大数据中心中台服务接口推送给我要租房应用场景展示。</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项目管理_预告信息管理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公告信息管理包括录入、审核、发布三部分。录入由房企录入，包括项目名称、项目地址、计划供应时间等。审核由区级用户审核，包括审核意见或退回企业修改；最终由市级用户审核通过后发布预公告或逐级回退修改。已发布的预公告数据通过大数据中心中台服务接口推送到我要租房应用场景。预公告下线由市级用户在本模块操作置为无效，即可下架已发布的预公告。</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房源管理_房源搭建及审核</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房源搭建及审核包含房源搭建、审核及一房一码管理功能，各环节紧密相连，共同构建起完善的房源搭建审核体系。</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房源搭建采用多源数据整合方式。一方面，通过调用不动产登记中心转发的成果系统接口，自动读取权威房源数据，确保数据的准确性与可靠性；另一方面，支持企业下载自搭楼盘表格，自主填写房屋详细信息并导入系统，丰富数据维度。系统整合后展示清晰房源清单。房源审核环节对搭建的房源信息进行严格校验，保障房源数据合规。一房一码管理则为每套房屋生成唯一编码，支持对外扫码查询展示，实现房源的精准定位与信息透明化，方便租户快速了解房源详情。</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房源管理_供应信息维护及审核管理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供应信息维护管理：供应信息管理模块支持房源供应信息单套或批量填写，可录入一房一价。对于拆套房源，存在父房源与子房源关系，拆套或合并时需严格校验前后房源的价格与面积数据。实心房房源在市场化合同到期前处于不可租且锁定状态。每套房源需选定供应渠道，如随申办或纯线下供应。所有房源数据均通过大数据中台服务精准推送至“我要租房”应用场景，确保房源信息实时、准确的共享到各个房源应用场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供应信息审核管理：审核人员审核供应信息时，先选定目标项目，进入房源确认界面，通过勾选操作选定房源并点击确认。若确认有误，已确认房源可取消确认后重新操作，确保审核的灵活性。完成房源选择后，区用户需详细填写审核意见，涵盖房源信息准确性、合规性等多方面考量。填写完毕后提交审核结果，该模块通过对房源确认流程的精细管控以及审核意见的规范记录。</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房源管理_调配下达管理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调配下达模块是当房源具备调配属性时，需及时启动调配流程。首先创建调配单，系统据此生成详细的房源清单，明确调配房源的具体信息。随后进入调配核定环节，对房源调配的合理性、合规性进行严格审核。核定通过后，可进行新增下达操作，不仅能新增下达任务，还可下载下达单，方便后续的存档与执行。</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房源管理_储备管理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储备管理是对保障性住房房源进行统筹规划、储备与调配的功能模块。它涵盖年度储备计划制定，明确储备规模及实施时序。可实时查询储备明细，包括房源数量、区域、价格、户型、坐落等信息。根据住房保障需求及市场情况，合理调配储备房源，确保保障房及时供应，提高资源利用效率，满足中低收入群体住房需求。</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房源管理_房源发布及回收管理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房源发布管理：房源发布模块涵盖待发布与已发布房源管理。用户可先选定项目查看房源详情，再勾选项目执行发布操作。若已发布房源需调整，可回退发布，此时房源状态同步变更，可租套数实时计算生效，确保房源数据准确性。此外，已发布房源借助大数据中台服务，精准推送至“我要租房”应用场景，实现房源与租房需求的快速匹配，为保障对象提供更便捷的租房服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房源回收管理：房源回收模块是针对已发布供应的房源，平台提供房源回收功能，可便捷撤销供应行为，及时调整房源供应策略。同时，考虑到异区房源调配需求，对于已调配下达的房源，该模块支持回收操作，将房源收回至原所属区，确保房源归属清楚。</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房源管理_房源使用管理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源使用管理模块是通过与征收安置系统建立的数据交互机制，将征收安置房源信息精准推送给国有土地征收系统和协议置换系统。这一过程涉及复杂的数据对接与处理，确保房源信息准确无误交互。主要实现房源的跨系统共享和统一管理，还能根据不同业务需求灵活分配房源。</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房源管理_房源性质转换</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在政策允许范围内，公租房、保租房、共有产权房、征收安置房、廉租房等不同性质的房源可相互转换。用户选定房源种类后，选择新旧房源性质即可发起转换。为保障业务合规性，已供应且已使用的房源禁止转换，仅未供应房源可操作。转换成功后，系统实时更新不同性质房源的数量，确保数据精准。</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人才安居保障专题_人才项目管理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在新增人才项目批次时，用户需关联项目名称，并选定年份、批次及批次管理区，完成保存后批次创建成功。此过程确保人才项目与具体房源项目精准对接，便于后续管理。同时，为保障数据完整性，已关联房屋的批次不可随意删除；而未关联房屋的批次，则可直接删除，避免无效数据堆积。</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人才安居保障专题_人才房源管理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才房源管理模块支持对房屋进行人才房特殊属性词的信息维护，确保房源信息精准适配人才需求。房企选定并锁定房源后，系统将项目及房源信息推送至市人才安居平台，实现信息高效共享。若已推送房源需拆套供应，可先回退房源，解除推送状态，完成拆套操作后再重新推送。此流程设计既保障了房源信息推送的准确性，又赋予了房源供应的灵活性。</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人才安居保障专题_人才安居平台对接管理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才安居平台对接管理具备三大核心推送功能。推送项目及房源时，将人才房精准推送至市人才安居平台，并支持回退操作，在人才批次供应结束后可结束批次，同时注销所有相关房源标识，确保数据动态更新与准确性。推送资格功能将保障资格及时传递至人才安居平台，为人才住房申请提供依据。推送合同则通过查找人才签订的备案合同，一键推送至人才安居平台，支撑人才安居住房补贴服务。</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房源数据结构管理_保障房源实体类型管理 、保障房源实体属性管理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1、保障房源实体类型管理：参照保障房源数据标准，管理保障房源的实体类型，如保障项目、保障房源等。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2、保障房源实体属性管理：参照保障房源数据标准，管理保障房源的实体属性清单。管理属性的编号、数据类型、校验规则等。支持房源基础属性以及品种个性属性管理。</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住房保障项目及房源管理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房源数据结构管理_保障房源属性字典管理 、保障房源数据结构查询服务</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1、保障房源属性字典管理：参照保障房源数据标准，提供保障房源对象属性字典的维护管理，支持多级字典（如是市、区、街镇等）。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2、保障房源数据结构查询服务：为上层应用系统，提供对保障房源数据类型、数据属性以及属性字典的查询服务。</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住房保障对象管理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保障家庭管理_保障对象资格档案</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自申请家庭提交资格申请信息起，系统便自动创建专属申请审核档案。该档案并非静态记录，而是随审核进度动态更新。从初步受理、资料审核到实地核查等各环节，相关信息都会及时、准确地录入档案,便于经办人全面掌握申请家庭情况。</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住房保障对象管理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保障家庭管理_保障对象配租档案</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配租档案是集中存储与动态更新保障家庭的全周期信息。其功能涵盖家庭基本信息（主申请人及家庭成员信息、收入财产信息）、住房需求（区域、户型、面积、租金）、保障资格审核记录、补贴发放明细、房屋配租情况及复核结果。系统支持按保障类型（公租房、廉租房、保租房、共有产权房等）分类管理，实时追踪家庭状态变更（如住房面积超标、收入超标退出、家庭成员增减），并生成动态台账与统计报表。</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住房保障对象管理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保障家庭管理_保障对象配售档案</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配售类住房保障家庭档案是专为共有产权房等配售型保障房管理设计的数字化模块，集中记录家庭从申请到入住的全流程信息。功能涵盖家庭基础档案（主申请人及家庭成员信息、收入财产信息）、购房资格审核记录、轮候摇号、选房结果、合同签订详情、产权份额比例、缴款进度追踪及产权变更历史。系统支持动态更新家庭状态（如婚姻变动、人员增加），未选房前的复核档案数据，并生成购房台账与统计分析报表。</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住房保障对象管理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客户单位管理_单位档案管理、客户单位维护、客户单位统计</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单位档案管理：系统支持一站式管理网签备案客户单位列表，提供标准化信息录入模板，在合同签约场景中，通过强制校验机制，要求用户填报单位名称、统一信用社会代码、单位联系人、联系人电话、单位地址等关键信息，同时可查看当前客户单位签约的房源数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客户单位维护：系统展示所有签约的客户单位信息，同时支持批量导入与单条编辑，适配不同业务场景需求。用户可通过单位名称、信用代码等多维度条件快速定位目标单位，在合同签约等业务流程中，系统自动调取已存客户单位信息，实现数据无缝衔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客户单位统计：系统自动归集网签备案客户单位的基础信息、合同履约、交易频次等全量数据，支持按时间周期、行业类型等多维度进行灵活统计。无论是统计特定时间段内新增客户单位数量，还是分析不同区域客户单位的占比分布，均可一键生成数据报表。</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住房保障对象管理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公平卫士_同品种重复申请监控、租赁型保障房享受对象申请共有产权保障住房监控</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同品种重复申请监控：对于已申请廉租住房、公共租赁住房或共有产权保障住房且案件未注销的申请人，若其再次申请同品种保障房，在申请环节，系统会立即触发红色预警信号，并实施强拦截操作，从源头上杜绝重复申请行为，防止保障资源被不合理占用。此外，针对已申请共有产权保障住房但存在放弃行为且注销期未届满的申请人，在再次申请时，系统会显示棕色预警信号，提醒经办人重点关注。此模块涉及复杂的业务规则判断与数据交互。</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租赁型保障房享受对象申请共有产权保障住房监控：若已申请廉租住房、公共租赁住房保障的对象在申请审核过程中提出共有产权保障住房申请，公平卫士会在申请环节显示红色预警信号并实施强拦截，从源头防止保障资源的不合理叠加占用。对于已享受租赁型保障房的对象申请共有产权保障住房，申请环节显示黄色预警信号，提示经办人关注。当申请人获取登录资格，预警信号升级为橙色；网上公示提交到登录备案时，系统给予相应提示。申请人完成购房签约后，显示棕色预警信号。尤为关键的是，当房源交付满三个月（交付日期参照《上海市共有产权保障住房预售合同》第三章“房屋交付”中第九条约定），系统再次显示红色预警信号并实施强拦截。此模块涉及复杂的业务规则判断、多阶段数据监控以及精准的预警信号生成。</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住房保障对象管理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公平卫士_同住人再申请监控、一房多租管理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同住人再申请监控。同住人在申请即同住人的申请行为监控。当某人曾以同住人身份在其他申请户申请廉租住房或共有产权保障住房时，其申请信息已被系统记录。若此人在后续的廉租住房或共有产权保障住房申请中，再次以申请人或同住人的身份出现，在申请环节显示黄色预警信号。系统需要精准识别申请人的历史申请记录，判断其是否符合重复申请或关联申请的条件。通过该模块，经办人能够及时发现潜在的重复申请或不当申请行为，对申请进行重点审查，确保住房保障资源能够精准分配给真正有需求的家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一方多组管理。一房多租是对租赁合同的出租人进行严格人员校验。当判断出租人与廉租对象存在重复时，录入租赁合同信息时，平台将亮起黄色预警信号，提示潜在风险。若出租人在有效合同期限内重复出现，预警信号升级为橙色。通过这种预警机制，平台能够及时发现并干预一房多租等违规行为。</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住房保障对象管理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公平卫士_共有产权保障住房申请人轮候期间申请其他品种保障房预警</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当共有产权保障住房申请人处于轮候期间，若其申请租赁型保障房，公平卫士将显示黄色预警信号。这一机制并非简单的提示，背后涉及复杂的数据监测与业务逻辑判断。系统需实时追踪申请人的轮候状态，并精准识别其新申请行为。通过该模块，经办人能够及时发现申请人在轮候期间的不当申请行为，对申请进行重点审查。这有助于住房保障资源能够按照既定规则公平、有序地分配给真正有需求的家庭。</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住房保障对象管理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公平卫士_核查准入控制管理、租赁型保障房期满控制管理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1、本模块构建了住房、经济、婚姻三个维度的核查机制如下：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住房核查准入控制：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当申请对象完成共有产权保障住房购房时，显示棕色预警信号；共有产权保障住房房源交付满三个月（交付日期参照《上海市共有产权保障住房预售合同》第三章“房屋交付”中第九条的约定），显示棕色预警信号，提醒租赁型保障房退出。公平卫士在相关管理信息系统全过程亮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经济核查准入控制：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廉租住房，若3人及以上家庭，人均年可支配收入大于39600元或人均财产大于120000元；显示红色预警信号，实施强拦截。2人及以下或经认定的因病支出型贫困家庭，人均年可支配收入大于43560元或人均财产大于132000元；显示红色预警信号，实施强拦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婚姻核查年限控制：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廉租住房或共有产权保障住房申请对象结婚不满一年，离婚不满三年的，自申请之月当月为截止期，显示红色预警信号，实施强拦截。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2、本模块通过建立租赁型保障房动态监测，采用分级预警机制，针对不同类型的保障住房实施差异化提醒：</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公共租赁住房管理：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系统在租约到期前3个月自动触发黄色预警，通过工作台提醒、短信通知等多渠道推送至管理人员，确保有充足时间开展续约审核或腾退准备工作。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廉租住房补贴管理：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协议到期前4个月触发黄色预警，启动资格复核流程，有效期届满时升级为橙色预警，强化提醒未完成复核事项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廉租住房合同管理：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采用渐进式预警方案：合同到期前1个月触发黄色预警，期满自动升级为橙色预警，形成完整的预警闭环，有效防范合同超期风险</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住房保障对象管理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公平卫士_警示名单管理、资格案件年检</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一、警示名单管理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警示名单功能自动将触发预警（亮灯）的申请对象纳入警示名单库，并建立多维度查询机制，支持按区、街道、申请人、受理编号等关键字段进行精准筛选。实现了防控等级（红/橙/黄）与防控类别的智能关联，每条记录均完整记录风险处置全过程，并提供实时查询功能。通过可视化界面展示风险演变轨迹，管理人员可随时追踪处置进度。警示名单采用实时数据更新机制，确保警示信息的时效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二、资格案件年检</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本模块构建了共有产权保障住房申请人的周期性的核查机制，通过三级核查机制实现精准管控：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1、对本批次共有产权保障住房申请人的身份证号码进行比对，是否存在重复的，若有重复，公平卫士显示红色预警信号，实施强拦截。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2、对本批次共有产权保障住房申请人的身份证号码与前几批次已取得登录证明的全体申请人身份证号码进行比对，是否存在重复的，若有重复，公平卫士显示红色预警信号，实施强拦截。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3、启动年检功能，每年进行复核，根据风险等级检查有预警提示的案件的处理情况，并检查是否有遗漏情况。</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是,全部使用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住房保障对象管理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保障对象数据结构管理_保障对象实体类型管理、保障对象实体属性管理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1、保障对象实体类型管理：参照保障对象数据标准，管理保障对象的实体类型，如主申请人、保障家庭、客户单位等。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2、保障对象实体属性管理：参照保障对象数据标准，管理保障对象的实体属性清单。管理属性的编号、数据类型、校验规则等，支持保障对象基础属性和服务品种扩展属性管理。</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是,全部使用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住房保障对象管理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保障对象数据结构管理_保障对象属性字典管理、保障对象数据结构查询服务</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1、保障对象属性字典管理：参照保障对象数据标准，提供保障对象属性字典的维护管理，支持多级字典，如家庭结构、职业行业等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2、保障对象数据结构查询服务：为上层应用系统，提供对保障对象数据类型、数据属性以及属性字典的查询服务。</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是,全部使用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住保运管服中心</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轮候方案试算_优先条件管理、排序规则管理、轮候模式管理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优先条件管理、排序规则管理、轮候模式管理。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1、优先条件管理。设定行业类别、收入情况、住房情况等优先维度设定轮候优先组进组条件，实现维度配置和动态调整。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2、排序规则管理。设定按照优先规则符合数量、入库先后顺序、取得资格先后等轮候排序规则，提供基础规则配置和冲突解决机制。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3、轮候模式管理。设定轮候库建库模式，提供项目户型轮候建库，项目房源按套建库等模式。</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住保运管服中心</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轮候方案试算_轮候方案试算</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结合历史数据，按照优先条件、排序规则以及轮候模式，进行多场景模拟、试算轮候方案对于轮候队列、优先对象轮候时长等供需指标的影响和变化，辅助决策层选择最优方案。</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住保运管服中心</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市-区-运营机构协作服务_住保运营机构注册</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为保障房运营机构等合作伙伴提供注册入口，支持在线提交机构资质证明（如营业执照、法人信息）、业务范围说明、数据合作需求等材料。</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市级保障机构审核住保运营机构申请材料档案，通过后分配唯一标识。分配机构接入账号。提供数据接口访问秘钥，并绑定对接账户信息，明确数据共享权责。</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住保运管服中心</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市-区-运营机构协作服务_住保供前数据对接服务</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项目、房源数据回流和上报，申请、资格数据回流，轮候数据回流和上报，网签合同、备案数据回流和上报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1、项目、房源数据回流和上报。通过统一接口对接，获取项目和房源数据，而后向区、运营机构定期回流项目、房源数据，区、运营机构定时或实时上报项目和房源数据。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2、申请、资格数据回流向区、运营机构定期回流申请、资格数据回流。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3、轮候数据回流和上报。向。区、运营机构定期回流轮候数据，运营机构定时或实时上报轮候数据（如公租）。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4、网签合同、备案数据回流和上报。向区、运营机构回流备案数据，运营机构定时或实时上报网签合同数据。</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住保运管服中心</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市-区-运营机构协作服务_住保供后数据对接服务</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1、居住人、客户单位数据上报。运营机构定时或实时上报网签合同签约的居住人和签约客户单位数据。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2、入住、退出上报。运营机构定时或实时向市平台上报保障房屋入住数据、退出数据。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3、退租、换房上报。运营机构定时或实时向市平台上报保障房屋合同退租数据、换房数据。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4、巡查、违约上报。运营机构向市平台上报巡查数据。</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住保运管服中心</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市-区-运营机构协作服务_智能门锁数据对接</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系统提供智能门锁数据回流接口，通过标准接口，将各区-运营机构的智能门锁如开锁记录、授权记录数据上报至系统。授权记录包括智能门锁编号、操作时间、操作人、授权有效期、授权类型、授权状态等数据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开锁记录包括智能门锁编号、操作时间、操作人、开锁方式、异常标识等数据项。系统在数据库中新增智能门锁数据相关表，分别存储开锁记录和授权记录。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建立与房源信息表、居住人信息表的关联关系，通过设备编号关联房源，通过操作人ID或授权人ID关联居住人或管理人员信息，实现数据的多维度关联查询。采用分表存储策略，按时间（如月、季度）对数据进行分区，提高数据存储和查询效率。</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住保运管服中心</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市-区-运营机构协作服务_住保跨区数据查证服务</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跨域申请查证。支持各区运营机构以姓名、身份证号为核心检索条件，快速定位租户在某区的申请及轮候数据。同时，可根据区域、申请时间范围等辅助条件，实现更精准的复合查询。同时可将查询结果以直观的表格形式展示，清晰呈现租户申请状态（如已受理、审核中、已通过等）、轮候顺序、预计等待时间等关键信息，方便运营机构快速读取核心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资格证有效期查证。支持各区运营机构以姓名、身份证号、资格证编号为核心检索条件，查询当前租户的资格证是否在有效期内。其中，通过资格证编号可直接关联到对应的资格证信息，重点查询当前租户的资格证是否在有效期内，清晰显示资格证的生效日期与失效日期，直观呈现有效期状态（如有效、即将过期、已过期）。通过建立与全市各区资格证数据接口的实时对接机制，确保查询平台数据与原始数据同步更新，包括资格证有效期等信息的实时变动，保证各区-运营机构获取的信息真实有效。</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跨域入住/退租查证。支持各区运营机构以姓名、身份证号、合同编号为核心检索条件，快速定位租户在其他区域的住房租赁记录，可查询到的入住数据包括项目名称、房源坐落、房源品种、入住时间、租赁合同起止日期、合同约定的租赁期限等信息。也可查询退租数据涵盖退租区域、退租房源具体地址、退租时间、退租原因（如合同到期自然退租、租户主动申请退租、因违反租赁规定被要求退租等）、退租时的房屋验收状态等内容。</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住保运管服中心</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市-区-运营机构协作服务_共享数据对账服务</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系统支持灵活配置比对周期，可根据业务需求设置为每日、每周或每月定期自动发起比对流程，同时也支持手动触发即时比对，满足日常校验与临时核查的需求。首先，系统可向各区-运营机构推送其已上报至系统的相关数据（项目、房源、申请、审核等），作为运营机构进行数据核对的基准；其次，各区-运营机构可向系统反馈其本地管理系统中的对应数据，系统接收后进行数据解析与标准化处理，确保数据格式统一。</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2、比对过程中，采用唯一标识匹配优先原则，如项目以项目编号、房源以房源编号、申请以申请人身份证号 + 申请时间为核心唯一标识进行精准匹配。对匹配成功的数据，逐项比对各字段内容，识别数据不一致项；对未匹配成功的数据，标记为待确认差异（可能为新增数据、遗漏数据或标识不一致数据）。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比对完成后，系统生成数据完整性校验报告，清晰列出未上报数据的具体类型、数量、所属区域及项目等信息，为各区-运营机构补充上报数据提供明确指引。同时系统自动将比对结果分为数据一致项、数据不一致项、系统存在而运营机构缺失项（可能为误报）、运营机构存在而系统缺失项（未上报）四类，并形成详细的差异清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针对比对数据有误进行整改时，各区-运营机构根据差异清单进行数据核实，对确属错误或遗漏的数据进行修正与补充，并重新上报至系统。系统接收修正后的数据，再次进行比对校验，跟踪差异整改完成情况，直至所有差异得到解决。同时，系统记录差异处理全过程，包括差异发现时间、类型、整改措施、完成时间等，形成闭环管理记录。</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住保运管服中心</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供后监测分析_多源数据接入</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1、对接供水、供电、燃气等公共事业部门数据，获取保障房住户的用量数据（如每月用水消耗量）。为 “应住不住”“不应住实住” 等分析提供客观数据支撑。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2、申请基层治理数据对接，获取保障住房实际居住人员的情况信息，为居住人数和成分分析提供数据支撑。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3、结合房源和申请对象标识信息，建立公共事业数据、基层治理数据与住房保障业务数据关联。</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住保运管服中心</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供后监测分析_应住实住分析</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1、公用事业数据比对。根据保障房源的租期，关联比对租期内的公共事业用量数据。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2、智能门锁数据比对。根据保障房源的租期、保障对象家庭等信息，结合智能门锁开锁记录，关联比对租期内的开门出入数据。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3、应住不住警示报表。结合公用事业数据和智能门锁记录，通过相关数据和整体水平的差异，识别未实际入住的异常情况生成 “应住未住” 清单，提供运营机构核查，防范房源闲置等违规行为。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4、基于对比房源的待申请、退租等时段和实际居住数据（如智能门锁开锁记录显示非登记人员频繁出入）， 生成“不应住实住” 清单，提供运营机构核查，防范转租转借等违规行为，确保保障资源公平分配。</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住保运管服中心</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供后监测分析_居住成员分析</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1、结合住户登记信息（如家庭人口数）与基层治理平台采集数据进行比对。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2、分析实际居住人数及人员构成（如是否新增未登记成员）。对超出核定居住人数或存在非亲属混居的情况进行预警，辅助运营机构开展合规性检查，保障居住安全与社区管理秩序。</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住保运管服中心</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报表管理_项目供应报表</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保障房项目供应报表是用于汇总与展示保障房项目供应情况的统计工具。其核心功能包括：记录各项目房源数量、户型结构（如一居室、两居室）、供应区域分布、建设进度（在建/竣工）、已分配套数及剩余房源；按时间周期（月/季/年）生成供应总量、区域分布对比图表；支持按保障类型（公租房、保租房、廉租房和共有产权房等）筛选数据。</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住保运管服中心</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报表管理_房源使用报表</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房源使用报表是用于监控和分析保障房房源实际使用情况的统计工具。其功能包括：汇总房源分配数量、签约率、空置率、退租/换租/续租记录；按项目、区域、户型等维度展示使用数据，分析房源供需匹配度；跟踪特殊情况（如长期空置、违规转租）并生成预警；提供使用趋势图表（如月度入住变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配售房源报表是用于汇总和分析保障房配售房源相关数据的工具。其功能包括记录房源数量、户型、面积、坐落等基础信息，统计已配售和待配售房源情况，展示房源分配进度，如各区域、各项目的分配比例。同时，可指定批次生成报表，通过该报表，保障部门能清晰掌握房源动态，合理规划配售策略，确保房源精准分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空置房源报表是用于统计和分析保障房中未被分配或已分配但未入住房源情况的工具。其功能涵盖记录空置房源的详细信息，如项目名称、楼幢号、房间号、户型、面积、坐落等；统计空置房源总数及按区域、户型等维度的分布情况；分析空置原因（如配套不足、位置偏远等）。</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住保基础支撑平台</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全域用户管理_账户在线申请管理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房保障管理体系中包含市级住房保障机构用户、区级住房保障机构用户以及住保运营机构用户等多种类型用户。用户账号可以在线申请，按照管理规范在线提交申请表格，并提供单位盖章电子文件，并按照审核结果，补正提交。</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住保基础支撑平台</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全域用户管理_用户审核流程管理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按照市、区住保机构、运营机构不同的账号分类，提供可配置的用户账号申请审批流程管理，按照账号分类、属地等实现用户账号审核的在线审批。申请审批过程对接审计中心实现全程留痕。</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住保基础支撑平台</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全域用户管理_账号锁停管理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设定账号锁定、停用等管理功能，可以设定账号自动锁停的管理策略，根据用户账号的登录行为（如3个月以上未登录，可疑时段登录等）自动锁定用户账号，提高住保综合业务管理平台的安全性，锁挺账号可以由各级管理员进行解锁恢复。</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住保基础支撑平台</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全域用户管理_分级用户管理、单位部门管理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1、分级用户管理：设定行政区划层级、单位等设置分级系统管理员，负责对管理范围内的用户账号状态进行管理，降低工作人员流动性强带来的系统安全隐患。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2、单位部门管理：提供按照层级、行政区划建立多层级的住保组织结构体系，建立各级部门之间的上下级关系，构建住保业务应用体系提交机构管理体系框架。</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223</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住保基础支撑平台</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全域用户管理_用户组织开放服务</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面向住保管理平台的各类业务应用，开放用户组织服务，采用微服务的方式，提供用户、组织的授权访问服务。提供用户组织的增量更新推送服务，各业务可以订阅实时同步用户组织信息。</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224</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住保基础支撑平台</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集中授权管理_住保应用管理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对住房保障业务系统中的各类应用进行集中管理，包括应用的注册、发布、更新、停用等操作。定义应用的访问范围和权限边界，确保应用与业务流程匹配，支持应用的权限配置与角色关联。</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225</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住保基础支撑平台</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集中授权管理_菜单功能管理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对系统菜单及功能点进行结构化管理，支持菜单的层级划分和功能点的增删改查。为不同角色 / 岗位配置专属的菜单可见性和功能操作权限，实现 “按需展示菜单，按权控制操作” 的精细化授权。</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226</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住保基础支撑平台</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集中授权管理_角色管理、岗位管理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1、角色管理：定义系统中的角色体系，配置角色对应的菜单权限、数据权限和操作权限。支持角色的创建、修改、删除及权限批量分配，通过 “角色 - 权限” 绑定关系，快速实现用户权限的批量管理，降低授权复杂度。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2、岗位管理：结合住房保障部门的组织架构，定义岗位体系。岗位可关联角色或独立配置权限，支持岗位与用户的绑定，实现 “按岗位定岗权限” 的规范化管理，确保权限与岗位职责一致。</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227</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住保基础支撑平台</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集中授权管理_分级授权</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基于住房保障业务的层级管理需求（如市级→区级→运营机构），建立分级授权机制。上级机构可向下级机构分配特定的管理权限（如数据查看、业务审批等），下级机构在授权范围内开展工作。支持跨层级的权限回收和调整，确保权限分配符合业务管控流程，避免越权操作。</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228</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住保基础支撑平台</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集中授权管理_授权开放服务</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提供标准化的授权接口，支持上层业务应用调用授权中心的权限管理能力，对接 平台实现统一角色同步，或为第三方应用提供权限校验服务，确保跨系统访问时的权限一致性和安全性。</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229</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住保基础支撑平台</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服务网关管理_服务分类管理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对住房保障业务涉及的各类应用微服务进行分类管理，建立清晰的服务分类体系，便于服务的查找、管理和维护。可根据服务的性质、功能、业务流程等维度进行分类，如申请服务、审核服务、房源管理服务等。</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230</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住保基础支撑平台</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服务网关管理_开放接入管理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管理上层业务应用系统或第三方应用对住房保障业务支撑系统的接入，提供标准的接入接口和规范，实现系统与外部系统的数据交互和业务协同。对接入的外部系统进行认证、授权和管理，确保接入的安全性和稳定性，同时监控接入系统的使用情况。</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231</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住保基础支撑平台</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服务网关管理_服务鉴权管理</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对访问系统服务的用进行权限验证和授权管理，确保只有具备相应权限的主体才能访问和使用特定服务。通过设置不同的角色和权限级别，控制用户对服务的操作权限，保障系统服务的安全性。</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232</w:t>
            </w:r>
          </w:p>
        </w:tc>
        <w:tc>
          <w:tcPr>
            <w:tcW w:w="14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住保基础支撑平台</w:t>
            </w:r>
          </w:p>
        </w:tc>
        <w:tc>
          <w:tcPr>
            <w:tcW w:w="138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服务网关管理_服务限流管理</w:t>
            </w:r>
          </w:p>
        </w:tc>
        <w:tc>
          <w:tcPr>
            <w:tcW w:w="567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各接入主体可以对服务的访问使用设定访问频率和数量，确保服务的合理访问使用。</w:t>
            </w:r>
          </w:p>
        </w:tc>
        <w:tc>
          <w:tcPr>
            <w:tcW w:w="84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233</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密码应用开发</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新建功能密码应用开发</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针对新建功能开展密码应用开发。用户身份认证机制模块、用户访问控制信息签名验签、重要可执行程序签名验签、应用系统重要数据签名验签、重要数据安全传输模块、服务器虚拟机设备日志/访问控制信息完整性模块、应用系统重要数据加解密模块</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234</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密码应用开发</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原功能整合密码应用重新开发</w:t>
            </w:r>
          </w:p>
        </w:tc>
        <w:tc>
          <w:tcPr>
            <w:tcW w:w="5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本次整合功能重新进行密码应用开发。用户身份认证机制模块、用户访问控制信息签名验签、重要可执行程序签名验签、应用系统重要数据签名验签、重要数据安全传输模块、服务器虚拟机设备日志/访问控制信息完整性模块、应用系统重要数据加解密模块</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否</w:t>
            </w:r>
          </w:p>
        </w:tc>
      </w:tr>
    </w:tbl>
    <w:p>
      <w:pPr>
        <w:pStyle w:val="3"/>
        <w:ind w:left="960" w:leftChars="0" w:firstLineChars="0"/>
        <w:rPr>
          <w:rFonts w:hint="eastAsia" w:eastAsia="宋体"/>
          <w:highlight w:val="none"/>
          <w:lang w:val="en-US" w:eastAsia="zh-CN"/>
        </w:rPr>
      </w:pPr>
      <w:r>
        <w:rPr>
          <w:rFonts w:hint="eastAsia"/>
          <w:highlight w:val="none"/>
          <w:lang w:val="en-US" w:eastAsia="zh-CN"/>
        </w:rPr>
        <w:t>服务清单</w:t>
      </w:r>
    </w:p>
    <w:tbl>
      <w:tblPr>
        <w:tblStyle w:val="35"/>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34"/>
        <w:gridCol w:w="5103"/>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09" w:type="dxa"/>
            <w:vAlign w:val="center"/>
          </w:tcPr>
          <w:p>
            <w:pPr>
              <w:widowControl/>
              <w:spacing w:line="240" w:lineRule="auto"/>
              <w:ind w:firstLine="0" w:firstLineChars="0"/>
              <w:jc w:val="center"/>
              <w:rPr>
                <w:rFonts w:hint="eastAsia" w:cs="宋体" w:asciiTheme="minorEastAsia" w:hAnsiTheme="minorEastAsia" w:eastAsiaTheme="minorEastAsia"/>
                <w:b/>
                <w:color w:val="000000"/>
                <w:kern w:val="0"/>
                <w:sz w:val="21"/>
                <w:szCs w:val="21"/>
                <w:highlight w:val="none"/>
              </w:rPr>
            </w:pPr>
            <w:r>
              <w:rPr>
                <w:rFonts w:hint="eastAsia" w:cs="宋体" w:asciiTheme="minorEastAsia" w:hAnsiTheme="minorEastAsia" w:eastAsiaTheme="minorEastAsia"/>
                <w:b/>
                <w:color w:val="000000"/>
                <w:kern w:val="0"/>
                <w:sz w:val="21"/>
                <w:szCs w:val="21"/>
                <w:highlight w:val="none"/>
              </w:rPr>
              <w:t>序号</w:t>
            </w:r>
          </w:p>
        </w:tc>
        <w:tc>
          <w:tcPr>
            <w:tcW w:w="1134" w:type="dxa"/>
            <w:noWrap/>
            <w:vAlign w:val="center"/>
          </w:tcPr>
          <w:p>
            <w:pPr>
              <w:widowControl/>
              <w:spacing w:line="240" w:lineRule="auto"/>
              <w:ind w:firstLine="0" w:firstLineChars="0"/>
              <w:jc w:val="center"/>
              <w:rPr>
                <w:rFonts w:hint="eastAsia" w:cs="宋体" w:asciiTheme="minorEastAsia" w:hAnsiTheme="minorEastAsia" w:eastAsiaTheme="minorEastAsia"/>
                <w:b/>
                <w:color w:val="000000"/>
                <w:kern w:val="0"/>
                <w:sz w:val="21"/>
                <w:szCs w:val="21"/>
                <w:highlight w:val="none"/>
              </w:rPr>
            </w:pPr>
            <w:r>
              <w:rPr>
                <w:rFonts w:hint="eastAsia" w:cs="宋体" w:asciiTheme="minorEastAsia" w:hAnsiTheme="minorEastAsia" w:eastAsiaTheme="minorEastAsia"/>
                <w:b/>
                <w:color w:val="000000"/>
                <w:kern w:val="0"/>
                <w:sz w:val="21"/>
                <w:szCs w:val="21"/>
                <w:highlight w:val="none"/>
              </w:rPr>
              <w:t>科目名称</w:t>
            </w:r>
          </w:p>
        </w:tc>
        <w:tc>
          <w:tcPr>
            <w:tcW w:w="5103" w:type="dxa"/>
            <w:noWrap/>
            <w:vAlign w:val="center"/>
          </w:tcPr>
          <w:p>
            <w:pPr>
              <w:widowControl/>
              <w:spacing w:line="240" w:lineRule="auto"/>
              <w:ind w:firstLine="0" w:firstLineChars="0"/>
              <w:jc w:val="center"/>
              <w:rPr>
                <w:rFonts w:hint="eastAsia" w:cs="宋体" w:asciiTheme="minorEastAsia" w:hAnsiTheme="minorEastAsia" w:eastAsiaTheme="minorEastAsia"/>
                <w:b/>
                <w:color w:val="000000"/>
                <w:kern w:val="0"/>
                <w:sz w:val="21"/>
                <w:szCs w:val="21"/>
                <w:highlight w:val="none"/>
              </w:rPr>
            </w:pPr>
            <w:r>
              <w:rPr>
                <w:rFonts w:hint="eastAsia" w:cs="宋体" w:asciiTheme="minorEastAsia" w:hAnsiTheme="minorEastAsia" w:eastAsiaTheme="minorEastAsia"/>
                <w:b/>
                <w:color w:val="000000"/>
                <w:kern w:val="0"/>
                <w:sz w:val="21"/>
                <w:szCs w:val="21"/>
                <w:highlight w:val="none"/>
              </w:rPr>
              <w:t>服务内容</w:t>
            </w:r>
          </w:p>
        </w:tc>
        <w:tc>
          <w:tcPr>
            <w:tcW w:w="709" w:type="dxa"/>
          </w:tcPr>
          <w:p>
            <w:pPr>
              <w:widowControl/>
              <w:spacing w:line="240" w:lineRule="auto"/>
              <w:ind w:firstLine="0" w:firstLineChars="0"/>
              <w:jc w:val="center"/>
              <w:rPr>
                <w:rFonts w:hint="eastAsia" w:cs="宋体" w:asciiTheme="minorEastAsia" w:hAnsiTheme="minorEastAsia" w:eastAsiaTheme="minorEastAsia"/>
                <w:b/>
                <w:color w:val="000000"/>
                <w:kern w:val="0"/>
                <w:sz w:val="21"/>
                <w:szCs w:val="21"/>
                <w:highlight w:val="none"/>
              </w:rPr>
            </w:pPr>
            <w:r>
              <w:rPr>
                <w:rFonts w:hint="eastAsia" w:cs="宋体" w:asciiTheme="minorEastAsia" w:hAnsiTheme="minorEastAsia" w:eastAsiaTheme="minorEastAsia"/>
                <w:b/>
                <w:color w:val="000000"/>
                <w:kern w:val="0"/>
                <w:sz w:val="21"/>
                <w:szCs w:val="21"/>
                <w:highlight w:val="none"/>
              </w:rPr>
              <w:t>数量</w:t>
            </w:r>
          </w:p>
        </w:tc>
        <w:tc>
          <w:tcPr>
            <w:tcW w:w="709" w:type="dxa"/>
          </w:tcPr>
          <w:p>
            <w:pPr>
              <w:widowControl/>
              <w:spacing w:line="240" w:lineRule="auto"/>
              <w:ind w:firstLine="0" w:firstLineChars="0"/>
              <w:jc w:val="center"/>
              <w:rPr>
                <w:rFonts w:hint="eastAsia" w:cs="宋体" w:asciiTheme="minorEastAsia" w:hAnsiTheme="minorEastAsia" w:eastAsiaTheme="minorEastAsia"/>
                <w:b/>
                <w:color w:val="000000"/>
                <w:kern w:val="0"/>
                <w:sz w:val="21"/>
                <w:szCs w:val="21"/>
                <w:highlight w:val="none"/>
              </w:rPr>
            </w:pPr>
            <w:r>
              <w:rPr>
                <w:rFonts w:hint="eastAsia" w:cs="宋体" w:asciiTheme="minorEastAsia" w:hAnsiTheme="minorEastAsia" w:eastAsiaTheme="minorEastAsia"/>
                <w:b/>
                <w:color w:val="000000"/>
                <w:kern w:val="0"/>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09" w:type="dxa"/>
            <w:vAlign w:val="center"/>
          </w:tcPr>
          <w:p>
            <w:pPr>
              <w:widowControl/>
              <w:spacing w:line="240" w:lineRule="auto"/>
              <w:ind w:firstLine="0" w:firstLineChars="0"/>
              <w:jc w:val="center"/>
              <w:rPr>
                <w:rFonts w:hint="eastAsia" w:cs="宋体" w:asciiTheme="minorEastAsia" w:hAnsiTheme="minorEastAsia" w:eastAsiaTheme="minorEastAsia"/>
                <w:bCs/>
                <w:color w:val="000000"/>
                <w:kern w:val="0"/>
                <w:sz w:val="21"/>
                <w:szCs w:val="21"/>
                <w:highlight w:val="none"/>
              </w:rPr>
            </w:pPr>
            <w:r>
              <w:rPr>
                <w:rFonts w:hint="eastAsia" w:cs="宋体" w:asciiTheme="minorEastAsia" w:hAnsiTheme="minorEastAsia" w:eastAsiaTheme="minorEastAsia"/>
                <w:bCs/>
                <w:color w:val="000000"/>
                <w:kern w:val="0"/>
                <w:sz w:val="21"/>
                <w:szCs w:val="21"/>
                <w:highlight w:val="none"/>
              </w:rPr>
              <w:t>1</w:t>
            </w:r>
          </w:p>
        </w:tc>
        <w:tc>
          <w:tcPr>
            <w:tcW w:w="1134" w:type="dxa"/>
            <w:vAlign w:val="center"/>
          </w:tcPr>
          <w:p>
            <w:pPr>
              <w:widowControl/>
              <w:spacing w:line="240" w:lineRule="auto"/>
              <w:ind w:firstLine="0" w:firstLineChars="0"/>
              <w:jc w:val="center"/>
              <w:rPr>
                <w:rFonts w:hint="eastAsia" w:cs="宋体" w:asciiTheme="minorEastAsia" w:hAnsiTheme="minorEastAsia" w:eastAsiaTheme="minorEastAsia"/>
                <w:bCs/>
                <w:color w:val="000000"/>
                <w:kern w:val="0"/>
                <w:sz w:val="21"/>
                <w:szCs w:val="21"/>
                <w:highlight w:val="none"/>
              </w:rPr>
            </w:pPr>
            <w:r>
              <w:rPr>
                <w:rFonts w:hint="eastAsia" w:cs="宋体" w:asciiTheme="minorEastAsia" w:hAnsiTheme="minorEastAsia" w:eastAsiaTheme="minorEastAsia"/>
                <w:bCs/>
                <w:color w:val="000000"/>
                <w:kern w:val="0"/>
                <w:sz w:val="21"/>
                <w:szCs w:val="21"/>
                <w:highlight w:val="none"/>
              </w:rPr>
              <w:t>数据服务</w:t>
            </w:r>
          </w:p>
        </w:tc>
        <w:tc>
          <w:tcPr>
            <w:tcW w:w="5103" w:type="dxa"/>
            <w:vAlign w:val="center"/>
          </w:tcPr>
          <w:p>
            <w:pPr>
              <w:widowControl/>
              <w:numPr>
                <w:ilvl w:val="0"/>
                <w:numId w:val="4"/>
              </w:numPr>
              <w:spacing w:line="240" w:lineRule="auto"/>
              <w:ind w:firstLine="0" w:firstLineChars="0"/>
              <w:jc w:val="both"/>
              <w:rPr>
                <w:rFonts w:hint="eastAsia" w:ascii="仿宋" w:hAnsi="仿宋" w:cs="仿宋"/>
                <w:color w:val="000000"/>
                <w:kern w:val="0"/>
                <w:sz w:val="21"/>
                <w:szCs w:val="21"/>
                <w:highlight w:val="none"/>
                <w:lang w:bidi="ar"/>
              </w:rPr>
            </w:pPr>
            <w:r>
              <w:rPr>
                <w:rFonts w:hint="eastAsia" w:ascii="仿宋" w:hAnsi="仿宋" w:eastAsia="宋体" w:cs="仿宋"/>
                <w:bCs w:val="0"/>
                <w:color w:val="000000"/>
                <w:kern w:val="0"/>
                <w:sz w:val="21"/>
                <w:szCs w:val="21"/>
                <w:highlight w:val="none"/>
                <w:lang w:val="en-US" w:eastAsia="zh-CN" w:bidi="ar"/>
              </w:rPr>
              <w:t>数据融合。</w:t>
            </w:r>
            <w:r>
              <w:rPr>
                <w:rFonts w:hint="eastAsia" w:ascii="仿宋" w:hAnsi="仿宋" w:eastAsia="宋体" w:cs="仿宋"/>
                <w:color w:val="000000"/>
                <w:kern w:val="0"/>
                <w:sz w:val="21"/>
                <w:szCs w:val="21"/>
                <w:highlight w:val="none"/>
                <w:lang w:bidi="ar"/>
              </w:rPr>
              <w:t>原有系统按照整合后的系统的数据结构进行数据治理</w:t>
            </w:r>
            <w:r>
              <w:rPr>
                <w:rFonts w:hint="eastAsia" w:ascii="仿宋" w:hAnsi="仿宋" w:eastAsia="宋体" w:cs="仿宋"/>
                <w:color w:val="000000"/>
                <w:kern w:val="0"/>
                <w:sz w:val="21"/>
                <w:szCs w:val="21"/>
                <w:highlight w:val="none"/>
                <w:lang w:eastAsia="zh-CN" w:bidi="ar"/>
              </w:rPr>
              <w:t>，</w:t>
            </w:r>
            <w:r>
              <w:rPr>
                <w:rFonts w:hint="eastAsia" w:ascii="仿宋" w:hAnsi="仿宋" w:eastAsia="宋体" w:cs="仿宋"/>
                <w:color w:val="000000"/>
                <w:kern w:val="0"/>
                <w:sz w:val="21"/>
                <w:szCs w:val="21"/>
                <w:highlight w:val="none"/>
                <w:lang w:val="en-US" w:eastAsia="zh-CN" w:bidi="ar"/>
              </w:rPr>
              <w:t>包括（1）</w:t>
            </w:r>
            <w:r>
              <w:rPr>
                <w:rFonts w:hint="eastAsia" w:ascii="仿宋" w:hAnsi="仿宋" w:eastAsia="宋体" w:cs="仿宋"/>
                <w:color w:val="000000"/>
                <w:kern w:val="0"/>
                <w:sz w:val="21"/>
                <w:szCs w:val="21"/>
                <w:highlight w:val="none"/>
                <w:lang w:bidi="ar"/>
              </w:rPr>
              <w:t>数据标准规范统一，老系统数据按照新标准进行融合治理统一规范。</w:t>
            </w:r>
            <w:r>
              <w:rPr>
                <w:rFonts w:hint="eastAsia" w:ascii="仿宋" w:hAnsi="仿宋" w:eastAsia="宋体" w:cs="仿宋"/>
                <w:color w:val="000000"/>
                <w:kern w:val="0"/>
                <w:sz w:val="21"/>
                <w:szCs w:val="21"/>
                <w:highlight w:val="none"/>
                <w:lang w:eastAsia="zh-CN" w:bidi="ar"/>
              </w:rPr>
              <w:t>（</w:t>
            </w:r>
            <w:r>
              <w:rPr>
                <w:rFonts w:hint="eastAsia" w:ascii="仿宋" w:hAnsi="仿宋" w:eastAsia="宋体" w:cs="仿宋"/>
                <w:color w:val="000000"/>
                <w:kern w:val="0"/>
                <w:sz w:val="21"/>
                <w:szCs w:val="21"/>
                <w:highlight w:val="none"/>
                <w:lang w:val="en-US" w:eastAsia="zh-CN" w:bidi="ar"/>
              </w:rPr>
              <w:t>2</w:t>
            </w:r>
            <w:r>
              <w:rPr>
                <w:rFonts w:hint="eastAsia" w:ascii="仿宋" w:hAnsi="仿宋" w:eastAsia="宋体" w:cs="仿宋"/>
                <w:color w:val="000000"/>
                <w:kern w:val="0"/>
                <w:sz w:val="21"/>
                <w:szCs w:val="21"/>
                <w:highlight w:val="none"/>
                <w:lang w:eastAsia="zh-CN" w:bidi="ar"/>
              </w:rPr>
              <w:t>）</w:t>
            </w:r>
            <w:r>
              <w:rPr>
                <w:rFonts w:hint="eastAsia" w:ascii="仿宋" w:hAnsi="仿宋" w:eastAsia="宋体" w:cs="仿宋"/>
                <w:color w:val="000000"/>
                <w:kern w:val="0"/>
                <w:sz w:val="21"/>
                <w:szCs w:val="21"/>
                <w:highlight w:val="none"/>
                <w:lang w:bidi="ar"/>
              </w:rPr>
              <w:t>构建统一的项目和房源中心数据库，构建各个保障房源标准的基本信息，以及保障房源在各个时期对应使用的保障对象信息库。</w:t>
            </w:r>
            <w:r>
              <w:rPr>
                <w:rFonts w:hint="eastAsia" w:ascii="仿宋" w:hAnsi="仿宋" w:eastAsia="宋体" w:cs="仿宋"/>
                <w:color w:val="000000"/>
                <w:kern w:val="0"/>
                <w:sz w:val="21"/>
                <w:szCs w:val="21"/>
                <w:highlight w:val="none"/>
                <w:lang w:eastAsia="zh-CN" w:bidi="ar"/>
              </w:rPr>
              <w:t>（</w:t>
            </w:r>
            <w:r>
              <w:rPr>
                <w:rFonts w:hint="eastAsia" w:ascii="仿宋" w:hAnsi="仿宋" w:eastAsia="宋体" w:cs="仿宋"/>
                <w:color w:val="000000"/>
                <w:kern w:val="0"/>
                <w:sz w:val="21"/>
                <w:szCs w:val="21"/>
                <w:highlight w:val="none"/>
                <w:lang w:val="en-US" w:eastAsia="zh-CN" w:bidi="ar"/>
              </w:rPr>
              <w:t>3</w:t>
            </w:r>
            <w:r>
              <w:rPr>
                <w:rFonts w:hint="eastAsia" w:ascii="仿宋" w:hAnsi="仿宋" w:eastAsia="宋体" w:cs="仿宋"/>
                <w:color w:val="000000"/>
                <w:kern w:val="0"/>
                <w:sz w:val="21"/>
                <w:szCs w:val="21"/>
                <w:highlight w:val="none"/>
                <w:lang w:eastAsia="zh-CN" w:bidi="ar"/>
              </w:rPr>
              <w:t>）</w:t>
            </w:r>
            <w:r>
              <w:rPr>
                <w:rFonts w:hint="eastAsia" w:ascii="仿宋" w:hAnsi="仿宋" w:cs="仿宋"/>
                <w:color w:val="000000"/>
                <w:kern w:val="0"/>
                <w:sz w:val="21"/>
                <w:szCs w:val="21"/>
                <w:highlight w:val="none"/>
                <w:lang w:bidi="ar"/>
              </w:rPr>
              <w:t>构建统一的保障对象数据库，分别构建以个人和家庭为视角的所有历史申请案件以及享受过的保障房源信息库。</w:t>
            </w:r>
          </w:p>
          <w:p>
            <w:pPr>
              <w:widowControl/>
              <w:numPr>
                <w:ilvl w:val="0"/>
                <w:numId w:val="4"/>
              </w:numPr>
              <w:spacing w:line="240" w:lineRule="auto"/>
              <w:ind w:firstLine="0" w:firstLineChars="0"/>
              <w:jc w:val="both"/>
              <w:rPr>
                <w:rFonts w:hint="default" w:ascii="仿宋" w:hAnsi="仿宋" w:cs="仿宋"/>
                <w:color w:val="000000"/>
                <w:kern w:val="0"/>
                <w:sz w:val="21"/>
                <w:szCs w:val="21"/>
                <w:highlight w:val="none"/>
                <w:lang w:val="en-US" w:eastAsia="zh-CN" w:bidi="ar"/>
              </w:rPr>
            </w:pPr>
            <w:r>
              <w:rPr>
                <w:rFonts w:hint="eastAsia" w:ascii="仿宋" w:hAnsi="仿宋" w:cs="仿宋"/>
                <w:color w:val="000000"/>
                <w:kern w:val="0"/>
                <w:sz w:val="21"/>
                <w:szCs w:val="21"/>
                <w:highlight w:val="none"/>
                <w:lang w:val="en-US" w:eastAsia="zh-CN" w:bidi="ar"/>
              </w:rPr>
              <w:t>历史数据迁移。</w:t>
            </w:r>
            <w:r>
              <w:rPr>
                <w:rFonts w:hint="eastAsia" w:ascii="仿宋" w:hAnsi="仿宋" w:cs="仿宋"/>
                <w:color w:val="000000"/>
                <w:kern w:val="0"/>
                <w:sz w:val="21"/>
                <w:szCs w:val="21"/>
                <w:highlight w:val="none"/>
                <w:lang w:bidi="ar"/>
              </w:rPr>
              <w:t>在完成住房保障大系统建设后进行全量的数据迁移</w:t>
            </w:r>
            <w:r>
              <w:rPr>
                <w:rFonts w:hint="eastAsia" w:ascii="仿宋" w:hAnsi="仿宋" w:cs="仿宋"/>
                <w:color w:val="000000"/>
                <w:kern w:val="0"/>
                <w:sz w:val="21"/>
                <w:szCs w:val="21"/>
                <w:highlight w:val="none"/>
                <w:lang w:eastAsia="zh-CN" w:bidi="ar"/>
              </w:rPr>
              <w:t>。</w:t>
            </w:r>
          </w:p>
        </w:tc>
        <w:tc>
          <w:tcPr>
            <w:tcW w:w="709" w:type="dxa"/>
            <w:vAlign w:val="center"/>
          </w:tcPr>
          <w:p>
            <w:pPr>
              <w:widowControl/>
              <w:spacing w:line="240" w:lineRule="auto"/>
              <w:ind w:firstLine="0" w:firstLineChars="0"/>
              <w:jc w:val="center"/>
              <w:rPr>
                <w:rFonts w:hint="eastAsia" w:cs="宋体" w:asciiTheme="minorEastAsia" w:hAnsiTheme="minorEastAsia" w:eastAsiaTheme="minorEastAsia"/>
                <w:bCs/>
                <w:color w:val="000000"/>
                <w:kern w:val="0"/>
                <w:sz w:val="21"/>
                <w:szCs w:val="21"/>
                <w:highlight w:val="none"/>
              </w:rPr>
            </w:pPr>
            <w:r>
              <w:rPr>
                <w:rFonts w:hint="eastAsia" w:cs="宋体" w:asciiTheme="minorEastAsia" w:hAnsiTheme="minorEastAsia" w:eastAsiaTheme="minorEastAsia"/>
                <w:bCs/>
                <w:color w:val="000000"/>
                <w:kern w:val="0"/>
                <w:sz w:val="21"/>
                <w:szCs w:val="21"/>
                <w:highlight w:val="none"/>
              </w:rPr>
              <w:t>1</w:t>
            </w:r>
          </w:p>
        </w:tc>
        <w:tc>
          <w:tcPr>
            <w:tcW w:w="709" w:type="dxa"/>
            <w:vAlign w:val="center"/>
          </w:tcPr>
          <w:p>
            <w:pPr>
              <w:widowControl/>
              <w:spacing w:line="240" w:lineRule="auto"/>
              <w:ind w:firstLine="0" w:firstLineChars="0"/>
              <w:jc w:val="center"/>
              <w:rPr>
                <w:rFonts w:hint="eastAsia" w:cs="宋体" w:asciiTheme="minorEastAsia" w:hAnsiTheme="minorEastAsia" w:eastAsiaTheme="minorEastAsia"/>
                <w:bCs/>
                <w:color w:val="000000"/>
                <w:kern w:val="0"/>
                <w:sz w:val="21"/>
                <w:szCs w:val="21"/>
                <w:highlight w:val="none"/>
              </w:rPr>
            </w:pPr>
            <w:r>
              <w:rPr>
                <w:rFonts w:hint="eastAsia" w:cs="宋体" w:asciiTheme="minorEastAsia" w:hAnsiTheme="minorEastAsia" w:eastAsiaTheme="minorEastAsia"/>
                <w:bCs/>
                <w:color w:val="000000"/>
                <w:kern w:val="0"/>
                <w:sz w:val="21"/>
                <w:szCs w:val="21"/>
                <w:highlight w:val="none"/>
              </w:rPr>
              <w:t>项</w:t>
            </w:r>
          </w:p>
        </w:tc>
      </w:tr>
    </w:tbl>
    <w:p>
      <w:pPr>
        <w:pStyle w:val="3"/>
        <w:ind w:left="960" w:leftChars="0" w:firstLineChars="0"/>
        <w:rPr>
          <w:rFonts w:hint="eastAsia"/>
          <w:highlight w:val="none"/>
        </w:rPr>
      </w:pPr>
      <w:r>
        <w:rPr>
          <w:rFonts w:hint="eastAsia"/>
          <w:highlight w:val="none"/>
        </w:rPr>
        <w:t>系统架构</w:t>
      </w:r>
    </w:p>
    <w:p>
      <w:pPr>
        <w:ind w:firstLine="0" w:firstLineChars="0"/>
        <w:jc w:val="center"/>
        <w:rPr>
          <w:rFonts w:hint="eastAsia"/>
          <w:highlight w:val="none"/>
        </w:rPr>
      </w:pPr>
    </w:p>
    <w:p>
      <w:pPr>
        <w:ind w:firstLine="0" w:firstLineChars="0"/>
        <w:jc w:val="center"/>
        <w:rPr>
          <w:rFonts w:hint="eastAsia"/>
          <w:highlight w:val="none"/>
        </w:rPr>
      </w:pPr>
      <w:r>
        <w:rPr>
          <w:highlight w:val="none"/>
        </w:rPr>
        <w:drawing>
          <wp:inline distT="0" distB="0" distL="114300" distR="114300">
            <wp:extent cx="5207000" cy="2978150"/>
            <wp:effectExtent l="0" t="0" r="6985" b="127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pic:cNvPicPr>
                  </pic:nvPicPr>
                  <pic:blipFill>
                    <a:blip r:embed="rId13"/>
                    <a:stretch>
                      <a:fillRect/>
                    </a:stretch>
                  </pic:blipFill>
                  <pic:spPr>
                    <a:xfrm>
                      <a:off x="0" y="0"/>
                      <a:ext cx="5207000" cy="2978150"/>
                    </a:xfrm>
                    <a:prstGeom prst="rect">
                      <a:avLst/>
                    </a:prstGeom>
                    <a:noFill/>
                    <a:ln w="9525">
                      <a:noFill/>
                    </a:ln>
                  </pic:spPr>
                </pic:pic>
              </a:graphicData>
            </a:graphic>
          </wp:inline>
        </w:drawing>
      </w:r>
    </w:p>
    <w:p>
      <w:pPr>
        <w:pStyle w:val="3"/>
        <w:ind w:left="960" w:leftChars="0" w:firstLineChars="0"/>
        <w:rPr>
          <w:rFonts w:hint="eastAsia"/>
          <w:highlight w:val="none"/>
        </w:rPr>
      </w:pPr>
      <w:r>
        <w:rPr>
          <w:rFonts w:hint="eastAsia"/>
          <w:highlight w:val="none"/>
        </w:rPr>
        <w:t>技术路线</w:t>
      </w:r>
    </w:p>
    <w:p>
      <w:pPr>
        <w:numPr>
          <w:ilvl w:val="0"/>
          <w:numId w:val="5"/>
        </w:numPr>
        <w:rPr>
          <w:rFonts w:hint="eastAsia"/>
          <w:highlight w:val="none"/>
        </w:rPr>
      </w:pPr>
      <w:r>
        <w:rPr>
          <w:rFonts w:hint="eastAsia"/>
          <w:highlight w:val="none"/>
        </w:rPr>
        <w:t>项目整体符合XC要求，在技术体系上选用Java体系结构，采用B/S/D三层模型进行应用系统的开发。</w:t>
      </w:r>
    </w:p>
    <w:p>
      <w:pPr>
        <w:numPr>
          <w:ilvl w:val="0"/>
          <w:numId w:val="5"/>
        </w:numPr>
        <w:rPr>
          <w:rFonts w:hint="eastAsia"/>
          <w:highlight w:val="none"/>
        </w:rPr>
      </w:pPr>
      <w:r>
        <w:rPr>
          <w:rFonts w:hint="eastAsia"/>
          <w:highlight w:val="none"/>
        </w:rPr>
        <w:t>采用低代码开发平台进行开发的功能金额占比不低于50%。低代码开发平台须私有化部署，提供原厂《软件著作权证书》或《软件产品证书》、第三方安全测评报告、行业协会颁发的</w:t>
      </w:r>
      <w:r>
        <w:rPr>
          <w:rFonts w:hint="eastAsia"/>
          <w:highlight w:val="none"/>
          <w:lang w:eastAsia="zh-CN"/>
        </w:rPr>
        <w:t>XC</w:t>
      </w:r>
      <w:r>
        <w:rPr>
          <w:rFonts w:hint="eastAsia"/>
          <w:highlight w:val="none"/>
        </w:rPr>
        <w:t>兼容性认证报告及原厂授权书。中标方承诺不限制二次开发，承诺提供开发手册、API文档、扩展机制说明等。中标方承诺不得保留任何后门或限制。</w:t>
      </w:r>
    </w:p>
    <w:p>
      <w:pPr>
        <w:numPr>
          <w:ilvl w:val="0"/>
          <w:numId w:val="5"/>
        </w:numPr>
        <w:rPr>
          <w:rFonts w:hint="eastAsia"/>
          <w:highlight w:val="none"/>
        </w:rPr>
      </w:pPr>
      <w:r>
        <w:rPr>
          <w:rFonts w:hint="eastAsia"/>
          <w:highlight w:val="none"/>
        </w:rPr>
        <w:t>系统采用微服务架构，各个微服务之间是松耦合的。</w:t>
      </w:r>
    </w:p>
    <w:p>
      <w:pPr>
        <w:numPr>
          <w:ilvl w:val="0"/>
          <w:numId w:val="5"/>
        </w:numPr>
        <w:rPr>
          <w:rFonts w:hint="eastAsia"/>
          <w:highlight w:val="none"/>
        </w:rPr>
      </w:pPr>
      <w:r>
        <w:rPr>
          <w:rFonts w:hint="eastAsia"/>
          <w:highlight w:val="none"/>
        </w:rPr>
        <w:t>利用异步消息架构，降低系统间的业务耦合。</w:t>
      </w:r>
    </w:p>
    <w:p>
      <w:pPr>
        <w:numPr>
          <w:ilvl w:val="0"/>
          <w:numId w:val="5"/>
        </w:numPr>
        <w:rPr>
          <w:rFonts w:hint="eastAsia"/>
          <w:highlight w:val="none"/>
        </w:rPr>
      </w:pPr>
      <w:r>
        <w:rPr>
          <w:rFonts w:hint="eastAsia"/>
          <w:highlight w:val="none"/>
        </w:rPr>
        <w:t>前端（用户界面）与后端（业务逻辑）完全解耦，通过API接口通信。</w:t>
      </w:r>
    </w:p>
    <w:p>
      <w:pPr>
        <w:numPr>
          <w:ilvl w:val="0"/>
          <w:numId w:val="5"/>
        </w:numPr>
        <w:rPr>
          <w:rFonts w:hint="eastAsia"/>
          <w:highlight w:val="none"/>
        </w:rPr>
      </w:pPr>
      <w:r>
        <w:rPr>
          <w:rFonts w:hint="eastAsia"/>
          <w:highlight w:val="none"/>
        </w:rPr>
        <w:t>应按照市房管局统一技术规范进行软件系统研发，满足容器化部署的要求。</w:t>
      </w:r>
    </w:p>
    <w:p>
      <w:pPr>
        <w:pStyle w:val="3"/>
        <w:ind w:left="960" w:leftChars="0" w:firstLineChars="0"/>
        <w:rPr>
          <w:rFonts w:hint="eastAsia"/>
          <w:highlight w:val="none"/>
        </w:rPr>
      </w:pPr>
      <w:r>
        <w:rPr>
          <w:rFonts w:hint="eastAsia"/>
          <w:highlight w:val="none"/>
        </w:rPr>
        <w:t>部署环境</w:t>
      </w:r>
    </w:p>
    <w:p>
      <w:pPr>
        <w:rPr>
          <w:rFonts w:hint="eastAsia"/>
          <w:highlight w:val="none"/>
        </w:rPr>
      </w:pPr>
      <w:r>
        <w:rPr>
          <w:rFonts w:hint="eastAsia"/>
          <w:highlight w:val="none"/>
        </w:rPr>
        <w:t>上海市电子政务云平台分为政务外网区域和互联网区域，分别面向政府部门和公众提供访问，两个区域之间通过安全隔离设备实现逻辑隔离。本项目应用系统根据业务访问需求分别部署在政务外网区域和互联网区域。</w:t>
      </w:r>
    </w:p>
    <w:p>
      <w:pPr>
        <w:pStyle w:val="2"/>
        <w:rPr>
          <w:rFonts w:hint="eastAsia"/>
          <w:highlight w:val="none"/>
        </w:rPr>
      </w:pPr>
      <w:r>
        <w:rPr>
          <w:rFonts w:hint="eastAsia"/>
          <w:highlight w:val="none"/>
          <w:lang w:eastAsia="zh-CN"/>
        </w:rPr>
        <w:t>低代码建设要求</w:t>
      </w:r>
    </w:p>
    <w:p>
      <w:pPr>
        <w:pStyle w:val="3"/>
        <w:ind w:left="960" w:leftChars="0" w:firstLineChars="0"/>
        <w:rPr>
          <w:rFonts w:hint="eastAsia"/>
          <w:b/>
          <w:bCs/>
          <w:sz w:val="24"/>
          <w:szCs w:val="24"/>
          <w:highlight w:val="none"/>
          <w:lang w:val="en-US" w:eastAsia="zh-CN"/>
        </w:rPr>
      </w:pPr>
      <w:r>
        <w:rPr>
          <w:rFonts w:hint="eastAsia"/>
          <w:b/>
          <w:bCs/>
          <w:sz w:val="24"/>
          <w:szCs w:val="24"/>
          <w:highlight w:val="none"/>
          <w:lang w:val="en-US" w:eastAsia="zh-CN"/>
        </w:rPr>
        <w:t>总体要求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highlight w:val="none"/>
          <w:lang w:val="en-US" w:eastAsia="zh-CN"/>
        </w:rPr>
      </w:pPr>
      <w:r>
        <w:rPr>
          <w:rFonts w:hint="eastAsia"/>
          <w:sz w:val="24"/>
          <w:szCs w:val="24"/>
          <w:highlight w:val="none"/>
          <w:lang w:val="en-US" w:eastAsia="zh-CN"/>
        </w:rPr>
        <w:t>供应商应针对采购方指定的功能模块使用自有低代码平台或第三方低代码平台（以下统称“该平台”）进行构建，快速响应业务流程变化和定制化需求。</w:t>
      </w:r>
    </w:p>
    <w:p>
      <w:pPr>
        <w:pStyle w:val="3"/>
        <w:ind w:left="960" w:leftChars="0" w:firstLineChars="0"/>
        <w:rPr>
          <w:rFonts w:hint="eastAsia"/>
          <w:b/>
          <w:bCs/>
          <w:sz w:val="24"/>
          <w:szCs w:val="24"/>
          <w:highlight w:val="none"/>
          <w:lang w:val="en-US" w:eastAsia="zh-CN"/>
        </w:rPr>
      </w:pPr>
      <w:r>
        <w:rPr>
          <w:rFonts w:hint="eastAsia"/>
          <w:b/>
          <w:bCs/>
          <w:sz w:val="24"/>
          <w:szCs w:val="24"/>
          <w:highlight w:val="none"/>
          <w:lang w:val="en-US" w:eastAsia="zh-CN"/>
        </w:rPr>
        <w:t>具体要求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highlight w:val="none"/>
          <w:lang w:val="en-US" w:eastAsia="zh-CN"/>
        </w:rPr>
      </w:pPr>
      <w:r>
        <w:rPr>
          <w:rFonts w:hint="eastAsia"/>
          <w:sz w:val="24"/>
          <w:szCs w:val="24"/>
          <w:highlight w:val="none"/>
          <w:lang w:val="en-US" w:eastAsia="zh-CN"/>
        </w:rPr>
        <w:t>（1）该平台能够支持以可视化的方式基于数据模型创建功能模块和业务流程，支持通过“拖、拉、拽”或配置化等方式，快速构建和修改表单、流程、报表、图表及核心业务功能；支持构建可复用的业务组件库和业务模板，提升同类功能的开发效率，保障用户体验的一致性；在业务需求发生变化时，大部分功能调整能通过平台配置方式完成，避免或减少底层代码的修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highlight w:val="none"/>
          <w:lang w:val="en-US" w:eastAsia="zh-CN"/>
        </w:rPr>
      </w:pPr>
      <w:r>
        <w:rPr>
          <w:rFonts w:hint="eastAsia"/>
          <w:sz w:val="24"/>
          <w:szCs w:val="24"/>
          <w:highlight w:val="none"/>
          <w:lang w:val="en-US" w:eastAsia="zh-CN"/>
        </w:rPr>
        <w:t>（2）该平台能够支持部署在上海电子政务云xc环境中，支持使用主流国产数据库，支持容器化部署，支持高可用和弹性伸缩方案；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highlight w:val="none"/>
          <w:lang w:val="en-US" w:eastAsia="zh-CN"/>
        </w:rPr>
      </w:pPr>
      <w:r>
        <w:rPr>
          <w:rFonts w:hint="eastAsia"/>
          <w:sz w:val="24"/>
          <w:szCs w:val="24"/>
          <w:highlight w:val="none"/>
          <w:lang w:val="en-US" w:eastAsia="zh-CN"/>
        </w:rPr>
        <w:t>（3）该平台能够支持使用java和javascript等语言通过自定义脚本、代码函数等方式进行功能增强和二次开发；支持与第三方统一身份认证集成，支持CAS，OAuth2等协议；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highlight w:val="none"/>
          <w:lang w:val="en-US" w:eastAsia="zh-CN"/>
        </w:rPr>
      </w:pPr>
      <w:r>
        <w:rPr>
          <w:rFonts w:hint="eastAsia"/>
          <w:sz w:val="24"/>
          <w:szCs w:val="24"/>
          <w:highlight w:val="none"/>
          <w:lang w:val="en-US" w:eastAsia="zh-CN"/>
        </w:rPr>
        <w:t>（4）</w:t>
      </w:r>
      <w:r>
        <w:rPr>
          <w:rFonts w:hint="eastAsia"/>
          <w:color w:val="auto"/>
          <w:sz w:val="24"/>
          <w:szCs w:val="24"/>
          <w:highlight w:val="none"/>
          <w:lang w:val="en-US" w:eastAsia="zh-CN"/>
        </w:rPr>
        <w:t>如使用第三方平台，供应商应选择具备《软件著作权证书》或《软件产品证书》、第三方安全测评报告及XC认证相关证书（如XC软件产品证书、XC产品适配证书等）的平台产品；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highlight w:val="none"/>
          <w:lang w:val="en-US" w:eastAsia="zh-CN"/>
        </w:rPr>
      </w:pPr>
      <w:r>
        <w:rPr>
          <w:rFonts w:hint="eastAsia"/>
          <w:sz w:val="24"/>
          <w:szCs w:val="24"/>
          <w:highlight w:val="none"/>
          <w:lang w:val="en-US" w:eastAsia="zh-CN"/>
        </w:rPr>
        <w:t>（5）供应商应提供该平台完整的产品文档、开发手册和培训材料；供应商应提供该平台的7x24小时热线技术支持及5*8小时开发现场技术支持，明确技术支持联系方式及开发现场技术支持人员；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highlight w:val="none"/>
          <w:lang w:val="en-US" w:eastAsia="zh-CN"/>
        </w:rPr>
      </w:pPr>
      <w:r>
        <w:rPr>
          <w:rFonts w:hint="eastAsia"/>
          <w:sz w:val="24"/>
          <w:szCs w:val="24"/>
          <w:highlight w:val="none"/>
          <w:lang w:val="en-US" w:eastAsia="zh-CN"/>
        </w:rPr>
        <w:t>（6）</w:t>
      </w:r>
      <w:r>
        <w:rPr>
          <w:rFonts w:hint="eastAsia"/>
          <w:sz w:val="24"/>
          <w:szCs w:val="24"/>
          <w:highlight w:val="none"/>
          <w:lang w:eastAsia="zh-CN"/>
        </w:rPr>
        <w:t>供应商应</w:t>
      </w:r>
      <w:r>
        <w:rPr>
          <w:rFonts w:hint="eastAsia"/>
          <w:sz w:val="24"/>
          <w:szCs w:val="24"/>
          <w:highlight w:val="none"/>
          <w:lang w:val="en-US" w:eastAsia="zh-CN"/>
        </w:rPr>
        <w:t>提供该平台的正式许可，并承诺许可有效时间至少持续至本项目免维期结束；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highlight w:val="none"/>
          <w:lang w:val="en-US" w:eastAsia="zh-CN"/>
        </w:rPr>
      </w:pPr>
      <w:r>
        <w:rPr>
          <w:rFonts w:hint="eastAsia"/>
          <w:sz w:val="24"/>
          <w:szCs w:val="24"/>
          <w:highlight w:val="none"/>
          <w:lang w:val="en-US" w:eastAsia="zh-CN"/>
        </w:rPr>
        <w:t>（7）供应商应承诺对该平台版本的技术支持至少持续至2030年12月31日，如升级版本，需支持向下兼容</w:t>
      </w:r>
      <w:r>
        <w:rPr>
          <w:rFonts w:hint="eastAsia"/>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highlight w:val="none"/>
          <w:lang w:val="en-US" w:eastAsia="zh-CN"/>
        </w:rPr>
      </w:pPr>
      <w:r>
        <w:rPr>
          <w:rFonts w:hint="eastAsia"/>
          <w:sz w:val="24"/>
          <w:szCs w:val="24"/>
          <w:highlight w:val="none"/>
          <w:lang w:val="en-US" w:eastAsia="zh-CN"/>
        </w:rPr>
        <w:t>（8）供应商应承诺该平台未留有任何后门，并根据采购方安全管理要求及时响应并修补安全漏洞；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highlight w:val="none"/>
          <w:lang w:val="en-US" w:eastAsia="zh-CN"/>
        </w:rPr>
      </w:pPr>
      <w:r>
        <w:rPr>
          <w:rFonts w:hint="eastAsia"/>
          <w:sz w:val="24"/>
          <w:szCs w:val="24"/>
          <w:highlight w:val="none"/>
          <w:lang w:val="en-US" w:eastAsia="zh-CN"/>
        </w:rPr>
        <w:t>（9）供应商应承诺根据本项目要求提供系统集成所需接口，如根据当前登录用户获取用户已被授权的菜单数据等。</w:t>
      </w:r>
    </w:p>
    <w:bookmarkEnd w:id="17"/>
    <w:p>
      <w:pPr>
        <w:pStyle w:val="2"/>
        <w:rPr>
          <w:rFonts w:hint="eastAsia"/>
          <w:highlight w:val="none"/>
        </w:rPr>
      </w:pPr>
      <w:bookmarkStart w:id="18" w:name="_Toc63785503"/>
      <w:r>
        <w:rPr>
          <w:rFonts w:hint="eastAsia"/>
          <w:highlight w:val="none"/>
        </w:rPr>
        <w:t>其他工作要求</w:t>
      </w:r>
      <w:bookmarkEnd w:id="18"/>
    </w:p>
    <w:p>
      <w:pPr>
        <w:pStyle w:val="3"/>
        <w:ind w:left="960" w:leftChars="0" w:firstLineChars="0"/>
        <w:rPr>
          <w:rFonts w:hint="eastAsia"/>
          <w:highlight w:val="none"/>
        </w:rPr>
      </w:pPr>
      <w:bookmarkStart w:id="19" w:name="_Toc63785505"/>
      <w:r>
        <w:rPr>
          <w:rFonts w:hint="eastAsia"/>
          <w:highlight w:val="none"/>
        </w:rPr>
        <w:t>售后服务要求</w:t>
      </w:r>
      <w:bookmarkEnd w:id="19"/>
    </w:p>
    <w:p>
      <w:pPr>
        <w:pStyle w:val="107"/>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本项目从系统验收通过之日起</w:t>
      </w:r>
      <w:r>
        <w:rPr>
          <w:rFonts w:hint="eastAsia"/>
          <w:sz w:val="24"/>
          <w:szCs w:val="24"/>
          <w:highlight w:val="none"/>
        </w:rPr>
        <w:t>1</w:t>
      </w:r>
      <w:r>
        <w:rPr>
          <w:rFonts w:hint="eastAsia" w:ascii="宋体" w:hAnsi="宋体"/>
          <w:sz w:val="24"/>
          <w:szCs w:val="24"/>
          <w:highlight w:val="none"/>
        </w:rPr>
        <w:t>年内提供</w:t>
      </w:r>
      <w:r>
        <w:rPr>
          <w:rFonts w:hint="eastAsia"/>
          <w:sz w:val="24"/>
          <w:szCs w:val="24"/>
          <w:highlight w:val="none"/>
        </w:rPr>
        <w:t>7*24</w:t>
      </w:r>
      <w:r>
        <w:rPr>
          <w:rFonts w:hint="eastAsia" w:ascii="宋体" w:hAnsi="宋体"/>
          <w:sz w:val="24"/>
          <w:szCs w:val="24"/>
          <w:highlight w:val="none"/>
        </w:rPr>
        <w:t>小时免费技术支持和售后服务，</w:t>
      </w:r>
      <w:r>
        <w:rPr>
          <w:rFonts w:hint="eastAsia"/>
          <w:sz w:val="24"/>
          <w:szCs w:val="24"/>
          <w:highlight w:val="none"/>
        </w:rPr>
        <w:t>1</w:t>
      </w:r>
      <w:r>
        <w:rPr>
          <w:rFonts w:hint="eastAsia" w:ascii="宋体" w:hAnsi="宋体"/>
          <w:sz w:val="24"/>
          <w:szCs w:val="24"/>
          <w:highlight w:val="none"/>
        </w:rPr>
        <w:t>年后进入有偿维护期。</w:t>
      </w:r>
    </w:p>
    <w:p>
      <w:pPr>
        <w:pStyle w:val="107"/>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在质量保证期内，供应商将按照售后服务的承诺提供保修和运行维护服务，如果厂商对信息系统中软、硬件设备等产品中的部分保修期超过上述期限的，则按照厂商的规定进行免费保修。</w:t>
      </w:r>
    </w:p>
    <w:p>
      <w:pPr>
        <w:pStyle w:val="107"/>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在质量保证期内，供应商负责信息系统的运行维护工作，确保信息系统安全、稳定、可靠地运行。本项目涉及的运行维护工作范围为：</w:t>
      </w:r>
    </w:p>
    <w:p>
      <w:pPr>
        <w:numPr>
          <w:ilvl w:val="0"/>
          <w:numId w:val="6"/>
        </w:numPr>
        <w:ind w:firstLine="480"/>
        <w:rPr>
          <w:rFonts w:hint="eastAsia"/>
          <w:highlight w:val="none"/>
        </w:rPr>
      </w:pPr>
      <w:r>
        <w:rPr>
          <w:rFonts w:hint="eastAsia"/>
          <w:highlight w:val="none"/>
        </w:rPr>
        <w:t>运维系统：上海市房屋管理局住房保障管理平台；</w:t>
      </w:r>
    </w:p>
    <w:p>
      <w:pPr>
        <w:numPr>
          <w:ilvl w:val="0"/>
          <w:numId w:val="6"/>
        </w:numPr>
        <w:ind w:firstLine="480"/>
        <w:rPr>
          <w:rFonts w:hint="eastAsia"/>
          <w:highlight w:val="none"/>
        </w:rPr>
      </w:pPr>
      <w:r>
        <w:rPr>
          <w:rFonts w:hint="eastAsia"/>
          <w:highlight w:val="none"/>
        </w:rPr>
        <w:t>本项目涉及的运行维护工作范围为：对系统进行日常巡检，查看系统性能、</w:t>
      </w:r>
      <w:r>
        <w:rPr>
          <w:rFonts w:hint="eastAsia"/>
          <w:highlight w:val="none"/>
          <w:lang w:eastAsia="zh-Hans"/>
        </w:rPr>
        <w:t>系统</w:t>
      </w:r>
      <w:r>
        <w:rPr>
          <w:rFonts w:hint="eastAsia"/>
          <w:highlight w:val="none"/>
        </w:rPr>
        <w:t>备份、数据接口等是否正常，确保系统及数据安全；</w:t>
      </w:r>
    </w:p>
    <w:p>
      <w:pPr>
        <w:numPr>
          <w:ilvl w:val="0"/>
          <w:numId w:val="6"/>
        </w:numPr>
        <w:ind w:firstLine="480"/>
        <w:rPr>
          <w:rFonts w:hint="eastAsia"/>
          <w:highlight w:val="none"/>
        </w:rPr>
      </w:pPr>
      <w:r>
        <w:rPr>
          <w:rFonts w:hint="eastAsia"/>
          <w:highlight w:val="none"/>
        </w:rPr>
        <w:t>配合招标方做好日常工作,提供必要的信息化服务；</w:t>
      </w:r>
    </w:p>
    <w:p>
      <w:pPr>
        <w:numPr>
          <w:ilvl w:val="0"/>
          <w:numId w:val="6"/>
        </w:numPr>
        <w:ind w:firstLine="480"/>
        <w:rPr>
          <w:rFonts w:hint="eastAsia"/>
          <w:highlight w:val="none"/>
        </w:rPr>
      </w:pPr>
      <w:r>
        <w:rPr>
          <w:rFonts w:hint="eastAsia"/>
          <w:highlight w:val="none"/>
        </w:rPr>
        <w:t>与系统相关单位、部门做好数据接口的保障工作，实现数据在不同业务系统间的正常传输；</w:t>
      </w:r>
    </w:p>
    <w:p>
      <w:pPr>
        <w:numPr>
          <w:ilvl w:val="0"/>
          <w:numId w:val="6"/>
        </w:numPr>
        <w:ind w:firstLine="480"/>
        <w:rPr>
          <w:rFonts w:hint="eastAsia"/>
          <w:highlight w:val="none"/>
        </w:rPr>
      </w:pPr>
      <w:r>
        <w:rPr>
          <w:rFonts w:hint="eastAsia"/>
          <w:highlight w:val="none"/>
        </w:rPr>
        <w:t>对在合同约定范围内用户提出修改、</w:t>
      </w:r>
      <w:r>
        <w:rPr>
          <w:highlight w:val="none"/>
        </w:rPr>
        <w:t>新增和</w:t>
      </w:r>
      <w:r>
        <w:rPr>
          <w:rFonts w:hint="eastAsia"/>
          <w:highlight w:val="none"/>
        </w:rPr>
        <w:t>完善等需求，同招标方进行沟通达成一致后实施，包括新功能的调研、设计、开发、测试等工作。</w:t>
      </w:r>
    </w:p>
    <w:p>
      <w:pPr>
        <w:pStyle w:val="3"/>
        <w:ind w:left="960" w:leftChars="0" w:firstLineChars="0"/>
        <w:rPr>
          <w:rFonts w:hint="eastAsia"/>
          <w:highlight w:val="none"/>
        </w:rPr>
      </w:pPr>
      <w:bookmarkStart w:id="20" w:name="_Toc63785506"/>
      <w:r>
        <w:rPr>
          <w:rFonts w:hint="eastAsia"/>
          <w:highlight w:val="none"/>
        </w:rPr>
        <w:t>应急响应要求</w:t>
      </w:r>
      <w:bookmarkEnd w:id="20"/>
    </w:p>
    <w:p>
      <w:pPr>
        <w:spacing w:line="600" w:lineRule="exact"/>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供应商对系统故障应能够实时响应，若系统发生故障，接到通知后30分钟之内响应，专业工程师2小时内到达现场。特殊故障与</w:t>
      </w:r>
      <w:r>
        <w:rPr>
          <w:rFonts w:hint="eastAsia" w:cs="Times New Roman"/>
          <w:kern w:val="2"/>
          <w:sz w:val="24"/>
          <w:szCs w:val="24"/>
          <w:highlight w:val="none"/>
          <w:lang w:val="en-US" w:eastAsia="zh-CN" w:bidi="ar-SA"/>
        </w:rPr>
        <w:t>采购人</w:t>
      </w:r>
      <w:r>
        <w:rPr>
          <w:rFonts w:hint="eastAsia" w:ascii="宋体" w:hAnsi="宋体" w:eastAsia="宋体" w:cs="Times New Roman"/>
          <w:kern w:val="2"/>
          <w:sz w:val="24"/>
          <w:szCs w:val="24"/>
          <w:highlight w:val="none"/>
          <w:lang w:val="en-US" w:eastAsia="zh-CN" w:bidi="ar-SA"/>
        </w:rPr>
        <w:t>沟通协商后，按照协商的方式制定解决方案并进行处理。</w:t>
      </w:r>
    </w:p>
    <w:p>
      <w:pPr>
        <w:spacing w:line="600" w:lineRule="exact"/>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具体故障级别及对应的应急响应要求如下：</w:t>
      </w:r>
    </w:p>
    <w:p>
      <w:pPr>
        <w:spacing w:line="600" w:lineRule="exact"/>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一级故障：在1小时内确诊，总故障解决时间不超过4小时。</w:t>
      </w:r>
    </w:p>
    <w:p>
      <w:pPr>
        <w:spacing w:line="600" w:lineRule="exact"/>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二级故障：在2小时内确诊，并在4小时内由专家到达现场确诊并解决，总故障解决时间不超过8小时；</w:t>
      </w:r>
    </w:p>
    <w:p>
      <w:pPr>
        <w:spacing w:line="600" w:lineRule="exact"/>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三、四级故障：在4小时内确诊故障，总故障解决时间不超过16小时。</w:t>
      </w:r>
    </w:p>
    <w:p>
      <w:pPr>
        <w:spacing w:line="600" w:lineRule="exact"/>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依据故障时间及故障范围划分故障级别，故障级别分为四级，依次为Ⅰ级（紧急）、Ⅱ级（严重）、Ⅲ级（较大）和Ⅳ级（一般），分别定义如下：</w:t>
      </w:r>
    </w:p>
    <w:p>
      <w:pPr>
        <w:spacing w:line="600" w:lineRule="exact"/>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Ⅰ级（紧急）故障为工作时间段（8:30——17:30）内大范围故障；</w:t>
      </w:r>
    </w:p>
    <w:p>
      <w:pPr>
        <w:spacing w:line="600" w:lineRule="exact"/>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Ⅱ级（严重）故障为非工作时间段（17:30——次日8:30）内大范围故障；</w:t>
      </w:r>
    </w:p>
    <w:p>
      <w:pPr>
        <w:spacing w:line="600" w:lineRule="exact"/>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Ⅲ级（较大）故障为工作时间段（8:30——17:30）内小范围故障；</w:t>
      </w:r>
    </w:p>
    <w:p>
      <w:pPr>
        <w:spacing w:line="600" w:lineRule="exact"/>
        <w:ind w:firstLine="480" w:firstLineChars="200"/>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Ⅳ级（一般）故障为非工作时间段（17:30——次日8:30）内小范围故障；</w:t>
      </w:r>
    </w:p>
    <w:p>
      <w:pPr>
        <w:pStyle w:val="3"/>
        <w:ind w:left="960" w:leftChars="0" w:firstLineChars="0"/>
        <w:rPr>
          <w:rFonts w:hint="eastAsia"/>
          <w:highlight w:val="none"/>
          <w:lang w:val="en-US" w:eastAsia="zh-CN"/>
        </w:rPr>
      </w:pPr>
      <w:bookmarkStart w:id="21" w:name="_Toc63785507"/>
      <w:r>
        <w:rPr>
          <w:rFonts w:hint="eastAsia"/>
          <w:highlight w:val="none"/>
          <w:lang w:val="en-US" w:eastAsia="zh-CN"/>
        </w:rPr>
        <w:t>网络与数据安全</w:t>
      </w:r>
    </w:p>
    <w:p>
      <w:pPr>
        <w:rPr>
          <w:rFonts w:hint="eastAsia"/>
          <w:highlight w:val="none"/>
          <w:lang w:val="en-US"/>
        </w:rPr>
      </w:pPr>
      <w:r>
        <w:rPr>
          <w:rFonts w:hint="eastAsia"/>
          <w:highlight w:val="none"/>
        </w:rPr>
        <w:t>(1)</w:t>
      </w:r>
      <w:r>
        <w:rPr>
          <w:rFonts w:hint="eastAsia"/>
          <w:highlight w:val="none"/>
          <w:lang w:eastAsia="zh-CN"/>
        </w:rPr>
        <w:t>供应商</w:t>
      </w:r>
      <w:r>
        <w:rPr>
          <w:rFonts w:hint="eastAsia"/>
          <w:highlight w:val="none"/>
        </w:rPr>
        <w:t>应在项目深化设计阶段，应开展安全需求调研和数据分类分级工作，制定网络和数据安全设计方案，制定总体安全技术架构，明确边界防护、访问控制、权限管理、系统安全配置、身份鉴别、入侵防范等系统安全防护措施，制定差异化的数据安全防护手段，确保数据全生命周期安全。</w:t>
      </w:r>
    </w:p>
    <w:p>
      <w:pPr>
        <w:rPr>
          <w:rFonts w:hint="eastAsia"/>
          <w:highlight w:val="none"/>
          <w:lang w:val="en-US"/>
        </w:rPr>
      </w:pPr>
      <w:r>
        <w:rPr>
          <w:rFonts w:hint="eastAsia"/>
          <w:highlight w:val="none"/>
        </w:rPr>
        <w:t>(</w:t>
      </w:r>
      <w:r>
        <w:rPr>
          <w:rFonts w:hint="eastAsia"/>
          <w:highlight w:val="none"/>
          <w:lang w:val="en-US" w:eastAsia="zh-CN"/>
        </w:rPr>
        <w:t>2</w:t>
      </w:r>
      <w:r>
        <w:rPr>
          <w:rFonts w:hint="eastAsia"/>
          <w:highlight w:val="none"/>
        </w:rPr>
        <w:t>)</w:t>
      </w:r>
      <w:r>
        <w:rPr>
          <w:rFonts w:hint="eastAsia"/>
          <w:highlight w:val="none"/>
          <w:lang w:eastAsia="zh-CN"/>
        </w:rPr>
        <w:t>供应商</w:t>
      </w:r>
      <w:r>
        <w:rPr>
          <w:rFonts w:hint="eastAsia"/>
          <w:highlight w:val="none"/>
        </w:rPr>
        <w:t>应配合</w:t>
      </w:r>
      <w:r>
        <w:rPr>
          <w:rFonts w:hint="eastAsia"/>
          <w:highlight w:val="none"/>
          <w:lang w:eastAsia="zh-CN"/>
        </w:rPr>
        <w:t>采购人</w:t>
      </w:r>
      <w:r>
        <w:rPr>
          <w:rFonts w:hint="eastAsia"/>
          <w:highlight w:val="none"/>
        </w:rPr>
        <w:t>开展相关安全制度和规范的制定，并根据项目实际，制定项目实施过程安全管理方案。</w:t>
      </w:r>
    </w:p>
    <w:p>
      <w:pPr>
        <w:rPr>
          <w:rFonts w:hint="eastAsia"/>
          <w:highlight w:val="none"/>
          <w:lang w:val="en-US"/>
        </w:rPr>
      </w:pPr>
      <w:r>
        <w:rPr>
          <w:rFonts w:hint="eastAsia"/>
          <w:highlight w:val="none"/>
        </w:rPr>
        <w:t>(</w:t>
      </w:r>
      <w:r>
        <w:rPr>
          <w:rFonts w:hint="eastAsia"/>
          <w:highlight w:val="none"/>
          <w:lang w:val="en-US" w:eastAsia="zh-CN"/>
        </w:rPr>
        <w:t>3</w:t>
      </w:r>
      <w:r>
        <w:rPr>
          <w:rFonts w:hint="eastAsia"/>
          <w:highlight w:val="none"/>
        </w:rPr>
        <w:t>)</w:t>
      </w:r>
      <w:r>
        <w:rPr>
          <w:rFonts w:hint="eastAsia"/>
          <w:highlight w:val="none"/>
          <w:lang w:eastAsia="zh-CN"/>
        </w:rPr>
        <w:t>供应商</w:t>
      </w:r>
      <w:r>
        <w:rPr>
          <w:rFonts w:hint="eastAsia"/>
          <w:highlight w:val="none"/>
        </w:rPr>
        <w:t>应确保所提供的软件产品和定制开发内容所涉及的供应链满足</w:t>
      </w:r>
      <w:r>
        <w:rPr>
          <w:rFonts w:hint="eastAsia"/>
          <w:highlight w:val="none"/>
          <w:lang w:eastAsia="zh-CN"/>
        </w:rPr>
        <w:t>采购人</w:t>
      </w:r>
      <w:r>
        <w:rPr>
          <w:rFonts w:hint="eastAsia"/>
          <w:highlight w:val="none"/>
        </w:rPr>
        <w:t>的管理要求，提供供应链物料清单，落实供应链安全控制措施，包括代码安全检测和质量评估、漏洞扫描、第三方组件评估等工作，并于系统上线前，完成信息化资产的梳理。</w:t>
      </w:r>
    </w:p>
    <w:p>
      <w:pPr>
        <w:rPr>
          <w:rFonts w:hint="eastAsia"/>
          <w:highlight w:val="none"/>
          <w:lang w:val="en-US"/>
        </w:rPr>
      </w:pPr>
      <w:r>
        <w:rPr>
          <w:rFonts w:hint="eastAsia"/>
          <w:highlight w:val="none"/>
        </w:rPr>
        <w:t>(</w:t>
      </w:r>
      <w:r>
        <w:rPr>
          <w:rFonts w:hint="eastAsia"/>
          <w:highlight w:val="none"/>
          <w:lang w:val="en-US" w:eastAsia="zh-CN"/>
        </w:rPr>
        <w:t>4</w:t>
      </w:r>
      <w:r>
        <w:rPr>
          <w:rFonts w:hint="eastAsia"/>
          <w:highlight w:val="none"/>
        </w:rPr>
        <w:t>)</w:t>
      </w:r>
      <w:r>
        <w:rPr>
          <w:rFonts w:hint="eastAsia"/>
          <w:highlight w:val="none"/>
          <w:lang w:eastAsia="zh-CN"/>
        </w:rPr>
        <w:t>供应商</w:t>
      </w:r>
      <w:r>
        <w:rPr>
          <w:rFonts w:hint="eastAsia"/>
          <w:highlight w:val="none"/>
        </w:rPr>
        <w:t>应在项目实施过程中，推动安全开发控制工作的实施，按照安全设计方案和</w:t>
      </w:r>
      <w:r>
        <w:rPr>
          <w:rFonts w:hint="eastAsia"/>
          <w:highlight w:val="none"/>
          <w:lang w:eastAsia="zh-CN"/>
        </w:rPr>
        <w:t>采购人</w:t>
      </w:r>
      <w:r>
        <w:rPr>
          <w:rFonts w:hint="eastAsia"/>
          <w:highlight w:val="none"/>
        </w:rPr>
        <w:t>安全开发要求，落实安全开发规范，确保代码质量和安全性。</w:t>
      </w:r>
      <w:r>
        <w:rPr>
          <w:rFonts w:hint="eastAsia"/>
          <w:highlight w:val="none"/>
          <w:lang w:eastAsia="zh-CN"/>
        </w:rPr>
        <w:t>供应商</w:t>
      </w:r>
      <w:r>
        <w:rPr>
          <w:rFonts w:hint="eastAsia"/>
          <w:highlight w:val="none"/>
        </w:rPr>
        <w:t>应确保系统开发及生产环境安全，落实安全管理策略及安全配置。</w:t>
      </w:r>
    </w:p>
    <w:p>
      <w:pPr>
        <w:rPr>
          <w:rFonts w:hint="eastAsia"/>
          <w:highlight w:val="none"/>
          <w:lang w:val="en-US"/>
        </w:rPr>
      </w:pPr>
      <w:r>
        <w:rPr>
          <w:rFonts w:hint="eastAsia"/>
          <w:highlight w:val="none"/>
        </w:rPr>
        <w:t>(</w:t>
      </w:r>
      <w:r>
        <w:rPr>
          <w:rFonts w:hint="eastAsia"/>
          <w:highlight w:val="none"/>
          <w:lang w:val="en-US" w:eastAsia="zh-CN"/>
        </w:rPr>
        <w:t>5</w:t>
      </w:r>
      <w:r>
        <w:rPr>
          <w:rFonts w:hint="eastAsia"/>
          <w:highlight w:val="none"/>
        </w:rPr>
        <w:t>)</w:t>
      </w:r>
      <w:r>
        <w:rPr>
          <w:rFonts w:hint="eastAsia"/>
          <w:highlight w:val="none"/>
          <w:lang w:eastAsia="zh-CN"/>
        </w:rPr>
        <w:t>供应商</w:t>
      </w:r>
      <w:r>
        <w:rPr>
          <w:rFonts w:hint="eastAsia"/>
          <w:highlight w:val="none"/>
        </w:rPr>
        <w:t>应在项目实施过程中，按照数据差异化安全防护策略，根据系统需要采取数据加密、数据访问控制、日志记录、流转监测等防护能力及相关管理流程，切实保障数据安全。</w:t>
      </w:r>
    </w:p>
    <w:p>
      <w:pPr>
        <w:rPr>
          <w:rFonts w:hint="eastAsia"/>
          <w:highlight w:val="none"/>
        </w:rPr>
      </w:pPr>
      <w:r>
        <w:rPr>
          <w:rFonts w:hint="eastAsia"/>
          <w:highlight w:val="none"/>
        </w:rPr>
        <w:t>(</w:t>
      </w:r>
      <w:r>
        <w:rPr>
          <w:rFonts w:hint="eastAsia"/>
          <w:highlight w:val="none"/>
          <w:lang w:val="en-US" w:eastAsia="zh-CN"/>
        </w:rPr>
        <w:t>6</w:t>
      </w:r>
      <w:r>
        <w:rPr>
          <w:rFonts w:hint="eastAsia"/>
          <w:highlight w:val="none"/>
        </w:rPr>
        <w:t>)</w:t>
      </w:r>
      <w:r>
        <w:rPr>
          <w:rFonts w:hint="eastAsia"/>
          <w:highlight w:val="none"/>
          <w:lang w:eastAsia="zh-CN"/>
        </w:rPr>
        <w:t>供应商</w:t>
      </w:r>
      <w:r>
        <w:rPr>
          <w:rFonts w:hint="eastAsia"/>
          <w:highlight w:val="none"/>
        </w:rPr>
        <w:t>应按照</w:t>
      </w:r>
      <w:r>
        <w:rPr>
          <w:rFonts w:hint="eastAsia"/>
          <w:highlight w:val="none"/>
          <w:lang w:eastAsia="zh-CN"/>
        </w:rPr>
        <w:t>采购人</w:t>
      </w:r>
      <w:r>
        <w:rPr>
          <w:rFonts w:hint="eastAsia"/>
          <w:highlight w:val="none"/>
        </w:rPr>
        <w:t>场地及人员安全管理制度，加强人员管理，配合</w:t>
      </w:r>
      <w:r>
        <w:rPr>
          <w:rFonts w:hint="eastAsia"/>
          <w:highlight w:val="none"/>
          <w:lang w:eastAsia="zh-CN"/>
        </w:rPr>
        <w:t>采购人</w:t>
      </w:r>
      <w:r>
        <w:rPr>
          <w:rFonts w:hint="eastAsia"/>
          <w:highlight w:val="none"/>
        </w:rPr>
        <w:t>落实人员背调、入离场、终端管理、网络限制、数据权限最小化等管控措施。</w:t>
      </w:r>
    </w:p>
    <w:p>
      <w:pPr>
        <w:rPr>
          <w:rFonts w:hint="eastAsia"/>
          <w:highlight w:val="none"/>
        </w:rPr>
      </w:pPr>
      <w:r>
        <w:rPr>
          <w:rFonts w:hint="eastAsia"/>
          <w:highlight w:val="none"/>
        </w:rPr>
        <w:t>(</w:t>
      </w:r>
      <w:r>
        <w:rPr>
          <w:rFonts w:hint="eastAsia"/>
          <w:highlight w:val="none"/>
          <w:lang w:val="en-US" w:eastAsia="zh-CN"/>
        </w:rPr>
        <w:t>7</w:t>
      </w:r>
      <w:r>
        <w:rPr>
          <w:rFonts w:hint="eastAsia"/>
          <w:highlight w:val="none"/>
        </w:rPr>
        <w:t>)</w:t>
      </w:r>
      <w:r>
        <w:rPr>
          <w:rFonts w:hint="eastAsia"/>
          <w:highlight w:val="none"/>
          <w:lang w:eastAsia="zh-CN"/>
        </w:rPr>
        <w:t>供应商</w:t>
      </w:r>
      <w:r>
        <w:rPr>
          <w:rFonts w:hint="eastAsia"/>
          <w:highlight w:val="none"/>
        </w:rPr>
        <w:t>应配合</w:t>
      </w:r>
      <w:r>
        <w:rPr>
          <w:rFonts w:hint="eastAsia"/>
          <w:highlight w:val="none"/>
          <w:lang w:eastAsia="zh-CN"/>
        </w:rPr>
        <w:t>采购人</w:t>
      </w:r>
      <w:r>
        <w:rPr>
          <w:rFonts w:hint="eastAsia"/>
          <w:highlight w:val="none"/>
        </w:rPr>
        <w:t>开展系统安全事件（含业务故障）级别划分，制定应急预案，并落实应急预案中规定的应急响应要求。</w:t>
      </w:r>
    </w:p>
    <w:p>
      <w:pPr>
        <w:rPr>
          <w:rFonts w:hint="eastAsia"/>
          <w:highlight w:val="none"/>
          <w:lang w:val="en-US"/>
        </w:rPr>
      </w:pPr>
      <w:r>
        <w:rPr>
          <w:rFonts w:hint="eastAsia"/>
          <w:highlight w:val="none"/>
          <w:lang w:val="en-US" w:eastAsia="zh-CN"/>
        </w:rPr>
        <w:t>8</w:t>
      </w:r>
      <w:r>
        <w:rPr>
          <w:rFonts w:hint="eastAsia"/>
          <w:highlight w:val="none"/>
        </w:rPr>
        <w:t>)</w:t>
      </w:r>
      <w:r>
        <w:rPr>
          <w:rFonts w:hint="eastAsia"/>
          <w:highlight w:val="none"/>
          <w:lang w:eastAsia="zh-CN"/>
        </w:rPr>
        <w:t>供应商</w:t>
      </w:r>
      <w:r>
        <w:rPr>
          <w:rFonts w:hint="eastAsia"/>
          <w:highlight w:val="none"/>
        </w:rPr>
        <w:t>应于系统上线部署前对系统运行环境、应用软件等开展安全自查，并于项目初验及系统试运行阶段，配合</w:t>
      </w:r>
      <w:r>
        <w:rPr>
          <w:rFonts w:hint="eastAsia"/>
          <w:highlight w:val="none"/>
          <w:lang w:eastAsia="zh-CN"/>
        </w:rPr>
        <w:t>采购人</w:t>
      </w:r>
      <w:r>
        <w:rPr>
          <w:rFonts w:hint="eastAsia"/>
          <w:highlight w:val="none"/>
        </w:rPr>
        <w:t>开展安测、密测、等保、密评、数据安全风险评估等系列安全测试、评估工作，针对发现的问题及时完成整改，确保系统上线安全。</w:t>
      </w:r>
    </w:p>
    <w:p>
      <w:pPr>
        <w:ind w:firstLine="0" w:firstLineChars="0"/>
        <w:rPr>
          <w:rFonts w:hint="eastAsia"/>
          <w:highlight w:val="none"/>
        </w:rPr>
      </w:pPr>
      <w:r>
        <w:rPr>
          <w:rFonts w:hint="eastAsia"/>
          <w:highlight w:val="none"/>
        </w:rPr>
        <w:t>(</w:t>
      </w:r>
      <w:r>
        <w:rPr>
          <w:rFonts w:hint="eastAsia"/>
          <w:highlight w:val="none"/>
          <w:lang w:val="en-US" w:eastAsia="zh-CN"/>
        </w:rPr>
        <w:t>9</w:t>
      </w:r>
      <w:r>
        <w:rPr>
          <w:rFonts w:hint="eastAsia"/>
          <w:highlight w:val="none"/>
        </w:rPr>
        <w:t>)</w:t>
      </w:r>
      <w:r>
        <w:rPr>
          <w:rFonts w:hint="eastAsia"/>
          <w:highlight w:val="none"/>
          <w:lang w:eastAsia="zh-CN"/>
        </w:rPr>
        <w:t>供应商</w:t>
      </w:r>
      <w:r>
        <w:rPr>
          <w:rFonts w:hint="eastAsia"/>
          <w:highlight w:val="none"/>
        </w:rPr>
        <w:t>应在系统免维期内承担系统安全运维管理责任，落实安全管理保障措施，包括但不限于制度修订、风险排查、应急响应、漏洞修复、重保等工作。</w:t>
      </w:r>
    </w:p>
    <w:p>
      <w:pPr>
        <w:pStyle w:val="3"/>
        <w:ind w:left="960" w:leftChars="0" w:firstLineChars="0"/>
        <w:rPr>
          <w:rFonts w:hint="eastAsia"/>
          <w:highlight w:val="none"/>
        </w:rPr>
      </w:pPr>
      <w:r>
        <w:rPr>
          <w:rFonts w:hint="eastAsia"/>
          <w:highlight w:val="none"/>
        </w:rPr>
        <w:t>培训要求</w:t>
      </w:r>
      <w:bookmarkEnd w:id="21"/>
    </w:p>
    <w:p>
      <w:pPr>
        <w:rPr>
          <w:rFonts w:hint="eastAsia"/>
          <w:highlight w:val="none"/>
        </w:rPr>
      </w:pPr>
      <w:r>
        <w:rPr>
          <w:rFonts w:hint="eastAsia"/>
          <w:highlight w:val="none"/>
        </w:rPr>
        <w:t>对系统使用单位提供业务操作培训，应提供详细培训方案。</w:t>
      </w:r>
    </w:p>
    <w:p>
      <w:pPr>
        <w:rPr>
          <w:rFonts w:hint="eastAsia"/>
          <w:highlight w:val="none"/>
        </w:rPr>
      </w:pPr>
      <w:r>
        <w:rPr>
          <w:rFonts w:hint="eastAsia"/>
          <w:highlight w:val="none"/>
        </w:rPr>
        <w:t>(1)在12个月的质量保证期内，提供2次与项目相关的必要培训。</w:t>
      </w:r>
    </w:p>
    <w:p>
      <w:pPr>
        <w:rPr>
          <w:rFonts w:hint="eastAsia"/>
          <w:highlight w:val="none"/>
        </w:rPr>
      </w:pPr>
      <w:r>
        <w:rPr>
          <w:rFonts w:hint="eastAsia"/>
          <w:highlight w:val="none"/>
        </w:rPr>
        <w:t>(2)供应商需要开展分层次的人员培训工作，每次培训后应对参加培训人员进行测试，评估培训成果。培训应具有培训教材、培训环境和高水平的培训讲师。</w:t>
      </w:r>
    </w:p>
    <w:p>
      <w:pPr>
        <w:rPr>
          <w:rFonts w:hint="eastAsia"/>
          <w:highlight w:val="none"/>
        </w:rPr>
      </w:pPr>
      <w:r>
        <w:rPr>
          <w:rFonts w:hint="eastAsia"/>
          <w:highlight w:val="none"/>
        </w:rPr>
        <w:t>(3)供应商应提供一般用户的基础操作培训和部门信息管理员的日常应用维护的培训，确保用户对象能够掌握对应的操作技能。</w:t>
      </w:r>
    </w:p>
    <w:p>
      <w:pPr>
        <w:pStyle w:val="3"/>
        <w:ind w:left="960" w:leftChars="0" w:firstLineChars="0"/>
        <w:rPr>
          <w:rFonts w:hint="eastAsia"/>
          <w:highlight w:val="none"/>
        </w:rPr>
      </w:pPr>
      <w:bookmarkStart w:id="22" w:name="_Toc63785508"/>
      <w:r>
        <w:rPr>
          <w:rFonts w:hint="eastAsia"/>
          <w:highlight w:val="none"/>
        </w:rPr>
        <w:t>验收要求</w:t>
      </w:r>
      <w:bookmarkEnd w:id="22"/>
    </w:p>
    <w:p>
      <w:pPr>
        <w:rPr>
          <w:rFonts w:hint="eastAsia"/>
          <w:szCs w:val="21"/>
          <w:highlight w:val="none"/>
        </w:rPr>
      </w:pPr>
      <w:r>
        <w:rPr>
          <w:rFonts w:hint="eastAsia"/>
          <w:szCs w:val="21"/>
          <w:highlight w:val="none"/>
        </w:rPr>
        <w:t>本项目按下述方式开展验收。</w:t>
      </w:r>
    </w:p>
    <w:p>
      <w:pPr>
        <w:rPr>
          <w:rFonts w:hint="eastAsia"/>
          <w:szCs w:val="21"/>
          <w:highlight w:val="none"/>
        </w:rPr>
      </w:pPr>
      <w:r>
        <w:rPr>
          <w:rFonts w:hint="eastAsia"/>
          <w:szCs w:val="21"/>
          <w:highlight w:val="none"/>
        </w:rPr>
        <w:t>供应商应按照国家有关规定以及磋商文件要求及承诺与所签订合同约定标准、验收流程、约定时间进行验收，确保按时交付、正常运行。</w:t>
      </w:r>
    </w:p>
    <w:p>
      <w:pPr>
        <w:rPr>
          <w:rFonts w:hint="eastAsia"/>
          <w:szCs w:val="21"/>
          <w:highlight w:val="none"/>
        </w:rPr>
      </w:pPr>
      <w:r>
        <w:rPr>
          <w:rFonts w:hint="eastAsia"/>
          <w:szCs w:val="21"/>
          <w:highlight w:val="none"/>
        </w:rPr>
        <w:t>（</w:t>
      </w:r>
      <w:r>
        <w:rPr>
          <w:szCs w:val="21"/>
          <w:highlight w:val="none"/>
        </w:rPr>
        <w:t>1</w:t>
      </w:r>
      <w:r>
        <w:rPr>
          <w:rFonts w:hint="eastAsia"/>
          <w:szCs w:val="21"/>
          <w:highlight w:val="none"/>
        </w:rPr>
        <w:t>）</w:t>
      </w:r>
      <w:r>
        <w:rPr>
          <w:szCs w:val="21"/>
          <w:highlight w:val="none"/>
        </w:rPr>
        <w:t>验收分初验和终验。</w:t>
      </w:r>
    </w:p>
    <w:p>
      <w:pPr>
        <w:rPr>
          <w:rFonts w:hint="eastAsia"/>
          <w:szCs w:val="21"/>
          <w:highlight w:val="none"/>
        </w:rPr>
      </w:pPr>
      <w:r>
        <w:rPr>
          <w:rFonts w:hint="eastAsia"/>
          <w:szCs w:val="21"/>
          <w:highlight w:val="none"/>
        </w:rPr>
        <w:t>（</w:t>
      </w:r>
      <w:r>
        <w:rPr>
          <w:szCs w:val="21"/>
          <w:highlight w:val="none"/>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pPr>
        <w:rPr>
          <w:rFonts w:hint="eastAsia"/>
          <w:szCs w:val="21"/>
          <w:highlight w:val="none"/>
        </w:rPr>
      </w:pPr>
      <w:r>
        <w:rPr>
          <w:rFonts w:hint="eastAsia"/>
          <w:szCs w:val="21"/>
          <w:highlight w:val="none"/>
        </w:rPr>
        <w:t>（</w:t>
      </w:r>
      <w:r>
        <w:rPr>
          <w:szCs w:val="21"/>
          <w:highlight w:val="none"/>
        </w:rPr>
        <w:t>3）初验时，供应商须提供软件文档包括《用户需求说明书》《系统概要设计说明书》《系统详细设计说明书》</w:t>
      </w:r>
      <w:r>
        <w:rPr>
          <w:rFonts w:hint="eastAsia"/>
          <w:szCs w:val="21"/>
          <w:highlight w:val="none"/>
        </w:rPr>
        <w:t>《三方功能需求确认单》</w:t>
      </w:r>
      <w:r>
        <w:rPr>
          <w:szCs w:val="21"/>
          <w:highlight w:val="none"/>
        </w:rPr>
        <w:t>《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pPr>
        <w:rPr>
          <w:rFonts w:hint="eastAsia"/>
          <w:szCs w:val="21"/>
          <w:highlight w:val="none"/>
        </w:rPr>
      </w:pPr>
      <w:r>
        <w:rPr>
          <w:rFonts w:hint="eastAsia"/>
          <w:szCs w:val="21"/>
          <w:highlight w:val="none"/>
        </w:rPr>
        <w:t>（</w:t>
      </w:r>
      <w:r>
        <w:rPr>
          <w:szCs w:val="21"/>
          <w:highlight w:val="none"/>
        </w:rPr>
        <w:t>4）自初验通过之日起，招标方享有供应商免费提供的</w:t>
      </w:r>
      <w:r>
        <w:rPr>
          <w:rFonts w:hint="eastAsia"/>
          <w:szCs w:val="21"/>
          <w:highlight w:val="none"/>
        </w:rPr>
        <w:t>30</w:t>
      </w:r>
      <w:r>
        <w:rPr>
          <w:szCs w:val="21"/>
          <w:highlight w:val="none"/>
        </w:rPr>
        <w:t>天的信息系统试运行现场驻场服务期。该期间内，供应商应当按照招标方的要求提供现场技术支持服务，解决信息系统试运行期间可能出现的各类问题，或进一步提高与完善信息系统运行水平。</w:t>
      </w:r>
    </w:p>
    <w:p>
      <w:pPr>
        <w:rPr>
          <w:rFonts w:hint="eastAsia"/>
          <w:szCs w:val="21"/>
          <w:highlight w:val="none"/>
        </w:rPr>
      </w:pPr>
      <w:r>
        <w:rPr>
          <w:rFonts w:hint="eastAsia"/>
          <w:szCs w:val="21"/>
          <w:highlight w:val="none"/>
        </w:rPr>
        <w:t>（</w:t>
      </w:r>
      <w:r>
        <w:rPr>
          <w:szCs w:val="21"/>
          <w:highlight w:val="none"/>
        </w:rPr>
        <w:t>5</w:t>
      </w:r>
      <w:r>
        <w:rPr>
          <w:rFonts w:hint="eastAsia"/>
          <w:szCs w:val="21"/>
          <w:highlight w:val="none"/>
        </w:rPr>
        <w:t>）</w:t>
      </w:r>
      <w:r>
        <w:rPr>
          <w:szCs w:val="21"/>
          <w:highlight w:val="none"/>
        </w:rPr>
        <w:t>初验通过且信息系统试运行期已经达到本项目约定的时间，经供应商确认信息系统具备正常运行条件，且信息系统通过运行测试，供应商应以书面形式通知招标方信息系统已准备就绪等待终验。招标方在收到终验通知后的10个工作日内发起组织专家验收会。</w:t>
      </w:r>
    </w:p>
    <w:p>
      <w:pPr>
        <w:rPr>
          <w:rFonts w:hint="eastAsia"/>
          <w:szCs w:val="21"/>
          <w:highlight w:val="none"/>
        </w:rPr>
      </w:pPr>
      <w:r>
        <w:rPr>
          <w:rFonts w:hint="eastAsia"/>
          <w:szCs w:val="21"/>
          <w:highlight w:val="none"/>
        </w:rPr>
        <w:t>（6</w:t>
      </w:r>
      <w:r>
        <w:rPr>
          <w:szCs w:val="21"/>
          <w:highlight w:val="none"/>
        </w:rPr>
        <w:t>）如果属于供应商原因致使本项目未能通过终验，供应商应当排除缺陷，直至本项目完全符合验收标准，由上述情形而产生的相关费用应由供应商自行承担。</w:t>
      </w:r>
    </w:p>
    <w:p>
      <w:pPr>
        <w:rPr>
          <w:rFonts w:hint="eastAsia"/>
          <w:szCs w:val="21"/>
          <w:highlight w:val="none"/>
        </w:rPr>
      </w:pPr>
      <w:r>
        <w:rPr>
          <w:rFonts w:hint="eastAsia"/>
          <w:szCs w:val="21"/>
          <w:highlight w:val="none"/>
        </w:rPr>
        <w:t>（7</w:t>
      </w:r>
      <w:r>
        <w:rPr>
          <w:szCs w:val="21"/>
          <w:highlight w:val="none"/>
        </w:rPr>
        <w:t>）如果由于招标方原因导致本项目在终验通过前出现故障或问题，供应商应及时配合排除该方面的故障或问题。</w:t>
      </w:r>
    </w:p>
    <w:p>
      <w:pPr>
        <w:rPr>
          <w:rFonts w:hint="eastAsia"/>
          <w:szCs w:val="21"/>
          <w:highlight w:val="none"/>
        </w:rPr>
      </w:pPr>
      <w:r>
        <w:rPr>
          <w:rFonts w:hint="eastAsia"/>
          <w:szCs w:val="21"/>
          <w:highlight w:val="none"/>
        </w:rPr>
        <w:t>（8</w:t>
      </w:r>
      <w:r>
        <w:rPr>
          <w:szCs w:val="21"/>
          <w:highlight w:val="none"/>
        </w:rPr>
        <w:t>）如本项目连续2次验收未通过（含初验未通过或终验未通过），招标方有权解除项目，并有权依照本项目约定的违约条款追究供应商的违约责任。</w:t>
      </w:r>
    </w:p>
    <w:p>
      <w:pPr>
        <w:pStyle w:val="3"/>
        <w:ind w:left="960" w:leftChars="0" w:firstLineChars="0"/>
        <w:rPr>
          <w:rFonts w:hint="eastAsia"/>
          <w:highlight w:val="none"/>
        </w:rPr>
      </w:pPr>
      <w:bookmarkStart w:id="23" w:name="_Toc63785509"/>
      <w:r>
        <w:rPr>
          <w:rFonts w:hint="eastAsia"/>
          <w:highlight w:val="none"/>
        </w:rPr>
        <w:t>进度要求</w:t>
      </w:r>
      <w:bookmarkEnd w:id="23"/>
      <w:r>
        <w:rPr>
          <w:rFonts w:hint="eastAsia"/>
          <w:highlight w:val="none"/>
        </w:rPr>
        <w:t>明确</w:t>
      </w:r>
    </w:p>
    <w:p>
      <w:pPr>
        <w:rPr>
          <w:rFonts w:hint="eastAsia" w:cs="宋体"/>
          <w:highlight w:val="none"/>
        </w:rPr>
      </w:pPr>
      <w:r>
        <w:rPr>
          <w:rFonts w:hint="eastAsia"/>
          <w:highlight w:val="none"/>
        </w:rPr>
        <w:t>投标人应根据建设内容，分阶段制定合理的时间进度，并且应根据采购人要求</w:t>
      </w:r>
      <w:r>
        <w:rPr>
          <w:rFonts w:hint="eastAsia" w:cs="宋体"/>
          <w:highlight w:val="none"/>
        </w:rPr>
        <w:t>进行调整和细化，以完成本项目所有系统的开发、安装、调试及项目整体测试、联调，并在试运行结束后整理验收材料提交完成验收。</w:t>
      </w:r>
    </w:p>
    <w:p>
      <w:pPr>
        <w:pStyle w:val="26"/>
        <w:rPr>
          <w:rFonts w:hint="eastAsia" w:cs="宋体"/>
          <w:highlight w:val="none"/>
        </w:rPr>
      </w:pPr>
      <w:r>
        <w:rPr>
          <w:rFonts w:hint="eastAsia" w:cs="宋体"/>
          <w:highlight w:val="none"/>
        </w:rPr>
        <w:t>总建设周期为10个月，分为4个阶段。</w:t>
      </w:r>
    </w:p>
    <w:p>
      <w:pPr>
        <w:pStyle w:val="26"/>
        <w:rPr>
          <w:rFonts w:hint="eastAsia" w:cs="宋体"/>
          <w:highlight w:val="none"/>
        </w:rPr>
      </w:pPr>
      <w:r>
        <w:rPr>
          <w:rFonts w:hint="eastAsia" w:cs="宋体"/>
          <w:highlight w:val="none"/>
        </w:rPr>
        <w:t>第一阶段为2个月，完成项目规划设计阶段。</w:t>
      </w:r>
    </w:p>
    <w:p>
      <w:pPr>
        <w:pStyle w:val="26"/>
        <w:rPr>
          <w:rFonts w:hint="eastAsia" w:cs="宋体"/>
          <w:highlight w:val="none"/>
        </w:rPr>
      </w:pPr>
      <w:r>
        <w:rPr>
          <w:rFonts w:hint="eastAsia" w:cs="宋体"/>
          <w:highlight w:val="none"/>
        </w:rPr>
        <w:t>第二阶段为3个月，完成项目开发测试阶段。</w:t>
      </w:r>
    </w:p>
    <w:p>
      <w:pPr>
        <w:pStyle w:val="26"/>
        <w:rPr>
          <w:rFonts w:hint="eastAsia" w:cs="宋体"/>
          <w:highlight w:val="none"/>
        </w:rPr>
      </w:pPr>
      <w:r>
        <w:rPr>
          <w:rFonts w:hint="eastAsia" w:cs="宋体"/>
          <w:highlight w:val="none"/>
        </w:rPr>
        <w:t>第三阶段为3个月，完成项目试运行和迭代开发阶段。</w:t>
      </w:r>
    </w:p>
    <w:p>
      <w:pPr>
        <w:pStyle w:val="26"/>
        <w:rPr>
          <w:rFonts w:hint="eastAsia" w:cs="宋体"/>
          <w:highlight w:val="none"/>
        </w:rPr>
      </w:pPr>
      <w:r>
        <w:rPr>
          <w:rFonts w:hint="eastAsia" w:cs="宋体"/>
          <w:highlight w:val="none"/>
        </w:rPr>
        <w:t>第四阶段为2个月，进行项目初验。</w:t>
      </w:r>
    </w:p>
    <w:p>
      <w:pPr>
        <w:rPr>
          <w:rFonts w:hint="eastAsia" w:cs="宋体"/>
          <w:highlight w:val="none"/>
        </w:rPr>
      </w:pPr>
      <w:r>
        <w:rPr>
          <w:rFonts w:hint="eastAsia" w:cs="宋体"/>
          <w:highlight w:val="none"/>
          <w:lang w:val="en-US" w:eastAsia="zh-CN"/>
        </w:rPr>
        <w:t>20</w:t>
      </w:r>
      <w:r>
        <w:rPr>
          <w:rFonts w:hint="eastAsia" w:cs="宋体"/>
          <w:highlight w:val="none"/>
        </w:rPr>
        <w:t>27年6月前完成终验。</w:t>
      </w:r>
      <w:bookmarkStart w:id="24" w:name="_Toc63785510"/>
    </w:p>
    <w:p>
      <w:pPr>
        <w:rPr>
          <w:rFonts w:hint="eastAsia" w:cs="宋体"/>
          <w:highlight w:val="none"/>
        </w:rPr>
      </w:pPr>
    </w:p>
    <w:p>
      <w:pPr>
        <w:pStyle w:val="3"/>
        <w:ind w:left="960" w:leftChars="0" w:firstLineChars="0"/>
        <w:rPr>
          <w:rFonts w:hint="eastAsia"/>
          <w:highlight w:val="none"/>
        </w:rPr>
      </w:pPr>
      <w:r>
        <w:rPr>
          <w:rFonts w:hint="eastAsia"/>
          <w:highlight w:val="none"/>
        </w:rPr>
        <w:t>项目团队及驻场人员要求</w:t>
      </w:r>
      <w:bookmarkEnd w:id="24"/>
    </w:p>
    <w:p>
      <w:pPr>
        <w:rPr>
          <w:rFonts w:hint="eastAsia"/>
          <w:highlight w:val="none"/>
        </w:rPr>
      </w:pPr>
      <w:bookmarkStart w:id="25" w:name="_Toc63785511"/>
      <w:r>
        <w:rPr>
          <w:rFonts w:hint="eastAsia"/>
          <w:highlight w:val="none"/>
        </w:rPr>
        <w:t>（1）投标人</w:t>
      </w:r>
      <w:r>
        <w:rPr>
          <w:highlight w:val="none"/>
        </w:rPr>
        <w:t>须具有稳定的在职技术保障力量，能够提供及时的技术支援或服务，应针对本项目提供不少于</w:t>
      </w:r>
      <w:r>
        <w:rPr>
          <w:rFonts w:hint="eastAsia"/>
          <w:highlight w:val="none"/>
        </w:rPr>
        <w:t>2</w:t>
      </w:r>
      <w:r>
        <w:rPr>
          <w:rFonts w:hint="eastAsia"/>
          <w:highlight w:val="none"/>
          <w:lang w:val="en-US" w:eastAsia="zh-CN"/>
        </w:rPr>
        <w:t>2</w:t>
      </w:r>
      <w:r>
        <w:rPr>
          <w:highlight w:val="none"/>
        </w:rPr>
        <w:t>人的项目服务团队（包括项目经理、</w:t>
      </w:r>
      <w:r>
        <w:rPr>
          <w:rFonts w:hint="eastAsia"/>
          <w:highlight w:val="none"/>
        </w:rPr>
        <w:t>交付</w:t>
      </w:r>
      <w:r>
        <w:rPr>
          <w:highlight w:val="none"/>
        </w:rPr>
        <w:t>经理、技术负责人、研发等），</w:t>
      </w:r>
      <w:r>
        <w:rPr>
          <w:rFonts w:hint="eastAsia"/>
          <w:highlight w:val="none"/>
        </w:rPr>
        <w:t>需要至少保障10人常驻项目现场。供应商</w:t>
      </w:r>
      <w:r>
        <w:rPr>
          <w:highlight w:val="none"/>
        </w:rPr>
        <w:t>的相关服务人员需具备相应的服务能力，需提供相关证明。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1782"/>
        <w:gridCol w:w="1305"/>
        <w:gridCol w:w="2362"/>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594" w:type="dxa"/>
            <w:noWrap/>
            <w:vAlign w:val="center"/>
          </w:tcPr>
          <w:p>
            <w:pPr>
              <w:widowControl/>
              <w:spacing w:line="240" w:lineRule="auto"/>
              <w:ind w:firstLine="0" w:firstLineChars="0"/>
              <w:jc w:val="center"/>
              <w:rPr>
                <w:rFonts w:hint="eastAsia" w:cs="宋体"/>
                <w:b/>
                <w:bCs/>
                <w:color w:val="auto"/>
                <w:kern w:val="0"/>
                <w:sz w:val="22"/>
                <w:szCs w:val="22"/>
                <w:highlight w:val="none"/>
              </w:rPr>
            </w:pPr>
            <w:r>
              <w:rPr>
                <w:rFonts w:hint="eastAsia" w:cs="宋体"/>
                <w:b/>
                <w:bCs/>
                <w:color w:val="auto"/>
                <w:kern w:val="0"/>
                <w:sz w:val="22"/>
                <w:szCs w:val="22"/>
                <w:highlight w:val="none"/>
              </w:rPr>
              <w:t>角色</w:t>
            </w:r>
          </w:p>
        </w:tc>
        <w:tc>
          <w:tcPr>
            <w:tcW w:w="1782" w:type="dxa"/>
            <w:noWrap/>
            <w:vAlign w:val="center"/>
          </w:tcPr>
          <w:p>
            <w:pPr>
              <w:widowControl/>
              <w:spacing w:line="240" w:lineRule="auto"/>
              <w:ind w:firstLine="0" w:firstLineChars="0"/>
              <w:jc w:val="center"/>
              <w:rPr>
                <w:rFonts w:hint="eastAsia" w:cs="宋体"/>
                <w:b/>
                <w:bCs/>
                <w:color w:val="auto"/>
                <w:kern w:val="0"/>
                <w:sz w:val="22"/>
                <w:szCs w:val="22"/>
                <w:highlight w:val="none"/>
              </w:rPr>
            </w:pPr>
            <w:r>
              <w:rPr>
                <w:rFonts w:hint="eastAsia" w:cs="宋体"/>
                <w:b/>
                <w:bCs/>
                <w:color w:val="auto"/>
                <w:kern w:val="0"/>
                <w:sz w:val="22"/>
                <w:szCs w:val="22"/>
                <w:highlight w:val="none"/>
              </w:rPr>
              <w:t>主要职责</w:t>
            </w:r>
          </w:p>
        </w:tc>
        <w:tc>
          <w:tcPr>
            <w:tcW w:w="1305" w:type="dxa"/>
            <w:noWrap/>
            <w:vAlign w:val="center"/>
          </w:tcPr>
          <w:p>
            <w:pPr>
              <w:widowControl/>
              <w:spacing w:line="240" w:lineRule="auto"/>
              <w:ind w:firstLine="0" w:firstLineChars="0"/>
              <w:jc w:val="center"/>
              <w:rPr>
                <w:rFonts w:hint="eastAsia" w:cs="宋体"/>
                <w:b/>
                <w:bCs/>
                <w:color w:val="auto"/>
                <w:kern w:val="0"/>
                <w:sz w:val="22"/>
                <w:szCs w:val="22"/>
                <w:highlight w:val="none"/>
              </w:rPr>
            </w:pPr>
            <w:r>
              <w:rPr>
                <w:rFonts w:hint="eastAsia" w:cs="宋体"/>
                <w:b/>
                <w:bCs/>
                <w:color w:val="auto"/>
                <w:kern w:val="0"/>
                <w:sz w:val="22"/>
                <w:szCs w:val="22"/>
                <w:highlight w:val="none"/>
              </w:rPr>
              <w:t>人员数量</w:t>
            </w:r>
          </w:p>
        </w:tc>
        <w:tc>
          <w:tcPr>
            <w:tcW w:w="2362" w:type="dxa"/>
            <w:vAlign w:val="center"/>
          </w:tcPr>
          <w:p>
            <w:pPr>
              <w:widowControl/>
              <w:spacing w:line="240" w:lineRule="auto"/>
              <w:ind w:firstLine="0" w:firstLineChars="0"/>
              <w:jc w:val="center"/>
              <w:rPr>
                <w:rFonts w:hint="eastAsia" w:cs="宋体"/>
                <w:b/>
                <w:bCs/>
                <w:color w:val="auto"/>
                <w:kern w:val="0"/>
                <w:sz w:val="22"/>
                <w:szCs w:val="22"/>
                <w:highlight w:val="none"/>
              </w:rPr>
            </w:pPr>
            <w:r>
              <w:rPr>
                <w:rFonts w:hint="eastAsia" w:cs="宋体"/>
                <w:b/>
                <w:bCs/>
                <w:color w:val="auto"/>
                <w:kern w:val="0"/>
                <w:sz w:val="22"/>
                <w:szCs w:val="22"/>
                <w:highlight w:val="none"/>
              </w:rPr>
              <w:t>人员要求</w:t>
            </w:r>
          </w:p>
        </w:tc>
        <w:tc>
          <w:tcPr>
            <w:tcW w:w="1263" w:type="dxa"/>
            <w:noWrap/>
            <w:vAlign w:val="center"/>
          </w:tcPr>
          <w:p>
            <w:pPr>
              <w:widowControl/>
              <w:spacing w:line="240" w:lineRule="auto"/>
              <w:ind w:firstLine="0" w:firstLineChars="0"/>
              <w:jc w:val="center"/>
              <w:rPr>
                <w:rFonts w:hint="eastAsia" w:cs="宋体"/>
                <w:b/>
                <w:bCs/>
                <w:color w:val="auto"/>
                <w:kern w:val="0"/>
                <w:sz w:val="22"/>
                <w:szCs w:val="22"/>
                <w:highlight w:val="none"/>
              </w:rPr>
            </w:pPr>
            <w:r>
              <w:rPr>
                <w:rFonts w:hint="eastAsia" w:cs="宋体"/>
                <w:b/>
                <w:bCs/>
                <w:color w:val="auto"/>
                <w:kern w:val="0"/>
                <w:sz w:val="22"/>
                <w:szCs w:val="22"/>
                <w:highlight w:val="none"/>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jc w:val="center"/>
        </w:trPr>
        <w:tc>
          <w:tcPr>
            <w:tcW w:w="1594" w:type="dxa"/>
            <w:noWrap/>
            <w:vAlign w:val="center"/>
          </w:tcPr>
          <w:p>
            <w:pPr>
              <w:widowControl/>
              <w:spacing w:line="240" w:lineRule="auto"/>
              <w:ind w:firstLine="0" w:firstLineChars="0"/>
              <w:jc w:val="center"/>
              <w:rPr>
                <w:rFonts w:hint="eastAsia" w:cs="宋体"/>
                <w:color w:val="auto"/>
                <w:kern w:val="0"/>
                <w:sz w:val="21"/>
                <w:szCs w:val="21"/>
                <w:highlight w:val="none"/>
              </w:rPr>
            </w:pPr>
            <w:r>
              <w:rPr>
                <w:rFonts w:hint="eastAsia"/>
                <w:color w:val="auto"/>
                <w:highlight w:val="none"/>
              </w:rPr>
              <w:t>项目经理</w:t>
            </w:r>
          </w:p>
        </w:tc>
        <w:tc>
          <w:tcPr>
            <w:tcW w:w="1782" w:type="dxa"/>
            <w:vAlign w:val="center"/>
          </w:tcPr>
          <w:p>
            <w:pPr>
              <w:widowControl/>
              <w:spacing w:line="240" w:lineRule="auto"/>
              <w:ind w:firstLine="0" w:firstLineChars="0"/>
              <w:jc w:val="center"/>
              <w:rPr>
                <w:rFonts w:hint="eastAsia" w:cs="宋体"/>
                <w:color w:val="auto"/>
                <w:kern w:val="0"/>
                <w:sz w:val="21"/>
                <w:szCs w:val="21"/>
                <w:highlight w:val="none"/>
              </w:rPr>
            </w:pPr>
            <w:r>
              <w:rPr>
                <w:rFonts w:hint="eastAsia"/>
                <w:color w:val="auto"/>
                <w:highlight w:val="none"/>
              </w:rPr>
              <w:t>负责项目质量和进度控制</w:t>
            </w:r>
          </w:p>
        </w:tc>
        <w:tc>
          <w:tcPr>
            <w:tcW w:w="1305" w:type="dxa"/>
            <w:noWrap/>
            <w:vAlign w:val="center"/>
          </w:tcPr>
          <w:p>
            <w:pPr>
              <w:widowControl/>
              <w:spacing w:line="240" w:lineRule="auto"/>
              <w:ind w:firstLine="0" w:firstLineChars="0"/>
              <w:jc w:val="center"/>
              <w:rPr>
                <w:rFonts w:hint="eastAsia" w:cs="宋体"/>
                <w:color w:val="auto"/>
                <w:kern w:val="0"/>
                <w:sz w:val="21"/>
                <w:szCs w:val="21"/>
                <w:highlight w:val="none"/>
              </w:rPr>
            </w:pPr>
            <w:r>
              <w:rPr>
                <w:rFonts w:hint="eastAsia" w:cs="宋体"/>
                <w:color w:val="auto"/>
                <w:kern w:val="0"/>
                <w:sz w:val="21"/>
                <w:szCs w:val="21"/>
                <w:highlight w:val="none"/>
              </w:rPr>
              <w:t>1人</w:t>
            </w:r>
          </w:p>
        </w:tc>
        <w:tc>
          <w:tcPr>
            <w:tcW w:w="2362" w:type="dxa"/>
            <w:vAlign w:val="center"/>
          </w:tcPr>
          <w:p>
            <w:pPr>
              <w:widowControl/>
              <w:spacing w:line="240" w:lineRule="auto"/>
              <w:ind w:firstLine="0" w:firstLineChars="0"/>
              <w:jc w:val="center"/>
              <w:rPr>
                <w:rFonts w:hint="eastAsia" w:cs="宋体"/>
                <w:color w:val="auto"/>
                <w:kern w:val="0"/>
                <w:sz w:val="21"/>
                <w:szCs w:val="21"/>
                <w:highlight w:val="none"/>
              </w:rPr>
            </w:pPr>
            <w:r>
              <w:rPr>
                <w:rFonts w:hint="eastAsia" w:cs="宋体"/>
                <w:color w:val="auto"/>
                <w:kern w:val="0"/>
                <w:sz w:val="21"/>
                <w:szCs w:val="21"/>
                <w:highlight w:val="none"/>
              </w:rPr>
              <w:t>具备本科或以上学历，有</w:t>
            </w:r>
            <w:r>
              <w:rPr>
                <w:rFonts w:hint="eastAsia" w:cs="宋体"/>
                <w:color w:val="auto"/>
                <w:kern w:val="0"/>
                <w:sz w:val="21"/>
                <w:szCs w:val="21"/>
                <w:highlight w:val="none"/>
                <w:lang w:val="en-US" w:eastAsia="zh-CN"/>
              </w:rPr>
              <w:t>8</w:t>
            </w:r>
            <w:r>
              <w:rPr>
                <w:rFonts w:hint="eastAsia" w:cs="宋体"/>
                <w:color w:val="auto"/>
                <w:kern w:val="0"/>
                <w:sz w:val="21"/>
                <w:szCs w:val="21"/>
                <w:highlight w:val="none"/>
              </w:rPr>
              <w:t>年以上项目管理经验，3年以上政务类信息化项目经验</w:t>
            </w:r>
            <w:r>
              <w:rPr>
                <w:rFonts w:hint="eastAsia" w:cs="宋体"/>
                <w:color w:val="auto"/>
                <w:kern w:val="0"/>
                <w:sz w:val="21"/>
                <w:szCs w:val="21"/>
                <w:highlight w:val="none"/>
                <w:lang w:eastAsia="zh-CN"/>
              </w:rPr>
              <w:t>，具备</w:t>
            </w:r>
            <w:r>
              <w:rPr>
                <w:rFonts w:hint="eastAsia" w:cs="宋体"/>
                <w:color w:val="auto"/>
                <w:kern w:val="0"/>
                <w:sz w:val="21"/>
                <w:szCs w:val="21"/>
                <w:highlight w:val="none"/>
              </w:rPr>
              <w:t>“</w:t>
            </w:r>
            <w:r>
              <w:rPr>
                <w:rFonts w:hint="eastAsia" w:cs="宋体"/>
                <w:color w:val="auto"/>
                <w:kern w:val="0"/>
                <w:sz w:val="21"/>
                <w:szCs w:val="21"/>
                <w:highlight w:val="none"/>
                <w:lang w:eastAsia="zh-CN"/>
              </w:rPr>
              <w:t>信息技术类</w:t>
            </w:r>
            <w:r>
              <w:rPr>
                <w:rFonts w:hint="eastAsia" w:cs="宋体"/>
                <w:color w:val="auto"/>
                <w:kern w:val="0"/>
                <w:sz w:val="21"/>
                <w:szCs w:val="21"/>
                <w:highlight w:val="none"/>
              </w:rPr>
              <w:t>高级职称”或“信息系统项目管理师”优先考虑</w:t>
            </w:r>
          </w:p>
        </w:tc>
        <w:tc>
          <w:tcPr>
            <w:tcW w:w="1263" w:type="dxa"/>
            <w:noWrap/>
            <w:vAlign w:val="center"/>
          </w:tcPr>
          <w:p>
            <w:pPr>
              <w:widowControl/>
              <w:spacing w:line="240" w:lineRule="auto"/>
              <w:ind w:firstLine="0" w:firstLineChars="0"/>
              <w:jc w:val="center"/>
              <w:rPr>
                <w:rFonts w:hint="eastAsia" w:cs="宋体"/>
                <w:color w:val="auto"/>
                <w:kern w:val="0"/>
                <w:sz w:val="21"/>
                <w:szCs w:val="21"/>
                <w:highlight w:val="none"/>
              </w:rPr>
            </w:pPr>
            <w:r>
              <w:rPr>
                <w:rFonts w:hint="eastAsia" w:cs="宋体"/>
                <w:color w:val="auto"/>
                <w:kern w:val="0"/>
                <w:sz w:val="21"/>
                <w:szCs w:val="21"/>
                <w:highlight w:val="none"/>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94" w:type="dxa"/>
            <w:noWrap/>
            <w:vAlign w:val="center"/>
          </w:tcPr>
          <w:p>
            <w:pPr>
              <w:widowControl/>
              <w:spacing w:line="240" w:lineRule="auto"/>
              <w:ind w:firstLine="0" w:firstLineChars="0"/>
              <w:jc w:val="center"/>
              <w:rPr>
                <w:rFonts w:hint="eastAsia" w:cs="宋体"/>
                <w:color w:val="auto"/>
                <w:kern w:val="0"/>
                <w:sz w:val="21"/>
                <w:szCs w:val="21"/>
                <w:highlight w:val="none"/>
              </w:rPr>
            </w:pPr>
            <w:r>
              <w:rPr>
                <w:rFonts w:hint="eastAsia"/>
                <w:color w:val="auto"/>
                <w:highlight w:val="none"/>
                <w:lang w:val="en-US" w:eastAsia="zh-CN"/>
              </w:rPr>
              <w:t>项目技术人员</w:t>
            </w:r>
          </w:p>
        </w:tc>
        <w:tc>
          <w:tcPr>
            <w:tcW w:w="1782" w:type="dxa"/>
            <w:vAlign w:val="center"/>
          </w:tcPr>
          <w:p>
            <w:pPr>
              <w:widowControl/>
              <w:spacing w:line="240" w:lineRule="auto"/>
              <w:ind w:firstLine="0" w:firstLineChars="0"/>
              <w:jc w:val="center"/>
              <w:rPr>
                <w:rFonts w:hint="eastAsia" w:cs="宋体"/>
                <w:color w:val="auto"/>
                <w:kern w:val="0"/>
                <w:sz w:val="21"/>
                <w:szCs w:val="21"/>
                <w:highlight w:val="none"/>
              </w:rPr>
            </w:pPr>
            <w:r>
              <w:rPr>
                <w:rFonts w:hint="eastAsia"/>
                <w:color w:val="auto"/>
                <w:highlight w:val="none"/>
              </w:rPr>
              <w:t>负责项目需求评估与</w:t>
            </w:r>
            <w:r>
              <w:rPr>
                <w:rFonts w:hint="eastAsia"/>
                <w:color w:val="auto"/>
                <w:highlight w:val="none"/>
                <w:lang w:val="en-US" w:eastAsia="zh-CN"/>
              </w:rPr>
              <w:t>技术架构，代码规范</w:t>
            </w:r>
            <w:r>
              <w:rPr>
                <w:rFonts w:hint="eastAsia"/>
                <w:color w:val="auto"/>
                <w:highlight w:val="none"/>
              </w:rPr>
              <w:t>设计</w:t>
            </w:r>
            <w:r>
              <w:rPr>
                <w:rFonts w:hint="eastAsia"/>
                <w:color w:val="auto"/>
                <w:highlight w:val="none"/>
                <w:lang w:eastAsia="zh-CN"/>
              </w:rPr>
              <w:t>，</w:t>
            </w:r>
            <w:r>
              <w:rPr>
                <w:rFonts w:hint="eastAsia"/>
                <w:color w:val="auto"/>
                <w:highlight w:val="none"/>
                <w:lang w:val="en-US" w:eastAsia="zh-CN"/>
              </w:rPr>
              <w:t>技术管理</w:t>
            </w:r>
          </w:p>
        </w:tc>
        <w:tc>
          <w:tcPr>
            <w:tcW w:w="1305" w:type="dxa"/>
            <w:noWrap/>
            <w:vAlign w:val="center"/>
          </w:tcPr>
          <w:p>
            <w:pPr>
              <w:widowControl/>
              <w:spacing w:line="240" w:lineRule="auto"/>
              <w:ind w:firstLine="0" w:firstLineChars="0"/>
              <w:jc w:val="center"/>
              <w:rPr>
                <w:rFonts w:hint="eastAsia" w:cs="宋体"/>
                <w:color w:val="auto"/>
                <w:kern w:val="0"/>
                <w:sz w:val="21"/>
                <w:szCs w:val="21"/>
                <w:highlight w:val="none"/>
              </w:rPr>
            </w:pPr>
            <w:r>
              <w:rPr>
                <w:rFonts w:hint="eastAsia" w:cs="宋体"/>
                <w:color w:val="auto"/>
                <w:kern w:val="0"/>
                <w:sz w:val="21"/>
                <w:szCs w:val="21"/>
                <w:highlight w:val="none"/>
                <w:lang w:val="en-US" w:eastAsia="zh-CN"/>
              </w:rPr>
              <w:t>1</w:t>
            </w:r>
            <w:r>
              <w:rPr>
                <w:rFonts w:hint="eastAsia" w:cs="宋体"/>
                <w:color w:val="auto"/>
                <w:kern w:val="0"/>
                <w:sz w:val="21"/>
                <w:szCs w:val="21"/>
                <w:highlight w:val="none"/>
              </w:rPr>
              <w:t>人</w:t>
            </w:r>
          </w:p>
        </w:tc>
        <w:tc>
          <w:tcPr>
            <w:tcW w:w="2362" w:type="dxa"/>
            <w:vAlign w:val="center"/>
          </w:tcPr>
          <w:p>
            <w:pPr>
              <w:widowControl/>
              <w:spacing w:line="240" w:lineRule="auto"/>
              <w:ind w:firstLine="0" w:firstLineChars="0"/>
              <w:jc w:val="center"/>
              <w:rPr>
                <w:rFonts w:hint="eastAsia" w:cs="宋体"/>
                <w:color w:val="auto"/>
                <w:kern w:val="0"/>
                <w:sz w:val="21"/>
                <w:szCs w:val="21"/>
                <w:highlight w:val="none"/>
              </w:rPr>
            </w:pPr>
            <w:r>
              <w:rPr>
                <w:rFonts w:hint="eastAsia" w:asciiTheme="minorEastAsia" w:hAnsiTheme="minorEastAsia" w:eastAsiaTheme="minorEastAsia" w:cstheme="minorEastAsia"/>
                <w:color w:val="auto"/>
                <w:spacing w:val="-8"/>
                <w:sz w:val="22"/>
                <w:szCs w:val="22"/>
                <w:highlight w:val="none"/>
              </w:rPr>
              <w:t>具备系统构架设计师（高级）、系统集成项目管理工程师（中级）的</w:t>
            </w:r>
            <w:r>
              <w:rPr>
                <w:rFonts w:hint="eastAsia" w:asciiTheme="minorEastAsia" w:hAnsiTheme="minorEastAsia" w:eastAsiaTheme="minorEastAsia" w:cstheme="minorEastAsia"/>
                <w:color w:val="auto"/>
                <w:spacing w:val="-8"/>
                <w:sz w:val="22"/>
                <w:szCs w:val="22"/>
                <w:highlight w:val="none"/>
                <w:lang w:val="en-US" w:eastAsia="zh-CN"/>
              </w:rPr>
              <w:t>优先考虑</w:t>
            </w:r>
          </w:p>
        </w:tc>
        <w:tc>
          <w:tcPr>
            <w:tcW w:w="1263" w:type="dxa"/>
            <w:noWrap/>
            <w:vAlign w:val="center"/>
          </w:tcPr>
          <w:p>
            <w:pPr>
              <w:widowControl/>
              <w:spacing w:line="240" w:lineRule="auto"/>
              <w:ind w:firstLine="0" w:firstLineChars="0"/>
              <w:jc w:val="center"/>
              <w:rPr>
                <w:rFonts w:hint="eastAsia" w:cs="宋体"/>
                <w:color w:val="auto"/>
                <w:kern w:val="0"/>
                <w:sz w:val="21"/>
                <w:szCs w:val="21"/>
                <w:highlight w:val="none"/>
              </w:rPr>
            </w:pPr>
            <w:r>
              <w:rPr>
                <w:rFonts w:hint="eastAsia" w:cs="宋体"/>
                <w:color w:val="auto"/>
                <w:kern w:val="0"/>
                <w:sz w:val="21"/>
                <w:szCs w:val="21"/>
                <w:highlight w:val="none"/>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94" w:type="dxa"/>
            <w:noWrap/>
            <w:vAlign w:val="center"/>
          </w:tcPr>
          <w:p>
            <w:pPr>
              <w:widowControl/>
              <w:spacing w:line="240" w:lineRule="auto"/>
              <w:ind w:firstLine="0" w:firstLineChars="0"/>
              <w:jc w:val="center"/>
              <w:rPr>
                <w:rFonts w:hint="eastAsia" w:cs="宋体"/>
                <w:color w:val="auto"/>
                <w:kern w:val="0"/>
                <w:sz w:val="21"/>
                <w:szCs w:val="21"/>
                <w:highlight w:val="none"/>
              </w:rPr>
            </w:pPr>
            <w:r>
              <w:rPr>
                <w:rFonts w:hint="eastAsia"/>
                <w:color w:val="auto"/>
                <w:highlight w:val="none"/>
              </w:rPr>
              <w:t>研发</w:t>
            </w:r>
          </w:p>
        </w:tc>
        <w:tc>
          <w:tcPr>
            <w:tcW w:w="1782" w:type="dxa"/>
            <w:noWrap/>
            <w:vAlign w:val="center"/>
          </w:tcPr>
          <w:p>
            <w:pPr>
              <w:widowControl/>
              <w:spacing w:line="240" w:lineRule="auto"/>
              <w:ind w:firstLine="0" w:firstLineChars="0"/>
              <w:jc w:val="center"/>
              <w:rPr>
                <w:rFonts w:hint="eastAsia" w:cs="宋体"/>
                <w:color w:val="auto"/>
                <w:kern w:val="0"/>
                <w:sz w:val="21"/>
                <w:szCs w:val="21"/>
                <w:highlight w:val="none"/>
              </w:rPr>
            </w:pPr>
            <w:r>
              <w:rPr>
                <w:rFonts w:hint="eastAsia"/>
                <w:color w:val="auto"/>
                <w:highlight w:val="none"/>
              </w:rPr>
              <w:t>负责项目具体开发与实施</w:t>
            </w:r>
          </w:p>
        </w:tc>
        <w:tc>
          <w:tcPr>
            <w:tcW w:w="1305" w:type="dxa"/>
            <w:noWrap/>
            <w:vAlign w:val="center"/>
          </w:tcPr>
          <w:p>
            <w:pPr>
              <w:widowControl/>
              <w:spacing w:line="240" w:lineRule="auto"/>
              <w:ind w:firstLine="0" w:firstLineChars="0"/>
              <w:jc w:val="center"/>
              <w:rPr>
                <w:rFonts w:hint="eastAsia" w:cs="宋体"/>
                <w:color w:val="auto"/>
                <w:kern w:val="0"/>
                <w:sz w:val="21"/>
                <w:szCs w:val="21"/>
                <w:highlight w:val="none"/>
              </w:rPr>
            </w:pPr>
            <w:r>
              <w:rPr>
                <w:rFonts w:hint="eastAsia" w:cs="宋体"/>
                <w:color w:val="auto"/>
                <w:kern w:val="0"/>
                <w:sz w:val="21"/>
                <w:szCs w:val="21"/>
                <w:highlight w:val="none"/>
              </w:rPr>
              <w:t>2</w:t>
            </w:r>
            <w:r>
              <w:rPr>
                <w:rFonts w:hint="eastAsia" w:cs="宋体"/>
                <w:color w:val="auto"/>
                <w:kern w:val="0"/>
                <w:sz w:val="21"/>
                <w:szCs w:val="21"/>
                <w:highlight w:val="none"/>
                <w:lang w:val="en-US" w:eastAsia="zh-CN"/>
              </w:rPr>
              <w:t>0</w:t>
            </w:r>
            <w:r>
              <w:rPr>
                <w:rFonts w:hint="eastAsia" w:cs="宋体"/>
                <w:color w:val="auto"/>
                <w:kern w:val="0"/>
                <w:sz w:val="21"/>
                <w:szCs w:val="21"/>
                <w:highlight w:val="none"/>
              </w:rPr>
              <w:t>人</w:t>
            </w:r>
          </w:p>
        </w:tc>
        <w:tc>
          <w:tcPr>
            <w:tcW w:w="2362" w:type="dxa"/>
            <w:vAlign w:val="center"/>
          </w:tcPr>
          <w:p>
            <w:pPr>
              <w:widowControl/>
              <w:spacing w:line="240" w:lineRule="auto"/>
              <w:ind w:firstLine="0" w:firstLineChars="0"/>
              <w:jc w:val="center"/>
              <w:rPr>
                <w:rFonts w:hint="eastAsia" w:cs="宋体"/>
                <w:color w:val="auto"/>
                <w:kern w:val="0"/>
                <w:sz w:val="21"/>
                <w:szCs w:val="21"/>
                <w:highlight w:val="none"/>
              </w:rPr>
            </w:pPr>
            <w:r>
              <w:rPr>
                <w:rFonts w:hint="eastAsia" w:cs="宋体"/>
                <w:color w:val="auto"/>
                <w:kern w:val="0"/>
                <w:sz w:val="21"/>
                <w:szCs w:val="21"/>
                <w:highlight w:val="none"/>
              </w:rPr>
              <w:t>具备类似信息系统开发、实施、测试及质量管理经验</w:t>
            </w:r>
          </w:p>
        </w:tc>
        <w:tc>
          <w:tcPr>
            <w:tcW w:w="1263" w:type="dxa"/>
            <w:noWrap/>
            <w:vAlign w:val="center"/>
          </w:tcPr>
          <w:p>
            <w:pPr>
              <w:widowControl/>
              <w:spacing w:line="240" w:lineRule="auto"/>
              <w:ind w:firstLine="0" w:firstLineChars="0"/>
              <w:jc w:val="center"/>
              <w:rPr>
                <w:rFonts w:hint="eastAsia" w:cs="宋体"/>
                <w:color w:val="auto"/>
                <w:kern w:val="0"/>
                <w:sz w:val="21"/>
                <w:szCs w:val="21"/>
                <w:highlight w:val="none"/>
              </w:rPr>
            </w:pPr>
            <w:r>
              <w:rPr>
                <w:rFonts w:hint="eastAsia" w:cs="宋体"/>
                <w:color w:val="auto"/>
                <w:kern w:val="0"/>
                <w:sz w:val="21"/>
                <w:szCs w:val="21"/>
                <w:highlight w:val="none"/>
              </w:rPr>
              <w:t>部分驻场</w:t>
            </w:r>
          </w:p>
        </w:tc>
      </w:tr>
    </w:tbl>
    <w:p>
      <w:pPr>
        <w:rPr>
          <w:rFonts w:hint="eastAsia"/>
          <w:highlight w:val="none"/>
        </w:rPr>
      </w:pPr>
      <w:r>
        <w:rPr>
          <w:rFonts w:hint="eastAsia"/>
          <w:highlight w:val="none"/>
        </w:rPr>
        <w:t>（2）投标人</w:t>
      </w:r>
      <w:r>
        <w:rPr>
          <w:highlight w:val="none"/>
        </w:rPr>
        <w:t>应针对本项目提供不少于</w:t>
      </w:r>
      <w:r>
        <w:rPr>
          <w:rFonts w:hint="eastAsia"/>
          <w:highlight w:val="none"/>
        </w:rPr>
        <w:t>6</w:t>
      </w:r>
      <w:r>
        <w:rPr>
          <w:highlight w:val="none"/>
        </w:rPr>
        <w:t>人的质保期间支撑团队（包括</w:t>
      </w:r>
      <w:r>
        <w:rPr>
          <w:rFonts w:hint="eastAsia"/>
          <w:highlight w:val="none"/>
        </w:rPr>
        <w:t>交付经理、</w:t>
      </w:r>
      <w:r>
        <w:rPr>
          <w:highlight w:val="none"/>
        </w:rPr>
        <w:t>技术负责人、研发</w:t>
      </w:r>
      <w:r>
        <w:rPr>
          <w:rFonts w:hint="eastAsia"/>
          <w:highlight w:val="none"/>
        </w:rPr>
        <w:t>和实施工程师</w:t>
      </w:r>
      <w:r>
        <w:rPr>
          <w:highlight w:val="none"/>
        </w:rPr>
        <w:t>等）</w:t>
      </w:r>
      <w:r>
        <w:rPr>
          <w:rFonts w:hint="eastAsia"/>
          <w:highlight w:val="none"/>
        </w:rPr>
        <w:t>，需要至少保障4人常驻项目现场。供应商</w:t>
      </w:r>
      <w:r>
        <w:rPr>
          <w:highlight w:val="none"/>
        </w:rPr>
        <w:t>的相关服务人员需具备相应的服务能力，需提供相关证明（最近一个季度依法缴纳社保费的证明）。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606"/>
        <w:gridCol w:w="1307"/>
        <w:gridCol w:w="2197"/>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blHeader/>
          <w:jc w:val="center"/>
        </w:trPr>
        <w:tc>
          <w:tcPr>
            <w:tcW w:w="1950" w:type="dxa"/>
            <w:noWrap/>
            <w:vAlign w:val="center"/>
          </w:tcPr>
          <w:p>
            <w:pPr>
              <w:widowControl/>
              <w:spacing w:line="240" w:lineRule="auto"/>
              <w:ind w:firstLine="0" w:firstLineChars="0"/>
              <w:jc w:val="center"/>
              <w:rPr>
                <w:rFonts w:hint="eastAsia" w:cs="宋体"/>
                <w:b/>
                <w:bCs/>
                <w:color w:val="000000"/>
                <w:kern w:val="0"/>
                <w:sz w:val="22"/>
                <w:szCs w:val="22"/>
                <w:highlight w:val="none"/>
              </w:rPr>
            </w:pPr>
            <w:r>
              <w:rPr>
                <w:rFonts w:hint="eastAsia" w:cs="宋体"/>
                <w:b/>
                <w:bCs/>
                <w:color w:val="000000"/>
                <w:kern w:val="0"/>
                <w:sz w:val="22"/>
                <w:szCs w:val="22"/>
                <w:highlight w:val="none"/>
              </w:rPr>
              <w:t>角色</w:t>
            </w:r>
          </w:p>
        </w:tc>
        <w:tc>
          <w:tcPr>
            <w:tcW w:w="1606" w:type="dxa"/>
            <w:noWrap/>
            <w:vAlign w:val="center"/>
          </w:tcPr>
          <w:p>
            <w:pPr>
              <w:widowControl/>
              <w:spacing w:line="240" w:lineRule="auto"/>
              <w:ind w:firstLine="0" w:firstLineChars="0"/>
              <w:jc w:val="center"/>
              <w:rPr>
                <w:rFonts w:hint="eastAsia" w:cs="宋体"/>
                <w:b/>
                <w:bCs/>
                <w:color w:val="000000"/>
                <w:kern w:val="0"/>
                <w:sz w:val="22"/>
                <w:szCs w:val="22"/>
                <w:highlight w:val="none"/>
              </w:rPr>
            </w:pPr>
            <w:r>
              <w:rPr>
                <w:rFonts w:hint="eastAsia" w:cs="宋体"/>
                <w:b/>
                <w:bCs/>
                <w:color w:val="000000"/>
                <w:kern w:val="0"/>
                <w:sz w:val="22"/>
                <w:szCs w:val="22"/>
                <w:highlight w:val="none"/>
              </w:rPr>
              <w:t>主要职责</w:t>
            </w:r>
          </w:p>
        </w:tc>
        <w:tc>
          <w:tcPr>
            <w:tcW w:w="1307" w:type="dxa"/>
            <w:noWrap/>
            <w:vAlign w:val="center"/>
          </w:tcPr>
          <w:p>
            <w:pPr>
              <w:widowControl/>
              <w:spacing w:line="240" w:lineRule="auto"/>
              <w:ind w:firstLine="0" w:firstLineChars="0"/>
              <w:jc w:val="center"/>
              <w:rPr>
                <w:rFonts w:hint="eastAsia" w:cs="宋体"/>
                <w:b/>
                <w:bCs/>
                <w:color w:val="000000"/>
                <w:kern w:val="0"/>
                <w:sz w:val="22"/>
                <w:szCs w:val="22"/>
                <w:highlight w:val="none"/>
              </w:rPr>
            </w:pPr>
            <w:r>
              <w:rPr>
                <w:rFonts w:hint="eastAsia" w:cs="宋体"/>
                <w:b/>
                <w:bCs/>
                <w:color w:val="000000"/>
                <w:kern w:val="0"/>
                <w:sz w:val="22"/>
                <w:szCs w:val="22"/>
                <w:highlight w:val="none"/>
              </w:rPr>
              <w:t>人员数量</w:t>
            </w:r>
          </w:p>
        </w:tc>
        <w:tc>
          <w:tcPr>
            <w:tcW w:w="2197" w:type="dxa"/>
            <w:vAlign w:val="center"/>
          </w:tcPr>
          <w:p>
            <w:pPr>
              <w:widowControl/>
              <w:spacing w:line="240" w:lineRule="auto"/>
              <w:ind w:firstLine="0" w:firstLineChars="0"/>
              <w:jc w:val="center"/>
              <w:rPr>
                <w:rFonts w:hint="eastAsia" w:cs="宋体"/>
                <w:b/>
                <w:bCs/>
                <w:color w:val="000000"/>
                <w:kern w:val="0"/>
                <w:sz w:val="22"/>
                <w:szCs w:val="22"/>
                <w:highlight w:val="none"/>
              </w:rPr>
            </w:pPr>
            <w:r>
              <w:rPr>
                <w:rFonts w:hint="eastAsia" w:cs="宋体"/>
                <w:b/>
                <w:bCs/>
                <w:color w:val="000000"/>
                <w:kern w:val="0"/>
                <w:sz w:val="22"/>
                <w:szCs w:val="22"/>
                <w:highlight w:val="none"/>
              </w:rPr>
              <w:t>人员要求</w:t>
            </w:r>
          </w:p>
        </w:tc>
        <w:tc>
          <w:tcPr>
            <w:tcW w:w="1242" w:type="dxa"/>
            <w:noWrap/>
            <w:vAlign w:val="center"/>
          </w:tcPr>
          <w:p>
            <w:pPr>
              <w:widowControl/>
              <w:spacing w:line="240" w:lineRule="auto"/>
              <w:ind w:firstLine="0" w:firstLineChars="0"/>
              <w:jc w:val="center"/>
              <w:rPr>
                <w:rFonts w:hint="eastAsia" w:cs="宋体"/>
                <w:b/>
                <w:bCs/>
                <w:color w:val="000000"/>
                <w:kern w:val="0"/>
                <w:sz w:val="22"/>
                <w:szCs w:val="22"/>
                <w:highlight w:val="none"/>
              </w:rPr>
            </w:pPr>
            <w:r>
              <w:rPr>
                <w:rFonts w:hint="eastAsia" w:cs="宋体"/>
                <w:b/>
                <w:bCs/>
                <w:color w:val="000000"/>
                <w:kern w:val="0"/>
                <w:sz w:val="22"/>
                <w:szCs w:val="22"/>
                <w:highlight w:val="none"/>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50" w:type="dxa"/>
            <w:noWrap/>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highlight w:val="none"/>
              </w:rPr>
              <w:t>项目经理</w:t>
            </w:r>
          </w:p>
        </w:tc>
        <w:tc>
          <w:tcPr>
            <w:tcW w:w="1606"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highlight w:val="none"/>
              </w:rPr>
              <w:t>负责项目质量和进度控制</w:t>
            </w:r>
          </w:p>
        </w:tc>
        <w:tc>
          <w:tcPr>
            <w:tcW w:w="1307" w:type="dxa"/>
            <w:noWrap/>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1人</w:t>
            </w:r>
          </w:p>
        </w:tc>
        <w:tc>
          <w:tcPr>
            <w:tcW w:w="2197"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具备</w:t>
            </w:r>
            <w:r>
              <w:rPr>
                <w:rFonts w:cs="宋体"/>
                <w:color w:val="000000"/>
                <w:kern w:val="0"/>
                <w:sz w:val="21"/>
                <w:szCs w:val="21"/>
                <w:highlight w:val="none"/>
              </w:rPr>
              <w:t>信息系统项目</w:t>
            </w:r>
            <w:r>
              <w:rPr>
                <w:rFonts w:hint="eastAsia" w:cs="宋体"/>
                <w:color w:val="000000"/>
                <w:kern w:val="0"/>
                <w:sz w:val="21"/>
                <w:szCs w:val="21"/>
                <w:highlight w:val="none"/>
              </w:rPr>
              <w:t>维护交付</w:t>
            </w:r>
            <w:r>
              <w:rPr>
                <w:rFonts w:cs="宋体"/>
                <w:color w:val="000000"/>
                <w:kern w:val="0"/>
                <w:sz w:val="21"/>
                <w:szCs w:val="21"/>
                <w:highlight w:val="none"/>
              </w:rPr>
              <w:t>管理</w:t>
            </w:r>
            <w:r>
              <w:rPr>
                <w:rFonts w:hint="eastAsia" w:cs="宋体"/>
                <w:color w:val="000000"/>
                <w:kern w:val="0"/>
                <w:sz w:val="21"/>
                <w:szCs w:val="21"/>
                <w:highlight w:val="none"/>
              </w:rPr>
              <w:t>经验</w:t>
            </w:r>
          </w:p>
        </w:tc>
        <w:tc>
          <w:tcPr>
            <w:tcW w:w="1242" w:type="dxa"/>
            <w:noWrap/>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50" w:type="dxa"/>
            <w:noWrap/>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highlight w:val="none"/>
              </w:rPr>
              <w:t>产品经理</w:t>
            </w:r>
          </w:p>
        </w:tc>
        <w:tc>
          <w:tcPr>
            <w:tcW w:w="1606"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highlight w:val="none"/>
              </w:rPr>
              <w:t>负责项目需求评估与产品设计</w:t>
            </w:r>
          </w:p>
        </w:tc>
        <w:tc>
          <w:tcPr>
            <w:tcW w:w="1307" w:type="dxa"/>
            <w:noWrap/>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1人</w:t>
            </w:r>
          </w:p>
        </w:tc>
        <w:tc>
          <w:tcPr>
            <w:tcW w:w="2197"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具备</w:t>
            </w:r>
            <w:r>
              <w:rPr>
                <w:rFonts w:cs="宋体"/>
                <w:color w:val="000000"/>
                <w:kern w:val="0"/>
                <w:sz w:val="21"/>
                <w:szCs w:val="21"/>
                <w:highlight w:val="none"/>
              </w:rPr>
              <w:t>类似项目</w:t>
            </w:r>
            <w:r>
              <w:rPr>
                <w:rFonts w:hint="eastAsia" w:cs="宋体"/>
                <w:color w:val="000000"/>
                <w:kern w:val="0"/>
                <w:sz w:val="21"/>
                <w:szCs w:val="21"/>
                <w:highlight w:val="none"/>
              </w:rPr>
              <w:t>技术</w:t>
            </w:r>
            <w:r>
              <w:rPr>
                <w:rFonts w:cs="宋体"/>
                <w:color w:val="000000"/>
                <w:kern w:val="0"/>
                <w:sz w:val="21"/>
                <w:szCs w:val="21"/>
                <w:highlight w:val="none"/>
              </w:rPr>
              <w:t>维护</w:t>
            </w:r>
            <w:r>
              <w:rPr>
                <w:rFonts w:hint="eastAsia" w:cs="宋体"/>
                <w:color w:val="000000"/>
                <w:kern w:val="0"/>
                <w:sz w:val="21"/>
                <w:szCs w:val="21"/>
                <w:highlight w:val="none"/>
              </w:rPr>
              <w:t>指导</w:t>
            </w:r>
            <w:r>
              <w:rPr>
                <w:rFonts w:cs="宋体"/>
                <w:color w:val="000000"/>
                <w:kern w:val="0"/>
                <w:sz w:val="21"/>
                <w:szCs w:val="21"/>
                <w:highlight w:val="none"/>
              </w:rPr>
              <w:t>经验</w:t>
            </w:r>
          </w:p>
        </w:tc>
        <w:tc>
          <w:tcPr>
            <w:tcW w:w="1242" w:type="dxa"/>
            <w:noWrap/>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50" w:type="dxa"/>
            <w:noWrap/>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highlight w:val="none"/>
              </w:rPr>
              <w:t>技术工程师</w:t>
            </w:r>
          </w:p>
        </w:tc>
        <w:tc>
          <w:tcPr>
            <w:tcW w:w="1606" w:type="dxa"/>
            <w:noWrap/>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highlight w:val="none"/>
              </w:rPr>
              <w:t>负责项目运行维护</w:t>
            </w:r>
          </w:p>
        </w:tc>
        <w:tc>
          <w:tcPr>
            <w:tcW w:w="1307" w:type="dxa"/>
            <w:noWrap/>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不少于4人</w:t>
            </w:r>
          </w:p>
        </w:tc>
        <w:tc>
          <w:tcPr>
            <w:tcW w:w="2197" w:type="dxa"/>
            <w:vAlign w:val="center"/>
          </w:tcPr>
          <w:p>
            <w:pPr>
              <w:widowControl/>
              <w:spacing w:line="240" w:lineRule="auto"/>
              <w:ind w:firstLine="0" w:firstLineChars="0"/>
              <w:jc w:val="center"/>
              <w:rPr>
                <w:rFonts w:hint="eastAsia" w:cs="宋体"/>
                <w:color w:val="000000"/>
                <w:kern w:val="0"/>
                <w:sz w:val="21"/>
                <w:szCs w:val="21"/>
                <w:highlight w:val="none"/>
              </w:rPr>
            </w:pPr>
            <w:r>
              <w:rPr>
                <w:rFonts w:cs="宋体"/>
                <w:color w:val="000000"/>
                <w:kern w:val="0"/>
                <w:sz w:val="21"/>
                <w:szCs w:val="21"/>
                <w:highlight w:val="none"/>
              </w:rPr>
              <w:t>具备类似项目维护经验</w:t>
            </w:r>
          </w:p>
        </w:tc>
        <w:tc>
          <w:tcPr>
            <w:tcW w:w="1242" w:type="dxa"/>
            <w:noWrap/>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部分驻场</w:t>
            </w:r>
          </w:p>
        </w:tc>
      </w:tr>
    </w:tbl>
    <w:p>
      <w:pPr>
        <w:ind w:left="960" w:leftChars="0" w:firstLineChars="0"/>
        <w:rPr>
          <w:rFonts w:hint="eastAsia" w:ascii="宋体" w:hAnsi="宋体" w:eastAsia="宋体"/>
          <w:highlight w:val="none"/>
          <w:lang w:eastAsia="zh-CN"/>
        </w:rPr>
      </w:pPr>
      <w:r>
        <w:rPr>
          <w:rFonts w:hint="eastAsia" w:ascii="宋体" w:hAnsi="宋体" w:eastAsia="宋体"/>
          <w:highlight w:val="none"/>
          <w:lang w:eastAsia="zh-CN"/>
        </w:rPr>
        <w:t>投标人</w:t>
      </w:r>
      <w:r>
        <w:rPr>
          <w:rFonts w:hint="eastAsia" w:ascii="宋体" w:hAnsi="宋体" w:eastAsia="宋体"/>
          <w:highlight w:val="none"/>
        </w:rPr>
        <w:t>具有信息系统建设和服务能力评估企业认证证书、DCMM数据管理能力成熟度等级证书、ITSS信息技术服务标准符合性证书、隐私信息管理体系认证的</w:t>
      </w:r>
      <w:r>
        <w:rPr>
          <w:rFonts w:hint="eastAsia" w:ascii="宋体" w:hAnsi="宋体" w:eastAsia="宋体"/>
          <w:highlight w:val="none"/>
          <w:lang w:eastAsia="zh-CN"/>
        </w:rPr>
        <w:t>优先考虑。</w:t>
      </w:r>
    </w:p>
    <w:p>
      <w:pPr>
        <w:pStyle w:val="3"/>
        <w:ind w:left="960" w:leftChars="0" w:firstLineChars="0"/>
        <w:rPr>
          <w:rFonts w:hint="eastAsia"/>
          <w:highlight w:val="none"/>
        </w:rPr>
      </w:pPr>
      <w:r>
        <w:rPr>
          <w:rFonts w:hint="eastAsia"/>
          <w:highlight w:val="none"/>
        </w:rPr>
        <w:t>等级保护要求</w:t>
      </w:r>
      <w:bookmarkEnd w:id="25"/>
    </w:p>
    <w:p>
      <w:pPr>
        <w:rPr>
          <w:rFonts w:hint="eastAsia"/>
          <w:highlight w:val="none"/>
        </w:rPr>
      </w:pPr>
      <w:r>
        <w:rPr>
          <w:rFonts w:hint="eastAsia"/>
          <w:highlight w:val="none"/>
        </w:rPr>
        <w:t>本项目属于具有政务信息系统建设，应满足三级等保的安全规范要求。供应商应配合第三方测评机构完成等保测评工作。</w:t>
      </w:r>
    </w:p>
    <w:p>
      <w:pPr>
        <w:pStyle w:val="3"/>
        <w:ind w:left="960" w:leftChars="0" w:firstLineChars="0"/>
        <w:rPr>
          <w:rFonts w:hint="eastAsia"/>
          <w:highlight w:val="none"/>
        </w:rPr>
      </w:pPr>
      <w:r>
        <w:rPr>
          <w:rFonts w:hint="eastAsia"/>
          <w:highlight w:val="none"/>
        </w:rPr>
        <w:t>商业密码应用需求</w:t>
      </w:r>
    </w:p>
    <w:p>
      <w:pPr>
        <w:rPr>
          <w:rFonts w:hint="eastAsia"/>
          <w:highlight w:val="none"/>
        </w:rPr>
      </w:pPr>
      <w:r>
        <w:rPr>
          <w:rFonts w:hint="eastAsia"/>
          <w:highlight w:val="none"/>
        </w:rPr>
        <w:t>供应商应当在系统安设中根据密码应用要求，定制用户身份认证机制、对重要数据传输进行加密、记录用户登录访问日志</w:t>
      </w:r>
      <w:r>
        <w:rPr>
          <w:highlight w:val="none"/>
        </w:rPr>
        <w:t>、</w:t>
      </w:r>
      <w:r>
        <w:rPr>
          <w:rFonts w:hint="eastAsia"/>
          <w:highlight w:val="none"/>
        </w:rPr>
        <w:t>对涉及个人敏感需要引入</w:t>
      </w:r>
      <w:r>
        <w:rPr>
          <w:highlight w:val="none"/>
        </w:rPr>
        <w:t>数据加解密模块。</w:t>
      </w:r>
    </w:p>
    <w:p>
      <w:pPr>
        <w:rPr>
          <w:rFonts w:hint="eastAsia"/>
          <w:highlight w:val="none"/>
        </w:rPr>
      </w:pPr>
      <w:r>
        <w:rPr>
          <w:rFonts w:hint="eastAsia"/>
          <w:highlight w:val="none"/>
        </w:rPr>
        <w:t>依据GB/T39786—2021《信息安全技术信息系统密码应用基本要求》，结合本系统风险控制需求分析结果，本系统的主要密码应用需求包括如下：</w:t>
      </w:r>
    </w:p>
    <w:tbl>
      <w:tblPr>
        <w:tblStyle w:val="35"/>
        <w:tblW w:w="8560" w:type="dxa"/>
        <w:tblInd w:w="0" w:type="dxa"/>
        <w:tblLayout w:type="autofit"/>
        <w:tblCellMar>
          <w:top w:w="0" w:type="dxa"/>
          <w:left w:w="108" w:type="dxa"/>
          <w:bottom w:w="0" w:type="dxa"/>
          <w:right w:w="108" w:type="dxa"/>
        </w:tblCellMar>
      </w:tblPr>
      <w:tblGrid>
        <w:gridCol w:w="820"/>
        <w:gridCol w:w="2009"/>
        <w:gridCol w:w="5731"/>
      </w:tblGrid>
      <w:tr>
        <w:tblPrEx>
          <w:tblCellMar>
            <w:top w:w="0" w:type="dxa"/>
            <w:left w:w="108" w:type="dxa"/>
            <w:bottom w:w="0" w:type="dxa"/>
            <w:right w:w="108" w:type="dxa"/>
          </w:tblCellMar>
        </w:tblPrEx>
        <w:trPr>
          <w:trHeight w:val="552" w:hRule="atLeast"/>
        </w:trPr>
        <w:tc>
          <w:tcPr>
            <w:tcW w:w="82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hint="eastAsia"/>
                <w:b/>
                <w:sz w:val="21"/>
                <w:szCs w:val="21"/>
                <w:highlight w:val="none"/>
              </w:rPr>
            </w:pPr>
            <w:r>
              <w:rPr>
                <w:rFonts w:hint="eastAsia"/>
                <w:b/>
                <w:sz w:val="21"/>
                <w:szCs w:val="21"/>
                <w:highlight w:val="none"/>
              </w:rPr>
              <w:t>序号</w:t>
            </w:r>
          </w:p>
        </w:tc>
        <w:tc>
          <w:tcPr>
            <w:tcW w:w="2009" w:type="dxa"/>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b/>
                <w:sz w:val="21"/>
                <w:szCs w:val="21"/>
                <w:highlight w:val="none"/>
              </w:rPr>
            </w:pPr>
            <w:r>
              <w:rPr>
                <w:rFonts w:hint="eastAsia"/>
                <w:b/>
                <w:sz w:val="21"/>
                <w:szCs w:val="21"/>
                <w:highlight w:val="none"/>
              </w:rPr>
              <w:t>功能名称</w:t>
            </w:r>
          </w:p>
        </w:tc>
        <w:tc>
          <w:tcPr>
            <w:tcW w:w="5731" w:type="dxa"/>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b/>
                <w:sz w:val="21"/>
                <w:szCs w:val="21"/>
                <w:highlight w:val="none"/>
              </w:rPr>
            </w:pPr>
            <w:r>
              <w:rPr>
                <w:rFonts w:hint="eastAsia"/>
                <w:b/>
                <w:sz w:val="21"/>
                <w:szCs w:val="21"/>
                <w:highlight w:val="none"/>
              </w:rPr>
              <w:t>功能描述</w:t>
            </w:r>
          </w:p>
        </w:tc>
      </w:tr>
      <w:tr>
        <w:tblPrEx>
          <w:tblCellMar>
            <w:top w:w="0" w:type="dxa"/>
            <w:left w:w="108" w:type="dxa"/>
            <w:bottom w:w="0" w:type="dxa"/>
            <w:right w:w="108" w:type="dxa"/>
          </w:tblCellMar>
        </w:tblPrEx>
        <w:trPr>
          <w:trHeight w:val="276" w:hRule="atLeast"/>
        </w:trPr>
        <w:tc>
          <w:tcPr>
            <w:tcW w:w="820" w:type="dxa"/>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w:t>
            </w:r>
          </w:p>
        </w:tc>
        <w:tc>
          <w:tcPr>
            <w:tcW w:w="2009" w:type="dxa"/>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用户身份认证机制模块</w:t>
            </w:r>
          </w:p>
        </w:tc>
        <w:tc>
          <w:tcPr>
            <w:tcW w:w="5731" w:type="dxa"/>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调用云平台提供的安全认证网关服务接口，并在移动终端部署用户证书、服务端部署站点证书，绑定应用用户数字证书和应用用户ID，实现对移动终端和服务端身份的鉴别</w:t>
            </w:r>
          </w:p>
        </w:tc>
      </w:tr>
      <w:tr>
        <w:tblPrEx>
          <w:tblCellMar>
            <w:top w:w="0" w:type="dxa"/>
            <w:left w:w="108" w:type="dxa"/>
            <w:bottom w:w="0" w:type="dxa"/>
            <w:right w:w="108" w:type="dxa"/>
          </w:tblCellMar>
        </w:tblPrEx>
        <w:trPr>
          <w:trHeight w:val="276" w:hRule="atLeast"/>
        </w:trPr>
        <w:tc>
          <w:tcPr>
            <w:tcW w:w="820" w:type="dxa"/>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c>
          <w:tcPr>
            <w:tcW w:w="2009" w:type="dxa"/>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重要数据安全传输模块</w:t>
            </w:r>
          </w:p>
        </w:tc>
        <w:tc>
          <w:tcPr>
            <w:tcW w:w="5731" w:type="dxa"/>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调用云平台提供的安全认证网关服务接口，实现应用系统通信数据的机密性和完整性保护</w:t>
            </w:r>
          </w:p>
        </w:tc>
      </w:tr>
      <w:tr>
        <w:tblPrEx>
          <w:tblCellMar>
            <w:top w:w="0" w:type="dxa"/>
            <w:left w:w="108" w:type="dxa"/>
            <w:bottom w:w="0" w:type="dxa"/>
            <w:right w:w="108" w:type="dxa"/>
          </w:tblCellMar>
        </w:tblPrEx>
        <w:trPr>
          <w:trHeight w:val="276" w:hRule="atLeast"/>
        </w:trPr>
        <w:tc>
          <w:tcPr>
            <w:tcW w:w="820" w:type="dxa"/>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w:t>
            </w:r>
          </w:p>
        </w:tc>
        <w:tc>
          <w:tcPr>
            <w:tcW w:w="2009" w:type="dxa"/>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服务器虚拟机设备日志/访问控制信息完整性模块</w:t>
            </w:r>
          </w:p>
        </w:tc>
        <w:tc>
          <w:tcPr>
            <w:tcW w:w="5731" w:type="dxa"/>
            <w:tcBorders>
              <w:top w:val="single" w:color="000000"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调用云平台提供的签名验签服务接口，实现应用服务器虚拟机、数据库服务器虚拟机等设备日志/访问控制信息的完整性保护</w:t>
            </w:r>
          </w:p>
        </w:tc>
      </w:tr>
      <w:tr>
        <w:tblPrEx>
          <w:tblCellMar>
            <w:top w:w="0" w:type="dxa"/>
            <w:left w:w="108" w:type="dxa"/>
            <w:bottom w:w="0" w:type="dxa"/>
            <w:right w:w="108" w:type="dxa"/>
          </w:tblCellMar>
        </w:tblPrEx>
        <w:trPr>
          <w:trHeight w:val="276" w:hRule="atLeast"/>
        </w:trPr>
        <w:tc>
          <w:tcPr>
            <w:tcW w:w="820" w:type="dxa"/>
            <w:tcBorders>
              <w:top w:val="nil"/>
              <w:left w:val="single" w:color="000000" w:sz="4" w:space="0"/>
              <w:bottom w:val="single" w:color="auto" w:sz="4" w:space="0"/>
              <w:right w:val="single" w:color="000000" w:sz="4" w:space="0"/>
            </w:tcBorders>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w:t>
            </w:r>
          </w:p>
        </w:tc>
        <w:tc>
          <w:tcPr>
            <w:tcW w:w="2009" w:type="dxa"/>
            <w:tcBorders>
              <w:top w:val="single" w:color="000000" w:sz="4" w:space="0"/>
              <w:left w:val="nil"/>
              <w:bottom w:val="single" w:color="auto" w:sz="4" w:space="0"/>
              <w:right w:val="single" w:color="000000" w:sz="4" w:space="0"/>
            </w:tcBorders>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重要可执行程序签名验签模块</w:t>
            </w:r>
          </w:p>
        </w:tc>
        <w:tc>
          <w:tcPr>
            <w:tcW w:w="5731" w:type="dxa"/>
            <w:tcBorders>
              <w:top w:val="single" w:color="000000" w:sz="4" w:space="0"/>
              <w:left w:val="nil"/>
              <w:bottom w:val="single" w:color="auto" w:sz="4" w:space="0"/>
              <w:right w:val="single" w:color="000000" w:sz="4" w:space="0"/>
            </w:tcBorders>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调用云平台提供的签名验签服务接口，实现重要可执行程序的完整性、来源真实性保护</w:t>
            </w:r>
          </w:p>
        </w:tc>
      </w:tr>
      <w:tr>
        <w:tblPrEx>
          <w:tblCellMar>
            <w:top w:w="0" w:type="dxa"/>
            <w:left w:w="108" w:type="dxa"/>
            <w:bottom w:w="0" w:type="dxa"/>
            <w:right w:w="108" w:type="dxa"/>
          </w:tblCellMar>
        </w:tblPrEx>
        <w:trPr>
          <w:trHeight w:val="276" w:hRule="atLeast"/>
        </w:trPr>
        <w:tc>
          <w:tcPr>
            <w:tcW w:w="82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w:t>
            </w:r>
          </w:p>
        </w:tc>
        <w:tc>
          <w:tcPr>
            <w:tcW w:w="200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用户访问控制信息签名验签模块</w:t>
            </w:r>
          </w:p>
        </w:tc>
        <w:tc>
          <w:tcPr>
            <w:tcW w:w="573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调用云平台提供的签名验签服务接口，实现应用系统登录用户的访问控制列表完整性保护</w:t>
            </w:r>
          </w:p>
        </w:tc>
      </w:tr>
      <w:tr>
        <w:tblPrEx>
          <w:tblCellMar>
            <w:top w:w="0" w:type="dxa"/>
            <w:left w:w="108" w:type="dxa"/>
            <w:bottom w:w="0" w:type="dxa"/>
            <w:right w:w="108" w:type="dxa"/>
          </w:tblCellMar>
        </w:tblPrEx>
        <w:trPr>
          <w:trHeight w:val="276" w:hRule="atLeast"/>
        </w:trPr>
        <w:tc>
          <w:tcPr>
            <w:tcW w:w="82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w:t>
            </w:r>
          </w:p>
        </w:tc>
        <w:tc>
          <w:tcPr>
            <w:tcW w:w="2009"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应用系统重要数据加解密模块</w:t>
            </w:r>
          </w:p>
        </w:tc>
        <w:tc>
          <w:tcPr>
            <w:tcW w:w="573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调用云平台提供的数据库加密服务接口、加密存储服务接口，实现登录用户身份鉴别数据、电子公文数据等结构化数据、非结构化数据的存储机密性保护</w:t>
            </w:r>
          </w:p>
        </w:tc>
      </w:tr>
      <w:tr>
        <w:tblPrEx>
          <w:tblCellMar>
            <w:top w:w="0" w:type="dxa"/>
            <w:left w:w="108" w:type="dxa"/>
            <w:bottom w:w="0" w:type="dxa"/>
            <w:right w:w="108" w:type="dxa"/>
          </w:tblCellMar>
        </w:tblPrEx>
        <w:trPr>
          <w:trHeight w:val="276" w:hRule="atLeast"/>
        </w:trPr>
        <w:tc>
          <w:tcPr>
            <w:tcW w:w="820" w:type="dxa"/>
            <w:tcBorders>
              <w:top w:val="single" w:color="auto"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7</w:t>
            </w:r>
          </w:p>
        </w:tc>
        <w:tc>
          <w:tcPr>
            <w:tcW w:w="2009" w:type="dxa"/>
            <w:tcBorders>
              <w:top w:val="single" w:color="auto"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应用系统重要数据签名验签模块</w:t>
            </w:r>
          </w:p>
        </w:tc>
        <w:tc>
          <w:tcPr>
            <w:tcW w:w="5731" w:type="dxa"/>
            <w:tcBorders>
              <w:top w:val="single" w:color="auto" w:sz="4" w:space="0"/>
              <w:left w:val="nil"/>
              <w:bottom w:val="single" w:color="000000" w:sz="4" w:space="0"/>
              <w:right w:val="single" w:color="000000" w:sz="4" w:space="0"/>
            </w:tcBorders>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调用云平台提供的签名验签服务接口，实现登录用户身份鉴别数据、电子公文数据、业务日志的存储完整性保护</w:t>
            </w:r>
          </w:p>
        </w:tc>
      </w:tr>
    </w:tbl>
    <w:p>
      <w:pPr>
        <w:pStyle w:val="3"/>
        <w:ind w:left="960" w:leftChars="0" w:firstLineChars="0"/>
        <w:rPr>
          <w:rFonts w:hint="eastAsia"/>
          <w:highlight w:val="none"/>
        </w:rPr>
      </w:pPr>
      <w:bookmarkStart w:id="26" w:name="_Toc63785512"/>
      <w:r>
        <w:rPr>
          <w:rFonts w:hint="eastAsia"/>
          <w:highlight w:val="none"/>
        </w:rPr>
        <w:t>技术文件要求</w:t>
      </w:r>
    </w:p>
    <w:p>
      <w:pPr>
        <w:rPr>
          <w:rFonts w:hint="eastAsia"/>
          <w:highlight w:val="none"/>
        </w:rPr>
      </w:pPr>
      <w:r>
        <w:rPr>
          <w:rFonts w:hint="eastAsia"/>
          <w:highlight w:val="none"/>
        </w:rPr>
        <w:t>供应商提供的书面技术资料应能确保系统正常运行所需的管理、运营及维护有关的全套文件。技术文件应该全面、完整、详细。供应商提供的技术文件至少应包括：</w:t>
      </w:r>
    </w:p>
    <w:p>
      <w:pPr>
        <w:rPr>
          <w:rFonts w:hint="eastAsia"/>
          <w:highlight w:val="none"/>
        </w:rPr>
      </w:pPr>
      <w:r>
        <w:rPr>
          <w:rFonts w:hint="eastAsia"/>
          <w:highlight w:val="none"/>
        </w:rPr>
        <w:t>－系统说明文件；</w:t>
      </w:r>
    </w:p>
    <w:p>
      <w:pPr>
        <w:rPr>
          <w:rFonts w:hint="eastAsia"/>
          <w:highlight w:val="none"/>
        </w:rPr>
      </w:pPr>
      <w:r>
        <w:rPr>
          <w:rFonts w:hint="eastAsia"/>
          <w:highlight w:val="none"/>
        </w:rPr>
        <w:t>－技术手册(安装、测试、操作、维护、故障排除等)；</w:t>
      </w:r>
    </w:p>
    <w:p>
      <w:pPr>
        <w:rPr>
          <w:rFonts w:hint="eastAsia"/>
          <w:highlight w:val="none"/>
        </w:rPr>
      </w:pPr>
      <w:r>
        <w:rPr>
          <w:rFonts w:hint="eastAsia"/>
          <w:highlight w:val="none"/>
        </w:rPr>
        <w:t>－项目文档，应该包括：</w:t>
      </w:r>
    </w:p>
    <w:p>
      <w:pPr>
        <w:ind w:left="360"/>
        <w:rPr>
          <w:highlight w:val="none"/>
        </w:rPr>
      </w:pPr>
      <w:r>
        <w:rPr>
          <w:highlight w:val="none"/>
        </w:rPr>
        <w:t>(1)软件需求说明书</w:t>
      </w:r>
    </w:p>
    <w:p>
      <w:pPr>
        <w:ind w:left="360"/>
        <w:rPr>
          <w:highlight w:val="none"/>
        </w:rPr>
      </w:pPr>
      <w:r>
        <w:rPr>
          <w:highlight w:val="none"/>
        </w:rPr>
        <w:t>(2)系统总体设计说明书</w:t>
      </w:r>
    </w:p>
    <w:p>
      <w:pPr>
        <w:ind w:left="360"/>
        <w:rPr>
          <w:highlight w:val="none"/>
        </w:rPr>
      </w:pPr>
      <w:r>
        <w:rPr>
          <w:highlight w:val="none"/>
        </w:rPr>
        <w:t>(3)应用软件功能清单</w:t>
      </w:r>
    </w:p>
    <w:p>
      <w:pPr>
        <w:rPr>
          <w:rFonts w:hint="eastAsia"/>
          <w:highlight w:val="none"/>
        </w:rPr>
      </w:pPr>
      <w:r>
        <w:rPr>
          <w:rFonts w:hint="eastAsia"/>
          <w:highlight w:val="none"/>
        </w:rPr>
        <w:t>提供全套技术文件纸介质3套以及电子文件1套。</w:t>
      </w:r>
    </w:p>
    <w:bookmarkEnd w:id="26"/>
    <w:p>
      <w:pPr>
        <w:pStyle w:val="2"/>
        <w:rPr>
          <w:rFonts w:hint="eastAsia"/>
          <w:highlight w:val="none"/>
        </w:rPr>
      </w:pPr>
      <w:bookmarkStart w:id="27" w:name="_Toc68798863"/>
      <w:r>
        <w:rPr>
          <w:rFonts w:hint="eastAsia"/>
          <w:highlight w:val="none"/>
        </w:rPr>
        <w:t>附录</w:t>
      </w:r>
      <w:bookmarkEnd w:id="27"/>
    </w:p>
    <w:p>
      <w:pPr>
        <w:ind w:firstLine="0" w:firstLineChars="0"/>
        <w:rPr>
          <w:rFonts w:hint="eastAsia"/>
          <w:highlight w:val="none"/>
        </w:rPr>
      </w:pPr>
      <w:r>
        <w:rPr>
          <w:rFonts w:hint="eastAsia"/>
          <w:highlight w:val="none"/>
        </w:rPr>
        <w:t>1、</w:t>
      </w:r>
      <w:r>
        <w:rPr>
          <w:highlight w:val="none"/>
        </w:rPr>
        <w:t>《政务网络安全监测平台总体技术要求》</w:t>
      </w:r>
    </w:p>
    <w:p>
      <w:pPr>
        <w:ind w:firstLine="0" w:firstLineChars="0"/>
        <w:rPr>
          <w:rFonts w:hint="eastAsia"/>
          <w:highlight w:val="none"/>
        </w:rPr>
      </w:pPr>
      <w:r>
        <w:rPr>
          <w:highlight w:val="none"/>
        </w:rPr>
        <w:object>
          <v:shape id="_x0000_i1025" o:spt="75" type="#_x0000_t75" style="height:55pt;width:76.5pt;" o:ole="t" filled="f" o:preferrelative="t" stroked="f" coordsize="21600,21600">
            <v:path/>
            <v:fill on="f" focussize="0,0"/>
            <v:stroke on="f" joinstyle="miter"/>
            <v:imagedata r:id="rId15" o:title=""/>
            <o:lock v:ext="edit" aspectratio="t"/>
            <w10:wrap type="none"/>
            <w10:anchorlock/>
          </v:shape>
          <o:OLEObject Type="Embed" ProgID="Package" ShapeID="_x0000_i1025" DrawAspect="Icon" ObjectID="_1468075725" r:id="rId14">
            <o:LockedField>false</o:LockedField>
          </o:OLEObject>
        </w:object>
      </w:r>
    </w:p>
    <w:p>
      <w:pPr>
        <w:ind w:firstLine="0" w:firstLineChars="0"/>
        <w:jc w:val="left"/>
        <w:rPr>
          <w:rFonts w:hint="eastAsia"/>
          <w:highlight w:val="none"/>
        </w:rPr>
      </w:pPr>
      <w:r>
        <w:rPr>
          <w:rFonts w:hint="eastAsia"/>
          <w:highlight w:val="none"/>
        </w:rPr>
        <w:t>2、《上海市电子政务外网建设和运行管理指南（试行）》</w:t>
      </w:r>
    </w:p>
    <w:p>
      <w:pPr>
        <w:ind w:firstLine="0" w:firstLineChars="0"/>
        <w:jc w:val="left"/>
        <w:rPr>
          <w:rFonts w:hint="eastAsia"/>
          <w:b/>
          <w:bCs/>
          <w:highlight w:val="none"/>
        </w:rPr>
      </w:pPr>
      <w:r>
        <w:rPr>
          <w:highlight w:val="none"/>
        </w:rPr>
        <w:object>
          <v:shape id="_x0000_i1026" o:spt="75" type="#_x0000_t75" style="height:55pt;width:78.35pt;" o:ole="t" filled="f" o:preferrelative="t" stroked="f" coordsize="21600,21600">
            <v:path/>
            <v:fill on="f" focussize="0,0"/>
            <v:stroke on="f"/>
            <v:imagedata r:id="rId17" o:title=""/>
            <o:lock v:ext="edit" aspectratio="t"/>
            <w10:wrap type="none"/>
            <w10:anchorlock/>
          </v:shape>
          <o:OLEObject Type="Embed" ProgID="Package" ShapeID="_x0000_i1026" DrawAspect="Icon" ObjectID="_1468075726" r:id="rId16">
            <o:LockedField>false</o:LockedField>
          </o:OLEObject>
        </w:object>
      </w:r>
    </w:p>
    <w:p>
      <w:pPr>
        <w:ind w:firstLine="0" w:firstLineChars="0"/>
        <w:jc w:val="left"/>
        <w:rPr>
          <w:rFonts w:hint="eastAsia"/>
          <w:highlight w:val="none"/>
        </w:rPr>
      </w:pPr>
      <w:r>
        <w:rPr>
          <w:rFonts w:hint="eastAsia"/>
          <w:highlight w:val="none"/>
          <w:lang w:val="en-US" w:eastAsia="zh-CN"/>
        </w:rPr>
        <w:t>3、《低代码相关要求（试行）》</w: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swiss"/>
    <w:pitch w:val="default"/>
    <w:sig w:usb0="00000000" w:usb1="00000000" w:usb2="0000003F" w:usb3="00000000" w:csb0="003F01FF" w:csb1="00000000"/>
  </w:font>
  <w:font w:name="等线 Light">
    <w:altName w:val="华文中宋"/>
    <w:panose1 w:val="02010600030101010101"/>
    <w:charset w:val="86"/>
    <w:family w:val="auto"/>
    <w:pitch w:val="default"/>
    <w:sig w:usb0="00000000" w:usb1="00000000" w:usb2="00000016" w:usb3="00000000" w:csb0="0004000F" w:csb1="00000000"/>
  </w:font>
  <w:font w:name="Snack Time">
    <w:altName w:val="国标宋体-超大字符集"/>
    <w:panose1 w:val="00000000000000000000"/>
    <w:charset w:val="00"/>
    <w:family w:val="auto"/>
    <w:pitch w:val="default"/>
    <w:sig w:usb0="00000000" w:usb1="00000000" w:usb2="00000000" w:usb3="00000000" w:csb0="00000193" w:csb1="00000000"/>
  </w:font>
  <w:font w:name="国标宋体-超大字符集">
    <w:panose1 w:val="03000509000000000000"/>
    <w:charset w:val="86"/>
    <w:family w:val="auto"/>
    <w:pitch w:val="default"/>
    <w:sig w:usb0="00000001" w:usb1="08000000" w:usb2="00000000" w:usb3="00000000" w:csb0="00040001"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DejaVu Sans"/>
    <w:panose1 w:val="020B0604020202020204"/>
    <w:charset w:val="00"/>
    <w:family w:val="swiss"/>
    <w:pitch w:val="default"/>
    <w:sig w:usb0="00000000" w:usb1="00000000" w:usb2="00000029" w:usb3="00000000" w:csb0="200101FF" w:csb1="2028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微软雅黑">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rPr>
    </w:pPr>
    <w:r>
      <w:fldChar w:fldCharType="begin"/>
    </w:r>
    <w:r>
      <w:instrText xml:space="preserve">PAGE   \* MERGEFORMAT</w:instrText>
    </w:r>
    <w:r>
      <w:fldChar w:fldCharType="separate"/>
    </w:r>
    <w:r>
      <w:rPr>
        <w:lang w:val="zh-CN"/>
      </w:rPr>
      <w:t>54</w:t>
    </w:r>
    <w:r>
      <w:rPr>
        <w:lang w:val="zh-CN"/>
      </w:rPr>
      <w:fldChar w:fldCharType="end"/>
    </w:r>
  </w:p>
  <w:p>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8A3480"/>
    <w:multiLevelType w:val="multilevel"/>
    <w:tmpl w:val="968A3480"/>
    <w:lvl w:ilvl="0" w:tentative="0">
      <w:start w:val="1"/>
      <w:numFmt w:val="decimal"/>
      <w:pStyle w:val="143"/>
      <w:suff w:val="nothing"/>
      <w:lvlText w:val="表%1："/>
      <w:lvlJc w:val="center"/>
      <w:pPr>
        <w:ind w:left="3964" w:hanging="420"/>
      </w:pPr>
      <w:rPr>
        <w:rFonts w:hint="default"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ind w:left="-1003" w:hanging="420"/>
      </w:pPr>
      <w:rPr>
        <w:rFonts w:hint="eastAsia"/>
      </w:rPr>
    </w:lvl>
    <w:lvl w:ilvl="2" w:tentative="0">
      <w:start w:val="1"/>
      <w:numFmt w:val="lowerRoman"/>
      <w:lvlText w:val="%3."/>
      <w:lvlJc w:val="right"/>
      <w:pPr>
        <w:ind w:left="-583" w:hanging="420"/>
      </w:pPr>
      <w:rPr>
        <w:rFonts w:hint="eastAsia"/>
      </w:rPr>
    </w:lvl>
    <w:lvl w:ilvl="3" w:tentative="0">
      <w:start w:val="1"/>
      <w:numFmt w:val="decimal"/>
      <w:lvlText w:val="%4."/>
      <w:lvlJc w:val="left"/>
      <w:pPr>
        <w:ind w:left="-163" w:hanging="420"/>
      </w:pPr>
      <w:rPr>
        <w:rFonts w:hint="eastAsia"/>
      </w:rPr>
    </w:lvl>
    <w:lvl w:ilvl="4" w:tentative="0">
      <w:start w:val="1"/>
      <w:numFmt w:val="lowerLetter"/>
      <w:lvlText w:val="%5)"/>
      <w:lvlJc w:val="left"/>
      <w:pPr>
        <w:ind w:left="257" w:hanging="420"/>
      </w:pPr>
      <w:rPr>
        <w:rFonts w:hint="eastAsia"/>
      </w:rPr>
    </w:lvl>
    <w:lvl w:ilvl="5" w:tentative="0">
      <w:start w:val="1"/>
      <w:numFmt w:val="lowerRoman"/>
      <w:lvlText w:val="%6."/>
      <w:lvlJc w:val="right"/>
      <w:pPr>
        <w:ind w:left="677" w:hanging="420"/>
      </w:pPr>
      <w:rPr>
        <w:rFonts w:hint="eastAsia"/>
      </w:rPr>
    </w:lvl>
    <w:lvl w:ilvl="6" w:tentative="0">
      <w:start w:val="1"/>
      <w:numFmt w:val="decimal"/>
      <w:lvlText w:val="%7."/>
      <w:lvlJc w:val="left"/>
      <w:pPr>
        <w:ind w:left="1097" w:hanging="420"/>
      </w:pPr>
      <w:rPr>
        <w:rFonts w:hint="eastAsia"/>
      </w:rPr>
    </w:lvl>
    <w:lvl w:ilvl="7" w:tentative="0">
      <w:start w:val="1"/>
      <w:numFmt w:val="lowerLetter"/>
      <w:lvlText w:val="%8)"/>
      <w:lvlJc w:val="left"/>
      <w:pPr>
        <w:ind w:left="1517" w:hanging="420"/>
      </w:pPr>
      <w:rPr>
        <w:rFonts w:hint="eastAsia"/>
      </w:rPr>
    </w:lvl>
    <w:lvl w:ilvl="8" w:tentative="0">
      <w:start w:val="1"/>
      <w:numFmt w:val="lowerRoman"/>
      <w:lvlText w:val="%9."/>
      <w:lvlJc w:val="right"/>
      <w:pPr>
        <w:ind w:left="1937" w:hanging="420"/>
      </w:pPr>
      <w:rPr>
        <w:rFonts w:hint="eastAsia"/>
      </w:rPr>
    </w:lvl>
  </w:abstractNum>
  <w:abstractNum w:abstractNumId="1">
    <w:nsid w:val="B908B7E4"/>
    <w:multiLevelType w:val="singleLevel"/>
    <w:tmpl w:val="B908B7E4"/>
    <w:lvl w:ilvl="0" w:tentative="0">
      <w:start w:val="1"/>
      <w:numFmt w:val="decimal"/>
      <w:lvlText w:val="%1."/>
      <w:lvlJc w:val="left"/>
      <w:pPr>
        <w:tabs>
          <w:tab w:val="left" w:pos="312"/>
        </w:tabs>
      </w:pPr>
    </w:lvl>
  </w:abstractNum>
  <w:abstractNum w:abstractNumId="2">
    <w:nsid w:val="EAEF5F56"/>
    <w:multiLevelType w:val="singleLevel"/>
    <w:tmpl w:val="EAEF5F56"/>
    <w:lvl w:ilvl="0" w:tentative="0">
      <w:start w:val="1"/>
      <w:numFmt w:val="decimal"/>
      <w:suff w:val="nothing"/>
      <w:lvlText w:val="%1."/>
      <w:lvlJc w:val="left"/>
      <w:pPr>
        <w:ind w:left="425" w:hanging="425"/>
      </w:pPr>
      <w:rPr>
        <w:rFonts w:hint="default"/>
      </w:rPr>
    </w:lvl>
  </w:abstractNum>
  <w:abstractNum w:abstractNumId="3">
    <w:nsid w:val="16CF5631"/>
    <w:multiLevelType w:val="singleLevel"/>
    <w:tmpl w:val="16CF5631"/>
    <w:lvl w:ilvl="0" w:tentative="0">
      <w:start w:val="1"/>
      <w:numFmt w:val="decimal"/>
      <w:suff w:val="nothing"/>
      <w:lvlText w:val="（%1）"/>
      <w:lvlJc w:val="left"/>
    </w:lvl>
  </w:abstractNum>
  <w:abstractNum w:abstractNumId="4">
    <w:nsid w:val="6350366A"/>
    <w:multiLevelType w:val="multilevel"/>
    <w:tmpl w:val="6350366A"/>
    <w:lvl w:ilvl="0" w:tentative="0">
      <w:start w:val="1"/>
      <w:numFmt w:val="none"/>
      <w:pStyle w:val="113"/>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960"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5"/>
  </w:num>
  <w:num w:numId="2">
    <w:abstractNumId w:val="4"/>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RhZmI4MDVmMTQ2MjVkZjFlZGQ5NmFkYTRlMjc0MmEifQ=="/>
  </w:docVars>
  <w:rsids>
    <w:rsidRoot w:val="00172A27"/>
    <w:rsid w:val="0000005A"/>
    <w:rsid w:val="00000A52"/>
    <w:rsid w:val="00000AED"/>
    <w:rsid w:val="00000F22"/>
    <w:rsid w:val="00003516"/>
    <w:rsid w:val="0000380E"/>
    <w:rsid w:val="00005AFD"/>
    <w:rsid w:val="00006563"/>
    <w:rsid w:val="000074F1"/>
    <w:rsid w:val="00007A41"/>
    <w:rsid w:val="00007DA7"/>
    <w:rsid w:val="0001079B"/>
    <w:rsid w:val="000116ED"/>
    <w:rsid w:val="00012EF0"/>
    <w:rsid w:val="0001449D"/>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5954"/>
    <w:rsid w:val="00056C0E"/>
    <w:rsid w:val="000574A8"/>
    <w:rsid w:val="000574F8"/>
    <w:rsid w:val="00057A49"/>
    <w:rsid w:val="0006231F"/>
    <w:rsid w:val="00062A05"/>
    <w:rsid w:val="00062EE6"/>
    <w:rsid w:val="0006344E"/>
    <w:rsid w:val="000649E6"/>
    <w:rsid w:val="0006794B"/>
    <w:rsid w:val="00067DCA"/>
    <w:rsid w:val="00070063"/>
    <w:rsid w:val="0007017F"/>
    <w:rsid w:val="0007087A"/>
    <w:rsid w:val="000710EC"/>
    <w:rsid w:val="00072237"/>
    <w:rsid w:val="00072ABE"/>
    <w:rsid w:val="00080B39"/>
    <w:rsid w:val="000827AC"/>
    <w:rsid w:val="00083950"/>
    <w:rsid w:val="0008452F"/>
    <w:rsid w:val="00084E8E"/>
    <w:rsid w:val="00085136"/>
    <w:rsid w:val="00085A68"/>
    <w:rsid w:val="00090625"/>
    <w:rsid w:val="00090948"/>
    <w:rsid w:val="00091CD1"/>
    <w:rsid w:val="0009460E"/>
    <w:rsid w:val="000951D4"/>
    <w:rsid w:val="000A2146"/>
    <w:rsid w:val="000A2930"/>
    <w:rsid w:val="000A2AB9"/>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889"/>
    <w:rsid w:val="000B6C99"/>
    <w:rsid w:val="000C3F3C"/>
    <w:rsid w:val="000C5A75"/>
    <w:rsid w:val="000C75F7"/>
    <w:rsid w:val="000D0AB2"/>
    <w:rsid w:val="000D225C"/>
    <w:rsid w:val="000D2E3D"/>
    <w:rsid w:val="000D36F2"/>
    <w:rsid w:val="000D4B26"/>
    <w:rsid w:val="000D5CA9"/>
    <w:rsid w:val="000D74DB"/>
    <w:rsid w:val="000E24D6"/>
    <w:rsid w:val="000E38E9"/>
    <w:rsid w:val="000E4B9F"/>
    <w:rsid w:val="000E6072"/>
    <w:rsid w:val="000E6D61"/>
    <w:rsid w:val="000E7A23"/>
    <w:rsid w:val="000F1C29"/>
    <w:rsid w:val="000F1E9E"/>
    <w:rsid w:val="000F2B10"/>
    <w:rsid w:val="000F3F72"/>
    <w:rsid w:val="000F71D9"/>
    <w:rsid w:val="001055B2"/>
    <w:rsid w:val="001060EF"/>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4689"/>
    <w:rsid w:val="00145512"/>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1477"/>
    <w:rsid w:val="00172A1A"/>
    <w:rsid w:val="00172A27"/>
    <w:rsid w:val="00173251"/>
    <w:rsid w:val="00176BED"/>
    <w:rsid w:val="0017759D"/>
    <w:rsid w:val="001804A5"/>
    <w:rsid w:val="00181C94"/>
    <w:rsid w:val="00182C84"/>
    <w:rsid w:val="001863B0"/>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A67F0"/>
    <w:rsid w:val="001B0230"/>
    <w:rsid w:val="001B0BBC"/>
    <w:rsid w:val="001B13AB"/>
    <w:rsid w:val="001B3907"/>
    <w:rsid w:val="001B3B49"/>
    <w:rsid w:val="001B4907"/>
    <w:rsid w:val="001B4DC5"/>
    <w:rsid w:val="001B5505"/>
    <w:rsid w:val="001B60A1"/>
    <w:rsid w:val="001B60EB"/>
    <w:rsid w:val="001C2180"/>
    <w:rsid w:val="001C29CC"/>
    <w:rsid w:val="001C3217"/>
    <w:rsid w:val="001C3B98"/>
    <w:rsid w:val="001C4B7E"/>
    <w:rsid w:val="001C6028"/>
    <w:rsid w:val="001C6365"/>
    <w:rsid w:val="001C7F57"/>
    <w:rsid w:val="001D0E79"/>
    <w:rsid w:val="001D1C91"/>
    <w:rsid w:val="001D2B63"/>
    <w:rsid w:val="001D6049"/>
    <w:rsid w:val="001D7339"/>
    <w:rsid w:val="001E2750"/>
    <w:rsid w:val="001E4343"/>
    <w:rsid w:val="001E52BB"/>
    <w:rsid w:val="001E660A"/>
    <w:rsid w:val="001F05D6"/>
    <w:rsid w:val="001F085A"/>
    <w:rsid w:val="001F5B0A"/>
    <w:rsid w:val="001F640F"/>
    <w:rsid w:val="001F6478"/>
    <w:rsid w:val="001F6794"/>
    <w:rsid w:val="001F6F65"/>
    <w:rsid w:val="002002D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36B"/>
    <w:rsid w:val="002348B0"/>
    <w:rsid w:val="00235CDC"/>
    <w:rsid w:val="00237E76"/>
    <w:rsid w:val="002407E8"/>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35EF"/>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B3606"/>
    <w:rsid w:val="002B3D80"/>
    <w:rsid w:val="002B4402"/>
    <w:rsid w:val="002B4946"/>
    <w:rsid w:val="002B4C41"/>
    <w:rsid w:val="002B588D"/>
    <w:rsid w:val="002B69C8"/>
    <w:rsid w:val="002C1839"/>
    <w:rsid w:val="002C214A"/>
    <w:rsid w:val="002C28E8"/>
    <w:rsid w:val="002C3027"/>
    <w:rsid w:val="002C674D"/>
    <w:rsid w:val="002C7648"/>
    <w:rsid w:val="002C7DC4"/>
    <w:rsid w:val="002D0821"/>
    <w:rsid w:val="002D1426"/>
    <w:rsid w:val="002D1929"/>
    <w:rsid w:val="002D1B73"/>
    <w:rsid w:val="002D3CB0"/>
    <w:rsid w:val="002D422F"/>
    <w:rsid w:val="002D4800"/>
    <w:rsid w:val="002D5B21"/>
    <w:rsid w:val="002D6F6D"/>
    <w:rsid w:val="002E1FE6"/>
    <w:rsid w:val="002E2EA7"/>
    <w:rsid w:val="002E36D2"/>
    <w:rsid w:val="002E614F"/>
    <w:rsid w:val="002E748B"/>
    <w:rsid w:val="002F2002"/>
    <w:rsid w:val="002F335D"/>
    <w:rsid w:val="002F4DC0"/>
    <w:rsid w:val="002F4E32"/>
    <w:rsid w:val="002F503F"/>
    <w:rsid w:val="002F51DD"/>
    <w:rsid w:val="002F5D08"/>
    <w:rsid w:val="002F6895"/>
    <w:rsid w:val="002F6D13"/>
    <w:rsid w:val="002F6D1D"/>
    <w:rsid w:val="002F6E00"/>
    <w:rsid w:val="002F7522"/>
    <w:rsid w:val="003038D3"/>
    <w:rsid w:val="003049C7"/>
    <w:rsid w:val="00305F0E"/>
    <w:rsid w:val="0030667A"/>
    <w:rsid w:val="003106DE"/>
    <w:rsid w:val="00311530"/>
    <w:rsid w:val="00312D31"/>
    <w:rsid w:val="00314993"/>
    <w:rsid w:val="00315216"/>
    <w:rsid w:val="0031691C"/>
    <w:rsid w:val="00317466"/>
    <w:rsid w:val="00317AEF"/>
    <w:rsid w:val="00317F49"/>
    <w:rsid w:val="0032089B"/>
    <w:rsid w:val="003227E3"/>
    <w:rsid w:val="00323450"/>
    <w:rsid w:val="00323D93"/>
    <w:rsid w:val="0032489B"/>
    <w:rsid w:val="0032525B"/>
    <w:rsid w:val="00326A7A"/>
    <w:rsid w:val="00326FEE"/>
    <w:rsid w:val="003315D7"/>
    <w:rsid w:val="00334DE6"/>
    <w:rsid w:val="0033536D"/>
    <w:rsid w:val="003353FF"/>
    <w:rsid w:val="003366D2"/>
    <w:rsid w:val="00337C66"/>
    <w:rsid w:val="00337C79"/>
    <w:rsid w:val="00337FEF"/>
    <w:rsid w:val="0034084C"/>
    <w:rsid w:val="00340D5E"/>
    <w:rsid w:val="003420B5"/>
    <w:rsid w:val="00342889"/>
    <w:rsid w:val="00343646"/>
    <w:rsid w:val="003437DB"/>
    <w:rsid w:val="00344CCB"/>
    <w:rsid w:val="003455B5"/>
    <w:rsid w:val="00345897"/>
    <w:rsid w:val="003503C1"/>
    <w:rsid w:val="00350ECC"/>
    <w:rsid w:val="00351BFC"/>
    <w:rsid w:val="0035575E"/>
    <w:rsid w:val="003565B4"/>
    <w:rsid w:val="003610BC"/>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1E95"/>
    <w:rsid w:val="003B2167"/>
    <w:rsid w:val="003B5F5D"/>
    <w:rsid w:val="003B62C8"/>
    <w:rsid w:val="003C0C62"/>
    <w:rsid w:val="003C12DC"/>
    <w:rsid w:val="003C16C9"/>
    <w:rsid w:val="003C2CDA"/>
    <w:rsid w:val="003C5068"/>
    <w:rsid w:val="003D000A"/>
    <w:rsid w:val="003D31E9"/>
    <w:rsid w:val="003D41CA"/>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E6ACC"/>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392D"/>
    <w:rsid w:val="00415281"/>
    <w:rsid w:val="00415716"/>
    <w:rsid w:val="0041604D"/>
    <w:rsid w:val="00417842"/>
    <w:rsid w:val="00417A6E"/>
    <w:rsid w:val="0042285D"/>
    <w:rsid w:val="00427D2B"/>
    <w:rsid w:val="00430B13"/>
    <w:rsid w:val="00430CE5"/>
    <w:rsid w:val="0043153C"/>
    <w:rsid w:val="00431D0F"/>
    <w:rsid w:val="0043481C"/>
    <w:rsid w:val="0043596E"/>
    <w:rsid w:val="00444307"/>
    <w:rsid w:val="0044436F"/>
    <w:rsid w:val="004443EB"/>
    <w:rsid w:val="00444432"/>
    <w:rsid w:val="00444673"/>
    <w:rsid w:val="0044621E"/>
    <w:rsid w:val="00447BF1"/>
    <w:rsid w:val="00450BA4"/>
    <w:rsid w:val="004511FC"/>
    <w:rsid w:val="00452AF8"/>
    <w:rsid w:val="00456784"/>
    <w:rsid w:val="00456DCA"/>
    <w:rsid w:val="00461140"/>
    <w:rsid w:val="004611DB"/>
    <w:rsid w:val="00461294"/>
    <w:rsid w:val="004612EB"/>
    <w:rsid w:val="00463C46"/>
    <w:rsid w:val="004658B0"/>
    <w:rsid w:val="00465B66"/>
    <w:rsid w:val="0046614B"/>
    <w:rsid w:val="00467FD7"/>
    <w:rsid w:val="00470073"/>
    <w:rsid w:val="00472430"/>
    <w:rsid w:val="004730F8"/>
    <w:rsid w:val="00474353"/>
    <w:rsid w:val="00474555"/>
    <w:rsid w:val="004750F4"/>
    <w:rsid w:val="00475A34"/>
    <w:rsid w:val="0047663D"/>
    <w:rsid w:val="00476CB1"/>
    <w:rsid w:val="00480A48"/>
    <w:rsid w:val="00481874"/>
    <w:rsid w:val="00482501"/>
    <w:rsid w:val="00482E7D"/>
    <w:rsid w:val="00484395"/>
    <w:rsid w:val="004865FB"/>
    <w:rsid w:val="00486C03"/>
    <w:rsid w:val="00491AB3"/>
    <w:rsid w:val="00496DE8"/>
    <w:rsid w:val="00497A33"/>
    <w:rsid w:val="004A1112"/>
    <w:rsid w:val="004A1DA0"/>
    <w:rsid w:val="004A1F20"/>
    <w:rsid w:val="004A2393"/>
    <w:rsid w:val="004A3569"/>
    <w:rsid w:val="004A452A"/>
    <w:rsid w:val="004A5F2C"/>
    <w:rsid w:val="004A6E4F"/>
    <w:rsid w:val="004A720D"/>
    <w:rsid w:val="004B00D0"/>
    <w:rsid w:val="004B5DF0"/>
    <w:rsid w:val="004B6084"/>
    <w:rsid w:val="004B7AE0"/>
    <w:rsid w:val="004C0BC4"/>
    <w:rsid w:val="004C260D"/>
    <w:rsid w:val="004C2D47"/>
    <w:rsid w:val="004C4357"/>
    <w:rsid w:val="004C4477"/>
    <w:rsid w:val="004C5730"/>
    <w:rsid w:val="004C6397"/>
    <w:rsid w:val="004C668F"/>
    <w:rsid w:val="004C682B"/>
    <w:rsid w:val="004C6A95"/>
    <w:rsid w:val="004D142C"/>
    <w:rsid w:val="004D29F7"/>
    <w:rsid w:val="004D36D8"/>
    <w:rsid w:val="004D4C5C"/>
    <w:rsid w:val="004D5AB0"/>
    <w:rsid w:val="004D5EAE"/>
    <w:rsid w:val="004D7A0E"/>
    <w:rsid w:val="004E06E7"/>
    <w:rsid w:val="004E0AE3"/>
    <w:rsid w:val="004E13D8"/>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3E67"/>
    <w:rsid w:val="005042B3"/>
    <w:rsid w:val="005045AB"/>
    <w:rsid w:val="00506A94"/>
    <w:rsid w:val="00507D43"/>
    <w:rsid w:val="005103F2"/>
    <w:rsid w:val="00510E2C"/>
    <w:rsid w:val="00511FDC"/>
    <w:rsid w:val="005124C6"/>
    <w:rsid w:val="00513EBC"/>
    <w:rsid w:val="00514CE1"/>
    <w:rsid w:val="00515B09"/>
    <w:rsid w:val="005162C2"/>
    <w:rsid w:val="00517155"/>
    <w:rsid w:val="00517DB3"/>
    <w:rsid w:val="005200DC"/>
    <w:rsid w:val="005200F2"/>
    <w:rsid w:val="00521D0E"/>
    <w:rsid w:val="00521E78"/>
    <w:rsid w:val="0052369D"/>
    <w:rsid w:val="00524E73"/>
    <w:rsid w:val="005258F9"/>
    <w:rsid w:val="005271DB"/>
    <w:rsid w:val="00530D2F"/>
    <w:rsid w:val="0053487C"/>
    <w:rsid w:val="005356E1"/>
    <w:rsid w:val="005359F0"/>
    <w:rsid w:val="00536A8B"/>
    <w:rsid w:val="00537C2F"/>
    <w:rsid w:val="00540418"/>
    <w:rsid w:val="00541A96"/>
    <w:rsid w:val="00541C6A"/>
    <w:rsid w:val="00542C54"/>
    <w:rsid w:val="00546A43"/>
    <w:rsid w:val="00546C70"/>
    <w:rsid w:val="00547258"/>
    <w:rsid w:val="00550CF0"/>
    <w:rsid w:val="005555EA"/>
    <w:rsid w:val="005559FE"/>
    <w:rsid w:val="005560D6"/>
    <w:rsid w:val="00556D07"/>
    <w:rsid w:val="005611F2"/>
    <w:rsid w:val="00561734"/>
    <w:rsid w:val="00561886"/>
    <w:rsid w:val="00561952"/>
    <w:rsid w:val="00564973"/>
    <w:rsid w:val="00564B9A"/>
    <w:rsid w:val="00565694"/>
    <w:rsid w:val="00566DD6"/>
    <w:rsid w:val="00571308"/>
    <w:rsid w:val="005714EF"/>
    <w:rsid w:val="00571CEC"/>
    <w:rsid w:val="00572FCE"/>
    <w:rsid w:val="005750DB"/>
    <w:rsid w:val="005759FC"/>
    <w:rsid w:val="00575A18"/>
    <w:rsid w:val="00575B85"/>
    <w:rsid w:val="00576DB9"/>
    <w:rsid w:val="0057738F"/>
    <w:rsid w:val="005805E4"/>
    <w:rsid w:val="0058202F"/>
    <w:rsid w:val="0058318D"/>
    <w:rsid w:val="00584221"/>
    <w:rsid w:val="00584EB6"/>
    <w:rsid w:val="00586B68"/>
    <w:rsid w:val="0058774E"/>
    <w:rsid w:val="005878CF"/>
    <w:rsid w:val="00590CA0"/>
    <w:rsid w:val="00595B01"/>
    <w:rsid w:val="00595DB4"/>
    <w:rsid w:val="00596D98"/>
    <w:rsid w:val="005979A5"/>
    <w:rsid w:val="005A0021"/>
    <w:rsid w:val="005A017B"/>
    <w:rsid w:val="005A2AEC"/>
    <w:rsid w:val="005A412D"/>
    <w:rsid w:val="005A5212"/>
    <w:rsid w:val="005A6E3A"/>
    <w:rsid w:val="005B002D"/>
    <w:rsid w:val="005B0C0F"/>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C7A59"/>
    <w:rsid w:val="005D0FE5"/>
    <w:rsid w:val="005D3734"/>
    <w:rsid w:val="005D40A0"/>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1A79"/>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05CE"/>
    <w:rsid w:val="0063195F"/>
    <w:rsid w:val="0063599A"/>
    <w:rsid w:val="00636C0A"/>
    <w:rsid w:val="00637C60"/>
    <w:rsid w:val="00637EC6"/>
    <w:rsid w:val="00641EC1"/>
    <w:rsid w:val="0064240C"/>
    <w:rsid w:val="00642DC3"/>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577EB"/>
    <w:rsid w:val="0066109F"/>
    <w:rsid w:val="00664B26"/>
    <w:rsid w:val="0066596B"/>
    <w:rsid w:val="00670295"/>
    <w:rsid w:val="006704F5"/>
    <w:rsid w:val="00672894"/>
    <w:rsid w:val="00674B47"/>
    <w:rsid w:val="00675A12"/>
    <w:rsid w:val="0067609E"/>
    <w:rsid w:val="00677749"/>
    <w:rsid w:val="00680E07"/>
    <w:rsid w:val="00682B9D"/>
    <w:rsid w:val="00683806"/>
    <w:rsid w:val="00684E3C"/>
    <w:rsid w:val="00686AF9"/>
    <w:rsid w:val="006910C0"/>
    <w:rsid w:val="00691954"/>
    <w:rsid w:val="0069320E"/>
    <w:rsid w:val="00693D13"/>
    <w:rsid w:val="00694F1F"/>
    <w:rsid w:val="00694F58"/>
    <w:rsid w:val="006955BC"/>
    <w:rsid w:val="006959E2"/>
    <w:rsid w:val="00696920"/>
    <w:rsid w:val="00697EB9"/>
    <w:rsid w:val="006A20D4"/>
    <w:rsid w:val="006A268D"/>
    <w:rsid w:val="006A350F"/>
    <w:rsid w:val="006A3957"/>
    <w:rsid w:val="006A39A4"/>
    <w:rsid w:val="006A41D6"/>
    <w:rsid w:val="006A669D"/>
    <w:rsid w:val="006A6E41"/>
    <w:rsid w:val="006A793D"/>
    <w:rsid w:val="006B012F"/>
    <w:rsid w:val="006B27CF"/>
    <w:rsid w:val="006B41BD"/>
    <w:rsid w:val="006B5678"/>
    <w:rsid w:val="006B62B2"/>
    <w:rsid w:val="006B6D51"/>
    <w:rsid w:val="006C1C57"/>
    <w:rsid w:val="006C5760"/>
    <w:rsid w:val="006C6D6F"/>
    <w:rsid w:val="006D0D78"/>
    <w:rsid w:val="006D1128"/>
    <w:rsid w:val="006D2848"/>
    <w:rsid w:val="006D30E0"/>
    <w:rsid w:val="006D5521"/>
    <w:rsid w:val="006D59F0"/>
    <w:rsid w:val="006D5FE9"/>
    <w:rsid w:val="006D6CBB"/>
    <w:rsid w:val="006D76A9"/>
    <w:rsid w:val="006D77F4"/>
    <w:rsid w:val="006E0898"/>
    <w:rsid w:val="006E41CD"/>
    <w:rsid w:val="006E44B2"/>
    <w:rsid w:val="006E7A71"/>
    <w:rsid w:val="006F3BEC"/>
    <w:rsid w:val="006F6829"/>
    <w:rsid w:val="00700478"/>
    <w:rsid w:val="00701821"/>
    <w:rsid w:val="007023D3"/>
    <w:rsid w:val="00703C00"/>
    <w:rsid w:val="007057CC"/>
    <w:rsid w:val="007066F2"/>
    <w:rsid w:val="00706AE5"/>
    <w:rsid w:val="0070740A"/>
    <w:rsid w:val="00711F93"/>
    <w:rsid w:val="00712940"/>
    <w:rsid w:val="0071428C"/>
    <w:rsid w:val="00715A16"/>
    <w:rsid w:val="007164B0"/>
    <w:rsid w:val="007166FF"/>
    <w:rsid w:val="00720794"/>
    <w:rsid w:val="007260CC"/>
    <w:rsid w:val="00726543"/>
    <w:rsid w:val="0073353E"/>
    <w:rsid w:val="00733E7F"/>
    <w:rsid w:val="00736633"/>
    <w:rsid w:val="00741EE7"/>
    <w:rsid w:val="00742385"/>
    <w:rsid w:val="00743A79"/>
    <w:rsid w:val="007444D4"/>
    <w:rsid w:val="0074594D"/>
    <w:rsid w:val="007459F3"/>
    <w:rsid w:val="00746E35"/>
    <w:rsid w:val="007470E2"/>
    <w:rsid w:val="00751A63"/>
    <w:rsid w:val="0075232F"/>
    <w:rsid w:val="00753132"/>
    <w:rsid w:val="007550B3"/>
    <w:rsid w:val="00760451"/>
    <w:rsid w:val="00767359"/>
    <w:rsid w:val="0077182A"/>
    <w:rsid w:val="00771913"/>
    <w:rsid w:val="00772718"/>
    <w:rsid w:val="00775BCF"/>
    <w:rsid w:val="007818AA"/>
    <w:rsid w:val="00783140"/>
    <w:rsid w:val="007838B6"/>
    <w:rsid w:val="00783969"/>
    <w:rsid w:val="00783E77"/>
    <w:rsid w:val="007869A7"/>
    <w:rsid w:val="00787763"/>
    <w:rsid w:val="007906F1"/>
    <w:rsid w:val="0079243D"/>
    <w:rsid w:val="00792573"/>
    <w:rsid w:val="00794A9B"/>
    <w:rsid w:val="0079583B"/>
    <w:rsid w:val="00796602"/>
    <w:rsid w:val="00797185"/>
    <w:rsid w:val="007976B7"/>
    <w:rsid w:val="00797A7E"/>
    <w:rsid w:val="00797D6F"/>
    <w:rsid w:val="007A76F8"/>
    <w:rsid w:val="007B014B"/>
    <w:rsid w:val="007B0D88"/>
    <w:rsid w:val="007B306F"/>
    <w:rsid w:val="007B4714"/>
    <w:rsid w:val="007B4E82"/>
    <w:rsid w:val="007B569C"/>
    <w:rsid w:val="007B7E17"/>
    <w:rsid w:val="007C1996"/>
    <w:rsid w:val="007C203D"/>
    <w:rsid w:val="007C3773"/>
    <w:rsid w:val="007C3F1F"/>
    <w:rsid w:val="007C4181"/>
    <w:rsid w:val="007D2D0D"/>
    <w:rsid w:val="007D3325"/>
    <w:rsid w:val="007D3818"/>
    <w:rsid w:val="007D6DC5"/>
    <w:rsid w:val="007D7425"/>
    <w:rsid w:val="007E320E"/>
    <w:rsid w:val="007E3280"/>
    <w:rsid w:val="007E40A9"/>
    <w:rsid w:val="007E4A02"/>
    <w:rsid w:val="007E5420"/>
    <w:rsid w:val="007E595C"/>
    <w:rsid w:val="007E59A5"/>
    <w:rsid w:val="007E7039"/>
    <w:rsid w:val="007E774E"/>
    <w:rsid w:val="007F3B16"/>
    <w:rsid w:val="007F3B8C"/>
    <w:rsid w:val="007F41D0"/>
    <w:rsid w:val="007F4B8B"/>
    <w:rsid w:val="007F5957"/>
    <w:rsid w:val="007F615D"/>
    <w:rsid w:val="007F70B6"/>
    <w:rsid w:val="007F74CA"/>
    <w:rsid w:val="007F7B5B"/>
    <w:rsid w:val="008001F0"/>
    <w:rsid w:val="00800F1E"/>
    <w:rsid w:val="00801526"/>
    <w:rsid w:val="0080195A"/>
    <w:rsid w:val="00801B76"/>
    <w:rsid w:val="0080239C"/>
    <w:rsid w:val="00802841"/>
    <w:rsid w:val="008037D5"/>
    <w:rsid w:val="00805447"/>
    <w:rsid w:val="008054FA"/>
    <w:rsid w:val="0080717A"/>
    <w:rsid w:val="00807DFA"/>
    <w:rsid w:val="0081009F"/>
    <w:rsid w:val="00810152"/>
    <w:rsid w:val="008115AB"/>
    <w:rsid w:val="00812D2C"/>
    <w:rsid w:val="0081334E"/>
    <w:rsid w:val="008159F4"/>
    <w:rsid w:val="008167C1"/>
    <w:rsid w:val="008167C6"/>
    <w:rsid w:val="00816B8F"/>
    <w:rsid w:val="00820331"/>
    <w:rsid w:val="00820BF5"/>
    <w:rsid w:val="008212B1"/>
    <w:rsid w:val="0082155A"/>
    <w:rsid w:val="0082209F"/>
    <w:rsid w:val="008223C2"/>
    <w:rsid w:val="008250A2"/>
    <w:rsid w:val="008252AB"/>
    <w:rsid w:val="00825D64"/>
    <w:rsid w:val="0082650B"/>
    <w:rsid w:val="00826F41"/>
    <w:rsid w:val="00826FFD"/>
    <w:rsid w:val="008301CE"/>
    <w:rsid w:val="008312E3"/>
    <w:rsid w:val="00831788"/>
    <w:rsid w:val="00831D5B"/>
    <w:rsid w:val="00832DD6"/>
    <w:rsid w:val="00832F0C"/>
    <w:rsid w:val="008336F2"/>
    <w:rsid w:val="008345D9"/>
    <w:rsid w:val="008347CB"/>
    <w:rsid w:val="008352B9"/>
    <w:rsid w:val="00835647"/>
    <w:rsid w:val="00837A2E"/>
    <w:rsid w:val="00841558"/>
    <w:rsid w:val="00842A68"/>
    <w:rsid w:val="008435BA"/>
    <w:rsid w:val="00843C10"/>
    <w:rsid w:val="0084558B"/>
    <w:rsid w:val="0084654A"/>
    <w:rsid w:val="008471E2"/>
    <w:rsid w:val="00847654"/>
    <w:rsid w:val="00851064"/>
    <w:rsid w:val="008510DB"/>
    <w:rsid w:val="00852816"/>
    <w:rsid w:val="00855543"/>
    <w:rsid w:val="008566B3"/>
    <w:rsid w:val="008576B7"/>
    <w:rsid w:val="00857F7B"/>
    <w:rsid w:val="0086003E"/>
    <w:rsid w:val="008618BD"/>
    <w:rsid w:val="00863DA1"/>
    <w:rsid w:val="008654A6"/>
    <w:rsid w:val="00865609"/>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1B42"/>
    <w:rsid w:val="00892955"/>
    <w:rsid w:val="00893628"/>
    <w:rsid w:val="008941EB"/>
    <w:rsid w:val="0089545A"/>
    <w:rsid w:val="00895A02"/>
    <w:rsid w:val="00897515"/>
    <w:rsid w:val="00897527"/>
    <w:rsid w:val="008A01EE"/>
    <w:rsid w:val="008A0DAC"/>
    <w:rsid w:val="008A14D2"/>
    <w:rsid w:val="008A3B78"/>
    <w:rsid w:val="008A3E09"/>
    <w:rsid w:val="008A4166"/>
    <w:rsid w:val="008A7444"/>
    <w:rsid w:val="008A7DBF"/>
    <w:rsid w:val="008B136C"/>
    <w:rsid w:val="008B1D48"/>
    <w:rsid w:val="008B53C2"/>
    <w:rsid w:val="008B55EF"/>
    <w:rsid w:val="008B5FE7"/>
    <w:rsid w:val="008B6910"/>
    <w:rsid w:val="008B7D3E"/>
    <w:rsid w:val="008C0B5C"/>
    <w:rsid w:val="008C1343"/>
    <w:rsid w:val="008C3912"/>
    <w:rsid w:val="008C3FB5"/>
    <w:rsid w:val="008C5598"/>
    <w:rsid w:val="008C69EA"/>
    <w:rsid w:val="008C6F8B"/>
    <w:rsid w:val="008C7AB7"/>
    <w:rsid w:val="008C7F70"/>
    <w:rsid w:val="008C7FB4"/>
    <w:rsid w:val="008D2C8C"/>
    <w:rsid w:val="008D3040"/>
    <w:rsid w:val="008D3ECD"/>
    <w:rsid w:val="008D5C03"/>
    <w:rsid w:val="008D7580"/>
    <w:rsid w:val="008D7C35"/>
    <w:rsid w:val="008E1F03"/>
    <w:rsid w:val="008E336C"/>
    <w:rsid w:val="008E5698"/>
    <w:rsid w:val="008E5733"/>
    <w:rsid w:val="008E7555"/>
    <w:rsid w:val="008E77D2"/>
    <w:rsid w:val="008E78FD"/>
    <w:rsid w:val="008F0531"/>
    <w:rsid w:val="008F0D26"/>
    <w:rsid w:val="008F199D"/>
    <w:rsid w:val="008F3635"/>
    <w:rsid w:val="008F38A0"/>
    <w:rsid w:val="008F39C9"/>
    <w:rsid w:val="008F5EB5"/>
    <w:rsid w:val="008F678C"/>
    <w:rsid w:val="008F6D08"/>
    <w:rsid w:val="008F75A7"/>
    <w:rsid w:val="008F7E5A"/>
    <w:rsid w:val="00900A7F"/>
    <w:rsid w:val="009036EE"/>
    <w:rsid w:val="00905815"/>
    <w:rsid w:val="00905D1D"/>
    <w:rsid w:val="0091016D"/>
    <w:rsid w:val="00910C98"/>
    <w:rsid w:val="009114FE"/>
    <w:rsid w:val="00911910"/>
    <w:rsid w:val="00912A58"/>
    <w:rsid w:val="00913908"/>
    <w:rsid w:val="00913D26"/>
    <w:rsid w:val="0091438B"/>
    <w:rsid w:val="009147E3"/>
    <w:rsid w:val="00920FD2"/>
    <w:rsid w:val="0092298B"/>
    <w:rsid w:val="00923145"/>
    <w:rsid w:val="00923A43"/>
    <w:rsid w:val="0092439C"/>
    <w:rsid w:val="0092498E"/>
    <w:rsid w:val="00925B91"/>
    <w:rsid w:val="0093415E"/>
    <w:rsid w:val="00934461"/>
    <w:rsid w:val="00934F7E"/>
    <w:rsid w:val="00936A1C"/>
    <w:rsid w:val="00943E35"/>
    <w:rsid w:val="00945278"/>
    <w:rsid w:val="0094658D"/>
    <w:rsid w:val="00947678"/>
    <w:rsid w:val="00947878"/>
    <w:rsid w:val="00947A27"/>
    <w:rsid w:val="009504C2"/>
    <w:rsid w:val="0095254A"/>
    <w:rsid w:val="0095273B"/>
    <w:rsid w:val="0095537A"/>
    <w:rsid w:val="009559E1"/>
    <w:rsid w:val="009568D5"/>
    <w:rsid w:val="00957CD3"/>
    <w:rsid w:val="0096269B"/>
    <w:rsid w:val="00963FB0"/>
    <w:rsid w:val="00964C86"/>
    <w:rsid w:val="00965E82"/>
    <w:rsid w:val="009664BB"/>
    <w:rsid w:val="009669F8"/>
    <w:rsid w:val="00966F89"/>
    <w:rsid w:val="00973B5D"/>
    <w:rsid w:val="009756B0"/>
    <w:rsid w:val="0097755E"/>
    <w:rsid w:val="009803C7"/>
    <w:rsid w:val="00981467"/>
    <w:rsid w:val="00981C24"/>
    <w:rsid w:val="00983652"/>
    <w:rsid w:val="009852F6"/>
    <w:rsid w:val="00985DE5"/>
    <w:rsid w:val="00986254"/>
    <w:rsid w:val="0098729E"/>
    <w:rsid w:val="00990067"/>
    <w:rsid w:val="00992977"/>
    <w:rsid w:val="009937D4"/>
    <w:rsid w:val="00993C78"/>
    <w:rsid w:val="009948C7"/>
    <w:rsid w:val="00995850"/>
    <w:rsid w:val="009968AA"/>
    <w:rsid w:val="0099796C"/>
    <w:rsid w:val="009A194E"/>
    <w:rsid w:val="009A1EA2"/>
    <w:rsid w:val="009A209E"/>
    <w:rsid w:val="009A3FD7"/>
    <w:rsid w:val="009A6652"/>
    <w:rsid w:val="009A74FD"/>
    <w:rsid w:val="009B25D8"/>
    <w:rsid w:val="009B42E3"/>
    <w:rsid w:val="009B5859"/>
    <w:rsid w:val="009C5988"/>
    <w:rsid w:val="009C6B5D"/>
    <w:rsid w:val="009C6D07"/>
    <w:rsid w:val="009C7CEC"/>
    <w:rsid w:val="009D154D"/>
    <w:rsid w:val="009D18EF"/>
    <w:rsid w:val="009D3BE8"/>
    <w:rsid w:val="009D44E0"/>
    <w:rsid w:val="009D4D8C"/>
    <w:rsid w:val="009D573B"/>
    <w:rsid w:val="009D59A0"/>
    <w:rsid w:val="009D716A"/>
    <w:rsid w:val="009E1AC4"/>
    <w:rsid w:val="009E20B8"/>
    <w:rsid w:val="009E29A0"/>
    <w:rsid w:val="009E41B5"/>
    <w:rsid w:val="009E55D7"/>
    <w:rsid w:val="009E627C"/>
    <w:rsid w:val="009F110B"/>
    <w:rsid w:val="009F111D"/>
    <w:rsid w:val="009F1498"/>
    <w:rsid w:val="009F1E9F"/>
    <w:rsid w:val="009F34C7"/>
    <w:rsid w:val="009F3793"/>
    <w:rsid w:val="009F54F2"/>
    <w:rsid w:val="009F7746"/>
    <w:rsid w:val="00A0056B"/>
    <w:rsid w:val="00A01657"/>
    <w:rsid w:val="00A01C65"/>
    <w:rsid w:val="00A0213D"/>
    <w:rsid w:val="00A04C73"/>
    <w:rsid w:val="00A0679A"/>
    <w:rsid w:val="00A07A2B"/>
    <w:rsid w:val="00A1069E"/>
    <w:rsid w:val="00A12375"/>
    <w:rsid w:val="00A125B8"/>
    <w:rsid w:val="00A12B18"/>
    <w:rsid w:val="00A13124"/>
    <w:rsid w:val="00A15370"/>
    <w:rsid w:val="00A156AB"/>
    <w:rsid w:val="00A16B8D"/>
    <w:rsid w:val="00A204E9"/>
    <w:rsid w:val="00A21293"/>
    <w:rsid w:val="00A2134B"/>
    <w:rsid w:val="00A21623"/>
    <w:rsid w:val="00A220EB"/>
    <w:rsid w:val="00A22302"/>
    <w:rsid w:val="00A22F84"/>
    <w:rsid w:val="00A25F1B"/>
    <w:rsid w:val="00A325F3"/>
    <w:rsid w:val="00A32992"/>
    <w:rsid w:val="00A33103"/>
    <w:rsid w:val="00A33294"/>
    <w:rsid w:val="00A35DCB"/>
    <w:rsid w:val="00A3690E"/>
    <w:rsid w:val="00A37751"/>
    <w:rsid w:val="00A406B1"/>
    <w:rsid w:val="00A4113E"/>
    <w:rsid w:val="00A42435"/>
    <w:rsid w:val="00A438BA"/>
    <w:rsid w:val="00A446FD"/>
    <w:rsid w:val="00A452B2"/>
    <w:rsid w:val="00A46F46"/>
    <w:rsid w:val="00A500ED"/>
    <w:rsid w:val="00A5088D"/>
    <w:rsid w:val="00A51CD2"/>
    <w:rsid w:val="00A52CB6"/>
    <w:rsid w:val="00A52F99"/>
    <w:rsid w:val="00A538BB"/>
    <w:rsid w:val="00A54164"/>
    <w:rsid w:val="00A56737"/>
    <w:rsid w:val="00A60002"/>
    <w:rsid w:val="00A603D8"/>
    <w:rsid w:val="00A60AE2"/>
    <w:rsid w:val="00A61834"/>
    <w:rsid w:val="00A618B0"/>
    <w:rsid w:val="00A62790"/>
    <w:rsid w:val="00A6291F"/>
    <w:rsid w:val="00A63F53"/>
    <w:rsid w:val="00A65F4E"/>
    <w:rsid w:val="00A66B11"/>
    <w:rsid w:val="00A7111E"/>
    <w:rsid w:val="00A73FBE"/>
    <w:rsid w:val="00A755B6"/>
    <w:rsid w:val="00A75B1A"/>
    <w:rsid w:val="00A80ED4"/>
    <w:rsid w:val="00A816C4"/>
    <w:rsid w:val="00A82981"/>
    <w:rsid w:val="00A86F10"/>
    <w:rsid w:val="00A87AF2"/>
    <w:rsid w:val="00A90965"/>
    <w:rsid w:val="00A90B23"/>
    <w:rsid w:val="00A92EBE"/>
    <w:rsid w:val="00A93193"/>
    <w:rsid w:val="00A93C2B"/>
    <w:rsid w:val="00A94556"/>
    <w:rsid w:val="00A96AF1"/>
    <w:rsid w:val="00A974CB"/>
    <w:rsid w:val="00AA1EAC"/>
    <w:rsid w:val="00AA29D7"/>
    <w:rsid w:val="00AA45E2"/>
    <w:rsid w:val="00AA7AC1"/>
    <w:rsid w:val="00AB0455"/>
    <w:rsid w:val="00AB6327"/>
    <w:rsid w:val="00AB6B8F"/>
    <w:rsid w:val="00AC0C65"/>
    <w:rsid w:val="00AC0FB2"/>
    <w:rsid w:val="00AC12F0"/>
    <w:rsid w:val="00AC3721"/>
    <w:rsid w:val="00AC41C6"/>
    <w:rsid w:val="00AC55AA"/>
    <w:rsid w:val="00AC70C7"/>
    <w:rsid w:val="00AC76B7"/>
    <w:rsid w:val="00AD0223"/>
    <w:rsid w:val="00AD123A"/>
    <w:rsid w:val="00AD15FF"/>
    <w:rsid w:val="00AD1AA5"/>
    <w:rsid w:val="00AD2920"/>
    <w:rsid w:val="00AD2CD5"/>
    <w:rsid w:val="00AD2DFC"/>
    <w:rsid w:val="00AD33FA"/>
    <w:rsid w:val="00AD38C4"/>
    <w:rsid w:val="00AD5A4A"/>
    <w:rsid w:val="00AD60EE"/>
    <w:rsid w:val="00AD6A2B"/>
    <w:rsid w:val="00AD6C4A"/>
    <w:rsid w:val="00AD73D4"/>
    <w:rsid w:val="00AE1EA2"/>
    <w:rsid w:val="00AE2874"/>
    <w:rsid w:val="00AE2BA2"/>
    <w:rsid w:val="00AE2F98"/>
    <w:rsid w:val="00AE3602"/>
    <w:rsid w:val="00AE5342"/>
    <w:rsid w:val="00AE5987"/>
    <w:rsid w:val="00AE5ACF"/>
    <w:rsid w:val="00AE6472"/>
    <w:rsid w:val="00AE755C"/>
    <w:rsid w:val="00AF0026"/>
    <w:rsid w:val="00AF01E3"/>
    <w:rsid w:val="00AF1345"/>
    <w:rsid w:val="00AF1A24"/>
    <w:rsid w:val="00AF38A8"/>
    <w:rsid w:val="00AF63EB"/>
    <w:rsid w:val="00B016D2"/>
    <w:rsid w:val="00B018EC"/>
    <w:rsid w:val="00B060C7"/>
    <w:rsid w:val="00B11AB7"/>
    <w:rsid w:val="00B12213"/>
    <w:rsid w:val="00B1229A"/>
    <w:rsid w:val="00B1282E"/>
    <w:rsid w:val="00B135E8"/>
    <w:rsid w:val="00B13710"/>
    <w:rsid w:val="00B1633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0CEE"/>
    <w:rsid w:val="00B51C67"/>
    <w:rsid w:val="00B52BB5"/>
    <w:rsid w:val="00B53F86"/>
    <w:rsid w:val="00B53FDC"/>
    <w:rsid w:val="00B55431"/>
    <w:rsid w:val="00B55CAE"/>
    <w:rsid w:val="00B576C6"/>
    <w:rsid w:val="00B615F2"/>
    <w:rsid w:val="00B61A28"/>
    <w:rsid w:val="00B65C6D"/>
    <w:rsid w:val="00B66B06"/>
    <w:rsid w:val="00B67862"/>
    <w:rsid w:val="00B67C60"/>
    <w:rsid w:val="00B70634"/>
    <w:rsid w:val="00B70BE4"/>
    <w:rsid w:val="00B73880"/>
    <w:rsid w:val="00B73CF1"/>
    <w:rsid w:val="00B745B3"/>
    <w:rsid w:val="00B7599D"/>
    <w:rsid w:val="00B7648F"/>
    <w:rsid w:val="00B76E13"/>
    <w:rsid w:val="00B771EE"/>
    <w:rsid w:val="00B7765B"/>
    <w:rsid w:val="00B77B4B"/>
    <w:rsid w:val="00B80ABC"/>
    <w:rsid w:val="00B814C2"/>
    <w:rsid w:val="00B82ADC"/>
    <w:rsid w:val="00B83027"/>
    <w:rsid w:val="00B900FE"/>
    <w:rsid w:val="00B9064C"/>
    <w:rsid w:val="00B91382"/>
    <w:rsid w:val="00B93B6E"/>
    <w:rsid w:val="00BA0A14"/>
    <w:rsid w:val="00BA228D"/>
    <w:rsid w:val="00BA398D"/>
    <w:rsid w:val="00BA39D3"/>
    <w:rsid w:val="00BA5C56"/>
    <w:rsid w:val="00BA776F"/>
    <w:rsid w:val="00BB0C0D"/>
    <w:rsid w:val="00BB0D69"/>
    <w:rsid w:val="00BB366E"/>
    <w:rsid w:val="00BB3AF0"/>
    <w:rsid w:val="00BB4F70"/>
    <w:rsid w:val="00BB67FF"/>
    <w:rsid w:val="00BB6A88"/>
    <w:rsid w:val="00BC11B9"/>
    <w:rsid w:val="00BC138C"/>
    <w:rsid w:val="00BC14CF"/>
    <w:rsid w:val="00BC1659"/>
    <w:rsid w:val="00BC2C91"/>
    <w:rsid w:val="00BC3A9C"/>
    <w:rsid w:val="00BC4305"/>
    <w:rsid w:val="00BC5288"/>
    <w:rsid w:val="00BC6A71"/>
    <w:rsid w:val="00BC6B2F"/>
    <w:rsid w:val="00BD0637"/>
    <w:rsid w:val="00BD08A8"/>
    <w:rsid w:val="00BD1BAC"/>
    <w:rsid w:val="00BD1FA8"/>
    <w:rsid w:val="00BD25A6"/>
    <w:rsid w:val="00BD3FA9"/>
    <w:rsid w:val="00BD4C95"/>
    <w:rsid w:val="00BD65FC"/>
    <w:rsid w:val="00BD7660"/>
    <w:rsid w:val="00BE0666"/>
    <w:rsid w:val="00BE2144"/>
    <w:rsid w:val="00BE24B9"/>
    <w:rsid w:val="00BE2AE8"/>
    <w:rsid w:val="00BE2D55"/>
    <w:rsid w:val="00BE38DD"/>
    <w:rsid w:val="00BE4AB1"/>
    <w:rsid w:val="00BF16C3"/>
    <w:rsid w:val="00BF38E0"/>
    <w:rsid w:val="00BF44FA"/>
    <w:rsid w:val="00BF57E1"/>
    <w:rsid w:val="00BF7225"/>
    <w:rsid w:val="00C003B4"/>
    <w:rsid w:val="00C00A5F"/>
    <w:rsid w:val="00C03305"/>
    <w:rsid w:val="00C03E8A"/>
    <w:rsid w:val="00C042E0"/>
    <w:rsid w:val="00C051D9"/>
    <w:rsid w:val="00C06333"/>
    <w:rsid w:val="00C065C1"/>
    <w:rsid w:val="00C06F68"/>
    <w:rsid w:val="00C075BA"/>
    <w:rsid w:val="00C10A3A"/>
    <w:rsid w:val="00C11E20"/>
    <w:rsid w:val="00C13F46"/>
    <w:rsid w:val="00C15D16"/>
    <w:rsid w:val="00C177CE"/>
    <w:rsid w:val="00C20015"/>
    <w:rsid w:val="00C247DD"/>
    <w:rsid w:val="00C25B43"/>
    <w:rsid w:val="00C26A54"/>
    <w:rsid w:val="00C3261C"/>
    <w:rsid w:val="00C3318B"/>
    <w:rsid w:val="00C33C20"/>
    <w:rsid w:val="00C35362"/>
    <w:rsid w:val="00C357EA"/>
    <w:rsid w:val="00C379F8"/>
    <w:rsid w:val="00C37A1C"/>
    <w:rsid w:val="00C42323"/>
    <w:rsid w:val="00C43125"/>
    <w:rsid w:val="00C4316E"/>
    <w:rsid w:val="00C453A9"/>
    <w:rsid w:val="00C465D5"/>
    <w:rsid w:val="00C4756A"/>
    <w:rsid w:val="00C47C39"/>
    <w:rsid w:val="00C50649"/>
    <w:rsid w:val="00C50E1F"/>
    <w:rsid w:val="00C51C09"/>
    <w:rsid w:val="00C52BB6"/>
    <w:rsid w:val="00C53471"/>
    <w:rsid w:val="00C540B1"/>
    <w:rsid w:val="00C55143"/>
    <w:rsid w:val="00C5611B"/>
    <w:rsid w:val="00C5695E"/>
    <w:rsid w:val="00C61528"/>
    <w:rsid w:val="00C63457"/>
    <w:rsid w:val="00C6418F"/>
    <w:rsid w:val="00C64964"/>
    <w:rsid w:val="00C6631E"/>
    <w:rsid w:val="00C67473"/>
    <w:rsid w:val="00C67AA4"/>
    <w:rsid w:val="00C7148C"/>
    <w:rsid w:val="00C72192"/>
    <w:rsid w:val="00C732E5"/>
    <w:rsid w:val="00C73D0B"/>
    <w:rsid w:val="00C75017"/>
    <w:rsid w:val="00C756AD"/>
    <w:rsid w:val="00C765B4"/>
    <w:rsid w:val="00C813EA"/>
    <w:rsid w:val="00C81496"/>
    <w:rsid w:val="00C82CE6"/>
    <w:rsid w:val="00C82E22"/>
    <w:rsid w:val="00C85144"/>
    <w:rsid w:val="00C86738"/>
    <w:rsid w:val="00C86A27"/>
    <w:rsid w:val="00C907DE"/>
    <w:rsid w:val="00C91517"/>
    <w:rsid w:val="00C929BD"/>
    <w:rsid w:val="00C931A2"/>
    <w:rsid w:val="00C95253"/>
    <w:rsid w:val="00CA02E1"/>
    <w:rsid w:val="00CA0DBE"/>
    <w:rsid w:val="00CA15DA"/>
    <w:rsid w:val="00CA224E"/>
    <w:rsid w:val="00CA41C5"/>
    <w:rsid w:val="00CA42B7"/>
    <w:rsid w:val="00CA4A53"/>
    <w:rsid w:val="00CA51F5"/>
    <w:rsid w:val="00CB218A"/>
    <w:rsid w:val="00CB225A"/>
    <w:rsid w:val="00CB300A"/>
    <w:rsid w:val="00CB4D99"/>
    <w:rsid w:val="00CB69E6"/>
    <w:rsid w:val="00CB761B"/>
    <w:rsid w:val="00CB7E33"/>
    <w:rsid w:val="00CC00FD"/>
    <w:rsid w:val="00CC13DF"/>
    <w:rsid w:val="00CC1EEE"/>
    <w:rsid w:val="00CC1F08"/>
    <w:rsid w:val="00CC562B"/>
    <w:rsid w:val="00CC6C15"/>
    <w:rsid w:val="00CC7FCF"/>
    <w:rsid w:val="00CD2749"/>
    <w:rsid w:val="00CD2A60"/>
    <w:rsid w:val="00CD306F"/>
    <w:rsid w:val="00CD3971"/>
    <w:rsid w:val="00CD3DAB"/>
    <w:rsid w:val="00CE0121"/>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3EEB"/>
    <w:rsid w:val="00D140A0"/>
    <w:rsid w:val="00D176B4"/>
    <w:rsid w:val="00D203D1"/>
    <w:rsid w:val="00D2057A"/>
    <w:rsid w:val="00D21D98"/>
    <w:rsid w:val="00D2317F"/>
    <w:rsid w:val="00D231A9"/>
    <w:rsid w:val="00D24391"/>
    <w:rsid w:val="00D2472B"/>
    <w:rsid w:val="00D253DD"/>
    <w:rsid w:val="00D256E6"/>
    <w:rsid w:val="00D26FFA"/>
    <w:rsid w:val="00D30F98"/>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1802"/>
    <w:rsid w:val="00D5235F"/>
    <w:rsid w:val="00D52F50"/>
    <w:rsid w:val="00D5545A"/>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4D5F"/>
    <w:rsid w:val="00D851E2"/>
    <w:rsid w:val="00D87FFA"/>
    <w:rsid w:val="00D91419"/>
    <w:rsid w:val="00D92A09"/>
    <w:rsid w:val="00D92D2A"/>
    <w:rsid w:val="00D92EEC"/>
    <w:rsid w:val="00D93470"/>
    <w:rsid w:val="00D938FF"/>
    <w:rsid w:val="00D9395F"/>
    <w:rsid w:val="00D93D55"/>
    <w:rsid w:val="00D941FA"/>
    <w:rsid w:val="00D94B59"/>
    <w:rsid w:val="00D95315"/>
    <w:rsid w:val="00D95952"/>
    <w:rsid w:val="00D95EAB"/>
    <w:rsid w:val="00DA097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1A3F"/>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0E02"/>
    <w:rsid w:val="00DE167C"/>
    <w:rsid w:val="00DE3B70"/>
    <w:rsid w:val="00DE5813"/>
    <w:rsid w:val="00DE74C9"/>
    <w:rsid w:val="00DF10B1"/>
    <w:rsid w:val="00DF17AD"/>
    <w:rsid w:val="00DF1FDA"/>
    <w:rsid w:val="00DF3DD0"/>
    <w:rsid w:val="00DF4D50"/>
    <w:rsid w:val="00DF538C"/>
    <w:rsid w:val="00DF7217"/>
    <w:rsid w:val="00E021C2"/>
    <w:rsid w:val="00E024A3"/>
    <w:rsid w:val="00E039E1"/>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4AFC"/>
    <w:rsid w:val="00E4542D"/>
    <w:rsid w:val="00E45BE0"/>
    <w:rsid w:val="00E46CAD"/>
    <w:rsid w:val="00E47521"/>
    <w:rsid w:val="00E4760C"/>
    <w:rsid w:val="00E507A6"/>
    <w:rsid w:val="00E5375C"/>
    <w:rsid w:val="00E54C96"/>
    <w:rsid w:val="00E561AD"/>
    <w:rsid w:val="00E57FAF"/>
    <w:rsid w:val="00E60BA9"/>
    <w:rsid w:val="00E62271"/>
    <w:rsid w:val="00E63510"/>
    <w:rsid w:val="00E635EA"/>
    <w:rsid w:val="00E655E5"/>
    <w:rsid w:val="00E65EE0"/>
    <w:rsid w:val="00E65F4E"/>
    <w:rsid w:val="00E662E0"/>
    <w:rsid w:val="00E6690C"/>
    <w:rsid w:val="00E67D5D"/>
    <w:rsid w:val="00E71C7A"/>
    <w:rsid w:val="00E72351"/>
    <w:rsid w:val="00E73119"/>
    <w:rsid w:val="00E73E1E"/>
    <w:rsid w:val="00E767FF"/>
    <w:rsid w:val="00E81804"/>
    <w:rsid w:val="00E83247"/>
    <w:rsid w:val="00E84543"/>
    <w:rsid w:val="00E84C91"/>
    <w:rsid w:val="00E84E60"/>
    <w:rsid w:val="00E8517F"/>
    <w:rsid w:val="00E8556E"/>
    <w:rsid w:val="00E86B2D"/>
    <w:rsid w:val="00E86F4D"/>
    <w:rsid w:val="00E87D08"/>
    <w:rsid w:val="00E90974"/>
    <w:rsid w:val="00E90D0E"/>
    <w:rsid w:val="00E91B2D"/>
    <w:rsid w:val="00E92FCA"/>
    <w:rsid w:val="00E95CAA"/>
    <w:rsid w:val="00EA0A39"/>
    <w:rsid w:val="00EA0EB2"/>
    <w:rsid w:val="00EA236F"/>
    <w:rsid w:val="00EA3023"/>
    <w:rsid w:val="00EA341B"/>
    <w:rsid w:val="00EA3E49"/>
    <w:rsid w:val="00EA3FC8"/>
    <w:rsid w:val="00EA5B8C"/>
    <w:rsid w:val="00EB0DC9"/>
    <w:rsid w:val="00EB1383"/>
    <w:rsid w:val="00EB252D"/>
    <w:rsid w:val="00EB2692"/>
    <w:rsid w:val="00EB29FA"/>
    <w:rsid w:val="00EB2CCE"/>
    <w:rsid w:val="00EB385F"/>
    <w:rsid w:val="00EB3E49"/>
    <w:rsid w:val="00EB5B19"/>
    <w:rsid w:val="00EB5C7A"/>
    <w:rsid w:val="00EB5FC3"/>
    <w:rsid w:val="00EB6DA9"/>
    <w:rsid w:val="00EC1561"/>
    <w:rsid w:val="00EC462E"/>
    <w:rsid w:val="00EC6CD8"/>
    <w:rsid w:val="00EC786F"/>
    <w:rsid w:val="00ED1378"/>
    <w:rsid w:val="00ED1866"/>
    <w:rsid w:val="00ED3134"/>
    <w:rsid w:val="00ED318D"/>
    <w:rsid w:val="00ED38E2"/>
    <w:rsid w:val="00ED5C44"/>
    <w:rsid w:val="00ED635B"/>
    <w:rsid w:val="00EE742D"/>
    <w:rsid w:val="00EF0A22"/>
    <w:rsid w:val="00EF1267"/>
    <w:rsid w:val="00EF180C"/>
    <w:rsid w:val="00EF33CC"/>
    <w:rsid w:val="00EF3B6B"/>
    <w:rsid w:val="00EF4B43"/>
    <w:rsid w:val="00EF6750"/>
    <w:rsid w:val="00EF770B"/>
    <w:rsid w:val="00F02836"/>
    <w:rsid w:val="00F02892"/>
    <w:rsid w:val="00F02FB5"/>
    <w:rsid w:val="00F0534E"/>
    <w:rsid w:val="00F05C30"/>
    <w:rsid w:val="00F10A31"/>
    <w:rsid w:val="00F10F1B"/>
    <w:rsid w:val="00F14179"/>
    <w:rsid w:val="00F15786"/>
    <w:rsid w:val="00F167C5"/>
    <w:rsid w:val="00F20B5A"/>
    <w:rsid w:val="00F21F0B"/>
    <w:rsid w:val="00F236AB"/>
    <w:rsid w:val="00F24E43"/>
    <w:rsid w:val="00F24EA4"/>
    <w:rsid w:val="00F27087"/>
    <w:rsid w:val="00F2773C"/>
    <w:rsid w:val="00F300B3"/>
    <w:rsid w:val="00F30DB9"/>
    <w:rsid w:val="00F30FB8"/>
    <w:rsid w:val="00F31D68"/>
    <w:rsid w:val="00F32A06"/>
    <w:rsid w:val="00F33152"/>
    <w:rsid w:val="00F338F2"/>
    <w:rsid w:val="00F349D3"/>
    <w:rsid w:val="00F3533E"/>
    <w:rsid w:val="00F35B84"/>
    <w:rsid w:val="00F402B5"/>
    <w:rsid w:val="00F4072F"/>
    <w:rsid w:val="00F42839"/>
    <w:rsid w:val="00F44CC0"/>
    <w:rsid w:val="00F450BA"/>
    <w:rsid w:val="00F461AB"/>
    <w:rsid w:val="00F4684B"/>
    <w:rsid w:val="00F46BE9"/>
    <w:rsid w:val="00F47C3B"/>
    <w:rsid w:val="00F506CA"/>
    <w:rsid w:val="00F51BE1"/>
    <w:rsid w:val="00F52D43"/>
    <w:rsid w:val="00F53A7A"/>
    <w:rsid w:val="00F54FCD"/>
    <w:rsid w:val="00F5785C"/>
    <w:rsid w:val="00F62539"/>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4ED9"/>
    <w:rsid w:val="00FB50ED"/>
    <w:rsid w:val="00FB6E18"/>
    <w:rsid w:val="00FC0913"/>
    <w:rsid w:val="00FC144B"/>
    <w:rsid w:val="00FC2169"/>
    <w:rsid w:val="00FC28E2"/>
    <w:rsid w:val="00FC3BF6"/>
    <w:rsid w:val="00FC3D22"/>
    <w:rsid w:val="00FC6FE1"/>
    <w:rsid w:val="00FD0C3D"/>
    <w:rsid w:val="00FD0FE4"/>
    <w:rsid w:val="00FD2F6B"/>
    <w:rsid w:val="00FE064A"/>
    <w:rsid w:val="00FE0B55"/>
    <w:rsid w:val="00FE1E98"/>
    <w:rsid w:val="00FE2452"/>
    <w:rsid w:val="00FE4037"/>
    <w:rsid w:val="00FE5469"/>
    <w:rsid w:val="00FE66C2"/>
    <w:rsid w:val="00FE67DA"/>
    <w:rsid w:val="00FE684A"/>
    <w:rsid w:val="00FE6F23"/>
    <w:rsid w:val="00FE7B40"/>
    <w:rsid w:val="00FF0F8C"/>
    <w:rsid w:val="00FF408B"/>
    <w:rsid w:val="00FF43E1"/>
    <w:rsid w:val="012B1219"/>
    <w:rsid w:val="01752D4F"/>
    <w:rsid w:val="01BF19B4"/>
    <w:rsid w:val="029525CA"/>
    <w:rsid w:val="02CE01A5"/>
    <w:rsid w:val="03235021"/>
    <w:rsid w:val="03430854"/>
    <w:rsid w:val="0359105E"/>
    <w:rsid w:val="039F5FA6"/>
    <w:rsid w:val="05EA06E6"/>
    <w:rsid w:val="066A45CD"/>
    <w:rsid w:val="07227D6F"/>
    <w:rsid w:val="07BD3EF3"/>
    <w:rsid w:val="07EC2209"/>
    <w:rsid w:val="08724263"/>
    <w:rsid w:val="090968C6"/>
    <w:rsid w:val="09305ADA"/>
    <w:rsid w:val="096B7D90"/>
    <w:rsid w:val="09843994"/>
    <w:rsid w:val="0B0C10FF"/>
    <w:rsid w:val="0CC20787"/>
    <w:rsid w:val="0D365BD6"/>
    <w:rsid w:val="0D9765DF"/>
    <w:rsid w:val="0E71409B"/>
    <w:rsid w:val="0E8013B7"/>
    <w:rsid w:val="0E8E38FA"/>
    <w:rsid w:val="0F24270E"/>
    <w:rsid w:val="0F317386"/>
    <w:rsid w:val="0FB83E64"/>
    <w:rsid w:val="10014FAA"/>
    <w:rsid w:val="10C8763D"/>
    <w:rsid w:val="10D604C6"/>
    <w:rsid w:val="11B515E0"/>
    <w:rsid w:val="126E269F"/>
    <w:rsid w:val="1279795D"/>
    <w:rsid w:val="12A130A0"/>
    <w:rsid w:val="13826402"/>
    <w:rsid w:val="13A53267"/>
    <w:rsid w:val="13F970D2"/>
    <w:rsid w:val="14627FE2"/>
    <w:rsid w:val="148166BA"/>
    <w:rsid w:val="148B12E6"/>
    <w:rsid w:val="14AA4136"/>
    <w:rsid w:val="14D60031"/>
    <w:rsid w:val="154252E4"/>
    <w:rsid w:val="15902CD5"/>
    <w:rsid w:val="161878A4"/>
    <w:rsid w:val="16322FEB"/>
    <w:rsid w:val="163A420B"/>
    <w:rsid w:val="166B37B6"/>
    <w:rsid w:val="16B36D4D"/>
    <w:rsid w:val="17686F34"/>
    <w:rsid w:val="176A74B6"/>
    <w:rsid w:val="18535B3B"/>
    <w:rsid w:val="19413B26"/>
    <w:rsid w:val="1A9143D5"/>
    <w:rsid w:val="1B18764C"/>
    <w:rsid w:val="1B8F6A2D"/>
    <w:rsid w:val="1BFF185E"/>
    <w:rsid w:val="1C6D3688"/>
    <w:rsid w:val="1CC63D0A"/>
    <w:rsid w:val="1DAD6D21"/>
    <w:rsid w:val="1DC2081A"/>
    <w:rsid w:val="1DD94266"/>
    <w:rsid w:val="1F9D0947"/>
    <w:rsid w:val="1FD69A29"/>
    <w:rsid w:val="1FFB29C6"/>
    <w:rsid w:val="200563F1"/>
    <w:rsid w:val="20B6343B"/>
    <w:rsid w:val="21022930"/>
    <w:rsid w:val="218E2416"/>
    <w:rsid w:val="21A8797C"/>
    <w:rsid w:val="22543660"/>
    <w:rsid w:val="228A4C0E"/>
    <w:rsid w:val="229F7CA9"/>
    <w:rsid w:val="22AF3620"/>
    <w:rsid w:val="22E70AD4"/>
    <w:rsid w:val="23021B6C"/>
    <w:rsid w:val="23AA4A73"/>
    <w:rsid w:val="24617847"/>
    <w:rsid w:val="24BE3012"/>
    <w:rsid w:val="24F1508D"/>
    <w:rsid w:val="25D23219"/>
    <w:rsid w:val="266F634F"/>
    <w:rsid w:val="26D60AE7"/>
    <w:rsid w:val="27D112AE"/>
    <w:rsid w:val="291059EA"/>
    <w:rsid w:val="292F44DF"/>
    <w:rsid w:val="294E0E09"/>
    <w:rsid w:val="2A132178"/>
    <w:rsid w:val="2ACA2711"/>
    <w:rsid w:val="2BBF12EC"/>
    <w:rsid w:val="2BC649D9"/>
    <w:rsid w:val="2BE76AA3"/>
    <w:rsid w:val="2C844B41"/>
    <w:rsid w:val="2CCE3B20"/>
    <w:rsid w:val="2E1A39AF"/>
    <w:rsid w:val="2ED7472D"/>
    <w:rsid w:val="2F221D5E"/>
    <w:rsid w:val="2F3F239B"/>
    <w:rsid w:val="2FA1D5AC"/>
    <w:rsid w:val="304040F2"/>
    <w:rsid w:val="30677F6B"/>
    <w:rsid w:val="30964D84"/>
    <w:rsid w:val="30EC0F07"/>
    <w:rsid w:val="30FE605F"/>
    <w:rsid w:val="31177EA7"/>
    <w:rsid w:val="31D10829"/>
    <w:rsid w:val="31EC0B22"/>
    <w:rsid w:val="32E225C2"/>
    <w:rsid w:val="332457B9"/>
    <w:rsid w:val="33C30C46"/>
    <w:rsid w:val="34C70084"/>
    <w:rsid w:val="3515160D"/>
    <w:rsid w:val="353B301B"/>
    <w:rsid w:val="3543266F"/>
    <w:rsid w:val="36981915"/>
    <w:rsid w:val="36B109A8"/>
    <w:rsid w:val="36BD75CE"/>
    <w:rsid w:val="38E26F32"/>
    <w:rsid w:val="3938118D"/>
    <w:rsid w:val="39405534"/>
    <w:rsid w:val="39E1358E"/>
    <w:rsid w:val="3AA60379"/>
    <w:rsid w:val="3AE5A8FF"/>
    <w:rsid w:val="3B0C7EAF"/>
    <w:rsid w:val="3BCD02B3"/>
    <w:rsid w:val="3C067321"/>
    <w:rsid w:val="3C7D00D8"/>
    <w:rsid w:val="3CA06C0C"/>
    <w:rsid w:val="3DB20720"/>
    <w:rsid w:val="3E530817"/>
    <w:rsid w:val="3EA25851"/>
    <w:rsid w:val="3F310B59"/>
    <w:rsid w:val="3F694D88"/>
    <w:rsid w:val="3F6C3757"/>
    <w:rsid w:val="3FCA68B7"/>
    <w:rsid w:val="3FD06DBD"/>
    <w:rsid w:val="405D6A10"/>
    <w:rsid w:val="40905D53"/>
    <w:rsid w:val="41DA6594"/>
    <w:rsid w:val="43127F5D"/>
    <w:rsid w:val="438E5AAC"/>
    <w:rsid w:val="43B14016"/>
    <w:rsid w:val="43CA157C"/>
    <w:rsid w:val="444C1A75"/>
    <w:rsid w:val="4488746D"/>
    <w:rsid w:val="44A3526F"/>
    <w:rsid w:val="44B032F4"/>
    <w:rsid w:val="457D25F7"/>
    <w:rsid w:val="45A04342"/>
    <w:rsid w:val="468341CD"/>
    <w:rsid w:val="472C2589"/>
    <w:rsid w:val="473744D0"/>
    <w:rsid w:val="4839282C"/>
    <w:rsid w:val="48B87BF5"/>
    <w:rsid w:val="4A2D2207"/>
    <w:rsid w:val="4A760AEB"/>
    <w:rsid w:val="4B1D01E3"/>
    <w:rsid w:val="4B205CC2"/>
    <w:rsid w:val="4B221C9D"/>
    <w:rsid w:val="4B413ED2"/>
    <w:rsid w:val="4C342650"/>
    <w:rsid w:val="4C3B7704"/>
    <w:rsid w:val="4D317F76"/>
    <w:rsid w:val="4DFF5F5F"/>
    <w:rsid w:val="4E2C3356"/>
    <w:rsid w:val="4F3162CA"/>
    <w:rsid w:val="4F932C84"/>
    <w:rsid w:val="50573F9F"/>
    <w:rsid w:val="50C23D07"/>
    <w:rsid w:val="50D95873"/>
    <w:rsid w:val="512F4FBB"/>
    <w:rsid w:val="515626A1"/>
    <w:rsid w:val="51DA5080"/>
    <w:rsid w:val="526102AF"/>
    <w:rsid w:val="528444DA"/>
    <w:rsid w:val="530D6D8F"/>
    <w:rsid w:val="532A7941"/>
    <w:rsid w:val="537745D5"/>
    <w:rsid w:val="53AE65FE"/>
    <w:rsid w:val="53E75832"/>
    <w:rsid w:val="552306F6"/>
    <w:rsid w:val="56E352D5"/>
    <w:rsid w:val="56EE2DFD"/>
    <w:rsid w:val="573644B1"/>
    <w:rsid w:val="57506C25"/>
    <w:rsid w:val="57521214"/>
    <w:rsid w:val="57E435FE"/>
    <w:rsid w:val="58156E12"/>
    <w:rsid w:val="5829790F"/>
    <w:rsid w:val="582D0655"/>
    <w:rsid w:val="58896EB8"/>
    <w:rsid w:val="5951205C"/>
    <w:rsid w:val="599B72E8"/>
    <w:rsid w:val="59D079E8"/>
    <w:rsid w:val="59D40847"/>
    <w:rsid w:val="59FB5B93"/>
    <w:rsid w:val="5A4E6620"/>
    <w:rsid w:val="5A7B6CD4"/>
    <w:rsid w:val="5AE37F25"/>
    <w:rsid w:val="5AE90E93"/>
    <w:rsid w:val="5BA377A4"/>
    <w:rsid w:val="5CB23D47"/>
    <w:rsid w:val="5CD01559"/>
    <w:rsid w:val="5D850596"/>
    <w:rsid w:val="5D856596"/>
    <w:rsid w:val="5D8827E5"/>
    <w:rsid w:val="5E2C27BF"/>
    <w:rsid w:val="5E8B4C73"/>
    <w:rsid w:val="5EAE1426"/>
    <w:rsid w:val="5F9F634E"/>
    <w:rsid w:val="5FAC0E71"/>
    <w:rsid w:val="5FAF09C4"/>
    <w:rsid w:val="5FBBC7C4"/>
    <w:rsid w:val="60193217"/>
    <w:rsid w:val="608C4642"/>
    <w:rsid w:val="60A131FF"/>
    <w:rsid w:val="62795572"/>
    <w:rsid w:val="62FB30A8"/>
    <w:rsid w:val="63E458E8"/>
    <w:rsid w:val="642E6B65"/>
    <w:rsid w:val="64583184"/>
    <w:rsid w:val="64DD6417"/>
    <w:rsid w:val="65821D2E"/>
    <w:rsid w:val="66004745"/>
    <w:rsid w:val="67095D94"/>
    <w:rsid w:val="68225781"/>
    <w:rsid w:val="682637C7"/>
    <w:rsid w:val="689A5793"/>
    <w:rsid w:val="6A567F20"/>
    <w:rsid w:val="6B6D61F2"/>
    <w:rsid w:val="6C457DF0"/>
    <w:rsid w:val="6CD97953"/>
    <w:rsid w:val="6E432E73"/>
    <w:rsid w:val="6ED30FD7"/>
    <w:rsid w:val="6EDF7CEF"/>
    <w:rsid w:val="6FE81B05"/>
    <w:rsid w:val="70184B78"/>
    <w:rsid w:val="703D085C"/>
    <w:rsid w:val="7056191E"/>
    <w:rsid w:val="707A1AB0"/>
    <w:rsid w:val="71663DE2"/>
    <w:rsid w:val="716E1759"/>
    <w:rsid w:val="717604C9"/>
    <w:rsid w:val="71BB7F9D"/>
    <w:rsid w:val="72703B48"/>
    <w:rsid w:val="727D78FD"/>
    <w:rsid w:val="72A03E5F"/>
    <w:rsid w:val="731C0C19"/>
    <w:rsid w:val="73CC655F"/>
    <w:rsid w:val="73D718AD"/>
    <w:rsid w:val="73DB0AB8"/>
    <w:rsid w:val="740A3B3E"/>
    <w:rsid w:val="74B65081"/>
    <w:rsid w:val="74BF4295"/>
    <w:rsid w:val="7591212F"/>
    <w:rsid w:val="75957445"/>
    <w:rsid w:val="75D01AE1"/>
    <w:rsid w:val="768E272C"/>
    <w:rsid w:val="76AA651F"/>
    <w:rsid w:val="76F69DE2"/>
    <w:rsid w:val="77524363"/>
    <w:rsid w:val="77B917B5"/>
    <w:rsid w:val="77ED3F75"/>
    <w:rsid w:val="78703975"/>
    <w:rsid w:val="7BB57E40"/>
    <w:rsid w:val="7BE420FD"/>
    <w:rsid w:val="7CB673CD"/>
    <w:rsid w:val="7D0D296B"/>
    <w:rsid w:val="7D4E0B54"/>
    <w:rsid w:val="7D503E78"/>
    <w:rsid w:val="7D5ECDC7"/>
    <w:rsid w:val="7DCA3EFB"/>
    <w:rsid w:val="7DFF2886"/>
    <w:rsid w:val="7E01111B"/>
    <w:rsid w:val="7E0160D4"/>
    <w:rsid w:val="7F1629A4"/>
    <w:rsid w:val="7F567244"/>
    <w:rsid w:val="7FCA19E0"/>
    <w:rsid w:val="B5A604A0"/>
    <w:rsid w:val="BBE56C27"/>
    <w:rsid w:val="BBFFE82F"/>
    <w:rsid w:val="D73FD650"/>
    <w:rsid w:val="EBAC0742"/>
    <w:rsid w:val="EF4C6BD8"/>
    <w:rsid w:val="F75D19D5"/>
    <w:rsid w:val="F7794FD2"/>
    <w:rsid w:val="FDE7CF4C"/>
    <w:rsid w:val="FDEF643C"/>
    <w:rsid w:val="FDFDB7A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6"/>
    <w:qFormat/>
    <w:uiPriority w:val="0"/>
    <w:pPr>
      <w:keepNext/>
      <w:keepLines/>
      <w:numPr>
        <w:ilvl w:val="0"/>
        <w:numId w:val="1"/>
      </w:numPr>
      <w:spacing w:before="120" w:after="120"/>
      <w:ind w:left="0" w:firstLine="0" w:firstLineChars="0"/>
      <w:outlineLvl w:val="0"/>
    </w:pPr>
    <w:rPr>
      <w:rFonts w:eastAsia="黑体"/>
      <w:b/>
      <w:bCs/>
      <w:kern w:val="44"/>
      <w:sz w:val="32"/>
      <w:szCs w:val="28"/>
    </w:rPr>
  </w:style>
  <w:style w:type="paragraph" w:styleId="3">
    <w:name w:val="heading 2"/>
    <w:basedOn w:val="1"/>
    <w:next w:val="1"/>
    <w:link w:val="89"/>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2"/>
    <w:qFormat/>
    <w:uiPriority w:val="0"/>
    <w:pPr>
      <w:keepNext/>
      <w:keepLines/>
      <w:numPr>
        <w:ilvl w:val="2"/>
        <w:numId w:val="1"/>
      </w:numPr>
      <w:spacing w:before="120" w:after="120"/>
      <w:ind w:left="0" w:firstLine="0" w:firstLineChars="0"/>
      <w:outlineLvl w:val="2"/>
    </w:pPr>
    <w:rPr>
      <w:b/>
      <w:bCs/>
      <w:sz w:val="28"/>
      <w:szCs w:val="28"/>
    </w:rPr>
  </w:style>
  <w:style w:type="paragraph" w:styleId="5">
    <w:name w:val="heading 4"/>
    <w:basedOn w:val="1"/>
    <w:next w:val="1"/>
    <w:link w:val="59"/>
    <w:qFormat/>
    <w:uiPriority w:val="0"/>
    <w:pPr>
      <w:keepNext/>
      <w:keepLines/>
      <w:numPr>
        <w:ilvl w:val="3"/>
        <w:numId w:val="1"/>
      </w:numPr>
      <w:spacing w:before="120" w:after="120"/>
      <w:ind w:left="0" w:firstLine="0" w:firstLineChars="0"/>
      <w:outlineLvl w:val="3"/>
    </w:pPr>
    <w:rPr>
      <w:b/>
      <w:bCs/>
      <w:sz w:val="30"/>
      <w:szCs w:val="30"/>
    </w:rPr>
  </w:style>
  <w:style w:type="paragraph" w:styleId="6">
    <w:name w:val="heading 5"/>
    <w:basedOn w:val="1"/>
    <w:next w:val="1"/>
    <w:link w:val="87"/>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100"/>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3"/>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9"/>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9"/>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5"/>
    <w:qFormat/>
    <w:uiPriority w:val="0"/>
    <w:pPr>
      <w:spacing w:afterLines="50"/>
      <w:ind w:firstLine="200"/>
    </w:pPr>
    <w:rPr>
      <w:rFonts w:ascii="Arial" w:hAnsi="Arial" w:eastAsia="黑体"/>
      <w:sz w:val="20"/>
      <w:szCs w:val="20"/>
    </w:rPr>
  </w:style>
  <w:style w:type="paragraph" w:styleId="14">
    <w:name w:val="Document Map"/>
    <w:basedOn w:val="1"/>
    <w:link w:val="92"/>
    <w:qFormat/>
    <w:uiPriority w:val="0"/>
    <w:rPr>
      <w:rFonts w:hAnsi="Times New Roman"/>
      <w:sz w:val="18"/>
      <w:szCs w:val="18"/>
    </w:rPr>
  </w:style>
  <w:style w:type="paragraph" w:styleId="15">
    <w:name w:val="annotation text"/>
    <w:basedOn w:val="1"/>
    <w:link w:val="46"/>
    <w:qFormat/>
    <w:uiPriority w:val="99"/>
    <w:pPr>
      <w:jc w:val="left"/>
    </w:pPr>
    <w:rPr>
      <w:rFonts w:ascii="Times New Roman" w:hAnsi="Times New Roman" w:eastAsia="仿宋"/>
      <w:sz w:val="28"/>
    </w:rPr>
  </w:style>
  <w:style w:type="paragraph" w:styleId="16">
    <w:name w:val="Body Text"/>
    <w:basedOn w:val="1"/>
    <w:link w:val="60"/>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6"/>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7"/>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8"/>
    <w:qFormat/>
    <w:uiPriority w:val="0"/>
    <w:pPr>
      <w:ind w:left="100" w:leftChars="2500"/>
    </w:pPr>
    <w:rPr>
      <w:rFonts w:ascii="Times New Roman" w:hAnsi="Times New Roman"/>
      <w:sz w:val="21"/>
    </w:rPr>
  </w:style>
  <w:style w:type="paragraph" w:styleId="23">
    <w:name w:val="Balloon Text"/>
    <w:basedOn w:val="1"/>
    <w:link w:val="97"/>
    <w:qFormat/>
    <w:uiPriority w:val="0"/>
    <w:rPr>
      <w:rFonts w:ascii="Times New Roman" w:hAnsi="Times New Roman"/>
      <w:sz w:val="18"/>
      <w:szCs w:val="18"/>
    </w:rPr>
  </w:style>
  <w:style w:type="paragraph" w:styleId="24">
    <w:name w:val="footer"/>
    <w:basedOn w:val="1"/>
    <w:link w:val="90"/>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8"/>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8"/>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6"/>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4"/>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paragraph" w:customStyle="1" w:styleId="42">
    <w:name w:val="可研正文"/>
    <w:basedOn w:val="1"/>
    <w:qFormat/>
    <w:uiPriority w:val="0"/>
    <w:pPr>
      <w:ind w:firstLine="200"/>
    </w:pPr>
    <w:rPr>
      <w:rFonts w:ascii="仿宋" w:hAnsi="仿宋"/>
      <w:szCs w:val="28"/>
    </w:rPr>
  </w:style>
  <w:style w:type="character" w:customStyle="1" w:styleId="43">
    <w:name w:val="标题 3 字符1"/>
    <w:qFormat/>
    <w:uiPriority w:val="0"/>
    <w:rPr>
      <w:rFonts w:ascii="宋体" w:hAnsi="宋体"/>
      <w:b/>
      <w:bCs/>
      <w:kern w:val="2"/>
      <w:sz w:val="28"/>
      <w:szCs w:val="28"/>
    </w:rPr>
  </w:style>
  <w:style w:type="character" w:customStyle="1" w:styleId="44">
    <w:name w:val="首行缩进正文 Char"/>
    <w:link w:val="45"/>
    <w:qFormat/>
    <w:uiPriority w:val="0"/>
    <w:rPr>
      <w:kern w:val="2"/>
      <w:sz w:val="24"/>
    </w:rPr>
  </w:style>
  <w:style w:type="paragraph" w:customStyle="1" w:styleId="45">
    <w:name w:val="首行缩进正文"/>
    <w:basedOn w:val="1"/>
    <w:link w:val="44"/>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6">
    <w:name w:val="批注文字 字符1"/>
    <w:link w:val="15"/>
    <w:qFormat/>
    <w:uiPriority w:val="99"/>
    <w:rPr>
      <w:rFonts w:eastAsia="仿宋"/>
      <w:kern w:val="2"/>
      <w:sz w:val="28"/>
      <w:szCs w:val="24"/>
    </w:rPr>
  </w:style>
  <w:style w:type="character" w:customStyle="1" w:styleId="47">
    <w:name w:val="日期 字符"/>
    <w:semiHidden/>
    <w:qFormat/>
    <w:uiPriority w:val="99"/>
    <w:rPr>
      <w:rFonts w:ascii="宋体" w:hAnsi="宋体"/>
      <w:kern w:val="2"/>
      <w:sz w:val="24"/>
      <w:szCs w:val="24"/>
    </w:rPr>
  </w:style>
  <w:style w:type="character" w:customStyle="1" w:styleId="48">
    <w:name w:val="日期 字符1"/>
    <w:link w:val="22"/>
    <w:qFormat/>
    <w:uiPriority w:val="0"/>
    <w:rPr>
      <w:kern w:val="2"/>
      <w:sz w:val="21"/>
      <w:szCs w:val="24"/>
    </w:rPr>
  </w:style>
  <w:style w:type="character" w:customStyle="1" w:styleId="49">
    <w:name w:val="标题 9 字符"/>
    <w:link w:val="10"/>
    <w:qFormat/>
    <w:uiPriority w:val="9"/>
    <w:rPr>
      <w:rFonts w:ascii="Cambria" w:hAnsi="Cambria"/>
      <w:kern w:val="2"/>
      <w:sz w:val="21"/>
      <w:szCs w:val="21"/>
    </w:rPr>
  </w:style>
  <w:style w:type="character" w:customStyle="1" w:styleId="50">
    <w:name w:val="未处理的提及1"/>
    <w:unhideWhenUsed/>
    <w:qFormat/>
    <w:uiPriority w:val="99"/>
    <w:rPr>
      <w:color w:val="605E5C"/>
      <w:shd w:val="clear" w:color="auto" w:fill="E1DFDD"/>
    </w:rPr>
  </w:style>
  <w:style w:type="character" w:customStyle="1" w:styleId="51">
    <w:name w:val="标题 1 字符"/>
    <w:qFormat/>
    <w:uiPriority w:val="9"/>
    <w:rPr>
      <w:rFonts w:ascii="宋体" w:hAnsi="宋体"/>
      <w:b/>
      <w:bCs/>
      <w:kern w:val="44"/>
      <w:sz w:val="44"/>
      <w:szCs w:val="44"/>
    </w:rPr>
  </w:style>
  <w:style w:type="character" w:customStyle="1" w:styleId="52">
    <w:name w:val="标题 3 字符"/>
    <w:semiHidden/>
    <w:qFormat/>
    <w:uiPriority w:val="9"/>
    <w:rPr>
      <w:rFonts w:ascii="宋体" w:hAnsi="宋体"/>
      <w:b/>
      <w:bCs/>
      <w:kern w:val="2"/>
      <w:sz w:val="32"/>
      <w:szCs w:val="32"/>
    </w:rPr>
  </w:style>
  <w:style w:type="character" w:customStyle="1" w:styleId="53">
    <w:name w:val="页脚 字符"/>
    <w:qFormat/>
    <w:uiPriority w:val="99"/>
  </w:style>
  <w:style w:type="character" w:customStyle="1" w:styleId="54">
    <w:name w:val="标题 5 字符"/>
    <w:semiHidden/>
    <w:qFormat/>
    <w:uiPriority w:val="9"/>
    <w:rPr>
      <w:rFonts w:ascii="宋体" w:hAnsi="宋体"/>
      <w:b/>
      <w:bCs/>
      <w:kern w:val="2"/>
      <w:sz w:val="28"/>
      <w:szCs w:val="28"/>
    </w:rPr>
  </w:style>
  <w:style w:type="character" w:customStyle="1" w:styleId="55">
    <w:name w:val="题注 字符"/>
    <w:link w:val="13"/>
    <w:qFormat/>
    <w:locked/>
    <w:uiPriority w:val="0"/>
    <w:rPr>
      <w:rFonts w:ascii="Arial" w:hAnsi="Arial" w:eastAsia="黑体"/>
      <w:kern w:val="2"/>
    </w:rPr>
  </w:style>
  <w:style w:type="character" w:customStyle="1" w:styleId="56">
    <w:name w:val="标题 2 字符"/>
    <w:semiHidden/>
    <w:qFormat/>
    <w:uiPriority w:val="9"/>
    <w:rPr>
      <w:rFonts w:ascii="等线 Light" w:hAnsi="等线 Light" w:eastAsia="等线 Light" w:cs="Times New Roman"/>
      <w:b/>
      <w:bCs/>
      <w:kern w:val="2"/>
      <w:sz w:val="32"/>
      <w:szCs w:val="32"/>
    </w:rPr>
  </w:style>
  <w:style w:type="character" w:customStyle="1" w:styleId="57">
    <w:name w:val="纯文本 字符"/>
    <w:qFormat/>
    <w:uiPriority w:val="0"/>
    <w:rPr>
      <w:rFonts w:ascii="宋体" w:hAnsi="Courier New" w:cs="Courier New"/>
      <w:kern w:val="2"/>
      <w:sz w:val="21"/>
      <w:szCs w:val="21"/>
    </w:rPr>
  </w:style>
  <w:style w:type="character" w:customStyle="1" w:styleId="58">
    <w:name w:val="列表段落 字符"/>
    <w:qFormat/>
    <w:uiPriority w:val="34"/>
    <w:rPr>
      <w:kern w:val="2"/>
      <w:sz w:val="21"/>
      <w:szCs w:val="22"/>
    </w:rPr>
  </w:style>
  <w:style w:type="character" w:customStyle="1" w:styleId="59">
    <w:name w:val="标题 4 字符1"/>
    <w:link w:val="5"/>
    <w:qFormat/>
    <w:uiPriority w:val="0"/>
    <w:rPr>
      <w:rFonts w:ascii="宋体" w:hAnsi="宋体" w:eastAsia="宋体"/>
      <w:b/>
      <w:bCs/>
      <w:kern w:val="2"/>
      <w:sz w:val="30"/>
      <w:szCs w:val="30"/>
    </w:rPr>
  </w:style>
  <w:style w:type="character" w:customStyle="1" w:styleId="60">
    <w:name w:val="正文文本 字符"/>
    <w:link w:val="16"/>
    <w:qFormat/>
    <w:uiPriority w:val="0"/>
    <w:rPr>
      <w:kern w:val="2"/>
      <w:sz w:val="21"/>
      <w:szCs w:val="24"/>
    </w:rPr>
  </w:style>
  <w:style w:type="character" w:customStyle="1" w:styleId="61">
    <w:name w:val="列表段落 字符1"/>
    <w:link w:val="62"/>
    <w:qFormat/>
    <w:uiPriority w:val="34"/>
    <w:rPr>
      <w:kern w:val="2"/>
      <w:sz w:val="21"/>
      <w:szCs w:val="24"/>
    </w:rPr>
  </w:style>
  <w:style w:type="paragraph" w:styleId="62">
    <w:name w:val="List Paragraph"/>
    <w:basedOn w:val="1"/>
    <w:link w:val="61"/>
    <w:qFormat/>
    <w:uiPriority w:val="34"/>
    <w:pPr>
      <w:ind w:firstLine="420"/>
    </w:pPr>
    <w:rPr>
      <w:rFonts w:ascii="Times New Roman" w:hAnsi="Times New Roman"/>
      <w:sz w:val="21"/>
    </w:rPr>
  </w:style>
  <w:style w:type="character" w:customStyle="1" w:styleId="63">
    <w:name w:val="font21"/>
    <w:qFormat/>
    <w:uiPriority w:val="0"/>
    <w:rPr>
      <w:rFonts w:ascii="Calibri" w:hAnsi="Calibri" w:cs="Calibri"/>
      <w:color w:val="000000"/>
      <w:sz w:val="21"/>
      <w:szCs w:val="21"/>
      <w:u w:val="none"/>
    </w:rPr>
  </w:style>
  <w:style w:type="character" w:customStyle="1" w:styleId="64">
    <w:name w:val="*正文 Char"/>
    <w:link w:val="65"/>
    <w:qFormat/>
    <w:uiPriority w:val="0"/>
    <w:rPr>
      <w:rFonts w:ascii="Snack Time" w:hAnsi="Snack Time"/>
      <w:sz w:val="24"/>
      <w:szCs w:val="24"/>
      <w:lang w:bidi="en-US"/>
    </w:rPr>
  </w:style>
  <w:style w:type="paragraph" w:customStyle="1" w:styleId="65">
    <w:name w:val="*正文"/>
    <w:basedOn w:val="1"/>
    <w:link w:val="64"/>
    <w:qFormat/>
    <w:uiPriority w:val="0"/>
    <w:pPr>
      <w:widowControl/>
      <w:ind w:firstLine="200"/>
      <w:contextualSpacing/>
    </w:pPr>
    <w:rPr>
      <w:rFonts w:ascii="Snack Time" w:hAnsi="Snack Time"/>
      <w:kern w:val="0"/>
      <w:lang w:bidi="en-US"/>
    </w:rPr>
  </w:style>
  <w:style w:type="character" w:customStyle="1" w:styleId="66">
    <w:name w:val="正文文本缩进 字符"/>
    <w:semiHidden/>
    <w:qFormat/>
    <w:uiPriority w:val="99"/>
    <w:rPr>
      <w:rFonts w:ascii="宋体" w:hAnsi="宋体"/>
      <w:kern w:val="2"/>
      <w:sz w:val="24"/>
      <w:szCs w:val="24"/>
    </w:rPr>
  </w:style>
  <w:style w:type="character" w:customStyle="1" w:styleId="67">
    <w:name w:val="纯文本 字符1"/>
    <w:link w:val="20"/>
    <w:qFormat/>
    <w:locked/>
    <w:uiPriority w:val="0"/>
    <w:rPr>
      <w:rFonts w:ascii="宋体" w:hAnsi="Courier New"/>
      <w:kern w:val="2"/>
      <w:sz w:val="21"/>
    </w:rPr>
  </w:style>
  <w:style w:type="character" w:customStyle="1" w:styleId="68">
    <w:name w:val="my正文 Char"/>
    <w:link w:val="69"/>
    <w:qFormat/>
    <w:uiPriority w:val="0"/>
    <w:rPr>
      <w:kern w:val="2"/>
      <w:sz w:val="21"/>
      <w:szCs w:val="24"/>
    </w:rPr>
  </w:style>
  <w:style w:type="paragraph" w:customStyle="1" w:styleId="69">
    <w:name w:val="my正文"/>
    <w:basedOn w:val="1"/>
    <w:link w:val="68"/>
    <w:qFormat/>
    <w:uiPriority w:val="0"/>
    <w:pPr>
      <w:spacing w:line="240" w:lineRule="auto"/>
      <w:ind w:firstLine="0" w:firstLineChars="0"/>
    </w:pPr>
    <w:rPr>
      <w:rFonts w:ascii="Times New Roman" w:hAnsi="Times New Roman"/>
      <w:sz w:val="21"/>
    </w:rPr>
  </w:style>
  <w:style w:type="character" w:customStyle="1" w:styleId="70">
    <w:name w:val="正文2 字符"/>
    <w:link w:val="71"/>
    <w:qFormat/>
    <w:uiPriority w:val="0"/>
    <w:rPr>
      <w:kern w:val="2"/>
      <w:sz w:val="21"/>
      <w:szCs w:val="24"/>
    </w:rPr>
  </w:style>
  <w:style w:type="paragraph" w:customStyle="1" w:styleId="71">
    <w:name w:val="正文2"/>
    <w:basedOn w:val="1"/>
    <w:link w:val="70"/>
    <w:qFormat/>
    <w:uiPriority w:val="0"/>
    <w:pPr>
      <w:ind w:firstLine="420"/>
    </w:pPr>
    <w:rPr>
      <w:rFonts w:ascii="Times New Roman" w:hAnsi="Times New Roman"/>
      <w:sz w:val="21"/>
    </w:rPr>
  </w:style>
  <w:style w:type="character" w:customStyle="1" w:styleId="72">
    <w:name w:val="font41"/>
    <w:qFormat/>
    <w:uiPriority w:val="0"/>
    <w:rPr>
      <w:rFonts w:hint="eastAsia" w:ascii="宋体" w:hAnsi="宋体" w:eastAsia="宋体" w:cs="宋体"/>
      <w:color w:val="000000"/>
      <w:sz w:val="21"/>
      <w:szCs w:val="21"/>
      <w:u w:val="none"/>
    </w:rPr>
  </w:style>
  <w:style w:type="character" w:customStyle="1" w:styleId="73">
    <w:name w:val="标题 7 字符"/>
    <w:link w:val="8"/>
    <w:qFormat/>
    <w:uiPriority w:val="9"/>
    <w:rPr>
      <w:b/>
      <w:bCs/>
      <w:kern w:val="2"/>
      <w:sz w:val="21"/>
      <w:szCs w:val="24"/>
    </w:rPr>
  </w:style>
  <w:style w:type="character" w:customStyle="1" w:styleId="74">
    <w:name w:val="批注框文本 字符"/>
    <w:semiHidden/>
    <w:qFormat/>
    <w:uiPriority w:val="99"/>
    <w:rPr>
      <w:rFonts w:ascii="宋体" w:hAnsi="宋体"/>
      <w:kern w:val="2"/>
      <w:sz w:val="18"/>
      <w:szCs w:val="18"/>
    </w:rPr>
  </w:style>
  <w:style w:type="character" w:customStyle="1" w:styleId="75">
    <w:name w:val="副标题 Char1"/>
    <w:qFormat/>
    <w:uiPriority w:val="0"/>
    <w:rPr>
      <w:rFonts w:ascii="Calibri Light" w:hAnsi="Calibri Light" w:cs="Times New Roman"/>
      <w:b/>
      <w:bCs/>
      <w:kern w:val="28"/>
      <w:sz w:val="32"/>
      <w:szCs w:val="32"/>
    </w:rPr>
  </w:style>
  <w:style w:type="character" w:customStyle="1" w:styleId="76">
    <w:name w:val="标题 1 字符1"/>
    <w:link w:val="2"/>
    <w:qFormat/>
    <w:uiPriority w:val="0"/>
    <w:rPr>
      <w:rFonts w:ascii="宋体" w:hAnsi="宋体" w:eastAsia="黑体"/>
      <w:b/>
      <w:bCs/>
      <w:kern w:val="44"/>
      <w:sz w:val="32"/>
      <w:szCs w:val="28"/>
    </w:rPr>
  </w:style>
  <w:style w:type="character" w:customStyle="1" w:styleId="77">
    <w:name w:val="批注文字 字符"/>
    <w:qFormat/>
    <w:uiPriority w:val="99"/>
    <w:rPr>
      <w:rFonts w:ascii="宋体" w:hAnsi="宋体"/>
      <w:kern w:val="2"/>
      <w:sz w:val="24"/>
      <w:szCs w:val="24"/>
    </w:rPr>
  </w:style>
  <w:style w:type="character" w:customStyle="1" w:styleId="78">
    <w:name w:val="文档结构图 字符"/>
    <w:semiHidden/>
    <w:qFormat/>
    <w:uiPriority w:val="99"/>
    <w:rPr>
      <w:rFonts w:ascii="Microsoft YaHei UI" w:hAnsi="宋体" w:eastAsia="Microsoft YaHei UI"/>
      <w:kern w:val="2"/>
      <w:sz w:val="18"/>
      <w:szCs w:val="18"/>
    </w:rPr>
  </w:style>
  <w:style w:type="character" w:customStyle="1" w:styleId="79">
    <w:name w:val="标题 6 字符"/>
    <w:semiHidden/>
    <w:qFormat/>
    <w:uiPriority w:val="9"/>
    <w:rPr>
      <w:rFonts w:ascii="等线 Light" w:hAnsi="等线 Light" w:eastAsia="等线 Light" w:cs="Times New Roman"/>
      <w:b/>
      <w:bCs/>
      <w:kern w:val="2"/>
      <w:sz w:val="24"/>
      <w:szCs w:val="24"/>
    </w:rPr>
  </w:style>
  <w:style w:type="character" w:customStyle="1" w:styleId="80">
    <w:name w:val="正文正文2 Char"/>
    <w:link w:val="81"/>
    <w:qFormat/>
    <w:uiPriority w:val="0"/>
    <w:rPr>
      <w:rFonts w:ascii="宋体" w:hAnsi="宋体"/>
      <w:kern w:val="2"/>
      <w:sz w:val="21"/>
      <w:szCs w:val="21"/>
    </w:rPr>
  </w:style>
  <w:style w:type="paragraph" w:customStyle="1" w:styleId="81">
    <w:name w:val="正文正文2"/>
    <w:basedOn w:val="1"/>
    <w:link w:val="80"/>
    <w:qFormat/>
    <w:uiPriority w:val="0"/>
    <w:pPr>
      <w:ind w:firstLine="460"/>
    </w:pPr>
    <w:rPr>
      <w:sz w:val="21"/>
      <w:szCs w:val="21"/>
    </w:rPr>
  </w:style>
  <w:style w:type="character" w:customStyle="1" w:styleId="82">
    <w:name w:val="标题 3 字符2"/>
    <w:link w:val="4"/>
    <w:qFormat/>
    <w:uiPriority w:val="0"/>
    <w:rPr>
      <w:rFonts w:ascii="宋体" w:hAnsi="宋体" w:eastAsia="宋体"/>
      <w:b/>
      <w:bCs/>
      <w:kern w:val="2"/>
      <w:sz w:val="28"/>
      <w:szCs w:val="28"/>
    </w:rPr>
  </w:style>
  <w:style w:type="character" w:customStyle="1" w:styleId="83">
    <w:name w:val="标题 4 字符"/>
    <w:semiHidden/>
    <w:qFormat/>
    <w:uiPriority w:val="9"/>
    <w:rPr>
      <w:rFonts w:ascii="等线 Light" w:hAnsi="等线 Light" w:eastAsia="等线 Light" w:cs="Times New Roman"/>
      <w:b/>
      <w:bCs/>
      <w:kern w:val="2"/>
      <w:sz w:val="28"/>
      <w:szCs w:val="28"/>
    </w:rPr>
  </w:style>
  <w:style w:type="character" w:customStyle="1" w:styleId="84">
    <w:name w:val="批注主题 字符1"/>
    <w:link w:val="34"/>
    <w:qFormat/>
    <w:uiPriority w:val="0"/>
    <w:rPr>
      <w:rFonts w:eastAsia="仿宋"/>
      <w:b/>
      <w:bCs/>
      <w:kern w:val="2"/>
      <w:sz w:val="21"/>
      <w:szCs w:val="24"/>
    </w:rPr>
  </w:style>
  <w:style w:type="character" w:customStyle="1" w:styleId="85">
    <w:name w:val="页眉 字符"/>
    <w:semiHidden/>
    <w:qFormat/>
    <w:uiPriority w:val="99"/>
    <w:rPr>
      <w:rFonts w:ascii="宋体" w:hAnsi="宋体"/>
      <w:kern w:val="2"/>
      <w:sz w:val="18"/>
      <w:szCs w:val="18"/>
    </w:rPr>
  </w:style>
  <w:style w:type="character" w:customStyle="1" w:styleId="86">
    <w:name w:val="正文文本缩进 字符1"/>
    <w:link w:val="17"/>
    <w:qFormat/>
    <w:uiPriority w:val="0"/>
    <w:rPr>
      <w:kern w:val="2"/>
      <w:sz w:val="21"/>
    </w:rPr>
  </w:style>
  <w:style w:type="character" w:customStyle="1" w:styleId="87">
    <w:name w:val="标题 5 字符1"/>
    <w:link w:val="6"/>
    <w:qFormat/>
    <w:uiPriority w:val="0"/>
    <w:rPr>
      <w:rFonts w:ascii="宋体" w:hAnsi="宋体"/>
      <w:b/>
      <w:bCs/>
      <w:kern w:val="2"/>
      <w:sz w:val="24"/>
      <w:szCs w:val="28"/>
    </w:rPr>
  </w:style>
  <w:style w:type="character" w:customStyle="1" w:styleId="88">
    <w:name w:val="副标题 字符1"/>
    <w:link w:val="28"/>
    <w:qFormat/>
    <w:uiPriority w:val="0"/>
    <w:rPr>
      <w:rFonts w:ascii="Calibri Light" w:hAnsi="Calibri Light"/>
      <w:b/>
      <w:bCs/>
      <w:kern w:val="28"/>
      <w:sz w:val="32"/>
      <w:szCs w:val="32"/>
    </w:rPr>
  </w:style>
  <w:style w:type="character" w:customStyle="1" w:styleId="89">
    <w:name w:val="标题 2 字符1"/>
    <w:link w:val="3"/>
    <w:qFormat/>
    <w:uiPriority w:val="9"/>
    <w:rPr>
      <w:rFonts w:ascii="宋体" w:hAnsi="宋体" w:eastAsia="宋体"/>
      <w:b/>
      <w:bCs/>
      <w:kern w:val="2"/>
      <w:sz w:val="30"/>
      <w:szCs w:val="32"/>
    </w:rPr>
  </w:style>
  <w:style w:type="character" w:customStyle="1" w:styleId="90">
    <w:name w:val="页脚 字符1"/>
    <w:link w:val="24"/>
    <w:qFormat/>
    <w:uiPriority w:val="99"/>
    <w:rPr>
      <w:kern w:val="2"/>
      <w:sz w:val="18"/>
      <w:szCs w:val="18"/>
    </w:rPr>
  </w:style>
  <w:style w:type="character" w:customStyle="1" w:styleId="91">
    <w:name w:val="批注主题 字符"/>
    <w:semiHidden/>
    <w:qFormat/>
    <w:uiPriority w:val="99"/>
    <w:rPr>
      <w:rFonts w:ascii="宋体" w:hAnsi="宋体"/>
      <w:b/>
      <w:bCs/>
      <w:kern w:val="2"/>
      <w:sz w:val="24"/>
      <w:szCs w:val="24"/>
    </w:rPr>
  </w:style>
  <w:style w:type="character" w:customStyle="1" w:styleId="92">
    <w:name w:val="文档结构图 字符1"/>
    <w:link w:val="14"/>
    <w:qFormat/>
    <w:uiPriority w:val="0"/>
    <w:rPr>
      <w:rFonts w:ascii="宋体"/>
      <w:kern w:val="2"/>
      <w:sz w:val="18"/>
      <w:szCs w:val="18"/>
    </w:rPr>
  </w:style>
  <w:style w:type="character" w:customStyle="1" w:styleId="93">
    <w:name w:val="font31"/>
    <w:qFormat/>
    <w:uiPriority w:val="0"/>
    <w:rPr>
      <w:rFonts w:hint="eastAsia" w:ascii="宋体" w:hAnsi="宋体" w:eastAsia="宋体" w:cs="宋体"/>
      <w:color w:val="000000"/>
      <w:sz w:val="21"/>
      <w:szCs w:val="21"/>
      <w:u w:val="none"/>
    </w:rPr>
  </w:style>
  <w:style w:type="character" w:customStyle="1" w:styleId="94">
    <w:name w:val="标准正文 Char"/>
    <w:link w:val="95"/>
    <w:qFormat/>
    <w:uiPriority w:val="0"/>
    <w:rPr>
      <w:rFonts w:ascii="Arial" w:hAnsi="Arial"/>
      <w:kern w:val="2"/>
      <w:sz w:val="24"/>
    </w:rPr>
  </w:style>
  <w:style w:type="paragraph" w:customStyle="1" w:styleId="95">
    <w:name w:val="标准正文"/>
    <w:basedOn w:val="17"/>
    <w:link w:val="94"/>
    <w:qFormat/>
    <w:uiPriority w:val="0"/>
    <w:pPr>
      <w:spacing w:before="60" w:after="60"/>
      <w:ind w:firstLine="482" w:firstLineChars="0"/>
    </w:pPr>
    <w:rPr>
      <w:rFonts w:ascii="Arial" w:hAnsi="Arial"/>
      <w:sz w:val="24"/>
    </w:rPr>
  </w:style>
  <w:style w:type="character" w:customStyle="1" w:styleId="96">
    <w:name w:val="标题 字符1"/>
    <w:link w:val="33"/>
    <w:qFormat/>
    <w:uiPriority w:val="0"/>
    <w:rPr>
      <w:rFonts w:ascii="Cambria" w:hAnsi="Cambria" w:eastAsia="黑体"/>
      <w:b/>
      <w:bCs/>
      <w:kern w:val="2"/>
      <w:sz w:val="52"/>
      <w:szCs w:val="32"/>
    </w:rPr>
  </w:style>
  <w:style w:type="character" w:customStyle="1" w:styleId="97">
    <w:name w:val="批注框文本 字符1"/>
    <w:link w:val="23"/>
    <w:qFormat/>
    <w:uiPriority w:val="0"/>
    <w:rPr>
      <w:kern w:val="2"/>
      <w:sz w:val="18"/>
      <w:szCs w:val="18"/>
    </w:rPr>
  </w:style>
  <w:style w:type="character" w:customStyle="1" w:styleId="98">
    <w:name w:val="页眉 字符1"/>
    <w:link w:val="25"/>
    <w:qFormat/>
    <w:uiPriority w:val="99"/>
    <w:rPr>
      <w:kern w:val="2"/>
      <w:sz w:val="18"/>
      <w:szCs w:val="18"/>
    </w:rPr>
  </w:style>
  <w:style w:type="character" w:customStyle="1" w:styleId="99">
    <w:name w:val="标题 8 字符"/>
    <w:link w:val="9"/>
    <w:qFormat/>
    <w:uiPriority w:val="9"/>
    <w:rPr>
      <w:rFonts w:ascii="Cambria" w:hAnsi="Cambria"/>
      <w:kern w:val="2"/>
      <w:sz w:val="21"/>
      <w:szCs w:val="24"/>
    </w:rPr>
  </w:style>
  <w:style w:type="character" w:customStyle="1" w:styleId="100">
    <w:name w:val="标题 6 字符1"/>
    <w:link w:val="7"/>
    <w:qFormat/>
    <w:uiPriority w:val="0"/>
    <w:rPr>
      <w:rFonts w:ascii="Cambria" w:hAnsi="Cambria"/>
      <w:b/>
      <w:bCs/>
      <w:kern w:val="2"/>
      <w:sz w:val="24"/>
      <w:szCs w:val="24"/>
    </w:rPr>
  </w:style>
  <w:style w:type="character" w:customStyle="1" w:styleId="101">
    <w:name w:val="标题 字符"/>
    <w:qFormat/>
    <w:uiPriority w:val="10"/>
    <w:rPr>
      <w:rFonts w:ascii="等线 Light" w:hAnsi="等线 Light" w:eastAsia="等线 Light" w:cs="Times New Roman"/>
      <w:b/>
      <w:bCs/>
      <w:kern w:val="2"/>
      <w:sz w:val="32"/>
      <w:szCs w:val="32"/>
    </w:rPr>
  </w:style>
  <w:style w:type="character" w:customStyle="1" w:styleId="102">
    <w:name w:val="副标题 字符"/>
    <w:qFormat/>
    <w:uiPriority w:val="11"/>
    <w:rPr>
      <w:rFonts w:ascii="等线" w:hAnsi="等线" w:eastAsia="等线" w:cs="Times New Roman"/>
      <w:b/>
      <w:bCs/>
      <w:kern w:val="28"/>
      <w:sz w:val="32"/>
      <w:szCs w:val="32"/>
    </w:rPr>
  </w:style>
  <w:style w:type="paragraph" w:customStyle="1" w:styleId="103">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4">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5">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6">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7">
    <w:name w:val="正文缩进1"/>
    <w:basedOn w:val="1"/>
    <w:qFormat/>
    <w:uiPriority w:val="0"/>
    <w:pPr>
      <w:spacing w:line="240" w:lineRule="auto"/>
      <w:ind w:firstLine="420"/>
    </w:pPr>
    <w:rPr>
      <w:rFonts w:ascii="Times New Roman" w:hAnsi="Times New Roman"/>
      <w:sz w:val="21"/>
      <w:szCs w:val="20"/>
    </w:rPr>
  </w:style>
  <w:style w:type="paragraph" w:customStyle="1" w:styleId="108">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9">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10">
    <w:name w:val="Indent Normal"/>
    <w:basedOn w:val="1"/>
    <w:qFormat/>
    <w:uiPriority w:val="0"/>
    <w:pPr>
      <w:ind w:firstLine="150" w:firstLineChars="150"/>
    </w:pPr>
  </w:style>
  <w:style w:type="paragraph" w:customStyle="1" w:styleId="111">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2">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3">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4">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5">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6">
    <w:name w:val="段"/>
    <w:link w:val="136"/>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8">
    <w:name w:val="Char Char Char Char Char Char1 Char"/>
    <w:basedOn w:val="1"/>
    <w:qFormat/>
    <w:uiPriority w:val="0"/>
    <w:pPr>
      <w:widowControl/>
      <w:spacing w:after="160" w:line="240" w:lineRule="exact"/>
      <w:jc w:val="left"/>
    </w:pPr>
  </w:style>
  <w:style w:type="paragraph" w:customStyle="1" w:styleId="119">
    <w:name w:val="PM_Body"/>
    <w:basedOn w:val="1"/>
    <w:qFormat/>
    <w:locked/>
    <w:uiPriority w:val="0"/>
    <w:rPr>
      <w:szCs w:val="21"/>
    </w:rPr>
  </w:style>
  <w:style w:type="paragraph" w:customStyle="1" w:styleId="120">
    <w:name w:val="Char Char1"/>
    <w:basedOn w:val="1"/>
    <w:qFormat/>
    <w:uiPriority w:val="0"/>
    <w:pPr>
      <w:widowControl/>
      <w:spacing w:before="120" w:after="120"/>
    </w:pPr>
    <w:rPr>
      <w:rFonts w:ascii="Times New Roman" w:hAnsi="Times New Roman" w:cs="宋体"/>
    </w:rPr>
  </w:style>
  <w:style w:type="paragraph" w:customStyle="1" w:styleId="121">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2">
    <w:name w:val="修订1"/>
    <w:unhideWhenUsed/>
    <w:qFormat/>
    <w:uiPriority w:val="99"/>
    <w:rPr>
      <w:rFonts w:ascii="宋体" w:hAnsi="宋体" w:eastAsia="宋体" w:cs="Times New Roman"/>
      <w:kern w:val="2"/>
      <w:sz w:val="24"/>
      <w:szCs w:val="24"/>
      <w:lang w:val="en-US" w:eastAsia="zh-CN" w:bidi="ar-SA"/>
    </w:rPr>
  </w:style>
  <w:style w:type="paragraph" w:customStyle="1" w:styleId="123">
    <w:name w:val="列出段落2"/>
    <w:basedOn w:val="1"/>
    <w:qFormat/>
    <w:uiPriority w:val="0"/>
    <w:pPr>
      <w:spacing w:line="240" w:lineRule="auto"/>
      <w:ind w:firstLine="420"/>
    </w:pPr>
    <w:rPr>
      <w:rFonts w:ascii="等线" w:hAnsi="等线" w:eastAsia="等线" w:cs="等线"/>
      <w:sz w:val="21"/>
      <w:szCs w:val="21"/>
    </w:rPr>
  </w:style>
  <w:style w:type="paragraph" w:customStyle="1" w:styleId="124">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6">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7">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8">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9">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30">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1">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3">
    <w:name w:val="标题 1 Char"/>
    <w:qFormat/>
    <w:uiPriority w:val="0"/>
    <w:rPr>
      <w:rFonts w:ascii="宋体" w:hAnsi="宋体" w:eastAsia="黑体"/>
      <w:b/>
      <w:bCs/>
      <w:kern w:val="44"/>
      <w:sz w:val="32"/>
      <w:szCs w:val="28"/>
    </w:rPr>
  </w:style>
  <w:style w:type="character" w:customStyle="1" w:styleId="134">
    <w:name w:val="纯文本 Char2"/>
    <w:qFormat/>
    <w:uiPriority w:val="0"/>
    <w:rPr>
      <w:rFonts w:ascii="宋体" w:hAnsi="宋体" w:eastAsia="宋体" w:cs="Times New Roman"/>
      <w:color w:val="000000"/>
      <w:kern w:val="0"/>
      <w:sz w:val="24"/>
      <w:szCs w:val="24"/>
    </w:rPr>
  </w:style>
  <w:style w:type="paragraph" w:customStyle="1" w:styleId="135">
    <w:name w:val="￥正文"/>
    <w:basedOn w:val="1"/>
    <w:qFormat/>
    <w:uiPriority w:val="0"/>
    <w:pPr>
      <w:spacing w:after="120"/>
      <w:ind w:firstLine="200"/>
    </w:pPr>
    <w:rPr>
      <w:rFonts w:hAnsi="Calibri" w:eastAsia="仿宋"/>
      <w:sz w:val="28"/>
    </w:rPr>
  </w:style>
  <w:style w:type="character" w:customStyle="1" w:styleId="136">
    <w:name w:val="段 Char"/>
    <w:basedOn w:val="37"/>
    <w:link w:val="116"/>
    <w:qFormat/>
    <w:uiPriority w:val="0"/>
    <w:rPr>
      <w:rFonts w:ascii="宋体" w:cs="Calibri"/>
      <w:sz w:val="21"/>
    </w:rPr>
  </w:style>
  <w:style w:type="paragraph" w:customStyle="1" w:styleId="137">
    <w:name w:val="表格"/>
    <w:basedOn w:val="1"/>
    <w:qFormat/>
    <w:uiPriority w:val="0"/>
    <w:pPr>
      <w:widowControl/>
      <w:ind w:firstLine="0" w:firstLineChars="0"/>
      <w:jc w:val="center"/>
      <w:textAlignment w:val="center"/>
    </w:pPr>
    <w:rPr>
      <w:rFonts w:hint="eastAsia"/>
      <w:b/>
      <w:bCs/>
      <w:color w:val="000000"/>
      <w:kern w:val="0"/>
    </w:rPr>
  </w:style>
  <w:style w:type="paragraph" w:customStyle="1" w:styleId="138">
    <w:name w:val="修订2"/>
    <w:hidden/>
    <w:unhideWhenUsed/>
    <w:qFormat/>
    <w:uiPriority w:val="99"/>
    <w:rPr>
      <w:rFonts w:ascii="宋体" w:hAnsi="宋体" w:eastAsia="宋体" w:cs="Times New Roman"/>
      <w:kern w:val="2"/>
      <w:sz w:val="24"/>
      <w:szCs w:val="24"/>
      <w:lang w:val="en-US" w:eastAsia="zh-CN" w:bidi="ar-SA"/>
    </w:rPr>
  </w:style>
  <w:style w:type="paragraph" w:customStyle="1" w:styleId="139">
    <w:name w:val="修订3"/>
    <w:hidden/>
    <w:unhideWhenUsed/>
    <w:qFormat/>
    <w:uiPriority w:val="99"/>
    <w:rPr>
      <w:rFonts w:ascii="宋体" w:hAnsi="宋体" w:eastAsia="宋体" w:cs="Times New Roman"/>
      <w:kern w:val="2"/>
      <w:sz w:val="24"/>
      <w:szCs w:val="24"/>
      <w:lang w:val="en-US" w:eastAsia="zh-CN" w:bidi="ar-SA"/>
    </w:rPr>
  </w:style>
  <w:style w:type="paragraph" w:customStyle="1" w:styleId="140">
    <w:name w:val="样式2"/>
    <w:basedOn w:val="1"/>
    <w:qFormat/>
    <w:uiPriority w:val="0"/>
    <w:pPr>
      <w:widowControl/>
      <w:adjustRightInd w:val="0"/>
    </w:pPr>
    <w:rPr>
      <w:kern w:val="0"/>
      <w:lang w:eastAsia="en-US"/>
    </w:rPr>
  </w:style>
  <w:style w:type="paragraph" w:customStyle="1" w:styleId="141">
    <w:name w:val="修订4"/>
    <w:hidden/>
    <w:semiHidden/>
    <w:qFormat/>
    <w:uiPriority w:val="99"/>
    <w:rPr>
      <w:rFonts w:ascii="宋体" w:hAnsi="宋体" w:eastAsia="宋体" w:cs="Times New Roman"/>
      <w:kern w:val="2"/>
      <w:sz w:val="24"/>
      <w:szCs w:val="24"/>
      <w:lang w:val="en-US" w:eastAsia="zh-CN" w:bidi="ar-SA"/>
    </w:rPr>
  </w:style>
  <w:style w:type="paragraph" w:customStyle="1" w:styleId="142">
    <w:name w:val="Revision"/>
    <w:hidden/>
    <w:unhideWhenUsed/>
    <w:qFormat/>
    <w:uiPriority w:val="99"/>
    <w:rPr>
      <w:rFonts w:ascii="宋体" w:hAnsi="宋体" w:eastAsia="宋体" w:cs="Times New Roman"/>
      <w:kern w:val="2"/>
      <w:sz w:val="24"/>
      <w:szCs w:val="24"/>
      <w:lang w:val="en-US" w:eastAsia="zh-CN" w:bidi="ar-SA"/>
    </w:rPr>
  </w:style>
  <w:style w:type="paragraph" w:customStyle="1" w:styleId="143">
    <w:name w:val="B-表题注"/>
    <w:next w:val="1"/>
    <w:qFormat/>
    <w:uiPriority w:val="0"/>
    <w:pPr>
      <w:numPr>
        <w:ilvl w:val="0"/>
        <w:numId w:val="3"/>
      </w:numPr>
      <w:spacing w:line="240" w:lineRule="atLeast"/>
      <w:jc w:val="center"/>
    </w:pPr>
    <w:rPr>
      <w:rFonts w:ascii="Times New Roman" w:hAnsi="Times New Roman" w:eastAsia="仿宋" w:cs="Times New Roman"/>
      <w:b/>
      <w:kern w:val="2"/>
      <w:sz w:val="21"/>
      <w:szCs w:val="44"/>
      <w:lang w:val="en-US" w:eastAsia="zh-CN" w:bidi="ar-SA"/>
    </w:rPr>
  </w:style>
  <w:style w:type="character" w:customStyle="1" w:styleId="144">
    <w:name w:val="font11"/>
    <w:basedOn w:val="3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xmlns="http://schemas.wps.cn/vas-ai-hub/contract-review">
    <reviewItem xmlns="http://schemas.wps.cn/vas-ai-hub/contract-review">
      <errorID xmlns="http://schemas.wps.cn/vas-ai-hub/contract-review">c240747e-4372-43b6-b713-6191afb6aeb4</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，是</item>
      </candidateList>
      <explain xmlns="http://schemas.wps.cn/vas-ai-hub/contract-review"/>
      <paraID xmlns="http://schemas.wps.cn/vas-ai-hub/contract-review">7C9F8E61</paraID>
      <start xmlns="http://schemas.wps.cn/vas-ai-hub/contract-review">184</start>
      <end xmlns="http://schemas.wps.cn/vas-ai-hub/contract-review">185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c7ec5daa-2d32-45b9-9253-8eac138311ef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4C35DB2A</paraID>
      <start xmlns="http://schemas.wps.cn/vas-ai-hub/contract-review">25</start>
      <end xmlns="http://schemas.wps.cn/vas-ai-hub/contract-review">26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0b3dc921-12f4-4e4d-8ab1-7485b1875ea8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4C35DB2A</paraID>
      <start xmlns="http://schemas.wps.cn/vas-ai-hub/contract-review">35</start>
      <end xmlns="http://schemas.wps.cn/vas-ai-hub/contract-review">36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1fa775a5-3b25-47d3-8e76-348962529c64</errorID>
      <errorWord xmlns="http://schemas.wps.cn/vas-ai-hub/contract-review">和和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和</item>
      </candidateList>
      <explain xmlns="http://schemas.wps.cn/vas-ai-hub/contract-review">〈量〉用于洗东西换水的次数或一剂药煎的次数：衣裳已经洗了三～｜二～药。</explain>
      <paraID xmlns="http://schemas.wps.cn/vas-ai-hub/contract-review">6584415C</paraID>
      <start xmlns="http://schemas.wps.cn/vas-ai-hub/contract-review">130</start>
      <end xmlns="http://schemas.wps.cn/vas-ai-hub/contract-review">131</end>
      <status xmlns="http://schemas.wps.cn/vas-ai-hub/contract-review">modified</status>
      <modifiedWord xmlns="http://schemas.wps.cn/vas-ai-hub/contract-review">和</modifiedWord>
      <trackRevisions xmlns="http://schemas.wps.cn/vas-ai-hub/contract-review">false</trackRevisions>
    </reviewItem>
    <reviewItem xmlns="http://schemas.wps.cn/vas-ai-hub/contract-review">
      <errorID xmlns="http://schemas.wps.cn/vas-ai-hub/contract-review">3e5eeda0-867e-4753-bc3b-6a8e4366739e</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34708752</paraID>
      <start xmlns="http://schemas.wps.cn/vas-ai-hub/contract-review">0</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f5dbc03b-8a8e-46d7-b161-d5fb2f603a54</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35F6F964</paraID>
      <start xmlns="http://schemas.wps.cn/vas-ai-hub/contract-review">1</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3f9c8d74-c988-4c19-9400-380fe5f81a11</errorID>
      <errorWord xmlns="http://schemas.wps.cn/vas-ai-hub/contract-review">现势</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现实</item>
      </candidateList>
      <explain xmlns="http://schemas.wps.cn/vas-ai-hub/contract-review">❶〈名〉客观存在的事物：考虑问题，不能脱离～。❷〈形〉合于客观情况：这个计划不～｜这是一个比较～的办法。</explain>
      <paraID xmlns="http://schemas.wps.cn/vas-ai-hub/contract-review">35F6F964</paraID>
      <start xmlns="http://schemas.wps.cn/vas-ai-hub/contract-review">81</start>
      <end xmlns="http://schemas.wps.cn/vas-ai-hub/contract-review">83</end>
      <status xmlns="http://schemas.wps.cn/vas-ai-hub/contract-review">modified</status>
      <modifiedWord xmlns="http://schemas.wps.cn/vas-ai-hub/contract-review">现实</modifiedWord>
      <trackRevisions xmlns="http://schemas.wps.cn/vas-ai-hub/contract-review">false</trackRevisions>
    </reviewItem>
    <reviewItem xmlns="http://schemas.wps.cn/vas-ai-hub/contract-review">
      <errorID xmlns="http://schemas.wps.cn/vas-ai-hub/contract-review">4a6ce946-242c-45b9-a36c-9a9993043855</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59FB41EA</paraID>
      <start xmlns="http://schemas.wps.cn/vas-ai-hub/contract-review">0</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94184251-8b43-4357-b0fb-310049ccaf93</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77F48F51</paraID>
      <start xmlns="http://schemas.wps.cn/vas-ai-hub/contract-review">1</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9f488d7a-a521-4b2e-b195-90762d97ff60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77F48F51</paraID>
      <start xmlns="http://schemas.wps.cn/vas-ai-hub/contract-review">139</start>
      <end xmlns="http://schemas.wps.cn/vas-ai-hub/contract-review">140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99ae16ac-1db9-405f-bed1-a2d92b9a375f</errorID>
      <errorWord xmlns="http://schemas.wps.cn/vas-ai-hub/contract-review">号</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号和</item>
      </candidateList>
      <explain xmlns="http://schemas.wps.cn/vas-ai-hub/contract-review"/>
      <paraID xmlns="http://schemas.wps.cn/vas-ai-hub/contract-review">77F48F51</paraID>
      <start xmlns="http://schemas.wps.cn/vas-ai-hub/contract-review">261</start>
      <end xmlns="http://schemas.wps.cn/vas-ai-hub/contract-review">262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a521dc61-86a1-42e7-9a58-5c1502f56a2e</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 FD8F232</paraID>
      <start xmlns="http://schemas.wps.cn/vas-ai-hub/contract-review">0</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cb14fa33-e1f9-4a4c-ba2c-7f19b555da9b</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19EBD421</paraID>
      <start xmlns="http://schemas.wps.cn/vas-ai-hub/contract-review">1</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202980af-9861-4834-bdbd-fa0beb28b5a1</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2CD06424</paraID>
      <start xmlns="http://schemas.wps.cn/vas-ai-hub/contract-review">0</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26f2dfde-ae7f-4f5d-acff-ed703f092e55</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 5E53366</paraID>
      <start xmlns="http://schemas.wps.cn/vas-ai-hub/contract-review">8</start>
      <end xmlns="http://schemas.wps.cn/vas-ai-hub/contract-review">12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8b9f29ce-7339-4108-a455-76dac2234b66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5E53366</paraID>
      <start xmlns="http://schemas.wps.cn/vas-ai-hub/contract-review">226</start>
      <end xmlns="http://schemas.wps.cn/vas-ai-hub/contract-review">227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8b4552d4-2e92-46dd-bd51-8484965b4d4e</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 5E53366</paraID>
      <start xmlns="http://schemas.wps.cn/vas-ai-hub/contract-review">236</start>
      <end xmlns="http://schemas.wps.cn/vas-ai-hub/contract-review">240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55d8557e-6265-4954-a2c9-634763e88b77</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 5E53366</paraID>
      <start xmlns="http://schemas.wps.cn/vas-ai-hub/contract-review">280</start>
      <end xmlns="http://schemas.wps.cn/vas-ai-hub/contract-review">284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cd027bc0-108b-4f6b-9bc1-e83683e9a66c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5E53366</paraID>
      <start xmlns="http://schemas.wps.cn/vas-ai-hub/contract-review">328</start>
      <end xmlns="http://schemas.wps.cn/vas-ai-hub/contract-review">329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275b0799-282a-4347-aaa1-962ebb598ee5</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 5E53366</paraID>
      <start xmlns="http://schemas.wps.cn/vas-ai-hub/contract-review">338</start>
      <end xmlns="http://schemas.wps.cn/vas-ai-hub/contract-review">342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9dc8330a-28ef-44e9-8a76-55e5842a5042</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 5E53366</paraID>
      <start xmlns="http://schemas.wps.cn/vas-ai-hub/contract-review">454</start>
      <end xmlns="http://schemas.wps.cn/vas-ai-hub/contract-review">458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2affeec5-38aa-4a9d-95b0-d8229cb4b551</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37189B84</paraID>
      <start xmlns="http://schemas.wps.cn/vas-ai-hub/contract-review">0</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cc745277-4772-4e4a-b9f1-2762d56e82ca</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2B0C8817</paraID>
      <start xmlns="http://schemas.wps.cn/vas-ai-hub/contract-review">1</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cc8da9e3-b917-4a85-95c1-d0f990e0533e</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778AECC0</paraID>
      <start xmlns="http://schemas.wps.cn/vas-ai-hub/contract-review">0</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2af32100-d8be-49a7-8bf9-d6eb9775ddf6</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441B8F18</paraID>
      <start xmlns="http://schemas.wps.cn/vas-ai-hub/contract-review">1</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f1fe63c2-66d8-4d4e-bf94-2e200038cdc9</errorID>
      <errorWord xmlns="http://schemas.wps.cn/vas-ai-hub/contract-review">平</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平方</item>
      </candidateList>
      <explain xmlns="http://schemas.wps.cn/vas-ai-hub/contract-review"/>
      <paraID xmlns="http://schemas.wps.cn/vas-ai-hub/contract-review">441B8F18</paraID>
      <start xmlns="http://schemas.wps.cn/vas-ai-hub/contract-review">112</start>
      <end xmlns="http://schemas.wps.cn/vas-ai-hub/contract-review">113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90638b17-fa10-4d9c-bf4f-369db53c0dd0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441B8F18</paraID>
      <start xmlns="http://schemas.wps.cn/vas-ai-hub/contract-review">137</start>
      <end xmlns="http://schemas.wps.cn/vas-ai-hub/contract-review">138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1e011140-4ec8-40ea-b867-d3f76f31831a</errorID>
      <errorWord xmlns="http://schemas.wps.cn/vas-ai-hub/contract-review">是否是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是不是</item>
      </candidateList>
      <explain xmlns="http://schemas.wps.cn/vas-ai-hub/contract-review"/>
      <paraID xmlns="http://schemas.wps.cn/vas-ai-hub/contract-review">441B8F18</paraID>
      <start xmlns="http://schemas.wps.cn/vas-ai-hub/contract-review">166</start>
      <end xmlns="http://schemas.wps.cn/vas-ai-hub/contract-review">169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e47af18a-04ec-4982-8dbc-9a58606b2fc4</errorID>
      <errorWord xmlns="http://schemas.wps.cn/vas-ai-hub/contract-review">是否是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是不是</item>
      </candidateList>
      <explain xmlns="http://schemas.wps.cn/vas-ai-hub/contract-review"/>
      <paraID xmlns="http://schemas.wps.cn/vas-ai-hub/contract-review">441B8F18</paraID>
      <start xmlns="http://schemas.wps.cn/vas-ai-hub/contract-review">250</start>
      <end xmlns="http://schemas.wps.cn/vas-ai-hub/contract-review">253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8d1e18f7-99c3-4068-af62-f64049bf4bba</errorID>
      <errorWord xmlns="http://schemas.wps.cn/vas-ai-hub/contract-review">但是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但</item>
      </candidateList>
      <explain xmlns="http://schemas.wps.cn/vas-ai-hub/contract-review">❶〈副〉只；仅仅：～愿如此｜不求有功，～求无过｜辽阔的原野上，～见麦浪随风起伏。❷〈连〉但是：屋子小，～挺干净｜工作虽然忙，～一点也没放松学习。❸（Dàn）〈名〉姓。</explain>
      <paraID xmlns="http://schemas.wps.cn/vas-ai-hub/contract-review">441B8F18</paraID>
      <start xmlns="http://schemas.wps.cn/vas-ai-hub/contract-review">317</start>
      <end xmlns="http://schemas.wps.cn/vas-ai-hub/contract-review">319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3efec4e3-008e-4d36-89a2-b05fbf847780</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441B8F18</paraID>
      <start xmlns="http://schemas.wps.cn/vas-ai-hub/contract-review">416</start>
      <end xmlns="http://schemas.wps.cn/vas-ai-hub/contract-review">420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4fba3645-52c8-4987-8ba8-1f3dd14dfbd5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441B8F18</paraID>
      <start xmlns="http://schemas.wps.cn/vas-ai-hub/contract-review">475</start>
      <end xmlns="http://schemas.wps.cn/vas-ai-hub/contract-review">477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1c0e7897-bc8d-4530-874a-7bae672504e0</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1694C09D</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89865421-0dbb-48e9-884e-b577c28734cc</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5E343853</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7b37a8a4-9113-4430-9016-95959c83a5c6</errorID>
      <errorWord xmlns="http://schemas.wps.cn/vas-ai-hub/contract-review">两套</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两类</item>
      </candidateList>
      <explain xmlns="http://schemas.wps.cn/vas-ai-hub/contract-review"/>
      <paraID xmlns="http://schemas.wps.cn/vas-ai-hub/contract-review">5E343853</paraID>
      <start xmlns="http://schemas.wps.cn/vas-ai-hub/contract-review">44</start>
      <end xmlns="http://schemas.wps.cn/vas-ai-hub/contract-review">46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05cc2cb2-6007-41f3-bd9f-d737522ceb8d</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3BE88324</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2475b10f-d873-42ea-a0e4-a78dc8a65d16</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16A8C5AC</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b5e1f330-540c-46af-ae64-82747d6e7776</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16A8C5AC</paraID>
      <start xmlns="http://schemas.wps.cn/vas-ai-hub/contract-review">22</start>
      <end xmlns="http://schemas.wps.cn/vas-ai-hub/contract-review">25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f8e0a40a-72f9-4b08-b359-37ed554032ce</errorID>
      <errorWord xmlns="http://schemas.wps.cn/vas-ai-hub/contract-review">否</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否有</item>
      </candidateList>
      <explain xmlns="http://schemas.wps.cn/vas-ai-hub/contract-review"/>
      <paraID xmlns="http://schemas.wps.cn/vas-ai-hub/contract-review">16A8C5AC</paraID>
      <start xmlns="http://schemas.wps.cn/vas-ai-hub/contract-review">123</start>
      <end xmlns="http://schemas.wps.cn/vas-ai-hub/contract-review">125</end>
      <status xmlns="http://schemas.wps.cn/vas-ai-hub/contract-review">modified</status>
      <modifiedWord xmlns="http://schemas.wps.cn/vas-ai-hub/contract-review">否有</modifiedWord>
      <trackRevisions xmlns="http://schemas.wps.cn/vas-ai-hub/contract-review">false</trackRevisions>
    </reviewItem>
    <reviewItem xmlns="http://schemas.wps.cn/vas-ai-hub/contract-review">
      <errorID xmlns="http://schemas.wps.cn/vas-ai-hub/contract-review">edc17fa5-1906-4206-bed3-43533906cf56</errorID>
      <errorWord xmlns="http://schemas.wps.cn/vas-ai-hub/contract-review">公</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公租</item>
      </candidateList>
      <explain xmlns="http://schemas.wps.cn/vas-ai-hub/contract-review"/>
      <paraID xmlns="http://schemas.wps.cn/vas-ai-hub/contract-review">16A8C5AC</paraID>
      <start xmlns="http://schemas.wps.cn/vas-ai-hub/contract-review">343</start>
      <end xmlns="http://schemas.wps.cn/vas-ai-hub/contract-review">344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53784b1e-ac66-4146-93a1-125c19e24492</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5A96FCBD</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09030ea2-1c3e-4b42-877f-a205e7d8ad84</errorID>
      <errorWord xmlns="http://schemas.wps.cn/vas-ai-hub/contract-review">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租房</item>
      </candidateList>
      <explain xmlns="http://schemas.wps.cn/vas-ai-hub/contract-review"/>
      <paraID xmlns="http://schemas.wps.cn/vas-ai-hub/contract-review">5A96FCBD</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01b705e9-808b-47b3-bbd1-7b036cfaefb1</errorID>
      <errorWord xmlns="http://schemas.wps.cn/vas-ai-hub/contract-review">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租房</item>
      </candidateList>
      <explain xmlns="http://schemas.wps.cn/vas-ai-hub/contract-review"/>
      <paraID xmlns="http://schemas.wps.cn/vas-ai-hub/contract-review">5A96FCBD</paraID>
      <start xmlns="http://schemas.wps.cn/vas-ai-hub/contract-review">106</start>
      <end xmlns="http://schemas.wps.cn/vas-ai-hub/contract-review">107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3d2cc3df-10cc-44d2-b20e-366c59f3867b</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5A96FCBD</paraID>
      <start xmlns="http://schemas.wps.cn/vas-ai-hub/contract-review">239</start>
      <end xmlns="http://schemas.wps.cn/vas-ai-hub/contract-review">243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4cbd78d9-4dda-4a07-9e20-2e83c41e7a02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10DC117D</paraID>
      <start xmlns="http://schemas.wps.cn/vas-ai-hub/contract-review">13</start>
      <end xmlns="http://schemas.wps.cn/vas-ai-hub/contract-review">14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fcb6f2ee-74f4-4490-a76b-e12179cc70dd</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3FF752C9</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4a37c043-f2fa-4723-8434-9e6647f94391</errorID>
      <errorWord xmlns="http://schemas.wps.cn/vas-ai-hub/contract-review">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租房</item>
      </candidateList>
      <explain xmlns="http://schemas.wps.cn/vas-ai-hub/contract-review"/>
      <paraID xmlns="http://schemas.wps.cn/vas-ai-hub/contract-review">3FF752C9</paraID>
      <start xmlns="http://schemas.wps.cn/vas-ai-hub/contract-review">3</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0f9b80f4-2c31-494e-b699-fff213b07791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3FF752C9</paraID>
      <start xmlns="http://schemas.wps.cn/vas-ai-hub/contract-review">10</start>
      <end xmlns="http://schemas.wps.cn/vas-ai-hub/contract-review">11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656f23dd-0a8e-4b67-b6d7-90370d3efafa</errorID>
      <errorWord xmlns="http://schemas.wps.cn/vas-ai-hub/contract-review">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租房</item>
      </candidateList>
      <explain xmlns="http://schemas.wps.cn/vas-ai-hub/contract-review"/>
      <paraID xmlns="http://schemas.wps.cn/vas-ai-hub/contract-review">3FF752C9</paraID>
      <start xmlns="http://schemas.wps.cn/vas-ai-hub/contract-review">147</start>
      <end xmlns="http://schemas.wps.cn/vas-ai-hub/contract-review">148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95a0c403-10b8-49d0-9974-52ddef3244b6</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7CAFE874</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c07d3fd2-4d6d-4f9a-9e9f-65887ea0c00b</errorID>
      <errorWord xmlns="http://schemas.wps.cn/vas-ai-hub/contract-review">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租房</item>
      </candidateList>
      <explain xmlns="http://schemas.wps.cn/vas-ai-hub/contract-review"/>
      <paraID xmlns="http://schemas.wps.cn/vas-ai-hub/contract-review">7CAFE874</paraID>
      <start xmlns="http://schemas.wps.cn/vas-ai-hub/contract-review">604</start>
      <end xmlns="http://schemas.wps.cn/vas-ai-hub/contract-review">605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b204ab1f-456e-4023-803e-84461d6d3fc0</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437EB214</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45967be4-9b10-4b68-a551-36b1dceb9cdf</errorID>
      <errorWord xmlns="http://schemas.wps.cn/vas-ai-hub/contract-review">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租房</item>
      </candidateList>
      <explain xmlns="http://schemas.wps.cn/vas-ai-hub/contract-review"/>
      <paraID xmlns="http://schemas.wps.cn/vas-ai-hub/contract-review">437EB214</paraID>
      <start xmlns="http://schemas.wps.cn/vas-ai-hub/contract-review">308</start>
      <end xmlns="http://schemas.wps.cn/vas-ai-hub/contract-review">309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5eba331c-51e8-4003-982f-4df036f413b1</errorID>
      <errorWord xmlns="http://schemas.wps.cn/vas-ai-hub/contract-review">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项目</item>
      </candidateList>
      <explain xmlns="http://schemas.wps.cn/vas-ai-hub/contract-review">〈名〉事物分成的门类：服务～｜体育～｜建设～。</explain>
      <paraID xmlns="http://schemas.wps.cn/vas-ai-hub/contract-review">437EB214</paraID>
      <start xmlns="http://schemas.wps.cn/vas-ai-hub/contract-review">413</start>
      <end xmlns="http://schemas.wps.cn/vas-ai-hub/contract-review">414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4e93f87e-ffac-4999-a160-4447723464c9</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4D58FEFC</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9a84d6ac-dfcf-4afc-a399-1ef26c3ed2cf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4072329A</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3b544406-0347-4598-9242-d542cc03645e</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4072329A</paraID>
      <start xmlns="http://schemas.wps.cn/vas-ai-hub/contract-review">187</start>
      <end xmlns="http://schemas.wps.cn/vas-ai-hub/contract-review">191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693397aa-84c7-4fa3-af4d-4ea807ebae0b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4072329A</paraID>
      <start xmlns="http://schemas.wps.cn/vas-ai-hub/contract-review">213</start>
      <end xmlns="http://schemas.wps.cn/vas-ai-hub/contract-review">214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fe82ae54-a3a4-43c0-aefa-6b96f5e46f9e</errorID>
      <errorWord xmlns="http://schemas.wps.cn/vas-ai-hub/contract-review">申</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申请</item>
      </candidateList>
      <explain xmlns="http://schemas.wps.cn/vas-ai-hub/contract-review">〈动〉向上级或有关部门说明理由，提出请求：～书｜～助学贷款。</explain>
      <paraID xmlns="http://schemas.wps.cn/vas-ai-hub/contract-review">4072329A</paraID>
      <start xmlns="http://schemas.wps.cn/vas-ai-hub/contract-review">355</start>
      <end xmlns="http://schemas.wps.cn/vas-ai-hub/contract-review">356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e392448d-f0a6-4def-a066-ddfc0ba0fe1a</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6DF20C6B</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a327d854-0f2a-400c-a060-d9e1317154d1</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2A77C92E</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62613cc4-f082-4025-a9a5-3bb065212529</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2A77C92E</paraID>
      <start xmlns="http://schemas.wps.cn/vas-ai-hub/contract-review">22</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3c3498e0-17e9-45ce-b3ab-eb797b3400ef</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2A77C92E</paraID>
      <start xmlns="http://schemas.wps.cn/vas-ai-hub/contract-review">172</start>
      <end xmlns="http://schemas.wps.cn/vas-ai-hub/contract-review">175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2eb0769b-ed91-4bcf-9c9d-5389acd65e2a</errorID>
      <errorWord xmlns="http://schemas.wps.cn/vas-ai-hub/contract-review">至在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至</item>
      </candidateList>
      <explain xmlns="http://schemas.wps.cn/vas-ai-hub/contract-review">❶〈动〉到：～今｜自始～终｜～死不屈。❷至于：甚～。❸〈副〉极；最：为感谢～｜你要早来，～迟下星期内一定赶到。</explain>
      <paraID xmlns="http://schemas.wps.cn/vas-ai-hub/contract-review">2A77C92E</paraID>
      <start xmlns="http://schemas.wps.cn/vas-ai-hub/contract-review">216</start>
      <end xmlns="http://schemas.wps.cn/vas-ai-hub/contract-review">218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88d21e3b-8126-4615-b474-b0ad20ad42bd</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2A77C92E</paraID>
      <start xmlns="http://schemas.wps.cn/vas-ai-hub/contract-review">315</start>
      <end xmlns="http://schemas.wps.cn/vas-ai-hub/contract-review">318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c767c3e0-ca77-4eeb-b6c9-8f76d5495b3d</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35429B10</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596034f3-db0a-43fa-a15b-447bdecace58</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35429B10</paraID>
      <start xmlns="http://schemas.wps.cn/vas-ai-hub/contract-review">19</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42dae807-87a2-4851-843f-e2a1b401cd9d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35429B10</paraID>
      <start xmlns="http://schemas.wps.cn/vas-ai-hub/contract-review">214</start>
      <end xmlns="http://schemas.wps.cn/vas-ai-hub/contract-review">215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13740d18-3d9d-4577-9eba-ab01a9f0ef08</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35429B10</paraID>
      <start xmlns="http://schemas.wps.cn/vas-ai-hub/contract-review">272</start>
      <end xmlns="http://schemas.wps.cn/vas-ai-hub/contract-review">276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93fb183d-5f17-4008-8d12-dcf3f1d1b56c</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47985F10</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d1f7babb-70c8-45b4-ae19-6f945ed40045</errorID>
      <errorWord xmlns="http://schemas.wps.cn/vas-ai-hub/contract-review">统计可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统计</item>
      </candidateList>
      <explain xmlns="http://schemas.wps.cn/vas-ai-hub/contract-review"/>
      <paraID xmlns="http://schemas.wps.cn/vas-ai-hub/contract-review">47985F10</paraID>
      <start xmlns="http://schemas.wps.cn/vas-ai-hub/contract-review">420</start>
      <end xmlns="http://schemas.wps.cn/vas-ai-hub/contract-review">423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1114f382-9664-410d-8ed8-2beeaeef03a1</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662B2CCE</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45096307-4f17-4d40-929a-a510b19a09d4</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662B2CCE</paraID>
      <start xmlns="http://schemas.wps.cn/vas-ai-hub/contract-review">177</start>
      <end xmlns="http://schemas.wps.cn/vas-ai-hub/contract-review">180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eaae483b-3407-43bb-9a93-3025efd37102</errorID>
      <errorWord xmlns="http://schemas.wps.cn/vas-ai-hub/contract-review">接口以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接口</item>
      </candidateList>
      <explain xmlns="http://schemas.wps.cn/vas-ai-hub/contract-review"/>
      <paraID xmlns="http://schemas.wps.cn/vas-ai-hub/contract-review">662B2CCE</paraID>
      <start xmlns="http://schemas.wps.cn/vas-ai-hub/contract-review">236</start>
      <end xmlns="http://schemas.wps.cn/vas-ai-hub/contract-review">239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5f3e7a99-1e1b-4114-8aab-98cafcff0263</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6D45B88A</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f5bc38d4-80bb-492c-9913-a246571e0bb5</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6D45B88A</paraID>
      <start xmlns="http://schemas.wps.cn/vas-ai-hub/contract-review">12</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a243ead4-4618-4b81-99dc-e56025c0b277</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6D45B88A</paraID>
      <start xmlns="http://schemas.wps.cn/vas-ai-hub/contract-review">193</start>
      <end xmlns="http://schemas.wps.cn/vas-ai-hub/contract-review">196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2ab74b07-f211-41cb-bbfa-2491a4895ebf</errorID>
      <errorWord xmlns="http://schemas.wps.cn/vas-ai-hub/contract-review">公房</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供方</item>
      </candidateList>
      <explain xmlns="http://schemas.wps.cn/vas-ai-hub/contract-review"/>
      <paraID xmlns="http://schemas.wps.cn/vas-ai-hub/contract-review">6D45B88A</paraID>
      <start xmlns="http://schemas.wps.cn/vas-ai-hub/contract-review">348</start>
      <end xmlns="http://schemas.wps.cn/vas-ai-hub/contract-review">350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bc75a8be-be5e-4391-94e5-f1b25779dc6c</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 7A7B81C</paraID>
      <start xmlns="http://schemas.wps.cn/vas-ai-hub/contract-review">13</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cf1d081e-3295-41d0-9bf3-0fcf1a2ebd40</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513F627B</paraID>
      <start xmlns="http://schemas.wps.cn/vas-ai-hub/contract-review">13</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76b2bd6a-82ec-4a59-8ddf-54a92e7a7965</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34CE0AFC</paraID>
      <start xmlns="http://schemas.wps.cn/vas-ai-hub/contract-review">13</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ae116bd1-e63f-41cb-969f-de9ab35ca8ca</errorID>
      <errorWord xmlns="http://schemas.wps.cn/vas-ai-hub/contract-review">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可以</item>
      </candidateList>
      <explain xmlns="http://schemas.wps.cn/vas-ai-hub/contract-review">〈口〉〈形〉❶好；不坏；过得去：这篇文章写得还～。❷厉害：你这张嘴真～｜天气实在热得～。</explain>
      <paraID xmlns="http://schemas.wps.cn/vas-ai-hub/contract-review">34CE0AFC</paraID>
      <start xmlns="http://schemas.wps.cn/vas-ai-hub/contract-review">132</start>
      <end xmlns="http://schemas.wps.cn/vas-ai-hub/contract-review">133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ed0a69fb-bdac-4653-9076-acb9a5319568</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3E2D9C89</paraID>
      <start xmlns="http://schemas.wps.cn/vas-ai-hub/contract-review">13</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8c6694eb-8d1a-4b5c-a3b8-d50b5f4438d9</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60ACC9F1</paraID>
      <start xmlns="http://schemas.wps.cn/vas-ai-hub/contract-review">9</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a7c0ec3b-a013-439e-957c-fdf1d7cc1660</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691922E5</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25cdfebf-ebfe-42fa-b718-0b6b8abd17de</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691922E5</paraID>
      <start xmlns="http://schemas.wps.cn/vas-ai-hub/contract-review">14</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12be0c90-43af-408c-bdc9-af9e0ff71592</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691922E5</paraID>
      <start xmlns="http://schemas.wps.cn/vas-ai-hub/contract-review">139</start>
      <end xmlns="http://schemas.wps.cn/vas-ai-hub/contract-review">142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3843ad7e-31b8-4af0-83a2-93f368642a85</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533E0D97</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cc454db0-c5a9-41c9-8afe-91e2bea77052</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533E0D97</paraID>
      <start xmlns="http://schemas.wps.cn/vas-ai-hub/contract-review">14</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62f207ae-91f9-4f38-b058-62b6ff59b8d6</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533E0D97</paraID>
      <start xmlns="http://schemas.wps.cn/vas-ai-hub/contract-review">162</start>
      <end xmlns="http://schemas.wps.cn/vas-ai-hub/contract-review">165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0af2c19b-00e6-4199-9998-95c0b6aa32e1</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73EA133F</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ba2c48a1-e6e4-4e85-bdee-366d09b2cc74</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73EA133F</paraID>
      <start xmlns="http://schemas.wps.cn/vas-ai-hub/contract-review">16</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9d8e1033-94c8-4c63-89f8-272d36fa3e32</errorID>
      <errorWord xmlns="http://schemas.wps.cn/vas-ai-hub/contract-review">人和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人员</item>
      </candidateList>
      <explain xmlns="http://schemas.wps.cn/vas-ai-hub/contract-review">〈名〉担任某种职务的人：机关工作～｜值班～｜～配备。</explain>
      <paraID xmlns="http://schemas.wps.cn/vas-ai-hub/contract-review">73EA133F</paraID>
      <start xmlns="http://schemas.wps.cn/vas-ai-hub/contract-review">208</start>
      <end xmlns="http://schemas.wps.cn/vas-ai-hub/contract-review">210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c91c48b1-2c89-43cf-9acb-811008a15c11</errorID>
      <errorWord xmlns="http://schemas.wps.cn/vas-ai-hub/contract-review">00）、</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00）</item>
      </candidateList>
      <explain xmlns="http://schemas.wps.cn/vas-ai-hub/contract-review">根据国标GB/T 15834-2011《标点符号用法》中的4.5.3.3节，带括号的汉字数字或阿拉伯数字表次序时，后面通常不加顿号。如“（一）指导思想”“（二）行动指南”。</explain>
      <paraID xmlns="http://schemas.wps.cn/vas-ai-hub/contract-review">73EA133F</paraID>
      <start xmlns="http://schemas.wps.cn/vas-ai-hub/contract-review">248</start>
      <end xmlns="http://schemas.wps.cn/vas-ai-hub/contract-review">252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cab83c51-ff2f-4950-beb8-f639d5352977</errorID>
      <errorWord xmlns="http://schemas.wps.cn/vas-ai-hub/contract-review">详实</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翔实</item>
      </candidateList>
      <explain xmlns="http://schemas.wps.cn/vas-ai-hub/contract-review"/>
      <paraID xmlns="http://schemas.wps.cn/vas-ai-hub/contract-review">73EA133F</paraID>
      <start xmlns="http://schemas.wps.cn/vas-ai-hub/contract-review">357</start>
      <end xmlns="http://schemas.wps.cn/vas-ai-hub/contract-review">359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5b4e2e06-9dff-45fa-be67-cbdd717695d8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2CDAF2B9</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0ef4e9e8-c1fc-46fa-a534-2aff8ce10733</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2DB97746</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25a78955-39f0-4632-9454-a0379aeea81a</errorID>
      <errorWord xmlns="http://schemas.wps.cn/vas-ai-hub/contract-review">表样</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表形</item>
      </candidateList>
      <explain xmlns="http://schemas.wps.cn/vas-ai-hub/contract-review"/>
      <paraID xmlns="http://schemas.wps.cn/vas-ai-hub/contract-review">2DB97746</paraID>
      <start xmlns="http://schemas.wps.cn/vas-ai-hub/contract-review">264</start>
      <end xmlns="http://schemas.wps.cn/vas-ai-hub/contract-review">266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20b3ec5b-e679-4cd6-822b-c2b018411126</errorID>
      <errorWord xmlns="http://schemas.wps.cn/vas-ai-hub/contract-review">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态和</item>
      </candidateList>
      <explain xmlns="http://schemas.wps.cn/vas-ai-hub/contract-review"/>
      <paraID xmlns="http://schemas.wps.cn/vas-ai-hub/contract-review">2DB97746</paraID>
      <start xmlns="http://schemas.wps.cn/vas-ai-hub/contract-review">432</start>
      <end xmlns="http://schemas.wps.cn/vas-ai-hub/contract-review">433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ea9aec1d-045d-4c67-973e-9fcd8aa3a982</errorID>
      <errorWord xmlns="http://schemas.wps.cn/vas-ai-hub/contract-review">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期和</item>
      </candidateList>
      <explain xmlns="http://schemas.wps.cn/vas-ai-hub/contract-review"/>
      <paraID xmlns="http://schemas.wps.cn/vas-ai-hub/contract-review">2DB97746</paraID>
      <start xmlns="http://schemas.wps.cn/vas-ai-hub/contract-review">439</start>
      <end xmlns="http://schemas.wps.cn/vas-ai-hub/contract-review">440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17a22dcd-1de1-43c7-9804-8da8a6ff23ab</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11AE38D3</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be14439e-08b3-41ad-b0eb-69d8090a1fda</errorID>
      <errorWord xmlns="http://schemas.wps.cn/vas-ai-hub/contract-review">，如</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11AE38D3</paraID>
      <start xmlns="http://schemas.wps.cn/vas-ai-hub/contract-review">464</start>
      <end xmlns="http://schemas.wps.cn/vas-ai-hub/contract-review">466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0fabb664-3aa8-422f-bbca-b1a812aa9b5c</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1616A5EA</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3b6bcac8-6de4-41d9-b130-a10dbb1798a3</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1616A5EA</paraID>
      <start xmlns="http://schemas.wps.cn/vas-ai-hub/contract-review">16</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55108ae1-022e-4cfa-a3b7-199a23c8a2c0</errorID>
      <errorWord xmlns="http://schemas.wps.cn/vas-ai-hub/contract-review">符合做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符合</item>
      </candidateList>
      <explain xmlns="http://schemas.wps.cn/vas-ai-hub/contract-review">〈动〉（数量、形状、情节等）相合：～事实｜这些产品不～质量标准。</explain>
      <paraID xmlns="http://schemas.wps.cn/vas-ai-hub/contract-review">1616A5EA</paraID>
      <start xmlns="http://schemas.wps.cn/vas-ai-hub/contract-review">136</start>
      <end xmlns="http://schemas.wps.cn/vas-ai-hub/contract-review">139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21d0957d-4dda-4d67-bf3d-cef6a922e1bd</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1616A5EA</paraID>
      <start xmlns="http://schemas.wps.cn/vas-ai-hub/contract-review">196</start>
      <end xmlns="http://schemas.wps.cn/vas-ai-hub/contract-review">199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0ab45b6c-8313-4f81-a149-cdad3aa831fe</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13E76BD9</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b38f8a38-b076-4259-bafb-47512f153f91</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13E76BD9</paraID>
      <start xmlns="http://schemas.wps.cn/vas-ai-hub/contract-review">16</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97b27066-b285-4bb7-b425-6d2f5bd3bae8</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13E76BD9</paraID>
      <start xmlns="http://schemas.wps.cn/vas-ai-hub/contract-review">172</start>
      <end xmlns="http://schemas.wps.cn/vas-ai-hub/contract-review">175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43686093-be3a-43b0-8284-4e654521f4f3</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28EA1EEC</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fe468656-8fac-4fe4-87d3-123f31815d30</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28EA1EEC</paraID>
      <start xmlns="http://schemas.wps.cn/vas-ai-hub/contract-review">16</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c418035c-fef9-40cb-bc4b-f7a997cebb08</errorID>
      <errorWord xmlns="http://schemas.wps.cn/vas-ai-hub/contract-review">申报和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申报</item>
      </candidateList>
      <explain xmlns="http://schemas.wps.cn/vas-ai-hub/contract-review">〈动〉用书面形式向上级或有关部门报告：向税务部门如实～营业额。</explain>
      <paraID xmlns="http://schemas.wps.cn/vas-ai-hub/contract-review">28EA1EEC</paraID>
      <start xmlns="http://schemas.wps.cn/vas-ai-hub/contract-review">54</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47b43921-4c44-46cd-95ab-c65a76f4980d</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28EA1EEC</paraID>
      <start xmlns="http://schemas.wps.cn/vas-ai-hub/contract-review">237</start>
      <end xmlns="http://schemas.wps.cn/vas-ai-hub/contract-review">240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6710275a-9f04-4f7f-97b5-548f2f120949</errorID>
      <errorWord xmlns="http://schemas.wps.cn/vas-ai-hub/contract-review">凭借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凭</item>
      </candidateList>
      <explain xmlns="http://schemas.wps.cn/vas-ai-hub/contract-review"/>
      <paraID xmlns="http://schemas.wps.cn/vas-ai-hub/contract-review">415FF893</paraID>
      <start xmlns="http://schemas.wps.cn/vas-ai-hub/contract-review">325</start>
      <end xmlns="http://schemas.wps.cn/vas-ai-hub/contract-review">327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cee41baf-6dc0-41c5-be93-8f9c4bd9102c</errorID>
      <errorWord xmlns="http://schemas.wps.cn/vas-ai-hub/contract-review">共产房</errorWord>
      <group xmlns="http://schemas.wps.cn/vas-ai-hub/contract-review">L1_Sensitive</group>
      <groupName xmlns="http://schemas.wps.cn/vas-ai-hub/contract-review">敏感问题</groupName>
      <ability xmlns="http://schemas.wps.cn/vas-ai-hub/contract-review">L2_Violent</ability>
      <abilityName xmlns="http://schemas.wps.cn/vas-ai-hub/contract-review">暴恐词条</abilityName>
      <candidateList xmlns="http://schemas.wps.cn/vas-ai-hub/contract-review"/>
      <explain xmlns="http://schemas.wps.cn/vas-ai-hub/contract-review">【暴恐词条】句中包含暴恐类敏感词条，请注意甄别。</explain>
      <paraID xmlns="http://schemas.wps.cn/vas-ai-hub/contract-review">14D5461B</paraID>
      <start xmlns="http://schemas.wps.cn/vas-ai-hub/contract-review">9</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147d5081-c867-4091-a4c2-187daa6dc714</errorID>
      <errorWord xmlns="http://schemas.wps.cn/vas-ai-hub/contract-review">字段</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自动</item>
      </candidateList>
      <explain xmlns="http://schemas.wps.cn/vas-ai-hub/contract-review"/>
      <paraID xmlns="http://schemas.wps.cn/vas-ai-hub/contract-review">272A9D38</paraID>
      <start xmlns="http://schemas.wps.cn/vas-ai-hub/contract-review">77</start>
      <end xmlns="http://schemas.wps.cn/vas-ai-hub/contract-review">79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a1aa6d3d-1c33-489a-a8f8-42ff42e9496b</errorID>
      <errorWord xmlns="http://schemas.wps.cn/vas-ai-hub/contract-review">内的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内</item>
      </candidateList>
      <explain xmlns="http://schemas.wps.cn/vas-ai-hub/contract-review">❶〈名〉方位词。里头（跟“外”相对）：～衣｜～部｜室～｜国～｜年～。❷指妻或妻的亲属：～人｜～侄｜～弟。❸指内心或内脏：～省｜～疚｜五～俱焚。❹〈书〉指皇宫：大～。</explain>
      <paraID xmlns="http://schemas.wps.cn/vas-ai-hub/contract-review">272A9D38</paraID>
      <start xmlns="http://schemas.wps.cn/vas-ai-hub/contract-review">109</start>
      <end xmlns="http://schemas.wps.cn/vas-ai-hub/contract-review">111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5ac9ee69-fb53-4f60-b6df-38c62c8d5eb8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57D6C178</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0570dd45-2a45-41d8-a86d-598b922a435e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2113B05A</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f510358b-a7b8-4bf6-9222-9bc1a2826323</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1B10E55C</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3a5eb433-0df3-4320-9bb1-034aeefc6fdc</errorID>
      <errorWord xmlns="http://schemas.wps.cn/vas-ai-hub/contract-review">模</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模式</item>
      </candidateList>
      <explain xmlns="http://schemas.wps.cn/vas-ai-hub/contract-review"/>
      <paraID xmlns="http://schemas.wps.cn/vas-ai-hub/contract-review">1B10E55C</paraID>
      <start xmlns="http://schemas.wps.cn/vas-ai-hub/contract-review">25</start>
      <end xmlns="http://schemas.wps.cn/vas-ai-hub/contract-review">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fac12b40-f02f-49e4-882a-1c0a9f42c2f3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1B10E55C</paraID>
      <start xmlns="http://schemas.wps.cn/vas-ai-hub/contract-review">379</start>
      <end xmlns="http://schemas.wps.cn/vas-ai-hub/contract-review">380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d030abeb-9001-48a8-8972-d65f71a38428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1B10E55C</paraID>
      <start xmlns="http://schemas.wps.cn/vas-ai-hub/contract-review">381</start>
      <end xmlns="http://schemas.wps.cn/vas-ai-hub/contract-review">382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ed3d679f-7eef-4e48-9d57-59b1b9d2c89f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1B10E55C</paraID>
      <start xmlns="http://schemas.wps.cn/vas-ai-hub/contract-review">392</start>
      <end xmlns="http://schemas.wps.cn/vas-ai-hub/contract-review">393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c468fac9-453e-48f1-8185-90b879d33d95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1B10E55C</paraID>
      <start xmlns="http://schemas.wps.cn/vas-ai-hub/contract-review">394</start>
      <end xmlns="http://schemas.wps.cn/vas-ai-hub/contract-review">395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dc4aa827-4bde-4a1b-9f98-5a1fa78892b5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220C7968</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12f737fe-e5a2-4628-a054-1860edc7f029</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3BBC9336</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9c29e8b6-ca20-4a72-b58f-03200021f16a</errorID>
      <errorWord xmlns="http://schemas.wps.cn/vas-ai-hub/contract-review">已备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以备</item>
      </candidateList>
      <explain xmlns="http://schemas.wps.cn/vas-ai-hub/contract-review"/>
      <paraID xmlns="http://schemas.wps.cn/vas-ai-hub/contract-review">3BBC9336</paraID>
      <start xmlns="http://schemas.wps.cn/vas-ai-hub/contract-review">288</start>
      <end xmlns="http://schemas.wps.cn/vas-ai-hub/contract-review">290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55bb0cc5-9470-4364-8275-a94a0dd6ccb7</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44CB262E</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64a2d801-1541-4069-836c-27a63c526543</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1EEA5AD6</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be50368f-3274-4dce-b248-8217d7795e87</errorID>
      <errorWord xmlns="http://schemas.wps.cn/vas-ai-hub/contract-review">房家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房</item>
      </candidateList>
      <explain xmlns="http://schemas.wps.cn/vas-ai-hub/contract-review"/>
      <paraID xmlns="http://schemas.wps.cn/vas-ai-hub/contract-review">1EEA5AD6</paraID>
      <start xmlns="http://schemas.wps.cn/vas-ai-hub/contract-review">87</start>
      <end xmlns="http://schemas.wps.cn/vas-ai-hub/contract-review">89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1b3ffd16-bb6e-4d1d-ab84-177e5d2c7c33</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990FDB9</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7d60daf7-1974-4e5a-8b1f-ced950bc375b</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47494A0F</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859f4004-c043-405b-937d-a0921f6a3f8c</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1ABFCAED</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28e21b5f-4275-48dd-8677-82e99704b719</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25AA3CEA</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a5f7b8dd-1048-4d50-831a-d601ebfc5809</errorID>
      <errorWord xmlns="http://schemas.wps.cn/vas-ai-hub/contract-review">部份</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部分</item>
      </candidateList>
      <explain xmlns="http://schemas.wps.cn/vas-ai-hub/contract-review">〈名〉整体中的局部；整体里的一些个体：检验机器各～的性能｜我校～师生参加了夏令营活动。</explain>
      <paraID xmlns="http://schemas.wps.cn/vas-ai-hub/contract-review">25AA3CEA</paraID>
      <start xmlns="http://schemas.wps.cn/vas-ai-hub/contract-review">84</start>
      <end xmlns="http://schemas.wps.cn/vas-ai-hub/contract-review">86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8b0b85cb-bbb8-4cc1-979c-8dfa7ac2cdc4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25AA3CEA</paraID>
      <start xmlns="http://schemas.wps.cn/vas-ai-hub/contract-review">159</start>
      <end xmlns="http://schemas.wps.cn/vas-ai-hub/contract-review">160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d025fce2-5b25-4dcf-b4bf-861326efbeb0</errorID>
      <errorWord xmlns="http://schemas.wps.cn/vas-ai-hub/contract-review">配种</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品种</item>
      </candidateList>
      <explain xmlns="http://schemas.wps.cn/vas-ai-hub/contract-review"/>
      <paraID xmlns="http://schemas.wps.cn/vas-ai-hub/contract-review">25AA3CEA</paraID>
      <start xmlns="http://schemas.wps.cn/vas-ai-hub/contract-review">222</start>
      <end xmlns="http://schemas.wps.cn/vas-ai-hub/contract-review">224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1e592651-522d-4cd2-806a-8465125a6d0d</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59A7DFA5</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6362ea2b-a25f-46aa-a65f-dd81210dae58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20882162</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2ce8b4d5-e85a-4be7-9b61-fbc7c1b37272</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20882162</paraID>
      <start xmlns="http://schemas.wps.cn/vas-ai-hub/contract-review">203</start>
      <end xmlns="http://schemas.wps.cn/vas-ai-hub/contract-review">207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5f901830-b26f-47d9-832b-c8d8073cd1ff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3BD5F0EB</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206b7cad-84c6-456e-9004-131b965f3449</errorID>
      <errorWord xmlns="http://schemas.wps.cn/vas-ai-hub/contract-review">生产</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生成</item>
      </candidateList>
      <explain xmlns="http://schemas.wps.cn/vas-ai-hub/contract-review"/>
      <paraID xmlns="http://schemas.wps.cn/vas-ai-hub/contract-review">3BD5F0EB</paraID>
      <start xmlns="http://schemas.wps.cn/vas-ai-hub/contract-review">140</start>
      <end xmlns="http://schemas.wps.cn/vas-ai-hub/contract-review">142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5e1ab904-51a5-4a13-bc5d-176618731bc1</errorID>
      <errorWord xmlns="http://schemas.wps.cn/vas-ai-hub/contract-review">一网通办</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“一网通办”</item>
      </candidateList>
      <explain xmlns="http://schemas.wps.cn/vas-ai-hub/contract-review">注意检查当前固定表述标点是否使用规范。</explain>
      <paraID xmlns="http://schemas.wps.cn/vas-ai-hub/contract-review">3BD5F0EB</paraID>
      <start xmlns="http://schemas.wps.cn/vas-ai-hub/contract-review">243</start>
      <end xmlns="http://schemas.wps.cn/vas-ai-hub/contract-review">247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354d5f89-923b-4fd2-9f63-88af039ede32</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3B6380DB</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df369937-cde4-4d9e-8030-62d64543fc5a</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4DEF9B85</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204d3c79-c795-4c4a-919c-7a9506de8389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4DEF9B85</paraID>
      <start xmlns="http://schemas.wps.cn/vas-ai-hub/contract-review">456</start>
      <end xmlns="http://schemas.wps.cn/vas-ai-hub/contract-review">458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eca93975-918e-4e94-bab6-7ce621f40d7e</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645F5745</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c3ea66fe-911c-49d4-8a60-5fd5013f867a</errorID>
      <errorWord xmlns="http://schemas.wps.cn/vas-ai-hub/contract-review">坐</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做</item>
      </candidateList>
      <explain xmlns="http://schemas.wps.cn/vas-ai-hub/contract-review">存在发音相同字词的误用。</explain>
      <paraID xmlns="http://schemas.wps.cn/vas-ai-hub/contract-review">1D3FE258</paraID>
      <start xmlns="http://schemas.wps.cn/vas-ai-hub/contract-review">35</start>
      <end xmlns="http://schemas.wps.cn/vas-ai-hub/contract-review">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821197e9-a528-4014-99d5-2c1258b42c86</errorID>
      <errorWord xmlns="http://schemas.wps.cn/vas-ai-hub/contract-review">名称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称</item>
      </candidateList>
      <explain xmlns="http://schemas.wps.cn/vas-ai-hub/contract-review"/>
      <paraID xmlns="http://schemas.wps.cn/vas-ai-hub/contract-review">1C0E507F</paraID>
      <start xmlns="http://schemas.wps.cn/vas-ai-hub/contract-review">34</start>
      <end xmlns="http://schemas.wps.cn/vas-ai-hub/contract-review">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debc208b-2d1b-4e58-babb-498f91920a3f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538612D9</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197cbfcf-fbbc-42f8-a135-ee6206f0ac70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193DA3AD</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61df56c7-fdb9-4091-8b6f-b6e985ac78ed</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3633ED8D</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041a46ed-cba8-4502-a851-0492ae9c0b9d</errorID>
      <errorWord xmlns="http://schemas.wps.cn/vas-ai-hub/contract-review">抽查中</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抽查</item>
      </candidateList>
      <explain xmlns="http://schemas.wps.cn/vas-ai-hub/contract-review">〈动〉抽取一部分进行检查：最近～了一些食堂，卫生工作都做得很好。</explain>
      <paraID xmlns="http://schemas.wps.cn/vas-ai-hub/contract-review">770E0B59</paraID>
      <start xmlns="http://schemas.wps.cn/vas-ai-hub/contract-review">78</start>
      <end xmlns="http://schemas.wps.cn/vas-ai-hub/contract-review">81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af74f13e-e726-401f-a112-aa2789a7ebe7</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13D302ED</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53b7a9d6-d909-40ad-9a6f-f633b28845c6</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739395DD</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5a269afc-a14f-4723-ad26-911395f958a0</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26933F7F</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d7e480f1-3f49-4822-b43e-0dbb2a34c577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26933F7F</paraID>
      <start xmlns="http://schemas.wps.cn/vas-ai-hub/contract-review">689</start>
      <end xmlns="http://schemas.wps.cn/vas-ai-hub/contract-review">690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b1dd7987-e587-4511-818c-d5e62aad1947</errorID>
      <errorWord xmlns="http://schemas.wps.cn/vas-ai-hub/contract-review">实发</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始发</item>
      </candidateList>
      <explain xmlns="http://schemas.wps.cn/vas-ai-hub/contract-review"/>
      <paraID xmlns="http://schemas.wps.cn/vas-ai-hub/contract-review">26933F7F</paraID>
      <start xmlns="http://schemas.wps.cn/vas-ai-hub/contract-review">709</start>
      <end xmlns="http://schemas.wps.cn/vas-ai-hub/contract-review">711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522b0aa6-b376-4a64-b4e1-0202f93ceaf6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26933F7F</paraID>
      <start xmlns="http://schemas.wps.cn/vas-ai-hub/contract-review">712</start>
      <end xmlns="http://schemas.wps.cn/vas-ai-hub/contract-review">713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eacb115a-e563-4171-a4a7-9b50c040c7b4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26933F7F</paraID>
      <start xmlns="http://schemas.wps.cn/vas-ai-hub/contract-review">714</start>
      <end xmlns="http://schemas.wps.cn/vas-ai-hub/contract-review">715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da3a731a-72c8-4b78-a1b6-80cb79336bd3</errorID>
      <errorWord xmlns="http://schemas.wps.cn/vas-ai-hub/contract-review">成</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成后</item>
      </candidateList>
      <explain xmlns="http://schemas.wps.cn/vas-ai-hub/contract-review"/>
      <paraID xmlns="http://schemas.wps.cn/vas-ai-hub/contract-review">26933F7F</paraID>
      <start xmlns="http://schemas.wps.cn/vas-ai-hub/contract-review">755</start>
      <end xmlns="http://schemas.wps.cn/vas-ai-hub/contract-review">756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2c567482-38f9-4cc3-adf7-e910376cdaad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26933F7F</paraID>
      <start xmlns="http://schemas.wps.cn/vas-ai-hub/contract-review">1074</start>
      <end xmlns="http://schemas.wps.cn/vas-ai-hub/contract-review">1075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d0a1e58e-a5a3-4915-9640-14896c54b2d0</errorID>
      <errorWord xmlns="http://schemas.wps.cn/vas-ai-hub/contract-review">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完成</item>
      </candidateList>
      <explain xmlns="http://schemas.wps.cn/vas-ai-hub/contract-review">〈动〉按照预期的目的结束；做成：～任务｜～作业｜计划完得成。</explain>
      <paraID xmlns="http://schemas.wps.cn/vas-ai-hub/contract-review">26933F7F</paraID>
      <start xmlns="http://schemas.wps.cn/vas-ai-hub/contract-review">1103</start>
      <end xmlns="http://schemas.wps.cn/vas-ai-hub/contract-review">1104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3b3be01a-b6c7-493b-b6be-564a817072cb</errorID>
      <errorWord xmlns="http://schemas.wps.cn/vas-ai-hub/contract-review">一条</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一笔</item>
      </candidateList>
      <explain xmlns="http://schemas.wps.cn/vas-ai-hub/contract-review"/>
      <paraID xmlns="http://schemas.wps.cn/vas-ai-hub/contract-review">26933F7F</paraID>
      <start xmlns="http://schemas.wps.cn/vas-ai-hub/contract-review">1168</start>
      <end xmlns="http://schemas.wps.cn/vas-ai-hub/contract-review">1170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3919369f-cb3e-4e83-8aa0-4a19589640c9</errorID>
      <errorWord xmlns="http://schemas.wps.cn/vas-ai-hub/contract-review">三条</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三年</item>
      </candidateList>
      <explain xmlns="http://schemas.wps.cn/vas-ai-hub/contract-review"/>
      <paraID xmlns="http://schemas.wps.cn/vas-ai-hub/contract-review">27F26686</paraID>
      <start xmlns="http://schemas.wps.cn/vas-ai-hub/contract-review">93</start>
      <end xmlns="http://schemas.wps.cn/vas-ai-hub/contract-review">95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14d60043-5add-41ff-b47f-e2e3ebe60a7b</errorID>
      <errorWord xmlns="http://schemas.wps.cn/vas-ai-hub/contract-review">市</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市统</item>
      </candidateList>
      <explain xmlns="http://schemas.wps.cn/vas-ai-hub/contract-review"/>
      <paraID xmlns="http://schemas.wps.cn/vas-ai-hub/contract-review">1EC7F2C9</paraID>
      <start xmlns="http://schemas.wps.cn/vas-ai-hub/contract-review">547</start>
      <end xmlns="http://schemas.wps.cn/vas-ai-hub/contract-review">548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2e244642-19ea-4a84-85ad-487e83de1f85</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；在</item>
      </candidateList>
      <explain xmlns="http://schemas.wps.cn/vas-ai-hub/contract-review"/>
      <paraID xmlns="http://schemas.wps.cn/vas-ai-hub/contract-review">3B559130</paraID>
      <start xmlns="http://schemas.wps.cn/vas-ai-hub/contract-review">40</start>
      <end xmlns="http://schemas.wps.cn/vas-ai-hub/contract-review">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d478463a-bac9-40d1-8408-b611a470659a</errorID>
      <errorWord xmlns="http://schemas.wps.cn/vas-ai-hub/contract-review">保障性租房</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保障性住房</item>
      </candidateList>
      <explain xmlns="http://schemas.wps.cn/vas-ai-hub/contract-review">词汇“保障性住房”在特定场景下为固定表述形式，请确认此处的“保障性租房”是否存在不当。</explain>
      <paraID xmlns="http://schemas.wps.cn/vas-ai-hub/contract-review">7D1B13A4</paraID>
      <start xmlns="http://schemas.wps.cn/vas-ai-hub/contract-review">85</start>
      <end xmlns="http://schemas.wps.cn/vas-ai-hub/contract-review">90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ed94d95c-396f-4bab-ba4a-990a8d2f9857</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60565E14</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14688b35-772b-4300-8368-c7c37ddc4422</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79A6A2C4</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05b2a76b-767b-484f-a9d3-3868572201f3</errorID>
      <errorWord xmlns="http://schemas.wps.cn/vas-ai-hub/contract-review">区县</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期限</item>
      </candidateList>
      <explain xmlns="http://schemas.wps.cn/vas-ai-hub/contract-review"/>
      <paraID xmlns="http://schemas.wps.cn/vas-ai-hub/contract-review">79A6A2C4</paraID>
      <start xmlns="http://schemas.wps.cn/vas-ai-hub/contract-review">233</start>
      <end xmlns="http://schemas.wps.cn/vas-ai-hub/contract-review">235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1d63a318-5ae8-4b7c-a1f5-24c41588f6b7</errorID>
      <errorWord xmlns="http://schemas.wps.cn/vas-ai-hub/contract-review">合同数据</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合成数据</item>
      </candidateList>
      <explain xmlns="http://schemas.wps.cn/vas-ai-hub/contract-review"/>
      <paraID xmlns="http://schemas.wps.cn/vas-ai-hub/contract-review">785970A5</paraID>
      <start xmlns="http://schemas.wps.cn/vas-ai-hub/contract-review">32</start>
      <end xmlns="http://schemas.wps.cn/vas-ai-hub/contract-review">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f90f8bf3-f110-47c0-9bd0-b9ae6676e1ce</errorID>
      <errorWord xmlns="http://schemas.wps.cn/vas-ai-hub/contract-review">合同数据</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合成数据</item>
      </candidateList>
      <explain xmlns="http://schemas.wps.cn/vas-ai-hub/contract-review"/>
      <paraID xmlns="http://schemas.wps.cn/vas-ai-hub/contract-review">785970A5</paraID>
      <start xmlns="http://schemas.wps.cn/vas-ai-hub/contract-review">147</start>
      <end xmlns="http://schemas.wps.cn/vas-ai-hub/contract-review">151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f8692cfe-5f5b-4c22-981b-d3b4e3cf9e19</errorID>
      <errorWord xmlns="http://schemas.wps.cn/vas-ai-hub/contract-review">时间粒度</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时间维度</item>
      </candidateList>
      <explain xmlns="http://schemas.wps.cn/vas-ai-hub/contract-review"/>
      <paraID xmlns="http://schemas.wps.cn/vas-ai-hub/contract-review">785970A5</paraID>
      <start xmlns="http://schemas.wps.cn/vas-ai-hub/contract-review">210</start>
      <end xmlns="http://schemas.wps.cn/vas-ai-hub/contract-review">214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d9bd3282-d9a7-4817-8267-cb253592f1b6</errorID>
      <errorWord xmlns="http://schemas.wps.cn/vas-ai-hub/contract-review">时间粒度</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时间维度</item>
      </candidateList>
      <explain xmlns="http://schemas.wps.cn/vas-ai-hub/contract-review"/>
      <paraID xmlns="http://schemas.wps.cn/vas-ai-hub/contract-review">785970A5</paraID>
      <start xmlns="http://schemas.wps.cn/vas-ai-hub/contract-review">324</start>
      <end xmlns="http://schemas.wps.cn/vas-ai-hub/contract-review">328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a18ac2d7-2ed3-42c2-8428-cb07b9056c1a</errorID>
      <errorWord xmlns="http://schemas.wps.cn/vas-ai-hub/contract-review">时间粒度</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时间维度</item>
      </candidateList>
      <explain xmlns="http://schemas.wps.cn/vas-ai-hub/contract-review"/>
      <paraID xmlns="http://schemas.wps.cn/vas-ai-hub/contract-review">698324DD</paraID>
      <start xmlns="http://schemas.wps.cn/vas-ai-hub/contract-review">134</start>
      <end xmlns="http://schemas.wps.cn/vas-ai-hub/contract-review">138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1fe5c885-ebf8-4b7b-8d54-c8af7c4a88f9</errorID>
      <errorWord xmlns="http://schemas.wps.cn/vas-ai-hub/contract-review">详实</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翔实</item>
      </candidateList>
      <explain xmlns="http://schemas.wps.cn/vas-ai-hub/contract-review"/>
      <paraID xmlns="http://schemas.wps.cn/vas-ai-hub/contract-review">698324DD</paraID>
      <start xmlns="http://schemas.wps.cn/vas-ai-hub/contract-review">187</start>
      <end xmlns="http://schemas.wps.cn/vas-ai-hub/contract-review">189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6fc2dbc6-9c8e-4e01-b3e0-8fb1785a773a</errorID>
      <errorWord xmlns="http://schemas.wps.cn/vas-ai-hub/contract-review">租务报表</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财务报表</item>
      </candidateList>
      <explain xmlns="http://schemas.wps.cn/vas-ai-hub/contract-review"/>
      <paraID xmlns="http://schemas.wps.cn/vas-ai-hub/contract-review"> B7A0931</paraID>
      <start xmlns="http://schemas.wps.cn/vas-ai-hub/contract-review">12</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cf2fa2bd-3cde-43fe-bf78-90840fbf00f2</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3961836E</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90a2ccd7-fca7-4f65-b173-025162e9a2dd</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11591E4E</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e8ab5461-ae6c-4b14-969a-4d7d94c1bf0a</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4F5FC099</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0a4665b7-cd73-40d5-80ea-3640352d57bd</errorID>
      <errorWord xmlns="http://schemas.wps.cn/vas-ai-hub/contract-review">70%-90%</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70%—90%</item>
      </candidateList>
      <explain xmlns="http://schemas.wps.cn/vas-ai-hub/contract-review">1. “70%-90%”中的单位“%”仅出现在后一个数字上，容易引起歧义；根据《现代汉语标点符号数字用法规范手册》，数字表示范围两边需要使用统一的格式。2. 根据标点国标 4.13 中的规则，数字、时间或地域连接符应使用（视觉上更长的）“—”或“～”。</explain>
      <paraID xmlns="http://schemas.wps.cn/vas-ai-hub/contract-review">10BF4614</paraID>
      <start xmlns="http://schemas.wps.cn/vas-ai-hub/contract-review">469</start>
      <end xmlns="http://schemas.wps.cn/vas-ai-hub/contract-review">476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e78a62b0-79bd-4d32-a68d-6caf6292c136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121E58B9</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2d2669ab-df34-4b65-b323-1740aec011ea</errorID>
      <errorWord xmlns="http://schemas.wps.cn/vas-ai-hub/contract-review">、及</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及</item>
      </candidateList>
      <explain xmlns="http://schemas.wps.cn/vas-ai-hub/contract-review">〈连〉连接并列的名词或名词性词组：图书、仪器、标本～其他。注意用“及”连接的成分多在意义上有主次之分，主要的成分放在“及”的前面。</explain>
      <paraID xmlns="http://schemas.wps.cn/vas-ai-hub/contract-review">121E58B9</paraID>
      <start xmlns="http://schemas.wps.cn/vas-ai-hub/contract-review">864</start>
      <end xmlns="http://schemas.wps.cn/vas-ai-hub/contract-review">866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7d5359bd-3c1f-436b-a5fc-a1515d05c877</errorID>
      <errorWord xmlns="http://schemas.wps.cn/vas-ai-hub/contract-review">成</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后</item>
      </candidateList>
      <explain xmlns="http://schemas.wps.cn/vas-ai-hub/contract-review">❶君主的妻子：皇～｜～妃。❷古代称君主：商之先～。❸（Hòu）〈名〉姓。</explain>
      <paraID xmlns="http://schemas.wps.cn/vas-ai-hub/contract-review">6BDB4226</paraID>
      <start xmlns="http://schemas.wps.cn/vas-ai-hub/contract-review">589</start>
      <end xmlns="http://schemas.wps.cn/vas-ai-hub/contract-review">590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4f35eb8a-2610-4bc1-b545-956f94c038b3</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2AD741C</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92569154-44af-45fd-bc3b-a86693b0da8b</errorID>
      <errorWord xmlns="http://schemas.wps.cn/vas-ai-hub/contract-review">统一信用代码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统一社会信用代码</item>
      </candidateList>
      <explain xmlns="http://schemas.wps.cn/vas-ai-hub/contract-review"/>
      <paraID xmlns="http://schemas.wps.cn/vas-ai-hub/contract-review">2B6896FD</paraID>
      <start xmlns="http://schemas.wps.cn/vas-ai-hub/contract-review">490</start>
      <end xmlns="http://schemas.wps.cn/vas-ai-hub/contract-review">496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e39ab032-863d-4fa8-b653-c409d406ac45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FCD5F09</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d995e02c-afab-45ef-ad7d-65bdbc896185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FCD5F09</paraID>
      <start xmlns="http://schemas.wps.cn/vas-ai-hub/contract-review">37</start>
      <end xmlns="http://schemas.wps.cn/vas-ai-hub/contract-review">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82d17756-2e8f-4816-a9a4-c78296809e48</errorID>
      <errorWord xmlns="http://schemas.wps.cn/vas-ai-hub/contract-review">包括有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包括</item>
      </candidateList>
      <explain xmlns="http://schemas.wps.cn/vas-ai-hub/contract-review"/>
      <paraID xmlns="http://schemas.wps.cn/vas-ai-hub/contract-review">7DD9F401</paraID>
      <start xmlns="http://schemas.wps.cn/vas-ai-hub/contract-review">826</start>
      <end xmlns="http://schemas.wps.cn/vas-ai-hub/contract-review">829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bb44fdb5-94c6-43d7-b1e4-3bcb7abe82bc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6B740894</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2d81d9b9-23bd-4a72-8f75-3d23cea0523c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6B740894</paraID>
      <start xmlns="http://schemas.wps.cn/vas-ai-hub/contract-review">37</start>
      <end xmlns="http://schemas.wps.cn/vas-ai-hub/contract-review">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9a10df06-f8ad-42f4-81cf-14166b33cae8</errorID>
      <errorWord xmlns="http://schemas.wps.cn/vas-ai-hub/contract-review">统一信用代码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统一社会信用代码</item>
      </candidateList>
      <explain xmlns="http://schemas.wps.cn/vas-ai-hub/contract-review"/>
      <paraID xmlns="http://schemas.wps.cn/vas-ai-hub/contract-review">5C571CA2</paraID>
      <start xmlns="http://schemas.wps.cn/vas-ai-hub/contract-review">375</start>
      <end xmlns="http://schemas.wps.cn/vas-ai-hub/contract-review">381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b26308bc-6b88-4553-83de-07f1f63fb206</errorID>
      <errorWord xmlns="http://schemas.wps.cn/vas-ai-hub/contract-review">统一信用代码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统一社会信用代码</item>
      </candidateList>
      <explain xmlns="http://schemas.wps.cn/vas-ai-hub/contract-review"/>
      <paraID xmlns="http://schemas.wps.cn/vas-ai-hub/contract-review">5C571CA2</paraID>
      <start xmlns="http://schemas.wps.cn/vas-ai-hub/contract-review">508</start>
      <end xmlns="http://schemas.wps.cn/vas-ai-hub/contract-review">514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6ae53b88-81ea-49e8-823a-9a12bd81d3df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1A10525C</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156a2b02-7d64-4222-b87e-80fac718f980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168F9BE0</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e57510be-ec4e-47be-835e-2b90e569dfb4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168F9BE0</paraID>
      <start xmlns="http://schemas.wps.cn/vas-ai-hub/contract-review">35</start>
      <end xmlns="http://schemas.wps.cn/vas-ai-hub/contract-review">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9f7c21c5-a967-4af8-9f10-4b7b13a85663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1857BC8B</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05f33872-2c14-409c-b15e-0a7710d6e5fb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1857BC8B</paraID>
      <start xmlns="http://schemas.wps.cn/vas-ai-hub/contract-review">35</start>
      <end xmlns="http://schemas.wps.cn/vas-ai-hub/contract-review">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1a560cc2-64bd-43eb-8fe5-e59944a3622e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742FAFB6</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55dc4d26-35a8-43cb-b8b9-ab6d77bc0769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742FAFB6</paraID>
      <start xmlns="http://schemas.wps.cn/vas-ai-hub/contract-review">35</start>
      <end xmlns="http://schemas.wps.cn/vas-ai-hub/contract-review">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5bf3e477-a949-41ba-802f-7a849f7a0fd3</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5CD545DD</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86ed27f5-8f64-464f-a3d5-ffd5a927265d</errorID>
      <errorWord xmlns="http://schemas.wps.cn/vas-ai-hub/contract-review">成</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成进</item>
      </candidateList>
      <explain xmlns="http://schemas.wps.cn/vas-ai-hub/contract-review"/>
      <paraID xmlns="http://schemas.wps.cn/vas-ai-hub/contract-review">5CD545DD</paraID>
      <start xmlns="http://schemas.wps.cn/vas-ai-hub/contract-review">171</start>
      <end xmlns="http://schemas.wps.cn/vas-ai-hub/contract-review">172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38cd4989-07ef-4533-9699-59fff4e66013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CF624AD</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90496062-7b60-4482-9ce8-1da1c3a4785d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CF624AD</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2852dbf7-71f8-47ff-b1e7-a22384dffa84</errorID>
      <errorWord xmlns="http://schemas.wps.cn/vas-ai-hub/contract-review">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了解</item>
      </candidateList>
      <explain xmlns="http://schemas.wps.cn/vas-ai-hub/contract-review"/>
      <paraID xmlns="http://schemas.wps.cn/vas-ai-hub/contract-review">7DBDDB9E</paraID>
      <start xmlns="http://schemas.wps.cn/vas-ai-hub/contract-review">359</start>
      <end xmlns="http://schemas.wps.cn/vas-ai-hub/contract-review">360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c84f3a09-7e38-4ac5-922b-0418144c81eb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3B6D0F6F</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293701a9-69bb-4556-845d-efca9841fe50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3B6D0F6F</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dfe48b9e-535d-493b-a066-231cdc9cb609</errorID>
      <errorWord xmlns="http://schemas.wps.cn/vas-ai-hub/contract-review">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可以</item>
      </candidateList>
      <explain xmlns="http://schemas.wps.cn/vas-ai-hub/contract-review">〈口〉〈形〉❶好；不坏；过得去：这篇文章写得还～。❷厉害：你这张嘴真～｜天气实在热得～。</explain>
      <paraID xmlns="http://schemas.wps.cn/vas-ai-hub/contract-review">139A8E3C</paraID>
      <start xmlns="http://schemas.wps.cn/vas-ai-hub/contract-review">43</start>
      <end xmlns="http://schemas.wps.cn/vas-ai-hub/contract-review">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b199d22c-1c23-443b-9494-53d2f26256a5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1ECBF69</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7ba87003-b995-45be-b005-53225ec82844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1ECBF69</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a72f29f1-3f76-49cf-947d-8acdcb529c51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301B35A2</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596fefb1-3807-42f4-9677-a7e6dbca62e3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301B35A2</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331fac66-2f6f-4486-a246-e7c2389a2ea1</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7E6DB542</paraID>
      <start xmlns="http://schemas.wps.cn/vas-ai-hub/contract-review">434</start>
      <end xmlns="http://schemas.wps.cn/vas-ai-hub/contract-review">439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03656dc5-d8a4-46b9-9098-9a6157749f9a</errorID>
      <errorWord xmlns="http://schemas.wps.cn/vas-ai-hub/contract-review">情况的进行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情况进行</item>
      </candidateList>
      <explain xmlns="http://schemas.wps.cn/vas-ai-hub/contract-review"/>
      <paraID xmlns="http://schemas.wps.cn/vas-ai-hub/contract-review">7E6DB542</paraID>
      <start xmlns="http://schemas.wps.cn/vas-ai-hub/contract-review">523</start>
      <end xmlns="http://schemas.wps.cn/vas-ai-hub/contract-review">528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8054b6b1-58a5-43c3-928a-73b7cd07abc8</errorID>
      <errorWord xmlns="http://schemas.wps.cn/vas-ai-hub/contract-review">报由</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报</item>
      </candidateList>
      <explain xmlns="http://schemas.wps.cn/vas-ai-hub/contract-review"/>
      <paraID xmlns="http://schemas.wps.cn/vas-ai-hub/contract-review">7E6DB542</paraID>
      <start xmlns="http://schemas.wps.cn/vas-ai-hub/contract-review">866</start>
      <end xmlns="http://schemas.wps.cn/vas-ai-hub/contract-review">868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49505ce2-d346-4915-9049-1b172b71db00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6398B7B9</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dfb73219-fe03-481b-9fba-733677b9c299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6398B7B9</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ee8ff0ec-144a-4496-b5df-be1a9f5bcf6f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3A6FED4F</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8ccc992c-1577-4beb-935a-2fd10f464908</errorID>
      <errorWord xmlns="http://schemas.wps.cn/vas-ai-hub/contract-review">记录可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记录</item>
      </candidateList>
      <explain xmlns="http://schemas.wps.cn/vas-ai-hub/contract-review">❶〈动〉把听到的话或发生的事写下来：～在案。❷〈名〉当场记录下来的材料：会议～。❸〈名〉做记录的人：推举他当～。‖也作纪录。❹同“纪录”▲。</explain>
      <paraID xmlns="http://schemas.wps.cn/vas-ai-hub/contract-review">3A6FED4F</paraID>
      <start xmlns="http://schemas.wps.cn/vas-ai-hub/contract-review">140</start>
      <end xmlns="http://schemas.wps.cn/vas-ai-hub/contract-review">143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f9b7de74-8a4c-4fb1-8c50-0ef0e9920e03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40CD9E5A</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6f4edbe8-7111-4465-9b45-3f0c1827a072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40CD9E5A</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a4198e97-5427-4d0d-aece-607cf187b5e8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40CD9E5A</paraID>
      <start xmlns="http://schemas.wps.cn/vas-ai-hub/contract-review">37</start>
      <end xmlns="http://schemas.wps.cn/vas-ai-hub/contract-review">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4bc0d739-4527-4cd7-94bf-47a21417c2e5</errorID>
      <errorWord xmlns="http://schemas.wps.cn/vas-ai-hub/contract-review">上报到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上报</item>
      </candidateList>
      <explain xmlns="http://schemas.wps.cn/vas-ai-hub/contract-review"/>
      <paraID xmlns="http://schemas.wps.cn/vas-ai-hub/contract-review">4949B3EC</paraID>
      <start xmlns="http://schemas.wps.cn/vas-ai-hub/contract-review">101</start>
      <end xmlns="http://schemas.wps.cn/vas-ai-hub/contract-review">104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0e3be858-a9ce-49b0-b4c5-8cd2c1162bcf</errorID>
      <errorWord xmlns="http://schemas.wps.cn/vas-ai-hub/contract-review">查查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查</item>
      </candidateList>
      <explain xmlns="http://schemas.wps.cn/vas-ai-hub/contract-review">（査）Zhā〈名〉姓。</explain>
      <paraID xmlns="http://schemas.wps.cn/vas-ai-hub/contract-review">4949B3EC</paraID>
      <start xmlns="http://schemas.wps.cn/vas-ai-hub/contract-review">200</start>
      <end xmlns="http://schemas.wps.cn/vas-ai-hub/contract-review">202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30869a35-ce50-40ec-a938-abe2cb476ee9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59E17720</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7529c6bd-4e58-4aa5-9337-24ed1061e87e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59E17720</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4eeb60a9-97da-4b27-b6f0-620fbd61f164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59E17720</paraID>
      <start xmlns="http://schemas.wps.cn/vas-ai-hub/contract-review">37</start>
      <end xmlns="http://schemas.wps.cn/vas-ai-hub/contract-review">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33858dc1-f9d9-4445-81dd-fe49543b9f54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1AD8BC86</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6b815f26-7588-4048-bc44-eb5e0a843020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1AD8BC86</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4df2903d-e836-4d54-a1f3-697dac520571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2AFC3FA7</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48fb97ae-fdf6-408c-b8da-3d6bd1d789e0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2AFC3FA7</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c476bc24-fb55-4796-bfa3-c06980d92ae7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328CADC4</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6a74ed42-d9ef-48b2-a5bb-37e2ca3245ad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328CADC4</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7896dee0-20f2-4670-955e-751f6009adc8</errorID>
      <errorWord xmlns="http://schemas.wps.cn/vas-ai-hub/contract-review">等级</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登记</item>
      </candidateList>
      <explain xmlns="http://schemas.wps.cn/vas-ai-hub/contract-review"/>
      <paraID xmlns="http://schemas.wps.cn/vas-ai-hub/contract-review">7480B875</paraID>
      <start xmlns="http://schemas.wps.cn/vas-ai-hub/contract-review">19</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d340c8d0-c268-4007-9fdf-c7bd6e0b88fd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2B03FA4E</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f01cb801-8cb6-40e4-9a20-cbbe36041b01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2B03FA4E</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7a5df71c-6d73-46f5-8f92-60970842ff36</errorID>
      <errorWord xmlns="http://schemas.wps.cn/vas-ai-hub/contract-review">人才人才</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人才</item>
      </candidateList>
      <explain xmlns="http://schemas.wps.cn/vas-ai-hub/contract-review">（人材）réncái〈名〉❶德才兼备的人；有某种特长的人：～难得｜～辈出。❷〈口〉指美丽端正的相貌：一表～｜有几分～。</explain>
      <paraID xmlns="http://schemas.wps.cn/vas-ai-hub/contract-review">19B30399</paraID>
      <start xmlns="http://schemas.wps.cn/vas-ai-hub/contract-review">162</start>
      <end xmlns="http://schemas.wps.cn/vas-ai-hub/contract-review">166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ceb5b900-096e-4369-8aa2-8fad837cda23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12206AF6</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c4458f09-73d7-413b-955b-872c01ff8d5b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12206AF6</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919c36fd-60fb-4704-a4dd-4588f724533f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73527D18</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0af4779c-9d55-426c-9aad-ab94e866b980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73527D18</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9fe42e85-b318-42b9-b95c-01d9c251304b</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377DC7EF</paraID>
      <start xmlns="http://schemas.wps.cn/vas-ai-hub/contract-review">30</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906a101a-77d7-46f5-b985-7e0e4aa2f775</errorID>
      <errorWord xmlns="http://schemas.wps.cn/vas-ai-hub/contract-review">提</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提供</item>
      </candidateList>
      <explain xmlns="http://schemas.wps.cn/vas-ai-hub/contract-review"/>
      <paraID xmlns="http://schemas.wps.cn/vas-ai-hub/contract-review">377DC7EF</paraID>
      <start xmlns="http://schemas.wps.cn/vas-ai-hub/contract-review">39</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f16e3f75-b9dd-4ca5-9945-9abf01efd255</errorID>
      <errorWord xmlns="http://schemas.wps.cn/vas-ai-hub/contract-review">的的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item>
      </candidateList>
      <explain xmlns="http://schemas.wps.cn/vas-ai-hub/contract-review">“的”常用于连接修饰语与名词性中心语，表示属性、所属或描述。</explain>
      <paraID xmlns="http://schemas.wps.cn/vas-ai-hub/contract-review">377DC7EF</paraID>
      <start xmlns="http://schemas.wps.cn/vas-ai-hub/contract-review">63</start>
      <end xmlns="http://schemas.wps.cn/vas-ai-hub/contract-review">65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e0c9991f-7724-4527-91cb-23b40ec973a2</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377DC7EF</paraID>
      <start xmlns="http://schemas.wps.cn/vas-ai-hub/contract-review">170</start>
      <end xmlns="http://schemas.wps.cn/vas-ai-hub/contract-review">172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99d6183d-07ab-4a2d-97a9-771494ea8148</errorID>
      <errorWord xmlns="http://schemas.wps.cn/vas-ai-hub/contract-review">高</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高层</item>
      </candidateList>
      <explain xmlns="http://schemas.wps.cn/vas-ai-hub/contract-review"/>
      <paraID xmlns="http://schemas.wps.cn/vas-ai-hub/contract-review">377DC7EF</paraID>
      <start xmlns="http://schemas.wps.cn/vas-ai-hub/contract-review">503</start>
      <end xmlns="http://schemas.wps.cn/vas-ai-hub/contract-review">504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ba8d4438-22f5-49a4-979c-15c59e5374e2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562C98C4</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4eb2c28e-59de-4f22-98d4-0e6a9eeb7f87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562C98C4</paraID>
      <start xmlns="http://schemas.wps.cn/vas-ai-hub/contract-review">21</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e2f7b336-0803-4ea0-8847-e9ea907b9c10</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5BC35315</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5391d7f1-0bd3-458c-b4ec-6505a601f933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45FCE949</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f5675807-bee8-444a-8ef2-35cfee7a32aa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45FCE949</paraID>
      <start xmlns="http://schemas.wps.cn/vas-ai-hub/contract-review">21</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45ebf626-43ba-4efb-8de1-23157a44349c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5FDCFC6F</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3173a5fd-f6b7-4629-861d-bfd5ec58fddd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5FDCFC6F</paraID>
      <start xmlns="http://schemas.wps.cn/vas-ai-hub/contract-review">21</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5fc8d181-3361-4e48-b5c8-2b2686ecc929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51165932</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0e05b71c-6ede-4775-9a89-667e9935f874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51165932</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1d492554-bf90-425a-9241-8d97a872468e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65768186</paraID>
      <start xmlns="http://schemas.wps.cn/vas-ai-hub/contract-review">165</start>
      <end xmlns="http://schemas.wps.cn/vas-ai-hub/contract-review">166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39fe80cd-81da-4936-aea9-2457c658f661</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，对</item>
      </candidateList>
      <explain xmlns="http://schemas.wps.cn/vas-ai-hub/contract-review"/>
      <paraID xmlns="http://schemas.wps.cn/vas-ai-hub/contract-review">65768186</paraID>
      <start xmlns="http://schemas.wps.cn/vas-ai-hub/contract-review">190</start>
      <end xmlns="http://schemas.wps.cn/vas-ai-hub/contract-review">191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52262703-a1e6-449f-a7bd-7f96ae42909f</errorID>
      <errorWord xmlns="http://schemas.wps.cn/vas-ai-hub/contract-review">市人才办</errorWord>
      <group xmlns="http://schemas.wps.cn/vas-ai-hub/contract-review">L1_Political</group>
      <groupName xmlns="http://schemas.wps.cn/vas-ai-hub/contract-review">政治性问题</groupName>
      <ability xmlns="http://schemas.wps.cn/vas-ai-hub/contract-review">L2_Unpolitical</ability>
      <abilityName xmlns="http://schemas.wps.cn/vas-ai-hub/contract-review">政治敏感错误</abilityName>
      <candidateList xmlns="http://schemas.wps.cn/vas-ai-hub/contract-review">
        <item xmlns="http://schemas.wps.cn/vas-ai-hub/contract-review">市委人才办</item>
      </candidateList>
      <explain xmlns="http://schemas.wps.cn/vas-ai-hub/contract-review">机关单位名称不规范，请注意审核。</explain>
      <paraID xmlns="http://schemas.wps.cn/vas-ai-hub/contract-review">65768186</paraID>
      <start xmlns="http://schemas.wps.cn/vas-ai-hub/contract-review">421</start>
      <end xmlns="http://schemas.wps.cn/vas-ai-hub/contract-review">425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7b12b99c-adbe-4049-abee-7cecb05c9152</errorID>
      <errorWord xmlns="http://schemas.wps.cn/vas-ai-hub/contract-review">市人才办</errorWord>
      <group xmlns="http://schemas.wps.cn/vas-ai-hub/contract-review">L1_Political</group>
      <groupName xmlns="http://schemas.wps.cn/vas-ai-hub/contract-review">政治性问题</groupName>
      <ability xmlns="http://schemas.wps.cn/vas-ai-hub/contract-review">L2_Unpolitical</ability>
      <abilityName xmlns="http://schemas.wps.cn/vas-ai-hub/contract-review">政治敏感错误</abilityName>
      <candidateList xmlns="http://schemas.wps.cn/vas-ai-hub/contract-review">
        <item xmlns="http://schemas.wps.cn/vas-ai-hub/contract-review">市委人才办</item>
      </candidateList>
      <explain xmlns="http://schemas.wps.cn/vas-ai-hub/contract-review">机关单位名称不规范，请注意审核。</explain>
      <paraID xmlns="http://schemas.wps.cn/vas-ai-hub/contract-review">65768186</paraID>
      <start xmlns="http://schemas.wps.cn/vas-ai-hub/contract-review">473</start>
      <end xmlns="http://schemas.wps.cn/vas-ai-hub/contract-review">477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7e9eaa1b-8613-42a6-a267-885d58adc5db</errorID>
      <errorWord xmlns="http://schemas.wps.cn/vas-ai-hub/contract-review">送到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送</item>
      </candidateList>
      <explain xmlns="http://schemas.wps.cn/vas-ai-hub/contract-review"/>
      <paraID xmlns="http://schemas.wps.cn/vas-ai-hub/contract-review">65768186</paraID>
      <start xmlns="http://schemas.wps.cn/vas-ai-hub/contract-review">651</start>
      <end xmlns="http://schemas.wps.cn/vas-ai-hub/contract-review">653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d230c28d-821d-41d9-8732-fec30568d3c8</errorID>
      <errorWord xmlns="http://schemas.wps.cn/vas-ai-hub/contract-review">送到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送</item>
      </candidateList>
      <explain xmlns="http://schemas.wps.cn/vas-ai-hub/contract-review"/>
      <paraID xmlns="http://schemas.wps.cn/vas-ai-hub/contract-review">65768186</paraID>
      <start xmlns="http://schemas.wps.cn/vas-ai-hub/contract-review">684</start>
      <end xmlns="http://schemas.wps.cn/vas-ai-hub/contract-review">686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bcdb9d82-da76-473f-965f-4032a8f37147</errorID>
      <errorWord xmlns="http://schemas.wps.cn/vas-ai-hub/contract-review">台帐</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台账</item>
      </candidateList>
      <explain xmlns="http://schemas.wps.cn/vas-ai-hub/contract-review"/>
      <paraID xmlns="http://schemas.wps.cn/vas-ai-hub/contract-review">65768186</paraID>
      <start xmlns="http://schemas.wps.cn/vas-ai-hub/contract-review">883</start>
      <end xmlns="http://schemas.wps.cn/vas-ai-hub/contract-review">885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298d8dc3-90f9-4a26-97d6-af002e679e68</errorID>
      <errorWord xmlns="http://schemas.wps.cn/vas-ai-hub/contract-review">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会议</item>
      </candidateList>
      <explain xmlns="http://schemas.wps.cn/vas-ai-hub/contract-review"/>
      <paraID xmlns="http://schemas.wps.cn/vas-ai-hub/contract-review">65768186</paraID>
      <start xmlns="http://schemas.wps.cn/vas-ai-hub/contract-review">915</start>
      <end xmlns="http://schemas.wps.cn/vas-ai-hub/contract-review">916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14a60621-374f-4448-b83c-5633c53ad0dc</errorID>
      <errorWord xmlns="http://schemas.wps.cn/vas-ai-hub/contract-review">由</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后</item>
      </candidateList>
      <explain xmlns="http://schemas.wps.cn/vas-ai-hub/contract-review">存在发音相近字词的误用。</explain>
      <paraID xmlns="http://schemas.wps.cn/vas-ai-hub/contract-review">65768186</paraID>
      <start xmlns="http://schemas.wps.cn/vas-ai-hub/contract-review">920</start>
      <end xmlns="http://schemas.wps.cn/vas-ai-hub/contract-review">921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773f593e-008c-4ab4-a3bd-5107ed7254e6</errorID>
      <errorWord xmlns="http://schemas.wps.cn/vas-ai-hub/contract-review">市人才办</errorWord>
      <group xmlns="http://schemas.wps.cn/vas-ai-hub/contract-review">L1_Political</group>
      <groupName xmlns="http://schemas.wps.cn/vas-ai-hub/contract-review">政治性问题</groupName>
      <ability xmlns="http://schemas.wps.cn/vas-ai-hub/contract-review">L2_Unpolitical</ability>
      <abilityName xmlns="http://schemas.wps.cn/vas-ai-hub/contract-review">政治敏感错误</abilityName>
      <candidateList xmlns="http://schemas.wps.cn/vas-ai-hub/contract-review">
        <item xmlns="http://schemas.wps.cn/vas-ai-hub/contract-review">市委人才办</item>
      </candidateList>
      <explain xmlns="http://schemas.wps.cn/vas-ai-hub/contract-review">机关单位名称不规范，请注意审核。</explain>
      <paraID xmlns="http://schemas.wps.cn/vas-ai-hub/contract-review">65768186</paraID>
      <start xmlns="http://schemas.wps.cn/vas-ai-hub/contract-review">970</start>
      <end xmlns="http://schemas.wps.cn/vas-ai-hub/contract-review">974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78ab503e-7749-49e7-b637-54595ebbe2e9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65768186</paraID>
      <start xmlns="http://schemas.wps.cn/vas-ai-hub/contract-review">990</start>
      <end xmlns="http://schemas.wps.cn/vas-ai-hub/contract-review">991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8b771d6f-98d3-43a9-aeb6-3c3dfeece191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246E2577</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d64ef428-ac84-49ca-89d9-2bd1ca44311a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246E2577</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4d2463aa-48f0-4c2a-85e2-7b1947e9b175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7547FB69</paraID>
      <start xmlns="http://schemas.wps.cn/vas-ai-hub/contract-review">358</start>
      <end xmlns="http://schemas.wps.cn/vas-ai-hub/contract-review">359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971448e7-7473-4432-9688-a6185f6c6860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7547FB69</paraID>
      <start xmlns="http://schemas.wps.cn/vas-ai-hub/contract-review">370</start>
      <end xmlns="http://schemas.wps.cn/vas-ai-hub/contract-review">371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ddfe8016-84e2-42a7-8aa2-356970d61e1a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1918E61</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db170978-f438-47cc-b731-eacd29ff332b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1918E61</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e0743410-2a1f-42e4-8ec7-eabad7683ff7</errorID>
      <errorWord xmlns="http://schemas.wps.cn/vas-ai-hub/contract-review">只用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只有</item>
      </candidateList>
      <explain xmlns="http://schemas.wps.cn/vas-ai-hub/contract-review">〈连〉表示唯一的条件（下文常用“才”或“方”呼应）：～同心协力，才能把事情办好。</explain>
      <paraID xmlns="http://schemas.wps.cn/vas-ai-hub/contract-review">1A93E664</paraID>
      <start xmlns="http://schemas.wps.cn/vas-ai-hub/contract-review">82</start>
      <end xmlns="http://schemas.wps.cn/vas-ai-hub/contract-review">84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8d21cc29-f73d-4c63-923f-4951973faea2</errorID>
      <errorWord xmlns="http://schemas.wps.cn/vas-ai-hub/contract-review">经</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经验</item>
      </candidateList>
      <explain xmlns="http://schemas.wps.cn/vas-ai-hub/contract-review"/>
      <paraID xmlns="http://schemas.wps.cn/vas-ai-hub/contract-review">1A93E664</paraID>
      <start xmlns="http://schemas.wps.cn/vas-ai-hub/contract-review">285</start>
      <end xmlns="http://schemas.wps.cn/vas-ai-hub/contract-review">286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e0c6da6a-03e4-4f86-8fe3-bc374097da0c</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1A93E664</paraID>
      <start xmlns="http://schemas.wps.cn/vas-ai-hub/contract-review">452</start>
      <end xmlns="http://schemas.wps.cn/vas-ai-hub/contract-review">454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8afe30da-9073-4d96-a993-2b7d671df2f3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7258CA47</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f07a3494-b355-4f79-8fad-ab9fbb3d4456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7258CA47</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a8017680-061e-4e3a-b117-df3de83a467e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7258CA47</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24fcb08c-910a-4e76-b89d-6a0a9dba16c6</errorID>
      <errorWord xmlns="http://schemas.wps.cn/vas-ai-hub/contract-review">党口</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窗口</item>
      </candidateList>
      <explain xmlns="http://schemas.wps.cn/vas-ai-hub/contract-review"/>
      <paraID xmlns="http://schemas.wps.cn/vas-ai-hub/contract-review">2F38F6EF</paraID>
      <start xmlns="http://schemas.wps.cn/vas-ai-hub/contract-review">741</start>
      <end xmlns="http://schemas.wps.cn/vas-ai-hub/contract-review">743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7da669b0-60a0-4942-a10e-975a4c623789</errorID>
      <errorWord xmlns="http://schemas.wps.cn/vas-ai-hub/contract-review">党口</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档口</item>
      </candidateList>
      <explain xmlns="http://schemas.wps.cn/vas-ai-hub/contract-review"/>
      <paraID xmlns="http://schemas.wps.cn/vas-ai-hub/contract-review">2F38F6EF</paraID>
      <start xmlns="http://schemas.wps.cn/vas-ai-hub/contract-review">961</start>
      <end xmlns="http://schemas.wps.cn/vas-ai-hub/contract-review">963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78f18150-ba09-4c12-832e-4ce78d1e4ed6</errorID>
      <errorWord xmlns="http://schemas.wps.cn/vas-ai-hub/contract-review">党口</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档口</item>
      </candidateList>
      <explain xmlns="http://schemas.wps.cn/vas-ai-hub/contract-review"/>
      <paraID xmlns="http://schemas.wps.cn/vas-ai-hub/contract-review">2F38F6EF</paraID>
      <start xmlns="http://schemas.wps.cn/vas-ai-hub/contract-review">1154</start>
      <end xmlns="http://schemas.wps.cn/vas-ai-hub/contract-review">1156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f9f4408f-80b3-4d95-90e6-d94826079b3d</errorID>
      <errorWord xmlns="http://schemas.wps.cn/vas-ai-hub/contract-review">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档</item>
      </candidateList>
      <explain xmlns="http://schemas.wps.cn/vas-ai-hub/contract-review">存在发音相同字词的误用。</explain>
      <paraID xmlns="http://schemas.wps.cn/vas-ai-hub/contract-review">2F38F6EF</paraID>
      <start xmlns="http://schemas.wps.cn/vas-ai-hub/contract-review">1308</start>
      <end xmlns="http://schemas.wps.cn/vas-ai-hub/contract-review">1309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3812546b-659f-466b-93ab-20b83f822b66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342932FC</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30207d22-4902-43ce-abda-988a13ce6c21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342932FC</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7beab083-601e-4b74-946e-81ddcc7af855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342932FC</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fb03c535-6adf-406a-8484-c0df06b5aac5</errorID>
      <errorWord xmlns="http://schemas.wps.cn/vas-ai-hub/contract-review">各党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各档</item>
      </candidateList>
      <explain xmlns="http://schemas.wps.cn/vas-ai-hub/contract-review"/>
      <paraID xmlns="http://schemas.wps.cn/vas-ai-hub/contract-review">2AA8E818</paraID>
      <start xmlns="http://schemas.wps.cn/vas-ai-hub/contract-review">79</start>
      <end xmlns="http://schemas.wps.cn/vas-ai-hub/contract-review">81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121ce1a8-5541-4af2-9f56-45e141b15ffc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6737D2C7</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addf8dd1-ac07-4e33-b686-58a6f60f3655</errorID>
      <errorWord xmlns="http://schemas.wps.cn/vas-ai-hub/contract-review">台帐</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台账</item>
      </candidateList>
      <explain xmlns="http://schemas.wps.cn/vas-ai-hub/contract-review"/>
      <paraID xmlns="http://schemas.wps.cn/vas-ai-hub/contract-review"> EC4538A</paraID>
      <start xmlns="http://schemas.wps.cn/vas-ai-hub/contract-review">318</start>
      <end xmlns="http://schemas.wps.cn/vas-ai-hub/contract-review">320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61c5f873-59ad-4b93-967a-ff0af665ebf1</errorID>
      <errorWord xmlns="http://schemas.wps.cn/vas-ai-hub/contract-review">台帐</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台账</item>
      </candidateList>
      <explain xmlns="http://schemas.wps.cn/vas-ai-hub/contract-review">存在发音相同字词的误用。</explain>
      <paraID xmlns="http://schemas.wps.cn/vas-ai-hub/contract-review"> EC4538A</paraID>
      <start xmlns="http://schemas.wps.cn/vas-ai-hub/contract-review">345</start>
      <end xmlns="http://schemas.wps.cn/vas-ai-hub/contract-review">347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b842779c-8324-47a8-a15e-46602d5dce78</errorID>
      <errorWord xmlns="http://schemas.wps.cn/vas-ai-hub/contract-review">台帐</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台账</item>
      </candidateList>
      <explain xmlns="http://schemas.wps.cn/vas-ai-hub/contract-review">存在发音相同字词的误用。</explain>
      <paraID xmlns="http://schemas.wps.cn/vas-ai-hub/contract-review"> EC4538A</paraID>
      <start xmlns="http://schemas.wps.cn/vas-ai-hub/contract-review">363</start>
      <end xmlns="http://schemas.wps.cn/vas-ai-hub/contract-review">365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ffa69722-dbe4-41a5-9f3c-909b0fb46425</errorID>
      <errorWord xmlns="http://schemas.wps.cn/vas-ai-hub/contract-review">台帐</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台账</item>
      </candidateList>
      <explain xmlns="http://schemas.wps.cn/vas-ai-hub/contract-review"/>
      <paraID xmlns="http://schemas.wps.cn/vas-ai-hub/contract-review"> EC4538A</paraID>
      <start xmlns="http://schemas.wps.cn/vas-ai-hub/contract-review">457</start>
      <end xmlns="http://schemas.wps.cn/vas-ai-hub/contract-review">459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e448fe65-3a2f-4ac8-98cc-f6ee76c3c31d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611091F0</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294da6d1-ec01-421f-a25a-30d307ecdd89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611091F0</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9f7adfa9-ce0e-4c17-be03-e7a768f5db90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67A73071</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3dc9f531-cbe4-446e-8992-8eef66ba781d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6284C8D</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f257ed5a-3361-4416-b50a-f538ba90141d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6284C8D</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429c4d31-b156-4c50-8792-88a553daf3e1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152F725F</paraID>
      <start xmlns="http://schemas.wps.cn/vas-ai-hub/contract-review">219</start>
      <end xmlns="http://schemas.wps.cn/vas-ai-hub/contract-review">220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30c3a277-9b9e-4789-ba3f-d75285986d11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122B3231</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cc20382d-29f2-4b24-abd8-d24071b8f8f4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122B3231</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c239d57a-f807-4e5e-a372-c430dca55e66</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6DC0CDA6</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67949cd7-60c5-42b1-9505-8a5ce07a48bf</errorID>
      <errorWord xmlns="http://schemas.wps.cn/vas-ai-hub/contract-review">”可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6DC0CDA6</paraID>
      <start xmlns="http://schemas.wps.cn/vas-ai-hub/contract-review">74</start>
      <end xmlns="http://schemas.wps.cn/vas-ai-hub/contract-review">76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390a1dd0-e89f-404f-a7ab-3fc5af0f3a29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39396329</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98cb4858-1895-4cee-a56c-285292d324bb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39396329</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731686ea-c243-41f2-9963-6e3eb0fb55ce</errorID>
      <errorWord xmlns="http://schemas.wps.cn/vas-ai-hub/contract-review">用户</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户</item>
      </candidateList>
      <explain xmlns="http://schemas.wps.cn/vas-ai-hub/contract-review"/>
      <paraID xmlns="http://schemas.wps.cn/vas-ai-hub/contract-review">416AA19F</paraID>
      <start xmlns="http://schemas.wps.cn/vas-ai-hub/contract-review">339</start>
      <end xmlns="http://schemas.wps.cn/vas-ai-hub/contract-review">341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7f111278-97f8-4df9-981d-bba9a5caf050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5E74DF98</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a890313d-a1d5-4c21-81cd-8aedeb6d5177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5E74DF98</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cc223a9c-18b4-4a88-b7f4-deae44d9bd90</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4F7B267E</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ca597b57-5e8b-49da-b8e6-1d605f0625fe</errorID>
      <errorWord xmlns="http://schemas.wps.cn/vas-ai-hub/contract-review">统一信用代码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统一社会信用代码</item>
      </candidateList>
      <explain xmlns="http://schemas.wps.cn/vas-ai-hub/contract-review"/>
      <paraID xmlns="http://schemas.wps.cn/vas-ai-hub/contract-review">4F7B267E</paraID>
      <start xmlns="http://schemas.wps.cn/vas-ai-hub/contract-review">278</start>
      <end xmlns="http://schemas.wps.cn/vas-ai-hub/contract-review">284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b45b3481-a5fe-4085-b37c-5995c3c0ee60</errorID>
      <errorWord xmlns="http://schemas.wps.cn/vas-ai-hub/contract-review">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选择</item>
      </candidateList>
      <explain xmlns="http://schemas.wps.cn/vas-ai-hub/contract-review">〈动〉挑选：～对象｜～地点。</explain>
      <paraID xmlns="http://schemas.wps.cn/vas-ai-hub/contract-review">4F7B267E</paraID>
      <start xmlns="http://schemas.wps.cn/vas-ai-hub/contract-review">370</start>
      <end xmlns="http://schemas.wps.cn/vas-ai-hub/contract-review">371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bf0fa1ad-ca80-402a-a276-7dbda04a7f61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7D62F602</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2ab63ab5-8e72-4b02-bf39-c21b80e0c37f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7D62F602</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c5024c04-3ff5-4120-be68-08de49c9fb01</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6BEF23E5</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6da0eaa4-5bc5-4d91-b14d-87aceaf25feb</errorID>
      <errorWord xmlns="http://schemas.wps.cn/vas-ai-hub/contract-review">统一信用代码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统一社会信用代码</item>
      </candidateList>
      <explain xmlns="http://schemas.wps.cn/vas-ai-hub/contract-review"/>
      <paraID xmlns="http://schemas.wps.cn/vas-ai-hub/contract-review">6BEF23E5</paraID>
      <start xmlns="http://schemas.wps.cn/vas-ai-hub/contract-review">94</start>
      <end xmlns="http://schemas.wps.cn/vas-ai-hub/contract-review">100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426539ac-ccdd-4ae8-8dbe-9c2de8479e08</errorID>
      <errorWord xmlns="http://schemas.wps.cn/vas-ai-hub/contract-review">统一信用代码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统一社会信用代码</item>
      </candidateList>
      <explain xmlns="http://schemas.wps.cn/vas-ai-hub/contract-review"/>
      <paraID xmlns="http://schemas.wps.cn/vas-ai-hub/contract-review">6BEF23E5</paraID>
      <start xmlns="http://schemas.wps.cn/vas-ai-hub/contract-review">203</start>
      <end xmlns="http://schemas.wps.cn/vas-ai-hub/contract-review">209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c73cb243-9327-4200-abd4-85d6fb2a03b4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76670BF0</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e033418e-2f60-419e-8d02-b9a993bb37f1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76670BF0</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37d8b4db-1efa-4073-be0a-9ad8a3b16381</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，各</item>
      </candidateList>
      <explain xmlns="http://schemas.wps.cn/vas-ai-hub/contract-review"/>
      <paraID xmlns="http://schemas.wps.cn/vas-ai-hub/contract-review">4AAB3E92</paraID>
      <start xmlns="http://schemas.wps.cn/vas-ai-hub/contract-review">168</start>
      <end xmlns="http://schemas.wps.cn/vas-ai-hub/contract-review">169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f7982274-ff43-4f0a-9f6e-a70d674e8f9c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218BFE7C</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557cb85f-1bdb-4046-bbec-64a764b333c9</errorID>
      <errorWord xmlns="http://schemas.wps.cn/vas-ai-hub/contract-review">幢额</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幢</item>
      </candidateList>
      <explain xmlns="http://schemas.wps.cn/vas-ai-hub/contract-review"/>
      <paraID xmlns="http://schemas.wps.cn/vas-ai-hub/contract-review">50D18609</paraID>
      <start xmlns="http://schemas.wps.cn/vas-ai-hub/contract-review">344</start>
      <end xmlns="http://schemas.wps.cn/vas-ai-hub/contract-review">346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3d2e4d94-eec9-4f59-9b9f-b8ffddcf506f</errorID>
      <errorWord xmlns="http://schemas.wps.cn/vas-ai-hub/contract-review">预定情况</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预订情况</item>
      </candidateList>
      <explain xmlns="http://schemas.wps.cn/vas-ai-hub/contract-review"/>
      <paraID xmlns="http://schemas.wps.cn/vas-ai-hub/contract-review">50D18609</paraID>
      <start xmlns="http://schemas.wps.cn/vas-ai-hub/contract-review">371</start>
      <end xmlns="http://schemas.wps.cn/vas-ai-hub/contract-review">375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c4718271-b93f-44aa-b8e2-1bd57fab3429</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1E222C28</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125ed7e6-0458-4144-8019-339d301570b1</errorID>
      <errorWord xmlns="http://schemas.wps.cn/vas-ai-hub/contract-review">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端地</item>
      </candidateList>
      <explain xmlns="http://schemas.wps.cn/vas-ai-hub/contract-review"/>
      <paraID xmlns="http://schemas.wps.cn/vas-ai-hub/contract-review">1E222C28</paraID>
      <start xmlns="http://schemas.wps.cn/vas-ai-hub/contract-review">132</start>
      <end xmlns="http://schemas.wps.cn/vas-ai-hub/contract-review">133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ff6e4d32-d824-4fad-988e-7021cbde2b00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1311DE53</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a4add89f-886a-4215-a7f0-336bedd3ebe4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1311DE53</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be2ca2be-e2ef-49d9-a7e5-fa9beb519b8a</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4F0A640E</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0457b600-8501-4532-81a5-82393d7346d0</errorID>
      <errorWord xmlns="http://schemas.wps.cn/vas-ai-hub/contract-review">统一信用代码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统一社会信用代码</item>
      </candidateList>
      <explain xmlns="http://schemas.wps.cn/vas-ai-hub/contract-review"/>
      <paraID xmlns="http://schemas.wps.cn/vas-ai-hub/contract-review">4F0A640E</paraID>
      <start xmlns="http://schemas.wps.cn/vas-ai-hub/contract-review">61</start>
      <end xmlns="http://schemas.wps.cn/vas-ai-hub/contract-review">67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cd82ba6f-0f37-4fe0-bdfc-884d628931f2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3F04E59C</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45fa24fc-8e14-4c8a-a9a3-f0a337445000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3F04E59C</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6cd11463-ef00-4ec8-8051-566acde4ae8f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2914EB4B</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b6245266-32fd-4cdc-8698-d38391c14c89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2914EB4B</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15cd9a13-a866-418b-a384-52adaa00f9ab</errorID>
      <errorWord xmlns="http://schemas.wps.cn/vas-ai-hub/contract-review">统一信用代码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统一社会信用代码</item>
      </candidateList>
      <explain xmlns="http://schemas.wps.cn/vas-ai-hub/contract-review"/>
      <paraID xmlns="http://schemas.wps.cn/vas-ai-hub/contract-review">5C8FE8D3</paraID>
      <start xmlns="http://schemas.wps.cn/vas-ai-hub/contract-review">305</start>
      <end xmlns="http://schemas.wps.cn/vas-ai-hub/contract-review">311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49b08c80-671b-4212-8352-d336b7b26847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7F6B3ECF</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06cfba50-9ea0-4a76-989b-73e2d45fb558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7F6B3ECF</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94019508-87fc-4970-bec6-433c7b3e9af3</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C55B928</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1133d496-2fc9-4e8e-ae57-014d46d08681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5D7F6AC9</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c2440cf5-0822-41ed-915e-076b8b54ae42</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53448FB0</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b415aef0-51bc-47e1-bafa-ea6b8f81adac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54E7D5EE</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07e881bc-cb60-45cb-9e92-33f603c90662</errorID>
      <errorWord xmlns="http://schemas.wps.cn/vas-ai-hub/contract-review">供数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供给</item>
      </candidateList>
      <explain xmlns="http://schemas.wps.cn/vas-ai-hub/contract-review"/>
      <paraID xmlns="http://schemas.wps.cn/vas-ai-hub/contract-review">615F7D3E</paraID>
      <start xmlns="http://schemas.wps.cn/vas-ai-hub/contract-review">266</start>
      <end xmlns="http://schemas.wps.cn/vas-ai-hub/contract-review">268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b48d6a53-2e2d-4c52-aa6a-18adb682fcd9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4952964A</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79b83ec7-ae07-4339-b029-379152098b88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6FA37A6</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44c34b36-44a4-4be0-84de-638971d7d6c0</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2BC7296A</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de8fa079-f135-48f1-be05-ced0bd1ddfe1</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14BE0D9F</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b3caf4f8-2d12-45ec-b66f-6ba0f4e40440</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293894CC</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068d9828-c01c-4416-a81a-ecc823d5529b</errorID>
      <errorWord xmlns="http://schemas.wps.cn/vas-ai-hub/contract-review">征收度</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征收</item>
      </candidateList>
      <explain xmlns="http://schemas.wps.cn/vas-ai-hub/contract-review"/>
      <paraID xmlns="http://schemas.wps.cn/vas-ai-hub/contract-review">293894CC</paraID>
      <start xmlns="http://schemas.wps.cn/vas-ai-hub/contract-review">78</start>
      <end xmlns="http://schemas.wps.cn/vas-ai-hub/contract-review">81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0c7e5ed7-c79a-4bcc-ab09-353535b7a09c</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2FA0C3C5</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8822567f-b98f-4694-8e4f-94b7461adcd4</errorID>
      <errorWord xmlns="http://schemas.wps.cn/vas-ai-hub/contract-review">实际实际</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实际</item>
      </candidateList>
      <explain xmlns="http://schemas.wps.cn/vas-ai-hub/contract-review">❶〈名〉客观存在的事物或情况：一切从～出发｜理论联系～。❷〈形〉实有的；具体的：举一个～的例子来说明｜～工作｜～行动。❸〈形〉合乎事实的：这种想法不～｜计划订得很～。</explain>
      <paraID xmlns="http://schemas.wps.cn/vas-ai-hub/contract-review">687F131E</paraID>
      <start xmlns="http://schemas.wps.cn/vas-ai-hub/contract-review">43</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96e0dc44-51bd-42fb-836b-1b3715403adf</errorID>
      <errorWord xmlns="http://schemas.wps.cn/vas-ai-hub/contract-review">或者</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或</item>
      </candidateList>
      <explain xmlns="http://schemas.wps.cn/vas-ai-hub/contract-review">❶〈副〉或许；也许：慰问团已经起程，明日上午～可到达。❷〈连〉或者v▲：～多～少｜不解决桥～船的问题，过河就是一句空话｜他生怕我没听清～不注意，所以又嘱咐了一遍。❸〈书〉〈代〉指示代词。某人；有的人：～告之曰。❹〈书〉副稍微：不可～缺｜不可～忽。</explain>
      <paraID xmlns="http://schemas.wps.cn/vas-ai-hub/contract-review">7C71AC7D</paraID>
      <start xmlns="http://schemas.wps.cn/vas-ai-hub/contract-review">35</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aca3ae77-cf2a-4ad5-8312-7cb8674f65be</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581A06A5</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8a8aa08e-2581-4b58-a5b0-ca66228254be</errorID>
      <errorWord xmlns="http://schemas.wps.cn/vas-ai-hub/contract-review">信息是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信息</item>
      </candidateList>
      <explain xmlns="http://schemas.wps.cn/vas-ai-hub/contract-review"/>
      <paraID xmlns="http://schemas.wps.cn/vas-ai-hub/contract-review">581A06A5</paraID>
      <start xmlns="http://schemas.wps.cn/vas-ai-hub/contract-review">357</start>
      <end xmlns="http://schemas.wps.cn/vas-ai-hub/contract-review">360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a1e1ef01-5d08-4498-8371-bc7ceb9567bd</errorID>
      <errorWord xmlns="http://schemas.wps.cn/vas-ai-hub/contract-review">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完成</item>
      </candidateList>
      <explain xmlns="http://schemas.wps.cn/vas-ai-hub/contract-review">〈动〉按照预期的目的结束；做成：～任务｜～作业｜计划完得成。</explain>
      <paraID xmlns="http://schemas.wps.cn/vas-ai-hub/contract-review">581A06A5</paraID>
      <start xmlns="http://schemas.wps.cn/vas-ai-hub/contract-review">397</start>
      <end xmlns="http://schemas.wps.cn/vas-ai-hub/contract-review">398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5952f340-e6c7-47f0-ae7b-851c6c39a94f</errorID>
      <errorWord xmlns="http://schemas.wps.cn/vas-ai-hub/contract-review">可以对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可以</item>
      </candidateList>
      <explain xmlns="http://schemas.wps.cn/vas-ai-hub/contract-review">〈口〉〈形〉❶好；不坏；过得去：这篇文章写得还～。❷厉害：你这张嘴真～｜天气实在热得～。</explain>
      <paraID xmlns="http://schemas.wps.cn/vas-ai-hub/contract-review">581A06A5</paraID>
      <start xmlns="http://schemas.wps.cn/vas-ai-hub/contract-review">961</start>
      <end xmlns="http://schemas.wps.cn/vas-ai-hub/contract-review">964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d5e2c7a1-c475-4a1a-8422-a018c9aa8980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13C7294B</paraID>
      <start xmlns="http://schemas.wps.cn/vas-ai-hub/contract-review">117</start>
      <end xmlns="http://schemas.wps.cn/vas-ai-hub/contract-review">118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5541b34b-f668-40b8-82ab-3a12dec7e309</errorID>
      <errorWord xmlns="http://schemas.wps.cn/vas-ai-hub/contract-review">建筑面等</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建筑面积</item>
      </candidateList>
      <explain xmlns="http://schemas.wps.cn/vas-ai-hub/contract-review"/>
      <paraID xmlns="http://schemas.wps.cn/vas-ai-hub/contract-review"> 4A4C0DD</paraID>
      <start xmlns="http://schemas.wps.cn/vas-ai-hub/contract-review">104</start>
      <end xmlns="http://schemas.wps.cn/vas-ai-hub/contract-review">108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01858b8d-0a2b-4561-98f3-b9b36146dba9</errorID>
      <errorWord xmlns="http://schemas.wps.cn/vas-ai-hub/contract-review">具</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具有</item>
      </candidateList>
      <explain xmlns="http://schemas.wps.cn/vas-ai-hub/contract-review">〈动〉有（多用于抽象事物）：～信心｜～伟大的意义。</explain>
      <paraID xmlns="http://schemas.wps.cn/vas-ai-hub/contract-review">69E23F02</paraID>
      <start xmlns="http://schemas.wps.cn/vas-ai-hub/contract-review">114</start>
      <end xmlns="http://schemas.wps.cn/vas-ai-hub/contract-review">115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81b575f1-8f11-402d-9221-fc61f06697d9</errorID>
      <errorWord xmlns="http://schemas.wps.cn/vas-ai-hub/contract-review">并且</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并</item>
      </candidateList>
      <explain xmlns="http://schemas.wps.cn/vas-ai-hub/contract-review">（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 xmlns="http://schemas.wps.cn/vas-ai-hub/contract-review">396100F2</paraID>
      <start xmlns="http://schemas.wps.cn/vas-ai-hub/contract-review">110</start>
      <end xmlns="http://schemas.wps.cn/vas-ai-hub/contract-review">112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7f5bf2e5-59d0-48ad-b669-a260ca7512da</errorID>
      <errorWord xmlns="http://schemas.wps.cn/vas-ai-hub/contract-review">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晰地</item>
      </candidateList>
      <explain xmlns="http://schemas.wps.cn/vas-ai-hub/contract-review"/>
      <paraID xmlns="http://schemas.wps.cn/vas-ai-hub/contract-review">4750BF62</paraID>
      <start xmlns="http://schemas.wps.cn/vas-ai-hub/contract-review">111</start>
      <end xmlns="http://schemas.wps.cn/vas-ai-hub/contract-review">112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090c95d9-5dcf-4278-a435-e48da00a945b</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4B687DAF</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3161c4d5-f4cf-471f-9310-f03afc68460e</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4B687DAF</paraID>
      <start xmlns="http://schemas.wps.cn/vas-ai-hub/contract-review">177</start>
      <end xmlns="http://schemas.wps.cn/vas-ai-hub/contract-review">178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53ba6875-f113-45f4-b0e3-e6f1b6a8e8b4</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75F3A25F</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78be826b-a0df-4383-8a12-2985c23b3a0a</errorID>
      <errorWord xmlns="http://schemas.wps.cn/vas-ai-hub/contract-review">属性词</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属性</item>
      </candidateList>
      <explain xmlns="http://schemas.wps.cn/vas-ai-hub/contract-review"/>
      <paraID xmlns="http://schemas.wps.cn/vas-ai-hub/contract-review">294DC118</paraID>
      <start xmlns="http://schemas.wps.cn/vas-ai-hub/contract-review">20</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33bac56b-b1e6-42a9-bf92-0bc9eae0ab7e</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6642FF50</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682f1a6a-e65f-44dc-8737-490f161533a5</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57748AA6</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d58e0bb0-4917-4f60-a9b3-5208b280ac70</errorID>
      <errorWord xmlns="http://schemas.wps.cn/vas-ai-hub/contract-review">如是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如</item>
      </candidateList>
      <explain xmlns="http://schemas.wps.cn/vas-ai-hub/contract-review"/>
      <paraID xmlns="http://schemas.wps.cn/vas-ai-hub/contract-review">57748AA6</paraID>
      <start xmlns="http://schemas.wps.cn/vas-ai-hub/contract-review">49</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1454969d-e406-41a2-817b-2fdff9d2fa69</errorID>
      <errorWord xmlns="http://schemas.wps.cn/vas-ai-hub/contract-review">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各个</item>
      </candidateList>
      <explain xmlns="http://schemas.wps.cn/vas-ai-hub/contract-review">❶〈代〉指示代词。每个；所有的那些个：～厂矿｜～方面。❷〈副〉逐个：～击破。</explain>
      <paraID xmlns="http://schemas.wps.cn/vas-ai-hub/contract-review">73367B01</paraID>
      <start xmlns="http://schemas.wps.cn/vas-ai-hub/contract-review">69</start>
      <end xmlns="http://schemas.wps.cn/vas-ai-hub/contract-review">70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35d89655-6e5f-4807-b63c-3d2b0b998561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73367B01</paraID>
      <start xmlns="http://schemas.wps.cn/vas-ai-hub/contract-review">89</start>
      <end xmlns="http://schemas.wps.cn/vas-ai-hub/contract-review">90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e9266745-664f-44d2-acf8-234359236a85</errorID>
      <errorWord xmlns="http://schemas.wps.cn/vas-ai-hub/contract-review">房前的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房前</item>
      </candidateList>
      <explain xmlns="http://schemas.wps.cn/vas-ai-hub/contract-review"/>
      <paraID xmlns="http://schemas.wps.cn/vas-ai-hub/contract-review"> B8CC731</paraID>
      <start xmlns="http://schemas.wps.cn/vas-ai-hub/contract-review">161</start>
      <end xmlns="http://schemas.wps.cn/vas-ai-hub/contract-review">164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56360a8d-f469-497f-b941-41f167a5978b</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1897BA12</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f7fac6e3-9c59-48bc-b255-4e6f3abe77e4</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5C43D817</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8a79a166-d630-41d2-a32f-11ae7621cc79</errorID>
      <errorWord xmlns="http://schemas.wps.cn/vas-ai-hub/contract-review">期未</errorWord>
      <group xmlns="http://schemas.wps.cn/vas-ai-hub/contract-review">L1_Word</group>
      <groupName xmlns="http://schemas.wps.cn/vas-ai-hub/contract-review">字词问题</groupName>
      <ability xmlns="http://schemas.wps.cn/vas-ai-hub/contract-review">L2_Variant</ability>
      <abilityName xmlns="http://schemas.wps.cn/vas-ai-hub/contract-review">异形词</abilityName>
      <candidateList xmlns="http://schemas.wps.cn/vas-ai-hub/contract-review">
        <item xmlns="http://schemas.wps.cn/vas-ai-hub/contract-review">期末</item>
      </candidateList>
      <explain xmlns="http://schemas.wps.cn/vas-ai-hub/contract-review">词汇[期未]的规范词形写作[期末]。</explain>
      <paraID xmlns="http://schemas.wps.cn/vas-ai-hub/contract-review">5C43D817</paraID>
      <start xmlns="http://schemas.wps.cn/vas-ai-hub/contract-review">142</start>
      <end xmlns="http://schemas.wps.cn/vas-ai-hub/contract-review">144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946e6b81-41ca-4caa-8376-40f5980b266c</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75B31C5D</paraID>
      <start xmlns="http://schemas.wps.cn/vas-ai-hub/contract-review">52</start>
      <end xmlns="http://schemas.wps.cn/vas-ai-hub/contract-review">53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ad55a44d-2bca-41d1-824e-3d8b879da2a4</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3AEE46EE</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a3005a59-b39f-4049-8fc0-8d01f5f398af</errorID>
      <errorWord xmlns="http://schemas.wps.cn/vas-ai-hub/contract-review">障</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障住</item>
      </candidateList>
      <explain xmlns="http://schemas.wps.cn/vas-ai-hub/contract-review"/>
      <paraID xmlns="http://schemas.wps.cn/vas-ai-hub/contract-review">3AEE46EE</paraID>
      <start xmlns="http://schemas.wps.cn/vas-ai-hub/contract-review">389</start>
      <end xmlns="http://schemas.wps.cn/vas-ai-hub/contract-review">390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b4e4205e-1753-44c8-815a-a7bdd885927f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4A8D2BBD</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650cfd40-31d1-4825-84f2-7c496a9e465d</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2DA7ACB3</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4d1b3611-46a8-4e90-ae48-564ae31efd14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206B4655</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0559f7bb-072a-4b4d-a8f0-cab9a2b34477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206B4655</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547903fb-a1b2-4374-a839-83a835502d11</errorID>
      <errorWord xmlns="http://schemas.wps.cn/vas-ai-hub/contract-review">秘钥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密钥</item>
      </candidateList>
      <explain xmlns="http://schemas.wps.cn/vas-ai-hub/contract-review">〈名〉密码和明码之间的对应替代关系。如以00，01，02，03代替字母A，B，C，D，那么00译成A，01译成B，02译成C，03译成D就是密钥。</explain>
      <paraID xmlns="http://schemas.wps.cn/vas-ai-hub/contract-review">148D48E2</paraID>
      <start xmlns="http://schemas.wps.cn/vas-ai-hub/contract-review">111</start>
      <end xmlns="http://schemas.wps.cn/vas-ai-hub/contract-review">113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3e92523c-9078-46f2-898c-7214f701d521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D756561</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2246e053-a227-4efa-be81-a446e2047f69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D756561</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6969496d-3f3d-4675-8f41-8bcc180fb1d0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749FF680</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e0fc6d81-2a74-40fb-87cd-ab16d1cfc308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749FF680</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40c3224a-aae2-465b-8ed7-ecf157a4bddc</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7334B670</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5fd6296f-f524-4094-b7a0-b9b81327dd8e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BD68E7E</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66640937-483f-46f8-80f5-4dab6df63e80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BD68E7E</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2a06843c-ca39-4f66-b34d-784a53f17c33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6127859C</paraID>
      <start xmlns="http://schemas.wps.cn/vas-ai-hub/contract-review">25</start>
      <end xmlns="http://schemas.wps.cn/vas-ai-hub/contract-review">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5d6d7d65-f8b5-43d1-bee0-9e0cd0227061</errorID>
      <errorWord xmlns="http://schemas.wps.cn/vas-ai-hub/contract-review">门锁如</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门锁</item>
      </candidateList>
      <explain xmlns="http://schemas.wps.cn/vas-ai-hub/contract-review"/>
      <paraID xmlns="http://schemas.wps.cn/vas-ai-hub/contract-review">6127859C</paraID>
      <start xmlns="http://schemas.wps.cn/vas-ai-hub/contract-review">33</start>
      <end xmlns="http://schemas.wps.cn/vas-ai-hub/contract-review">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b66cdb61-4925-4e4e-9042-e75dadd6bdc6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58C09AC4</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8999a1be-58f6-4a13-98e4-d7c7058b3f9e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58C09AC4</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7ebfd0f5-f7db-4512-ac91-5ff075ad084c</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9FB3D70</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148c00ba-8a49-4250-bb52-2e07c404d21d</errorID>
      <errorWord xmlns="http://schemas.wps.cn/vas-ai-hub/contract-review">复合</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复核</item>
      </candidateList>
      <explain xmlns="http://schemas.wps.cn/vas-ai-hub/contract-review">〈动〉❶审查核对：把报告里面的数字～一下。❷法院判处死刑案件的特定司法程序。在我国指最高人民法院和依法授权的高级人民法院对于判处死刑的案件做再一次的审核，高级人民法院对于判处死刑缓期执行的案件做再一次的审核。</explain>
      <paraID xmlns="http://schemas.wps.cn/vas-ai-hub/contract-review"> 9FB3D70</paraID>
      <start xmlns="http://schemas.wps.cn/vas-ai-hub/contract-review">78</start>
      <end xmlns="http://schemas.wps.cn/vas-ai-hub/contract-review">80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a6d65623-c4df-4c41-a2c1-b99ce2331948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9FB3D70</paraID>
      <start xmlns="http://schemas.wps.cn/vas-ai-hub/contract-review">370</start>
      <end xmlns="http://schemas.wps.cn/vas-ai-hub/contract-review">371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4cd60e9d-197a-4cd0-a1bd-2d23ca18bbcf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709F0EF2</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52947505-0cc8-4833-a7f1-53d01102ec73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709F0EF2</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9a24999d-94ef-45e9-acb9-03b41d68d2ee</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3B892A65</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833e6297-1d86-41ef-9ba4-2c01d60ad0c5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3B892A65</paraID>
      <start xmlns="http://schemas.wps.cn/vas-ai-hub/contract-review">82</start>
      <end xmlns="http://schemas.wps.cn/vas-ai-hub/contract-review">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e783f1f0-b367-4bde-95da-f6403445c144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3B892A65</paraID>
      <start xmlns="http://schemas.wps.cn/vas-ai-hub/contract-review">137</start>
      <end xmlns="http://schemas.wps.cn/vas-ai-hub/contract-review">138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0423ec9c-d7fb-4dce-a82f-fc8d47cf55ca</errorID>
      <errorWord xmlns="http://schemas.wps.cn/vas-ai-hub/contract-review">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晰地</item>
      </candidateList>
      <explain xmlns="http://schemas.wps.cn/vas-ai-hub/contract-review"/>
      <paraID xmlns="http://schemas.wps.cn/vas-ai-hub/contract-review">3B892A65</paraID>
      <start xmlns="http://schemas.wps.cn/vas-ai-hub/contract-review">352</start>
      <end xmlns="http://schemas.wps.cn/vas-ai-hub/contract-review">353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26569ca8-ea82-48f4-a693-be68fe999209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3B892A65</paraID>
      <start xmlns="http://schemas.wps.cn/vas-ai-hub/contract-review">383</start>
      <end xmlns="http://schemas.wps.cn/vas-ai-hub/contract-review">384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77faf1df-f547-4444-a4c1-e652cc4e8fbd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3B892A65</paraID>
      <start xmlns="http://schemas.wps.cn/vas-ai-hub/contract-review">496</start>
      <end xmlns="http://schemas.wps.cn/vas-ai-hub/contract-review">497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3b24d528-36fc-4faa-8481-916ba0b9d405</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376043C4</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21e7d465-0c74-461f-804b-ef036b13b7ba</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48120E68</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ac1086d3-ec23-4cb5-886a-95259fdf1c59</errorID>
      <errorWord xmlns="http://schemas.wps.cn/vas-ai-hub/contract-review">成员分析</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成本分析</item>
      </candidateList>
      <explain xmlns="http://schemas.wps.cn/vas-ai-hub/contract-review"/>
      <paraID xmlns="http://schemas.wps.cn/vas-ai-hub/contract-review">2D395056</paraID>
      <start xmlns="http://schemas.wps.cn/vas-ai-hub/contract-review">9</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393e05b2-3d27-4ac8-b884-053093572d6c</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1D1DE0C9</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6e939bac-cdaf-4dbc-8ac3-4b58353f8621</errorID>
      <errorWord xmlns="http://schemas.wps.cn/vas-ai-hub/contract-review">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停</item>
      </candidateList>
      <explain xmlns="http://schemas.wps.cn/vas-ai-hub/contract-review">存在发音相同字词的误用。</explain>
      <paraID xmlns="http://schemas.wps.cn/vas-ai-hub/contract-review">4939AB11</paraID>
      <start xmlns="http://schemas.wps.cn/vas-ai-hub/contract-review">88</start>
      <end xmlns="http://schemas.wps.cn/vas-ai-hub/contract-review">89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6fbea5aa-d599-4898-81f2-ab73a85b53fb</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5955B38</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9c97b819-25b7-4a49-b40f-023bb79db540</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286F38F3</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a87fec7c-4257-4cc2-88f5-a7d1114b7dbe</errorID>
      <errorWord xmlns="http://schemas.wps.cn/vas-ai-hub/contract-review">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用户</item>
      </candidateList>
      <explain xmlns="http://schemas.wps.cn/vas-ai-hub/contract-review"/>
      <paraID xmlns="http://schemas.wps.cn/vas-ai-hub/contract-review">6EBF9872</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3dcebdae-c866-4891-8fff-64c4ff2b3aaf</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、以</item>
      </candidateList>
      <explain xmlns="http://schemas.wps.cn/vas-ai-hub/contract-review"/>
      <paraID xmlns="http://schemas.wps.cn/vas-ai-hub/contract-review">6A8D77A9</paraID>
      <start xmlns="http://schemas.wps.cn/vas-ai-hub/contract-review">48</start>
      <end xmlns="http://schemas.wps.cn/vas-ai-hub/contract-review">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4544e572-5eea-4902-a0cb-d6742912be0f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3451B6F8</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5e7a72fc-e224-40e7-a314-f486e9b3c565</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、各</item>
      </candidateList>
      <explain xmlns="http://schemas.wps.cn/vas-ai-hub/contract-review"/>
      <paraID xmlns="http://schemas.wps.cn/vas-ai-hub/contract-review">3289E159</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e5da4720-dca2-4e5c-8831-41bbc0ee3b9e</errorID>
      <errorWord xmlns="http://schemas.wps.cn/vas-ai-hub/contract-review">系统故障应</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系统故障</item>
      </candidateList>
      <explain xmlns="http://schemas.wps.cn/vas-ai-hub/contract-review"/>
      <paraID xmlns="http://schemas.wps.cn/vas-ai-hub/contract-review">3191C22E</paraID>
      <start xmlns="http://schemas.wps.cn/vas-ai-hub/contract-review">4</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7cb9ad8c-bf47-49dc-a39f-ec6b1d108da8</errorID>
      <errorWord xmlns="http://schemas.wps.cn/vas-ai-hub/contract-review">之内</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内</item>
      </candidateList>
      <explain xmlns="http://schemas.wps.cn/vas-ai-hub/contract-review">❶〈名〉方位词。里头（跟“外”相对）：～衣｜～部｜室～｜国～｜年～。❷指妻或妻的亲属：～人｜～侄｜～弟。❸指内心或内脏：～省｜～疚｜五～俱焚。❹〈书〉指皇宫：大～。</explain>
      <paraID xmlns="http://schemas.wps.cn/vas-ai-hub/contract-review">3191C22E</paraID>
      <start xmlns="http://schemas.wps.cn/vas-ai-hub/contract-review">33</start>
      <end xmlns="http://schemas.wps.cn/vas-ai-hub/contract-review">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2ffa8f4d-5d52-4c74-b9a6-de3346121d60</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25139B92</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ca913916-23a4-4ccd-ad13-bb98242e728a</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19EBC2B7</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017b80bb-58c8-40c6-9a84-ccf68590a06c</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201A5840</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3402df0f-8e44-4288-ae82-2e54306c9ad0</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12B819AD</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76272df3-6b9b-41ee-b7a1-e1390b3f5b73</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610F4E50</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a20b5fd3-d756-414e-91f8-6c1d613f4cc7</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119A3632</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53063356-2dfa-4836-9daa-58d35c083557</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C8B4C56</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2c3550de-7323-41ad-8381-8045fd95bd76</errorID>
      <errorWord xmlns="http://schemas.wps.cn/vas-ai-hub/contract-review">8)</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8）</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6A7C641E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7f1798cb-c1aa-47e3-b3ca-01c457a0a5fd</errorID>
      <errorWord xmlns="http://schemas.wps.cn/vas-ai-hub/contract-review">、等</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等</item>
      </candidateList>
      <explain xmlns="http://schemas.wps.cn/vas-ai-hub/contract-review">“及”“和”“等”连词前不宜使用顿号，建议删除（或使用逗号）。</explain>
      <paraID xmlns="http://schemas.wps.cn/vas-ai-hub/contract-review">6A7C641E</paraID>
      <start xmlns="http://schemas.wps.cn/vas-ai-hub/contract-review">61</start>
      <end xmlns="http://schemas.wps.cn/vas-ai-hub/contract-review">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a459108e-b53d-4e94-a090-6dbf24b8f0f1</errorID>
      <errorWord xmlns="http://schemas.wps.cn/vas-ai-hub/contract-review">(9)</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（9）</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620D2D9F</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0ec3b2cc-b2d2-4ad4-abb4-36087523f48f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15845471</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7fd76aba-f253-479d-aa61-6dc07fdc1e67</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699FDD3</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42c4edf7-f7b8-4510-889a-b50833b54634</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4CE99D5F</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389526db-3ba2-4207-ae22-812938a937c3</errorID>
      <errorWord xmlns="http://schemas.wps.cn/vas-ai-hub/contract-review">需具备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须具备</item>
      </candidateList>
      <explain xmlns="http://schemas.wps.cn/vas-ai-hub/contract-review"/>
      <paraID xmlns="http://schemas.wps.cn/vas-ai-hub/contract-review">5067E003</paraID>
      <start xmlns="http://schemas.wps.cn/vas-ai-hub/contract-review">107</start>
      <end xmlns="http://schemas.wps.cn/vas-ai-hub/contract-review">110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35a702b4-681d-493f-af10-de114255adec</errorID>
      <errorWord xmlns="http://schemas.wps.cn/vas-ai-hub/contract-review">需具备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须具备</item>
      </candidateList>
      <explain xmlns="http://schemas.wps.cn/vas-ai-hub/contract-review"/>
      <paraID xmlns="http://schemas.wps.cn/vas-ai-hub/contract-review">206F1ADE</paraID>
      <start xmlns="http://schemas.wps.cn/vas-ai-hub/contract-review">78</start>
      <end xmlns="http://schemas.wps.cn/vas-ai-hub/contract-review">81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e914a89e-8eb3-48fb-8665-520e531fdaaf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334AEBB1</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5f209426-32f0-4f67-ab5b-d98ee2edb4f9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334AEBB1</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bc47bbe3-a883-4c16-aeb1-7c2620a4b890</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4A24D03F</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b2429ee5-cd93-4a13-b056-f0ff6f120d38</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699D289F</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f316035d-a517-4201-b79f-79470c64c739</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2E16C480</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a8411e52-da15-4932-9931-bae86ed407bc</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2938FF0A</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9a1ccd20-4cf5-4c1c-b5c7-359c3bfefa7f</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7834F2B2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2fb9cd34-a87d-413e-a2a1-49873fb16b49</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4BF50EE2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6a2a5507-1fb8-4dcd-9c19-0eca17df6cc0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5CC4F50A</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efaaa507-6a62-4857-9446-ce0a42ad7a10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5CC4F50A</paraID>
      <start xmlns="http://schemas.wps.cn/vas-ai-hub/contract-review">38</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1ad1afb3-8ad9-4744-a886-22d34daa3103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5CC4F50A</paraID>
      <start xmlns="http://schemas.wps.cn/vas-ai-hub/contract-review">69</start>
      <end xmlns="http://schemas.wps.cn/vas-ai-hub/contract-review">70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48d819fd-84e0-4f07-9fd5-b11eb66ac7fd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5CC4F50A</paraID>
      <start xmlns="http://schemas.wps.cn/vas-ai-hub/contract-review">85</start>
      <end xmlns="http://schemas.wps.cn/vas-ai-hub/contract-review">86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83c57a1b-d6de-4ce5-9c5b-e739ace1e6f0</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45AB933</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d06c8fc9-d615-4881-b0d6-21235ed140cd</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 45AB933</paraID>
      <start xmlns="http://schemas.wps.cn/vas-ai-hub/contract-review">41</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8858206f-95a9-4e56-a2bc-bcd2d3d8de2d</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70C1C8CF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a86cfe6f-b1c3-41c7-a341-ece70f6bcd9a</errorID>
      <errorWord xmlns="http://schemas.wps.cn/vas-ai-hub/contract-review">作出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做出</item>
      </candidateList>
      <explain xmlns="http://schemas.wps.cn/vas-ai-hub/contract-review"/>
      <paraID xmlns="http://schemas.wps.cn/vas-ai-hub/contract-review">70C1C8CF</paraID>
      <start xmlns="http://schemas.wps.cn/vas-ai-hub/contract-review">158</start>
      <end xmlns="http://schemas.wps.cn/vas-ai-hub/contract-review">160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1743d45e-1747-4044-816e-db157fa78e73</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6BE7BAD2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6b5554de-47ec-4c29-bb31-cb213a9ea585</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64D12B63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5a2dd107-cc83-461d-b368-5c0e8d7b5685</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223F3154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226149a6-d1f4-4c97-b700-b1a59caab2ae</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16AB1833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bbecdae2-cd07-402d-b253-9209b54fcae4</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101F967D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d2b6fc66-04c2-415e-a557-15d672c4908e</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335F4423</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d78c724c-9216-45c8-935b-25a57bfdec92</errorID>
      <errorWord xmlns="http://schemas.wps.cn/vas-ai-hub/contract-review">权</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权等</item>
      </candidateList>
      <explain xmlns="http://schemas.wps.cn/vas-ai-hub/contract-review"/>
      <paraID xmlns="http://schemas.wps.cn/vas-ai-hub/contract-review">5020D7CF</paraID>
      <start xmlns="http://schemas.wps.cn/vas-ai-hub/contract-review">68</start>
      <end xmlns="http://schemas.wps.cn/vas-ai-hub/contract-review">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0a7ab5ba-a0df-4d31-9abf-20aac4085741</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6EBC367D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a8a1e191-7449-4ad3-a191-8b4c32577cde</errorID>
      <errorWord xmlns="http://schemas.wps.cn/vas-ai-hub/contract-review">起始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起</item>
      </candidateList>
      <explain xmlns="http://schemas.wps.cn/vas-ai-hub/contract-review">〈动〉趋向动词。❶用在动词后，表示向上：抬～箱子往外走。❷用在动词后，表示力量够得上或够不上：经得～考验｜太贵了，买不～。注意动词和“起”之间常有“得”字或“不”字。❸用在动词后，表示事物随动作出现：乐队奏～迎宾曲｜会场响～热烈掌声。❹用在动词后，表示动作涉及人或事：他多次问～过你｜想～一件事。</explain>
      <paraID xmlns="http://schemas.wps.cn/vas-ai-hub/contract-review">69D68BA4</paraID>
      <start xmlns="http://schemas.wps.cn/vas-ai-hub/contract-review">19</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96c6dd4d-adb3-447b-8456-e2ceef6290fc</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41BFA89A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9d080a4a-a869-4a46-bdd9-15e070d1750d</errorID>
      <errorWord xmlns="http://schemas.wps.cn/vas-ai-hub/contract-review">提拱</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提供</item>
      </candidateList>
      <explain xmlns="http://schemas.wps.cn/vas-ai-hub/contract-review"/>
      <paraID xmlns="http://schemas.wps.cn/vas-ai-hub/contract-review">62363948</paraID>
      <start xmlns="http://schemas.wps.cn/vas-ai-hub/contract-review">7</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154cd011-d277-4734-8d4e-4e32d4611bbc</errorID>
      <errorWord xmlns="http://schemas.wps.cn/vas-ai-hub/contract-review">组件开发</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软件开发</item>
      </candidateList>
      <explain xmlns="http://schemas.wps.cn/vas-ai-hub/contract-review"/>
      <paraID xmlns="http://schemas.wps.cn/vas-ai-hub/contract-review">62363948</paraID>
      <start xmlns="http://schemas.wps.cn/vas-ai-hub/contract-review">26</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24ecb7ee-a62a-4b96-9883-7d46e5f55109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62363948</paraID>
      <start xmlns="http://schemas.wps.cn/vas-ai-hub/contract-review">84</start>
      <end xmlns="http://schemas.wps.cn/vas-ai-hub/contract-review">85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72d0871d-3221-405a-b466-476a32197192</errorID>
      <errorWord xmlns="http://schemas.wps.cn/vas-ai-hub/contract-review">共同协商</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协商</item>
      </candidateList>
      <explain xmlns="http://schemas.wps.cn/vas-ai-hub/contract-review"/>
      <paraID xmlns="http://schemas.wps.cn/vas-ai-hub/contract-review">3E95B1A5</paraID>
      <start xmlns="http://schemas.wps.cn/vas-ai-hub/contract-review">54</start>
      <end xmlns="http://schemas.wps.cn/vas-ai-hub/contract-review">58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0dfa4128-78f9-407a-983f-d53de24aad1c</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384108E2</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2fa68c73-6554-4d68-8035-8fd79e7126df</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1B45CA51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201918e1-6750-46b2-bebb-f0858f917ebd</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9192574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dec93abc-5505-4128-905b-f8969cf8618f</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6AADCA64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9fa18a36-9a11-4d50-bdee-08dbac12c53f</errorID>
      <errorWord xmlns="http://schemas.wps.cn/vas-ai-hub/contract-review">、及</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及</item>
      </candidateList>
      <explain xmlns="http://schemas.wps.cn/vas-ai-hub/contract-review">〈连〉连接并列的名词或名词性词组：图书、仪器、标本～其他。注意用“及”连接的成分多在意义上有主次之分，主要的成分放在“及”的前面。</explain>
      <paraID xmlns="http://schemas.wps.cn/vas-ai-hub/contract-review">3A7CFF0E</paraID>
      <start xmlns="http://schemas.wps.cn/vas-ai-hub/contract-review">25</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a5ff76fe-f934-43ff-ae95-37bfb3429b8d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1929237A</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2a4d0c6e-182e-4816-9dfb-b3355fb6ca02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34BACD5C</paraID>
      <start xmlns="http://schemas.wps.cn/vas-ai-hub/contract-review">49</start>
      <end xmlns="http://schemas.wps.cn/vas-ai-hub/contract-review">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d13b55b4-1034-42a2-a6b5-6f536627eec5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34BACD5C</paraID>
      <start xmlns="http://schemas.wps.cn/vas-ai-hub/contract-review">56</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1b1aea6c-b4e4-4001-8731-07f2a167bb88</errorID>
      <errorWord xmlns="http://schemas.wps.cn/vas-ai-hub/contract-review">、或</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或</item>
      </candidateList>
      <explain xmlns="http://schemas.wps.cn/vas-ai-hub/contract-review">❶〈副〉或许；也许：慰问团已经起程，明日上午～可到达。❷〈连〉或者v▲：～多～少｜不解决桥～船的问题，过河就是一句空话｜他生怕我没听清～不注意，所以又嘱咐了一遍。❸〈书〉〈代〉指示代词。某人；有的人：～告之曰。❹〈书〉副稍微：不可～缺｜不可～忽。</explain>
      <paraID xmlns="http://schemas.wps.cn/vas-ai-hub/contract-review">5DD391F5</paraID>
      <start xmlns="http://schemas.wps.cn/vas-ai-hub/contract-review">36</start>
      <end xmlns="http://schemas.wps.cn/vas-ai-hub/contract-review">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6de9af64-f533-4568-bf93-727d173a18ab</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、以</item>
      </candidateList>
      <explain xmlns="http://schemas.wps.cn/vas-ai-hub/contract-review"/>
      <paraID xmlns="http://schemas.wps.cn/vas-ai-hub/contract-review"> D920D3A</paraID>
      <start xmlns="http://schemas.wps.cn/vas-ai-hub/contract-review">33</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52459d25-d803-46f6-8d95-70f8298618bc</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29D54568</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ec39d822-d7e5-41dc-a875-3c025d88eac5</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5B4EF5BB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14c09858-197a-471e-a22a-704472cbb2ca</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48FF693C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132e69d1-ac20-4891-aa2a-c74fc5bbedb2}">
  <ds:schemaRefs/>
</ds:datastoreItem>
</file>

<file path=docProps/app.xml><?xml version="1.0" encoding="utf-8"?>
<Properties xmlns="http://schemas.openxmlformats.org/officeDocument/2006/extended-properties" xmlns:vt="http://schemas.openxmlformats.org/officeDocument/2006/docPropsVTypes">
  <Template>Normal</Template>
  <Pages>87</Pages>
  <Words>2086</Words>
  <Characters>2237</Characters>
  <Lines>498</Lines>
  <Paragraphs>140</Paragraphs>
  <TotalTime>7</TotalTime>
  <ScaleCrop>false</ScaleCrop>
  <LinksUpToDate>false</LinksUpToDate>
  <CharactersWithSpaces>2237</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2025-12-24T23:10:00Z</dcterms:created>
  <dc:creator>gtig_tzb</dc:creator>
  <cp:lastModifiedBy>user</cp:lastModifiedBy>
  <cp:lastPrinted>2020-08-12T20:08:00Z</cp:lastPrinted>
  <dcterms:modified xsi:type="dcterms:W3CDTF">2026-02-06T15:44:20Z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4E6F67870A5C4CB793951F00D8A58497_13</vt:lpwstr>
  </property>
  <property fmtid="{D5CDD505-2E9C-101B-9397-08002B2CF9AE}" pid="4" name="KSOTemplateDocerSaveRecord">
    <vt:lpwstr>eyJoZGlkIjoiZWVlNTc4MDg4YWMwYmQ1MTMyY2JiNTU1ZGRlZDg5M2QiLCJ1c2VySWQiOiIyNzIxMzA3NDYifQ==</vt:lpwstr>
  </property>
</Properties>
</file>