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99" w:lineRule="auto"/>
        <w:rPr>
          <w:color w:val="auto"/>
        </w:rPr>
      </w:pPr>
    </w:p>
    <w:p>
      <w:pPr>
        <w:spacing w:before="98" w:line="219" w:lineRule="auto"/>
        <w:ind w:firstLine="0" w:firstLineChars="0"/>
        <w:jc w:val="center"/>
        <w:outlineLvl w:val="0"/>
        <w:rPr>
          <w:rFonts w:ascii="黑体" w:hAnsi="黑体" w:eastAsia="黑体" w:cs="黑体"/>
          <w:color w:val="auto"/>
          <w:sz w:val="30"/>
          <w:szCs w:val="30"/>
          <w:lang w:eastAsia="zh-CN"/>
        </w:rPr>
      </w:pPr>
      <w:r>
        <w:rPr>
          <w:rFonts w:hint="eastAsia" w:ascii="黑体" w:hAnsi="黑体" w:eastAsia="黑体" w:cs="黑体"/>
          <w:b/>
          <w:bCs/>
          <w:color w:val="auto"/>
          <w:spacing w:val="-4"/>
          <w:sz w:val="30"/>
          <w:szCs w:val="30"/>
          <w:lang w:eastAsia="zh-CN"/>
        </w:rPr>
        <w:t>青年中心物业管理</w:t>
      </w:r>
      <w:r>
        <w:rPr>
          <w:rFonts w:ascii="黑体" w:hAnsi="黑体" w:eastAsia="黑体" w:cs="黑体"/>
          <w:b/>
          <w:bCs/>
          <w:color w:val="auto"/>
          <w:spacing w:val="-4"/>
          <w:sz w:val="30"/>
          <w:szCs w:val="30"/>
          <w:lang w:eastAsia="zh-CN"/>
        </w:rPr>
        <w:t>项目采购需求</w:t>
      </w:r>
    </w:p>
    <w:p>
      <w:pPr>
        <w:spacing w:before="131" w:line="218" w:lineRule="auto"/>
        <w:ind w:left="3657"/>
        <w:rPr>
          <w:rFonts w:ascii="黑体" w:hAnsi="黑体" w:eastAsia="黑体" w:cs="黑体"/>
          <w:color w:val="auto"/>
          <w:sz w:val="30"/>
          <w:szCs w:val="30"/>
          <w:lang w:eastAsia="zh-CN"/>
        </w:rPr>
      </w:pPr>
      <w:r>
        <w:rPr>
          <w:rFonts w:ascii="黑体" w:hAnsi="黑体" w:eastAsia="黑体" w:cs="黑体"/>
          <w:color w:val="auto"/>
          <w:spacing w:val="-9"/>
          <w:sz w:val="30"/>
          <w:szCs w:val="30"/>
          <w:lang w:eastAsia="zh-CN"/>
        </w:rPr>
        <w:t>一、说明</w:t>
      </w:r>
    </w:p>
    <w:p>
      <w:pPr>
        <w:pStyle w:val="6"/>
        <w:spacing w:before="119" w:line="221" w:lineRule="auto"/>
        <w:ind w:left="468"/>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b/>
          <w:bCs/>
          <w:color w:val="auto"/>
          <w:spacing w:val="-8"/>
          <w:lang w:eastAsia="zh-CN"/>
        </w:rPr>
        <w:t>1</w:t>
      </w:r>
      <w:r>
        <w:rPr>
          <w:rFonts w:hint="eastAsia" w:asciiTheme="minorEastAsia" w:hAnsiTheme="minorEastAsia" w:eastAsiaTheme="minorEastAsia" w:cstheme="minorEastAsia"/>
          <w:b/>
          <w:bCs/>
          <w:color w:val="auto"/>
          <w:spacing w:val="5"/>
          <w:lang w:eastAsia="zh-CN"/>
        </w:rPr>
        <w:t xml:space="preserve">  </w:t>
      </w:r>
      <w:r>
        <w:rPr>
          <w:rFonts w:hint="eastAsia" w:asciiTheme="minorEastAsia" w:hAnsiTheme="minorEastAsia" w:eastAsiaTheme="minorEastAsia" w:cstheme="minorEastAsia"/>
          <w:b/>
          <w:bCs/>
          <w:color w:val="auto"/>
          <w:spacing w:val="-8"/>
          <w:lang w:eastAsia="zh-CN"/>
        </w:rPr>
        <w:t>总则</w:t>
      </w:r>
    </w:p>
    <w:p>
      <w:pPr>
        <w:pStyle w:val="6"/>
        <w:spacing w:before="94" w:line="259" w:lineRule="auto"/>
        <w:ind w:left="21" w:right="103" w:firstLine="455"/>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pacing w:val="-3"/>
          <w:lang w:eastAsia="zh-CN"/>
        </w:rPr>
        <w:t>1.1  投标人应具备国家或行业管理部门规定</w:t>
      </w:r>
      <w:r>
        <w:rPr>
          <w:rFonts w:hint="eastAsia" w:asciiTheme="minorEastAsia" w:hAnsiTheme="minorEastAsia" w:eastAsiaTheme="minorEastAsia" w:cstheme="minorEastAsia"/>
          <w:color w:val="auto"/>
          <w:spacing w:val="-4"/>
          <w:lang w:eastAsia="zh-CN"/>
        </w:rPr>
        <w:t>的，在本市实施本项目所需的资格（资</w:t>
      </w:r>
      <w:r>
        <w:rPr>
          <w:rFonts w:hint="eastAsia" w:asciiTheme="minorEastAsia" w:hAnsiTheme="minorEastAsia" w:eastAsiaTheme="minorEastAsia" w:cstheme="minorEastAsia"/>
          <w:color w:val="auto"/>
          <w:lang w:eastAsia="zh-CN"/>
        </w:rPr>
        <w:t xml:space="preserve"> 质）和相关手续（如果有</w:t>
      </w:r>
      <w:r>
        <w:rPr>
          <w:rFonts w:hint="eastAsia" w:asciiTheme="minorEastAsia" w:hAnsiTheme="minorEastAsia" w:eastAsiaTheme="minorEastAsia" w:cstheme="minorEastAsia"/>
          <w:color w:val="auto"/>
          <w:spacing w:val="-55"/>
          <w:w w:val="95"/>
          <w:lang w:eastAsia="zh-CN"/>
        </w:rPr>
        <w:t>），</w:t>
      </w:r>
      <w:r>
        <w:rPr>
          <w:rFonts w:hint="eastAsia" w:asciiTheme="minorEastAsia" w:hAnsiTheme="minorEastAsia" w:eastAsiaTheme="minorEastAsia" w:cstheme="minorEastAsia"/>
          <w:color w:val="auto"/>
          <w:lang w:eastAsia="zh-CN"/>
        </w:rPr>
        <w:t>由此引起的所有有关事宜及费用</w:t>
      </w:r>
      <w:r>
        <w:rPr>
          <w:rFonts w:hint="eastAsia" w:asciiTheme="minorEastAsia" w:hAnsiTheme="minorEastAsia" w:eastAsiaTheme="minorEastAsia" w:cstheme="minorEastAsia"/>
          <w:color w:val="auto"/>
          <w:spacing w:val="-1"/>
          <w:lang w:eastAsia="zh-CN"/>
        </w:rPr>
        <w:t>由投标人自行负责。</w:t>
      </w:r>
    </w:p>
    <w:p>
      <w:pPr>
        <w:pStyle w:val="6"/>
        <w:spacing w:before="96" w:line="260" w:lineRule="auto"/>
        <w:ind w:left="24" w:right="135" w:firstLine="452"/>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pacing w:val="-2"/>
          <w:lang w:eastAsia="zh-CN"/>
        </w:rPr>
        <w:t>1.2  投标人提供的服务应当符合招标文件的要求，并且其质量完全符合国家标准、</w:t>
      </w:r>
      <w:r>
        <w:rPr>
          <w:rFonts w:hint="eastAsia" w:asciiTheme="minorEastAsia" w:hAnsiTheme="minorEastAsia" w:eastAsiaTheme="minorEastAsia" w:cstheme="minorEastAsia"/>
          <w:color w:val="auto"/>
          <w:spacing w:val="18"/>
          <w:lang w:eastAsia="zh-CN"/>
        </w:rPr>
        <w:t xml:space="preserve"> </w:t>
      </w:r>
      <w:r>
        <w:rPr>
          <w:rFonts w:hint="eastAsia" w:asciiTheme="minorEastAsia" w:hAnsiTheme="minorEastAsia" w:eastAsiaTheme="minorEastAsia" w:cstheme="minorEastAsia"/>
          <w:color w:val="auto"/>
          <w:spacing w:val="-4"/>
          <w:lang w:eastAsia="zh-CN"/>
        </w:rPr>
        <w:t>行业标准或地方标准。</w:t>
      </w:r>
    </w:p>
    <w:p>
      <w:pPr>
        <w:pStyle w:val="6"/>
        <w:spacing w:before="91" w:line="260" w:lineRule="auto"/>
        <w:ind w:left="20" w:right="145" w:firstLine="456"/>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pacing w:val="-2"/>
          <w:lang w:eastAsia="zh-CN"/>
        </w:rPr>
        <w:t>1.3  投标人在投标前应认真了解项目的实施背景、应提供的服务内容和质量、项目</w:t>
      </w:r>
      <w:r>
        <w:rPr>
          <w:rFonts w:hint="eastAsia" w:asciiTheme="minorEastAsia" w:hAnsiTheme="minorEastAsia" w:eastAsiaTheme="minorEastAsia" w:cstheme="minorEastAsia"/>
          <w:color w:val="auto"/>
          <w:spacing w:val="8"/>
          <w:lang w:eastAsia="zh-CN"/>
        </w:rPr>
        <w:t xml:space="preserve"> </w:t>
      </w:r>
      <w:r>
        <w:rPr>
          <w:rFonts w:hint="eastAsia" w:asciiTheme="minorEastAsia" w:hAnsiTheme="minorEastAsia" w:eastAsiaTheme="minorEastAsia" w:cstheme="minorEastAsia"/>
          <w:color w:val="auto"/>
          <w:spacing w:val="-1"/>
          <w:lang w:eastAsia="zh-CN"/>
        </w:rPr>
        <w:t>考核管理要求等，一旦中标，应按照招标文件和合同规定的要求提供相关服务。</w:t>
      </w:r>
    </w:p>
    <w:p>
      <w:pPr>
        <w:pStyle w:val="6"/>
        <w:spacing w:before="94" w:line="260" w:lineRule="auto"/>
        <w:ind w:left="26" w:right="103" w:firstLine="45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pacing w:val="-3"/>
          <w:lang w:eastAsia="zh-CN"/>
        </w:rPr>
        <w:t>1.4  投标人认为招标文件（包括招标补充文件）存在排他性或歧视性条款，可在收</w:t>
      </w:r>
      <w:r>
        <w:rPr>
          <w:rFonts w:hint="eastAsia" w:asciiTheme="minorEastAsia" w:hAnsiTheme="minorEastAsia" w:eastAsiaTheme="minorEastAsia" w:cstheme="minorEastAsia"/>
          <w:color w:val="auto"/>
          <w:lang w:eastAsia="zh-CN"/>
        </w:rPr>
        <w:t xml:space="preserve"> </w:t>
      </w:r>
      <w:r>
        <w:rPr>
          <w:rFonts w:hint="eastAsia" w:asciiTheme="minorEastAsia" w:hAnsiTheme="minorEastAsia" w:eastAsiaTheme="minorEastAsia" w:cstheme="minorEastAsia"/>
          <w:color w:val="auto"/>
          <w:spacing w:val="-1"/>
          <w:lang w:eastAsia="zh-CN"/>
        </w:rPr>
        <w:t>到或下载招标文件之日起七个工作日内提出，并附相关证据。</w:t>
      </w:r>
    </w:p>
    <w:p>
      <w:pPr>
        <w:pStyle w:val="6"/>
        <w:spacing w:before="93" w:line="261" w:lineRule="auto"/>
        <w:ind w:left="26" w:right="151" w:firstLine="451"/>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pacing w:val="-5"/>
          <w:lang w:eastAsia="zh-CN"/>
        </w:rPr>
        <w:t>1.5  投标人需在投标文件中承诺， 如之前在岗的工作人员经考评符合上岗要求的，</w:t>
      </w:r>
      <w:r>
        <w:rPr>
          <w:rFonts w:hint="eastAsia" w:asciiTheme="minorEastAsia" w:hAnsiTheme="minorEastAsia" w:eastAsiaTheme="minorEastAsia" w:cstheme="minorEastAsia"/>
          <w:color w:val="auto"/>
          <w:spacing w:val="14"/>
          <w:lang w:eastAsia="zh-CN"/>
        </w:rPr>
        <w:t xml:space="preserve"> </w:t>
      </w:r>
      <w:r>
        <w:rPr>
          <w:rFonts w:hint="eastAsia" w:asciiTheme="minorEastAsia" w:hAnsiTheme="minorEastAsia" w:eastAsiaTheme="minorEastAsia" w:cstheme="minorEastAsia"/>
          <w:color w:val="auto"/>
          <w:spacing w:val="-3"/>
          <w:lang w:eastAsia="zh-CN"/>
        </w:rPr>
        <w:t>原则上应继续留用。</w:t>
      </w:r>
    </w:p>
    <w:p>
      <w:pPr>
        <w:pStyle w:val="6"/>
        <w:spacing w:before="95" w:line="219" w:lineRule="auto"/>
        <w:ind w:left="463"/>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pacing w:val="-1"/>
          <w:lang w:eastAsia="zh-CN"/>
        </w:rPr>
        <w:t>1.6投标人提供的服务必须符合国家强制性标准。</w:t>
      </w:r>
    </w:p>
    <w:p>
      <w:pPr>
        <w:spacing w:line="322" w:lineRule="auto"/>
        <w:rPr>
          <w:rFonts w:hint="eastAsia" w:asciiTheme="minorEastAsia" w:hAnsiTheme="minorEastAsia" w:eastAsiaTheme="minorEastAsia" w:cstheme="minorEastAsia"/>
          <w:color w:val="auto"/>
          <w:lang w:eastAsia="zh-CN"/>
        </w:rPr>
      </w:pPr>
    </w:p>
    <w:p>
      <w:pPr>
        <w:spacing w:before="98" w:line="218" w:lineRule="auto"/>
        <w:ind w:left="3283"/>
        <w:rPr>
          <w:rFonts w:hint="eastAsia" w:asciiTheme="minorEastAsia" w:hAnsiTheme="minorEastAsia" w:eastAsiaTheme="minorEastAsia" w:cstheme="minorEastAsia"/>
          <w:color w:val="auto"/>
          <w:sz w:val="30"/>
          <w:szCs w:val="30"/>
          <w:lang w:eastAsia="zh-CN"/>
        </w:rPr>
      </w:pPr>
      <w:r>
        <w:rPr>
          <w:rFonts w:hint="eastAsia" w:asciiTheme="minorEastAsia" w:hAnsiTheme="minorEastAsia" w:eastAsiaTheme="minorEastAsia" w:cstheme="minorEastAsia"/>
          <w:color w:val="auto"/>
          <w:spacing w:val="-3"/>
          <w:sz w:val="30"/>
          <w:szCs w:val="30"/>
          <w:lang w:eastAsia="zh-CN"/>
        </w:rPr>
        <w:t>二、项目概况</w:t>
      </w:r>
    </w:p>
    <w:p>
      <w:pPr>
        <w:pStyle w:val="6"/>
        <w:spacing w:before="121" w:line="221" w:lineRule="auto"/>
        <w:ind w:left="458"/>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b/>
          <w:bCs/>
          <w:color w:val="auto"/>
          <w:spacing w:val="-5"/>
          <w:lang w:eastAsia="zh-CN"/>
        </w:rPr>
        <w:t>2</w:t>
      </w:r>
      <w:r>
        <w:rPr>
          <w:rFonts w:hint="eastAsia" w:asciiTheme="minorEastAsia" w:hAnsiTheme="minorEastAsia" w:eastAsiaTheme="minorEastAsia" w:cstheme="minorEastAsia"/>
          <w:b/>
          <w:bCs/>
          <w:color w:val="auto"/>
          <w:spacing w:val="7"/>
          <w:lang w:eastAsia="zh-CN"/>
        </w:rPr>
        <w:t xml:space="preserve">  </w:t>
      </w:r>
      <w:r>
        <w:rPr>
          <w:rFonts w:hint="eastAsia" w:asciiTheme="minorEastAsia" w:hAnsiTheme="minorEastAsia" w:eastAsiaTheme="minorEastAsia" w:cstheme="minorEastAsia"/>
          <w:b/>
          <w:bCs/>
          <w:color w:val="auto"/>
          <w:spacing w:val="-5"/>
          <w:lang w:eastAsia="zh-CN"/>
        </w:rPr>
        <w:t>项目名称</w:t>
      </w:r>
    </w:p>
    <w:p>
      <w:pPr>
        <w:pStyle w:val="6"/>
        <w:spacing w:before="92" w:line="220" w:lineRule="auto"/>
        <w:ind w:left="463"/>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pacing w:val="-1"/>
          <w:lang w:eastAsia="zh-CN"/>
        </w:rPr>
        <w:t>项目名称：青年中心物业管理项目</w:t>
      </w:r>
    </w:p>
    <w:p>
      <w:pPr>
        <w:pStyle w:val="6"/>
        <w:spacing w:before="96" w:line="219" w:lineRule="auto"/>
        <w:ind w:left="457"/>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b/>
          <w:bCs/>
          <w:color w:val="auto"/>
          <w:spacing w:val="-2"/>
          <w:lang w:eastAsia="zh-CN"/>
        </w:rPr>
        <w:t>3 物业基本情况</w:t>
      </w:r>
    </w:p>
    <w:p>
      <w:pPr>
        <w:pStyle w:val="6"/>
        <w:spacing w:before="94" w:line="219" w:lineRule="auto"/>
        <w:ind w:left="459"/>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pacing w:val="-1"/>
          <w:lang w:eastAsia="zh-CN"/>
        </w:rPr>
        <w:t>物业类型：公共服务</w:t>
      </w:r>
    </w:p>
    <w:p>
      <w:pPr>
        <w:spacing w:line="360" w:lineRule="auto"/>
        <w:ind w:firstLine="424" w:firstLineChars="200"/>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pacing w:val="-4"/>
          <w:sz w:val="22"/>
          <w:szCs w:val="22"/>
          <w:lang w:eastAsia="zh-CN"/>
        </w:rPr>
        <w:t>坐落位置：</w:t>
      </w:r>
      <w:r>
        <w:rPr>
          <w:rFonts w:hint="eastAsia" w:asciiTheme="minorEastAsia" w:hAnsiTheme="minorEastAsia" w:eastAsiaTheme="minorEastAsia" w:cstheme="minorEastAsia"/>
          <w:color w:val="auto"/>
          <w:sz w:val="22"/>
          <w:szCs w:val="22"/>
          <w:u w:val="single"/>
          <w:lang w:eastAsia="zh-CN"/>
        </w:rPr>
        <w:t>上海</w:t>
      </w:r>
      <w:r>
        <w:rPr>
          <w:rFonts w:hint="eastAsia" w:asciiTheme="minorEastAsia" w:hAnsiTheme="minorEastAsia" w:eastAsiaTheme="minorEastAsia" w:cstheme="minorEastAsia"/>
          <w:color w:val="auto"/>
          <w:sz w:val="22"/>
          <w:szCs w:val="22"/>
          <w:lang w:eastAsia="zh-CN"/>
        </w:rPr>
        <w:t>市</w:t>
      </w:r>
      <w:r>
        <w:rPr>
          <w:rFonts w:hint="eastAsia" w:asciiTheme="minorEastAsia" w:hAnsiTheme="minorEastAsia" w:eastAsiaTheme="minorEastAsia" w:cstheme="minorEastAsia"/>
          <w:color w:val="auto"/>
          <w:sz w:val="22"/>
          <w:szCs w:val="22"/>
          <w:u w:val="single"/>
          <w:lang w:eastAsia="zh-CN"/>
        </w:rPr>
        <w:t>浦东新区南汇新城镇方竹路</w:t>
      </w:r>
      <w:r>
        <w:rPr>
          <w:rFonts w:hint="eastAsia" w:asciiTheme="minorEastAsia" w:hAnsiTheme="minorEastAsia" w:eastAsiaTheme="minorEastAsia" w:cstheme="minorEastAsia"/>
          <w:color w:val="auto"/>
          <w:sz w:val="22"/>
          <w:szCs w:val="22"/>
          <w:lang w:eastAsia="zh-CN"/>
        </w:rPr>
        <w:t>（街道）</w:t>
      </w:r>
      <w:r>
        <w:rPr>
          <w:rFonts w:hint="eastAsia" w:asciiTheme="minorEastAsia" w:hAnsiTheme="minorEastAsia" w:eastAsiaTheme="minorEastAsia" w:cstheme="minorEastAsia"/>
          <w:color w:val="auto"/>
          <w:sz w:val="22"/>
          <w:szCs w:val="22"/>
          <w:u w:val="single"/>
          <w:lang w:eastAsia="zh-CN"/>
        </w:rPr>
        <w:t>199</w:t>
      </w:r>
      <w:r>
        <w:rPr>
          <w:rFonts w:hint="eastAsia" w:asciiTheme="minorEastAsia" w:hAnsiTheme="minorEastAsia" w:eastAsiaTheme="minorEastAsia" w:cstheme="minorEastAsia"/>
          <w:color w:val="auto"/>
          <w:sz w:val="22"/>
          <w:szCs w:val="22"/>
          <w:lang w:eastAsia="zh-CN"/>
        </w:rPr>
        <w:t>号</w:t>
      </w:r>
    </w:p>
    <w:p>
      <w:pPr>
        <w:pStyle w:val="6"/>
        <w:spacing w:before="97" w:line="220" w:lineRule="auto"/>
        <w:ind w:left="46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pacing w:val="-4"/>
          <w:lang w:eastAsia="zh-CN"/>
        </w:rPr>
        <w:t>建筑面积：</w:t>
      </w:r>
      <w:r>
        <w:rPr>
          <w:rFonts w:hint="eastAsia" w:asciiTheme="minorEastAsia" w:hAnsiTheme="minorEastAsia" w:eastAsiaTheme="minorEastAsia" w:cstheme="minorEastAsia"/>
          <w:color w:val="auto"/>
          <w:u w:val="single"/>
          <w:lang w:eastAsia="zh-CN"/>
        </w:rPr>
        <w:t>2276</w:t>
      </w:r>
      <w:r>
        <w:rPr>
          <w:rFonts w:hint="eastAsia" w:asciiTheme="minorEastAsia" w:hAnsiTheme="minorEastAsia" w:eastAsiaTheme="minorEastAsia" w:cstheme="minorEastAsia"/>
          <w:color w:val="auto"/>
          <w:lang w:eastAsia="zh-CN"/>
        </w:rPr>
        <w:t>平方米</w:t>
      </w:r>
    </w:p>
    <w:p>
      <w:pPr>
        <w:pStyle w:val="6"/>
        <w:spacing w:before="95" w:line="220" w:lineRule="auto"/>
        <w:ind w:left="459"/>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pacing w:val="-1"/>
          <w:lang w:eastAsia="zh-CN"/>
        </w:rPr>
        <w:t>物业管理服务区域四至：北至方竹路，南至内部路，西至港城悦领营销中心，东临南汇新城镇健康主题公园。</w:t>
      </w:r>
    </w:p>
    <w:p>
      <w:pPr>
        <w:pStyle w:val="6"/>
        <w:spacing w:before="94" w:line="220" w:lineRule="auto"/>
        <w:ind w:left="459"/>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b/>
          <w:bCs/>
          <w:color w:val="auto"/>
          <w:spacing w:val="-2"/>
          <w:lang w:eastAsia="zh-CN"/>
        </w:rPr>
        <w:t>4  招标范围与内容</w:t>
      </w:r>
    </w:p>
    <w:p>
      <w:pPr>
        <w:pStyle w:val="6"/>
        <w:spacing w:before="95" w:line="220" w:lineRule="auto"/>
        <w:ind w:left="454"/>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pacing w:val="-1"/>
          <w:lang w:eastAsia="zh-CN"/>
        </w:rPr>
        <w:t>4.1  项目背景及现状</w:t>
      </w:r>
    </w:p>
    <w:p>
      <w:pPr>
        <w:spacing w:line="360" w:lineRule="auto"/>
        <w:ind w:firstLine="42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临港新片区青年中心为一幢四层楼的建筑，总建筑面积2276平方米，</w:t>
      </w:r>
    </w:p>
    <w:p>
      <w:pPr>
        <w:spacing w:line="360" w:lineRule="auto"/>
        <w:ind w:firstLine="42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1F：为青年中心对外接待窗口、咖啡吧台、儿童阅览室、休息室、东北侧为消防监控值班室。</w:t>
      </w:r>
    </w:p>
    <w:p>
      <w:pPr>
        <w:spacing w:line="360" w:lineRule="auto"/>
        <w:ind w:firstLine="42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2F：儿童娱乐大厅、运营办公室（2间）、多功能会议室（2间）</w:t>
      </w:r>
    </w:p>
    <w:p>
      <w:pPr>
        <w:spacing w:line="360" w:lineRule="auto"/>
        <w:ind w:firstLine="42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3F：多功能大厅、弱电机房、化妆休息间、演播室、多功能会议室</w:t>
      </w:r>
    </w:p>
    <w:p>
      <w:pPr>
        <w:spacing w:line="360" w:lineRule="auto"/>
        <w:ind w:firstLine="42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4F：贵宾休息厅、小剧场、男、女化妆间、录音室</w:t>
      </w:r>
    </w:p>
    <w:p>
      <w:pPr>
        <w:pStyle w:val="6"/>
        <w:spacing w:line="220" w:lineRule="auto"/>
        <w:ind w:left="454"/>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pacing w:val="-1"/>
          <w:lang w:eastAsia="zh-CN"/>
        </w:rPr>
        <w:t>4.2  项目招标范围及内容</w:t>
      </w:r>
    </w:p>
    <w:p>
      <w:pPr>
        <w:pStyle w:val="6"/>
        <w:spacing w:before="93" w:line="273" w:lineRule="auto"/>
        <w:ind w:left="21" w:right="67" w:firstLine="438"/>
        <w:rPr>
          <w:rFonts w:hint="eastAsia" w:asciiTheme="minorEastAsia" w:hAnsiTheme="minorEastAsia" w:eastAsiaTheme="minorEastAsia" w:cstheme="minorEastAsia"/>
          <w:color w:val="auto"/>
          <w:spacing w:val="-1"/>
          <w:lang w:eastAsia="zh-CN"/>
        </w:rPr>
      </w:pPr>
      <w:r>
        <w:rPr>
          <w:rFonts w:hint="eastAsia" w:asciiTheme="minorEastAsia" w:hAnsiTheme="minorEastAsia" w:eastAsiaTheme="minorEastAsia" w:cstheme="minorEastAsia"/>
          <w:color w:val="auto"/>
          <w:spacing w:val="-1"/>
          <w:lang w:eastAsia="zh-CN"/>
        </w:rPr>
        <w:t>物业管理服务范围是物业建筑产权标注及</w:t>
      </w:r>
      <w:r>
        <w:rPr>
          <w:rFonts w:hint="eastAsia" w:asciiTheme="minorEastAsia" w:hAnsiTheme="minorEastAsia" w:eastAsiaTheme="minorEastAsia" w:cstheme="minorEastAsia"/>
          <w:color w:val="auto"/>
          <w:spacing w:val="-1"/>
          <w:highlight w:val="none"/>
          <w:lang w:val="en-US" w:eastAsia="zh-CN"/>
        </w:rPr>
        <w:t>内部</w:t>
      </w:r>
      <w:r>
        <w:rPr>
          <w:rFonts w:hint="eastAsia" w:asciiTheme="minorEastAsia" w:hAnsiTheme="minorEastAsia" w:eastAsiaTheme="minorEastAsia" w:cstheme="minorEastAsia"/>
          <w:color w:val="auto"/>
          <w:spacing w:val="-1"/>
          <w:highlight w:val="none"/>
          <w:lang w:eastAsia="zh-CN"/>
        </w:rPr>
        <w:t>区域</w:t>
      </w:r>
      <w:r>
        <w:rPr>
          <w:rFonts w:hint="eastAsia" w:asciiTheme="minorEastAsia" w:hAnsiTheme="minorEastAsia" w:eastAsiaTheme="minorEastAsia" w:cstheme="minorEastAsia"/>
          <w:color w:val="auto"/>
          <w:spacing w:val="-2"/>
          <w:highlight w:val="none"/>
          <w:lang w:eastAsia="zh-CN"/>
        </w:rPr>
        <w:t>的剧场展厅</w:t>
      </w:r>
      <w:r>
        <w:rPr>
          <w:rFonts w:hint="eastAsia" w:asciiTheme="minorEastAsia" w:hAnsiTheme="minorEastAsia" w:eastAsiaTheme="minorEastAsia" w:cstheme="minorEastAsia"/>
          <w:color w:val="auto"/>
          <w:spacing w:val="-2"/>
          <w:highlight w:val="none"/>
          <w:lang w:val="en-US" w:eastAsia="zh-CN"/>
        </w:rPr>
        <w:t>，服务内容包括</w:t>
      </w:r>
      <w:r>
        <w:rPr>
          <w:rFonts w:hint="eastAsia" w:asciiTheme="minorEastAsia" w:hAnsiTheme="minorEastAsia" w:eastAsiaTheme="minorEastAsia" w:cstheme="minorEastAsia"/>
          <w:color w:val="auto"/>
          <w:spacing w:val="-3"/>
          <w:lang w:eastAsia="zh-CN"/>
        </w:rPr>
        <w:t>保洁、保安及综合服务等，</w:t>
      </w:r>
      <w:r>
        <w:rPr>
          <w:rFonts w:hint="eastAsia" w:asciiTheme="minorEastAsia" w:hAnsiTheme="minorEastAsia" w:eastAsiaTheme="minorEastAsia" w:cstheme="minorEastAsia"/>
          <w:color w:val="auto"/>
          <w:spacing w:val="-36"/>
          <w:lang w:eastAsia="zh-CN"/>
        </w:rPr>
        <w:t xml:space="preserve"> </w:t>
      </w:r>
      <w:r>
        <w:rPr>
          <w:rFonts w:hint="eastAsia" w:asciiTheme="minorEastAsia" w:hAnsiTheme="minorEastAsia" w:eastAsiaTheme="minorEastAsia" w:cstheme="minorEastAsia"/>
          <w:color w:val="auto"/>
          <w:spacing w:val="-3"/>
          <w:lang w:eastAsia="zh-CN"/>
        </w:rPr>
        <w:t>不涉及资产的</w:t>
      </w:r>
      <w:r>
        <w:rPr>
          <w:rFonts w:hint="eastAsia" w:asciiTheme="minorEastAsia" w:hAnsiTheme="minorEastAsia" w:eastAsiaTheme="minorEastAsia" w:cstheme="minorEastAsia"/>
          <w:color w:val="auto"/>
          <w:spacing w:val="-4"/>
          <w:lang w:eastAsia="zh-CN"/>
        </w:rPr>
        <w:t>所有权。</w:t>
      </w:r>
      <w:r>
        <w:rPr>
          <w:rFonts w:hint="eastAsia" w:asciiTheme="minorEastAsia" w:hAnsiTheme="minorEastAsia" w:eastAsiaTheme="minorEastAsia" w:cstheme="minorEastAsia"/>
          <w:color w:val="auto"/>
          <w:spacing w:val="-1"/>
          <w:lang w:eastAsia="zh-CN"/>
        </w:rPr>
        <w:t>具体内容：</w:t>
      </w:r>
    </w:p>
    <w:p>
      <w:pPr>
        <w:spacing w:line="360" w:lineRule="auto"/>
        <w:ind w:left="-2" w:leftChars="-1" w:firstLine="42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1、项目经理受业主方委托，代表业主方，依据服务合同和约定，对内管理整个物业，组织专业化的服务；对外先行承担与物业管理相关的责任，履行相关义务，代表业主方与物业管理所涉及的各有关方面交涉，维护业主方的合法权益，并提醒业主方遵守与物业管理有关的法规政策，履行应尽的责任和义务。</w:t>
      </w:r>
    </w:p>
    <w:p>
      <w:pPr>
        <w:spacing w:line="360" w:lineRule="auto"/>
        <w:ind w:left="-2" w:leftChars="-1" w:firstLine="42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2、项目经理应加强与业主方沟通，如协商同意，可决定为业主方提供力所能及的附加服务，费用另结。</w:t>
      </w:r>
    </w:p>
    <w:p>
      <w:pPr>
        <w:spacing w:line="360" w:lineRule="auto"/>
        <w:ind w:left="-2" w:leftChars="-1" w:firstLine="42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3、物业管理服务人员应经过培训并按国家行政主管部门规定持证上岗，遵纪守法，严禁违章作业，项目参与者应遵守业主方的规章制度，不可泄露业主方的秘密，其工作同时接受业主方的监督考核。</w:t>
      </w:r>
    </w:p>
    <w:p>
      <w:pPr>
        <w:spacing w:line="360" w:lineRule="auto"/>
        <w:ind w:left="-2" w:leftChars="-1" w:firstLine="42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4、各类服务相互协调；人员调派和作业时间安排不得违反劳动法和行政部门的资质规定。在一视同仁，不予歧视和排斥的前提下，兼顾岗位对人员的特殊要求。</w:t>
      </w:r>
    </w:p>
    <w:p>
      <w:pPr>
        <w:spacing w:line="360" w:lineRule="auto"/>
        <w:ind w:left="-2" w:leftChars="-1" w:firstLine="42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5、对业主方日常业务所需资源和相关设备设施、包括施工和服务安排专人巡视、检查，发现问题，及时处理，将一切可能发生的故障隐患消灭在萌芽中。</w:t>
      </w:r>
    </w:p>
    <w:p>
      <w:pPr>
        <w:spacing w:line="360" w:lineRule="auto"/>
        <w:ind w:left="-2" w:leftChars="-1" w:firstLine="42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6、执行重大事项报告制度，遇到险情和重大事故，或对违规行为劝阻无效时，立即向上级和当地行政主管部门报告，并及时通知业主方。</w:t>
      </w:r>
    </w:p>
    <w:p>
      <w:pPr>
        <w:spacing w:line="360" w:lineRule="auto"/>
        <w:ind w:left="-2" w:leftChars="-1" w:firstLine="42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7、对外包服务和外来施工的监管：</w:t>
      </w:r>
    </w:p>
    <w:p>
      <w:pPr>
        <w:spacing w:line="360" w:lineRule="auto"/>
        <w:ind w:left="-2" w:leftChars="-1" w:firstLine="42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（1）查验登记相关资质和证明或批准文件；</w:t>
      </w:r>
    </w:p>
    <w:p>
      <w:pPr>
        <w:spacing w:line="360" w:lineRule="auto"/>
        <w:ind w:left="-2" w:leftChars="-1" w:firstLine="42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（2）有关作业计划、方案和图纸等存档备案；</w:t>
      </w:r>
    </w:p>
    <w:p>
      <w:pPr>
        <w:spacing w:line="360" w:lineRule="auto"/>
        <w:ind w:left="-2" w:leftChars="-1" w:firstLine="42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（3）告知相关注意事项；</w:t>
      </w:r>
    </w:p>
    <w:p>
      <w:pPr>
        <w:spacing w:line="360" w:lineRule="auto"/>
        <w:ind w:left="-2" w:leftChars="-1" w:firstLine="42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（4）</w:t>
      </w:r>
      <w:r>
        <w:rPr>
          <w:rFonts w:hint="eastAsia" w:asciiTheme="minorEastAsia" w:hAnsiTheme="minorEastAsia" w:eastAsiaTheme="minorEastAsia" w:cstheme="minorEastAsia"/>
          <w:color w:val="auto"/>
          <w:highlight w:val="none"/>
          <w:lang w:eastAsia="zh-CN"/>
        </w:rPr>
        <w:t>巡视或监督及配合作业过程，维修作业留下作业前后影像资料、在隐蔽工程结束前留下影像资料存档；</w:t>
      </w:r>
    </w:p>
    <w:p>
      <w:pPr>
        <w:spacing w:line="360" w:lineRule="auto"/>
        <w:ind w:left="-2" w:leftChars="-1" w:firstLine="42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（5）及时向业主方和有关部门报告异常情况、劝阻违规作业并取证、发生事故时保护现场；</w:t>
      </w:r>
    </w:p>
    <w:p>
      <w:pPr>
        <w:spacing w:line="360" w:lineRule="auto"/>
        <w:ind w:left="-2" w:leftChars="-1" w:firstLine="42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（6）作业结束参与验收，并做好记录。</w:t>
      </w:r>
    </w:p>
    <w:p>
      <w:pPr>
        <w:pStyle w:val="6"/>
        <w:spacing w:before="92" w:line="274" w:lineRule="auto"/>
        <w:ind w:left="16" w:right="79" w:firstLine="438"/>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b/>
          <w:bCs/>
          <w:color w:val="auto"/>
          <w:spacing w:val="-5"/>
          <w:lang w:eastAsia="zh-CN"/>
        </w:rPr>
        <w:t>5</w:t>
      </w:r>
      <w:r>
        <w:rPr>
          <w:rFonts w:hint="eastAsia" w:asciiTheme="minorEastAsia" w:hAnsiTheme="minorEastAsia" w:eastAsiaTheme="minorEastAsia" w:cstheme="minorEastAsia"/>
          <w:b/>
          <w:bCs/>
          <w:color w:val="auto"/>
          <w:spacing w:val="6"/>
          <w:lang w:eastAsia="zh-CN"/>
        </w:rPr>
        <w:t xml:space="preserve">  </w:t>
      </w:r>
      <w:r>
        <w:rPr>
          <w:rFonts w:hint="eastAsia" w:asciiTheme="minorEastAsia" w:hAnsiTheme="minorEastAsia" w:eastAsiaTheme="minorEastAsia" w:cstheme="minorEastAsia"/>
          <w:b/>
          <w:bCs/>
          <w:color w:val="auto"/>
          <w:spacing w:val="-5"/>
          <w:lang w:eastAsia="zh-CN"/>
        </w:rPr>
        <w:t>承包方式</w:t>
      </w:r>
    </w:p>
    <w:p>
      <w:pPr>
        <w:pStyle w:val="6"/>
        <w:spacing w:before="93" w:line="273" w:lineRule="auto"/>
        <w:ind w:left="20" w:right="27" w:firstLine="441"/>
        <w:rPr>
          <w:rFonts w:hint="eastAsia" w:asciiTheme="minorEastAsia" w:hAnsiTheme="minorEastAsia" w:eastAsiaTheme="minorEastAsia" w:cstheme="minorEastAsia"/>
          <w:color w:val="auto"/>
          <w:spacing w:val="-2"/>
          <w:lang w:eastAsia="zh-CN"/>
        </w:rPr>
      </w:pPr>
      <w:r>
        <w:rPr>
          <w:rFonts w:hint="eastAsia" w:asciiTheme="minorEastAsia" w:hAnsiTheme="minorEastAsia" w:eastAsiaTheme="minorEastAsia" w:cstheme="minorEastAsia"/>
          <w:color w:val="auto"/>
          <w:spacing w:val="-2"/>
          <w:lang w:eastAsia="zh-CN"/>
        </w:rPr>
        <w:t>5.1 依照本项目的招标范围和内容，服务内容</w:t>
      </w:r>
      <w:r>
        <w:rPr>
          <w:rFonts w:hint="eastAsia" w:asciiTheme="minorEastAsia" w:hAnsiTheme="minorEastAsia" w:eastAsiaTheme="minorEastAsia" w:cstheme="minorEastAsia"/>
          <w:color w:val="auto"/>
          <w:spacing w:val="-7"/>
          <w:lang w:eastAsia="zh-CN"/>
        </w:rPr>
        <w:t>： 采购人按双方约定的服务人数， 每季度向中标人支付管理服务费；其中服务费中包含</w:t>
      </w:r>
      <w:r>
        <w:rPr>
          <w:rFonts w:hint="eastAsia" w:asciiTheme="minorEastAsia" w:hAnsiTheme="minorEastAsia" w:eastAsiaTheme="minorEastAsia" w:cstheme="minorEastAsia"/>
          <w:color w:val="auto"/>
          <w:spacing w:val="-7"/>
          <w:highlight w:val="none"/>
          <w:lang w:eastAsia="zh-CN"/>
        </w:rPr>
        <w:t>日常零星维修费、</w:t>
      </w:r>
      <w:r>
        <w:rPr>
          <w:rFonts w:hint="eastAsia" w:asciiTheme="minorEastAsia" w:hAnsiTheme="minorEastAsia" w:eastAsiaTheme="minorEastAsia" w:cstheme="minorEastAsia"/>
          <w:color w:val="auto"/>
          <w:spacing w:val="-7"/>
          <w:highlight w:val="none"/>
          <w:lang w:val="en-US" w:eastAsia="zh-CN"/>
        </w:rPr>
        <w:t>维修耗材</w:t>
      </w:r>
      <w:r>
        <w:rPr>
          <w:rFonts w:hint="eastAsia" w:asciiTheme="minorEastAsia" w:hAnsiTheme="minorEastAsia" w:eastAsiaTheme="minorEastAsia" w:cstheme="minorEastAsia"/>
          <w:color w:val="auto"/>
          <w:spacing w:val="-7"/>
          <w:lang w:eastAsia="zh-CN"/>
        </w:rPr>
        <w:t>、保洁耗材和保洁工具的费用。项目过程中</w:t>
      </w:r>
      <w:r>
        <w:rPr>
          <w:rFonts w:hint="eastAsia" w:asciiTheme="minorEastAsia" w:hAnsiTheme="minorEastAsia" w:eastAsiaTheme="minorEastAsia" w:cstheme="minorEastAsia"/>
          <w:color w:val="auto"/>
          <w:spacing w:val="-1"/>
          <w:lang w:eastAsia="zh-CN"/>
        </w:rPr>
        <w:t>所发生的水电气等能耗，设备添置、维修、保养等费用均由采购人承担。</w:t>
      </w:r>
    </w:p>
    <w:p>
      <w:pPr>
        <w:pStyle w:val="6"/>
        <w:spacing w:before="92" w:line="220" w:lineRule="auto"/>
        <w:ind w:left="461"/>
        <w:rPr>
          <w:rFonts w:hint="eastAsia" w:asciiTheme="minorEastAsia" w:hAnsiTheme="minorEastAsia" w:eastAsiaTheme="minorEastAsia" w:cstheme="minorEastAsia"/>
          <w:b/>
          <w:bCs/>
          <w:color w:val="auto"/>
          <w:spacing w:val="-5"/>
          <w:lang w:eastAsia="zh-CN"/>
        </w:rPr>
      </w:pPr>
      <w:r>
        <w:rPr>
          <w:rFonts w:hint="eastAsia" w:asciiTheme="minorEastAsia" w:hAnsiTheme="minorEastAsia" w:eastAsiaTheme="minorEastAsia" w:cstheme="minorEastAsia"/>
          <w:b/>
          <w:bCs/>
          <w:color w:val="auto"/>
          <w:spacing w:val="-5"/>
          <w:lang w:eastAsia="zh-CN"/>
        </w:rPr>
        <w:t>6  合同的签订</w:t>
      </w:r>
    </w:p>
    <w:p>
      <w:pPr>
        <w:pStyle w:val="6"/>
        <w:spacing w:before="93" w:line="273" w:lineRule="auto"/>
        <w:ind w:left="20" w:right="27" w:firstLine="441"/>
        <w:rPr>
          <w:rFonts w:hint="eastAsia" w:asciiTheme="minorEastAsia" w:hAnsiTheme="minorEastAsia" w:eastAsiaTheme="minorEastAsia" w:cstheme="minorEastAsia"/>
          <w:color w:val="auto"/>
          <w:spacing w:val="-2"/>
          <w:lang w:eastAsia="zh-CN"/>
        </w:rPr>
      </w:pPr>
      <w:r>
        <w:rPr>
          <w:rFonts w:hint="eastAsia" w:asciiTheme="minorEastAsia" w:hAnsiTheme="minorEastAsia" w:eastAsiaTheme="minorEastAsia" w:cstheme="minorEastAsia"/>
          <w:color w:val="auto"/>
          <w:spacing w:val="-2"/>
          <w:lang w:eastAsia="zh-CN"/>
        </w:rPr>
        <w:t>6.1本项目合同的标的、价格、质量及验收标准、考核管理、履约期限等主要条款应当与招标文件和中标人投标文件的内容一致，并互相补充和解释。</w:t>
      </w:r>
    </w:p>
    <w:p>
      <w:pPr>
        <w:pStyle w:val="6"/>
        <w:spacing w:before="93" w:line="273" w:lineRule="auto"/>
        <w:ind w:left="20" w:right="27" w:firstLine="441"/>
        <w:rPr>
          <w:rFonts w:hint="eastAsia" w:asciiTheme="minorEastAsia" w:hAnsiTheme="minorEastAsia" w:eastAsiaTheme="minorEastAsia" w:cstheme="minorEastAsia"/>
          <w:color w:val="auto"/>
          <w:spacing w:val="-2"/>
          <w:lang w:eastAsia="zh-CN"/>
        </w:rPr>
      </w:pPr>
      <w:r>
        <w:rPr>
          <w:rFonts w:hint="eastAsia" w:asciiTheme="minorEastAsia" w:hAnsiTheme="minorEastAsia" w:eastAsiaTheme="minorEastAsia" w:cstheme="minorEastAsia"/>
          <w:color w:val="auto"/>
          <w:spacing w:val="-2"/>
          <w:lang w:eastAsia="zh-CN"/>
        </w:rPr>
        <w:t>6.2合同履约过程中，如遇不可抗力或政策性调价（以招标文件和合同约定为准），经双方商定可以调整合同金额（调整原则以招标文件约定为准），并签订补充协议。</w:t>
      </w:r>
    </w:p>
    <w:p>
      <w:pPr>
        <w:pStyle w:val="6"/>
        <w:spacing w:before="92" w:line="220" w:lineRule="auto"/>
        <w:ind w:left="461" w:right="0" w:firstLine="0"/>
        <w:rPr>
          <w:rFonts w:hint="eastAsia" w:asciiTheme="minorEastAsia" w:hAnsiTheme="minorEastAsia" w:eastAsiaTheme="minorEastAsia" w:cstheme="minorEastAsia"/>
          <w:b/>
          <w:bCs/>
          <w:color w:val="auto"/>
          <w:spacing w:val="-5"/>
          <w:lang w:eastAsia="zh-CN"/>
        </w:rPr>
      </w:pPr>
      <w:r>
        <w:rPr>
          <w:rFonts w:hint="eastAsia" w:asciiTheme="minorEastAsia" w:hAnsiTheme="minorEastAsia" w:eastAsiaTheme="minorEastAsia" w:cstheme="minorEastAsia"/>
          <w:b/>
          <w:bCs/>
          <w:color w:val="auto"/>
          <w:spacing w:val="-5"/>
          <w:lang w:eastAsia="zh-CN"/>
        </w:rPr>
        <w:t>7 结算原则</w:t>
      </w:r>
    </w:p>
    <w:p>
      <w:pPr>
        <w:pStyle w:val="6"/>
        <w:spacing w:before="93" w:line="273" w:lineRule="auto"/>
        <w:ind w:left="20" w:right="27" w:firstLine="441"/>
        <w:rPr>
          <w:rFonts w:hint="eastAsia" w:asciiTheme="minorEastAsia" w:hAnsiTheme="minorEastAsia" w:eastAsiaTheme="minorEastAsia" w:cstheme="minorEastAsia"/>
          <w:color w:val="auto"/>
          <w:spacing w:val="-2"/>
          <w:lang w:eastAsia="zh-CN"/>
        </w:rPr>
      </w:pPr>
      <w:r>
        <w:rPr>
          <w:rFonts w:hint="eastAsia" w:asciiTheme="minorEastAsia" w:hAnsiTheme="minorEastAsia" w:eastAsiaTheme="minorEastAsia" w:cstheme="minorEastAsia"/>
          <w:color w:val="auto"/>
          <w:spacing w:val="-2"/>
          <w:lang w:eastAsia="zh-CN"/>
        </w:rPr>
        <w:t>7.1 根据考核管理要求，依照考核结</w:t>
      </w:r>
      <w:r>
        <w:rPr>
          <w:rFonts w:hint="eastAsia" w:asciiTheme="minorEastAsia" w:hAnsiTheme="minorEastAsia" w:eastAsiaTheme="minorEastAsia" w:cstheme="minorEastAsia"/>
          <w:color w:val="auto"/>
          <w:spacing w:val="-2"/>
          <w:highlight w:val="none"/>
          <w:lang w:eastAsia="zh-CN"/>
        </w:rPr>
        <w:t>果按季度结算</w:t>
      </w:r>
      <w:r>
        <w:rPr>
          <w:rFonts w:hint="eastAsia" w:asciiTheme="minorEastAsia" w:hAnsiTheme="minorEastAsia" w:eastAsiaTheme="minorEastAsia" w:cstheme="minorEastAsia"/>
          <w:color w:val="auto"/>
          <w:spacing w:val="-2"/>
          <w:lang w:eastAsia="zh-CN"/>
        </w:rPr>
        <w:t>。</w:t>
      </w:r>
    </w:p>
    <w:p>
      <w:pPr>
        <w:pStyle w:val="6"/>
        <w:spacing w:before="93" w:line="273" w:lineRule="auto"/>
        <w:ind w:left="20" w:right="27" w:firstLine="441"/>
        <w:rPr>
          <w:rFonts w:hint="eastAsia" w:asciiTheme="minorEastAsia" w:hAnsiTheme="minorEastAsia" w:eastAsiaTheme="minorEastAsia" w:cstheme="minorEastAsia"/>
          <w:color w:val="auto"/>
          <w:spacing w:val="-2"/>
          <w:lang w:eastAsia="zh-CN"/>
        </w:rPr>
      </w:pPr>
      <w:r>
        <w:rPr>
          <w:rFonts w:hint="eastAsia" w:asciiTheme="minorEastAsia" w:hAnsiTheme="minorEastAsia" w:eastAsiaTheme="minorEastAsia" w:cstheme="minorEastAsia"/>
          <w:color w:val="auto"/>
          <w:spacing w:val="-2"/>
          <w:lang w:eastAsia="zh-CN"/>
        </w:rPr>
        <w:t>7.</w:t>
      </w:r>
      <w:r>
        <w:rPr>
          <w:rFonts w:hint="eastAsia" w:asciiTheme="minorEastAsia" w:hAnsiTheme="minorEastAsia" w:eastAsiaTheme="minorEastAsia" w:cstheme="minorEastAsia"/>
          <w:color w:val="auto"/>
          <w:spacing w:val="-2"/>
          <w:lang w:val="en-US" w:eastAsia="zh-CN"/>
        </w:rPr>
        <w:t>2</w:t>
      </w:r>
      <w:r>
        <w:rPr>
          <w:rFonts w:hint="eastAsia" w:asciiTheme="minorEastAsia" w:hAnsiTheme="minorEastAsia" w:eastAsiaTheme="minorEastAsia" w:cstheme="minorEastAsia"/>
          <w:color w:val="auto"/>
          <w:spacing w:val="-2"/>
          <w:lang w:eastAsia="zh-CN"/>
        </w:rPr>
        <w:t>合同履约期间，如发生设备中修、大修和应急维修的，则费用按实结算。</w:t>
      </w:r>
    </w:p>
    <w:p>
      <w:pPr>
        <w:pStyle w:val="6"/>
        <w:spacing w:before="93" w:line="273" w:lineRule="auto"/>
        <w:ind w:left="20" w:right="27" w:firstLine="441"/>
        <w:rPr>
          <w:rFonts w:hint="eastAsia" w:asciiTheme="minorEastAsia" w:hAnsiTheme="minorEastAsia" w:eastAsiaTheme="minorEastAsia" w:cstheme="minorEastAsia"/>
          <w:color w:val="auto"/>
          <w:spacing w:val="-2"/>
          <w:lang w:eastAsia="zh-CN"/>
        </w:rPr>
      </w:pPr>
      <w:r>
        <w:rPr>
          <w:rFonts w:hint="eastAsia" w:asciiTheme="minorEastAsia" w:hAnsiTheme="minorEastAsia" w:eastAsiaTheme="minorEastAsia" w:cstheme="minorEastAsia"/>
          <w:color w:val="auto"/>
          <w:spacing w:val="-2"/>
          <w:lang w:eastAsia="zh-CN"/>
        </w:rPr>
        <w:t>7.</w:t>
      </w:r>
      <w:r>
        <w:rPr>
          <w:rFonts w:hint="eastAsia" w:asciiTheme="minorEastAsia" w:hAnsiTheme="minorEastAsia" w:eastAsiaTheme="minorEastAsia" w:cstheme="minorEastAsia"/>
          <w:color w:val="auto"/>
          <w:spacing w:val="-2"/>
          <w:lang w:val="en-US" w:eastAsia="zh-CN"/>
        </w:rPr>
        <w:t>3</w:t>
      </w:r>
      <w:r>
        <w:rPr>
          <w:rFonts w:hint="eastAsia" w:asciiTheme="minorEastAsia" w:hAnsiTheme="minorEastAsia" w:eastAsiaTheme="minorEastAsia" w:cstheme="minorEastAsia"/>
          <w:color w:val="auto"/>
          <w:spacing w:val="-2"/>
          <w:lang w:eastAsia="zh-CN"/>
        </w:rPr>
        <w:t>合同履约期间，因重大型活动保障而产生的临时加班，费用按实结算。</w:t>
      </w:r>
    </w:p>
    <w:p>
      <w:pPr>
        <w:spacing w:line="328" w:lineRule="auto"/>
        <w:rPr>
          <w:rFonts w:hint="eastAsia" w:asciiTheme="minorEastAsia" w:hAnsiTheme="minorEastAsia" w:eastAsiaTheme="minorEastAsia" w:cstheme="minorEastAsia"/>
          <w:color w:val="auto"/>
          <w:lang w:eastAsia="zh-CN"/>
        </w:rPr>
      </w:pPr>
    </w:p>
    <w:p>
      <w:pPr>
        <w:spacing w:line="329" w:lineRule="auto"/>
        <w:rPr>
          <w:rFonts w:hint="eastAsia" w:asciiTheme="minorEastAsia" w:hAnsiTheme="minorEastAsia" w:eastAsiaTheme="minorEastAsia" w:cstheme="minorEastAsia"/>
          <w:color w:val="auto"/>
          <w:lang w:eastAsia="zh-CN"/>
        </w:rPr>
      </w:pPr>
    </w:p>
    <w:p>
      <w:pPr>
        <w:spacing w:before="97" w:line="220" w:lineRule="auto"/>
        <w:ind w:left="0"/>
        <w:jc w:val="center"/>
        <w:rPr>
          <w:rFonts w:hint="eastAsia" w:asciiTheme="minorEastAsia" w:hAnsiTheme="minorEastAsia" w:eastAsiaTheme="minorEastAsia" w:cstheme="minorEastAsia"/>
          <w:color w:val="auto"/>
          <w:sz w:val="30"/>
          <w:szCs w:val="30"/>
          <w:lang w:eastAsia="zh-CN"/>
        </w:rPr>
      </w:pPr>
      <w:r>
        <w:rPr>
          <w:rFonts w:hint="eastAsia" w:asciiTheme="minorEastAsia" w:hAnsiTheme="minorEastAsia" w:eastAsiaTheme="minorEastAsia" w:cstheme="minorEastAsia"/>
          <w:color w:val="auto"/>
          <w:spacing w:val="-2"/>
          <w:sz w:val="30"/>
          <w:szCs w:val="30"/>
          <w:lang w:eastAsia="zh-CN"/>
        </w:rPr>
        <w:t>三、技术质量要求</w:t>
      </w:r>
    </w:p>
    <w:p>
      <w:pPr>
        <w:pStyle w:val="6"/>
        <w:spacing w:before="92" w:line="220" w:lineRule="auto"/>
        <w:ind w:left="461"/>
        <w:rPr>
          <w:rFonts w:hint="eastAsia" w:asciiTheme="minorEastAsia" w:hAnsiTheme="minorEastAsia" w:eastAsiaTheme="minorEastAsia" w:cstheme="minorEastAsia"/>
          <w:b/>
          <w:bCs/>
          <w:color w:val="auto"/>
          <w:spacing w:val="-5"/>
          <w:lang w:eastAsia="zh-CN"/>
        </w:rPr>
      </w:pPr>
      <w:r>
        <w:rPr>
          <w:rFonts w:hint="eastAsia" w:asciiTheme="minorEastAsia" w:hAnsiTheme="minorEastAsia" w:eastAsiaTheme="minorEastAsia" w:cstheme="minorEastAsia"/>
          <w:b/>
          <w:bCs/>
          <w:color w:val="auto"/>
          <w:spacing w:val="-5"/>
          <w:lang w:eastAsia="zh-CN"/>
        </w:rPr>
        <w:t>8  适用技术规范和规范性文件</w:t>
      </w:r>
    </w:p>
    <w:p>
      <w:pPr>
        <w:pStyle w:val="6"/>
        <w:spacing w:before="93" w:line="273" w:lineRule="auto"/>
        <w:ind w:left="20" w:right="27" w:firstLine="441"/>
        <w:rPr>
          <w:rFonts w:hint="eastAsia" w:asciiTheme="minorEastAsia" w:hAnsiTheme="minorEastAsia" w:eastAsiaTheme="minorEastAsia" w:cstheme="minorEastAsia"/>
          <w:color w:val="auto"/>
          <w:spacing w:val="-2"/>
          <w:lang w:eastAsia="zh-CN"/>
        </w:rPr>
      </w:pPr>
      <w:r>
        <w:rPr>
          <w:rFonts w:hint="eastAsia" w:asciiTheme="minorEastAsia" w:hAnsiTheme="minorEastAsia" w:eastAsiaTheme="minorEastAsia" w:cstheme="minorEastAsia"/>
          <w:color w:val="auto"/>
          <w:spacing w:val="-2"/>
          <w:lang w:eastAsia="zh-CN"/>
        </w:rPr>
        <w:t>各投标人应充分注意，凡涉及国家或行业管理部门颁发的相关规范、规程和标准，无论其是否在本招标文件中列明，中标人应无条件执行。标准、规范等不一致的，以要求高者为准。</w:t>
      </w:r>
    </w:p>
    <w:p>
      <w:pPr>
        <w:pStyle w:val="6"/>
        <w:spacing w:before="92" w:line="220" w:lineRule="auto"/>
        <w:ind w:left="461"/>
        <w:rPr>
          <w:rFonts w:hint="eastAsia" w:asciiTheme="minorEastAsia" w:hAnsiTheme="minorEastAsia" w:eastAsiaTheme="minorEastAsia" w:cstheme="minorEastAsia"/>
          <w:b/>
          <w:bCs/>
          <w:color w:val="auto"/>
          <w:spacing w:val="-5"/>
          <w:lang w:eastAsia="zh-CN"/>
        </w:rPr>
      </w:pPr>
      <w:r>
        <w:rPr>
          <w:rFonts w:hint="eastAsia" w:asciiTheme="minorEastAsia" w:hAnsiTheme="minorEastAsia" w:eastAsiaTheme="minorEastAsia" w:cstheme="minorEastAsia"/>
          <w:b/>
          <w:bCs/>
          <w:color w:val="auto"/>
          <w:spacing w:val="-5"/>
          <w:lang w:eastAsia="zh-CN"/>
        </w:rPr>
        <w:t>9  招标内容与质量要求</w:t>
      </w:r>
    </w:p>
    <w:p>
      <w:pPr>
        <w:pStyle w:val="6"/>
        <w:spacing w:before="93" w:line="221" w:lineRule="auto"/>
        <w:ind w:left="0" w:firstLine="420"/>
        <w:rPr>
          <w:rFonts w:hint="eastAsia" w:asciiTheme="minorEastAsia" w:hAnsiTheme="minorEastAsia" w:eastAsiaTheme="minorEastAsia" w:cstheme="minorEastAsia"/>
          <w:color w:val="auto"/>
          <w:spacing w:val="-4"/>
          <w:lang w:eastAsia="zh-CN"/>
        </w:rPr>
      </w:pPr>
      <w:r>
        <w:rPr>
          <w:rFonts w:hint="eastAsia" w:asciiTheme="minorEastAsia" w:hAnsiTheme="minorEastAsia" w:eastAsiaTheme="minorEastAsia" w:cstheme="minorEastAsia"/>
          <w:color w:val="auto"/>
          <w:spacing w:val="-4"/>
          <w:lang w:eastAsia="zh-CN"/>
        </w:rPr>
        <w:t>9.1</w:t>
      </w:r>
      <w:r>
        <w:rPr>
          <w:rFonts w:hint="eastAsia" w:asciiTheme="minorEastAsia" w:hAnsiTheme="minorEastAsia" w:eastAsiaTheme="minorEastAsia" w:cstheme="minorEastAsia"/>
          <w:color w:val="auto"/>
          <w:spacing w:val="16"/>
          <w:lang w:eastAsia="zh-CN"/>
        </w:rPr>
        <w:t xml:space="preserve">  </w:t>
      </w:r>
      <w:r>
        <w:rPr>
          <w:rFonts w:hint="eastAsia" w:asciiTheme="minorEastAsia" w:hAnsiTheme="minorEastAsia" w:eastAsiaTheme="minorEastAsia" w:cstheme="minorEastAsia"/>
          <w:color w:val="auto"/>
          <w:spacing w:val="-4"/>
          <w:lang w:eastAsia="zh-CN"/>
        </w:rPr>
        <w:t>组织架构</w:t>
      </w:r>
    </w:p>
    <w:p>
      <w:pPr>
        <w:pStyle w:val="6"/>
        <w:spacing w:before="93" w:line="221" w:lineRule="auto"/>
        <w:rPr>
          <w:rFonts w:hint="eastAsia" w:asciiTheme="minorEastAsia" w:hAnsiTheme="minorEastAsia" w:eastAsiaTheme="minorEastAsia" w:cstheme="minorEastAsia"/>
          <w:color w:val="auto"/>
          <w:spacing w:val="-4"/>
          <w:lang w:eastAsia="zh-CN"/>
        </w:rPr>
      </w:pPr>
    </w:p>
    <w:p>
      <w:pPr>
        <w:pStyle w:val="6"/>
        <w:spacing w:before="93" w:line="221" w:lineRule="auto"/>
        <w:ind w:left="1029"/>
        <w:rPr>
          <w:rFonts w:hint="eastAsia" w:asciiTheme="minorEastAsia" w:hAnsiTheme="minorEastAsia" w:eastAsiaTheme="minorEastAsia" w:cstheme="minorEastAsia"/>
          <w:color w:val="auto"/>
          <w:spacing w:val="-4"/>
          <w:lang w:eastAsia="zh-CN"/>
        </w:rPr>
      </w:pPr>
    </w:p>
    <w:p>
      <w:pPr>
        <w:pStyle w:val="6"/>
        <w:spacing w:before="93" w:line="221" w:lineRule="auto"/>
        <w:ind w:left="1029"/>
        <w:rPr>
          <w:rFonts w:hint="eastAsia" w:asciiTheme="minorEastAsia" w:hAnsiTheme="minorEastAsia" w:eastAsiaTheme="minorEastAsia" w:cstheme="minorEastAsia"/>
          <w:color w:val="auto"/>
          <w:spacing w:val="-4"/>
          <w:lang w:eastAsia="zh-CN"/>
        </w:rPr>
      </w:pPr>
    </w:p>
    <w:p>
      <w:pPr>
        <w:pStyle w:val="6"/>
        <w:spacing w:before="93" w:line="221" w:lineRule="auto"/>
        <w:ind w:left="1029"/>
        <w:rPr>
          <w:rFonts w:hint="eastAsia" w:asciiTheme="minorEastAsia" w:hAnsiTheme="minorEastAsia" w:eastAsiaTheme="minorEastAsia" w:cstheme="minorEastAsia"/>
          <w:color w:val="auto"/>
          <w:spacing w:val="-4"/>
          <w:lang w:eastAsia="zh-CN"/>
        </w:rPr>
      </w:pPr>
      <w:r>
        <w:rPr>
          <w:rFonts w:hint="eastAsia" w:asciiTheme="minorEastAsia" w:hAnsiTheme="minorEastAsia" w:eastAsiaTheme="minorEastAsia" w:cstheme="minorEastAsia"/>
          <w:color w:val="auto"/>
          <w:lang w:eastAsia="zh-CN"/>
        </w:rPr>
        <w:drawing>
          <wp:anchor distT="0" distB="0" distL="0" distR="0" simplePos="0" relativeHeight="251660288" behindDoc="0" locked="0" layoutInCell="1" allowOverlap="1">
            <wp:simplePos x="0" y="0"/>
            <wp:positionH relativeFrom="column">
              <wp:posOffset>1212215</wp:posOffset>
            </wp:positionH>
            <wp:positionV relativeFrom="paragraph">
              <wp:posOffset>48895</wp:posOffset>
            </wp:positionV>
            <wp:extent cx="2877820" cy="1018540"/>
            <wp:effectExtent l="0" t="0" r="5080" b="10160"/>
            <wp:wrapSquare wrapText="bothSides"/>
            <wp:docPr id="5297122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712231"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877820" cy="1018540"/>
                    </a:xfrm>
                    <a:prstGeom prst="rect">
                      <a:avLst/>
                    </a:prstGeom>
                    <a:noFill/>
                  </pic:spPr>
                </pic:pic>
              </a:graphicData>
            </a:graphic>
          </wp:anchor>
        </w:drawing>
      </w:r>
    </w:p>
    <w:p>
      <w:pPr>
        <w:pStyle w:val="6"/>
        <w:spacing w:before="93" w:line="221" w:lineRule="auto"/>
        <w:ind w:left="1029"/>
        <w:rPr>
          <w:rFonts w:hint="eastAsia" w:asciiTheme="minorEastAsia" w:hAnsiTheme="minorEastAsia" w:eastAsiaTheme="minorEastAsia" w:cstheme="minorEastAsia"/>
          <w:color w:val="auto"/>
          <w:spacing w:val="-4"/>
          <w:lang w:eastAsia="zh-CN"/>
        </w:rPr>
      </w:pPr>
    </w:p>
    <w:p>
      <w:pPr>
        <w:pStyle w:val="6"/>
        <w:spacing w:before="93" w:line="221" w:lineRule="auto"/>
        <w:ind w:left="1029"/>
        <w:rPr>
          <w:rFonts w:hint="eastAsia" w:asciiTheme="minorEastAsia" w:hAnsiTheme="minorEastAsia" w:eastAsiaTheme="minorEastAsia" w:cstheme="minorEastAsia"/>
          <w:color w:val="auto"/>
          <w:spacing w:val="-4"/>
          <w:lang w:eastAsia="zh-CN"/>
        </w:rPr>
      </w:pPr>
    </w:p>
    <w:p>
      <w:pPr>
        <w:pStyle w:val="6"/>
        <w:spacing w:before="93" w:line="221" w:lineRule="auto"/>
        <w:ind w:left="1029"/>
        <w:rPr>
          <w:rFonts w:hint="eastAsia" w:asciiTheme="minorEastAsia" w:hAnsiTheme="minorEastAsia" w:eastAsiaTheme="minorEastAsia" w:cstheme="minorEastAsia"/>
          <w:color w:val="auto"/>
          <w:spacing w:val="-4"/>
          <w:lang w:eastAsia="zh-CN"/>
        </w:rPr>
      </w:pPr>
    </w:p>
    <w:p>
      <w:pPr>
        <w:pStyle w:val="6"/>
        <w:spacing w:before="93" w:line="221" w:lineRule="auto"/>
        <w:ind w:left="1029"/>
        <w:rPr>
          <w:rFonts w:hint="eastAsia" w:asciiTheme="minorEastAsia" w:hAnsiTheme="minorEastAsia" w:eastAsiaTheme="minorEastAsia" w:cstheme="minorEastAsia"/>
          <w:color w:val="auto"/>
          <w:spacing w:val="-4"/>
          <w:lang w:eastAsia="zh-CN"/>
        </w:rPr>
      </w:pPr>
    </w:p>
    <w:p>
      <w:pPr>
        <w:pStyle w:val="6"/>
        <w:spacing w:before="93" w:line="221" w:lineRule="auto"/>
        <w:ind w:left="1029"/>
        <w:rPr>
          <w:rFonts w:hint="eastAsia" w:asciiTheme="minorEastAsia" w:hAnsiTheme="minorEastAsia" w:eastAsiaTheme="minorEastAsia" w:cstheme="minorEastAsia"/>
          <w:color w:val="auto"/>
          <w:spacing w:val="-4"/>
          <w:lang w:eastAsia="zh-CN"/>
        </w:rPr>
      </w:pPr>
    </w:p>
    <w:p>
      <w:pPr>
        <w:pStyle w:val="6"/>
        <w:spacing w:before="93" w:line="221" w:lineRule="auto"/>
        <w:ind w:firstLine="424" w:firstLineChars="200"/>
        <w:rPr>
          <w:rFonts w:hint="eastAsia" w:asciiTheme="minorEastAsia" w:hAnsiTheme="minorEastAsia" w:eastAsiaTheme="minorEastAsia" w:cstheme="minorEastAsia"/>
          <w:color w:val="auto"/>
          <w:spacing w:val="-4"/>
          <w:lang w:eastAsia="zh-CN"/>
        </w:rPr>
      </w:pPr>
      <w:r>
        <w:rPr>
          <w:rFonts w:hint="eastAsia" w:asciiTheme="minorEastAsia" w:hAnsiTheme="minorEastAsia" w:eastAsiaTheme="minorEastAsia" w:cstheme="minorEastAsia"/>
          <w:color w:val="auto"/>
          <w:spacing w:val="-4"/>
          <w:lang w:eastAsia="zh-CN"/>
        </w:rPr>
        <w:t>9.2 管理制度</w:t>
      </w:r>
    </w:p>
    <w:p>
      <w:pPr>
        <w:pStyle w:val="6"/>
        <w:spacing w:before="93" w:line="273" w:lineRule="auto"/>
        <w:ind w:left="20" w:right="27" w:firstLine="441"/>
        <w:rPr>
          <w:rFonts w:hint="eastAsia" w:asciiTheme="minorEastAsia" w:hAnsiTheme="minorEastAsia" w:eastAsiaTheme="minorEastAsia" w:cstheme="minorEastAsia"/>
          <w:color w:val="auto"/>
          <w:spacing w:val="-2"/>
          <w:lang w:eastAsia="zh-CN"/>
        </w:rPr>
      </w:pPr>
      <w:r>
        <w:rPr>
          <w:rFonts w:hint="eastAsia" w:asciiTheme="minorEastAsia" w:hAnsiTheme="minorEastAsia" w:eastAsiaTheme="minorEastAsia" w:cstheme="minorEastAsia"/>
          <w:color w:val="auto"/>
          <w:spacing w:val="-2"/>
          <w:lang w:eastAsia="zh-CN"/>
        </w:rPr>
        <w:t>秉承服务无距离管理无缺陷，做到全方位保障持续改进、快速反应、人性化管理；不断建设品质工程、形象工程；持续提高专业素质、政治素质；培养全方位保障能力、应急处理能力、综合管理服务能力。明晰管理操作层次，保证组织架构的管理服务实效。以“客户服务”为管理服务核心，实现需求服务的主导地位。建立统一协调的职能分工架构，兼顾组织的有效和有序，按需定岗，一专多能，精简设置，紧密配合，以团队整体保障管理服务品质。明确职责规范，做到“事事有人管、样样有人问”。整合企业优势资源， 建立临港新片区青年中心后勤支援支持体系。</w:t>
      </w:r>
    </w:p>
    <w:p>
      <w:pPr>
        <w:pStyle w:val="6"/>
        <w:spacing w:before="93" w:line="273" w:lineRule="auto"/>
        <w:ind w:left="20" w:right="27" w:firstLine="441"/>
        <w:rPr>
          <w:rFonts w:hint="eastAsia" w:asciiTheme="minorEastAsia" w:hAnsiTheme="minorEastAsia" w:eastAsiaTheme="minorEastAsia" w:cstheme="minorEastAsia"/>
          <w:color w:val="auto"/>
          <w:spacing w:val="-2"/>
          <w:lang w:eastAsia="zh-CN"/>
        </w:rPr>
      </w:pPr>
      <w:r>
        <w:rPr>
          <w:rFonts w:hint="eastAsia" w:asciiTheme="minorEastAsia" w:hAnsiTheme="minorEastAsia" w:eastAsiaTheme="minorEastAsia" w:cstheme="minorEastAsia"/>
          <w:color w:val="auto"/>
          <w:spacing w:val="-2"/>
          <w:lang w:eastAsia="zh-CN"/>
        </w:rPr>
        <w:t>各投标供应商根据本项目人员要求，工作涵盖范围及现场踏勘情况，自拟服务方案，明确服务总人数，各服务区域、岗点人数、班次安排及岗位职责。提供应急预案及服务承诺。</w:t>
      </w:r>
    </w:p>
    <w:p>
      <w:pPr>
        <w:pStyle w:val="6"/>
        <w:spacing w:before="93" w:line="221" w:lineRule="auto"/>
        <w:ind w:left="0" w:firstLine="420"/>
        <w:rPr>
          <w:rFonts w:hint="eastAsia" w:asciiTheme="minorEastAsia" w:hAnsiTheme="minorEastAsia" w:eastAsiaTheme="minorEastAsia" w:cstheme="minorEastAsia"/>
          <w:color w:val="auto"/>
          <w:spacing w:val="-4"/>
          <w:lang w:eastAsia="zh-CN"/>
        </w:rPr>
      </w:pPr>
      <w:r>
        <w:rPr>
          <w:rFonts w:hint="eastAsia" w:asciiTheme="minorEastAsia" w:hAnsiTheme="minorEastAsia" w:eastAsiaTheme="minorEastAsia" w:cstheme="minorEastAsia"/>
          <w:color w:val="auto"/>
          <w:spacing w:val="-4"/>
          <w:lang w:eastAsia="zh-CN"/>
        </w:rPr>
        <w:t>9.3  管理团队要求</w:t>
      </w:r>
    </w:p>
    <w:p>
      <w:pPr>
        <w:pStyle w:val="6"/>
        <w:spacing w:before="93" w:line="273" w:lineRule="auto"/>
        <w:ind w:left="20" w:right="27" w:firstLine="441"/>
        <w:rPr>
          <w:rFonts w:hint="eastAsia" w:asciiTheme="minorEastAsia" w:hAnsiTheme="minorEastAsia" w:eastAsiaTheme="minorEastAsia" w:cstheme="minorEastAsia"/>
          <w:color w:val="auto"/>
          <w:spacing w:val="-2"/>
          <w:lang w:eastAsia="zh-CN"/>
        </w:rPr>
      </w:pPr>
      <w:r>
        <w:rPr>
          <w:rFonts w:hint="eastAsia" w:asciiTheme="minorEastAsia" w:hAnsiTheme="minorEastAsia" w:eastAsiaTheme="minorEastAsia" w:cstheme="minorEastAsia"/>
          <w:color w:val="auto"/>
          <w:spacing w:val="-2"/>
          <w:lang w:eastAsia="zh-CN"/>
        </w:rPr>
        <w:t>（1）树立正确的物业管理观念，以“服务至上，客户第一”为管理宗旨，不断提高良好信誉、不断加强科学管理，做好服务工作。</w:t>
      </w:r>
    </w:p>
    <w:p>
      <w:pPr>
        <w:pStyle w:val="6"/>
        <w:spacing w:before="93" w:line="273" w:lineRule="auto"/>
        <w:ind w:left="20" w:right="27" w:firstLine="441"/>
        <w:rPr>
          <w:rFonts w:hint="eastAsia" w:asciiTheme="minorEastAsia" w:hAnsiTheme="minorEastAsia" w:eastAsiaTheme="minorEastAsia" w:cstheme="minorEastAsia"/>
          <w:color w:val="auto"/>
          <w:spacing w:val="-2"/>
          <w:lang w:eastAsia="zh-CN"/>
        </w:rPr>
      </w:pPr>
      <w:r>
        <w:rPr>
          <w:rFonts w:hint="eastAsia" w:asciiTheme="minorEastAsia" w:hAnsiTheme="minorEastAsia" w:eastAsiaTheme="minorEastAsia" w:cstheme="minorEastAsia"/>
          <w:color w:val="auto"/>
          <w:spacing w:val="-2"/>
          <w:lang w:eastAsia="zh-CN"/>
        </w:rPr>
        <w:t>（2）无等级安全事故，无工伤伤亡事故，无因工作不当造成建筑和设备设施严重损坏事故。</w:t>
      </w:r>
    </w:p>
    <w:p>
      <w:pPr>
        <w:pStyle w:val="6"/>
        <w:spacing w:before="93" w:line="273" w:lineRule="auto"/>
        <w:ind w:left="20" w:right="27" w:firstLine="441"/>
        <w:rPr>
          <w:rFonts w:hint="eastAsia" w:asciiTheme="minorEastAsia" w:hAnsiTheme="minorEastAsia" w:eastAsiaTheme="minorEastAsia" w:cstheme="minorEastAsia"/>
          <w:color w:val="auto"/>
          <w:spacing w:val="-2"/>
          <w:lang w:eastAsia="zh-CN"/>
        </w:rPr>
      </w:pPr>
      <w:r>
        <w:rPr>
          <w:rFonts w:hint="eastAsia" w:asciiTheme="minorEastAsia" w:hAnsiTheme="minorEastAsia" w:eastAsiaTheme="minorEastAsia" w:cstheme="minorEastAsia"/>
          <w:color w:val="auto"/>
          <w:spacing w:val="-2"/>
          <w:lang w:eastAsia="zh-CN"/>
        </w:rPr>
        <w:t>（3）无脏乱现象和卫生不洁死角，无严重责任疏漏事故。</w:t>
      </w:r>
    </w:p>
    <w:p>
      <w:pPr>
        <w:pStyle w:val="6"/>
        <w:spacing w:before="93" w:line="273" w:lineRule="auto"/>
        <w:ind w:left="20" w:right="27" w:firstLine="441"/>
        <w:rPr>
          <w:rFonts w:hint="eastAsia" w:asciiTheme="minorEastAsia" w:hAnsiTheme="minorEastAsia" w:eastAsiaTheme="minorEastAsia" w:cstheme="minorEastAsia"/>
          <w:color w:val="auto"/>
          <w:spacing w:val="-4"/>
          <w:lang w:eastAsia="zh-CN"/>
        </w:rPr>
      </w:pPr>
      <w:r>
        <w:rPr>
          <w:rFonts w:hint="eastAsia" w:asciiTheme="minorEastAsia" w:hAnsiTheme="minorEastAsia" w:eastAsiaTheme="minorEastAsia" w:cstheme="minorEastAsia"/>
          <w:color w:val="auto"/>
          <w:spacing w:val="-2"/>
          <w:lang w:eastAsia="zh-CN"/>
        </w:rPr>
        <w:t>（4）优质服务，规范服务，提供方便、及时和舒适的人性化服务，让业主满意，机关工作人员满意。</w:t>
      </w:r>
    </w:p>
    <w:p>
      <w:pPr>
        <w:pStyle w:val="6"/>
        <w:spacing w:before="93" w:line="221" w:lineRule="auto"/>
        <w:ind w:firstLine="42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pacing w:val="-4"/>
          <w:lang w:eastAsia="zh-CN"/>
        </w:rPr>
        <w:t>9.</w:t>
      </w:r>
      <w:r>
        <w:rPr>
          <w:rFonts w:hint="eastAsia" w:asciiTheme="minorEastAsia" w:hAnsiTheme="minorEastAsia" w:eastAsiaTheme="minorEastAsia" w:cstheme="minorEastAsia"/>
          <w:color w:val="auto"/>
          <w:spacing w:val="-4"/>
          <w:lang w:val="en-US" w:eastAsia="zh-CN"/>
        </w:rPr>
        <w:t>4</w:t>
      </w:r>
      <w:r>
        <w:rPr>
          <w:rFonts w:hint="eastAsia" w:asciiTheme="minorEastAsia" w:hAnsiTheme="minorEastAsia" w:eastAsiaTheme="minorEastAsia" w:cstheme="minorEastAsia"/>
          <w:color w:val="auto"/>
          <w:spacing w:val="16"/>
          <w:lang w:eastAsia="zh-CN"/>
        </w:rPr>
        <w:t xml:space="preserve"> </w:t>
      </w:r>
      <w:r>
        <w:rPr>
          <w:rFonts w:hint="eastAsia" w:asciiTheme="minorEastAsia" w:hAnsiTheme="minorEastAsia" w:eastAsiaTheme="minorEastAsia" w:cstheme="minorEastAsia"/>
          <w:color w:val="auto"/>
          <w:spacing w:val="-4"/>
          <w:lang w:eastAsia="zh-CN"/>
        </w:rPr>
        <w:t>岗位设置一览表</w:t>
      </w:r>
    </w:p>
    <w:p>
      <w:pPr>
        <w:pStyle w:val="12"/>
        <w:spacing w:line="360" w:lineRule="auto"/>
        <w:ind w:left="422" w:hanging="422"/>
        <w:jc w:val="center"/>
        <w:rPr>
          <w:rFonts w:hint="eastAsia" w:asciiTheme="minorEastAsia" w:hAnsiTheme="minorEastAsia" w:eastAsiaTheme="minorEastAsia" w:cstheme="minorEastAsia"/>
          <w:b/>
          <w:color w:val="auto"/>
          <w:lang w:eastAsia="zh-CN"/>
        </w:rPr>
      </w:pPr>
    </w:p>
    <w:p>
      <w:pPr>
        <w:pStyle w:val="12"/>
        <w:spacing w:line="360" w:lineRule="auto"/>
        <w:ind w:left="422" w:hanging="422"/>
        <w:jc w:val="center"/>
        <w:rPr>
          <w:rFonts w:hint="eastAsia" w:asciiTheme="minorEastAsia" w:hAnsiTheme="minorEastAsia" w:eastAsiaTheme="minorEastAsia" w:cstheme="minorEastAsia"/>
          <w:b/>
          <w:color w:val="auto"/>
          <w:lang w:eastAsia="zh-CN"/>
        </w:rPr>
      </w:pPr>
      <w:r>
        <w:rPr>
          <w:rFonts w:hint="eastAsia" w:asciiTheme="minorEastAsia" w:hAnsiTheme="minorEastAsia" w:eastAsiaTheme="minorEastAsia" w:cstheme="minorEastAsia"/>
          <w:b/>
          <w:color w:val="auto"/>
          <w:lang w:eastAsia="zh-CN"/>
        </w:rPr>
        <w:t>物业管理服务人员设置需求表</w:t>
      </w:r>
    </w:p>
    <w:p>
      <w:pPr>
        <w:pStyle w:val="12"/>
        <w:ind w:left="482" w:hanging="482"/>
        <w:rPr>
          <w:rFonts w:hint="eastAsia" w:asciiTheme="minorEastAsia" w:hAnsiTheme="minorEastAsia" w:eastAsiaTheme="minorEastAsia" w:cstheme="minorEastAsia"/>
          <w:b/>
          <w:color w:val="auto"/>
          <w:lang w:eastAsia="zh-CN"/>
        </w:rPr>
      </w:pPr>
      <w:r>
        <w:rPr>
          <w:rFonts w:hint="eastAsia" w:asciiTheme="minorEastAsia" w:hAnsiTheme="minorEastAsia" w:eastAsiaTheme="minorEastAsia" w:cstheme="minorEastAsia"/>
          <w:b/>
          <w:color w:val="auto"/>
          <w:sz w:val="24"/>
          <w:lang w:eastAsia="zh-CN"/>
        </w:rPr>
        <w:t>★物业服务人员不得少于</w:t>
      </w:r>
      <w:r>
        <w:rPr>
          <w:rFonts w:hint="eastAsia" w:asciiTheme="minorEastAsia" w:hAnsiTheme="minorEastAsia" w:eastAsiaTheme="minorEastAsia" w:cstheme="minorEastAsia"/>
          <w:b/>
          <w:color w:val="auto"/>
          <w:sz w:val="24"/>
          <w:lang w:val="en-US" w:eastAsia="zh-CN"/>
        </w:rPr>
        <w:t>9</w:t>
      </w:r>
      <w:r>
        <w:rPr>
          <w:rFonts w:hint="eastAsia" w:asciiTheme="minorEastAsia" w:hAnsiTheme="minorEastAsia" w:eastAsiaTheme="minorEastAsia" w:cstheme="minorEastAsia"/>
          <w:b/>
          <w:color w:val="auto"/>
          <w:sz w:val="24"/>
          <w:lang w:eastAsia="zh-CN"/>
        </w:rPr>
        <w:t>人。</w:t>
      </w:r>
    </w:p>
    <w:tbl>
      <w:tblPr>
        <w:tblStyle w:val="14"/>
        <w:tblpPr w:leftFromText="180" w:rightFromText="180" w:vertAnchor="text" w:horzAnchor="page" w:tblpX="1906" w:tblpY="97"/>
        <w:tblOverlap w:val="never"/>
        <w:tblW w:w="84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146"/>
        <w:gridCol w:w="1082"/>
        <w:gridCol w:w="1109"/>
        <w:gridCol w:w="882"/>
        <w:gridCol w:w="2643"/>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4" w:hRule="atLeast"/>
        </w:trPr>
        <w:tc>
          <w:tcPr>
            <w:tcW w:w="445" w:type="dxa"/>
            <w:tcBorders>
              <w:top w:val="single" w:color="auto" w:sz="4" w:space="0"/>
              <w:left w:val="single" w:color="auto" w:sz="4" w:space="0"/>
              <w:bottom w:val="single" w:color="auto" w:sz="4" w:space="0"/>
              <w:right w:val="single" w:color="auto" w:sz="4" w:space="0"/>
            </w:tcBorders>
            <w:noWrap/>
          </w:tcPr>
          <w:p>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序号</w:t>
            </w:r>
          </w:p>
        </w:tc>
        <w:tc>
          <w:tcPr>
            <w:tcW w:w="1146" w:type="dxa"/>
            <w:tcBorders>
              <w:top w:val="single" w:color="auto" w:sz="4" w:space="0"/>
              <w:left w:val="single" w:color="auto" w:sz="4" w:space="0"/>
              <w:bottom w:val="single" w:color="auto" w:sz="4" w:space="0"/>
              <w:right w:val="single" w:color="auto" w:sz="4" w:space="0"/>
            </w:tcBorders>
            <w:noWrap/>
          </w:tcPr>
          <w:p>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服务岗位</w:t>
            </w:r>
          </w:p>
        </w:tc>
        <w:tc>
          <w:tcPr>
            <w:tcW w:w="1082" w:type="dxa"/>
            <w:tcBorders>
              <w:top w:val="single" w:color="auto" w:sz="4" w:space="0"/>
              <w:left w:val="single" w:color="auto" w:sz="4" w:space="0"/>
              <w:bottom w:val="single" w:color="auto" w:sz="4" w:space="0"/>
              <w:right w:val="single" w:color="auto" w:sz="4" w:space="0"/>
            </w:tcBorders>
            <w:noWrap/>
          </w:tcPr>
          <w:p>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班次</w:t>
            </w:r>
          </w:p>
        </w:tc>
        <w:tc>
          <w:tcPr>
            <w:tcW w:w="1109" w:type="dxa"/>
            <w:tcBorders>
              <w:top w:val="single" w:color="auto" w:sz="4" w:space="0"/>
              <w:left w:val="single" w:color="auto" w:sz="4" w:space="0"/>
              <w:bottom w:val="single" w:color="auto" w:sz="4" w:space="0"/>
              <w:right w:val="single" w:color="auto" w:sz="4" w:space="0"/>
            </w:tcBorders>
            <w:noWrap/>
          </w:tcPr>
          <w:p>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eastAsia="zh-CN"/>
              </w:rPr>
              <w:t>岗位数</w:t>
            </w:r>
          </w:p>
        </w:tc>
        <w:tc>
          <w:tcPr>
            <w:tcW w:w="882" w:type="dxa"/>
            <w:tcBorders>
              <w:top w:val="single" w:color="auto" w:sz="4" w:space="0"/>
              <w:left w:val="single" w:color="auto" w:sz="4" w:space="0"/>
              <w:bottom w:val="single" w:color="auto" w:sz="4" w:space="0"/>
              <w:right w:val="single" w:color="auto" w:sz="4" w:space="0"/>
            </w:tcBorders>
            <w:noWrap/>
          </w:tcPr>
          <w:p>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人</w:t>
            </w:r>
            <w:r>
              <w:rPr>
                <w:rFonts w:hint="eastAsia" w:asciiTheme="minorEastAsia" w:hAnsiTheme="minorEastAsia" w:eastAsiaTheme="minorEastAsia" w:cstheme="minorEastAsia"/>
                <w:color w:val="auto"/>
                <w:lang w:eastAsia="zh-CN"/>
              </w:rPr>
              <w:t>工</w:t>
            </w:r>
            <w:r>
              <w:rPr>
                <w:rFonts w:hint="eastAsia" w:asciiTheme="minorEastAsia" w:hAnsiTheme="minorEastAsia" w:eastAsiaTheme="minorEastAsia" w:cstheme="minorEastAsia"/>
                <w:color w:val="auto"/>
              </w:rPr>
              <w:t>数</w:t>
            </w:r>
          </w:p>
        </w:tc>
        <w:tc>
          <w:tcPr>
            <w:tcW w:w="2643" w:type="dxa"/>
            <w:tcBorders>
              <w:top w:val="single" w:color="auto" w:sz="4" w:space="0"/>
              <w:left w:val="single" w:color="auto" w:sz="4" w:space="0"/>
              <w:bottom w:val="single" w:color="auto" w:sz="4" w:space="0"/>
              <w:right w:val="single" w:color="auto" w:sz="4" w:space="0"/>
            </w:tcBorders>
            <w:noWrap/>
          </w:tcPr>
          <w:p>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主要工作</w:t>
            </w:r>
          </w:p>
        </w:tc>
        <w:tc>
          <w:tcPr>
            <w:tcW w:w="1121"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9" w:hRule="atLeast"/>
        </w:trPr>
        <w:tc>
          <w:tcPr>
            <w:tcW w:w="44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1</w:t>
            </w:r>
          </w:p>
        </w:tc>
        <w:tc>
          <w:tcPr>
            <w:tcW w:w="1146"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保洁员</w:t>
            </w:r>
          </w:p>
        </w:tc>
        <w:tc>
          <w:tcPr>
            <w:tcW w:w="108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做五休二</w:t>
            </w:r>
          </w:p>
          <w:p>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10小时/班</w:t>
            </w:r>
          </w:p>
        </w:tc>
        <w:tc>
          <w:tcPr>
            <w:tcW w:w="110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3</w:t>
            </w:r>
          </w:p>
        </w:tc>
        <w:tc>
          <w:tcPr>
            <w:tcW w:w="88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3</w:t>
            </w:r>
          </w:p>
        </w:tc>
        <w:tc>
          <w:tcPr>
            <w:tcW w:w="264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楼层环境保洁，室内保洁</w:t>
            </w:r>
          </w:p>
        </w:tc>
        <w:tc>
          <w:tcPr>
            <w:tcW w:w="11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每周七天运行，7：00-17：30在岗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8" w:hRule="atLeast"/>
        </w:trPr>
        <w:tc>
          <w:tcPr>
            <w:tcW w:w="44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2</w:t>
            </w:r>
          </w:p>
        </w:tc>
        <w:tc>
          <w:tcPr>
            <w:tcW w:w="1146"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保安</w:t>
            </w:r>
            <w:r>
              <w:rPr>
                <w:rFonts w:hint="eastAsia" w:asciiTheme="minorEastAsia" w:hAnsiTheme="minorEastAsia" w:eastAsiaTheme="minorEastAsia" w:cstheme="minorEastAsia"/>
                <w:color w:val="auto"/>
                <w:lang w:eastAsia="zh-CN"/>
              </w:rPr>
              <w:t>员</w:t>
            </w:r>
          </w:p>
        </w:tc>
        <w:tc>
          <w:tcPr>
            <w:tcW w:w="108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做</w:t>
            </w:r>
            <w:r>
              <w:rPr>
                <w:rFonts w:hint="eastAsia" w:asciiTheme="minorEastAsia" w:hAnsiTheme="minorEastAsia" w:eastAsiaTheme="minorEastAsia" w:cstheme="minorEastAsia"/>
                <w:color w:val="auto"/>
                <w:lang w:eastAsia="zh-CN"/>
              </w:rPr>
              <w:t>一</w:t>
            </w:r>
            <w:r>
              <w:rPr>
                <w:rFonts w:hint="eastAsia" w:asciiTheme="minorEastAsia" w:hAnsiTheme="minorEastAsia" w:eastAsiaTheme="minorEastAsia" w:cstheme="minorEastAsia"/>
                <w:color w:val="auto"/>
              </w:rPr>
              <w:t>休一</w:t>
            </w:r>
          </w:p>
          <w:p>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eastAsia="zh-CN"/>
              </w:rPr>
              <w:t>12小时/班</w:t>
            </w:r>
          </w:p>
        </w:tc>
        <w:tc>
          <w:tcPr>
            <w:tcW w:w="110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3</w:t>
            </w:r>
          </w:p>
        </w:tc>
        <w:tc>
          <w:tcPr>
            <w:tcW w:w="88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5</w:t>
            </w:r>
          </w:p>
        </w:tc>
        <w:tc>
          <w:tcPr>
            <w:tcW w:w="264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eastAsia="zh-CN"/>
              </w:rPr>
              <w:t>楼宇安全巡视、消防安全、门岗进出口管理、车辆管理、</w:t>
            </w:r>
            <w:r>
              <w:rPr>
                <w:rFonts w:hint="eastAsia" w:asciiTheme="minorEastAsia" w:hAnsiTheme="minorEastAsia" w:eastAsiaTheme="minorEastAsia" w:cstheme="minorEastAsia"/>
                <w:color w:val="auto"/>
                <w:lang w:val="en-US" w:eastAsia="zh-CN"/>
              </w:rPr>
              <w:t>监控</w:t>
            </w:r>
          </w:p>
        </w:tc>
        <w:tc>
          <w:tcPr>
            <w:tcW w:w="11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持有保安员证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0" w:hRule="atLeast"/>
        </w:trPr>
        <w:tc>
          <w:tcPr>
            <w:tcW w:w="44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3</w:t>
            </w:r>
          </w:p>
        </w:tc>
        <w:tc>
          <w:tcPr>
            <w:tcW w:w="1146"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eastAsia="zh-CN"/>
              </w:rPr>
              <w:t>项目</w:t>
            </w:r>
            <w:r>
              <w:rPr>
                <w:rFonts w:hint="eastAsia" w:asciiTheme="minorEastAsia" w:hAnsiTheme="minorEastAsia" w:eastAsiaTheme="minorEastAsia" w:cstheme="minorEastAsia"/>
                <w:color w:val="auto"/>
              </w:rPr>
              <w:t>经理</w:t>
            </w:r>
          </w:p>
        </w:tc>
        <w:tc>
          <w:tcPr>
            <w:tcW w:w="108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做五休二</w:t>
            </w:r>
          </w:p>
          <w:p>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8小时/班</w:t>
            </w:r>
          </w:p>
        </w:tc>
        <w:tc>
          <w:tcPr>
            <w:tcW w:w="110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p>
        </w:tc>
        <w:tc>
          <w:tcPr>
            <w:tcW w:w="88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p>
        </w:tc>
        <w:tc>
          <w:tcPr>
            <w:tcW w:w="264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物业整体工作协调管理</w:t>
            </w:r>
          </w:p>
        </w:tc>
        <w:tc>
          <w:tcPr>
            <w:tcW w:w="11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pacing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trPr>
        <w:tc>
          <w:tcPr>
            <w:tcW w:w="159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eastAsia="zh-CN"/>
              </w:rPr>
              <w:t>合计</w:t>
            </w:r>
          </w:p>
        </w:tc>
        <w:tc>
          <w:tcPr>
            <w:tcW w:w="108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rPr>
            </w:pPr>
          </w:p>
        </w:tc>
        <w:tc>
          <w:tcPr>
            <w:tcW w:w="110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lang w:eastAsia="zh-CN"/>
              </w:rPr>
            </w:pPr>
          </w:p>
        </w:tc>
        <w:tc>
          <w:tcPr>
            <w:tcW w:w="88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9</w:t>
            </w:r>
          </w:p>
        </w:tc>
        <w:tc>
          <w:tcPr>
            <w:tcW w:w="264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rPr>
            </w:pPr>
          </w:p>
        </w:tc>
        <w:tc>
          <w:tcPr>
            <w:tcW w:w="1121"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color w:val="auto"/>
              </w:rPr>
            </w:pPr>
          </w:p>
        </w:tc>
      </w:tr>
    </w:tbl>
    <w:p>
      <w:pPr>
        <w:pStyle w:val="6"/>
        <w:spacing w:before="93" w:line="221" w:lineRule="auto"/>
        <w:ind w:left="1029"/>
        <w:rPr>
          <w:rFonts w:hint="eastAsia" w:asciiTheme="minorEastAsia" w:hAnsiTheme="minorEastAsia" w:eastAsiaTheme="minorEastAsia" w:cstheme="minorEastAsia"/>
          <w:color w:val="auto"/>
          <w:spacing w:val="-4"/>
          <w:lang w:eastAsia="zh-CN"/>
        </w:rPr>
      </w:pPr>
    </w:p>
    <w:p>
      <w:pPr>
        <w:pStyle w:val="6"/>
        <w:spacing w:before="93" w:line="221" w:lineRule="auto"/>
        <w:rPr>
          <w:rFonts w:hint="eastAsia" w:asciiTheme="minorEastAsia" w:hAnsiTheme="minorEastAsia" w:eastAsiaTheme="minorEastAsia" w:cstheme="minorEastAsia"/>
          <w:color w:val="auto"/>
          <w:spacing w:val="-4"/>
          <w:lang w:eastAsia="zh-CN"/>
        </w:rPr>
      </w:pPr>
      <w:r>
        <w:rPr>
          <w:rFonts w:hint="eastAsia" w:asciiTheme="minorEastAsia" w:hAnsiTheme="minorEastAsia" w:eastAsiaTheme="minorEastAsia" w:cstheme="minorEastAsia"/>
          <w:color w:val="auto"/>
          <w:spacing w:val="-4"/>
          <w:lang w:eastAsia="zh-CN"/>
        </w:rPr>
        <w:t>其中，各岗位人员要求分别如下：</w:t>
      </w:r>
    </w:p>
    <w:p>
      <w:pPr>
        <w:pStyle w:val="6"/>
        <w:spacing w:before="93" w:line="221" w:lineRule="auto"/>
        <w:ind w:left="1029"/>
        <w:rPr>
          <w:rFonts w:hint="eastAsia" w:asciiTheme="minorEastAsia" w:hAnsiTheme="minorEastAsia" w:eastAsiaTheme="minorEastAsia" w:cstheme="minorEastAsia"/>
          <w:color w:val="auto"/>
          <w:spacing w:val="-4"/>
          <w:lang w:eastAsia="zh-CN"/>
        </w:rPr>
      </w:pPr>
    </w:p>
    <w:tbl>
      <w:tblPr>
        <w:tblStyle w:val="17"/>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740"/>
        <w:gridCol w:w="1252"/>
        <w:gridCol w:w="54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blHeader/>
          <w:jc w:val="center"/>
        </w:trPr>
        <w:tc>
          <w:tcPr>
            <w:tcW w:w="1034" w:type="pct"/>
            <w:vAlign w:val="center"/>
          </w:tcPr>
          <w:p>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序号</w:t>
            </w:r>
          </w:p>
        </w:tc>
        <w:tc>
          <w:tcPr>
            <w:tcW w:w="744" w:type="pct"/>
            <w:vAlign w:val="center"/>
          </w:tcPr>
          <w:p>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岗位名称</w:t>
            </w:r>
          </w:p>
        </w:tc>
        <w:tc>
          <w:tcPr>
            <w:tcW w:w="3220" w:type="pct"/>
            <w:vAlign w:val="center"/>
          </w:tcPr>
          <w:p>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eastAsia="zh-CN"/>
              </w:rPr>
              <w:t>岗位要求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blHeader/>
          <w:jc w:val="center"/>
        </w:trPr>
        <w:tc>
          <w:tcPr>
            <w:tcW w:w="1034" w:type="pct"/>
            <w:vAlign w:val="center"/>
          </w:tcPr>
          <w:p>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p>
        </w:tc>
        <w:tc>
          <w:tcPr>
            <w:tcW w:w="744" w:type="pct"/>
            <w:vAlign w:val="center"/>
          </w:tcPr>
          <w:p>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项目经理</w:t>
            </w:r>
          </w:p>
        </w:tc>
        <w:tc>
          <w:tcPr>
            <w:tcW w:w="3220" w:type="pct"/>
            <w:vAlign w:val="center"/>
          </w:tcPr>
          <w:p>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本科及以上学历；年龄 45 周岁以下；身心健康；无违法犯罪记录；具备组织协调能力；具备较强的服务意识与责任感；具备 5 年以上物业管理经验。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blHeader/>
          <w:jc w:val="center"/>
        </w:trPr>
        <w:tc>
          <w:tcPr>
            <w:tcW w:w="1034" w:type="pct"/>
            <w:vAlign w:val="center"/>
          </w:tcPr>
          <w:p>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w:t>
            </w:r>
          </w:p>
        </w:tc>
        <w:tc>
          <w:tcPr>
            <w:tcW w:w="744" w:type="pct"/>
            <w:vAlign w:val="center"/>
          </w:tcPr>
          <w:p>
            <w:pPr>
              <w:pStyle w:val="18"/>
              <w:jc w:val="center"/>
              <w:rPr>
                <w:rFonts w:hint="eastAsia" w:asciiTheme="minorEastAsia" w:hAnsiTheme="minorEastAsia" w:eastAsiaTheme="minorEastAsia" w:cstheme="minorEastAsia"/>
                <w:color w:val="auto"/>
                <w:spacing w:val="-3"/>
              </w:rPr>
            </w:pPr>
            <w:r>
              <w:rPr>
                <w:rFonts w:hint="eastAsia" w:asciiTheme="minorEastAsia" w:hAnsiTheme="minorEastAsia" w:eastAsiaTheme="minorEastAsia" w:cstheme="minorEastAsia"/>
                <w:color w:val="auto"/>
              </w:rPr>
              <w:t>保洁员</w:t>
            </w:r>
          </w:p>
        </w:tc>
        <w:tc>
          <w:tcPr>
            <w:tcW w:w="3220" w:type="pct"/>
            <w:vAlign w:val="center"/>
          </w:tcPr>
          <w:p>
            <w:pPr>
              <w:jc w:val="center"/>
              <w:rPr>
                <w:rFonts w:hint="eastAsia" w:asciiTheme="minorEastAsia" w:hAnsiTheme="minorEastAsia" w:eastAsiaTheme="minorEastAsia" w:cstheme="minorEastAsia"/>
                <w:color w:val="auto"/>
                <w:spacing w:val="-1"/>
                <w:lang w:eastAsia="zh-CN"/>
              </w:rPr>
            </w:pPr>
            <w:r>
              <w:rPr>
                <w:rFonts w:hint="eastAsia" w:asciiTheme="minorEastAsia" w:hAnsiTheme="minorEastAsia" w:eastAsiaTheme="minorEastAsia" w:cstheme="minorEastAsia"/>
                <w:color w:val="auto"/>
                <w:lang w:eastAsia="zh-CN"/>
              </w:rPr>
              <w:t>男性，60 周岁以下； 女性 55 周岁以下；身心健康；具备相关工作经验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blHeader/>
          <w:jc w:val="center"/>
        </w:trPr>
        <w:tc>
          <w:tcPr>
            <w:tcW w:w="1034" w:type="pct"/>
            <w:vAlign w:val="center"/>
          </w:tcPr>
          <w:p>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w:t>
            </w:r>
          </w:p>
        </w:tc>
        <w:tc>
          <w:tcPr>
            <w:tcW w:w="744" w:type="pct"/>
            <w:vAlign w:val="center"/>
          </w:tcPr>
          <w:p>
            <w:pPr>
              <w:pStyle w:val="18"/>
              <w:jc w:val="center"/>
              <w:rPr>
                <w:rFonts w:hint="eastAsia" w:asciiTheme="minorEastAsia" w:hAnsiTheme="minorEastAsia" w:eastAsiaTheme="minorEastAsia" w:cstheme="minorEastAsia"/>
                <w:color w:val="auto"/>
                <w:spacing w:val="-3"/>
              </w:rPr>
            </w:pPr>
            <w:r>
              <w:rPr>
                <w:rFonts w:hint="eastAsia" w:asciiTheme="minorEastAsia" w:hAnsiTheme="minorEastAsia" w:eastAsiaTheme="minorEastAsia" w:cstheme="minorEastAsia"/>
                <w:color w:val="auto"/>
              </w:rPr>
              <w:t>保安</w:t>
            </w:r>
            <w:r>
              <w:rPr>
                <w:rFonts w:hint="eastAsia" w:asciiTheme="minorEastAsia" w:hAnsiTheme="minorEastAsia" w:eastAsiaTheme="minorEastAsia" w:cstheme="minorEastAsia"/>
                <w:color w:val="auto"/>
                <w:lang w:eastAsia="zh-CN"/>
              </w:rPr>
              <w:t>员</w:t>
            </w:r>
          </w:p>
        </w:tc>
        <w:tc>
          <w:tcPr>
            <w:tcW w:w="3220" w:type="pct"/>
            <w:vAlign w:val="center"/>
          </w:tcPr>
          <w:p>
            <w:pPr>
              <w:jc w:val="center"/>
              <w:rPr>
                <w:rFonts w:hint="eastAsia" w:asciiTheme="minorEastAsia" w:hAnsiTheme="minorEastAsia" w:eastAsiaTheme="minorEastAsia" w:cstheme="minorEastAsia"/>
                <w:color w:val="auto"/>
                <w:spacing w:val="-1"/>
                <w:lang w:eastAsia="zh-CN"/>
              </w:rPr>
            </w:pPr>
            <w:r>
              <w:rPr>
                <w:rFonts w:hint="eastAsia" w:asciiTheme="minorEastAsia" w:hAnsiTheme="minorEastAsia" w:eastAsiaTheme="minorEastAsia" w:cstheme="minorEastAsia"/>
                <w:color w:val="auto"/>
                <w:lang w:eastAsia="zh-CN"/>
              </w:rPr>
              <w:t>不超过国家法定退休年龄，且整体年龄结构较为合理；身心健康，身强力壮；具备相关工作经验。持有公安部门颁发的保安员证书；具有不少于3人持有应急管理部消防救援局、应急管理部消防行业职业技能鉴定指导中心联合颁发的消防设施操作员（四级/中级工及以上）证书。</w:t>
            </w:r>
          </w:p>
        </w:tc>
      </w:tr>
    </w:tbl>
    <w:p>
      <w:pPr>
        <w:pStyle w:val="6"/>
        <w:spacing w:before="93" w:line="221" w:lineRule="auto"/>
        <w:ind w:left="0" w:firstLine="420"/>
        <w:rPr>
          <w:rFonts w:hint="eastAsia" w:asciiTheme="minorEastAsia" w:hAnsiTheme="minorEastAsia" w:eastAsiaTheme="minorEastAsia" w:cstheme="minorEastAsia"/>
          <w:color w:val="auto"/>
          <w:spacing w:val="-4"/>
          <w:lang w:eastAsia="zh-CN"/>
        </w:rPr>
      </w:pPr>
      <w:r>
        <w:rPr>
          <w:rFonts w:hint="eastAsia" w:asciiTheme="minorEastAsia" w:hAnsiTheme="minorEastAsia" w:eastAsiaTheme="minorEastAsia" w:cstheme="minorEastAsia"/>
          <w:color w:val="auto"/>
          <w:spacing w:val="-4"/>
          <w:lang w:eastAsia="zh-CN"/>
        </w:rPr>
        <w:t>9.</w:t>
      </w:r>
      <w:r>
        <w:rPr>
          <w:rFonts w:hint="eastAsia" w:asciiTheme="minorEastAsia" w:hAnsiTheme="minorEastAsia" w:eastAsiaTheme="minorEastAsia" w:cstheme="minorEastAsia"/>
          <w:color w:val="auto"/>
          <w:spacing w:val="-4"/>
          <w:lang w:val="en-US" w:eastAsia="zh-CN"/>
        </w:rPr>
        <w:t>5</w:t>
      </w:r>
      <w:r>
        <w:rPr>
          <w:rFonts w:hint="eastAsia" w:asciiTheme="minorEastAsia" w:hAnsiTheme="minorEastAsia" w:eastAsiaTheme="minorEastAsia" w:cstheme="minorEastAsia"/>
          <w:color w:val="auto"/>
          <w:spacing w:val="-4"/>
          <w:lang w:eastAsia="zh-CN"/>
        </w:rPr>
        <w:t xml:space="preserve">  项目经理</w:t>
      </w:r>
    </w:p>
    <w:p>
      <w:pPr>
        <w:pStyle w:val="6"/>
        <w:spacing w:before="93" w:line="273" w:lineRule="auto"/>
        <w:ind w:left="20" w:right="27" w:firstLine="441"/>
        <w:rPr>
          <w:rFonts w:hint="eastAsia" w:asciiTheme="minorEastAsia" w:hAnsiTheme="minorEastAsia" w:eastAsiaTheme="minorEastAsia" w:cstheme="minorEastAsia"/>
          <w:color w:val="auto"/>
          <w:spacing w:val="-2"/>
          <w:lang w:eastAsia="zh-CN"/>
        </w:rPr>
      </w:pPr>
      <w:r>
        <w:rPr>
          <w:rFonts w:hint="eastAsia" w:asciiTheme="minorEastAsia" w:hAnsiTheme="minorEastAsia" w:eastAsiaTheme="minorEastAsia" w:cstheme="minorEastAsia"/>
          <w:color w:val="auto"/>
          <w:spacing w:val="-2"/>
          <w:lang w:eastAsia="zh-CN"/>
        </w:rPr>
        <w:t>(1)工作职责： 统管本服务项目相关事宜，做好内部管理工作。</w:t>
      </w:r>
    </w:p>
    <w:p>
      <w:pPr>
        <w:spacing w:line="264"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pacing w:val="-2"/>
          <w:lang w:eastAsia="zh-CN"/>
        </w:rPr>
        <w:t>(2)总体要求：全面负责本项目相关工作，组织实施各项管理工作；履行服务合同的约定及采购人的决定，完成管理工作目标；负责各部门岗位及工作的调配，以及各项规章制度的修订和定岗、定责、定员工作；拟制各项服务工作的应急预案（包括但不限于防台防汛、传染病防控、断水、断电、火灾等），方案需实用具有可操作性，及时处理每一项紧急状态与紧急事故，并做好善后与防范工作；对工作执行情况进行巡视检查，并给予指导和帮助；检查、督导各岗位人员工作情况，包括到岗情况、仪表仪容、风纪风貌、岗位职责履行情况等，并合理安排、协调各项工作的开展；协调并解决工作中出现的问题、矛盾；负责员工的思想政治工作，组织各项工种人员进行技术培训，文化学习等活动，定期对各项人员进行业务考核以及安全生产教育工作；负责安排新进员工的岗位培训和带教，增强凝聚力，加强班组培训和精神文明建设；负责接听电话，及时分配报修等任务；负责物料库存管理，制定每月物料采购计划；制定并落实节假日值班人员名单；负责员工资料、必要物耗、办公用品等数据的汇总、统计；负责起草工作报告等书面材料；完成采购人交办的各项工作；定期向采购人汇报工作近况， 及时反馈重大事件等。</w:t>
      </w:r>
    </w:p>
    <w:p>
      <w:pPr>
        <w:pStyle w:val="6"/>
        <w:spacing w:before="93" w:line="221" w:lineRule="auto"/>
        <w:ind w:firstLine="424" w:firstLineChars="200"/>
        <w:rPr>
          <w:rFonts w:hint="eastAsia" w:asciiTheme="minorEastAsia" w:hAnsiTheme="minorEastAsia" w:eastAsiaTheme="minorEastAsia" w:cstheme="minorEastAsia"/>
          <w:color w:val="auto"/>
          <w:spacing w:val="-4"/>
          <w:lang w:eastAsia="zh-CN"/>
        </w:rPr>
      </w:pPr>
      <w:r>
        <w:rPr>
          <w:rFonts w:hint="eastAsia" w:asciiTheme="minorEastAsia" w:hAnsiTheme="minorEastAsia" w:eastAsiaTheme="minorEastAsia" w:cstheme="minorEastAsia"/>
          <w:color w:val="auto"/>
          <w:spacing w:val="-4"/>
          <w:lang w:eastAsia="zh-CN"/>
        </w:rPr>
        <w:t>9.</w:t>
      </w:r>
      <w:r>
        <w:rPr>
          <w:rFonts w:hint="eastAsia" w:asciiTheme="minorEastAsia" w:hAnsiTheme="minorEastAsia" w:eastAsiaTheme="minorEastAsia" w:cstheme="minorEastAsia"/>
          <w:color w:val="auto"/>
          <w:spacing w:val="-4"/>
          <w:lang w:val="en-US" w:eastAsia="zh-CN"/>
        </w:rPr>
        <w:t>6</w:t>
      </w:r>
      <w:r>
        <w:rPr>
          <w:rFonts w:hint="eastAsia" w:asciiTheme="minorEastAsia" w:hAnsiTheme="minorEastAsia" w:eastAsiaTheme="minorEastAsia" w:cstheme="minorEastAsia"/>
          <w:color w:val="auto"/>
          <w:spacing w:val="-4"/>
          <w:lang w:eastAsia="zh-CN"/>
        </w:rPr>
        <w:t xml:space="preserve"> 保洁</w:t>
      </w:r>
    </w:p>
    <w:p>
      <w:pPr>
        <w:pStyle w:val="6"/>
        <w:spacing w:before="93" w:line="273" w:lineRule="auto"/>
        <w:ind w:left="20" w:right="27" w:firstLine="441"/>
        <w:rPr>
          <w:rFonts w:hint="eastAsia" w:asciiTheme="minorEastAsia" w:hAnsiTheme="minorEastAsia" w:eastAsiaTheme="minorEastAsia" w:cstheme="minorEastAsia"/>
          <w:color w:val="auto"/>
          <w:spacing w:val="-2"/>
          <w:lang w:eastAsia="zh-CN"/>
        </w:rPr>
      </w:pPr>
      <w:r>
        <w:rPr>
          <w:rFonts w:hint="eastAsia" w:asciiTheme="minorEastAsia" w:hAnsiTheme="minorEastAsia" w:eastAsiaTheme="minorEastAsia" w:cstheme="minorEastAsia"/>
          <w:color w:val="auto"/>
          <w:spacing w:val="-2"/>
          <w:lang w:eastAsia="zh-CN"/>
        </w:rPr>
        <w:t>(1)  服务范围：</w:t>
      </w:r>
    </w:p>
    <w:p>
      <w:pPr>
        <w:pStyle w:val="6"/>
        <w:spacing w:before="93" w:line="273" w:lineRule="auto"/>
        <w:ind w:left="20" w:right="27" w:firstLine="441"/>
        <w:rPr>
          <w:rFonts w:hint="eastAsia" w:asciiTheme="minorEastAsia" w:hAnsiTheme="minorEastAsia" w:eastAsiaTheme="minorEastAsia" w:cstheme="minorEastAsia"/>
          <w:color w:val="auto"/>
          <w:spacing w:val="-2"/>
          <w:lang w:eastAsia="zh-CN"/>
        </w:rPr>
      </w:pPr>
      <w:r>
        <w:rPr>
          <w:rFonts w:hint="eastAsia" w:asciiTheme="minorEastAsia" w:hAnsiTheme="minorEastAsia" w:eastAsiaTheme="minorEastAsia" w:cstheme="minorEastAsia"/>
          <w:color w:val="auto"/>
          <w:lang w:eastAsia="zh-CN"/>
        </w:rPr>
        <w:t>保洁区域为室内地上四层区域，总面积约2276平方米。</w:t>
      </w:r>
    </w:p>
    <w:p>
      <w:pPr>
        <w:pStyle w:val="6"/>
        <w:spacing w:before="93" w:line="273" w:lineRule="auto"/>
        <w:ind w:left="20" w:right="27" w:firstLine="441"/>
        <w:rPr>
          <w:rFonts w:hint="eastAsia" w:asciiTheme="minorEastAsia" w:hAnsiTheme="minorEastAsia" w:eastAsiaTheme="minorEastAsia" w:cstheme="minorEastAsia"/>
          <w:color w:val="auto"/>
          <w:spacing w:val="-2"/>
          <w:lang w:eastAsia="zh-CN"/>
        </w:rPr>
      </w:pPr>
      <w:r>
        <w:rPr>
          <w:rFonts w:hint="eastAsia" w:asciiTheme="minorEastAsia" w:hAnsiTheme="minorEastAsia" w:eastAsiaTheme="minorEastAsia" w:cstheme="minorEastAsia"/>
          <w:color w:val="auto"/>
          <w:spacing w:val="-2"/>
          <w:lang w:eastAsia="zh-CN"/>
        </w:rPr>
        <w:t>(2)工作职责：做好服务区域内环境保洁工作。</w:t>
      </w:r>
    </w:p>
    <w:p>
      <w:pPr>
        <w:pStyle w:val="6"/>
        <w:spacing w:before="93" w:line="273" w:lineRule="auto"/>
        <w:ind w:left="20" w:right="27" w:firstLine="441"/>
        <w:rPr>
          <w:rFonts w:hint="eastAsia" w:asciiTheme="minorEastAsia" w:hAnsiTheme="minorEastAsia" w:eastAsiaTheme="minorEastAsia" w:cstheme="minorEastAsia"/>
          <w:color w:val="auto"/>
          <w:spacing w:val="-2"/>
          <w:lang w:eastAsia="zh-CN"/>
        </w:rPr>
      </w:pPr>
      <w:r>
        <w:rPr>
          <w:rFonts w:hint="eastAsia" w:asciiTheme="minorEastAsia" w:hAnsiTheme="minorEastAsia" w:eastAsiaTheme="minorEastAsia" w:cstheme="minorEastAsia"/>
          <w:color w:val="auto"/>
          <w:spacing w:val="-2"/>
          <w:lang w:eastAsia="zh-CN"/>
        </w:rPr>
        <w:t>(3)总体要求：</w:t>
      </w:r>
    </w:p>
    <w:p>
      <w:pPr>
        <w:pStyle w:val="6"/>
        <w:spacing w:before="93" w:line="273" w:lineRule="auto"/>
        <w:ind w:left="20" w:right="27" w:firstLine="441"/>
        <w:rPr>
          <w:rFonts w:hint="eastAsia" w:asciiTheme="minorEastAsia" w:hAnsiTheme="minorEastAsia" w:eastAsiaTheme="minorEastAsia" w:cstheme="minorEastAsia"/>
          <w:color w:val="auto"/>
          <w:spacing w:val="-2"/>
          <w:lang w:eastAsia="zh-CN"/>
        </w:rPr>
      </w:pPr>
      <w:r>
        <w:rPr>
          <w:rFonts w:hint="eastAsia" w:asciiTheme="minorEastAsia" w:hAnsiTheme="minorEastAsia" w:eastAsiaTheme="minorEastAsia" w:cstheme="minorEastAsia"/>
          <w:color w:val="auto"/>
          <w:spacing w:val="-2"/>
          <w:lang w:eastAsia="zh-CN"/>
        </w:rPr>
        <w:t>保持大堂整洁光亮，地面无污渍，无烟蒂，无痰迹，无垃圾；柱面、墙面等无灰尘；玻璃大门无手印，无灰尘。</w:t>
      </w:r>
    </w:p>
    <w:p>
      <w:pPr>
        <w:pStyle w:val="6"/>
        <w:spacing w:before="93" w:line="273" w:lineRule="auto"/>
        <w:ind w:left="20" w:right="27" w:firstLine="441"/>
        <w:rPr>
          <w:rFonts w:hint="eastAsia" w:asciiTheme="minorEastAsia" w:hAnsiTheme="minorEastAsia" w:eastAsiaTheme="minorEastAsia" w:cstheme="minorEastAsia"/>
          <w:color w:val="auto"/>
          <w:spacing w:val="-2"/>
          <w:lang w:eastAsia="zh-CN"/>
        </w:rPr>
      </w:pPr>
      <w:r>
        <w:rPr>
          <w:rFonts w:hint="eastAsia" w:asciiTheme="minorEastAsia" w:hAnsiTheme="minorEastAsia" w:eastAsiaTheme="minorEastAsia" w:cstheme="minorEastAsia"/>
          <w:color w:val="auto"/>
          <w:spacing w:val="-2"/>
          <w:lang w:eastAsia="zh-CN"/>
        </w:rPr>
        <w:t>保持走廊、通道、电梯和楼道等部位整洁，无污迹，无脚印，无污渍，无浮灰。地毯定期清洗、吸尘， 保持干净， 无污渍。</w:t>
      </w:r>
    </w:p>
    <w:p>
      <w:pPr>
        <w:pStyle w:val="6"/>
        <w:spacing w:before="93" w:line="273" w:lineRule="auto"/>
        <w:ind w:left="20" w:right="27" w:firstLine="441"/>
        <w:rPr>
          <w:rFonts w:hint="eastAsia" w:asciiTheme="minorEastAsia" w:hAnsiTheme="minorEastAsia" w:eastAsiaTheme="minorEastAsia" w:cstheme="minorEastAsia"/>
          <w:color w:val="auto"/>
          <w:spacing w:val="-2"/>
          <w:lang w:eastAsia="zh-CN"/>
        </w:rPr>
      </w:pPr>
      <w:r>
        <w:rPr>
          <w:rFonts w:hint="eastAsia" w:asciiTheme="minorEastAsia" w:hAnsiTheme="minorEastAsia" w:eastAsiaTheme="minorEastAsia" w:cstheme="minorEastAsia"/>
          <w:color w:val="auto"/>
          <w:spacing w:val="-2"/>
          <w:lang w:eastAsia="zh-CN"/>
        </w:rPr>
        <w:t>茶水间整洁、饮用水清澈。</w:t>
      </w:r>
    </w:p>
    <w:p>
      <w:pPr>
        <w:pStyle w:val="6"/>
        <w:spacing w:before="93" w:line="273" w:lineRule="auto"/>
        <w:ind w:left="20" w:right="27" w:firstLine="441"/>
        <w:rPr>
          <w:rFonts w:hint="eastAsia" w:asciiTheme="minorEastAsia" w:hAnsiTheme="minorEastAsia" w:eastAsiaTheme="minorEastAsia" w:cstheme="minorEastAsia"/>
          <w:color w:val="auto"/>
          <w:spacing w:val="-2"/>
          <w:lang w:eastAsia="zh-CN"/>
        </w:rPr>
      </w:pPr>
      <w:r>
        <w:rPr>
          <w:rFonts w:hint="eastAsia" w:asciiTheme="minorEastAsia" w:hAnsiTheme="minorEastAsia" w:eastAsiaTheme="minorEastAsia" w:cstheme="minorEastAsia"/>
          <w:color w:val="auto"/>
          <w:spacing w:val="-2"/>
          <w:lang w:eastAsia="zh-CN"/>
        </w:rPr>
        <w:t>公共卫生部位和卫生洁具清洁，无水迹，无头发，无异味。墙面四角保持干燥，无蛛网，地面无脚印，无杂物。卫生器具保持光亮，无浮灰，无水迹，无锈斑。卫生用品齐全，卫生间空气清新。保持地下室无堆积垃圾和杂物。地面无灰尘， 无垃圾。库内空 气清新， 无异味，定期喷洒药水； 做好大楼垃圾分类。</w:t>
      </w:r>
    </w:p>
    <w:p>
      <w:pPr>
        <w:pStyle w:val="6"/>
        <w:spacing w:before="93" w:line="273" w:lineRule="auto"/>
        <w:ind w:left="20" w:right="27" w:firstLine="441"/>
        <w:rPr>
          <w:rFonts w:hint="eastAsia" w:asciiTheme="minorEastAsia" w:hAnsiTheme="minorEastAsia" w:eastAsiaTheme="minorEastAsia" w:cstheme="minorEastAsia"/>
          <w:color w:val="auto"/>
          <w:spacing w:val="-2"/>
          <w:lang w:eastAsia="zh-CN"/>
        </w:rPr>
      </w:pPr>
      <w:r>
        <w:rPr>
          <w:rFonts w:hint="eastAsia" w:asciiTheme="minorEastAsia" w:hAnsiTheme="minorEastAsia" w:eastAsiaTheme="minorEastAsia" w:cstheme="minorEastAsia"/>
          <w:color w:val="auto"/>
          <w:spacing w:val="-2"/>
          <w:lang w:eastAsia="zh-CN"/>
        </w:rPr>
        <w:t>外墙玻璃、铝合金每季度清洗，保持清洁明亮。广场、阶梯、车道、停车场、指示牌、废物箱定期保洁，无垃圾。无纸屑， 无烟蒂，无浮灰， 无污物。围廊立柱、墙面 四角无灰尘，无蛛网， 保持干净。</w:t>
      </w:r>
    </w:p>
    <w:p>
      <w:pPr>
        <w:pStyle w:val="6"/>
        <w:spacing w:before="93" w:line="273" w:lineRule="auto"/>
        <w:ind w:left="20" w:right="27" w:firstLine="441"/>
        <w:rPr>
          <w:rFonts w:hint="eastAsia" w:asciiTheme="minorEastAsia" w:hAnsiTheme="minorEastAsia" w:eastAsiaTheme="minorEastAsia" w:cstheme="minorEastAsia"/>
          <w:color w:val="auto"/>
          <w:spacing w:val="-2"/>
          <w:lang w:eastAsia="zh-CN"/>
        </w:rPr>
      </w:pPr>
      <w:r>
        <w:rPr>
          <w:rFonts w:hint="eastAsia" w:asciiTheme="minorEastAsia" w:hAnsiTheme="minorEastAsia" w:eastAsiaTheme="minorEastAsia" w:cstheme="minorEastAsia"/>
          <w:color w:val="auto"/>
          <w:spacing w:val="-2"/>
          <w:lang w:eastAsia="zh-CN"/>
        </w:rPr>
        <w:t>(4)各工作点具体工作要求：</w:t>
      </w:r>
    </w:p>
    <w:p>
      <w:pPr>
        <w:pStyle w:val="6"/>
        <w:spacing w:before="93" w:line="273" w:lineRule="auto"/>
        <w:ind w:left="20" w:right="27" w:firstLine="441"/>
        <w:rPr>
          <w:rFonts w:hint="eastAsia" w:asciiTheme="minorEastAsia" w:hAnsiTheme="minorEastAsia" w:eastAsiaTheme="minorEastAsia" w:cstheme="minorEastAsia"/>
          <w:color w:val="auto"/>
          <w:spacing w:val="-2"/>
          <w:lang w:eastAsia="zh-CN"/>
        </w:rPr>
      </w:pPr>
      <w:r>
        <w:rPr>
          <w:rFonts w:hint="eastAsia" w:asciiTheme="minorEastAsia" w:hAnsiTheme="minorEastAsia" w:eastAsiaTheme="minorEastAsia" w:cstheme="minorEastAsia"/>
          <w:color w:val="auto"/>
          <w:spacing w:val="-2"/>
          <w:lang w:eastAsia="zh-CN"/>
        </w:rPr>
        <w:t>保持大楼首层大厅整洁光亮，地面无污渍，无烟蒂，无痰迹，无垃圾；柱面、墙面等无灰尘；玻璃大门无手印，无灰尘；保持走廊、茶水间、通道、电梯和楼道等部位清洁、光亮，无污迹，无脚印，无污渍，无浮灰；地毯定期清洗、吸尘，保持干净，无污渍，无垃圾；保持茶水间整洁，保证饮用水供应；卫生间无水迹，无杂物，无异味；墙面四角保持干燥，卫生器具保持光亮，无浮灰，无水迹，无锈斑；卫生用品齐全，卫生间内空气清新；保持地下室无堆积垃圾和杂物，地面无灰尘，无垃圾，库内空气清新，无异味，定期喷洒药水；屋顶、广场、阶梯、车道、停车场、指示牌、废物箱定期保洁，无杂物，无垃圾，无纸屑，无烟蒂，无浮灰，无污物；围廊立柱、墙面四角无灰尘，无蛛网，保持干净；如遇雨、雪天气，在大堂进出口铺设防湿防滑地毯并竖“小心防滑”告示牌，雨后、雪后两小时内保持地面无杂物、无积水；配合做好环境卫生宣传教育，做好卫生设施维护管理；接到投诉后，立即调查核实，提出处理意见，并解决投诉问题；根据处理情况，汇报结果，及时进行整改，特殊情况实行回访制度。</w:t>
      </w:r>
    </w:p>
    <w:p>
      <w:pPr>
        <w:pStyle w:val="6"/>
        <w:spacing w:before="93" w:line="221" w:lineRule="auto"/>
        <w:ind w:left="0" w:firstLine="420"/>
        <w:rPr>
          <w:rFonts w:hint="eastAsia" w:asciiTheme="minorEastAsia" w:hAnsiTheme="minorEastAsia" w:eastAsiaTheme="minorEastAsia" w:cstheme="minorEastAsia"/>
          <w:color w:val="auto"/>
          <w:spacing w:val="-4"/>
          <w:lang w:eastAsia="zh-CN"/>
        </w:rPr>
      </w:pPr>
      <w:r>
        <w:rPr>
          <w:rFonts w:hint="eastAsia" w:asciiTheme="minorEastAsia" w:hAnsiTheme="minorEastAsia" w:eastAsiaTheme="minorEastAsia" w:cstheme="minorEastAsia"/>
          <w:color w:val="auto"/>
          <w:spacing w:val="-4"/>
          <w:lang w:eastAsia="zh-CN"/>
        </w:rPr>
        <w:t>9.</w:t>
      </w:r>
      <w:r>
        <w:rPr>
          <w:rFonts w:hint="eastAsia" w:asciiTheme="minorEastAsia" w:hAnsiTheme="minorEastAsia" w:eastAsiaTheme="minorEastAsia" w:cstheme="minorEastAsia"/>
          <w:color w:val="auto"/>
          <w:spacing w:val="-4"/>
          <w:lang w:val="en-US" w:eastAsia="zh-CN"/>
        </w:rPr>
        <w:t>7</w:t>
      </w:r>
      <w:r>
        <w:rPr>
          <w:rFonts w:hint="eastAsia" w:asciiTheme="minorEastAsia" w:hAnsiTheme="minorEastAsia" w:eastAsiaTheme="minorEastAsia" w:cstheme="minorEastAsia"/>
          <w:color w:val="auto"/>
          <w:spacing w:val="-4"/>
          <w:lang w:eastAsia="zh-CN"/>
        </w:rPr>
        <w:t xml:space="preserve"> 保安</w:t>
      </w:r>
    </w:p>
    <w:p>
      <w:pPr>
        <w:pStyle w:val="6"/>
        <w:spacing w:before="93" w:line="273" w:lineRule="auto"/>
        <w:ind w:left="20" w:right="27" w:firstLine="441"/>
        <w:rPr>
          <w:rFonts w:hint="eastAsia" w:asciiTheme="minorEastAsia" w:hAnsiTheme="minorEastAsia" w:eastAsiaTheme="minorEastAsia" w:cstheme="minorEastAsia"/>
          <w:color w:val="auto"/>
          <w:spacing w:val="-2"/>
          <w:lang w:eastAsia="zh-CN"/>
        </w:rPr>
      </w:pPr>
      <w:r>
        <w:rPr>
          <w:rFonts w:hint="eastAsia" w:asciiTheme="minorEastAsia" w:hAnsiTheme="minorEastAsia" w:eastAsiaTheme="minorEastAsia" w:cstheme="minorEastAsia"/>
          <w:color w:val="auto"/>
          <w:spacing w:val="-2"/>
          <w:lang w:eastAsia="zh-CN"/>
        </w:rPr>
        <w:t>(1)  保安服务设施设备配备情况</w:t>
      </w:r>
    </w:p>
    <w:tbl>
      <w:tblPr>
        <w:tblStyle w:val="17"/>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76"/>
        <w:gridCol w:w="2679"/>
        <w:gridCol w:w="1703"/>
        <w:gridCol w:w="1979"/>
        <w:gridCol w:w="14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3" w:hRule="atLeast"/>
        </w:trPr>
        <w:tc>
          <w:tcPr>
            <w:tcW w:w="342" w:type="pct"/>
            <w:vMerge w:val="restart"/>
            <w:tcBorders>
              <w:bottom w:val="nil"/>
            </w:tcBorders>
            <w:textDirection w:val="tbRlV"/>
          </w:tcPr>
          <w:p>
            <w:pPr>
              <w:pStyle w:val="18"/>
              <w:spacing w:before="185" w:line="211" w:lineRule="auto"/>
              <w:ind w:left="39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序</w:t>
            </w:r>
            <w:r>
              <w:rPr>
                <w:rFonts w:hint="eastAsia" w:asciiTheme="minorEastAsia" w:hAnsiTheme="minorEastAsia" w:eastAsiaTheme="minorEastAsia" w:cstheme="minorEastAsia"/>
                <w:color w:val="auto"/>
                <w:spacing w:val="24"/>
                <w:sz w:val="22"/>
                <w:szCs w:val="22"/>
              </w:rPr>
              <w:t xml:space="preserve"> </w:t>
            </w:r>
            <w:r>
              <w:rPr>
                <w:rFonts w:hint="eastAsia" w:asciiTheme="minorEastAsia" w:hAnsiTheme="minorEastAsia" w:eastAsiaTheme="minorEastAsia" w:cstheme="minorEastAsia"/>
                <w:color w:val="auto"/>
                <w:sz w:val="22"/>
                <w:szCs w:val="22"/>
              </w:rPr>
              <w:t>号</w:t>
            </w:r>
          </w:p>
        </w:tc>
        <w:tc>
          <w:tcPr>
            <w:tcW w:w="1592" w:type="pct"/>
            <w:vMerge w:val="restart"/>
            <w:tcBorders>
              <w:bottom w:val="nil"/>
            </w:tcBorders>
          </w:tcPr>
          <w:p>
            <w:pPr>
              <w:spacing w:line="317" w:lineRule="auto"/>
              <w:rPr>
                <w:rFonts w:hint="eastAsia" w:asciiTheme="minorEastAsia" w:hAnsiTheme="minorEastAsia" w:eastAsiaTheme="minorEastAsia" w:cstheme="minorEastAsia"/>
                <w:color w:val="auto"/>
              </w:rPr>
            </w:pPr>
          </w:p>
          <w:p>
            <w:pPr>
              <w:pStyle w:val="18"/>
              <w:spacing w:before="71" w:line="222" w:lineRule="auto"/>
              <w:ind w:left="742"/>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
                <w:sz w:val="22"/>
                <w:szCs w:val="22"/>
              </w:rPr>
              <w:t>设施设备名称</w:t>
            </w:r>
          </w:p>
        </w:tc>
        <w:tc>
          <w:tcPr>
            <w:tcW w:w="2188" w:type="pct"/>
            <w:gridSpan w:val="2"/>
          </w:tcPr>
          <w:p>
            <w:pPr>
              <w:pStyle w:val="18"/>
              <w:spacing w:before="66" w:line="222" w:lineRule="auto"/>
              <w:ind w:left="148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
                <w:sz w:val="22"/>
                <w:szCs w:val="22"/>
              </w:rPr>
              <w:t>配备要求</w:t>
            </w:r>
          </w:p>
        </w:tc>
        <w:tc>
          <w:tcPr>
            <w:tcW w:w="876" w:type="pct"/>
            <w:vMerge w:val="restart"/>
            <w:tcBorders>
              <w:bottom w:val="nil"/>
            </w:tcBorders>
          </w:tcPr>
          <w:p>
            <w:pPr>
              <w:spacing w:line="317" w:lineRule="auto"/>
              <w:rPr>
                <w:rFonts w:hint="eastAsia" w:asciiTheme="minorEastAsia" w:hAnsiTheme="minorEastAsia" w:eastAsiaTheme="minorEastAsia" w:cstheme="minorEastAsia"/>
                <w:color w:val="auto"/>
              </w:rPr>
            </w:pPr>
          </w:p>
          <w:p>
            <w:pPr>
              <w:pStyle w:val="18"/>
              <w:spacing w:before="71" w:line="222" w:lineRule="auto"/>
              <w:ind w:left="555"/>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3"/>
                <w:sz w:val="22"/>
                <w:szCs w:val="22"/>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0" w:hRule="atLeast"/>
        </w:trPr>
        <w:tc>
          <w:tcPr>
            <w:tcW w:w="342" w:type="pct"/>
            <w:vMerge w:val="continue"/>
            <w:tcBorders>
              <w:top w:val="nil"/>
            </w:tcBorders>
            <w:textDirection w:val="tbRlV"/>
          </w:tcPr>
          <w:p>
            <w:pPr>
              <w:rPr>
                <w:rFonts w:hint="eastAsia" w:asciiTheme="minorEastAsia" w:hAnsiTheme="minorEastAsia" w:eastAsiaTheme="minorEastAsia" w:cstheme="minorEastAsia"/>
                <w:color w:val="auto"/>
              </w:rPr>
            </w:pPr>
          </w:p>
        </w:tc>
        <w:tc>
          <w:tcPr>
            <w:tcW w:w="1592" w:type="pct"/>
            <w:vMerge w:val="continue"/>
            <w:tcBorders>
              <w:top w:val="nil"/>
            </w:tcBorders>
          </w:tcPr>
          <w:p>
            <w:pPr>
              <w:rPr>
                <w:rFonts w:hint="eastAsia" w:asciiTheme="minorEastAsia" w:hAnsiTheme="minorEastAsia" w:eastAsiaTheme="minorEastAsia" w:cstheme="minorEastAsia"/>
                <w:color w:val="auto"/>
              </w:rPr>
            </w:pPr>
          </w:p>
        </w:tc>
        <w:tc>
          <w:tcPr>
            <w:tcW w:w="1012" w:type="pct"/>
          </w:tcPr>
          <w:p>
            <w:pPr>
              <w:pStyle w:val="18"/>
              <w:spacing w:before="169" w:line="219" w:lineRule="auto"/>
              <w:ind w:left="258"/>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6"/>
                <w:sz w:val="22"/>
                <w:szCs w:val="22"/>
              </w:rPr>
              <w:t>由采购人提供</w:t>
            </w:r>
          </w:p>
        </w:tc>
        <w:tc>
          <w:tcPr>
            <w:tcW w:w="1176" w:type="pct"/>
          </w:tcPr>
          <w:p>
            <w:pPr>
              <w:pStyle w:val="18"/>
              <w:spacing w:before="169" w:line="219" w:lineRule="auto"/>
              <w:ind w:left="401"/>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6"/>
                <w:sz w:val="22"/>
                <w:szCs w:val="22"/>
              </w:rPr>
              <w:t>由投标人提供</w:t>
            </w:r>
          </w:p>
        </w:tc>
        <w:tc>
          <w:tcPr>
            <w:tcW w:w="876" w:type="pct"/>
            <w:vMerge w:val="continue"/>
            <w:tcBorders>
              <w:top w:val="nil"/>
            </w:tcBorders>
          </w:tcPr>
          <w:p>
            <w:pPr>
              <w:rPr>
                <w:rFonts w:hint="eastAsia" w:asciiTheme="minorEastAsia" w:hAnsiTheme="minorEastAsia" w:eastAsiaTheme="minorEastAsia" w:cstheme="minorEastAsia"/>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9" w:hRule="atLeast"/>
        </w:trPr>
        <w:tc>
          <w:tcPr>
            <w:tcW w:w="342" w:type="pct"/>
          </w:tcPr>
          <w:p>
            <w:pPr>
              <w:spacing w:before="106" w:line="187" w:lineRule="auto"/>
              <w:ind w:left="268"/>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w:t>
            </w:r>
          </w:p>
        </w:tc>
        <w:tc>
          <w:tcPr>
            <w:tcW w:w="1592" w:type="pct"/>
          </w:tcPr>
          <w:p>
            <w:pPr>
              <w:pStyle w:val="18"/>
              <w:spacing w:before="63" w:line="221" w:lineRule="auto"/>
              <w:ind w:left="958"/>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
                <w:sz w:val="22"/>
                <w:szCs w:val="22"/>
              </w:rPr>
              <w:t>保安用房</w:t>
            </w:r>
          </w:p>
        </w:tc>
        <w:tc>
          <w:tcPr>
            <w:tcW w:w="1012" w:type="pct"/>
          </w:tcPr>
          <w:p>
            <w:pPr>
              <w:spacing w:before="56" w:line="238" w:lineRule="auto"/>
              <w:ind w:left="832"/>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w:t>
            </w:r>
          </w:p>
        </w:tc>
        <w:tc>
          <w:tcPr>
            <w:tcW w:w="1176" w:type="pct"/>
          </w:tcPr>
          <w:p>
            <w:pPr>
              <w:rPr>
                <w:rFonts w:hint="eastAsia" w:asciiTheme="minorEastAsia" w:hAnsiTheme="minorEastAsia" w:eastAsiaTheme="minorEastAsia" w:cstheme="minorEastAsia"/>
                <w:color w:val="auto"/>
              </w:rPr>
            </w:pPr>
          </w:p>
        </w:tc>
        <w:tc>
          <w:tcPr>
            <w:tcW w:w="876" w:type="pct"/>
          </w:tcPr>
          <w:p>
            <w:pPr>
              <w:rPr>
                <w:rFonts w:hint="eastAsia" w:asciiTheme="minorEastAsia" w:hAnsiTheme="minorEastAsia" w:eastAsiaTheme="minorEastAsia" w:cstheme="minorEastAsia"/>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9" w:hRule="atLeast"/>
        </w:trPr>
        <w:tc>
          <w:tcPr>
            <w:tcW w:w="342" w:type="pct"/>
          </w:tcPr>
          <w:p>
            <w:pPr>
              <w:spacing w:before="106" w:line="187" w:lineRule="auto"/>
              <w:ind w:left="246"/>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w:t>
            </w:r>
          </w:p>
        </w:tc>
        <w:tc>
          <w:tcPr>
            <w:tcW w:w="1592" w:type="pct"/>
          </w:tcPr>
          <w:p>
            <w:pPr>
              <w:pStyle w:val="18"/>
              <w:spacing w:before="66" w:line="220" w:lineRule="auto"/>
              <w:ind w:left="743"/>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
                <w:sz w:val="22"/>
                <w:szCs w:val="22"/>
              </w:rPr>
              <w:t>办公设施设备</w:t>
            </w:r>
          </w:p>
        </w:tc>
        <w:tc>
          <w:tcPr>
            <w:tcW w:w="1012" w:type="pct"/>
          </w:tcPr>
          <w:p>
            <w:pPr>
              <w:spacing w:before="56" w:line="238" w:lineRule="auto"/>
              <w:ind w:left="832"/>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w:t>
            </w:r>
          </w:p>
        </w:tc>
        <w:tc>
          <w:tcPr>
            <w:tcW w:w="1176" w:type="pct"/>
          </w:tcPr>
          <w:p>
            <w:pPr>
              <w:rPr>
                <w:rFonts w:hint="eastAsia" w:asciiTheme="minorEastAsia" w:hAnsiTheme="minorEastAsia" w:eastAsiaTheme="minorEastAsia" w:cstheme="minorEastAsia"/>
                <w:color w:val="auto"/>
              </w:rPr>
            </w:pPr>
          </w:p>
        </w:tc>
        <w:tc>
          <w:tcPr>
            <w:tcW w:w="876" w:type="pct"/>
          </w:tcPr>
          <w:p>
            <w:pPr>
              <w:rPr>
                <w:rFonts w:hint="eastAsia" w:asciiTheme="minorEastAsia" w:hAnsiTheme="minorEastAsia" w:eastAsiaTheme="minorEastAsia" w:cstheme="minorEastAsia"/>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1" w:hRule="atLeast"/>
        </w:trPr>
        <w:tc>
          <w:tcPr>
            <w:tcW w:w="342" w:type="pct"/>
          </w:tcPr>
          <w:p>
            <w:pPr>
              <w:spacing w:before="107" w:line="187" w:lineRule="auto"/>
              <w:ind w:left="251"/>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w:t>
            </w:r>
          </w:p>
        </w:tc>
        <w:tc>
          <w:tcPr>
            <w:tcW w:w="1592" w:type="pct"/>
          </w:tcPr>
          <w:p>
            <w:pPr>
              <w:pStyle w:val="18"/>
              <w:spacing w:before="67" w:line="221" w:lineRule="auto"/>
              <w:ind w:left="958"/>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
                <w:sz w:val="22"/>
                <w:szCs w:val="22"/>
              </w:rPr>
              <w:t>技防设备</w:t>
            </w:r>
          </w:p>
        </w:tc>
        <w:tc>
          <w:tcPr>
            <w:tcW w:w="1012" w:type="pct"/>
          </w:tcPr>
          <w:p>
            <w:pPr>
              <w:spacing w:before="57" w:line="238" w:lineRule="auto"/>
              <w:ind w:left="832"/>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w:t>
            </w:r>
          </w:p>
        </w:tc>
        <w:tc>
          <w:tcPr>
            <w:tcW w:w="1176" w:type="pct"/>
          </w:tcPr>
          <w:p>
            <w:pPr>
              <w:rPr>
                <w:rFonts w:hint="eastAsia" w:asciiTheme="minorEastAsia" w:hAnsiTheme="minorEastAsia" w:eastAsiaTheme="minorEastAsia" w:cstheme="minorEastAsia"/>
                <w:color w:val="auto"/>
              </w:rPr>
            </w:pPr>
          </w:p>
        </w:tc>
        <w:tc>
          <w:tcPr>
            <w:tcW w:w="876" w:type="pct"/>
          </w:tcPr>
          <w:p>
            <w:pPr>
              <w:rPr>
                <w:rFonts w:hint="eastAsia" w:asciiTheme="minorEastAsia" w:hAnsiTheme="minorEastAsia" w:eastAsiaTheme="minorEastAsia" w:cstheme="minorEastAsia"/>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9" w:hRule="atLeast"/>
        </w:trPr>
        <w:tc>
          <w:tcPr>
            <w:tcW w:w="342" w:type="pct"/>
          </w:tcPr>
          <w:p>
            <w:pPr>
              <w:spacing w:before="105" w:line="187" w:lineRule="auto"/>
              <w:ind w:left="245"/>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4</w:t>
            </w:r>
          </w:p>
        </w:tc>
        <w:tc>
          <w:tcPr>
            <w:tcW w:w="1592" w:type="pct"/>
          </w:tcPr>
          <w:p>
            <w:pPr>
              <w:pStyle w:val="18"/>
              <w:spacing w:before="65" w:line="220" w:lineRule="auto"/>
              <w:ind w:left="408"/>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
                <w:sz w:val="22"/>
                <w:szCs w:val="22"/>
              </w:rPr>
              <w:t>保安员个人安防用品</w:t>
            </w:r>
          </w:p>
        </w:tc>
        <w:tc>
          <w:tcPr>
            <w:tcW w:w="1012" w:type="pct"/>
          </w:tcPr>
          <w:p>
            <w:pPr>
              <w:spacing w:before="55" w:line="238" w:lineRule="auto"/>
              <w:ind w:left="832"/>
              <w:rPr>
                <w:rFonts w:hint="eastAsia" w:asciiTheme="minorEastAsia" w:hAnsiTheme="minorEastAsia" w:eastAsiaTheme="minorEastAsia" w:cstheme="minorEastAsia"/>
                <w:color w:val="auto"/>
                <w:sz w:val="22"/>
                <w:szCs w:val="22"/>
              </w:rPr>
            </w:pPr>
          </w:p>
        </w:tc>
        <w:tc>
          <w:tcPr>
            <w:tcW w:w="1176" w:type="pct"/>
          </w:tcPr>
          <w:p>
            <w:pPr>
              <w:spacing w:before="55" w:line="238" w:lineRule="auto"/>
              <w:ind w:left="83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2"/>
                <w:szCs w:val="22"/>
              </w:rPr>
              <w:t>√</w:t>
            </w:r>
          </w:p>
        </w:tc>
        <w:tc>
          <w:tcPr>
            <w:tcW w:w="876" w:type="pct"/>
          </w:tcPr>
          <w:p>
            <w:pPr>
              <w:rPr>
                <w:rFonts w:hint="eastAsia" w:asciiTheme="minorEastAsia" w:hAnsiTheme="minorEastAsia" w:eastAsiaTheme="minorEastAsia" w:cstheme="minorEastAsia"/>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9" w:hRule="atLeast"/>
        </w:trPr>
        <w:tc>
          <w:tcPr>
            <w:tcW w:w="342" w:type="pct"/>
          </w:tcPr>
          <w:p>
            <w:pPr>
              <w:spacing w:before="112" w:line="184" w:lineRule="auto"/>
              <w:ind w:left="252"/>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5</w:t>
            </w:r>
          </w:p>
        </w:tc>
        <w:tc>
          <w:tcPr>
            <w:tcW w:w="1592" w:type="pct"/>
          </w:tcPr>
          <w:p>
            <w:pPr>
              <w:pStyle w:val="18"/>
              <w:spacing w:before="67" w:line="219" w:lineRule="auto"/>
              <w:ind w:left="958"/>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
                <w:sz w:val="22"/>
                <w:szCs w:val="22"/>
              </w:rPr>
              <w:t>保安耗材</w:t>
            </w:r>
          </w:p>
        </w:tc>
        <w:tc>
          <w:tcPr>
            <w:tcW w:w="1012" w:type="pct"/>
          </w:tcPr>
          <w:p>
            <w:pPr>
              <w:spacing w:before="58" w:line="238" w:lineRule="auto"/>
              <w:ind w:left="832"/>
              <w:rPr>
                <w:rFonts w:hint="eastAsia" w:asciiTheme="minorEastAsia" w:hAnsiTheme="minorEastAsia" w:eastAsiaTheme="minorEastAsia" w:cstheme="minorEastAsia"/>
                <w:color w:val="auto"/>
                <w:sz w:val="22"/>
                <w:szCs w:val="22"/>
              </w:rPr>
            </w:pPr>
          </w:p>
        </w:tc>
        <w:tc>
          <w:tcPr>
            <w:tcW w:w="1176" w:type="pct"/>
          </w:tcPr>
          <w:p>
            <w:pPr>
              <w:spacing w:before="58" w:line="238" w:lineRule="auto"/>
              <w:ind w:left="83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2"/>
                <w:szCs w:val="22"/>
              </w:rPr>
              <w:t>√</w:t>
            </w:r>
          </w:p>
        </w:tc>
        <w:tc>
          <w:tcPr>
            <w:tcW w:w="876" w:type="pct"/>
          </w:tcPr>
          <w:p>
            <w:pPr>
              <w:rPr>
                <w:rFonts w:hint="eastAsia" w:asciiTheme="minorEastAsia" w:hAnsiTheme="minorEastAsia" w:eastAsiaTheme="minorEastAsia" w:cstheme="minorEastAsia"/>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6" w:hRule="atLeast"/>
        </w:trPr>
        <w:tc>
          <w:tcPr>
            <w:tcW w:w="1934" w:type="pct"/>
            <w:gridSpan w:val="2"/>
          </w:tcPr>
          <w:p>
            <w:pPr>
              <w:pStyle w:val="18"/>
              <w:spacing w:before="68" w:line="222" w:lineRule="auto"/>
              <w:ind w:left="148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
                <w:sz w:val="22"/>
                <w:szCs w:val="22"/>
              </w:rPr>
              <w:t>合计</w:t>
            </w:r>
          </w:p>
        </w:tc>
        <w:tc>
          <w:tcPr>
            <w:tcW w:w="1012" w:type="pct"/>
          </w:tcPr>
          <w:p>
            <w:pPr>
              <w:rPr>
                <w:rFonts w:hint="eastAsia" w:asciiTheme="minorEastAsia" w:hAnsiTheme="minorEastAsia" w:eastAsiaTheme="minorEastAsia" w:cstheme="minorEastAsia"/>
                <w:color w:val="auto"/>
              </w:rPr>
            </w:pPr>
          </w:p>
        </w:tc>
        <w:tc>
          <w:tcPr>
            <w:tcW w:w="1176" w:type="pct"/>
          </w:tcPr>
          <w:p>
            <w:pPr>
              <w:rPr>
                <w:rFonts w:hint="eastAsia" w:asciiTheme="minorEastAsia" w:hAnsiTheme="minorEastAsia" w:eastAsiaTheme="minorEastAsia" w:cstheme="minorEastAsia"/>
                <w:color w:val="auto"/>
              </w:rPr>
            </w:pPr>
          </w:p>
        </w:tc>
        <w:tc>
          <w:tcPr>
            <w:tcW w:w="876" w:type="pct"/>
          </w:tcPr>
          <w:p>
            <w:pPr>
              <w:rPr>
                <w:rFonts w:hint="eastAsia" w:asciiTheme="minorEastAsia" w:hAnsiTheme="minorEastAsia" w:eastAsiaTheme="minorEastAsia" w:cstheme="minorEastAsia"/>
                <w:color w:val="auto"/>
              </w:rPr>
            </w:pPr>
          </w:p>
        </w:tc>
      </w:tr>
    </w:tbl>
    <w:p>
      <w:pPr>
        <w:spacing w:line="270" w:lineRule="auto"/>
        <w:rPr>
          <w:rFonts w:hint="eastAsia" w:asciiTheme="minorEastAsia" w:hAnsiTheme="minorEastAsia" w:eastAsiaTheme="minorEastAsia" w:cstheme="minorEastAsia"/>
          <w:color w:val="auto"/>
        </w:rPr>
      </w:pPr>
    </w:p>
    <w:p>
      <w:pPr>
        <w:pStyle w:val="6"/>
        <w:spacing w:before="93" w:line="273" w:lineRule="auto"/>
        <w:ind w:left="20" w:right="27" w:firstLine="441"/>
        <w:rPr>
          <w:rFonts w:hint="eastAsia" w:asciiTheme="minorEastAsia" w:hAnsiTheme="minorEastAsia" w:eastAsiaTheme="minorEastAsia" w:cstheme="minorEastAsia"/>
          <w:color w:val="auto"/>
          <w:spacing w:val="-2"/>
        </w:rPr>
      </w:pPr>
      <w:r>
        <w:rPr>
          <w:rFonts w:hint="eastAsia" w:asciiTheme="minorEastAsia" w:hAnsiTheme="minorEastAsia" w:eastAsiaTheme="minorEastAsia" w:cstheme="minorEastAsia"/>
          <w:color w:val="auto"/>
          <w:spacing w:val="-2"/>
        </w:rPr>
        <w:t>(2)工作内容</w:t>
      </w:r>
    </w:p>
    <w:p>
      <w:pPr>
        <w:pStyle w:val="6"/>
        <w:spacing w:before="93" w:line="273" w:lineRule="auto"/>
        <w:ind w:left="20" w:right="27" w:firstLine="441"/>
        <w:rPr>
          <w:rFonts w:hint="eastAsia" w:asciiTheme="minorEastAsia" w:hAnsiTheme="minorEastAsia" w:eastAsiaTheme="minorEastAsia" w:cstheme="minorEastAsia"/>
          <w:color w:val="auto"/>
          <w:spacing w:val="-2"/>
          <w:lang w:eastAsia="zh-CN"/>
        </w:rPr>
      </w:pPr>
      <w:r>
        <w:rPr>
          <w:rFonts w:hint="eastAsia" w:asciiTheme="minorEastAsia" w:hAnsiTheme="minorEastAsia" w:eastAsiaTheme="minorEastAsia" w:cstheme="minorEastAsia"/>
          <w:color w:val="auto"/>
          <w:spacing w:val="-2"/>
          <w:lang w:eastAsia="zh-CN"/>
        </w:rPr>
        <w:t>①服务范围：</w:t>
      </w:r>
      <w:r>
        <w:rPr>
          <w:rFonts w:hint="eastAsia" w:asciiTheme="minorEastAsia" w:hAnsiTheme="minorEastAsia" w:eastAsiaTheme="minorEastAsia" w:cstheme="minorEastAsia"/>
          <w:color w:val="auto"/>
          <w:spacing w:val="-6"/>
          <w:lang w:eastAsia="zh-CN"/>
        </w:rPr>
        <w:t>临港新片区青年中心</w:t>
      </w:r>
      <w:r>
        <w:rPr>
          <w:rFonts w:hint="eastAsia" w:asciiTheme="minorEastAsia" w:hAnsiTheme="minorEastAsia" w:eastAsiaTheme="minorEastAsia" w:cstheme="minorEastAsia"/>
          <w:color w:val="auto"/>
          <w:spacing w:val="-2"/>
          <w:lang w:eastAsia="zh-CN"/>
        </w:rPr>
        <w:t>全区域</w:t>
      </w:r>
    </w:p>
    <w:p>
      <w:pPr>
        <w:pStyle w:val="6"/>
        <w:spacing w:before="93" w:line="273" w:lineRule="auto"/>
        <w:ind w:left="20" w:right="27" w:firstLine="441"/>
        <w:rPr>
          <w:rFonts w:hint="eastAsia" w:asciiTheme="minorEastAsia" w:hAnsiTheme="minorEastAsia" w:eastAsiaTheme="minorEastAsia" w:cstheme="minorEastAsia"/>
          <w:color w:val="auto"/>
          <w:spacing w:val="-2"/>
          <w:lang w:eastAsia="zh-CN"/>
        </w:rPr>
      </w:pPr>
      <w:r>
        <w:rPr>
          <w:rFonts w:hint="eastAsia" w:asciiTheme="minorEastAsia" w:hAnsiTheme="minorEastAsia" w:eastAsiaTheme="minorEastAsia" w:cstheme="minorEastAsia"/>
          <w:color w:val="auto"/>
          <w:spacing w:val="-2"/>
          <w:lang w:eastAsia="zh-CN"/>
        </w:rPr>
        <w:t>②工作职责</w:t>
      </w:r>
    </w:p>
    <w:p>
      <w:pPr>
        <w:pStyle w:val="6"/>
        <w:spacing w:before="93" w:line="273" w:lineRule="auto"/>
        <w:ind w:left="20" w:right="27" w:firstLine="441"/>
        <w:rPr>
          <w:rFonts w:hint="eastAsia" w:asciiTheme="minorEastAsia" w:hAnsiTheme="minorEastAsia" w:eastAsiaTheme="minorEastAsia" w:cstheme="minorEastAsia"/>
          <w:color w:val="auto"/>
          <w:spacing w:val="-2"/>
          <w:lang w:eastAsia="zh-CN"/>
        </w:rPr>
      </w:pPr>
      <w:r>
        <w:rPr>
          <w:rFonts w:hint="eastAsia" w:asciiTheme="minorEastAsia" w:hAnsiTheme="minorEastAsia" w:eastAsiaTheme="minorEastAsia" w:cstheme="minorEastAsia"/>
          <w:color w:val="auto"/>
          <w:spacing w:val="-2"/>
          <w:lang w:eastAsia="zh-CN"/>
        </w:rPr>
        <w:t>A.加强安全保卫，认真值守，规范服务，做到内紧外松，严密执勤，热忱服务，确保无等级爆炸、火灾、破坏、盗窃事故和无责任疏漏事故。</w:t>
      </w:r>
    </w:p>
    <w:p>
      <w:pPr>
        <w:pStyle w:val="6"/>
        <w:spacing w:before="93" w:line="273" w:lineRule="auto"/>
        <w:ind w:left="20" w:right="27" w:firstLine="441"/>
        <w:rPr>
          <w:rFonts w:hint="eastAsia" w:asciiTheme="minorEastAsia" w:hAnsiTheme="minorEastAsia" w:eastAsiaTheme="minorEastAsia" w:cstheme="minorEastAsia"/>
          <w:color w:val="auto"/>
          <w:spacing w:val="-2"/>
          <w:lang w:eastAsia="zh-CN"/>
        </w:rPr>
      </w:pPr>
      <w:r>
        <w:rPr>
          <w:rFonts w:hint="eastAsia" w:asciiTheme="minorEastAsia" w:hAnsiTheme="minorEastAsia" w:eastAsiaTheme="minorEastAsia" w:cstheme="minorEastAsia"/>
          <w:color w:val="auto"/>
          <w:spacing w:val="-2"/>
          <w:lang w:eastAsia="zh-CN"/>
        </w:rPr>
        <w:t>B.保安队员必须严格组织政审，身体健康、无不良记录。加强思想政治工作，教育员工严格遵纪守法，优质服务。保安队员必须申领保安员证。</w:t>
      </w:r>
    </w:p>
    <w:p>
      <w:pPr>
        <w:pStyle w:val="6"/>
        <w:spacing w:before="93" w:line="273" w:lineRule="auto"/>
        <w:ind w:left="20" w:right="27" w:firstLine="441"/>
        <w:rPr>
          <w:rFonts w:hint="eastAsia" w:asciiTheme="minorEastAsia" w:hAnsiTheme="minorEastAsia" w:eastAsiaTheme="minorEastAsia" w:cstheme="minorEastAsia"/>
          <w:color w:val="auto"/>
          <w:spacing w:val="-2"/>
          <w:lang w:eastAsia="zh-CN"/>
        </w:rPr>
      </w:pPr>
      <w:r>
        <w:rPr>
          <w:rFonts w:hint="eastAsia" w:asciiTheme="minorEastAsia" w:hAnsiTheme="minorEastAsia" w:eastAsiaTheme="minorEastAsia" w:cstheme="minorEastAsia"/>
          <w:color w:val="auto"/>
          <w:lang w:eastAsia="zh-CN"/>
        </w:rPr>
        <w:t>C.负责大楼首层大厅白天12小时值守及楼层区域巡视保安工作，采取固定值守和流动巡视相结合的方式，加强安全防范。</w:t>
      </w:r>
    </w:p>
    <w:p>
      <w:pPr>
        <w:pStyle w:val="6"/>
        <w:spacing w:before="93" w:line="273" w:lineRule="auto"/>
        <w:ind w:left="20" w:right="27" w:firstLine="441"/>
        <w:rPr>
          <w:rFonts w:hint="eastAsia" w:asciiTheme="minorEastAsia" w:hAnsiTheme="minorEastAsia" w:eastAsiaTheme="minorEastAsia" w:cstheme="minorEastAsia"/>
          <w:color w:val="auto"/>
          <w:spacing w:val="-2"/>
          <w:lang w:eastAsia="zh-CN"/>
        </w:rPr>
      </w:pPr>
      <w:r>
        <w:rPr>
          <w:rFonts w:hint="eastAsia" w:asciiTheme="minorEastAsia" w:hAnsiTheme="minorEastAsia" w:eastAsiaTheme="minorEastAsia" w:cstheme="minorEastAsia"/>
          <w:color w:val="auto"/>
          <w:spacing w:val="-2"/>
          <w:lang w:eastAsia="zh-CN"/>
        </w:rPr>
        <w:t>D.对前来办事、咨询人员须进行询问、引导、解答。确保正常秩序，严防闲杂人员进入。工作态度热情，举止文明。对大件物品出门须进行登记和检查。遇群众上.访， 及时、积极主动地配合有关部门， 做好劝说、劝阻和疏导工作。</w:t>
      </w:r>
    </w:p>
    <w:p>
      <w:pPr>
        <w:pStyle w:val="6"/>
        <w:spacing w:before="93" w:line="273" w:lineRule="auto"/>
        <w:ind w:left="20" w:right="27" w:firstLine="441"/>
        <w:rPr>
          <w:rFonts w:hint="eastAsia" w:asciiTheme="minorEastAsia" w:hAnsiTheme="minorEastAsia" w:eastAsiaTheme="minorEastAsia" w:cstheme="minorEastAsia"/>
          <w:color w:val="auto"/>
          <w:spacing w:val="-2"/>
          <w:lang w:eastAsia="zh-CN"/>
        </w:rPr>
      </w:pPr>
      <w:r>
        <w:rPr>
          <w:rFonts w:hint="eastAsia" w:asciiTheme="minorEastAsia" w:hAnsiTheme="minorEastAsia" w:eastAsiaTheme="minorEastAsia" w:cstheme="minorEastAsia"/>
          <w:color w:val="auto"/>
          <w:spacing w:val="-2"/>
          <w:lang w:eastAsia="zh-CN"/>
        </w:rPr>
        <w:t>E.对甲方的安全利益负全责。乙方队员在值勤中，认真履行防火、防盗、防窃等职责，不脱岗、不离岗。如因责任心不强或工作疏忽或违章操作致使甲方造成爆炸、火灾、盗窃等事故，应承担经济责任或法律责任。</w:t>
      </w:r>
    </w:p>
    <w:p>
      <w:pPr>
        <w:pStyle w:val="6"/>
        <w:spacing w:before="93" w:line="273" w:lineRule="auto"/>
        <w:ind w:left="20" w:right="27" w:firstLine="441"/>
        <w:rPr>
          <w:rFonts w:hint="eastAsia" w:asciiTheme="minorEastAsia" w:hAnsiTheme="minorEastAsia" w:eastAsiaTheme="minorEastAsia" w:cstheme="minorEastAsia"/>
          <w:color w:val="auto"/>
          <w:spacing w:val="-2"/>
          <w:lang w:eastAsia="zh-CN"/>
        </w:rPr>
      </w:pPr>
      <w:r>
        <w:rPr>
          <w:rFonts w:hint="eastAsia" w:asciiTheme="minorEastAsia" w:hAnsiTheme="minorEastAsia" w:eastAsiaTheme="minorEastAsia" w:cstheme="minorEastAsia"/>
          <w:color w:val="auto"/>
          <w:spacing w:val="-2"/>
          <w:lang w:eastAsia="zh-CN"/>
        </w:rPr>
        <w:t>F. 爱护甲方配置的设备和安保工具， 如人为损坏， 须照价赔偿。</w:t>
      </w:r>
    </w:p>
    <w:p>
      <w:pPr>
        <w:pStyle w:val="6"/>
        <w:spacing w:before="93" w:line="273" w:lineRule="auto"/>
        <w:ind w:left="20" w:right="27" w:firstLine="441"/>
        <w:rPr>
          <w:rFonts w:hint="eastAsia" w:asciiTheme="minorEastAsia" w:hAnsiTheme="minorEastAsia" w:eastAsiaTheme="minorEastAsia" w:cstheme="minorEastAsia"/>
          <w:color w:val="auto"/>
          <w:spacing w:val="-2"/>
          <w:lang w:eastAsia="zh-CN"/>
        </w:rPr>
      </w:pPr>
      <w:r>
        <w:rPr>
          <w:rFonts w:hint="eastAsia" w:asciiTheme="minorEastAsia" w:hAnsiTheme="minorEastAsia" w:eastAsiaTheme="minorEastAsia" w:cstheme="minorEastAsia"/>
          <w:color w:val="auto"/>
          <w:spacing w:val="-2"/>
          <w:lang w:eastAsia="zh-CN"/>
        </w:rPr>
        <w:t>G. 保安队员上岗执勤时须穿着统一的保安制服，佩戴上岗执勤证。</w:t>
      </w:r>
    </w:p>
    <w:p>
      <w:pPr>
        <w:pStyle w:val="6"/>
        <w:spacing w:before="93" w:line="273" w:lineRule="auto"/>
        <w:ind w:left="20" w:right="27" w:firstLine="441"/>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color w:val="auto"/>
          <w:spacing w:val="-2"/>
          <w:lang w:eastAsia="zh-CN"/>
        </w:rPr>
        <w:t>H.接到投诉，24小时内以电话或书面或回访等方式给予答复。同时认真调查、处理违规违纪的人和事，并做好处理书面记录。及时将处理结果反馈给投诉方。</w:t>
      </w:r>
    </w:p>
    <w:p>
      <w:pPr>
        <w:pStyle w:val="6"/>
        <w:ind w:firstLine="44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③总体要求：全体保安人员在工作时着装统一、仪表整齐、操作规范、文明用语、礼貌服务。</w:t>
      </w:r>
    </w:p>
    <w:p>
      <w:pPr>
        <w:pStyle w:val="6"/>
        <w:ind w:firstLine="44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④工作时间要求：全年白天12小时值班。</w:t>
      </w:r>
    </w:p>
    <w:p>
      <w:pPr>
        <w:pStyle w:val="6"/>
        <w:ind w:firstLine="44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⑤人员自身要求：所有人员持保安证上岗，男性身高不低于172CM，女性身高不低于160CM，符合法定用工年龄，男性队员占所有队员人数 75%以上，身心健康。</w:t>
      </w:r>
    </w:p>
    <w:p>
      <w:pPr>
        <w:pStyle w:val="6"/>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9.</w:t>
      </w:r>
      <w:r>
        <w:rPr>
          <w:rFonts w:hint="eastAsia" w:asciiTheme="minorEastAsia" w:hAnsiTheme="minorEastAsia" w:eastAsiaTheme="minorEastAsia" w:cstheme="minorEastAsia"/>
          <w:color w:val="auto"/>
          <w:lang w:val="en-US" w:eastAsia="zh-CN"/>
        </w:rPr>
        <w:t>8</w:t>
      </w:r>
      <w:r>
        <w:rPr>
          <w:rFonts w:hint="eastAsia" w:asciiTheme="minorEastAsia" w:hAnsiTheme="minorEastAsia" w:eastAsiaTheme="minorEastAsia" w:cstheme="minorEastAsia"/>
          <w:color w:val="auto"/>
          <w:lang w:eastAsia="zh-CN"/>
        </w:rPr>
        <w:t>综合服务</w:t>
      </w:r>
    </w:p>
    <w:p>
      <w:pPr>
        <w:pStyle w:val="6"/>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(1)服务范围：临港新片区青年中心区域内</w:t>
      </w:r>
    </w:p>
    <w:p>
      <w:pPr>
        <w:pStyle w:val="6"/>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(2)工作职责：</w:t>
      </w:r>
      <w:r>
        <w:rPr>
          <w:rFonts w:hint="eastAsia" w:asciiTheme="minorEastAsia" w:hAnsiTheme="minorEastAsia" w:eastAsiaTheme="minorEastAsia" w:cstheme="minorEastAsia"/>
          <w:color w:val="auto"/>
          <w:spacing w:val="-3"/>
          <w:lang w:eastAsia="zh-CN"/>
        </w:rPr>
        <w:t>设备零星维修、绿化租摆</w:t>
      </w:r>
      <w:r>
        <w:rPr>
          <w:rFonts w:hint="eastAsia" w:asciiTheme="minorEastAsia" w:hAnsiTheme="minorEastAsia" w:eastAsiaTheme="minorEastAsia" w:cstheme="minorEastAsia"/>
          <w:color w:val="auto"/>
          <w:lang w:eastAsia="zh-CN"/>
        </w:rPr>
        <w:t>。</w:t>
      </w:r>
    </w:p>
    <w:p>
      <w:pPr>
        <w:pStyle w:val="6"/>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(3)总体要求：</w:t>
      </w:r>
    </w:p>
    <w:p>
      <w:pPr>
        <w:pStyle w:val="6"/>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保障项目的设备零星小额维修服务需求和绿化租摆服务需要，完成采购人合</w:t>
      </w:r>
      <w:bookmarkStart w:id="0" w:name="_GoBack"/>
      <w:bookmarkEnd w:id="0"/>
      <w:r>
        <w:rPr>
          <w:rFonts w:hint="eastAsia" w:asciiTheme="minorEastAsia" w:hAnsiTheme="minorEastAsia" w:eastAsiaTheme="minorEastAsia" w:cstheme="minorEastAsia"/>
          <w:color w:val="auto"/>
          <w:lang w:eastAsia="zh-CN"/>
        </w:rPr>
        <w:t>理要求的现场零星工程。</w:t>
      </w:r>
    </w:p>
    <w:p>
      <w:pPr>
        <w:pStyle w:val="6"/>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(4)具体工作要求：</w:t>
      </w:r>
    </w:p>
    <w:p>
      <w:pPr>
        <w:pStyle w:val="6"/>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A.零星小额维修及时率达100%，合格率达100%。。</w:t>
      </w:r>
    </w:p>
    <w:p>
      <w:pPr>
        <w:pStyle w:val="6"/>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B.在项目内重要会场、接待大厅等关键区域租摆布置绿化植物，及时更换长势不良的植物，定期进行浇水及修剪养护，保持植物长势良好，无枯枝枯叶。</w:t>
      </w:r>
    </w:p>
    <w:p>
      <w:pPr>
        <w:pStyle w:val="6"/>
        <w:spacing w:before="0" w:line="240" w:lineRule="auto"/>
        <w:ind w:left="0" w:right="0" w:firstLine="0"/>
        <w:rPr>
          <w:rFonts w:hint="eastAsia" w:asciiTheme="minorEastAsia" w:hAnsiTheme="minorEastAsia" w:eastAsiaTheme="minorEastAsia" w:cstheme="minorEastAsia"/>
          <w:color w:val="auto"/>
          <w:spacing w:val="-2"/>
          <w:lang w:eastAsia="zh-CN"/>
        </w:rPr>
      </w:pPr>
      <w:r>
        <w:rPr>
          <w:rFonts w:hint="eastAsia" w:asciiTheme="minorEastAsia" w:hAnsiTheme="minorEastAsia" w:eastAsiaTheme="minorEastAsia" w:cstheme="minorEastAsia"/>
          <w:color w:val="auto"/>
          <w:lang w:eastAsia="zh-CN"/>
        </w:rPr>
        <w:t>C.相关工作内容可由安保、保洁结合实际一并承担，但须具备专业资质。</w:t>
      </w:r>
    </w:p>
    <w:p>
      <w:pPr>
        <w:spacing w:line="264" w:lineRule="auto"/>
        <w:rPr>
          <w:rFonts w:hint="eastAsia" w:asciiTheme="minorEastAsia" w:hAnsiTheme="minorEastAsia" w:eastAsiaTheme="minorEastAsia" w:cstheme="minorEastAsia"/>
          <w:color w:val="auto"/>
          <w:lang w:eastAsia="zh-CN"/>
        </w:rPr>
      </w:pPr>
    </w:p>
    <w:p>
      <w:pPr>
        <w:pStyle w:val="6"/>
        <w:spacing w:before="93" w:line="220" w:lineRule="auto"/>
        <w:ind w:left="568"/>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b/>
          <w:bCs/>
          <w:color w:val="auto"/>
          <w:spacing w:val="-2"/>
          <w:lang w:eastAsia="zh-CN"/>
        </w:rPr>
        <w:t>10  安全文明作业要求和应急处置要求</w:t>
      </w:r>
    </w:p>
    <w:p>
      <w:pPr>
        <w:pStyle w:val="6"/>
        <w:spacing w:before="93" w:line="273" w:lineRule="auto"/>
        <w:ind w:left="20" w:right="27" w:firstLine="441"/>
        <w:rPr>
          <w:rFonts w:hint="eastAsia" w:asciiTheme="minorEastAsia" w:hAnsiTheme="minorEastAsia" w:eastAsiaTheme="minorEastAsia" w:cstheme="minorEastAsia"/>
          <w:color w:val="auto"/>
          <w:spacing w:val="-2"/>
          <w:lang w:eastAsia="zh-CN"/>
        </w:rPr>
      </w:pPr>
      <w:r>
        <w:rPr>
          <w:rFonts w:hint="eastAsia" w:asciiTheme="minorEastAsia" w:hAnsiTheme="minorEastAsia" w:eastAsiaTheme="minorEastAsia" w:cstheme="minorEastAsia"/>
          <w:color w:val="auto"/>
          <w:spacing w:val="-2"/>
          <w:lang w:eastAsia="zh-CN"/>
        </w:rPr>
        <w:t>（1）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pPr>
        <w:pStyle w:val="6"/>
        <w:spacing w:before="93" w:line="273" w:lineRule="auto"/>
        <w:ind w:left="20" w:right="27" w:firstLine="441"/>
        <w:rPr>
          <w:rFonts w:hint="eastAsia" w:asciiTheme="minorEastAsia" w:hAnsiTheme="minorEastAsia" w:eastAsiaTheme="minorEastAsia" w:cstheme="minorEastAsia"/>
          <w:color w:val="auto"/>
          <w:spacing w:val="-2"/>
          <w:lang w:eastAsia="zh-CN"/>
        </w:rPr>
      </w:pPr>
      <w:r>
        <w:rPr>
          <w:rFonts w:hint="eastAsia" w:asciiTheme="minorEastAsia" w:hAnsiTheme="minorEastAsia" w:eastAsiaTheme="minorEastAsia" w:cstheme="minorEastAsia"/>
          <w:color w:val="auto"/>
          <w:spacing w:val="-2"/>
          <w:lang w:eastAsia="zh-CN"/>
        </w:rPr>
        <w:t>（2）中标人在项目实施期间，必须遵守国家与上海市各项有关安全作业规章、规范与制度，建立动用明火申请批准制度， 安全用电等制度， 确保杜绝各类事故的发生。</w:t>
      </w:r>
    </w:p>
    <w:p>
      <w:pPr>
        <w:pStyle w:val="6"/>
        <w:spacing w:before="93" w:line="273" w:lineRule="auto"/>
        <w:ind w:left="20" w:right="27" w:firstLine="441"/>
        <w:rPr>
          <w:rFonts w:hint="eastAsia" w:asciiTheme="minorEastAsia" w:hAnsiTheme="minorEastAsia" w:eastAsiaTheme="minorEastAsia" w:cstheme="minorEastAsia"/>
          <w:color w:val="auto"/>
          <w:spacing w:val="-2"/>
          <w:lang w:eastAsia="zh-CN"/>
        </w:rPr>
      </w:pPr>
      <w:r>
        <w:rPr>
          <w:rFonts w:hint="eastAsia" w:asciiTheme="minorEastAsia" w:hAnsiTheme="minorEastAsia" w:eastAsiaTheme="minorEastAsia" w:cstheme="minorEastAsia"/>
          <w:color w:val="auto"/>
          <w:spacing w:val="-2"/>
          <w:lang w:eastAsia="zh-CN"/>
        </w:rPr>
        <w:t>（3）中标人在提供物业服务时，中标人对其提供服务的人员的人身安全负责，对采购方、第三方的人身安全和财产安全负责。</w:t>
      </w:r>
    </w:p>
    <w:p>
      <w:pPr>
        <w:pStyle w:val="6"/>
        <w:spacing w:before="93" w:line="273" w:lineRule="auto"/>
        <w:ind w:left="20" w:right="27" w:firstLine="441"/>
        <w:rPr>
          <w:rFonts w:hint="eastAsia" w:asciiTheme="minorEastAsia" w:hAnsiTheme="minorEastAsia" w:eastAsiaTheme="minorEastAsia" w:cstheme="minorEastAsia"/>
          <w:color w:val="auto"/>
          <w:spacing w:val="-2"/>
          <w:lang w:eastAsia="zh-CN"/>
        </w:rPr>
      </w:pPr>
      <w:r>
        <w:rPr>
          <w:rFonts w:hint="eastAsia" w:asciiTheme="minorEastAsia" w:hAnsiTheme="minorEastAsia" w:eastAsiaTheme="minorEastAsia" w:cstheme="minorEastAsia"/>
          <w:color w:val="auto"/>
          <w:spacing w:val="-2"/>
          <w:lang w:eastAsia="zh-CN"/>
        </w:rPr>
        <w:t>（4）中标人在提供物业服务时必须保护好服务区域内的环境和原有建筑、装饰与设施，保证环境和原有建筑、装饰与设施完好。</w:t>
      </w:r>
    </w:p>
    <w:p>
      <w:pPr>
        <w:pStyle w:val="6"/>
        <w:spacing w:before="93" w:line="273" w:lineRule="auto"/>
        <w:ind w:left="20" w:right="27" w:firstLine="441"/>
        <w:rPr>
          <w:rFonts w:hint="eastAsia" w:asciiTheme="minorEastAsia" w:hAnsiTheme="minorEastAsia" w:eastAsiaTheme="minorEastAsia" w:cstheme="minorEastAsia"/>
          <w:color w:val="auto"/>
          <w:spacing w:val="-2"/>
          <w:lang w:eastAsia="zh-CN"/>
        </w:rPr>
      </w:pPr>
      <w:r>
        <w:rPr>
          <w:rFonts w:hint="eastAsia" w:asciiTheme="minorEastAsia" w:hAnsiTheme="minorEastAsia" w:eastAsiaTheme="minorEastAsia" w:cstheme="minorEastAsia"/>
          <w:color w:val="auto"/>
          <w:spacing w:val="-2"/>
          <w:lang w:eastAsia="zh-CN"/>
        </w:rPr>
        <w:t>（5）各投标人在投标文件中要结合本项目的特点和采购人上述的具体要求制定相应的安全文明施工措施。</w:t>
      </w:r>
    </w:p>
    <w:p>
      <w:pPr>
        <w:pStyle w:val="6"/>
        <w:spacing w:before="93" w:line="273" w:lineRule="auto"/>
        <w:ind w:left="20" w:right="27" w:firstLine="441"/>
        <w:rPr>
          <w:rFonts w:hint="eastAsia" w:asciiTheme="minorEastAsia" w:hAnsiTheme="minorEastAsia" w:eastAsiaTheme="minorEastAsia" w:cstheme="minorEastAsia"/>
          <w:color w:val="auto"/>
          <w:spacing w:val="-2"/>
          <w:lang w:eastAsia="zh-CN"/>
        </w:rPr>
      </w:pPr>
      <w:r>
        <w:rPr>
          <w:rFonts w:hint="eastAsia" w:asciiTheme="minorEastAsia" w:hAnsiTheme="minorEastAsia" w:eastAsiaTheme="minorEastAsia" w:cstheme="minorEastAsia"/>
          <w:color w:val="auto"/>
          <w:spacing w:val="-2"/>
          <w:lang w:eastAsia="zh-CN"/>
        </w:rPr>
        <w:t>（6）各投标人结合项目实际情况，提供突然断水、断电、通信故障的应急措施，电梯突然停运或机电故障的应急措施，发生火警时的应急措施，智能化设施的管理和维修方案，突发群访事件的应急处置方案，定期开展防灾防火应急疏散演练，并做好演练计划。</w:t>
      </w:r>
    </w:p>
    <w:p>
      <w:pPr>
        <w:spacing w:line="336" w:lineRule="auto"/>
        <w:rPr>
          <w:rFonts w:hint="eastAsia" w:asciiTheme="minorEastAsia" w:hAnsiTheme="minorEastAsia" w:eastAsiaTheme="minorEastAsia" w:cstheme="minorEastAsia"/>
          <w:color w:val="auto"/>
          <w:lang w:eastAsia="zh-CN"/>
        </w:rPr>
      </w:pPr>
    </w:p>
    <w:p>
      <w:pPr>
        <w:pStyle w:val="6"/>
        <w:spacing w:before="93" w:line="220" w:lineRule="auto"/>
        <w:ind w:left="568"/>
        <w:rPr>
          <w:rFonts w:hint="eastAsia" w:asciiTheme="minorEastAsia" w:hAnsiTheme="minorEastAsia" w:eastAsiaTheme="minorEastAsia" w:cstheme="minorEastAsia"/>
          <w:b/>
          <w:bCs/>
          <w:color w:val="auto"/>
          <w:spacing w:val="-2"/>
          <w:lang w:eastAsia="zh-CN"/>
        </w:rPr>
      </w:pPr>
      <w:r>
        <w:rPr>
          <w:rFonts w:hint="eastAsia" w:asciiTheme="minorEastAsia" w:hAnsiTheme="minorEastAsia" w:eastAsiaTheme="minorEastAsia" w:cstheme="minorEastAsia"/>
          <w:b/>
          <w:bCs/>
          <w:color w:val="auto"/>
          <w:spacing w:val="-2"/>
          <w:lang w:eastAsia="zh-CN"/>
        </w:rPr>
        <w:t>11供应商要求</w:t>
      </w:r>
    </w:p>
    <w:p>
      <w:pPr>
        <w:pStyle w:val="7"/>
        <w:numPr>
          <w:ilvl w:val="255"/>
          <w:numId w:val="0"/>
        </w:numPr>
        <w:tabs>
          <w:tab w:val="left" w:pos="851"/>
        </w:tabs>
        <w:spacing w:line="360" w:lineRule="auto"/>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pacing w:val="-2"/>
          <w:sz w:val="22"/>
          <w:szCs w:val="22"/>
          <w:lang w:eastAsia="zh-CN"/>
        </w:rPr>
        <w:t>（1）</w:t>
      </w:r>
      <w:r>
        <w:rPr>
          <w:rFonts w:hint="eastAsia" w:asciiTheme="minorEastAsia" w:hAnsiTheme="minorEastAsia" w:eastAsiaTheme="minorEastAsia" w:cstheme="minorEastAsia"/>
          <w:color w:val="auto"/>
          <w:sz w:val="22"/>
          <w:szCs w:val="22"/>
          <w:lang w:eastAsia="zh-CN"/>
        </w:rPr>
        <w:t>供应商应当具有完善的组织架构和支撑物业服务开展的管理制度，根据本项目制定专门的整体响应与服务实施方案，针对项目实际并结合自身服务特色，提供详实、周全并有一定突破与创新的服务方案；需响应与落实政府关于节能、环保及健康管理有关要求，有关方案应当包含和响应关于节能降耗、垃圾分类管理和回收、危废管理、员工职业健康管理等要求；</w:t>
      </w:r>
    </w:p>
    <w:p>
      <w:pPr>
        <w:pStyle w:val="7"/>
        <w:numPr>
          <w:ilvl w:val="255"/>
          <w:numId w:val="0"/>
        </w:numPr>
        <w:tabs>
          <w:tab w:val="left" w:pos="851"/>
        </w:tabs>
        <w:spacing w:line="360" w:lineRule="auto"/>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pacing w:val="-2"/>
          <w:sz w:val="22"/>
          <w:szCs w:val="22"/>
          <w:lang w:eastAsia="zh-CN"/>
        </w:rPr>
        <w:t>（2）</w:t>
      </w:r>
      <w:r>
        <w:rPr>
          <w:rFonts w:hint="eastAsia" w:asciiTheme="minorEastAsia" w:hAnsiTheme="minorEastAsia" w:eastAsiaTheme="minorEastAsia" w:cstheme="minorEastAsia"/>
          <w:color w:val="auto"/>
          <w:sz w:val="22"/>
          <w:szCs w:val="22"/>
          <w:lang w:eastAsia="zh-CN"/>
        </w:rPr>
        <w:t>供应商具有质量管理体系认证（GB/T19001认证）、职业健康安全管理体系认证（GB/T45001认证），环境管理体系认证（GB/T24001认证），并在认证有效期内的优先考虑；</w:t>
      </w:r>
    </w:p>
    <w:p>
      <w:pPr>
        <w:pStyle w:val="7"/>
        <w:numPr>
          <w:ilvl w:val="255"/>
          <w:numId w:val="0"/>
        </w:numPr>
        <w:tabs>
          <w:tab w:val="left" w:pos="851"/>
        </w:tabs>
        <w:spacing w:line="360" w:lineRule="auto"/>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（3）供应商具备近三年类似物业管理项目业绩的优先；</w:t>
      </w:r>
    </w:p>
    <w:p>
      <w:pPr>
        <w:pStyle w:val="7"/>
        <w:numPr>
          <w:ilvl w:val="255"/>
          <w:numId w:val="0"/>
        </w:numPr>
        <w:tabs>
          <w:tab w:val="left" w:pos="851"/>
        </w:tabs>
        <w:spacing w:line="360" w:lineRule="auto"/>
        <w:rPr>
          <w:rFonts w:hint="eastAsia" w:asciiTheme="minorEastAsia" w:hAnsiTheme="minorEastAsia" w:eastAsiaTheme="minorEastAsia" w:cstheme="minorEastAsia"/>
          <w:color w:val="auto"/>
          <w:sz w:val="22"/>
          <w:szCs w:val="22"/>
          <w:highlight w:val="yellow"/>
          <w:lang w:eastAsia="zh-CN"/>
        </w:rPr>
      </w:pPr>
      <w:r>
        <w:rPr>
          <w:rFonts w:hint="eastAsia" w:asciiTheme="minorEastAsia" w:hAnsiTheme="minorEastAsia" w:eastAsiaTheme="minorEastAsia" w:cstheme="minorEastAsia"/>
          <w:color w:val="auto"/>
          <w:sz w:val="22"/>
          <w:szCs w:val="22"/>
          <w:lang w:eastAsia="zh-CN"/>
        </w:rPr>
        <w:t>（4）供应商不得将服务内容转包第三方，用工符合劳动法规定与员工签订劳动合同，必须缴纳用工当地的社会保险；需有完善的员工奖励、福利等制度；</w:t>
      </w:r>
      <w:r>
        <w:rPr>
          <w:rFonts w:hint="eastAsia" w:asciiTheme="minorEastAsia" w:hAnsiTheme="minorEastAsia" w:eastAsiaTheme="minorEastAsia" w:cstheme="minorEastAsia"/>
          <w:color w:val="auto"/>
          <w:sz w:val="22"/>
          <w:szCs w:val="22"/>
          <w:highlight w:val="none"/>
          <w:lang w:eastAsia="zh-CN"/>
        </w:rPr>
        <w:t>需购买足额的雇主责任险和</w:t>
      </w:r>
      <w:r>
        <w:rPr>
          <w:rFonts w:hint="eastAsia" w:asciiTheme="minorEastAsia" w:hAnsiTheme="minorEastAsia" w:eastAsiaTheme="minorEastAsia" w:cstheme="minorEastAsia"/>
          <w:color w:val="auto"/>
          <w:sz w:val="22"/>
          <w:szCs w:val="22"/>
          <w:highlight w:val="none"/>
          <w:lang w:val="en-US" w:eastAsia="zh-CN"/>
        </w:rPr>
        <w:t>物业</w:t>
      </w:r>
      <w:r>
        <w:rPr>
          <w:rFonts w:hint="eastAsia" w:asciiTheme="minorEastAsia" w:hAnsiTheme="minorEastAsia" w:eastAsiaTheme="minorEastAsia" w:cstheme="minorEastAsia"/>
          <w:color w:val="auto"/>
          <w:sz w:val="22"/>
          <w:szCs w:val="22"/>
          <w:highlight w:val="none"/>
          <w:lang w:eastAsia="zh-CN"/>
        </w:rPr>
        <w:t>公众责任险。</w:t>
      </w:r>
    </w:p>
    <w:p>
      <w:pPr>
        <w:pStyle w:val="6"/>
        <w:spacing w:before="71" w:line="220" w:lineRule="auto"/>
        <w:ind w:left="568"/>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b/>
          <w:bCs/>
          <w:color w:val="auto"/>
          <w:spacing w:val="-4"/>
          <w:lang w:eastAsia="zh-CN"/>
        </w:rPr>
        <w:t>12 考核管理办法和要求</w:t>
      </w:r>
    </w:p>
    <w:p>
      <w:pPr>
        <w:pStyle w:val="6"/>
        <w:spacing w:before="96" w:line="355" w:lineRule="exact"/>
        <w:ind w:firstLine="416"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pacing w:val="-6"/>
          <w:position w:val="9"/>
          <w:lang w:eastAsia="zh-CN"/>
        </w:rPr>
        <w:t>（1）考核形式：由采购人（或委托项目运营管理方）开展日常考核。</w:t>
      </w:r>
    </w:p>
    <w:p>
      <w:pPr>
        <w:pStyle w:val="6"/>
        <w:spacing w:before="72" w:line="280" w:lineRule="auto"/>
        <w:ind w:right="80" w:firstLine="412" w:firstLineChars="200"/>
        <w:rPr>
          <w:rFonts w:hint="eastAsia" w:asciiTheme="minorEastAsia" w:hAnsiTheme="minorEastAsia" w:eastAsiaTheme="minorEastAsia" w:cstheme="minorEastAsia"/>
          <w:color w:val="auto"/>
          <w:spacing w:val="-7"/>
          <w:lang w:eastAsia="zh-CN"/>
        </w:rPr>
      </w:pPr>
      <w:r>
        <w:rPr>
          <w:rFonts w:hint="eastAsia" w:asciiTheme="minorEastAsia" w:hAnsiTheme="minorEastAsia" w:eastAsiaTheme="minorEastAsia" w:cstheme="minorEastAsia"/>
          <w:color w:val="auto"/>
          <w:spacing w:val="-7"/>
          <w:lang w:eastAsia="zh-CN"/>
        </w:rPr>
        <w:t>（2）考核标准：</w:t>
      </w:r>
    </w:p>
    <w:p>
      <w:pPr>
        <w:jc w:val="center"/>
        <w:rPr>
          <w:rFonts w:hint="eastAsia" w:asciiTheme="minorEastAsia" w:hAnsiTheme="minorEastAsia" w:eastAsiaTheme="minorEastAsia" w:cstheme="minorEastAsia"/>
          <w:b/>
          <w:bCs/>
          <w:color w:val="auto"/>
          <w:lang w:eastAsia="zh-CN"/>
        </w:rPr>
      </w:pPr>
    </w:p>
    <w:p>
      <w:pPr>
        <w:jc w:val="center"/>
        <w:rPr>
          <w:rFonts w:hint="eastAsia" w:asciiTheme="minorEastAsia" w:hAnsiTheme="minorEastAsia" w:eastAsiaTheme="minorEastAsia" w:cstheme="minorEastAsia"/>
          <w:b/>
          <w:bCs/>
          <w:color w:val="auto"/>
          <w:lang w:eastAsia="zh-CN"/>
        </w:rPr>
      </w:pPr>
      <w:r>
        <w:rPr>
          <w:rFonts w:hint="eastAsia" w:asciiTheme="minorEastAsia" w:hAnsiTheme="minorEastAsia" w:eastAsiaTheme="minorEastAsia" w:cstheme="minorEastAsia"/>
          <w:b/>
          <w:bCs/>
          <w:color w:val="auto"/>
          <w:lang w:eastAsia="zh-CN"/>
        </w:rPr>
        <w:t>物业服务考核标准</w:t>
      </w:r>
    </w:p>
    <w:p>
      <w:pPr>
        <w:jc w:val="center"/>
        <w:rPr>
          <w:rFonts w:hint="eastAsia" w:asciiTheme="minorEastAsia" w:hAnsiTheme="minorEastAsia" w:eastAsiaTheme="minorEastAsia" w:cstheme="minorEastAsia"/>
          <w:b/>
          <w:bCs/>
          <w:color w:val="auto"/>
          <w:lang w:eastAsia="zh-CN"/>
        </w:rPr>
      </w:pPr>
      <w:r>
        <w:rPr>
          <w:rFonts w:hint="eastAsia" w:asciiTheme="minorEastAsia" w:hAnsiTheme="minorEastAsia" w:eastAsiaTheme="minorEastAsia" w:cstheme="minorEastAsia"/>
          <w:b/>
          <w:bCs/>
          <w:color w:val="auto"/>
          <w:lang w:eastAsia="zh-CN"/>
        </w:rPr>
        <w:t>（按季度）</w:t>
      </w:r>
    </w:p>
    <w:tbl>
      <w:tblPr>
        <w:tblStyle w:val="14"/>
        <w:tblW w:w="8609" w:type="dxa"/>
        <w:jc w:val="center"/>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0" w:type="dxa"/>
          <w:bottom w:w="0" w:type="dxa"/>
          <w:right w:w="0" w:type="dxa"/>
        </w:tblCellMar>
      </w:tblPr>
      <w:tblGrid>
        <w:gridCol w:w="411"/>
        <w:gridCol w:w="779"/>
        <w:gridCol w:w="463"/>
        <w:gridCol w:w="513"/>
        <w:gridCol w:w="5036"/>
        <w:gridCol w:w="720"/>
        <w:gridCol w:w="687"/>
      </w:tblGrid>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PrEx>
        <w:trPr>
          <w:trHeight w:val="345" w:hRule="atLeast"/>
          <w:tblHeader/>
          <w:jc w:val="center"/>
        </w:trPr>
        <w:tc>
          <w:tcPr>
            <w:tcW w:w="411" w:type="dxa"/>
            <w:tcBorders>
              <w:bottom w:val="single" w:color="000000" w:sz="4" w:space="0"/>
              <w:right w:val="single" w:color="000000" w:sz="4" w:space="0"/>
            </w:tcBorders>
            <w:tcMar>
              <w:top w:w="12" w:type="dxa"/>
              <w:left w:w="12" w:type="dxa"/>
              <w:right w:w="12" w:type="dxa"/>
            </w:tcMar>
            <w:vAlign w:val="center"/>
          </w:tcPr>
          <w:p>
            <w:pPr>
              <w:pStyle w:val="19"/>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序号</w:t>
            </w:r>
          </w:p>
        </w:tc>
        <w:tc>
          <w:tcPr>
            <w:tcW w:w="779" w:type="dxa"/>
            <w:tcBorders>
              <w:left w:val="single" w:color="000000" w:sz="4" w:space="0"/>
              <w:bottom w:val="single" w:color="000000" w:sz="4" w:space="0"/>
              <w:right w:val="single" w:color="000000" w:sz="4" w:space="0"/>
            </w:tcBorders>
            <w:tcMar>
              <w:top w:w="12" w:type="dxa"/>
              <w:left w:w="12" w:type="dxa"/>
              <w:right w:w="12" w:type="dxa"/>
            </w:tcMar>
            <w:vAlign w:val="center"/>
          </w:tcPr>
          <w:p>
            <w:pPr>
              <w:pStyle w:val="19"/>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类别</w:t>
            </w:r>
          </w:p>
        </w:tc>
        <w:tc>
          <w:tcPr>
            <w:tcW w:w="463" w:type="dxa"/>
            <w:tcBorders>
              <w:left w:val="single" w:color="000000" w:sz="4" w:space="0"/>
              <w:bottom w:val="single" w:color="000000" w:sz="4" w:space="0"/>
              <w:right w:val="single" w:color="000000" w:sz="4" w:space="0"/>
            </w:tcBorders>
            <w:tcMar>
              <w:top w:w="12" w:type="dxa"/>
              <w:left w:w="12" w:type="dxa"/>
              <w:right w:w="12" w:type="dxa"/>
            </w:tcMar>
            <w:vAlign w:val="center"/>
          </w:tcPr>
          <w:p>
            <w:pPr>
              <w:pStyle w:val="19"/>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评价指标</w:t>
            </w:r>
          </w:p>
        </w:tc>
        <w:tc>
          <w:tcPr>
            <w:tcW w:w="513" w:type="dxa"/>
            <w:tcBorders>
              <w:left w:val="single" w:color="000000" w:sz="4" w:space="0"/>
              <w:bottom w:val="single" w:color="000000" w:sz="4" w:space="0"/>
              <w:right w:val="single" w:color="000000" w:sz="4" w:space="0"/>
            </w:tcBorders>
            <w:tcMar>
              <w:top w:w="12" w:type="dxa"/>
              <w:left w:w="12" w:type="dxa"/>
              <w:right w:w="12" w:type="dxa"/>
            </w:tcMar>
            <w:vAlign w:val="center"/>
          </w:tcPr>
          <w:p>
            <w:pPr>
              <w:pStyle w:val="19"/>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考核分值</w:t>
            </w:r>
          </w:p>
        </w:tc>
        <w:tc>
          <w:tcPr>
            <w:tcW w:w="5036" w:type="dxa"/>
            <w:tcBorders>
              <w:left w:val="single" w:color="000000" w:sz="4" w:space="0"/>
              <w:bottom w:val="single" w:color="000000" w:sz="4" w:space="0"/>
              <w:right w:val="single" w:color="000000" w:sz="4" w:space="0"/>
            </w:tcBorders>
            <w:tcMar>
              <w:top w:w="12" w:type="dxa"/>
              <w:left w:w="12" w:type="dxa"/>
              <w:right w:w="12" w:type="dxa"/>
            </w:tcMar>
            <w:vAlign w:val="center"/>
          </w:tcPr>
          <w:p>
            <w:pPr>
              <w:pStyle w:val="19"/>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评价内容</w:t>
            </w:r>
          </w:p>
        </w:tc>
        <w:tc>
          <w:tcPr>
            <w:tcW w:w="720" w:type="dxa"/>
            <w:tcBorders>
              <w:left w:val="single" w:color="000000" w:sz="4" w:space="0"/>
              <w:bottom w:val="single" w:color="000000" w:sz="4" w:space="0"/>
              <w:right w:val="single" w:color="000000" w:sz="4" w:space="0"/>
            </w:tcBorders>
            <w:tcMar>
              <w:top w:w="12" w:type="dxa"/>
              <w:left w:w="12" w:type="dxa"/>
              <w:right w:w="12" w:type="dxa"/>
            </w:tcMar>
            <w:vAlign w:val="center"/>
          </w:tcPr>
          <w:p>
            <w:pPr>
              <w:pStyle w:val="19"/>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考评</w:t>
            </w:r>
          </w:p>
          <w:p>
            <w:pPr>
              <w:pStyle w:val="19"/>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得分</w:t>
            </w:r>
          </w:p>
        </w:tc>
        <w:tc>
          <w:tcPr>
            <w:tcW w:w="687" w:type="dxa"/>
            <w:tcBorders>
              <w:left w:val="single" w:color="000000" w:sz="4" w:space="0"/>
              <w:bottom w:val="single" w:color="000000" w:sz="4" w:space="0"/>
            </w:tcBorders>
            <w:tcMar>
              <w:top w:w="12" w:type="dxa"/>
              <w:left w:w="12" w:type="dxa"/>
              <w:right w:w="12" w:type="dxa"/>
            </w:tcMar>
            <w:vAlign w:val="center"/>
          </w:tcPr>
          <w:p>
            <w:pPr>
              <w:pStyle w:val="19"/>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备注</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PrEx>
        <w:trPr>
          <w:trHeight w:val="699" w:hRule="atLeast"/>
          <w:jc w:val="center"/>
        </w:trPr>
        <w:tc>
          <w:tcPr>
            <w:tcW w:w="411" w:type="dxa"/>
            <w:vMerge w:val="restart"/>
            <w:tcBorders>
              <w:top w:val="single" w:color="000000" w:sz="4" w:space="0"/>
              <w:bottom w:val="single" w:color="000000" w:sz="4" w:space="0"/>
              <w:right w:val="single" w:color="000000" w:sz="4" w:space="0"/>
            </w:tcBorders>
            <w:tcMar>
              <w:top w:w="12" w:type="dxa"/>
              <w:left w:w="12" w:type="dxa"/>
              <w:right w:w="12" w:type="dxa"/>
            </w:tcMar>
            <w:vAlign w:val="center"/>
          </w:tcPr>
          <w:p>
            <w:pPr>
              <w:pStyle w:val="19"/>
              <w:ind w:left="-630" w:leftChars="-30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w:t>
            </w:r>
          </w:p>
        </w:tc>
        <w:tc>
          <w:tcPr>
            <w:tcW w:w="779"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19"/>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管理类指标（100分，占比80%）</w:t>
            </w: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19"/>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清洁</w:t>
            </w:r>
          </w:p>
          <w:p>
            <w:pPr>
              <w:pStyle w:val="19"/>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保洁</w:t>
            </w:r>
          </w:p>
        </w:tc>
        <w:tc>
          <w:tcPr>
            <w:tcW w:w="5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19"/>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40</w:t>
            </w:r>
          </w:p>
        </w:tc>
        <w:tc>
          <w:tcPr>
            <w:tcW w:w="50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19"/>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地面无瓜果皮壳、大片纸屑等杂物，无积水、无大面积污渍、口香糖胶，烟头及相应大小的杂物。每发现一处不符合要求，扣0.1分。</w:t>
            </w:r>
          </w:p>
          <w:p>
            <w:pPr>
              <w:pStyle w:val="19"/>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桶内垃圾及时清理，外表无污迹、无锈迹、粘附物。每发现一处，扣0.1分。</w:t>
            </w:r>
          </w:p>
          <w:p>
            <w:pPr>
              <w:pStyle w:val="19"/>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标识牌无乱张贴，目视表面无明显灰尘，无污迹、无粘附物、无破损标识。每发现一处不符合要求，扣0.1分。</w:t>
            </w:r>
          </w:p>
          <w:p>
            <w:pPr>
              <w:pStyle w:val="19"/>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休闲座椅保持干净。每发现一处不符合要求，扣0.1分。</w:t>
            </w:r>
          </w:p>
          <w:p>
            <w:pPr>
              <w:pStyle w:val="19"/>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玻璃上无粘附物、无积尘、无手指印、保持干净。每发现一处不符合要求，扣0.1分。</w:t>
            </w:r>
          </w:p>
          <w:p>
            <w:pPr>
              <w:pStyle w:val="19"/>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玻璃门、门把手无污渍、光亮透明，门把手光亮、无污渍。每发现一处不符合要求，扣0.1分。</w:t>
            </w:r>
          </w:p>
          <w:p>
            <w:pPr>
              <w:pStyle w:val="19"/>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墙面无乱张贴物、无污渍、无胶迹、无蜘蛛网，铝单板结合处无积灰。每发现一处不符合要求，扣0.1分。</w:t>
            </w:r>
          </w:p>
          <w:p>
            <w:pPr>
              <w:pStyle w:val="19"/>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大小便池内干净，无干便尿垢、无异味；污物及手纸无外溢，纸篓内外要保持干净，纸篓内垃圾不超过2/3。每发现一处不符合要求，扣0.1分。</w:t>
            </w:r>
          </w:p>
          <w:p>
            <w:pPr>
              <w:pStyle w:val="19"/>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水龙头无水渍、光亮；洗手池无污渍、釉面光亮；台面无杂物。每发现一处不符合要求，扣0.1分。</w:t>
            </w:r>
          </w:p>
          <w:p>
            <w:pPr>
              <w:pStyle w:val="19"/>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电梯门、轿厢墙面、按键面板无污迹、保持光洁度。每发现一处不符合要求，扣0.1分。</w:t>
            </w:r>
          </w:p>
          <w:p>
            <w:pPr>
              <w:pStyle w:val="19"/>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扶手无污渍痰迹；无胶剂、光亮透明；白沿无杂物、无保洁死角。每发现一处不符合要求，扣0.1分。</w:t>
            </w:r>
          </w:p>
          <w:p>
            <w:pPr>
              <w:pStyle w:val="19"/>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按规范流程和质量标准打扫公共区域时发现设施设备的故障和损坏及时报修。每发现一处不符合要求，扣0.1分。</w:t>
            </w:r>
          </w:p>
        </w:tc>
        <w:tc>
          <w:tcPr>
            <w:tcW w:w="7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19"/>
              <w:jc w:val="center"/>
              <w:rPr>
                <w:rFonts w:hint="eastAsia" w:asciiTheme="minorEastAsia" w:hAnsiTheme="minorEastAsia" w:eastAsiaTheme="minorEastAsia" w:cstheme="minorEastAsia"/>
                <w:sz w:val="18"/>
                <w:szCs w:val="18"/>
              </w:rPr>
            </w:pPr>
          </w:p>
        </w:tc>
        <w:tc>
          <w:tcPr>
            <w:tcW w:w="687" w:type="dxa"/>
            <w:tcBorders>
              <w:top w:val="single" w:color="000000" w:sz="4" w:space="0"/>
              <w:left w:val="single" w:color="000000" w:sz="4" w:space="0"/>
              <w:bottom w:val="single" w:color="000000" w:sz="4" w:space="0"/>
            </w:tcBorders>
            <w:tcMar>
              <w:top w:w="12" w:type="dxa"/>
              <w:left w:w="12" w:type="dxa"/>
              <w:right w:w="12" w:type="dxa"/>
            </w:tcMar>
            <w:vAlign w:val="center"/>
          </w:tcPr>
          <w:p>
            <w:pPr>
              <w:pStyle w:val="19"/>
              <w:jc w:val="center"/>
              <w:rPr>
                <w:rFonts w:hint="eastAsia" w:asciiTheme="minorEastAsia" w:hAnsiTheme="minorEastAsia" w:eastAsiaTheme="minorEastAsia" w:cstheme="minorEastAsia"/>
                <w:sz w:val="18"/>
                <w:szCs w:val="18"/>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PrEx>
        <w:trPr>
          <w:trHeight w:val="517" w:hRule="atLeast"/>
          <w:jc w:val="center"/>
        </w:trPr>
        <w:tc>
          <w:tcPr>
            <w:tcW w:w="411" w:type="dxa"/>
            <w:vMerge w:val="continue"/>
            <w:tcBorders>
              <w:top w:val="single" w:color="000000" w:sz="4" w:space="0"/>
              <w:bottom w:val="single" w:color="000000" w:sz="4" w:space="0"/>
              <w:right w:val="single" w:color="000000" w:sz="4" w:space="0"/>
            </w:tcBorders>
            <w:tcMar>
              <w:top w:w="12" w:type="dxa"/>
              <w:left w:w="12" w:type="dxa"/>
              <w:right w:w="12" w:type="dxa"/>
            </w:tcMar>
            <w:vAlign w:val="center"/>
          </w:tcPr>
          <w:p>
            <w:pPr>
              <w:pStyle w:val="19"/>
              <w:jc w:val="center"/>
              <w:rPr>
                <w:rFonts w:hint="eastAsia" w:asciiTheme="minorEastAsia" w:hAnsiTheme="minorEastAsia" w:eastAsiaTheme="minorEastAsia" w:cstheme="minorEastAsia"/>
                <w:sz w:val="18"/>
                <w:szCs w:val="18"/>
              </w:rPr>
            </w:pPr>
          </w:p>
        </w:tc>
        <w:tc>
          <w:tcPr>
            <w:tcW w:w="77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19"/>
              <w:jc w:val="center"/>
              <w:rPr>
                <w:rFonts w:hint="eastAsia" w:asciiTheme="minorEastAsia" w:hAnsiTheme="minorEastAsia" w:eastAsiaTheme="minorEastAsia" w:cstheme="minorEastAsia"/>
                <w:sz w:val="18"/>
                <w:szCs w:val="18"/>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19"/>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门卫巡逻安全保卫</w:t>
            </w:r>
          </w:p>
        </w:tc>
        <w:tc>
          <w:tcPr>
            <w:tcW w:w="5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19"/>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40</w:t>
            </w:r>
          </w:p>
        </w:tc>
        <w:tc>
          <w:tcPr>
            <w:tcW w:w="5036" w:type="dxa"/>
            <w:tcBorders>
              <w:top w:val="single" w:color="000000" w:sz="4" w:space="0"/>
              <w:left w:val="single" w:color="000000" w:sz="4" w:space="0"/>
              <w:right w:val="single" w:color="000000" w:sz="4" w:space="0"/>
            </w:tcBorders>
            <w:tcMar>
              <w:top w:w="12" w:type="dxa"/>
              <w:left w:w="12" w:type="dxa"/>
              <w:right w:w="12" w:type="dxa"/>
            </w:tcMar>
            <w:vAlign w:val="center"/>
          </w:tcPr>
          <w:p>
            <w:pPr>
              <w:pStyle w:val="19"/>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保安仪表：仪表仪容、着装符合公司要求，必须佩戴工作标牌。每发现一起不符合要求，扣0.1分。</w:t>
            </w:r>
          </w:p>
          <w:p>
            <w:pPr>
              <w:pStyle w:val="19"/>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巡视管道井房、风机房，电梯机房等门是否关闭等，防止人为损坏设备、藏匿物品。每发现一起未关闭的，扣0.1分。</w:t>
            </w:r>
          </w:p>
          <w:p>
            <w:pPr>
              <w:pStyle w:val="19"/>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阻止未经许可人员进行推销、派发传单广告或从事其他骚扰性活动。每发现一起不符合要求，扣0.1分。</w:t>
            </w:r>
          </w:p>
          <w:p>
            <w:pPr>
              <w:pStyle w:val="19"/>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巡逻中发现可疑人员时应予以询问并记录及时报告监控中心跟进，必要时报警。每发现一起不符合要求，扣0.1分。</w:t>
            </w:r>
          </w:p>
          <w:p>
            <w:pPr>
              <w:pStyle w:val="19"/>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巡逻时，如接获投诉，应引领至人员较少处仔细倾听，并做好记录，可以解决的当场解决，不能立即答复的立即汇报领班处理，要给投诉人回应确切答复的时间。每发现一起不符合要求，扣0.1分。</w:t>
            </w:r>
          </w:p>
          <w:p>
            <w:pPr>
              <w:pStyle w:val="19"/>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留意设施设备运行情况，如发现设施设备损坏，应及时记录视情况报修。未按维保手册及时报修的，每发生一起扣0.1分。</w:t>
            </w:r>
          </w:p>
          <w:p>
            <w:pPr>
              <w:pStyle w:val="19"/>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巡视各通道、区域的灯光是否开启正常，并做好记录。每发现一起不符合要求，扣0.1分。</w:t>
            </w:r>
          </w:p>
          <w:p>
            <w:pPr>
              <w:pStyle w:val="19"/>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在遇到异常情况和紧急求助时，第一时间到达现场，并采取必要措施。未按应急预案要求执行，每次扣0.3分。</w:t>
            </w:r>
          </w:p>
        </w:tc>
        <w:tc>
          <w:tcPr>
            <w:tcW w:w="7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19"/>
              <w:jc w:val="center"/>
              <w:rPr>
                <w:rFonts w:hint="eastAsia" w:asciiTheme="minorEastAsia" w:hAnsiTheme="minorEastAsia" w:eastAsiaTheme="minorEastAsia" w:cstheme="minorEastAsia"/>
                <w:sz w:val="18"/>
                <w:szCs w:val="18"/>
              </w:rPr>
            </w:pPr>
          </w:p>
        </w:tc>
        <w:tc>
          <w:tcPr>
            <w:tcW w:w="687" w:type="dxa"/>
            <w:tcBorders>
              <w:top w:val="single" w:color="000000" w:sz="4" w:space="0"/>
              <w:left w:val="single" w:color="000000" w:sz="4" w:space="0"/>
              <w:bottom w:val="single" w:color="000000" w:sz="4" w:space="0"/>
            </w:tcBorders>
            <w:tcMar>
              <w:top w:w="12" w:type="dxa"/>
              <w:left w:w="12" w:type="dxa"/>
              <w:right w:w="12" w:type="dxa"/>
            </w:tcMar>
            <w:vAlign w:val="center"/>
          </w:tcPr>
          <w:p>
            <w:pPr>
              <w:pStyle w:val="19"/>
              <w:jc w:val="center"/>
              <w:rPr>
                <w:rFonts w:hint="eastAsia" w:asciiTheme="minorEastAsia" w:hAnsiTheme="minorEastAsia" w:eastAsiaTheme="minorEastAsia" w:cstheme="minorEastAsia"/>
                <w:sz w:val="18"/>
                <w:szCs w:val="18"/>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PrEx>
        <w:trPr>
          <w:trHeight w:val="267" w:hRule="atLeast"/>
          <w:jc w:val="center"/>
        </w:trPr>
        <w:tc>
          <w:tcPr>
            <w:tcW w:w="411" w:type="dxa"/>
            <w:vMerge w:val="continue"/>
            <w:tcBorders>
              <w:top w:val="single" w:color="000000" w:sz="4" w:space="0"/>
              <w:bottom w:val="single" w:color="000000" w:sz="4" w:space="0"/>
              <w:right w:val="single" w:color="000000" w:sz="4" w:space="0"/>
            </w:tcBorders>
            <w:tcMar>
              <w:top w:w="12" w:type="dxa"/>
              <w:left w:w="12" w:type="dxa"/>
              <w:right w:w="12" w:type="dxa"/>
            </w:tcMar>
            <w:vAlign w:val="center"/>
          </w:tcPr>
          <w:p>
            <w:pPr>
              <w:pStyle w:val="19"/>
              <w:jc w:val="center"/>
              <w:rPr>
                <w:rFonts w:hint="eastAsia" w:asciiTheme="minorEastAsia" w:hAnsiTheme="minorEastAsia" w:eastAsiaTheme="minorEastAsia" w:cstheme="minorEastAsia"/>
                <w:sz w:val="18"/>
                <w:szCs w:val="18"/>
              </w:rPr>
            </w:pPr>
          </w:p>
        </w:tc>
        <w:tc>
          <w:tcPr>
            <w:tcW w:w="77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19"/>
              <w:jc w:val="center"/>
              <w:rPr>
                <w:rFonts w:hint="eastAsia" w:asciiTheme="minorEastAsia" w:hAnsiTheme="minorEastAsia" w:eastAsiaTheme="minorEastAsia" w:cstheme="minorEastAsia"/>
                <w:sz w:val="18"/>
                <w:szCs w:val="18"/>
              </w:rPr>
            </w:pPr>
          </w:p>
        </w:tc>
        <w:tc>
          <w:tcPr>
            <w:tcW w:w="463" w:type="dxa"/>
            <w:tcBorders>
              <w:top w:val="single" w:color="000000" w:sz="4" w:space="0"/>
              <w:left w:val="single" w:color="000000" w:sz="4" w:space="0"/>
              <w:right w:val="single" w:color="000000" w:sz="4" w:space="0"/>
            </w:tcBorders>
            <w:tcMar>
              <w:top w:w="12" w:type="dxa"/>
              <w:left w:w="12" w:type="dxa"/>
              <w:right w:w="12" w:type="dxa"/>
            </w:tcMar>
            <w:vAlign w:val="center"/>
          </w:tcPr>
          <w:p>
            <w:pPr>
              <w:pStyle w:val="19"/>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综合服务</w:t>
            </w:r>
          </w:p>
        </w:tc>
        <w:tc>
          <w:tcPr>
            <w:tcW w:w="513" w:type="dxa"/>
            <w:tcBorders>
              <w:top w:val="single" w:color="000000" w:sz="4" w:space="0"/>
              <w:left w:val="single" w:color="000000" w:sz="4" w:space="0"/>
              <w:right w:val="single" w:color="000000" w:sz="4" w:space="0"/>
            </w:tcBorders>
            <w:tcMar>
              <w:top w:w="12" w:type="dxa"/>
              <w:left w:w="12" w:type="dxa"/>
              <w:right w:w="12" w:type="dxa"/>
            </w:tcMar>
            <w:vAlign w:val="center"/>
          </w:tcPr>
          <w:p>
            <w:pPr>
              <w:pStyle w:val="19"/>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5036" w:type="dxa"/>
            <w:tcBorders>
              <w:top w:val="single" w:color="000000" w:sz="4" w:space="0"/>
              <w:left w:val="single" w:color="000000" w:sz="4" w:space="0"/>
              <w:right w:val="single" w:color="000000" w:sz="4" w:space="0"/>
            </w:tcBorders>
            <w:tcMar>
              <w:top w:w="12" w:type="dxa"/>
              <w:left w:w="12" w:type="dxa"/>
              <w:right w:w="12" w:type="dxa"/>
            </w:tcMar>
            <w:vAlign w:val="center"/>
          </w:tcPr>
          <w:p>
            <w:pPr>
              <w:pStyle w:val="19"/>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零星小额维修及时率达100%，接报修后30分钟到现场处理；水、电急修项目当日处理完毕，一般维修任务 3 日内处理完毕，未按要求及时维修，每次扣0.2分。</w:t>
            </w:r>
          </w:p>
          <w:p>
            <w:pPr>
              <w:pStyle w:val="19"/>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零星小额维修24小时内回访，零星小额维修合格率达100%，出现不合格维修，每次扣0.2分。</w:t>
            </w:r>
          </w:p>
          <w:p>
            <w:pPr>
              <w:pStyle w:val="19"/>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在项目内重要会场、接待大厅等关键区域租摆布置绿化植物，未按沟通要求租摆布置，每处扣0.2分。</w:t>
            </w:r>
          </w:p>
          <w:p>
            <w:pPr>
              <w:pStyle w:val="19"/>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及时更换长势不良的植物，定期进行浇水及修剪养护，保持植物长势良好，无枯枝枯叶，发现问题植物，每处扣0.2分。</w:t>
            </w:r>
          </w:p>
        </w:tc>
        <w:tc>
          <w:tcPr>
            <w:tcW w:w="7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19"/>
              <w:jc w:val="center"/>
              <w:rPr>
                <w:rFonts w:hint="eastAsia" w:asciiTheme="minorEastAsia" w:hAnsiTheme="minorEastAsia" w:eastAsiaTheme="minorEastAsia" w:cstheme="minorEastAsia"/>
                <w:sz w:val="18"/>
                <w:szCs w:val="18"/>
              </w:rPr>
            </w:pPr>
          </w:p>
        </w:tc>
        <w:tc>
          <w:tcPr>
            <w:tcW w:w="687" w:type="dxa"/>
            <w:tcBorders>
              <w:top w:val="single" w:color="000000" w:sz="4" w:space="0"/>
              <w:left w:val="single" w:color="000000" w:sz="4" w:space="0"/>
              <w:bottom w:val="single" w:color="000000" w:sz="4" w:space="0"/>
            </w:tcBorders>
            <w:tcMar>
              <w:top w:w="12" w:type="dxa"/>
              <w:left w:w="12" w:type="dxa"/>
              <w:right w:w="12" w:type="dxa"/>
            </w:tcMar>
            <w:vAlign w:val="center"/>
          </w:tcPr>
          <w:p>
            <w:pPr>
              <w:pStyle w:val="19"/>
              <w:jc w:val="center"/>
              <w:rPr>
                <w:rFonts w:hint="eastAsia" w:asciiTheme="minorEastAsia" w:hAnsiTheme="minorEastAsia" w:eastAsiaTheme="minorEastAsia" w:cstheme="minorEastAsia"/>
                <w:sz w:val="18"/>
                <w:szCs w:val="18"/>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PrEx>
        <w:trPr>
          <w:trHeight w:val="436" w:hRule="atLeast"/>
          <w:jc w:val="center"/>
        </w:trPr>
        <w:tc>
          <w:tcPr>
            <w:tcW w:w="8609" w:type="dxa"/>
            <w:gridSpan w:val="7"/>
            <w:tcBorders>
              <w:top w:val="single" w:color="000000" w:sz="4" w:space="0"/>
              <w:bottom w:val="single" w:color="000000" w:sz="4" w:space="0"/>
            </w:tcBorders>
            <w:noWrap/>
            <w:tcMar>
              <w:top w:w="12" w:type="dxa"/>
              <w:left w:w="12" w:type="dxa"/>
              <w:right w:w="12" w:type="dxa"/>
            </w:tcMar>
            <w:vAlign w:val="center"/>
          </w:tcPr>
          <w:p>
            <w:pP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snapToGrid/>
                <w:color w:val="auto"/>
                <w:kern w:val="2"/>
                <w:sz w:val="18"/>
                <w:szCs w:val="18"/>
                <w:lang w:eastAsia="zh-CN"/>
              </w:rPr>
              <w:t>中标人根据采购人提供的政府方绩效考核要求制定本物业的“管理分项标准”，作为本合同的附件。若政府方绩效考核要求调整的，采购人有权即时调整，中标人必须无条件响应。</w:t>
            </w:r>
          </w:p>
        </w:tc>
      </w:tr>
    </w:tbl>
    <w:p>
      <w:pPr>
        <w:jc w:val="center"/>
        <w:rPr>
          <w:rFonts w:hint="eastAsia" w:asciiTheme="minorEastAsia" w:hAnsiTheme="minorEastAsia" w:eastAsiaTheme="minorEastAsia" w:cstheme="minorEastAsia"/>
          <w:b/>
          <w:bCs/>
          <w:color w:val="auto"/>
          <w:lang w:eastAsia="zh-CN"/>
        </w:rPr>
      </w:pPr>
    </w:p>
    <w:p>
      <w:pPr>
        <w:pStyle w:val="6"/>
        <w:spacing w:before="96" w:line="259" w:lineRule="auto"/>
        <w:ind w:left="21" w:right="83" w:firstLine="455"/>
        <w:rPr>
          <w:rFonts w:hint="eastAsia" w:asciiTheme="minorEastAsia" w:hAnsiTheme="minorEastAsia" w:eastAsiaTheme="minorEastAsia" w:cstheme="minorEastAsia"/>
          <w:color w:val="auto"/>
          <w:spacing w:val="-3"/>
          <w:highlight w:val="none"/>
          <w:lang w:eastAsia="zh-CN"/>
        </w:rPr>
      </w:pPr>
      <w:r>
        <w:rPr>
          <w:rFonts w:hint="eastAsia" w:asciiTheme="minorEastAsia" w:hAnsiTheme="minorEastAsia" w:eastAsiaTheme="minorEastAsia" w:cstheme="minorEastAsia"/>
          <w:color w:val="auto"/>
          <w:spacing w:val="-3"/>
          <w:highlight w:val="none"/>
          <w:lang w:eastAsia="zh-CN"/>
        </w:rPr>
        <w:t>绩效考核费用=当年物业管理费*5%，</w:t>
      </w:r>
    </w:p>
    <w:p>
      <w:pPr>
        <w:pStyle w:val="6"/>
        <w:spacing w:before="96" w:line="259" w:lineRule="auto"/>
        <w:ind w:left="21" w:right="83" w:firstLine="455"/>
        <w:rPr>
          <w:rFonts w:hint="eastAsia" w:asciiTheme="minorEastAsia" w:hAnsiTheme="minorEastAsia" w:eastAsiaTheme="minorEastAsia" w:cstheme="minorEastAsia"/>
          <w:color w:val="auto"/>
          <w:spacing w:val="-3"/>
          <w:lang w:eastAsia="zh-CN"/>
        </w:rPr>
      </w:pPr>
      <w:r>
        <w:rPr>
          <w:rFonts w:hint="eastAsia" w:asciiTheme="minorEastAsia" w:hAnsiTheme="minorEastAsia" w:eastAsiaTheme="minorEastAsia" w:cstheme="minorEastAsia"/>
          <w:color w:val="auto"/>
          <w:spacing w:val="-3"/>
          <w:lang w:eastAsia="zh-CN"/>
        </w:rPr>
        <w:t>考核标准： 每季度考核一次，服务期最后一次考核完成后，年度绩效考核得分为全部季度考核结果的算数平均数。依据考核结果，按得分高低分为优秀、合格、不合格3个等级。经满意度调查结果当年一次“不合格”的物业管理单位， 自行终止服务合同， 不再续签下一年度物业合同， 由此产生的一切法律后果及所有相关费用由物业管理单位承担。</w:t>
      </w:r>
    </w:p>
    <w:p>
      <w:pPr>
        <w:pStyle w:val="6"/>
        <w:spacing w:before="96" w:line="259" w:lineRule="auto"/>
        <w:ind w:left="21" w:right="83" w:firstLine="455"/>
        <w:rPr>
          <w:rFonts w:hint="eastAsia" w:asciiTheme="minorEastAsia" w:hAnsiTheme="minorEastAsia" w:eastAsiaTheme="minorEastAsia" w:cstheme="minorEastAsia"/>
          <w:color w:val="auto"/>
          <w:spacing w:val="-3"/>
          <w:lang w:eastAsia="zh-CN"/>
        </w:rPr>
      </w:pP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3"/>
        <w:gridCol w:w="1982"/>
        <w:gridCol w:w="3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544" w:type="pct"/>
            <w:shd w:val="clear" w:color="auto" w:fill="D9D9D9"/>
            <w:vAlign w:val="center"/>
          </w:tcPr>
          <w:p>
            <w:pPr>
              <w:pStyle w:val="6"/>
              <w:jc w:val="center"/>
              <w:rPr>
                <w:rFonts w:hint="eastAsia" w:asciiTheme="minorEastAsia" w:hAnsiTheme="minorEastAsia" w:eastAsiaTheme="minorEastAsia" w:cstheme="minorEastAsia"/>
                <w:color w:val="auto"/>
                <w:spacing w:val="-3"/>
              </w:rPr>
            </w:pPr>
            <w:r>
              <w:rPr>
                <w:rFonts w:hint="eastAsia" w:asciiTheme="minorEastAsia" w:hAnsiTheme="minorEastAsia" w:eastAsiaTheme="minorEastAsia" w:cstheme="minorEastAsia"/>
                <w:color w:val="auto"/>
                <w:spacing w:val="-3"/>
                <w:lang w:eastAsia="zh-CN"/>
              </w:rPr>
              <w:t>年度</w:t>
            </w:r>
            <w:r>
              <w:rPr>
                <w:rFonts w:hint="eastAsia" w:asciiTheme="minorEastAsia" w:hAnsiTheme="minorEastAsia" w:eastAsiaTheme="minorEastAsia" w:cstheme="minorEastAsia"/>
                <w:color w:val="auto"/>
                <w:spacing w:val="-3"/>
              </w:rPr>
              <w:t>绩效考核得分</w:t>
            </w:r>
          </w:p>
        </w:tc>
        <w:tc>
          <w:tcPr>
            <w:tcW w:w="1149" w:type="pct"/>
            <w:shd w:val="clear" w:color="auto" w:fill="D9D9D9"/>
            <w:vAlign w:val="center"/>
          </w:tcPr>
          <w:p>
            <w:pPr>
              <w:pStyle w:val="6"/>
              <w:jc w:val="center"/>
              <w:rPr>
                <w:rFonts w:hint="eastAsia" w:asciiTheme="minorEastAsia" w:hAnsiTheme="minorEastAsia" w:eastAsiaTheme="minorEastAsia" w:cstheme="minorEastAsia"/>
                <w:color w:val="auto"/>
                <w:spacing w:val="-3"/>
                <w:lang w:eastAsia="zh-CN"/>
              </w:rPr>
            </w:pPr>
            <w:r>
              <w:rPr>
                <w:rFonts w:hint="eastAsia" w:asciiTheme="minorEastAsia" w:hAnsiTheme="minorEastAsia" w:eastAsiaTheme="minorEastAsia" w:cstheme="minorEastAsia"/>
                <w:color w:val="auto"/>
                <w:spacing w:val="-3"/>
                <w:lang w:eastAsia="zh-CN"/>
              </w:rPr>
              <w:t>认定等级</w:t>
            </w:r>
          </w:p>
        </w:tc>
        <w:tc>
          <w:tcPr>
            <w:tcW w:w="2305" w:type="pct"/>
            <w:shd w:val="clear" w:color="auto" w:fill="D9D9D9"/>
            <w:vAlign w:val="center"/>
          </w:tcPr>
          <w:p>
            <w:pPr>
              <w:pStyle w:val="6"/>
              <w:jc w:val="center"/>
              <w:rPr>
                <w:rFonts w:hint="eastAsia" w:asciiTheme="minorEastAsia" w:hAnsiTheme="minorEastAsia" w:eastAsiaTheme="minorEastAsia" w:cstheme="minorEastAsia"/>
                <w:color w:val="auto"/>
                <w:spacing w:val="-3"/>
                <w:lang w:eastAsia="zh-CN"/>
              </w:rPr>
            </w:pPr>
            <w:r>
              <w:rPr>
                <w:rFonts w:hint="eastAsia" w:asciiTheme="minorEastAsia" w:hAnsiTheme="minorEastAsia" w:eastAsiaTheme="minorEastAsia" w:cstheme="minorEastAsia"/>
                <w:color w:val="auto"/>
                <w:spacing w:val="-3"/>
                <w:lang w:eastAsia="zh-CN"/>
              </w:rPr>
              <w:t>考核应用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544" w:type="pct"/>
            <w:vAlign w:val="center"/>
          </w:tcPr>
          <w:p>
            <w:pPr>
              <w:spacing w:before="96" w:line="259" w:lineRule="auto"/>
              <w:ind w:left="21" w:right="83" w:firstLine="455"/>
              <w:rPr>
                <w:rFonts w:hint="eastAsia" w:asciiTheme="minorEastAsia" w:hAnsiTheme="minorEastAsia" w:eastAsiaTheme="minorEastAsia" w:cstheme="minorEastAsia"/>
                <w:color w:val="auto"/>
                <w:spacing w:val="-3"/>
                <w:lang w:eastAsia="zh-CN"/>
              </w:rPr>
            </w:pPr>
            <w:r>
              <w:rPr>
                <w:rFonts w:hint="eastAsia" w:asciiTheme="minorEastAsia" w:hAnsiTheme="minorEastAsia" w:eastAsiaTheme="minorEastAsia" w:cstheme="minorEastAsia"/>
                <w:color w:val="auto"/>
                <w:spacing w:val="-3"/>
                <w:lang w:eastAsia="zh-CN"/>
              </w:rPr>
              <w:t>F≥85</w:t>
            </w:r>
          </w:p>
        </w:tc>
        <w:tc>
          <w:tcPr>
            <w:tcW w:w="1149" w:type="pct"/>
            <w:vAlign w:val="center"/>
          </w:tcPr>
          <w:p>
            <w:pPr>
              <w:spacing w:before="96" w:line="259" w:lineRule="auto"/>
              <w:ind w:left="21" w:right="83" w:firstLine="455"/>
              <w:rPr>
                <w:rFonts w:hint="eastAsia" w:asciiTheme="minorEastAsia" w:hAnsiTheme="minorEastAsia" w:eastAsiaTheme="minorEastAsia" w:cstheme="minorEastAsia"/>
                <w:color w:val="auto"/>
                <w:spacing w:val="-3"/>
                <w:lang w:eastAsia="zh-CN"/>
              </w:rPr>
            </w:pPr>
            <w:r>
              <w:rPr>
                <w:rFonts w:hint="eastAsia" w:asciiTheme="minorEastAsia" w:hAnsiTheme="minorEastAsia" w:eastAsiaTheme="minorEastAsia" w:cstheme="minorEastAsia"/>
                <w:color w:val="auto"/>
                <w:spacing w:val="-3"/>
                <w:lang w:eastAsia="zh-CN"/>
              </w:rPr>
              <w:t xml:space="preserve"> 优秀</w:t>
            </w:r>
          </w:p>
        </w:tc>
        <w:tc>
          <w:tcPr>
            <w:tcW w:w="2305" w:type="pct"/>
            <w:vAlign w:val="center"/>
          </w:tcPr>
          <w:p>
            <w:pPr>
              <w:spacing w:before="96" w:line="259" w:lineRule="auto"/>
              <w:ind w:left="21" w:right="83" w:firstLine="455"/>
              <w:rPr>
                <w:rFonts w:hint="eastAsia" w:asciiTheme="minorEastAsia" w:hAnsiTheme="minorEastAsia" w:eastAsiaTheme="minorEastAsia" w:cstheme="minorEastAsia"/>
                <w:color w:val="auto"/>
                <w:spacing w:val="-3"/>
                <w:lang w:eastAsia="zh-CN"/>
              </w:rPr>
            </w:pPr>
            <w:r>
              <w:rPr>
                <w:rFonts w:hint="eastAsia" w:asciiTheme="minorEastAsia" w:hAnsiTheme="minorEastAsia" w:eastAsiaTheme="minorEastAsia" w:cstheme="minorEastAsia"/>
                <w:color w:val="auto"/>
                <w:spacing w:val="-3"/>
                <w:lang w:eastAsia="zh-CN"/>
              </w:rPr>
              <w:t>绩效考核费用全额支付，并续约次年合同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544" w:type="pct"/>
            <w:vAlign w:val="center"/>
          </w:tcPr>
          <w:p>
            <w:pPr>
              <w:spacing w:before="96" w:line="259" w:lineRule="auto"/>
              <w:ind w:left="21" w:right="83" w:firstLine="455"/>
              <w:rPr>
                <w:rFonts w:hint="eastAsia" w:asciiTheme="minorEastAsia" w:hAnsiTheme="minorEastAsia" w:eastAsiaTheme="minorEastAsia" w:cstheme="minorEastAsia"/>
                <w:color w:val="auto"/>
                <w:spacing w:val="-3"/>
                <w:lang w:eastAsia="zh-CN"/>
              </w:rPr>
            </w:pPr>
            <w:r>
              <w:rPr>
                <w:rFonts w:hint="eastAsia" w:asciiTheme="minorEastAsia" w:hAnsiTheme="minorEastAsia" w:eastAsiaTheme="minorEastAsia" w:cstheme="minorEastAsia"/>
                <w:color w:val="auto"/>
                <w:spacing w:val="-3"/>
                <w:lang w:eastAsia="zh-CN"/>
              </w:rPr>
              <w:t>85＞F≥60</w:t>
            </w:r>
          </w:p>
        </w:tc>
        <w:tc>
          <w:tcPr>
            <w:tcW w:w="1149" w:type="pct"/>
            <w:vAlign w:val="center"/>
          </w:tcPr>
          <w:p>
            <w:pPr>
              <w:spacing w:before="96" w:line="259" w:lineRule="auto"/>
              <w:ind w:left="21" w:right="83" w:firstLine="455"/>
              <w:rPr>
                <w:rFonts w:hint="eastAsia" w:asciiTheme="minorEastAsia" w:hAnsiTheme="minorEastAsia" w:eastAsiaTheme="minorEastAsia" w:cstheme="minorEastAsia"/>
                <w:color w:val="auto"/>
                <w:spacing w:val="-3"/>
                <w:lang w:eastAsia="zh-CN"/>
              </w:rPr>
            </w:pPr>
            <w:r>
              <w:rPr>
                <w:rFonts w:hint="eastAsia" w:asciiTheme="minorEastAsia" w:hAnsiTheme="minorEastAsia" w:eastAsiaTheme="minorEastAsia" w:cstheme="minorEastAsia"/>
                <w:color w:val="auto"/>
                <w:spacing w:val="-3"/>
                <w:lang w:eastAsia="zh-CN"/>
              </w:rPr>
              <w:t xml:space="preserve"> 合格</w:t>
            </w:r>
          </w:p>
        </w:tc>
        <w:tc>
          <w:tcPr>
            <w:tcW w:w="2305" w:type="pct"/>
            <w:vAlign w:val="center"/>
          </w:tcPr>
          <w:p>
            <w:pPr>
              <w:spacing w:before="96" w:line="259" w:lineRule="auto"/>
              <w:ind w:left="21" w:right="83" w:firstLine="455"/>
              <w:rPr>
                <w:rFonts w:hint="eastAsia" w:asciiTheme="minorEastAsia" w:hAnsiTheme="minorEastAsia" w:eastAsiaTheme="minorEastAsia" w:cstheme="minorEastAsia"/>
                <w:color w:val="auto"/>
                <w:spacing w:val="-3"/>
                <w:lang w:eastAsia="zh-CN"/>
              </w:rPr>
            </w:pPr>
            <w:r>
              <w:rPr>
                <w:rFonts w:hint="eastAsia" w:asciiTheme="minorEastAsia" w:hAnsiTheme="minorEastAsia" w:eastAsiaTheme="minorEastAsia" w:cstheme="minorEastAsia"/>
                <w:color w:val="auto"/>
                <w:spacing w:val="-3"/>
                <w:lang w:eastAsia="zh-CN"/>
              </w:rPr>
              <w:t>绩效考核费用全额扣除，并续约次年合同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544" w:type="pct"/>
            <w:vAlign w:val="center"/>
          </w:tcPr>
          <w:p>
            <w:pPr>
              <w:ind w:firstLine="525" w:firstLineChars="25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F＜60</w:t>
            </w:r>
          </w:p>
        </w:tc>
        <w:tc>
          <w:tcPr>
            <w:tcW w:w="1149" w:type="pct"/>
            <w:vAlign w:val="center"/>
          </w:tcPr>
          <w:p>
            <w:pP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 xml:space="preserve">     不合格</w:t>
            </w:r>
          </w:p>
        </w:tc>
        <w:tc>
          <w:tcPr>
            <w:tcW w:w="2305" w:type="pct"/>
            <w:vAlign w:val="center"/>
          </w:tcPr>
          <w:p>
            <w:pPr>
              <w:ind w:firstLine="42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绩效考核费用全额扣除，合同终止</w:t>
            </w:r>
          </w:p>
        </w:tc>
      </w:tr>
    </w:tbl>
    <w:p>
      <w:pPr>
        <w:pStyle w:val="6"/>
        <w:spacing w:before="93" w:line="273" w:lineRule="auto"/>
        <w:ind w:left="20" w:right="27" w:firstLine="441"/>
        <w:rPr>
          <w:rFonts w:ascii="Times New Roman" w:hAnsi="Times New Roman" w:eastAsia="Times New Roman" w:cs="Times New Roman"/>
          <w:color w:val="auto"/>
          <w:spacing w:val="-2"/>
          <w:lang w:eastAsia="zh-CN"/>
        </w:rPr>
      </w:pPr>
    </w:p>
    <w:p>
      <w:pPr>
        <w:spacing w:before="104" w:line="218" w:lineRule="auto"/>
        <w:ind w:left="2996"/>
        <w:rPr>
          <w:rFonts w:ascii="黑体" w:hAnsi="黑体" w:eastAsia="黑体" w:cs="黑体"/>
          <w:color w:val="auto"/>
          <w:spacing w:val="-4"/>
          <w:sz w:val="30"/>
          <w:szCs w:val="30"/>
          <w:lang w:eastAsia="zh-CN"/>
        </w:rPr>
      </w:pPr>
    </w:p>
    <w:p>
      <w:pPr>
        <w:ind w:firstLine="420" w:firstLineChars="200"/>
        <w:rPr>
          <w:rFonts w:ascii="宋体" w:hAnsi="宋体" w:eastAsia="宋体" w:cs="宋体"/>
          <w:color w:val="auto"/>
          <w:lang w:eastAsia="zh-CN"/>
        </w:rPr>
      </w:pPr>
    </w:p>
    <w:sectPr>
      <w:footerReference r:id="rId3" w:type="default"/>
      <w:pgSz w:w="11907" w:h="16839"/>
      <w:pgMar w:top="1431" w:right="1714" w:bottom="1234" w:left="1785" w:header="0" w:footer="10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6" name="文本框 5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W&#10;AAAAZHJzL1BLAQIUABQAAAAIAIdO4kCzSVju0AAAAAUBAAAPAAAAAAAAAAEAIAAAADgAAABkcnMv&#10;ZG93bnJldi54bWxQSwECFAAUAAAACACHTuJAeVnB/y4CAABZBAAADgAAAAAAAAABACAAAAA1AQAA&#10;ZHJzL2Uyb0RvYy54bWxQSwUGAAAAAAYABgBZAQAA1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iNDk3Y2MwMDRjYmEyYmQwMmQ5NTI1N2M1MDljNDcifQ=="/>
  </w:docVars>
  <w:rsids>
    <w:rsidRoot w:val="007B1943"/>
    <w:rsid w:val="00033BF0"/>
    <w:rsid w:val="00044BB8"/>
    <w:rsid w:val="000524E9"/>
    <w:rsid w:val="000B5C6D"/>
    <w:rsid w:val="00101D2B"/>
    <w:rsid w:val="00106CD4"/>
    <w:rsid w:val="00132684"/>
    <w:rsid w:val="00183760"/>
    <w:rsid w:val="00195783"/>
    <w:rsid w:val="001E0EDB"/>
    <w:rsid w:val="00300518"/>
    <w:rsid w:val="003042E9"/>
    <w:rsid w:val="003A6991"/>
    <w:rsid w:val="003E5EF6"/>
    <w:rsid w:val="00412A99"/>
    <w:rsid w:val="004A0A22"/>
    <w:rsid w:val="004F54C8"/>
    <w:rsid w:val="005400CA"/>
    <w:rsid w:val="00595290"/>
    <w:rsid w:val="005A0518"/>
    <w:rsid w:val="005A2001"/>
    <w:rsid w:val="005F5DA4"/>
    <w:rsid w:val="006168EB"/>
    <w:rsid w:val="00666BE2"/>
    <w:rsid w:val="006810D1"/>
    <w:rsid w:val="006A7110"/>
    <w:rsid w:val="007155DE"/>
    <w:rsid w:val="0072114B"/>
    <w:rsid w:val="00725F8D"/>
    <w:rsid w:val="00737A0C"/>
    <w:rsid w:val="00753750"/>
    <w:rsid w:val="007823D8"/>
    <w:rsid w:val="007953E0"/>
    <w:rsid w:val="00795BE8"/>
    <w:rsid w:val="007B1943"/>
    <w:rsid w:val="00854A9C"/>
    <w:rsid w:val="008C71B6"/>
    <w:rsid w:val="008E12A2"/>
    <w:rsid w:val="00942474"/>
    <w:rsid w:val="009E33F6"/>
    <w:rsid w:val="00B66B8B"/>
    <w:rsid w:val="00B96796"/>
    <w:rsid w:val="00BA19C9"/>
    <w:rsid w:val="00C45DBB"/>
    <w:rsid w:val="00D0602D"/>
    <w:rsid w:val="00D82FEC"/>
    <w:rsid w:val="00DB46F0"/>
    <w:rsid w:val="00DD5B9A"/>
    <w:rsid w:val="00DF1BC2"/>
    <w:rsid w:val="00E5060E"/>
    <w:rsid w:val="00E665D5"/>
    <w:rsid w:val="00E6704A"/>
    <w:rsid w:val="00E74A7B"/>
    <w:rsid w:val="00E86284"/>
    <w:rsid w:val="00EA15F8"/>
    <w:rsid w:val="00EC567E"/>
    <w:rsid w:val="00F6580B"/>
    <w:rsid w:val="00F94FA6"/>
    <w:rsid w:val="00FA5530"/>
    <w:rsid w:val="00FD0C7C"/>
    <w:rsid w:val="00FE4F8A"/>
    <w:rsid w:val="00FF6AB7"/>
    <w:rsid w:val="08BB2A16"/>
    <w:rsid w:val="102D0587"/>
    <w:rsid w:val="11A778F1"/>
    <w:rsid w:val="13450517"/>
    <w:rsid w:val="187D71DB"/>
    <w:rsid w:val="19FD65A3"/>
    <w:rsid w:val="1B7C337A"/>
    <w:rsid w:val="1FF8682A"/>
    <w:rsid w:val="20FD4E05"/>
    <w:rsid w:val="218A39B8"/>
    <w:rsid w:val="22765996"/>
    <w:rsid w:val="23863CED"/>
    <w:rsid w:val="263742CE"/>
    <w:rsid w:val="2747517D"/>
    <w:rsid w:val="277721BC"/>
    <w:rsid w:val="29736AC1"/>
    <w:rsid w:val="2A266788"/>
    <w:rsid w:val="2F1634B0"/>
    <w:rsid w:val="2FDEBF70"/>
    <w:rsid w:val="2FE011C3"/>
    <w:rsid w:val="323D5BFB"/>
    <w:rsid w:val="361E035F"/>
    <w:rsid w:val="371E028D"/>
    <w:rsid w:val="39FC665F"/>
    <w:rsid w:val="3D38629A"/>
    <w:rsid w:val="4926552B"/>
    <w:rsid w:val="4ACA5F89"/>
    <w:rsid w:val="4BBF03DA"/>
    <w:rsid w:val="4BDC19DD"/>
    <w:rsid w:val="4CAA13A5"/>
    <w:rsid w:val="4E1476FC"/>
    <w:rsid w:val="532211ED"/>
    <w:rsid w:val="53AC2968"/>
    <w:rsid w:val="592E4355"/>
    <w:rsid w:val="5BCE470B"/>
    <w:rsid w:val="5CE943C9"/>
    <w:rsid w:val="5F6755EC"/>
    <w:rsid w:val="61697453"/>
    <w:rsid w:val="631C1F4F"/>
    <w:rsid w:val="658376AB"/>
    <w:rsid w:val="66AC2EC8"/>
    <w:rsid w:val="68621ACF"/>
    <w:rsid w:val="72C021BE"/>
    <w:rsid w:val="73EFFCC2"/>
    <w:rsid w:val="73FFFBE5"/>
    <w:rsid w:val="79A712A5"/>
    <w:rsid w:val="79E41D86"/>
    <w:rsid w:val="7BBE5122"/>
    <w:rsid w:val="7D414BC7"/>
    <w:rsid w:val="7E3A6008"/>
    <w:rsid w:val="7F7D0BFE"/>
    <w:rsid w:val="7FBE4A24"/>
    <w:rsid w:val="7FF6009D"/>
    <w:rsid w:val="B8CB5D33"/>
    <w:rsid w:val="B9DED70F"/>
    <w:rsid w:val="BAFE6190"/>
    <w:rsid w:val="BEFF560A"/>
    <w:rsid w:val="C8DFA1E9"/>
    <w:rsid w:val="CBFEA7F5"/>
    <w:rsid w:val="CF7AF814"/>
    <w:rsid w:val="D1FF7835"/>
    <w:rsid w:val="DFFE4595"/>
    <w:rsid w:val="F5AF3572"/>
    <w:rsid w:val="FB766058"/>
    <w:rsid w:val="FDFF3DFB"/>
    <w:rsid w:val="FDFF91D3"/>
    <w:rsid w:val="FEC36026"/>
    <w:rsid w:val="FEFFD532"/>
    <w:rsid w:val="FF133ADA"/>
    <w:rsid w:val="FF7F6466"/>
    <w:rsid w:val="FFF01DDA"/>
    <w:rsid w:val="FFFBE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autoRedefine/>
    <w:qFormat/>
    <w:uiPriority w:val="9"/>
    <w:pPr>
      <w:spacing w:line="511" w:lineRule="exact"/>
      <w:ind w:right="419"/>
      <w:jc w:val="center"/>
      <w:outlineLvl w:val="0"/>
    </w:pPr>
    <w:rPr>
      <w:rFonts w:ascii="Microsoft JhengHei" w:hAnsi="Microsoft JhengHei" w:eastAsia="Microsoft JhengHei" w:cs="Microsoft JhengHei"/>
      <w:b/>
      <w:bCs/>
      <w:sz w:val="30"/>
      <w:szCs w:val="30"/>
    </w:rPr>
  </w:style>
  <w:style w:type="paragraph" w:styleId="3">
    <w:name w:val="heading 2"/>
    <w:basedOn w:val="1"/>
    <w:next w:val="1"/>
    <w:autoRedefine/>
    <w:qFormat/>
    <w:uiPriority w:val="0"/>
    <w:pPr>
      <w:spacing w:before="200" w:after="200"/>
      <w:outlineLvl w:val="1"/>
    </w:pPr>
  </w:style>
  <w:style w:type="paragraph" w:styleId="4">
    <w:name w:val="heading 3"/>
    <w:basedOn w:val="1"/>
    <w:next w:val="1"/>
    <w:semiHidden/>
    <w:unhideWhenUsed/>
    <w:qFormat/>
    <w:uiPriority w:val="0"/>
    <w:pPr>
      <w:spacing w:beforeAutospacing="1" w:afterAutospacing="1"/>
      <w:outlineLvl w:val="2"/>
    </w:pPr>
    <w:rPr>
      <w:rFonts w:hint="eastAsia" w:ascii="宋体" w:hAnsi="宋体" w:eastAsia="宋体" w:cs="Times New Roman"/>
      <w:b/>
      <w:bCs/>
      <w:sz w:val="27"/>
      <w:szCs w:val="27"/>
      <w:lang w:eastAsia="zh-CN"/>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7"/>
    <w:autoRedefine/>
    <w:qFormat/>
    <w:uiPriority w:val="0"/>
  </w:style>
  <w:style w:type="paragraph" w:styleId="6">
    <w:name w:val="Body Text"/>
    <w:basedOn w:val="1"/>
    <w:autoRedefine/>
    <w:semiHidden/>
    <w:qFormat/>
    <w:uiPriority w:val="0"/>
    <w:rPr>
      <w:rFonts w:ascii="宋体" w:hAnsi="宋体" w:eastAsia="宋体" w:cs="宋体"/>
      <w:sz w:val="22"/>
      <w:szCs w:val="22"/>
    </w:rPr>
  </w:style>
  <w:style w:type="paragraph" w:styleId="7">
    <w:name w:val="Plain Text"/>
    <w:basedOn w:val="1"/>
    <w:qFormat/>
    <w:uiPriority w:val="0"/>
    <w:rPr>
      <w:rFonts w:ascii="宋体" w:hAnsi="Courier New"/>
      <w:szCs w:val="20"/>
    </w:rPr>
  </w:style>
  <w:style w:type="paragraph" w:styleId="8">
    <w:name w:val="Date"/>
    <w:basedOn w:val="1"/>
    <w:next w:val="1"/>
    <w:link w:val="30"/>
    <w:autoRedefine/>
    <w:qFormat/>
    <w:uiPriority w:val="0"/>
    <w:pPr>
      <w:ind w:left="100" w:leftChars="2500"/>
    </w:pPr>
  </w:style>
  <w:style w:type="paragraph" w:styleId="9">
    <w:name w:val="Balloon Text"/>
    <w:basedOn w:val="1"/>
    <w:link w:val="26"/>
    <w:autoRedefine/>
    <w:qFormat/>
    <w:uiPriority w:val="0"/>
    <w:rPr>
      <w:sz w:val="18"/>
      <w:szCs w:val="18"/>
    </w:rPr>
  </w:style>
  <w:style w:type="paragraph" w:styleId="10">
    <w:name w:val="footer"/>
    <w:basedOn w:val="1"/>
    <w:link w:val="25"/>
    <w:autoRedefine/>
    <w:qFormat/>
    <w:uiPriority w:val="0"/>
    <w:pPr>
      <w:tabs>
        <w:tab w:val="center" w:pos="4153"/>
        <w:tab w:val="right" w:pos="8306"/>
      </w:tabs>
    </w:pPr>
    <w:rPr>
      <w:sz w:val="18"/>
      <w:szCs w:val="18"/>
    </w:rPr>
  </w:style>
  <w:style w:type="paragraph" w:styleId="11">
    <w:name w:val="header"/>
    <w:basedOn w:val="1"/>
    <w:link w:val="24"/>
    <w:autoRedefine/>
    <w:qFormat/>
    <w:uiPriority w:val="0"/>
    <w:pPr>
      <w:pBdr>
        <w:bottom w:val="single" w:color="auto" w:sz="6" w:space="1"/>
      </w:pBdr>
      <w:tabs>
        <w:tab w:val="center" w:pos="4153"/>
        <w:tab w:val="right" w:pos="8306"/>
      </w:tabs>
      <w:jc w:val="center"/>
    </w:pPr>
    <w:rPr>
      <w:sz w:val="18"/>
      <w:szCs w:val="18"/>
    </w:rPr>
  </w:style>
  <w:style w:type="paragraph" w:styleId="12">
    <w:name w:val="List"/>
    <w:basedOn w:val="1"/>
    <w:autoRedefine/>
    <w:qFormat/>
    <w:uiPriority w:val="0"/>
    <w:pPr>
      <w:ind w:left="200" w:hanging="200" w:hangingChars="200"/>
    </w:pPr>
    <w:rPr>
      <w:rFonts w:ascii="Times New Roman" w:hAnsi="Times New Roman"/>
      <w:szCs w:val="24"/>
    </w:rPr>
  </w:style>
  <w:style w:type="paragraph" w:styleId="13">
    <w:name w:val="annotation subject"/>
    <w:basedOn w:val="5"/>
    <w:next w:val="5"/>
    <w:link w:val="28"/>
    <w:autoRedefine/>
    <w:qFormat/>
    <w:uiPriority w:val="0"/>
    <w:rPr>
      <w:b/>
      <w:bCs/>
    </w:rPr>
  </w:style>
  <w:style w:type="character" w:styleId="16">
    <w:name w:val="annotation reference"/>
    <w:basedOn w:val="15"/>
    <w:autoRedefine/>
    <w:qFormat/>
    <w:uiPriority w:val="0"/>
    <w:rPr>
      <w:sz w:val="21"/>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paragraph" w:customStyle="1" w:styleId="18">
    <w:name w:val="Table Text"/>
    <w:basedOn w:val="1"/>
    <w:autoRedefine/>
    <w:semiHidden/>
    <w:qFormat/>
    <w:uiPriority w:val="0"/>
    <w:rPr>
      <w:rFonts w:ascii="宋体" w:hAnsi="宋体" w:eastAsia="宋体" w:cs="宋体"/>
    </w:rPr>
  </w:style>
  <w:style w:type="paragraph" w:styleId="19">
    <w:name w:val="No Spacing"/>
    <w:autoRedefine/>
    <w:qFormat/>
    <w:uiPriority w:val="1"/>
    <w:pPr>
      <w:widowControl w:val="0"/>
      <w:jc w:val="both"/>
    </w:pPr>
    <w:rPr>
      <w:rFonts w:ascii="Times New Roman" w:hAnsi="Times New Roman" w:eastAsia="宋体" w:cs="Times New Roman"/>
      <w:kern w:val="2"/>
      <w:szCs w:val="22"/>
      <w:lang w:val="en-US" w:eastAsia="zh-CN" w:bidi="ar-SA"/>
    </w:rPr>
  </w:style>
  <w:style w:type="paragraph" w:customStyle="1" w:styleId="20">
    <w:name w:val="正文1"/>
    <w:basedOn w:val="1"/>
    <w:autoRedefine/>
    <w:qFormat/>
    <w:uiPriority w:val="0"/>
    <w:pPr>
      <w:ind w:firstLine="480" w:firstLineChars="200"/>
      <w:jc w:val="both"/>
    </w:pPr>
    <w:rPr>
      <w:rFonts w:ascii="宋体"/>
    </w:rPr>
  </w:style>
  <w:style w:type="paragraph" w:styleId="21">
    <w:name w:val="List Paragraph"/>
    <w:basedOn w:val="1"/>
    <w:autoRedefine/>
    <w:qFormat/>
    <w:uiPriority w:val="1"/>
    <w:pPr>
      <w:ind w:left="998" w:firstLine="480"/>
    </w:pPr>
  </w:style>
  <w:style w:type="paragraph" w:customStyle="1" w:styleId="22">
    <w:name w:val="Table Paragraph"/>
    <w:basedOn w:val="1"/>
    <w:autoRedefine/>
    <w:qFormat/>
    <w:uiPriority w:val="1"/>
  </w:style>
  <w:style w:type="character" w:customStyle="1" w:styleId="23">
    <w:name w:val="font01"/>
    <w:basedOn w:val="15"/>
    <w:autoRedefine/>
    <w:qFormat/>
    <w:uiPriority w:val="0"/>
    <w:rPr>
      <w:rFonts w:ascii="仿宋_GB2312" w:eastAsia="仿宋_GB2312" w:cs="仿宋_GB2312"/>
      <w:color w:val="000000"/>
      <w:sz w:val="21"/>
      <w:szCs w:val="21"/>
      <w:u w:val="none"/>
    </w:rPr>
  </w:style>
  <w:style w:type="character" w:customStyle="1" w:styleId="24">
    <w:name w:val="页眉 字符"/>
    <w:basedOn w:val="15"/>
    <w:link w:val="11"/>
    <w:autoRedefine/>
    <w:qFormat/>
    <w:uiPriority w:val="0"/>
    <w:rPr>
      <w:rFonts w:ascii="Arial" w:hAnsi="Arial" w:eastAsia="Arial" w:cs="Arial"/>
      <w:snapToGrid w:val="0"/>
      <w:color w:val="000000"/>
      <w:sz w:val="18"/>
      <w:szCs w:val="18"/>
      <w:lang w:eastAsia="en-US"/>
    </w:rPr>
  </w:style>
  <w:style w:type="character" w:customStyle="1" w:styleId="25">
    <w:name w:val="页脚 字符"/>
    <w:basedOn w:val="15"/>
    <w:link w:val="10"/>
    <w:autoRedefine/>
    <w:qFormat/>
    <w:uiPriority w:val="0"/>
    <w:rPr>
      <w:rFonts w:ascii="Arial" w:hAnsi="Arial" w:eastAsia="Arial" w:cs="Arial"/>
      <w:snapToGrid w:val="0"/>
      <w:color w:val="000000"/>
      <w:sz w:val="18"/>
      <w:szCs w:val="18"/>
      <w:lang w:eastAsia="en-US"/>
    </w:rPr>
  </w:style>
  <w:style w:type="character" w:customStyle="1" w:styleId="26">
    <w:name w:val="批注框文本 字符"/>
    <w:basedOn w:val="15"/>
    <w:link w:val="9"/>
    <w:autoRedefine/>
    <w:qFormat/>
    <w:uiPriority w:val="0"/>
    <w:rPr>
      <w:rFonts w:ascii="Arial" w:hAnsi="Arial" w:eastAsia="Arial" w:cs="Arial"/>
      <w:snapToGrid w:val="0"/>
      <w:color w:val="000000"/>
      <w:sz w:val="18"/>
      <w:szCs w:val="18"/>
      <w:lang w:eastAsia="en-US"/>
    </w:rPr>
  </w:style>
  <w:style w:type="character" w:customStyle="1" w:styleId="27">
    <w:name w:val="批注文字 字符"/>
    <w:basedOn w:val="15"/>
    <w:link w:val="5"/>
    <w:autoRedefine/>
    <w:qFormat/>
    <w:uiPriority w:val="0"/>
    <w:rPr>
      <w:rFonts w:ascii="Arial" w:hAnsi="Arial" w:eastAsia="Arial" w:cs="Arial"/>
      <w:snapToGrid w:val="0"/>
      <w:color w:val="000000"/>
      <w:sz w:val="21"/>
      <w:szCs w:val="21"/>
      <w:lang w:eastAsia="en-US"/>
    </w:rPr>
  </w:style>
  <w:style w:type="character" w:customStyle="1" w:styleId="28">
    <w:name w:val="批注主题 字符"/>
    <w:basedOn w:val="27"/>
    <w:link w:val="13"/>
    <w:autoRedefine/>
    <w:qFormat/>
    <w:uiPriority w:val="0"/>
    <w:rPr>
      <w:rFonts w:ascii="Arial" w:hAnsi="Arial" w:eastAsia="Arial" w:cs="Arial"/>
      <w:b/>
      <w:bCs/>
      <w:snapToGrid w:val="0"/>
      <w:color w:val="000000"/>
      <w:sz w:val="21"/>
      <w:szCs w:val="21"/>
      <w:lang w:eastAsia="en-US"/>
    </w:rPr>
  </w:style>
  <w:style w:type="paragraph" w:customStyle="1" w:styleId="29">
    <w:name w:val="修订1"/>
    <w:autoRedefine/>
    <w:hidden/>
    <w:unhideWhenUsed/>
    <w:qFormat/>
    <w:uiPriority w:val="99"/>
    <w:rPr>
      <w:rFonts w:ascii="Arial" w:hAnsi="Arial" w:eastAsia="Arial" w:cs="Arial"/>
      <w:snapToGrid w:val="0"/>
      <w:color w:val="000000"/>
      <w:sz w:val="21"/>
      <w:szCs w:val="21"/>
      <w:lang w:val="en-US" w:eastAsia="en-US" w:bidi="ar-SA"/>
    </w:rPr>
  </w:style>
  <w:style w:type="character" w:customStyle="1" w:styleId="30">
    <w:name w:val="日期 字符"/>
    <w:basedOn w:val="15"/>
    <w:link w:val="8"/>
    <w:autoRedefine/>
    <w:qFormat/>
    <w:uiPriority w:val="0"/>
    <w:rPr>
      <w:rFonts w:ascii="Arial" w:hAnsi="Arial" w:eastAsia="Arial" w:cs="Arial"/>
      <w:snapToGrid w:val="0"/>
      <w:color w:val="000000"/>
      <w:sz w:val="21"/>
      <w:szCs w:val="21"/>
      <w:lang w:eastAsia="en-US"/>
    </w:rPr>
  </w:style>
  <w:style w:type="paragraph" w:customStyle="1" w:styleId="31">
    <w:name w:val="修订2"/>
    <w:autoRedefine/>
    <w:hidden/>
    <w:unhideWhenUsed/>
    <w:qFormat/>
    <w:uiPriority w:val="99"/>
    <w:rPr>
      <w:rFonts w:ascii="Arial" w:hAnsi="Arial" w:eastAsia="Arial" w:cs="Arial"/>
      <w:snapToGrid w:val="0"/>
      <w:color w:val="000000"/>
      <w:sz w:val="21"/>
      <w:szCs w:val="21"/>
      <w:lang w:val="en-US" w:eastAsia="en-US" w:bidi="ar-SA"/>
    </w:rPr>
  </w:style>
  <w:style w:type="character" w:customStyle="1" w:styleId="32">
    <w:name w:val="font41"/>
    <w:basedOn w:val="15"/>
    <w:autoRedefine/>
    <w:qFormat/>
    <w:uiPriority w:val="0"/>
    <w:rPr>
      <w:rFonts w:hint="eastAsia" w:ascii="宋体" w:hAnsi="宋体" w:eastAsia="宋体" w:cs="宋体"/>
      <w:color w:val="000000"/>
      <w:sz w:val="28"/>
      <w:szCs w:val="28"/>
      <w:u w:val="none"/>
    </w:rPr>
  </w:style>
  <w:style w:type="character" w:customStyle="1" w:styleId="33">
    <w:name w:val="font21"/>
    <w:basedOn w:val="15"/>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10</Pages>
  <Words>2935</Words>
  <Characters>3003</Characters>
  <Lines>59</Lines>
  <Paragraphs>16</Paragraphs>
  <TotalTime>20</TotalTime>
  <ScaleCrop>false</ScaleCrop>
  <LinksUpToDate>false</LinksUpToDate>
  <CharactersWithSpaces>3066</CharactersWithSpaces>
  <Application>WPS Office_12.8.2.17008_F1E327BC-269C-435d-A152-05C5408002CA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2024-06-28T21:05:00Z</dcterms:created>
  <dc:creator>Kingsoft-PDF</dc:creator>
  <cp:lastModifiedBy>lxy</cp:lastModifiedBy>
  <dcterms:modified xsi:type="dcterms:W3CDTF">2026-04-13T10:51:42Z</dcterms:modified>
  <dc:subject>pdfbuilder</dc:subject>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2024-02-05T16:40:32Z</vt:filetime>
  </property>
  <property fmtid="{D5CDD505-2E9C-101B-9397-08002B2CF9AE}" pid="4" name="UsrData">
    <vt:lpwstr>65c09efb04313f0020ba1fb0wl</vt:lpwstr>
  </property>
  <property fmtid="{D5CDD505-2E9C-101B-9397-08002B2CF9AE}" pid="5" name="KSOProductBuildVer">
    <vt:lpwstr>2052-12.8.2.17008</vt:lpwstr>
  </property>
  <property fmtid="{D5CDD505-2E9C-101B-9397-08002B2CF9AE}" pid="6" name="ICV">
    <vt:lpwstr>A80BCF0871FAD8B93E5ADC69CEA00D6D_43</vt:lpwstr>
  </property>
  <property fmtid="{D5CDD505-2E9C-101B-9397-08002B2CF9AE}" pid="7" name="KSOTemplateDocerSaveRecord">
    <vt:lpwstr>eyJoZGlkIjoiYzNiOWFlYWRmOGI5YTBlYWJlNTQyY2UyZmVlMDA1Y2UiLCJ1c2VySWQiOiIxNDkzOTIxODg3In0=</vt:lpwstr>
  </property>
</Properties>
</file>