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黑体" w:hAnsi="黑体" w:eastAsia="黑体"/>
          <w:sz w:val="48"/>
          <w:szCs w:val="48"/>
        </w:rPr>
      </w:pPr>
    </w:p>
    <w:p>
      <w:pPr>
        <w:ind w:firstLine="0" w:firstLineChars="0"/>
        <w:jc w:val="center"/>
        <w:rPr>
          <w:rFonts w:ascii="黑体" w:hAnsi="黑体" w:eastAsia="黑体"/>
          <w:sz w:val="48"/>
          <w:szCs w:val="48"/>
        </w:rPr>
      </w:pPr>
    </w:p>
    <w:p>
      <w:pPr>
        <w:pStyle w:val="135"/>
        <w:spacing w:before="326" w:after="326"/>
        <w:rPr>
          <w:rFonts w:hint="eastAsia" w:ascii="黑体" w:hAnsi="黑体"/>
          <w:bCs w:val="0"/>
          <w:sz w:val="52"/>
          <w:szCs w:val="52"/>
        </w:rPr>
      </w:pPr>
      <w:r>
        <w:rPr>
          <w:rFonts w:hint="eastAsia" w:ascii="黑体" w:hAnsi="黑体"/>
          <w:bCs w:val="0"/>
          <w:sz w:val="52"/>
          <w:szCs w:val="52"/>
        </w:rPr>
        <w:t>智慧防汛及调度管理子系统建设</w:t>
      </w:r>
    </w:p>
    <w:p>
      <w:pPr>
        <w:ind w:firstLine="0" w:firstLineChars="0"/>
        <w:jc w:val="center"/>
        <w:rPr>
          <w:rFonts w:ascii="黑体" w:hAnsi="黑体" w:eastAsia="黑体"/>
          <w:sz w:val="52"/>
          <w:szCs w:val="52"/>
        </w:rPr>
      </w:pPr>
      <w:r>
        <w:rPr>
          <w:rFonts w:hint="eastAsia" w:ascii="黑体" w:hAnsi="黑体" w:eastAsia="黑体"/>
          <w:b/>
          <w:sz w:val="52"/>
          <w:szCs w:val="52"/>
        </w:rPr>
        <w:t>项目采购需求</w:t>
      </w:r>
    </w:p>
    <w:p>
      <w:pPr>
        <w:ind w:firstLine="0" w:firstLineChars="0"/>
        <w:jc w:val="center"/>
        <w:rPr>
          <w:rFonts w:ascii="黑体" w:hAnsi="黑体" w:eastAsia="黑体"/>
          <w:sz w:val="72"/>
          <w:szCs w:val="72"/>
        </w:rPr>
      </w:pPr>
    </w:p>
    <w:p>
      <w:pPr>
        <w:ind w:firstLine="0" w:firstLineChars="0"/>
        <w:jc w:val="center"/>
        <w:rPr>
          <w:rFonts w:ascii="黑体" w:hAnsi="黑体" w:eastAsia="黑体"/>
          <w:sz w:val="48"/>
          <w:szCs w:val="48"/>
        </w:rPr>
      </w:pPr>
    </w:p>
    <w:p>
      <w:pPr>
        <w:ind w:firstLine="0" w:firstLineChars="0"/>
        <w:jc w:val="center"/>
        <w:rPr>
          <w:rFonts w:ascii="黑体" w:hAnsi="黑体" w:eastAsia="黑体"/>
          <w:sz w:val="52"/>
          <w:szCs w:val="52"/>
        </w:rPr>
      </w:pPr>
    </w:p>
    <w:p>
      <w:pPr>
        <w:ind w:firstLine="1040"/>
        <w:rPr>
          <w:rFonts w:ascii="黑体" w:hAnsi="黑体" w:eastAsia="黑体"/>
          <w:sz w:val="52"/>
          <w:szCs w:val="52"/>
        </w:rPr>
      </w:pPr>
    </w:p>
    <w:p/>
    <w:p/>
    <w:p/>
    <w:p/>
    <w:p/>
    <w:p>
      <w:pPr>
        <w:ind w:firstLine="1040"/>
        <w:rPr>
          <w:rFonts w:ascii="黑体" w:hAnsi="黑体" w:eastAsia="黑体"/>
          <w:sz w:val="52"/>
          <w:szCs w:val="52"/>
        </w:rPr>
      </w:pPr>
    </w:p>
    <w:p>
      <w:pPr>
        <w:jc w:val="cente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pPr>
        <w:pStyle w:val="2"/>
      </w:pPr>
      <w:bookmarkStart w:id="0" w:name="_Toc63785461"/>
      <w:r>
        <w:rPr>
          <w:rFonts w:hint="eastAsia"/>
        </w:rPr>
        <w:t>项目概况</w:t>
      </w:r>
      <w:bookmarkEnd w:id="0"/>
    </w:p>
    <w:p>
      <w:pPr>
        <w:rPr>
          <w:rFonts w:hint="eastAsia"/>
        </w:rPr>
      </w:pPr>
      <w:r>
        <w:rPr>
          <w:rFonts w:hint="eastAsia"/>
        </w:rPr>
        <w:t>安全是发展的前提，发展是安全的保障。统筹发展和安全是我们党治国理政的一个重大原则。尽管经过多年建设，上海这座超大城市已基本形成了抵御水旱灾害的防御体系，但在全球气候变暖的大背景下，新问题新风险正不断产生，上海水安全面临着新挑战。</w:t>
      </w:r>
    </w:p>
    <w:p>
      <w:pPr>
        <w:rPr>
          <w:rFonts w:hint="eastAsia"/>
        </w:rPr>
      </w:pPr>
      <w:r>
        <w:rPr>
          <w:rFonts w:hint="eastAsia"/>
        </w:rPr>
        <w:t>上海易受上游流域洪水、下游高潮、区域暴雨和台风的多重影响，</w:t>
      </w:r>
      <w:r>
        <w:t>“</w:t>
      </w:r>
      <w:r>
        <w:rPr>
          <w:rFonts w:hint="eastAsia"/>
        </w:rPr>
        <w:t>三碰头</w:t>
      </w:r>
      <w:r>
        <w:t>”“</w:t>
      </w:r>
      <w:r>
        <w:rPr>
          <w:rFonts w:hint="eastAsia"/>
        </w:rPr>
        <w:t>四碰头</w:t>
      </w:r>
      <w:r>
        <w:t>”</w:t>
      </w:r>
      <w:r>
        <w:rPr>
          <w:rFonts w:hint="eastAsia"/>
        </w:rPr>
        <w:t>现象时有发生，区域防汛减灾形势和格局比较复杂，防汛保安任务较重。因此，防范化解上海水旱灾害风险、提升上海城市水安全保障能力、是上海现代化建设的一道“必答题”，是保障上海实现中国式现代化稳步推进的重要工作之一，也是直接关系上海人民生命财产安全和上海城市平稳有序运行的一项极为重要的业务工作。</w:t>
      </w:r>
    </w:p>
    <w:p>
      <w:pPr>
        <w:rPr>
          <w:rFonts w:hint="eastAsia"/>
        </w:rPr>
      </w:pPr>
      <w:r>
        <w:t>2024</w:t>
      </w:r>
      <w:r>
        <w:rPr>
          <w:rFonts w:hint="eastAsia"/>
        </w:rPr>
        <w:t>年</w:t>
      </w:r>
      <w:r>
        <w:t>5</w:t>
      </w:r>
      <w:r>
        <w:rPr>
          <w:rFonts w:hint="eastAsia"/>
        </w:rPr>
        <w:t>月</w:t>
      </w:r>
      <w:r>
        <w:t>30</w:t>
      </w:r>
      <w:r>
        <w:rPr>
          <w:rFonts w:hint="eastAsia"/>
        </w:rPr>
        <w:t>日</w:t>
      </w:r>
      <w:r>
        <w:rPr>
          <w:rFonts w:hint="eastAsia"/>
          <w:lang w:val="en-US" w:eastAsia="zh-CN"/>
        </w:rPr>
        <w:t>市领导</w:t>
      </w:r>
      <w:r>
        <w:rPr>
          <w:rFonts w:hint="eastAsia"/>
        </w:rPr>
        <w:t>专题调研防汛防台工作，</w:t>
      </w:r>
      <w:r>
        <w:t>6</w:t>
      </w:r>
      <w:r>
        <w:rPr>
          <w:rFonts w:hint="eastAsia"/>
        </w:rPr>
        <w:t>月</w:t>
      </w:r>
      <w:r>
        <w:t>4</w:t>
      </w:r>
      <w:r>
        <w:rPr>
          <w:rFonts w:hint="eastAsia"/>
        </w:rPr>
        <w:t>日</w:t>
      </w:r>
      <w:r>
        <w:rPr>
          <w:rFonts w:hint="eastAsia"/>
          <w:lang w:val="en-US" w:eastAsia="zh-CN"/>
        </w:rPr>
        <w:t>市领导又</w:t>
      </w:r>
      <w:r>
        <w:rPr>
          <w:rFonts w:hint="eastAsia"/>
        </w:rPr>
        <w:t>专题研究防汛防台数字化工作，</w:t>
      </w:r>
      <w:r>
        <w:rPr>
          <w:rFonts w:hint="eastAsia"/>
          <w:lang w:val="en-US" w:eastAsia="zh-CN"/>
        </w:rPr>
        <w:t>过程中</w:t>
      </w:r>
      <w:r>
        <w:rPr>
          <w:rFonts w:hint="eastAsia"/>
        </w:rPr>
        <w:t>要求各部门形成合力、协同推进，认真践行“十六字”治水思路和海洋强国战略，守牢底线固安全，精细管理强基础，扎实有效做好重点工作，持续提升防汛防台韧性，加快完善防汛指挥体系，提升行业治理效能，运用新技术新手段，推进防汛防台指挥能力升级，以期实现防汛数据更动态、感知更实时、实现灾情发现、响应处置、成效跟踪等环节全过程覆盖，为领导辅助决策提供有力支撑。</w:t>
      </w:r>
    </w:p>
    <w:p>
      <w:pPr>
        <w:rPr>
          <w:rFonts w:hint="eastAsia"/>
        </w:rPr>
      </w:pPr>
      <w:r>
        <w:rPr>
          <w:rFonts w:hint="eastAsia"/>
        </w:rPr>
        <w:t>2021年已建设完成通用基础平台为各业务系统提供全局通用基础服务，实现统一门户管理、业务应用管理、业务应用监控、统一组织架构管理、统一用户信息管理、统一身份验证管理、统一权限管理、统一日志管理、统一安全防护等功能，为全局及各下属单位的业务系统提供“六统一”通用基础服务。</w:t>
      </w:r>
    </w:p>
    <w:p>
      <w:pPr>
        <w:rPr>
          <w:rFonts w:hint="eastAsia"/>
        </w:rPr>
      </w:pPr>
      <w:r>
        <w:rPr>
          <w:rFonts w:hint="eastAsia"/>
        </w:rPr>
        <w:t>本次项目建设在通用服务基础上，结合上海市水务局基于新一代信息技术体系，提升智慧化防汛指挥和水安全联排联调管理能力，助力防汛管理领域逐步迈向数字化、智能化的新阶段。本项目是落实“十五五”规划的具体举措，构建一个高效、智能的智慧防汛及调度管理系统，同时，对于提升本市防汛管理的科学性、精准性与应急响应能力具有重要意义。</w:t>
      </w:r>
    </w:p>
    <w:p>
      <w:pPr>
        <w:widowControl/>
        <w:ind w:firstLine="420" w:firstLineChars="0"/>
        <w:rPr>
          <w:rFonts w:hint="eastAsia"/>
        </w:rPr>
      </w:pPr>
      <w:r>
        <w:rPr>
          <w:rFonts w:hint="eastAsia"/>
        </w:rPr>
        <w:t>在完善防汛指挥体系的同时，围绕“数据贯通、智能驱动、协同共治”，应用数字孪生、</w:t>
      </w:r>
      <w:r>
        <w:t>AI</w:t>
      </w:r>
      <w:r>
        <w:rPr>
          <w:rFonts w:hint="eastAsia"/>
        </w:rPr>
        <w:t>视觉识别、多源数据融合等新技术新手段，实现“感知</w:t>
      </w:r>
      <w:r>
        <w:t>-</w:t>
      </w:r>
      <w:r>
        <w:rPr>
          <w:rFonts w:hint="eastAsia"/>
        </w:rPr>
        <w:t>分析</w:t>
      </w:r>
      <w:r>
        <w:t>-</w:t>
      </w:r>
      <w:r>
        <w:rPr>
          <w:rFonts w:hint="eastAsia"/>
        </w:rPr>
        <w:t>决策</w:t>
      </w:r>
      <w:r>
        <w:t>-</w:t>
      </w:r>
      <w:r>
        <w:rPr>
          <w:rFonts w:hint="eastAsia"/>
        </w:rPr>
        <w:t>执行”全链条的河湖智慧管理，打通跨部门业务壁垒，形成河湖问题智能发现、精准溯源、高效处置闭环机制，助力实现河湖管理从“被动响应”向“主动防控”的转变，为上海建设韧性城市、幸福河湖提供数字化支撑。</w:t>
      </w:r>
    </w:p>
    <w:p>
      <w:pPr>
        <w:spacing w:line="560" w:lineRule="exact"/>
        <w:rPr>
          <w:rFonts w:hint="eastAsia"/>
        </w:rPr>
      </w:pPr>
      <w:r>
        <w:rPr>
          <w:rFonts w:hint="eastAsia"/>
        </w:rPr>
        <w:t xml:space="preserve">建设地点：上海市大数据中心 </w:t>
      </w:r>
    </w:p>
    <w:p>
      <w:pPr>
        <w:spacing w:line="560" w:lineRule="exact"/>
      </w:pPr>
      <w:r>
        <w:rPr>
          <w:rFonts w:hint="eastAsia"/>
        </w:rPr>
        <w:t>预算金额：22,985,000元</w:t>
      </w:r>
    </w:p>
    <w:p>
      <w:pPr>
        <w:spacing w:line="560" w:lineRule="exact"/>
        <w:rPr>
          <w:rFonts w:hint="eastAsia"/>
        </w:rPr>
      </w:pPr>
      <w:r>
        <w:rPr>
          <w:rFonts w:hint="eastAsia"/>
        </w:rPr>
        <w:t>采购金额（最高限价）：22,985,000元</w:t>
      </w:r>
    </w:p>
    <w:p>
      <w:pPr>
        <w:rPr>
          <w:rFonts w:hint="eastAsia"/>
        </w:rPr>
      </w:pPr>
      <w:r>
        <w:rPr>
          <w:rFonts w:hint="eastAsia"/>
        </w:rPr>
        <w:t>组织形式：集中采购</w:t>
      </w:r>
    </w:p>
    <w:p>
      <w:pPr>
        <w:rPr>
          <w:rFonts w:hint="eastAsia"/>
        </w:rPr>
      </w:pPr>
      <w:r>
        <w:rPr>
          <w:rFonts w:hint="eastAsia"/>
        </w:rPr>
        <w:t>采购方式：公开招标</w:t>
      </w:r>
    </w:p>
    <w:p>
      <w:pPr>
        <w:rPr>
          <w:rFonts w:hint="eastAsia"/>
        </w:rPr>
      </w:pPr>
      <w:r>
        <w:rPr>
          <w:rFonts w:hint="eastAsia"/>
        </w:rPr>
        <w:t>是否接受联合体投标：否</w:t>
      </w:r>
    </w:p>
    <w:p>
      <w:r>
        <w:t>是否按</w:t>
      </w:r>
      <w:r>
        <w:rPr>
          <w:rFonts w:hint="eastAsia"/>
          <w:lang w:eastAsia="zh-CN"/>
        </w:rPr>
        <w:t>XC</w:t>
      </w:r>
      <w:r>
        <w:t>要求建设：是</w:t>
      </w:r>
    </w:p>
    <w:p>
      <w:pPr>
        <w:rPr>
          <w:rFonts w:hint="eastAsia"/>
        </w:rPr>
      </w:pPr>
      <w:r>
        <w:rPr>
          <w:rFonts w:hint="eastAsia"/>
        </w:rPr>
        <w:t>是否采用低代码建设：否</w:t>
      </w:r>
    </w:p>
    <w:p>
      <w:pPr>
        <w:rPr>
          <w:rFonts w:hint="eastAsia"/>
        </w:rPr>
      </w:pPr>
      <w:r>
        <w:rPr>
          <w:rFonts w:hint="eastAsia"/>
        </w:rPr>
        <w:t>运维后所属大系统：水安全保障大系统</w:t>
      </w:r>
    </w:p>
    <w:p>
      <w:pPr>
        <w:pStyle w:val="2"/>
      </w:pPr>
      <w:bookmarkStart w:id="1" w:name="_Toc47537134"/>
      <w:bookmarkEnd w:id="1"/>
      <w:bookmarkStart w:id="2" w:name="_Toc47536272"/>
      <w:bookmarkEnd w:id="2"/>
      <w:bookmarkStart w:id="3" w:name="_Toc47531634"/>
      <w:bookmarkEnd w:id="3"/>
      <w:bookmarkStart w:id="4" w:name="_Toc47536644"/>
      <w:bookmarkEnd w:id="4"/>
      <w:bookmarkStart w:id="5" w:name="_Toc47533256"/>
      <w:bookmarkEnd w:id="5"/>
      <w:bookmarkStart w:id="6" w:name="_Toc47532891"/>
      <w:bookmarkEnd w:id="6"/>
      <w:bookmarkStart w:id="7" w:name="_Toc47539070"/>
      <w:bookmarkEnd w:id="7"/>
      <w:bookmarkStart w:id="8" w:name="_Toc47532255"/>
      <w:bookmarkEnd w:id="8"/>
      <w:bookmarkStart w:id="9" w:name="_Toc63785463"/>
      <w:bookmarkStart w:id="10" w:name="_Toc48223882"/>
      <w:r>
        <w:rPr>
          <w:rFonts w:hint="eastAsia"/>
        </w:rPr>
        <w:t>建设目标</w:t>
      </w:r>
      <w:bookmarkEnd w:id="9"/>
      <w:bookmarkEnd w:id="10"/>
    </w:p>
    <w:p>
      <w:pPr>
        <w:pStyle w:val="3"/>
        <w:rPr>
          <w:rFonts w:hint="eastAsia"/>
        </w:rPr>
      </w:pPr>
      <w:r>
        <w:rPr>
          <w:rFonts w:hint="eastAsia"/>
        </w:rPr>
        <w:t>项目目标</w:t>
      </w:r>
    </w:p>
    <w:p>
      <w:pPr>
        <w:rPr>
          <w:rFonts w:hint="eastAsia"/>
        </w:rPr>
      </w:pPr>
      <w:r>
        <w:rPr>
          <w:rFonts w:hint="eastAsia"/>
        </w:rPr>
        <w:t xml:space="preserve">为认真践行“十六字”治水思路，守牢底线固安全，精细管理强基础，围绕“数据贯通、智能驱动、协同共治”，持续提升上海市防汛指挥体系数字化水平，提高“平战结合、多维协同”的智慧化防汛指挥和水安全联排联调管理能力，应用大模型、智能体、数字孪生、智能视觉识别、数据知识融合等新技术新手段，推进智慧防汛及调度管理系统的建设，以期实现防汛数据更动态、感知更实时、实现防汛预警、灾情发现、响应处置、等环节全过程覆盖，为领导辅助决策提供有力支撑。 </w:t>
      </w:r>
    </w:p>
    <w:p>
      <w:pPr>
        <w:rPr>
          <w:rFonts w:hint="eastAsia"/>
        </w:rPr>
      </w:pPr>
      <w:r>
        <w:rPr>
          <w:rFonts w:hint="eastAsia"/>
        </w:rPr>
        <w:t>本次项目建设的核心目标是基于上海市公共能力平台的基础上（包含但不限于：上海市一体化办公平台、城市智理时空一体化大系统、上海市城运中心“一网统管”视觉中枢子系统）实现提升智慧化防汛指挥和水安全联排联调管理能力，聚焦城市防汛实战需求，围绕“拓展积水感知能力”和“提升</w:t>
      </w:r>
      <w:r>
        <w:rPr>
          <w:rFonts w:hint="eastAsia"/>
          <w:lang w:eastAsia="zh-CN"/>
        </w:rPr>
        <w:t>YQ</w:t>
      </w:r>
      <w:r>
        <w:rPr>
          <w:rFonts w:hint="eastAsia"/>
        </w:rPr>
        <w:t>研判精度”两大核心目标展开。防汛智能体、防汛视觉智能模型应用、防汛数据与知识融合分析及智能应用作为AI智算的核心支撑；关键期水文智能预报分析、防汛隐患分析管理、防汛期间泵站放江及养护精细化管理、水网管理移动应用作为具体的应用承载及数据来源；防汛联排联调总体态势、气象水雨情综合预报、防汛排涝调度、日常联排联调总体态势、水网综合监管、预降水调度、</w:t>
      </w:r>
      <w:r>
        <w:rPr>
          <w:rFonts w:hint="eastAsia"/>
          <w:lang w:eastAsia="zh-CN"/>
        </w:rPr>
        <w:t>YQ</w:t>
      </w:r>
      <w:r>
        <w:rPr>
          <w:rFonts w:hint="eastAsia"/>
        </w:rPr>
        <w:t>智能监控等应用模块作为前端展现及业务流程流转的重要组成部分，各模块都为项目建设的核心目标“拓展积水感知能力”和“提升</w:t>
      </w:r>
      <w:r>
        <w:rPr>
          <w:rFonts w:hint="eastAsia"/>
          <w:lang w:eastAsia="zh-CN"/>
        </w:rPr>
        <w:t>YQ</w:t>
      </w:r>
      <w:r>
        <w:rPr>
          <w:rFonts w:hint="eastAsia"/>
        </w:rPr>
        <w:t>研判精度”提供了对应能力，实现智慧防汛及调度能力的总体提升。</w:t>
      </w:r>
    </w:p>
    <w:p>
      <w:pPr>
        <w:pStyle w:val="3"/>
        <w:rPr>
          <w:rFonts w:hint="eastAsia"/>
        </w:rPr>
      </w:pPr>
      <w:bookmarkStart w:id="11" w:name="_Toc17124"/>
      <w:r>
        <w:rPr>
          <w:rFonts w:hint="eastAsia"/>
        </w:rPr>
        <w:t>项目成效考核目标</w:t>
      </w:r>
      <w:bookmarkEnd w:id="11"/>
    </w:p>
    <w:tbl>
      <w:tblPr>
        <w:tblStyle w:val="35"/>
        <w:tblW w:w="8110" w:type="dxa"/>
        <w:tblInd w:w="98" w:type="dxa"/>
        <w:tblLayout w:type="fixed"/>
        <w:tblCellMar>
          <w:top w:w="0" w:type="dxa"/>
          <w:left w:w="108" w:type="dxa"/>
          <w:bottom w:w="0" w:type="dxa"/>
          <w:right w:w="108" w:type="dxa"/>
        </w:tblCellMar>
      </w:tblPr>
      <w:tblGrid>
        <w:gridCol w:w="617"/>
        <w:gridCol w:w="790"/>
        <w:gridCol w:w="770"/>
        <w:gridCol w:w="850"/>
        <w:gridCol w:w="2070"/>
        <w:gridCol w:w="3013"/>
      </w:tblGrid>
      <w:tr>
        <w:tblPrEx>
          <w:tblCellMar>
            <w:top w:w="0" w:type="dxa"/>
            <w:left w:w="108" w:type="dxa"/>
            <w:bottom w:w="0" w:type="dxa"/>
            <w:right w:w="108" w:type="dxa"/>
          </w:tblCellMar>
        </w:tblPrEx>
        <w:trPr>
          <w:trHeight w:val="300" w:hRule="atLeast"/>
        </w:trPr>
        <w:tc>
          <w:tcPr>
            <w:tcW w:w="8110" w:type="dxa"/>
            <w:gridSpan w:val="6"/>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仿宋_GB2312" w:hAnsi="等线" w:eastAsia="仿宋_GB2312" w:cs="仿宋_GB2312"/>
                <w:b/>
                <w:bCs/>
                <w:color w:val="000000"/>
              </w:rPr>
            </w:pPr>
            <w:r>
              <w:rPr>
                <w:rFonts w:ascii="仿宋_GB2312" w:hAnsi="等线" w:eastAsia="仿宋_GB2312" w:cs="仿宋_GB2312"/>
                <w:b/>
                <w:bCs/>
                <w:color w:val="000000"/>
                <w:kern w:val="0"/>
                <w:lang w:bidi="ar"/>
              </w:rPr>
              <w:t>智慧防汛及调度管理子系统建设项目</w:t>
            </w:r>
          </w:p>
        </w:tc>
      </w:tr>
      <w:tr>
        <w:tblPrEx>
          <w:tblCellMar>
            <w:top w:w="0" w:type="dxa"/>
            <w:left w:w="108" w:type="dxa"/>
            <w:bottom w:w="0" w:type="dxa"/>
            <w:right w:w="108" w:type="dxa"/>
          </w:tblCellMar>
        </w:tblPrEx>
        <w:trPr>
          <w:trHeight w:val="300" w:hRule="atLeast"/>
        </w:trPr>
        <w:tc>
          <w:tcPr>
            <w:tcW w:w="617"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划指标参数</w:t>
            </w:r>
          </w:p>
        </w:tc>
        <w:tc>
          <w:tcPr>
            <w:tcW w:w="79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一级指标</w:t>
            </w:r>
          </w:p>
        </w:tc>
        <w:tc>
          <w:tcPr>
            <w:tcW w:w="77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二级指标</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三级指标</w:t>
            </w:r>
          </w:p>
        </w:tc>
        <w:tc>
          <w:tcPr>
            <w:tcW w:w="2070" w:type="dxa"/>
            <w:tcBorders>
              <w:top w:val="single" w:color="000000" w:sz="4" w:space="0"/>
              <w:left w:val="single" w:color="000000" w:sz="4" w:space="0"/>
              <w:bottom w:val="single" w:color="000000" w:sz="4" w:space="0"/>
              <w:right w:val="single" w:color="000000" w:sz="4" w:space="0"/>
            </w:tcBorders>
            <w:vAlign w:val="bottom"/>
          </w:tcPr>
          <w:p>
            <w:pPr>
              <w:widowControl/>
              <w:spacing w:line="240" w:lineRule="auto"/>
              <w:ind w:firstLine="0" w:firstLineChars="0"/>
              <w:jc w:val="left"/>
              <w:textAlignment w:val="bottom"/>
              <w:rPr>
                <w:rFonts w:hint="eastAsia" w:ascii="仿宋_GB2312" w:hAnsi="等线" w:eastAsia="仿宋_GB2312" w:cs="仿宋_GB2312"/>
                <w:color w:val="000000"/>
              </w:rPr>
            </w:pPr>
            <w:r>
              <w:rPr>
                <w:rFonts w:ascii="仿宋_GB2312" w:hAnsi="等线" w:eastAsia="仿宋_GB2312" w:cs="仿宋_GB2312"/>
                <w:color w:val="000000"/>
                <w:kern w:val="0"/>
                <w:lang w:bidi="ar"/>
              </w:rPr>
              <w:t>四级指标</w:t>
            </w:r>
          </w:p>
        </w:tc>
        <w:tc>
          <w:tcPr>
            <w:tcW w:w="301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目标值</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通用指标</w:t>
            </w:r>
          </w:p>
        </w:tc>
        <w:tc>
          <w:tcPr>
            <w:tcW w:w="77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产出指标</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产出数量</w:t>
            </w:r>
          </w:p>
        </w:tc>
        <w:tc>
          <w:tcPr>
            <w:tcW w:w="207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软件开发完成率</w:t>
            </w:r>
          </w:p>
        </w:tc>
        <w:tc>
          <w:tcPr>
            <w:tcW w:w="301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rPr>
            </w:pPr>
            <w:r>
              <w:rPr>
                <w:rFonts w:ascii="仿宋_GB2312" w:hAnsi="等线" w:eastAsia="仿宋_GB2312" w:cs="仿宋_GB2312"/>
                <w:kern w:val="0"/>
                <w:lang w:bidi="ar"/>
              </w:rPr>
              <w:t>100%</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2070" w:type="dxa"/>
            <w:tcBorders>
              <w:top w:val="single" w:color="000000" w:sz="4" w:space="0"/>
              <w:left w:val="single" w:color="000000" w:sz="4" w:space="0"/>
              <w:bottom w:val="single" w:color="000000" w:sz="4" w:space="0"/>
              <w:right w:val="single" w:color="000000" w:sz="4" w:space="0"/>
            </w:tcBorders>
            <w:vAlign w:val="bottom"/>
          </w:tcPr>
          <w:p>
            <w:pPr>
              <w:widowControl/>
              <w:spacing w:line="240" w:lineRule="auto"/>
              <w:ind w:firstLine="0" w:firstLineChars="0"/>
              <w:jc w:val="left"/>
              <w:textAlignment w:val="bottom"/>
              <w:rPr>
                <w:rFonts w:hint="eastAsia" w:ascii="仿宋_GB2312" w:hAnsi="等线" w:eastAsia="仿宋_GB2312" w:cs="仿宋_GB2312"/>
                <w:color w:val="000000"/>
              </w:rPr>
            </w:pPr>
            <w:r>
              <w:rPr>
                <w:rFonts w:ascii="仿宋_GB2312" w:hAnsi="等线" w:eastAsia="仿宋_GB2312" w:cs="仿宋_GB2312"/>
                <w:color w:val="000000"/>
                <w:kern w:val="0"/>
                <w:lang w:bidi="ar"/>
              </w:rPr>
              <w:t>软件产品购置完成率</w:t>
            </w:r>
          </w:p>
        </w:tc>
        <w:tc>
          <w:tcPr>
            <w:tcW w:w="301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rPr>
            </w:pPr>
            <w:r>
              <w:rPr>
                <w:rFonts w:ascii="仿宋_GB2312" w:hAnsi="等线" w:eastAsia="仿宋_GB2312" w:cs="仿宋_GB2312"/>
                <w:kern w:val="0"/>
                <w:lang w:bidi="ar"/>
              </w:rPr>
              <w:t>100%</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产出质量</w:t>
            </w:r>
          </w:p>
        </w:tc>
        <w:tc>
          <w:tcPr>
            <w:tcW w:w="207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一次性验收合格率</w:t>
            </w:r>
          </w:p>
        </w:tc>
        <w:tc>
          <w:tcPr>
            <w:tcW w:w="301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rPr>
            </w:pPr>
            <w:r>
              <w:rPr>
                <w:rFonts w:ascii="仿宋_GB2312" w:hAnsi="等线" w:eastAsia="仿宋_GB2312" w:cs="仿宋_GB2312"/>
                <w:kern w:val="0"/>
                <w:lang w:bidi="ar"/>
              </w:rPr>
              <w:t>100%</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207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系统可靠性</w:t>
            </w:r>
          </w:p>
        </w:tc>
        <w:tc>
          <w:tcPr>
            <w:tcW w:w="301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rPr>
            </w:pPr>
            <w:r>
              <w:rPr>
                <w:rFonts w:ascii="仿宋_GB2312" w:hAnsi="等线" w:eastAsia="仿宋_GB2312" w:cs="仿宋_GB2312"/>
                <w:kern w:val="0"/>
                <w:lang w:bidi="ar"/>
              </w:rPr>
              <w:t>≥99.9%</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207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密码测试</w:t>
            </w:r>
            <w:r>
              <w:rPr>
                <w:rFonts w:hint="eastAsia" w:ascii="仿宋_GB2312" w:hAnsi="等线" w:eastAsia="仿宋_GB2312" w:cs="仿宋_GB2312"/>
                <w:color w:val="000000"/>
                <w:kern w:val="0"/>
                <w:lang w:bidi="ar"/>
              </w:rPr>
              <w:t>达标</w:t>
            </w:r>
          </w:p>
        </w:tc>
        <w:tc>
          <w:tcPr>
            <w:tcW w:w="301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rPr>
            </w:pPr>
            <w:r>
              <w:rPr>
                <w:rFonts w:ascii="仿宋_GB2312" w:hAnsi="等线" w:eastAsia="仿宋_GB2312" w:cs="仿宋_GB2312"/>
                <w:kern w:val="0"/>
                <w:lang w:bidi="ar"/>
              </w:rPr>
              <w:t>通过</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207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软件测评</w:t>
            </w:r>
            <w:r>
              <w:rPr>
                <w:rFonts w:hint="eastAsia" w:ascii="仿宋_GB2312" w:hAnsi="等线" w:eastAsia="仿宋_GB2312" w:cs="仿宋_GB2312"/>
                <w:color w:val="000000"/>
                <w:kern w:val="0"/>
                <w:lang w:bidi="ar"/>
              </w:rPr>
              <w:t>达标</w:t>
            </w:r>
          </w:p>
        </w:tc>
        <w:tc>
          <w:tcPr>
            <w:tcW w:w="301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rPr>
            </w:pPr>
            <w:r>
              <w:rPr>
                <w:rFonts w:ascii="仿宋_GB2312" w:hAnsi="等线" w:eastAsia="仿宋_GB2312" w:cs="仿宋_GB2312"/>
                <w:kern w:val="0"/>
                <w:lang w:bidi="ar"/>
              </w:rPr>
              <w:t>通过</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207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安全测试</w:t>
            </w:r>
            <w:r>
              <w:rPr>
                <w:rFonts w:hint="eastAsia" w:ascii="仿宋_GB2312" w:hAnsi="等线" w:eastAsia="仿宋_GB2312" w:cs="仿宋_GB2312"/>
                <w:color w:val="000000"/>
                <w:kern w:val="0"/>
                <w:lang w:bidi="ar"/>
              </w:rPr>
              <w:t>达标</w:t>
            </w:r>
          </w:p>
        </w:tc>
        <w:tc>
          <w:tcPr>
            <w:tcW w:w="301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rPr>
            </w:pPr>
            <w:r>
              <w:rPr>
                <w:rFonts w:ascii="仿宋_GB2312" w:hAnsi="等线" w:eastAsia="仿宋_GB2312" w:cs="仿宋_GB2312"/>
                <w:kern w:val="0"/>
                <w:lang w:bidi="ar"/>
              </w:rPr>
              <w:t>通过</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207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网络安全等级保护</w:t>
            </w:r>
          </w:p>
        </w:tc>
        <w:tc>
          <w:tcPr>
            <w:tcW w:w="301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rPr>
            </w:pPr>
            <w:r>
              <w:rPr>
                <w:rFonts w:ascii="仿宋_GB2312" w:hAnsi="等线" w:eastAsia="仿宋_GB2312" w:cs="仿宋_GB2312"/>
                <w:kern w:val="0"/>
                <w:lang w:bidi="ar"/>
              </w:rPr>
              <w:t>3级</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207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安全事件发生次数</w:t>
            </w:r>
          </w:p>
        </w:tc>
        <w:tc>
          <w:tcPr>
            <w:tcW w:w="301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rPr>
            </w:pPr>
            <w:r>
              <w:rPr>
                <w:rFonts w:ascii="仿宋_GB2312" w:hAnsi="等线" w:eastAsia="仿宋_GB2312" w:cs="仿宋_GB2312"/>
                <w:kern w:val="0"/>
                <w:lang w:bidi="ar"/>
              </w:rPr>
              <w:t>0次</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效益指标</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用户使用情况</w:t>
            </w:r>
          </w:p>
        </w:tc>
        <w:tc>
          <w:tcPr>
            <w:tcW w:w="207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系统用户量</w:t>
            </w:r>
          </w:p>
        </w:tc>
        <w:tc>
          <w:tcPr>
            <w:tcW w:w="301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rPr>
            </w:pPr>
            <w:r>
              <w:rPr>
                <w:rFonts w:ascii="仿宋_GB2312" w:hAnsi="等线" w:eastAsia="仿宋_GB2312" w:cs="仿宋_GB2312"/>
                <w:kern w:val="0"/>
                <w:lang w:bidi="ar"/>
              </w:rPr>
              <w:t>≥2000</w:t>
            </w:r>
            <w:r>
              <w:rPr>
                <w:rFonts w:hint="eastAsia" w:ascii="仿宋_GB2312" w:hAnsi="等线" w:eastAsia="仿宋_GB2312" w:cs="仿宋_GB2312"/>
                <w:kern w:val="0"/>
                <w:lang w:bidi="ar"/>
              </w:rPr>
              <w:t>个</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207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月活跃用户量</w:t>
            </w:r>
          </w:p>
        </w:tc>
        <w:tc>
          <w:tcPr>
            <w:tcW w:w="301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rPr>
            </w:pPr>
            <w:r>
              <w:rPr>
                <w:rFonts w:ascii="仿宋_GB2312" w:hAnsi="等线" w:eastAsia="仿宋_GB2312" w:cs="仿宋_GB2312"/>
                <w:kern w:val="0"/>
                <w:lang w:bidi="ar"/>
              </w:rPr>
              <w:t>≥10000人次/月</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共性平台</w:t>
            </w:r>
          </w:p>
        </w:tc>
        <w:tc>
          <w:tcPr>
            <w:tcW w:w="207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跨部门数据共享程度</w:t>
            </w:r>
          </w:p>
        </w:tc>
        <w:tc>
          <w:tcPr>
            <w:tcW w:w="3013" w:type="dxa"/>
            <w:tcBorders>
              <w:top w:val="single" w:color="000000" w:sz="4" w:space="0"/>
              <w:left w:val="single" w:color="000000" w:sz="4" w:space="0"/>
              <w:bottom w:val="single" w:color="000000" w:sz="4" w:space="0"/>
              <w:right w:val="single" w:color="000000" w:sz="4" w:space="0"/>
            </w:tcBorders>
            <w:vAlign w:val="bottom"/>
          </w:tcPr>
          <w:p>
            <w:pPr>
              <w:widowControl/>
              <w:spacing w:line="240" w:lineRule="auto"/>
              <w:ind w:firstLine="0" w:firstLineChars="0"/>
              <w:jc w:val="left"/>
              <w:textAlignment w:val="bottom"/>
              <w:rPr>
                <w:rFonts w:hint="eastAsia" w:ascii="仿宋_GB2312" w:hAnsi="等线" w:eastAsia="仿宋_GB2312" w:cs="仿宋_GB2312"/>
              </w:rPr>
            </w:pPr>
            <w:r>
              <w:rPr>
                <w:rFonts w:ascii="仿宋_GB2312" w:hAnsi="等线" w:eastAsia="仿宋_GB2312" w:cs="仿宋_GB2312"/>
                <w:kern w:val="0"/>
                <w:lang w:bidi="ar"/>
              </w:rPr>
              <w:t>≥30%</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left"/>
              <w:rPr>
                <w:rFonts w:hint="eastAsia" w:ascii="仿宋_GB2312" w:hAnsi="等线" w:eastAsia="仿宋_GB2312" w:cs="仿宋_GB2312"/>
                <w:color w:val="000000"/>
              </w:rPr>
            </w:pPr>
          </w:p>
        </w:tc>
        <w:tc>
          <w:tcPr>
            <w:tcW w:w="207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核心数据缺失率</w:t>
            </w:r>
          </w:p>
        </w:tc>
        <w:tc>
          <w:tcPr>
            <w:tcW w:w="3013" w:type="dxa"/>
            <w:tcBorders>
              <w:top w:val="single" w:color="000000" w:sz="4" w:space="0"/>
              <w:left w:val="single" w:color="000000" w:sz="4" w:space="0"/>
              <w:bottom w:val="single" w:color="000000" w:sz="4" w:space="0"/>
              <w:right w:val="single" w:color="000000" w:sz="4" w:space="0"/>
            </w:tcBorders>
            <w:vAlign w:val="bottom"/>
          </w:tcPr>
          <w:p>
            <w:pPr>
              <w:widowControl/>
              <w:spacing w:line="240" w:lineRule="auto"/>
              <w:ind w:firstLine="0" w:firstLineChars="0"/>
              <w:jc w:val="left"/>
              <w:textAlignment w:val="bottom"/>
              <w:rPr>
                <w:rFonts w:hint="eastAsia" w:ascii="仿宋_GB2312" w:hAnsi="等线" w:eastAsia="仿宋_GB2312" w:cs="仿宋_GB2312"/>
              </w:rPr>
            </w:pPr>
            <w:r>
              <w:rPr>
                <w:rFonts w:ascii="仿宋_GB2312" w:hAnsi="等线" w:eastAsia="仿宋_GB2312" w:cs="仿宋_GB2312"/>
                <w:kern w:val="0"/>
                <w:lang w:bidi="ar"/>
              </w:rPr>
              <w:t>≤20%</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left"/>
              <w:rPr>
                <w:rFonts w:hint="eastAsia" w:ascii="仿宋_GB2312" w:hAnsi="等线" w:eastAsia="仿宋_GB2312" w:cs="仿宋_GB2312"/>
                <w:color w:val="000000"/>
              </w:rPr>
            </w:pPr>
          </w:p>
        </w:tc>
        <w:tc>
          <w:tcPr>
            <w:tcW w:w="207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覆盖部门数量</w:t>
            </w:r>
          </w:p>
        </w:tc>
        <w:tc>
          <w:tcPr>
            <w:tcW w:w="3013" w:type="dxa"/>
            <w:tcBorders>
              <w:top w:val="single" w:color="000000" w:sz="4" w:space="0"/>
              <w:left w:val="single" w:color="000000" w:sz="4" w:space="0"/>
              <w:bottom w:val="single" w:color="000000" w:sz="4" w:space="0"/>
              <w:right w:val="single" w:color="000000" w:sz="4" w:space="0"/>
            </w:tcBorders>
            <w:vAlign w:val="bottom"/>
          </w:tcPr>
          <w:p>
            <w:pPr>
              <w:widowControl/>
              <w:spacing w:line="240" w:lineRule="auto"/>
              <w:ind w:firstLine="0" w:firstLineChars="0"/>
              <w:jc w:val="left"/>
              <w:textAlignment w:val="bottom"/>
              <w:rPr>
                <w:rFonts w:hint="eastAsia" w:ascii="仿宋_GB2312" w:hAnsi="等线" w:eastAsia="仿宋_GB2312" w:cs="仿宋_GB2312"/>
              </w:rPr>
            </w:pPr>
            <w:r>
              <w:rPr>
                <w:rFonts w:ascii="仿宋_GB2312" w:hAnsi="等线" w:eastAsia="仿宋_GB2312" w:cs="仿宋_GB2312"/>
                <w:kern w:val="0"/>
                <w:lang w:bidi="ar"/>
              </w:rPr>
              <w:t>≥3个</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left"/>
              <w:rPr>
                <w:rFonts w:hint="eastAsia" w:ascii="仿宋_GB2312" w:hAnsi="等线" w:eastAsia="仿宋_GB2312" w:cs="仿宋_GB2312"/>
                <w:color w:val="000000"/>
              </w:rPr>
            </w:pPr>
          </w:p>
        </w:tc>
        <w:tc>
          <w:tcPr>
            <w:tcW w:w="207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统筹对接系统数量</w:t>
            </w:r>
          </w:p>
        </w:tc>
        <w:tc>
          <w:tcPr>
            <w:tcW w:w="3013" w:type="dxa"/>
            <w:tcBorders>
              <w:top w:val="single" w:color="000000" w:sz="4" w:space="0"/>
              <w:left w:val="single" w:color="000000" w:sz="4" w:space="0"/>
              <w:bottom w:val="single" w:color="000000" w:sz="4" w:space="0"/>
              <w:right w:val="single" w:color="000000" w:sz="4" w:space="0"/>
            </w:tcBorders>
            <w:vAlign w:val="bottom"/>
          </w:tcPr>
          <w:p>
            <w:pPr>
              <w:widowControl/>
              <w:spacing w:line="240" w:lineRule="auto"/>
              <w:ind w:firstLine="0" w:firstLineChars="0"/>
              <w:jc w:val="left"/>
              <w:textAlignment w:val="bottom"/>
              <w:rPr>
                <w:rFonts w:hint="eastAsia" w:ascii="仿宋_GB2312" w:hAnsi="等线" w:eastAsia="仿宋_GB2312" w:cs="仿宋_GB2312"/>
              </w:rPr>
            </w:pPr>
            <w:r>
              <w:rPr>
                <w:rFonts w:ascii="仿宋_GB2312" w:hAnsi="等线" w:eastAsia="仿宋_GB2312" w:cs="仿宋_GB2312"/>
                <w:kern w:val="0"/>
                <w:lang w:bidi="ar"/>
              </w:rPr>
              <w:t>≥1个</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监测监管系统水平</w:t>
            </w:r>
          </w:p>
        </w:tc>
        <w:tc>
          <w:tcPr>
            <w:tcW w:w="207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监测指标数量</w:t>
            </w:r>
          </w:p>
        </w:tc>
        <w:tc>
          <w:tcPr>
            <w:tcW w:w="3013" w:type="dxa"/>
            <w:tcBorders>
              <w:top w:val="single" w:color="000000" w:sz="4" w:space="0"/>
              <w:left w:val="single" w:color="000000" w:sz="4" w:space="0"/>
              <w:bottom w:val="single" w:color="000000" w:sz="4" w:space="0"/>
              <w:right w:val="single" w:color="000000" w:sz="4" w:space="0"/>
            </w:tcBorders>
            <w:vAlign w:val="bottom"/>
          </w:tcPr>
          <w:p>
            <w:pPr>
              <w:widowControl/>
              <w:spacing w:line="240" w:lineRule="auto"/>
              <w:ind w:firstLine="0" w:firstLineChars="0"/>
              <w:jc w:val="left"/>
              <w:textAlignment w:val="bottom"/>
              <w:rPr>
                <w:rFonts w:hint="eastAsia" w:ascii="仿宋_GB2312" w:hAnsi="等线" w:eastAsia="仿宋_GB2312" w:cs="仿宋_GB2312"/>
              </w:rPr>
            </w:pPr>
            <w:r>
              <w:rPr>
                <w:rFonts w:ascii="仿宋_GB2312" w:hAnsi="等线" w:eastAsia="仿宋_GB2312" w:cs="仿宋_GB2312"/>
                <w:kern w:val="0"/>
                <w:lang w:bidi="ar"/>
              </w:rPr>
              <w:t>≥3个</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207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监测数据准确率</w:t>
            </w:r>
          </w:p>
        </w:tc>
        <w:tc>
          <w:tcPr>
            <w:tcW w:w="301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rPr>
            </w:pPr>
            <w:r>
              <w:rPr>
                <w:rFonts w:ascii="仿宋_GB2312" w:hAnsi="等线" w:eastAsia="仿宋_GB2312" w:cs="仿宋_GB2312"/>
                <w:kern w:val="0"/>
                <w:lang w:bidi="ar"/>
              </w:rPr>
              <w:t>≥95%</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207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监测对象月均风险预警数量</w:t>
            </w:r>
          </w:p>
        </w:tc>
        <w:tc>
          <w:tcPr>
            <w:tcW w:w="301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rPr>
            </w:pPr>
            <w:r>
              <w:rPr>
                <w:rFonts w:ascii="仿宋_GB2312" w:hAnsi="等线" w:eastAsia="仿宋_GB2312" w:cs="仿宋_GB2312"/>
                <w:kern w:val="0"/>
                <w:lang w:bidi="ar"/>
              </w:rPr>
              <w:t>≤13个</w:t>
            </w:r>
            <w:r>
              <w:rPr>
                <w:rFonts w:hint="eastAsia" w:ascii="仿宋_GB2312" w:hAnsi="等线" w:eastAsia="仿宋_GB2312" w:cs="仿宋_GB2312"/>
                <w:kern w:val="0"/>
                <w:lang w:bidi="ar"/>
              </w:rPr>
              <w:t>/月</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207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监测对象风险预警准确率</w:t>
            </w:r>
          </w:p>
        </w:tc>
        <w:tc>
          <w:tcPr>
            <w:tcW w:w="301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rPr>
            </w:pPr>
            <w:r>
              <w:rPr>
                <w:rFonts w:ascii="仿宋_GB2312" w:hAnsi="等线" w:eastAsia="仿宋_GB2312" w:cs="仿宋_GB2312"/>
                <w:kern w:val="0"/>
                <w:lang w:bidi="ar"/>
              </w:rPr>
              <w:t>≥80%</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大模型应用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形成语料库条目数</w:t>
            </w:r>
          </w:p>
        </w:tc>
        <w:tc>
          <w:tcPr>
            <w:tcW w:w="3013" w:type="dxa"/>
            <w:tcBorders>
              <w:top w:val="single" w:color="000000" w:sz="4" w:space="0"/>
              <w:left w:val="single" w:color="000000" w:sz="4" w:space="0"/>
              <w:bottom w:val="single" w:color="000000" w:sz="4" w:space="0"/>
              <w:right w:val="single" w:color="000000" w:sz="4" w:space="0"/>
            </w:tcBorders>
            <w:vAlign w:val="bottom"/>
          </w:tcPr>
          <w:p>
            <w:pPr>
              <w:widowControl/>
              <w:spacing w:line="240" w:lineRule="auto"/>
              <w:ind w:firstLine="0" w:firstLineChars="0"/>
              <w:jc w:val="left"/>
              <w:textAlignment w:val="bottom"/>
              <w:rPr>
                <w:rFonts w:hint="eastAsia" w:ascii="仿宋_GB2312" w:hAnsi="等线" w:eastAsia="仿宋_GB2312" w:cs="仿宋_GB2312"/>
              </w:rPr>
            </w:pPr>
            <w:r>
              <w:rPr>
                <w:rFonts w:ascii="仿宋_GB2312" w:hAnsi="等线" w:eastAsia="仿宋_GB2312" w:cs="仿宋_GB2312"/>
                <w:kern w:val="0"/>
                <w:lang w:bidi="ar"/>
              </w:rPr>
              <w:t>≥1200条</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left"/>
              <w:rPr>
                <w:rFonts w:hint="eastAsia" w:ascii="仿宋_GB2312" w:hAnsi="等线" w:eastAsia="仿宋_GB2312" w:cs="仿宋_GB2312"/>
                <w:color w:val="000000"/>
              </w:rPr>
            </w:pP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数据目录覆盖率</w:t>
            </w:r>
          </w:p>
        </w:tc>
        <w:tc>
          <w:tcPr>
            <w:tcW w:w="301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rPr>
            </w:pPr>
            <w:r>
              <w:rPr>
                <w:rFonts w:ascii="仿宋_GB2312" w:hAnsi="等线" w:eastAsia="仿宋_GB2312" w:cs="仿宋_GB2312"/>
                <w:kern w:val="0"/>
                <w:lang w:bidi="ar"/>
              </w:rPr>
              <w:t>≥80%</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left"/>
              <w:rPr>
                <w:rFonts w:hint="eastAsia" w:ascii="仿宋_GB2312" w:hAnsi="等线" w:eastAsia="仿宋_GB2312" w:cs="仿宋_GB2312"/>
                <w:color w:val="000000"/>
              </w:rPr>
            </w:pP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数据编目更新及时率</w:t>
            </w:r>
          </w:p>
        </w:tc>
        <w:tc>
          <w:tcPr>
            <w:tcW w:w="301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rPr>
            </w:pPr>
            <w:r>
              <w:rPr>
                <w:rFonts w:ascii="仿宋_GB2312" w:hAnsi="等线" w:eastAsia="仿宋_GB2312" w:cs="仿宋_GB2312"/>
                <w:kern w:val="0"/>
                <w:lang w:bidi="ar"/>
              </w:rPr>
              <w:t>≥90%</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left"/>
              <w:rPr>
                <w:rFonts w:hint="eastAsia" w:ascii="仿宋_GB2312" w:hAnsi="等线" w:eastAsia="仿宋_GB2312" w:cs="仿宋_GB2312"/>
                <w:color w:val="000000"/>
              </w:rPr>
            </w:pP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语料加工数据准确率</w:t>
            </w:r>
          </w:p>
        </w:tc>
        <w:tc>
          <w:tcPr>
            <w:tcW w:w="301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rPr>
            </w:pPr>
            <w:r>
              <w:rPr>
                <w:rFonts w:ascii="仿宋_GB2312" w:hAnsi="等线" w:eastAsia="仿宋_GB2312" w:cs="仿宋_GB2312"/>
                <w:kern w:val="0"/>
                <w:lang w:bidi="ar"/>
              </w:rPr>
              <w:t>≥80%</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模型算法</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平均每个模型月均调用次数</w:t>
            </w:r>
          </w:p>
        </w:tc>
        <w:tc>
          <w:tcPr>
            <w:tcW w:w="301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≥30次/</w:t>
            </w:r>
            <w:r>
              <w:rPr>
                <w:rFonts w:hint="eastAsia" w:ascii="仿宋_GB2312" w:hAnsi="等线" w:eastAsia="仿宋_GB2312" w:cs="仿宋_GB2312"/>
                <w:color w:val="000000"/>
                <w:kern w:val="0"/>
                <w:lang w:bidi="ar"/>
              </w:rPr>
              <w:t>（</w:t>
            </w:r>
            <w:r>
              <w:rPr>
                <w:rFonts w:ascii="仿宋_GB2312" w:hAnsi="等线" w:eastAsia="仿宋_GB2312" w:cs="仿宋_GB2312"/>
                <w:color w:val="000000"/>
                <w:kern w:val="0"/>
                <w:lang w:bidi="ar"/>
              </w:rPr>
              <w:t>个.月</w:t>
            </w:r>
            <w:r>
              <w:rPr>
                <w:rFonts w:hint="eastAsia" w:ascii="仿宋_GB2312" w:hAnsi="等线" w:eastAsia="仿宋_GB2312" w:cs="仿宋_GB2312"/>
                <w:color w:val="000000"/>
                <w:kern w:val="0"/>
                <w:lang w:bidi="ar"/>
              </w:rPr>
              <w:t>）</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业务指标</w:t>
            </w:r>
          </w:p>
        </w:tc>
        <w:tc>
          <w:tcPr>
            <w:tcW w:w="77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产出指标</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产出数量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建设模型算法数量</w:t>
            </w:r>
          </w:p>
        </w:tc>
        <w:tc>
          <w:tcPr>
            <w:tcW w:w="3013" w:type="dxa"/>
            <w:tcBorders>
              <w:top w:val="single" w:color="000000" w:sz="4" w:space="0"/>
              <w:left w:val="single" w:color="000000" w:sz="4" w:space="0"/>
              <w:bottom w:val="single" w:color="000000" w:sz="4" w:space="0"/>
              <w:right w:val="single" w:color="000000" w:sz="4" w:space="0"/>
            </w:tcBorders>
            <w:vAlign w:val="bottom"/>
          </w:tcPr>
          <w:p>
            <w:pPr>
              <w:widowControl/>
              <w:spacing w:line="240" w:lineRule="auto"/>
              <w:ind w:firstLine="0" w:firstLineChars="0"/>
              <w:jc w:val="left"/>
              <w:textAlignment w:val="bottom"/>
              <w:rPr>
                <w:rFonts w:hint="eastAsia" w:ascii="仿宋_GB2312" w:hAnsi="等线" w:eastAsia="仿宋_GB2312" w:cs="仿宋_GB2312"/>
                <w:color w:val="000000"/>
              </w:rPr>
            </w:pPr>
            <w:r>
              <w:rPr>
                <w:rFonts w:ascii="仿宋_GB2312" w:hAnsi="等线" w:eastAsia="仿宋_GB2312" w:cs="仿宋_GB2312"/>
                <w:color w:val="000000"/>
                <w:kern w:val="0"/>
                <w:lang w:bidi="ar"/>
              </w:rPr>
              <w:t>≥3个</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207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建设知识库数量</w:t>
            </w:r>
          </w:p>
        </w:tc>
        <w:tc>
          <w:tcPr>
            <w:tcW w:w="3013" w:type="dxa"/>
            <w:tcBorders>
              <w:top w:val="single" w:color="000000" w:sz="4" w:space="0"/>
              <w:left w:val="single" w:color="000000" w:sz="4" w:space="0"/>
              <w:bottom w:val="single" w:color="000000" w:sz="4" w:space="0"/>
              <w:right w:val="single" w:color="000000" w:sz="4" w:space="0"/>
            </w:tcBorders>
            <w:vAlign w:val="bottom"/>
          </w:tcPr>
          <w:p>
            <w:pPr>
              <w:widowControl/>
              <w:spacing w:line="240" w:lineRule="auto"/>
              <w:ind w:firstLine="0" w:firstLineChars="0"/>
              <w:jc w:val="left"/>
              <w:textAlignment w:val="bottom"/>
              <w:rPr>
                <w:rFonts w:hint="eastAsia" w:ascii="仿宋_GB2312" w:hAnsi="等线" w:eastAsia="仿宋_GB2312" w:cs="仿宋_GB2312"/>
                <w:color w:val="000000"/>
              </w:rPr>
            </w:pPr>
            <w:r>
              <w:rPr>
                <w:rFonts w:ascii="仿宋_GB2312" w:hAnsi="等线" w:eastAsia="仿宋_GB2312" w:cs="仿宋_GB2312"/>
                <w:color w:val="000000"/>
                <w:kern w:val="0"/>
                <w:lang w:bidi="ar"/>
              </w:rPr>
              <w:t>≥2个</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207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智能体建设数量</w:t>
            </w:r>
          </w:p>
        </w:tc>
        <w:tc>
          <w:tcPr>
            <w:tcW w:w="3013" w:type="dxa"/>
            <w:tcBorders>
              <w:top w:val="single" w:color="000000" w:sz="4" w:space="0"/>
              <w:left w:val="single" w:color="000000" w:sz="4" w:space="0"/>
              <w:bottom w:val="single" w:color="000000" w:sz="4" w:space="0"/>
              <w:right w:val="single" w:color="000000" w:sz="4" w:space="0"/>
            </w:tcBorders>
            <w:vAlign w:val="bottom"/>
          </w:tcPr>
          <w:p>
            <w:pPr>
              <w:widowControl/>
              <w:spacing w:line="240" w:lineRule="auto"/>
              <w:ind w:firstLine="0" w:firstLineChars="0"/>
              <w:jc w:val="left"/>
              <w:textAlignment w:val="bottom"/>
              <w:rPr>
                <w:rFonts w:hint="eastAsia" w:ascii="仿宋_GB2312" w:hAnsi="等线" w:eastAsia="仿宋_GB2312" w:cs="仿宋_GB2312"/>
                <w:color w:val="000000"/>
              </w:rPr>
            </w:pPr>
            <w:r>
              <w:rPr>
                <w:rFonts w:ascii="仿宋_GB2312" w:hAnsi="等线" w:eastAsia="仿宋_GB2312" w:cs="仿宋_GB2312"/>
                <w:color w:val="000000"/>
                <w:kern w:val="0"/>
                <w:lang w:bidi="ar"/>
              </w:rPr>
              <w:t>≥2个</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产出质量</w:t>
            </w:r>
          </w:p>
        </w:tc>
        <w:tc>
          <w:tcPr>
            <w:tcW w:w="2070" w:type="dxa"/>
            <w:tcBorders>
              <w:top w:val="single" w:color="000000" w:sz="4" w:space="0"/>
              <w:left w:val="single" w:color="000000" w:sz="4" w:space="0"/>
              <w:bottom w:val="single" w:color="000000" w:sz="4" w:space="0"/>
              <w:right w:val="single" w:color="000000" w:sz="4" w:space="0"/>
            </w:tcBorders>
            <w:vAlign w:val="bottom"/>
          </w:tcPr>
          <w:p>
            <w:pPr>
              <w:widowControl/>
              <w:spacing w:line="240" w:lineRule="auto"/>
              <w:ind w:firstLine="0" w:firstLineChars="0"/>
              <w:jc w:val="left"/>
              <w:textAlignment w:val="bottom"/>
              <w:rPr>
                <w:rFonts w:hint="eastAsia" w:ascii="仿宋_GB2312" w:hAnsi="等线" w:eastAsia="仿宋_GB2312" w:cs="仿宋_GB2312"/>
                <w:color w:val="000000"/>
              </w:rPr>
            </w:pPr>
            <w:r>
              <w:rPr>
                <w:rFonts w:ascii="仿宋_GB2312" w:hAnsi="等线" w:eastAsia="仿宋_GB2312" w:cs="仿宋_GB2312"/>
                <w:color w:val="000000"/>
                <w:kern w:val="0"/>
                <w:lang w:bidi="ar"/>
              </w:rPr>
              <w:t>支持同时在线人数</w:t>
            </w:r>
          </w:p>
        </w:tc>
        <w:tc>
          <w:tcPr>
            <w:tcW w:w="301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≥1000人</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207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支持并发用户数</w:t>
            </w:r>
          </w:p>
        </w:tc>
        <w:tc>
          <w:tcPr>
            <w:tcW w:w="301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≥100人</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207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系统登录时间</w:t>
            </w:r>
          </w:p>
        </w:tc>
        <w:tc>
          <w:tcPr>
            <w:tcW w:w="301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≤5秒</w:t>
            </w:r>
          </w:p>
        </w:tc>
      </w:tr>
      <w:tr>
        <w:tblPrEx>
          <w:tblCellMar>
            <w:top w:w="0" w:type="dxa"/>
            <w:left w:w="108" w:type="dxa"/>
            <w:bottom w:w="0" w:type="dxa"/>
            <w:right w:w="108" w:type="dxa"/>
          </w:tblCellMar>
        </w:tblPrEx>
        <w:trPr>
          <w:trHeight w:val="6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207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一般查询、写入、搜索操作响应时间（90%的操作页面）</w:t>
            </w:r>
          </w:p>
        </w:tc>
        <w:tc>
          <w:tcPr>
            <w:tcW w:w="301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≤5秒</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207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报表统计类操作响应时间</w:t>
            </w:r>
          </w:p>
        </w:tc>
        <w:tc>
          <w:tcPr>
            <w:tcW w:w="301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≤5秒</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207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智能体交互响应时间</w:t>
            </w:r>
          </w:p>
        </w:tc>
        <w:tc>
          <w:tcPr>
            <w:tcW w:w="301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≤15秒</w:t>
            </w:r>
          </w:p>
        </w:tc>
      </w:tr>
      <w:tr>
        <w:tblPrEx>
          <w:tblCellMar>
            <w:top w:w="0" w:type="dxa"/>
            <w:left w:w="108" w:type="dxa"/>
            <w:bottom w:w="0" w:type="dxa"/>
            <w:right w:w="108" w:type="dxa"/>
          </w:tblCellMar>
        </w:tblPrEx>
        <w:trPr>
          <w:trHeight w:val="42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效益指标</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社会效益</w:t>
            </w:r>
          </w:p>
        </w:tc>
        <w:tc>
          <w:tcPr>
            <w:tcW w:w="207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积水、泵站、泵闸联排联调能力</w:t>
            </w:r>
          </w:p>
        </w:tc>
        <w:tc>
          <w:tcPr>
            <w:tcW w:w="3013" w:type="dxa"/>
            <w:tcBorders>
              <w:top w:val="single" w:color="000000" w:sz="4" w:space="0"/>
              <w:left w:val="single" w:color="000000" w:sz="4" w:space="0"/>
              <w:bottom w:val="single" w:color="000000" w:sz="4" w:space="0"/>
              <w:right w:val="single" w:color="000000" w:sz="4" w:space="0"/>
            </w:tcBorders>
            <w:vAlign w:val="bottom"/>
          </w:tcPr>
          <w:p>
            <w:pPr>
              <w:widowControl/>
              <w:spacing w:line="240" w:lineRule="auto"/>
              <w:ind w:firstLine="0" w:firstLineChars="0"/>
              <w:jc w:val="left"/>
              <w:textAlignment w:val="bottom"/>
              <w:rPr>
                <w:rFonts w:hint="eastAsia" w:ascii="仿宋_GB2312" w:hAnsi="等线" w:eastAsia="仿宋_GB2312" w:cs="仿宋_GB2312"/>
                <w:color w:val="000000"/>
              </w:rPr>
            </w:pPr>
            <w:r>
              <w:rPr>
                <w:rFonts w:ascii="仿宋_GB2312" w:hAnsi="等线" w:eastAsia="仿宋_GB2312" w:cs="仿宋_GB2312"/>
                <w:color w:val="000000"/>
                <w:kern w:val="0"/>
                <w:lang w:bidi="ar"/>
              </w:rPr>
              <w:t>实现</w:t>
            </w:r>
          </w:p>
        </w:tc>
      </w:tr>
      <w:tr>
        <w:tblPrEx>
          <w:tblCellMar>
            <w:top w:w="0" w:type="dxa"/>
            <w:left w:w="108" w:type="dxa"/>
            <w:bottom w:w="0" w:type="dxa"/>
            <w:right w:w="108" w:type="dxa"/>
          </w:tblCellMar>
        </w:tblPrEx>
        <w:trPr>
          <w:trHeight w:val="42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2070" w:type="dxa"/>
            <w:tcBorders>
              <w:top w:val="single" w:color="000000" w:sz="4" w:space="0"/>
              <w:left w:val="single" w:color="000000" w:sz="4" w:space="0"/>
              <w:bottom w:val="single" w:color="000000" w:sz="4" w:space="0"/>
              <w:right w:val="single" w:color="000000" w:sz="4" w:space="0"/>
            </w:tcBorders>
            <w:vAlign w:val="bottom"/>
          </w:tcPr>
          <w:p>
            <w:pPr>
              <w:widowControl/>
              <w:spacing w:line="240" w:lineRule="auto"/>
              <w:ind w:firstLine="0" w:firstLineChars="0"/>
              <w:jc w:val="left"/>
              <w:textAlignment w:val="bottom"/>
              <w:rPr>
                <w:rFonts w:hint="eastAsia" w:ascii="仿宋_GB2312" w:hAnsi="等线" w:eastAsia="仿宋_GB2312" w:cs="仿宋_GB2312"/>
                <w:color w:val="000000"/>
              </w:rPr>
            </w:pPr>
            <w:r>
              <w:rPr>
                <w:rFonts w:ascii="仿宋_GB2312" w:hAnsi="等线" w:eastAsia="仿宋_GB2312" w:cs="仿宋_GB2312"/>
                <w:color w:val="000000"/>
                <w:kern w:val="0"/>
                <w:lang w:bidi="ar"/>
              </w:rPr>
              <w:t>视频图像识别准确率</w:t>
            </w:r>
          </w:p>
        </w:tc>
        <w:tc>
          <w:tcPr>
            <w:tcW w:w="301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w:t>
            </w:r>
            <w:r>
              <w:rPr>
                <w:rFonts w:hint="eastAsia" w:ascii="仿宋_GB2312" w:hAnsi="等线" w:eastAsia="仿宋_GB2312" w:cs="仿宋_GB2312"/>
                <w:color w:val="000000"/>
                <w:kern w:val="0"/>
                <w:lang w:bidi="ar"/>
              </w:rPr>
              <w:t>80</w:t>
            </w:r>
            <w:r>
              <w:rPr>
                <w:rFonts w:ascii="仿宋_GB2312" w:hAnsi="等线" w:eastAsia="仿宋_GB2312" w:cs="仿宋_GB2312"/>
                <w:color w:val="000000"/>
                <w:kern w:val="0"/>
                <w:lang w:bidi="ar"/>
              </w:rPr>
              <w:t>%</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2070" w:type="dxa"/>
            <w:tcBorders>
              <w:top w:val="single" w:color="000000" w:sz="4" w:space="0"/>
              <w:left w:val="single" w:color="000000" w:sz="4" w:space="0"/>
              <w:bottom w:val="single" w:color="000000" w:sz="4" w:space="0"/>
              <w:right w:val="single" w:color="000000" w:sz="4" w:space="0"/>
            </w:tcBorders>
            <w:vAlign w:val="bottom"/>
          </w:tcPr>
          <w:p>
            <w:pPr>
              <w:widowControl/>
              <w:spacing w:line="240" w:lineRule="auto"/>
              <w:ind w:firstLine="0" w:firstLineChars="0"/>
              <w:jc w:val="left"/>
              <w:textAlignment w:val="bottom"/>
              <w:rPr>
                <w:rFonts w:hint="eastAsia" w:ascii="仿宋_GB2312" w:hAnsi="等线" w:eastAsia="仿宋_GB2312" w:cs="仿宋_GB2312"/>
                <w:color w:val="000000"/>
              </w:rPr>
            </w:pPr>
            <w:r>
              <w:rPr>
                <w:rFonts w:hint="eastAsia" w:ascii="仿宋_GB2312" w:hAnsi="等线" w:eastAsia="仿宋_GB2312" w:cs="仿宋_GB2312"/>
                <w:color w:val="000000"/>
                <w:kern w:val="0"/>
                <w:lang w:eastAsia="zh-CN" w:bidi="ar"/>
              </w:rPr>
              <w:t>YQ</w:t>
            </w:r>
            <w:r>
              <w:rPr>
                <w:rFonts w:ascii="仿宋_GB2312" w:hAnsi="等线" w:eastAsia="仿宋_GB2312" w:cs="仿宋_GB2312"/>
                <w:color w:val="000000"/>
                <w:kern w:val="0"/>
                <w:lang w:bidi="ar"/>
              </w:rPr>
              <w:t>研判准确率</w:t>
            </w:r>
          </w:p>
        </w:tc>
        <w:tc>
          <w:tcPr>
            <w:tcW w:w="301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≥80%</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2070" w:type="dxa"/>
            <w:tcBorders>
              <w:top w:val="single" w:color="000000" w:sz="4" w:space="0"/>
              <w:left w:val="single" w:color="000000" w:sz="4" w:space="0"/>
              <w:bottom w:val="single" w:color="000000" w:sz="4" w:space="0"/>
              <w:right w:val="single" w:color="000000" w:sz="4" w:space="0"/>
            </w:tcBorders>
            <w:vAlign w:val="bottom"/>
          </w:tcPr>
          <w:p>
            <w:pPr>
              <w:widowControl/>
              <w:spacing w:line="240" w:lineRule="auto"/>
              <w:ind w:firstLine="0" w:firstLineChars="0"/>
              <w:jc w:val="left"/>
              <w:textAlignment w:val="bottom"/>
              <w:rPr>
                <w:rFonts w:hint="eastAsia" w:ascii="仿宋_GB2312" w:hAnsi="等线" w:eastAsia="仿宋_GB2312" w:cs="仿宋_GB2312"/>
                <w:color w:val="000000"/>
              </w:rPr>
            </w:pPr>
            <w:r>
              <w:rPr>
                <w:rFonts w:ascii="仿宋_GB2312" w:hAnsi="等线" w:eastAsia="仿宋_GB2312" w:cs="仿宋_GB2312"/>
                <w:color w:val="000000"/>
                <w:kern w:val="0"/>
                <w:lang w:bidi="ar"/>
              </w:rPr>
              <w:t>形成知识产品种类数量</w:t>
            </w:r>
          </w:p>
        </w:tc>
        <w:tc>
          <w:tcPr>
            <w:tcW w:w="301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≥2种</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2070" w:type="dxa"/>
            <w:tcBorders>
              <w:top w:val="single" w:color="000000" w:sz="4" w:space="0"/>
              <w:left w:val="single" w:color="000000" w:sz="4" w:space="0"/>
              <w:bottom w:val="single" w:color="000000" w:sz="4" w:space="0"/>
              <w:right w:val="single" w:color="000000" w:sz="4" w:space="0"/>
            </w:tcBorders>
            <w:vAlign w:val="bottom"/>
          </w:tcPr>
          <w:p>
            <w:pPr>
              <w:widowControl/>
              <w:spacing w:line="240" w:lineRule="auto"/>
              <w:ind w:firstLine="0" w:firstLineChars="0"/>
              <w:jc w:val="left"/>
              <w:textAlignment w:val="bottom"/>
              <w:rPr>
                <w:rFonts w:hint="eastAsia" w:ascii="仿宋_GB2312" w:hAnsi="等线" w:eastAsia="仿宋_GB2312" w:cs="仿宋_GB2312"/>
                <w:color w:val="000000"/>
              </w:rPr>
            </w:pPr>
            <w:r>
              <w:rPr>
                <w:rFonts w:ascii="仿宋_GB2312" w:hAnsi="等线" w:eastAsia="仿宋_GB2312" w:cs="仿宋_GB2312"/>
                <w:color w:val="000000"/>
                <w:kern w:val="0"/>
                <w:lang w:bidi="ar"/>
              </w:rPr>
              <w:t>AI助手用户日均使用次数</w:t>
            </w:r>
          </w:p>
        </w:tc>
        <w:tc>
          <w:tcPr>
            <w:tcW w:w="301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≥80人次/天</w:t>
            </w:r>
          </w:p>
        </w:tc>
      </w:tr>
      <w:tr>
        <w:tblPrEx>
          <w:tblCellMar>
            <w:top w:w="0" w:type="dxa"/>
            <w:left w:w="108" w:type="dxa"/>
            <w:bottom w:w="0" w:type="dxa"/>
            <w:right w:w="108" w:type="dxa"/>
          </w:tblCellMar>
        </w:tblPrEx>
        <w:trPr>
          <w:trHeight w:val="300" w:hRule="atLeast"/>
        </w:trPr>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9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仿宋_GB2312" w:hAnsi="等线" w:eastAsia="仿宋_GB2312" w:cs="仿宋_GB2312"/>
                <w:color w:val="000000"/>
              </w:rPr>
            </w:pPr>
          </w:p>
        </w:tc>
        <w:tc>
          <w:tcPr>
            <w:tcW w:w="2070" w:type="dxa"/>
            <w:tcBorders>
              <w:top w:val="single" w:color="000000" w:sz="4" w:space="0"/>
              <w:left w:val="single" w:color="000000" w:sz="4" w:space="0"/>
              <w:bottom w:val="single" w:color="000000" w:sz="4" w:space="0"/>
              <w:right w:val="single" w:color="000000" w:sz="4" w:space="0"/>
            </w:tcBorders>
            <w:vAlign w:val="bottom"/>
          </w:tcPr>
          <w:p>
            <w:pPr>
              <w:widowControl/>
              <w:spacing w:line="240" w:lineRule="auto"/>
              <w:ind w:firstLine="0" w:firstLineChars="0"/>
              <w:jc w:val="left"/>
              <w:textAlignment w:val="bottom"/>
              <w:rPr>
                <w:rFonts w:hint="eastAsia" w:ascii="仿宋_GB2312" w:hAnsi="等线" w:eastAsia="仿宋_GB2312" w:cs="仿宋_GB2312"/>
                <w:color w:val="000000"/>
              </w:rPr>
            </w:pPr>
            <w:r>
              <w:rPr>
                <w:rFonts w:ascii="仿宋_GB2312" w:hAnsi="等线" w:eastAsia="仿宋_GB2312" w:cs="仿宋_GB2312"/>
                <w:color w:val="000000"/>
                <w:kern w:val="0"/>
                <w:lang w:bidi="ar"/>
              </w:rPr>
              <w:t>每天形成水文智能预报数量</w:t>
            </w:r>
          </w:p>
        </w:tc>
        <w:tc>
          <w:tcPr>
            <w:tcW w:w="301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仿宋_GB2312" w:hAnsi="等线" w:eastAsia="仿宋_GB2312" w:cs="仿宋_GB2312"/>
                <w:color w:val="000000"/>
              </w:rPr>
            </w:pPr>
            <w:r>
              <w:rPr>
                <w:rFonts w:ascii="仿宋_GB2312" w:hAnsi="等线" w:eastAsia="仿宋_GB2312" w:cs="仿宋_GB2312"/>
                <w:color w:val="000000"/>
                <w:kern w:val="0"/>
                <w:lang w:bidi="ar"/>
              </w:rPr>
              <w:t>≥1次/天</w:t>
            </w:r>
          </w:p>
        </w:tc>
      </w:tr>
    </w:tbl>
    <w:p>
      <w:pPr>
        <w:ind w:firstLine="482"/>
        <w:rPr>
          <w:b/>
        </w:rPr>
      </w:pPr>
    </w:p>
    <w:p>
      <w:pPr>
        <w:pStyle w:val="2"/>
      </w:pPr>
      <w:bookmarkStart w:id="12" w:name="_Toc47537166"/>
      <w:bookmarkEnd w:id="12"/>
      <w:bookmarkStart w:id="13" w:name="_Toc47536304"/>
      <w:bookmarkEnd w:id="13"/>
      <w:bookmarkStart w:id="14" w:name="_Toc47539102"/>
      <w:bookmarkEnd w:id="14"/>
      <w:bookmarkStart w:id="15" w:name="_Toc47536676"/>
      <w:bookmarkEnd w:id="15"/>
      <w:bookmarkStart w:id="16" w:name="_Toc47533288"/>
      <w:bookmarkEnd w:id="16"/>
      <w:bookmarkStart w:id="17" w:name="_Toc47532923"/>
      <w:bookmarkEnd w:id="17"/>
      <w:r>
        <w:rPr>
          <w:rFonts w:hint="eastAsia"/>
        </w:rPr>
        <w:t>项目建设内容</w:t>
      </w:r>
    </w:p>
    <w:p>
      <w:pPr>
        <w:pStyle w:val="3"/>
        <w:rPr>
          <w:rFonts w:hint="eastAsia"/>
        </w:rPr>
      </w:pPr>
      <w:r>
        <w:rPr>
          <w:rFonts w:hint="eastAsia"/>
        </w:rPr>
        <w:t>项目内容概要</w:t>
      </w:r>
    </w:p>
    <w:p>
      <w:pPr>
        <w:ind w:firstLine="482"/>
        <w:rPr>
          <w:rFonts w:hint="eastAsia"/>
          <w:b/>
          <w:bCs/>
        </w:rPr>
      </w:pPr>
      <w:r>
        <w:rPr>
          <w:rFonts w:hint="eastAsia"/>
          <w:b/>
          <w:bCs/>
        </w:rPr>
        <w:t>建设智慧防汛及调度管理子系统建设项目</w:t>
      </w:r>
    </w:p>
    <w:p>
      <w:pPr>
        <w:rPr>
          <w:rFonts w:hint="eastAsia"/>
        </w:rPr>
      </w:pPr>
      <w:r>
        <w:rPr>
          <w:rFonts w:hint="eastAsia"/>
        </w:rPr>
        <w:t>在综合应用市大数据中心超算算力资源、各类通用基础设施资源，依托电子政务云，实现基于空间计算的智慧防汛及调度管理系统的建设。</w:t>
      </w:r>
    </w:p>
    <w:p>
      <w:pPr>
        <w:rPr>
          <w:rFonts w:hint="eastAsia"/>
        </w:rPr>
      </w:pPr>
      <w:r>
        <w:rPr>
          <w:rFonts w:hint="eastAsia"/>
        </w:rPr>
        <w:t>在指挥决策应用层面围绕城市水安全的防汛业务实现“平战结合”的联排联调暨防汛应急联排联调应用、防汛日常联排联调的应用和水安全</w:t>
      </w:r>
      <w:r>
        <w:rPr>
          <w:rFonts w:hint="eastAsia"/>
          <w:lang w:eastAsia="zh-CN"/>
        </w:rPr>
        <w:t>YQ</w:t>
      </w:r>
      <w:r>
        <w:rPr>
          <w:rFonts w:hint="eastAsia"/>
        </w:rPr>
        <w:t>监控应用。</w:t>
      </w:r>
    </w:p>
    <w:p>
      <w:pPr>
        <w:rPr>
          <w:rFonts w:hint="eastAsia"/>
        </w:rPr>
      </w:pPr>
      <w:r>
        <w:rPr>
          <w:rFonts w:hint="eastAsia"/>
        </w:rPr>
        <w:t>在业务调度应用层面，围绕防汛业务调度，实现关键期水文智能预报分析、防汛隐患分析管理、防汛期间泵站放江及养护精细化管理、水网管理移动应用、事件中枢等；</w:t>
      </w:r>
    </w:p>
    <w:p>
      <w:pPr>
        <w:rPr>
          <w:rFonts w:hint="eastAsia"/>
        </w:rPr>
      </w:pPr>
      <w:r>
        <w:rPr>
          <w:rFonts w:hint="eastAsia"/>
        </w:rPr>
        <w:t>在</w:t>
      </w:r>
      <w:r>
        <w:t>AI</w:t>
      </w:r>
      <w:r>
        <w:rPr>
          <w:rFonts w:hint="eastAsia"/>
        </w:rPr>
        <w:t>智算和知识层面，开展水文智能融合预报模型、防汛视觉智能大模型、防汛数据与知识融合分析及智能应用、防汛智能体等的建设；</w:t>
      </w:r>
    </w:p>
    <w:p>
      <w:pPr>
        <w:rPr>
          <w:rFonts w:hint="eastAsia"/>
        </w:rPr>
      </w:pPr>
      <w:r>
        <w:rPr>
          <w:rFonts w:hint="eastAsia"/>
        </w:rPr>
        <w:t>在数据支撑层面，实现视频中枢、多源异构数据接入、防汛和水网知识底板、多模态融合知识服务等建设。</w:t>
      </w:r>
    </w:p>
    <w:p>
      <w:pPr>
        <w:rPr>
          <w:rFonts w:hint="eastAsia"/>
        </w:rPr>
      </w:pPr>
      <w:r>
        <w:rPr>
          <w:rFonts w:hint="eastAsia"/>
        </w:rPr>
        <w:t>本期项目具体建设内容包括：</w:t>
      </w:r>
    </w:p>
    <w:p>
      <w:pPr>
        <w:ind w:left="420" w:hanging="420" w:firstLineChars="0"/>
        <w:rPr>
          <w:rFonts w:hint="eastAsia"/>
        </w:rPr>
      </w:pPr>
      <w:r>
        <w:rPr>
          <w:rFonts w:ascii="Wingdings" w:hAnsi="Wingdings"/>
        </w:rPr>
        <w:t></w:t>
      </w:r>
      <w:r>
        <w:rPr>
          <w:rFonts w:hint="eastAsia"/>
        </w:rPr>
        <w:t>指挥决策应用层：防汛联排联调总体态势、气象水雨情综合预报、防汛排涝调度、日常联排联调总体态势分析、水网综合监管、预降水调度、</w:t>
      </w:r>
      <w:r>
        <w:rPr>
          <w:rFonts w:hint="eastAsia"/>
          <w:lang w:eastAsia="zh-CN"/>
        </w:rPr>
        <w:t>YQ</w:t>
      </w:r>
      <w:r>
        <w:rPr>
          <w:rFonts w:hint="eastAsia"/>
        </w:rPr>
        <w:t>智能监控。</w:t>
      </w:r>
    </w:p>
    <w:p>
      <w:pPr>
        <w:ind w:left="420" w:hanging="420" w:firstLineChars="0"/>
        <w:rPr>
          <w:rFonts w:hint="eastAsia"/>
        </w:rPr>
      </w:pPr>
      <w:r>
        <w:rPr>
          <w:rFonts w:ascii="Wingdings" w:hAnsi="Wingdings"/>
        </w:rPr>
        <w:t></w:t>
      </w:r>
      <w:r>
        <w:rPr>
          <w:rFonts w:hint="eastAsia"/>
        </w:rPr>
        <w:t>业务调度应用层：关键期水文智能预报分析、防汛隐患分析管理、泵站放江及养护精细化管理、水网管理移动端、事件中枢。</w:t>
      </w:r>
    </w:p>
    <w:p>
      <w:pPr>
        <w:ind w:left="420" w:hanging="420" w:firstLineChars="0"/>
        <w:rPr>
          <w:rFonts w:hint="eastAsia"/>
        </w:rPr>
      </w:pPr>
      <w:r>
        <w:rPr>
          <w:rFonts w:ascii="Wingdings" w:hAnsi="Wingdings"/>
        </w:rPr>
        <w:t></w:t>
      </w:r>
      <w:r>
        <w:rPr>
          <w:rFonts w:hint="eastAsia"/>
        </w:rPr>
        <w:t>AI智算和知识层：防汛视觉智能大模型、防汛智能体大模型、防汛数据与知识融合分析及智能应用大模型。</w:t>
      </w:r>
    </w:p>
    <w:p>
      <w:pPr>
        <w:rPr>
          <w:rFonts w:hint="eastAsia"/>
        </w:rPr>
      </w:pPr>
      <w:r>
        <w:rPr>
          <w:rFonts w:ascii="Wingdings" w:hAnsi="Wingdings"/>
        </w:rPr>
        <w:t></w:t>
      </w:r>
      <w:r>
        <w:rPr>
          <w:rFonts w:hint="eastAsia"/>
        </w:rPr>
        <w:t>密码应用改造。</w:t>
      </w:r>
    </w:p>
    <w:p>
      <w:pPr>
        <w:pStyle w:val="3"/>
        <w:rPr>
          <w:rFonts w:hint="eastAsia"/>
        </w:rPr>
      </w:pPr>
      <w:r>
        <w:rPr>
          <w:rFonts w:hint="eastAsia"/>
        </w:rPr>
        <w:t>项目内容明细</w:t>
      </w:r>
    </w:p>
    <w:p>
      <w:pPr>
        <w:rPr>
          <w:rFonts w:hint="eastAsia"/>
          <w:bCs/>
        </w:rPr>
      </w:pPr>
      <w:r>
        <w:rPr>
          <w:rFonts w:hint="eastAsia"/>
          <w:bCs/>
        </w:rPr>
        <w:t>软件开发清单：</w:t>
      </w:r>
    </w:p>
    <w:tbl>
      <w:tblPr>
        <w:tblStyle w:val="35"/>
        <w:tblW w:w="8127" w:type="dxa"/>
        <w:tblInd w:w="98" w:type="dxa"/>
        <w:tblLayout w:type="autofit"/>
        <w:tblCellMar>
          <w:top w:w="0" w:type="dxa"/>
          <w:left w:w="108" w:type="dxa"/>
          <w:bottom w:w="0" w:type="dxa"/>
          <w:right w:w="108" w:type="dxa"/>
        </w:tblCellMar>
      </w:tblPr>
      <w:tblGrid>
        <w:gridCol w:w="826"/>
        <w:gridCol w:w="2401"/>
        <w:gridCol w:w="4900"/>
      </w:tblGrid>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b/>
                <w:bCs/>
                <w:color w:val="000000"/>
                <w:sz w:val="20"/>
                <w:szCs w:val="20"/>
              </w:rPr>
            </w:pPr>
            <w:r>
              <w:rPr>
                <w:rFonts w:hint="eastAsia" w:asciiTheme="majorEastAsia" w:hAnsiTheme="majorEastAsia" w:eastAsiaTheme="majorEastAsia" w:cstheme="majorEastAsia"/>
                <w:b/>
                <w:bCs/>
                <w:color w:val="000000"/>
                <w:kern w:val="0"/>
                <w:sz w:val="20"/>
                <w:szCs w:val="20"/>
                <w:lang w:bidi="ar"/>
              </w:rPr>
              <w:t>序号</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b/>
                <w:bCs/>
                <w:color w:val="000000"/>
                <w:sz w:val="20"/>
                <w:szCs w:val="20"/>
              </w:rPr>
            </w:pPr>
            <w:r>
              <w:rPr>
                <w:rFonts w:hint="eastAsia" w:asciiTheme="majorEastAsia" w:hAnsiTheme="majorEastAsia" w:eastAsiaTheme="majorEastAsia" w:cstheme="majorEastAsia"/>
                <w:b/>
                <w:bCs/>
                <w:color w:val="000000"/>
                <w:kern w:val="0"/>
                <w:sz w:val="20"/>
                <w:szCs w:val="20"/>
                <w:lang w:bidi="ar"/>
              </w:rPr>
              <w:t>功能名称</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b/>
                <w:bCs/>
                <w:color w:val="000000"/>
                <w:sz w:val="20"/>
                <w:szCs w:val="20"/>
              </w:rPr>
            </w:pPr>
            <w:r>
              <w:rPr>
                <w:rFonts w:hint="eastAsia" w:asciiTheme="majorEastAsia" w:hAnsiTheme="majorEastAsia" w:eastAsiaTheme="majorEastAsia" w:cstheme="majorEastAsia"/>
                <w:b/>
                <w:bCs/>
                <w:color w:val="000000"/>
                <w:kern w:val="0"/>
                <w:sz w:val="20"/>
                <w:szCs w:val="20"/>
                <w:lang w:bidi="ar"/>
              </w:rPr>
              <w:t>功能描述</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指挥决策应用层-防汛联排联调总体态势-汛情综述报告自动生成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开发综合汛情实时计算应用，接入综合汛情数据包括气象预警、防汛防台应急响应、潮位预警、风情、雨情、水情、工情、灾情，经过按复杂业务规则的计算，可实现对汛情综合性产品的呈现、查询和导出等功能。</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指挥决策应用层-防汛联排联调总体态势-防汛</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分析与值班信息汇总-防汛</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事件预警、</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事件详情、</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事件分析，实现防汛</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快速掌握和跟踪处置。</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指挥决策应用层-防汛联排联调总体态势-防汛</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分析与值班信息汇总-当日防汛值班汇总</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接入防指领导和各级各单位值班信息，根据各区权限值班数据展示市防汛办、本区及其下属街镇防汛值班</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指挥决策应用层-防汛联排联调总体态势-力量储备汇总分析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预案撤离安置关联分析（接入最新的撤离点、避难场所等）、防汛抢险队伍汇总与前置（接入最新三级抢险队伍和前置队伍）、防汛抢险物资汇总与前置（接入最新三级防汛物资和前置物资）、防汛移动泵车汇总与前置（接入最新的市区两级泵车调度数据、其他保障泵车和泵车前置数据）等子模块升级</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指挥决策应用层-防汛联排联调总体态势-灾报核处汇总分析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接入事件中枢涉及防汛灾情事件并分类统计分析</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指挥决策应用层-防汛联排联调总体态势-地图工具辅助-防汛要素风险预警汇总</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防汛要素风险预警（综合各类预警成果）、接入雨量预报产品并预警</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指挥决策应用层-防汛联排联调总体态势-地图工具辅助-任意点周边资源检索</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支持输入任意地址或基于现有点位进行匹配关联周边资源，默认设置1km缓冲区范围</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指挥决策应用层-防汛联排联调总体态势-地图工具辅助-导航图层查询</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接入最新的风场服务和防汛隐患排查（如易积水点）等基础服务</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指挥决策应用层-防汛联排联调总体态势-智能语音导览控制-对接接入语音服务</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接入拾音和语音转文字等数据服务，便于作为后续对语控服务的输入</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指挥决策应用层-防汛联排联调总体态势-智能语音导览控制-语音驱动模块交互</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通过语音指令替代手动点击，实现快速访问各级菜单选项。</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指挥决策应用层-防汛联排联调总体态势-智能语音导览控制-语音驱动图层控制</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用户可通过语音指令实现图层的显示与隐藏操作。</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指挥决策应用层-防汛联排联调总体态势-智能语音导览控制-地点语音搜索定位</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用户可通过语音指令实现地点的搜索。</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指挥决策应用层-防汛联排联调总体态势-防汛智能体应用集成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集成防汛相关智能体应用</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指挥决策应用层-气象水雨情综合预报-水网模拟地图分布</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默认展示当日最新的计算方案模拟“四预”过程，支持和时间轴联动，汇总叠加浦东片区的水网数据和黄浦江</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指挥决策应用层-气象水雨情综合预报-水网模拟预报预警</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接入的数字孪生成果，呈现黄浦江建设范围内站点的水位过程情况，突出水位预警、防汛闸门预警、薄弱岸段预警等情况</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指挥决策应用层-气象水雨情综合预报-水网模拟预案预演</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最新方案的预案呈现，基于默认选择的方案成果，显示调度计算方案及结果等内容，支持水网知识库智能检索等</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指挥决策应用层-气象水雨情综合预报-水文预报基础模型成果模拟</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基于接入水文预报成果数据服务，默认呈现黄浦江预报水位最高时的水势和主要站点预报成果，支持查询过程模拟情况</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指挥决策应用层-气象水雨情综合预报-水文大模型成果模拟</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基于水文大模型成果模拟，进行接入并切换水文预报基础模型的成果呈现</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指挥决策应用层-气象水雨情综合预报-内涝风险点关联计算实时累计雨量</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针对各内涝风险点关联的雨量站点进行分别计算不同小时的累计雨量，若达到的中高风险，则进行预警提示</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指挥决策应用层-气象水雨情综合预报-风险图内涝模拟成果统计与提醒</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接入的内涝模拟成果汇总统计，默认如有最近24小时计算的最新方案则提醒，支持针对某一块区域查询积水风险的统计结果</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指挥决策应用层-防汛排涝调度-防汛排涝监测监视预警</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通过数据共享交换，获取泵闸工况、水位监测、雨量监测、积水监测、潮位监测等监测信息，并进行统计进行展现，支持以列表和地图相结合的形势对详细信息展现。获取台风、暴雨、潮位的预警预报数据以及预警响应信息。</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指挥决策应用层-防汛排涝调度-防汛排涝工程信息</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通过数据共享交换，获取泵闸工程、雨水泵闸等与防汛排涝紧密相关的工程信息，并结合图、表进行展现。</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指挥决策应用层-防汛排涝调度-防汛排涝监重点区域视频监视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结合防汛排涝调度需要，实现重点泵闸、雨水泵站视频监控、视频一键轮巡等具体应用。</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指挥决策应用层-防汛排涝调度-防汛排涝调度监管-防汛排涝调度数字模型</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基于《上海市防汛防台专项应急预案》、《上海市水利控制片水资源调度方案》以及防汛调度指令，构建防汛排涝调度监管数字模型。</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指挥决策应用层-防汛排涝调度-防汛排涝调度监管-防汛排涝指令智能比对</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以列表展现当前防汛调度规则，结合防汛排涝调度数字模型与水利工程运行情况进行比对，对于与调度指令不一致的事件使用弹窗形式进行提醒，同时智能关联闸站上下游闸站工况、上下游河道水位以及视频监控信息。</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指挥决策应用层-防汛排涝调度-防汛排涝调度辅助分析-队伍物资泵车前置分析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结合内涝模拟预报预警情况，整合接入队伍、物资、泵车的前置分布情况，分析内涝中高风险地区是否有资源已经前置的情况</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指挥决策应用层-防汛排涝调度-防汛排涝调度辅助分析-一级排涝分析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基于雨水泵站、泵站放江的工况数据关联积水事件分布，根据启闭规则自动判断积水事件周边泵站工况是否正常，呈现关联判断结果。从不同维度开展排水防涝的工况统计分析，图文呈现分析结果</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指挥决策应用层-防汛排涝调度-防汛排涝调度辅助分析-二级排涝分析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基于除涝泵闸的工况数据关联积水事件分布，根据启闭自动判断积水事件周边水闸工况是否正常，呈现关联判断结果。从不同维度开展防汛水利调度的工况统计分析，图文呈现分析结果</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指挥决策应用层-防汛排涝调度-防汛排涝调度辅助分析-泵闸运行分析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基于汇聚的泵闸数据资源、视频监控、河道水位以及共享交换的BIM模型等，以泵闸为对象构建泵闸信息模型，实现对泵闸运行信息全量展现，支持业务人员对调度决策。</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指挥决策应用层-防汛排涝调度-防汛排涝调度辅助分析-防汛排涝调度回演</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基于防汛响应处置全过程，支持防汛排涝调度过程的回演分析，便于复盘内涝原因，优化调度方案。</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指挥决策应用层-防汛排涝调度-防汛排涝调度地图应用</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基于汇聚的泵闸、雨水泵站、水位、潮位、雨量站、水利片、排水分区等信息，结合GIS进行应用，支持分层展示、模糊查询等具体应用。</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指挥决策应用层-日常联排联调总体态势-监管对象要素</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掌握河湖相关监管对象要素信息，包括河湖要素、河湖人员、水闸泵站、农污处理、一线江堤、综合评价、水面率、水票使用、水票归还、水体库容、地表径流量、水质断面等统计分析，联动综合地图等进行展现。</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指挥决策应用层-日常联排联调总体态势-监控运行体征</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掌握河湖相关运行体征监控，包括对水位、流量、水闸、泵站、水质等进行监测数据的获取、统计分析呈现，联动综合地图进行展现。</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指挥决策应用层-日常联排联调总体态势-涉水工程/巡河管养/综合地图</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掌握涉水工程情况，包括未来在建工程、当前在建工程、历史建设工程等，掌握工程详细信息，进行分类统计并联动综合地图进行展现。</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掌握巡河情况及养护情况，对巡河和养护产生的关键数据进行分析统计，联动综合地图进行展现。</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接入多种涉河图层数据、涉河监测点位数据、预警预报数据等以地图为载体分析并展示数据，并实现与其他子屏的联动。</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指挥决策应用层-日常联排联调总体态势-涉河事件核处</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掌握涉河事件核处全流程信息，包括事件发现、事件分类及事件流转，进行数据呈现并对时段内事件核处情况进行分析统计</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指挥决策应用层-日常联排联调总体态势-涉河事件详情</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掌握涉河事件详细信息，包括时间基础信息、河湖信息、人员信息、运维信息、巡查信息、监测信息、视频信息，进行数据呈现并利用智能体进行事件分析生成事件态势分析报告</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指挥决策应用层-水网综合监管-水网巡查</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构建养护评价指标体系，包括巡查覆盖率、上报问题、已处置问题等，基于河湖巡查养护数据资源，对数据进行求和、加权、插值等运算，并使用大数据看板和图标相结合的形式，对河湖巡查业务进行表征</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指挥决策应用层-水网综合监管-水网养护</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构建巡查评价指标体系，包括巡养护单位、养护执行、工单完成等，基于河湖巡查养护数据资源，对数据进行求和、加权、插值等运算，并使用大数据看板和图标相结合的形式，对河湖养护业务进行表征</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指挥决策应用层-水网综合监管-问题类型</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构建河湖问题评价指标体系，包括问题类型、各类型占比、问题排行等，基于河湖巡查养护数据资源，对数据进行求和、加权、插值等运算，并使用大数据看板和图标相结合的形式，对河湖问题类型进行表征。</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指挥决策应用层-水网综合监管-水网养护视频联动</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以河湖问题为核心的一定范围内的视频资源自动联动，以及养护计划和养护单位信息的自动联动。</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指挥决策应用层-水网综合监管-区域工单</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构建区域工单评价体系，包括工单数、完成数和完成率3个维度，基于河湖巡查养护数据资源，对数据进行求和、加权、插值等运算，并使用大数据看板和图标相结合的形式</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指挥决策应用层-水网综合监管-水网养护地图应用</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基于汇聚的巡查人员定位信息、视频探头信息、监管事件信息、养护任务等信息，结合GIS进行应用，支持分层展示、模糊查询等具体应用。</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指挥决策应用层-水网综合监管-养护智能分析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结合河湖养护监管业务需求，构建数据资产应用场景，实现对整体养护、区县养护、街镇养护和单条河道养护评估分析。</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指挥决策应用层-水网综合监管-水网综合评价</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融合静态与动态评价功能，建立健康评价指标，划分管理等级，实时监测问题响应率、河长履职情况及养护达标率等。</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指挥决策应用层-水网综合监管-水网问题趋势分析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展示河湖问题的发展趋势与预测，提升问题定位效率。</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指挥决策应用层-水网综合监管-河长制管理效能分析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深化河湖长巡查覆盖率，动态跟踪问题处置时效，建立问题类别绩效档案，加强通知提醒。</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指挥决策应用层-水网综合监管-河湖分析报告</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根据河湖评价、水质、历史事件等信息进行综合分析，形成河湖综合分析结果。</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指挥决策应用层-预降水调度-一河五片设施运行</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以一河五片区为基础，梳理主要河道联排联调设施的基本情况，并结合大数据看板和图标相进行展示。</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指挥决策应用层-预降水调度-一河五片调度专题图</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以一河五片区为基础，建设调度专题图，通过点击系统内水系名称，中央地图区域同步跳转至以该水系为中心的水系范围，并且显示该水系的河道运行体征和所有设施运行情况。</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50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指挥决策应用层-预降水调度-调度运行预警</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对一河五片区域内的联排联调设施设定报警阈值，综合分析各在线监测设施的运行数据，对于河道水位、水质等实时监测数据的越限指标进行报警提示。</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51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指挥决策应用层-预降水调度-泵闸联合调度分析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基于水闸防汛调度方案、预降水调度方案及泵闸联动调度方案等设施运行方案，对各因素进行综合分析。</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52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指挥决策应用层-预降水调度-泵闸联合调度监管数字模型</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基于《上海市水利控制片水资源调度方案》以及《一河五片泵闸联动调度方案》，构建泵闸联合调度监管数字模型</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53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指挥决策应用层-预降水调度-泵闸调度地图应用（调度相关实测数据）</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基于汇聚的泵闸、水位、水质、雨量站等信息，结合GIS进行应用，支持分层展示、模糊查询等具体应用。</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54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指挥决策应用层-预降水调度-泵闸视频监控</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结合预降水监管场景需要，实现重点泵闸视频监控、视频一键轮巡等具体应用。</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55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智能监控-</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智能监控-多媒体数据采集引擎</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数据采集:建设采集参数的配置界面，主要用来调整目标站点的关注栏目的增删改以及对各个目标站点及APP采集频率的调整。</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数据解析:将从网站或APP获取的页面文件进行解析，提取有效内容成为结构化数据，同时对多媒体内容进行识别与标注.</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数据动态监测:根据用户的需求定制监测关键词或表达式，以便实时跟踪和分析相关数据。</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数据推送:数据接收与处理、数据推送。</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数据储存:数据分布式加密存储与管理。</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56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智能监控-</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智能监控-专题态势总览-30日正负面事件</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显示30日内上海市与防台防汛相关的正负面事件</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57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智能监控-</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智能监控-专题态势总览-正负面事件详情</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点击 30 日正负面事件标题，即可展示与事件相关的，详细数据分析。</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58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智能监控-</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智能监控-专题态势总览-地图看板</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显示上海市地图，并且将区域内不同的地区中与防台防汛相关的热度最高的事件，信息包括标题及热度值进行可视化展示</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59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智能监控-</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智能监控-专题态势总览-网民六元情绪洞察</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基于上海市防台防汛相关的微博信息，进行六元情绪分析，将全部的信息分为：喜、怒、哀、恐、惊、中性，并进行可视化展示。</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60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智能监控-</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智能监控-专题态势总览-网民热议话题</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展示与上海市防台防汛相关的微博热门话题。</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61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智能监控-</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智能监控-专题态势总览-数据总览</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展示与上海市防台防汛相关的总体信息量与敏感信息量。</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62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智能监控-</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智能监控-专题态势总览-实时敏感信息检测</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监测与上海市防台防汛相关的各类敏感信息，并且基于相同的信息进行合并，将按照相关的文章数的倒序进行展示。</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63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智能监控-</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智能监控-专题态势总览-实时敏感信息详细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点击实时敏感信息列表的内容部分，即可打开信息详细，展示信息相关的来源内容及信息的详细内容。</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64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智能监控-</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智能监控-专题态势总览-正负面高频词</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获取与上海市防台防汛相关的全网信息，进行高频词提取，并将高频词进行正负面判断。然后将对应的判断结果进行可视化展示。</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65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智能监控-</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智能监控-专题事件追踪-数据概况</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获取与上海市防台防汛相关的事件专题的数据概况。</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66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智能监控-</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智能监控-专题事件追踪-媒体报道概况</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获取与上海市防台防汛相关的事件专题的媒体报道概况。</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67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智能监控-</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智能监控-专题事件追踪-关键词云</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根据全网所有与上海市防台防汛相关的文章，计算出被提及次数最高的词语，形成词云。</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68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指挥决策应用层-</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智能监控-</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智能监控-</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分析研判</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事件进程:上海市防台防汛所有事件中，其中影响较大的事件进程分析</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研判:上海市防台防汛相关事件中，进行</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研判</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专题数据服务:按照定向的重大主题，进行数据获取、清洗、分析、加工应用。按照客户需求进行定向数据提供，重大专题数据包括针对此类专题的基础数据、敏感数据、热点关注事件、热门话题等专项内容，进行分主题获取，可随时调用。</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69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业务调度应用层-关键期水文智能预报分析-水文智能预报模型时序对象分析与处理-</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模型时序对象分组管理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以资源目录的形式对模型时序对象进行分组管理，可自定义分组名称并且支持目录层级嵌套增加，已建目录支持删除，并和根据名称查询各类时序分组。</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70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业务调度应用层-关键期水文智能预报分析-水文智能预报模型时序对象分析与处理-</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模型时序对象管理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时序对象分组中可增加时序对象如站点、因子等类型，对时序对象能进行编辑维护和删除操作。站点管理包括站点名称、编码、坐标、位置等信息；因子包括所属站点、类型、名称、编码等信息。针对模型时序对象，能够查看该对象所包含的总信息条数、信息最早及最新时间等属性信息。</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71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业务调度应用层-关键期水文智能预报分析-水文智能预报模型时序对象分析与处理-</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模型时序查询结果展示</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选择模型时序对象后，可按自定义时间段查询时序对象结果并以图表形式进行展示，展示结果包括数据对象的过程值、单位等信息，通过图表控件可进行时间轴拖放后定位。针对模型时序对象，能够控制时序对象显示的小数位数和进位方式，进位方式包括四舍五入和四舍六入。针对模型时序对象时间段查询结果，可将时序结果导出成文件保存，结果包含时间戳和数值部分。</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72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业务调度应用层-关键期水文智能预报分析-水文智能预报模型时序对象分析与处理-</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模型时序对象编辑</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选择模型时序对象后可针对查询结果进行编辑并保存时序数值，可导入导出对象数值进行快速编辑。此外，功能支持上一步和下一步撤销及恢复，在进行误操作后能及时回退。</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73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业务调度应用层-关键期水文智能预报分析-水文智能预报模型时序对象分析与处理-</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模型时序对象常规统计</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能进行模型时序对象最大值、最小值、平均值、求和、中位数等统计并能查看统计结果</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74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业务调度应用层-关键期水文智能预报分析-模型时序对象标准差统计</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能进行模型时序对象标准差类统计并能查看统计结果，包括针对小时、日、周、月、年各类值的分项统计</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75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业务调度应用层-关键期水文智能预报分析-水文智能预报模型时序对象分析与处理-</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模型时序对象方差统计</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能进行模型时序对象方差类统计并能查看统计结果，包括针对小时、日、周、月、年各类值的分项统计</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76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业务调度应用层-关键期水文智能预报分析-水文智能预报模型时序对象分析与处理-</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模型时序历史版本跟踪</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模型时序对象的时序数值修改过程都将进行记录，点击数值项能够查看时序对象的历史变更过程、修改前的数值、修改人、修改时间等详细记录。</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77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业务调度应用层-关键期水文智能预报分析-水文智能预报模型时序对象分析与处理-</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模型时序血缘分析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以族谱图的方式显示模型时序对象间的血缘关系，包括时序对象的来源、处理逻辑、派生路径等，点击关系链路能够显示详细的血缘关系信息。</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78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业务调度应用层-关键期水文智能预报分析-水文智能预报模型时序对象分析与处理-</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模型时序视图管理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可新增模型时序对象查看的组合视图，能够自定义视图名称，能够对组合视图进行文件夹式的分类组织管理。针对系统中已经建立的模型时序对象组合视图，能够进行重命名、删除等维护操作。组合视图中的单个时序对象也能进行重命名显示。</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79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业务调度应用层-关键期水文智能预报分析-水文智能预报模型时序对象分析与处理-</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模型时序视图图表交互</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以折线图或散点图展示时间序列对象数值，横轴为时间，纵轴为数值（如潮位高度），支持鼠标滚轮缩放和平移图表。提供时间轴选择器，允许用户快速选择预设时间范围查看对象数值。</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80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业务调度应用层-关键期水文智能预报分析-水文智能预报模型时序对象分析与处理-</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模型时序视图数据轴设置</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当在模型时序视图中有多个量纲对象同时加载时，视图图表会自动合并相同单位量纲数据轴，并将不同数据轴分别显示。针对特定的模型时序对象单位，可以设置数据轴显示范围按照固定值或指定比例扩展显示的方式。</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81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业务调度应用层-关键期水文智能预报分析-水文智能预报模型时序对象分析与处理-</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视图时间窗口设置</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视图时间窗口支持锁定时间范围、时间窗口平移、时间窗口最新等模式的设定，每次载入视图会根据此设定自动加载时序对象时间范围，便于时序对象数值曲线的组合对比查看</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82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业务调度应用层-关键期水文智能预报分析-水文智能预报模型时序对象动态更新-</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模型时序对象更新管理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系统能够新增所需连接的更新对象类型，能够配置时序对象名称、时序对象描述和时序对象类型，在选择时序对象类型后能够继续选择系统所支持的连接适配方式。能够通过点击交互测试与时序对象的连通是否正常，以保证模型对象更新的及时性。对于已经配置好的时序对象，能够通过名称进行检索。选中时序对象后能够对已填写的时序对象名称、描述等信息进行编辑，能够删除已建时序对象。</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83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业务调度应用层-关键期水文智能预报分析-水文智能预报模型时序对象动态更新-</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模型时序对象更新任务新建</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在模型时序对象的更新设置完成后，能够新建动态更新任务，能够设置任务名称、任务描述和更新方式，选择更新方式后能够继续进行源选择。</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84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业务调度应用层-关键期水文智能预报分析-水文智能预报模型时序对象动态更新-</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更新任务类型设置</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动态更新任务分为一次性任务和周期性任务。一次性任务选择任务开始时间和结束时间，周期性任务可设置任务执行周期及时间表达式生成。更新时序对象选择后能够自动加载所选时序对象供更新选择，选择对象与目标对象的配置关系，按照此配置关系执行相应的动态更新任务。</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85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业务调度应用层-关键期水文智能预报分析-水文智能预报模型时序对象动态更新-</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更新任务维护管理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对于已建的动态更新任务能够通过名称进行检索。选中任务后能够对已填写的任务名称、描述等信息进行编辑，能够改变任务的上下线状态并删除已建任务。任务执行的每个实例都能进行详情查看，包括每个实例的任务调度名、执行状态、实例类型、执行开始时间和结束时间、执行时长及日志等信息</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86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业务调度应用层-关键期水文智能预报分析-水文智能预报模型时序对象预处理-</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模型时序对象预处理算法注册</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系统能够新建算法服务，设置算法服务名称并指定算法服务端口，按系统预设要求上传算法Zip包即可对Python脚本包含的算法规则进行解析，读取所包含的算法规则列表。</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87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业务调度应用层-关键期水文智能预报分析-水文智能预报模型时序对象预处理-</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模型时序对象校验算法管理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算法服务注册后在校验工具中可查看相应的校验规则，可显示规则名称、版本、状态、更新时间、操作记录等详情。模型时序对象校验任务执行后会将符合对应校验规则的内容进行标签标记，查询时在查询结果中自动显示已经关联标注的标签名称。</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88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业务调度应用层-关键期水文智能预报分析-水文智能预报模型时序对象预处理-</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模型时序对象修正算法管理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算法服务注册后在模型时序对象修正工具中可查看相应的修正规则，可显示规则名称、版本、状态、更新时间、操作记录等详情。修正任务执行后会将修正后的内容进行标签标记，查询时在查询结果中自动显示已经关联标注的标签名称。</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89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业务调度应用层-关键期水文智能预报分析-水文智能预报模型时序对象预处理-</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模型时序对象校验任务管理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选中模型时序对象后能进行校验任务的设定，能设置任务名称并选择校验规则、设置任务执行的开始时间和结束时间。在选择特定的规则类型后根据规则本身要求填写规则运行所需的参数值。能够查验已建的校验任务名称及详情，能显示本次任务所包括的所有校验规则名称、版本、输出类型和标签名称等信息</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90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业务调度应用层-关键期水文智能预报分析-水文智能预报模型时序对象预处理-</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模型时序对象修正任务管理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选中模型时序对象后能进行修正任务的设定，能设置任务名称并选择修正规则、设置任务执行的开始时间和结束时间。能够查验已建的修正任务名称及详情，能显示本次任务所包括的所有修正规则名称、版本、输出类型和标签名称等信息</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91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业务调度应用层-关键期水文智能预报分析-水文智能预报模型时序对象预处理-</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模型时序对象差分检测分析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计算相邻时刻潮位、风速、风压的数值差，通过差值大小或变化趋势，定位数据里的突发波动（如潮位骤升、风速骤变），辅助发现极端水文事件，或传感器异常波动。</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92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业务调度应用层-关键期水文智能预报分析-水文智能预报模型时序对象预处理-</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模型时序对象梯度检测分析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基于数据变化率识别信号边缘或突变区域，用于潮位等时序数据趋势转折（风暴潮的快速涨潮）判断。</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93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业务调度应用层-关键期水文智能预报分析-水文智能预报模型时序对象预处理-</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模型时序对象箱线图检测分析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利用四分位数、中位数及 1.5 倍 IQR 区间划分数据分布，将区间外的点判定为异常值。既能筛出传感器故障数据，也能定位风暴潮里的极值波动，快速批量排查异常。</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94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业务调度应用层-关键期水文智能预报分析-水文智能预报模型时序对象预处理-</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模型时序对象3σ检测分析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基于正态分布假设，将均值 ±3 倍标准差以外的数据视为异常，快速识别显著偏离正常值的极端数据。</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95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业务调度应用层-关键期水文智能预报分析-水文智能预报模型时序对象预处理-</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模型时序对象线性插值分析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通过相邻已知数据点的线性拟合估算缺失值，适用于非风暴潮期间潮位时序等数据呈近似线性变化的场景，保持时序数据的趋势连续。</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96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业务调度应用层-关键期水文智能预报分析-水文智能预报模型时序对象预处理-</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模型时序对象三次样条插值分析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利用分段三次多项式保证曲线连续性与光滑性，精准拟合复杂趋势，适用于天文潮和风暴潮叠加的非线性波动场景，满足高精度潮位预报对数据完整性的要求。</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97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业务调度应用层-关键期水文智能预报分析-水文智能预报模型时序对象预处理-</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模型时序对象多站点均值补值分析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利用周边相邻站点的潮位、风速数据，计算均值填补目标站点的缺失值。依托多站的空间关联性，让填补结果更贴合区域水文规律，提升多站协同预报的数据质量。</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98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业务调度应用层-关键期水文智能预报分析-水文智能预报模型作业管理-</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智能预报引擎注册</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提供模型引擎注册机制和适配框架，点击引擎注册，能够载入模型引擎适配文件并导入引擎管理框架中，同时能读取引擎类型、引擎名称等信息。</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99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业务调度应用层-关键期水文智能预报分析-水文智能预报模型作业管理-</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智能预报引擎管理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对于引擎管理框架中已经纳入管理的模型引擎，能够对引擎名称、版本及说明描述进行修改。对于引擎管理框架中已经纳入管理的引擎，能够点击删除，删除前对已经注册了相应模型的引擎需要验证判断。能够通过引擎名称、引擎类型对引擎管理框架中的引擎进行检索操作，检索后能够显示引擎结果的详情。</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100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业务调度应用层-关键期水文智能预报分析-水文智能预报模型作业管理-</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智能预报模型注册</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基于模型引擎管理框架和针对不同模型的引擎适配成果，点击模型注册能够载入模型文件或模型服务地址并导入模型管理框架中，同时能确认模型的引擎类型、名称等信息。</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101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业务调度应用层-关键期水文智能预报分析-水文智能预报模型作业管理-</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智能预报模型管理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对于模型管理框架中已经纳入管理的模型模板，能够对模型名称、版本及说明描述进行修改。对于模型管理框架中已经纳入管理的模型，能够点击删除，删除前对已经派生了方案的模型需要进行验证判断。能够通过模型名称、模型类型对模型管理框架中的模型进行检索操作，检索后能够显示模型结果的详情。</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102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业务调度应用层-关键期水文智能预报分析-水文智能预报模型作业管理-</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智能预报模拟方案组管理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以目录仓库的形式集中存储和管理模拟方案，在目录树中可以对方案组进行配置管理，可自定义方案组的名称和层级结构。</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103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业务调度应用层-关键期水文智能预报分析-水文智能预报模型作业管理-</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智能预报模拟方案管理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在方案组中可以创建新的方案，可选择新建方案的源模板模型，能自定义方案名称和方案描述信息。能够点击删除方案管理框架中已经建好的方案，删除前验证是否方案正在计算并进行确认删除提示。能够通过方案名在方案目录树中进行方案检索操作，检索后能够显示方案查询结果的详情。</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104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业务调度应用层-关键期水文智能预报分析-水文智能预报模型作业管理-</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智能预报模拟方案计算</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能够驱动方案后台关联的模型进行演算，能够获取演算反馈信息并进行信息提示。</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105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业务调度应用层-关键期水文智能预报分析-水文智能预报模型作业管理-</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智能预报模拟方案日志</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能够记录模拟方案演算日志的详细信息，一般可包括演算开始时间、执行过程及反馈、演算结束时间等内容。</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106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业务调度应用层-关键期水文智能预报分析-基于水情预报智能模型业务化预报应用-</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雨水情多要素分析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提供可视化要素选择控件，如侧边栏下拉菜单，覆盖降水、潮位、水位等雨水情变量。用户点击即可切换，界面实时渲染对应要素空间分布</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107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业务调度应用层-关键期水文智能预报分析-基于水情预报智能模型业务化预报应用-</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预报时间轴滚动预览</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内置时间轴交互组件，支持小时级预报结果滚动展示。用户可拖动时间轴、点击时效节点，连贯查看最新时次的未来预测结果，清晰掌握雨水情演变趋势</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108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业务调度应用层-关键期水文智能预报分析-基于水情预报智能模型业务化预报应用-</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格点预测时序查询</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配置搜索输入框，支持输入经纬度坐标或地理位置名称。系统自动定位目标位置，提供其最近格点最新发布预测的降水、潮位、水位等要素的时序展示。</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109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业务调度应用层-关键期水文智能预报分析-基于水情预报智能模型业务化预报应用-</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空间可缩放交互</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支持地图缩放，通过滚轮或控件实现流域到局部的空间切换，提供不同空间尺度下的降水、潮位、水位等要素的展示。</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110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业务调度应用层-关键期水文智能预报分析-基于风暴潮增水预报智能模型业务化预报应用-水深地形可视化分析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针对计算历史天文潮的水深地形数据进行直观展示与分析,高质量水深地形数据有助于模型更准确地模拟地形对流体运动的影响，从而更好地捕捉风暴潮在复杂地形中的传播和变化。</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111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业务调度应用层-关键期水文智能预报分析-基于风暴潮增水预报智能模型业务化预报应用-岸线数据可视化分析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岸线形状和位置直接影响风暴潮的传播、增水、淹没范围以及对沿海地区的实际影响，通过对岸线数据进行分区块的可视化展示与分析，更好地定义模型的边界，从而减小模拟误差。</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112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业务调度应用层-关键期水文智能预报分析-基于风暴潮增水预报智能模型业务化预报应用-无结构网格可视化分析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目标区域的范围较大涉及到从高分辨率的近岸区域到相对低分辨率的外海区域的过渡，本功能实现对无结构网格的可视化与分析，从而直观展示在不同区域的网格分辨率，帮助用户分析模型结果以及在必要时更新计算网格。</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113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业务调度应用层-关键期水文智能预报分析-基于风暴潮增水预报智能模型业务化预报应用-温盐初始场可视化分析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数值模型初始场是模型运行的起点，决定了模型在模拟过程中如何演化，实现对温度、盐度在二维平面分布的可视化分析，帮助用户判断温度、盐度计算过程是否合理，从而更好地分析预报结果。</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114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业务调度应用层-关键期水文智能预报分析-基于风暴潮增水预报智能模型业务化预报应用-历史风暴潮台风路径可视化分析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针对历史风暴潮台风过程，实现台风发展过程与路径的回溯，包括台风中心的位置、移行轨迹等。对影响长江口的历史台风数据进行质量控制、可视化展示。</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115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业务调度应用层-关键期水文智能预报分析-基于风暴潮增水预报智能模型业务化预报应用-历史风暴潮台风背景风场可视化分析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对历史风暴潮台风过程对应的风场进行可视化与分析。提供台风过程中风速、风向的空间分布情况，动态展示不同时间点的风场分布，清晰地表达台风路径沿途的风速变化及风场的整体结构</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116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业务调度应用层-关键期水文智能预报分析-基于风暴潮增水预报智能模型业务化预报应用-虚拟风暴潮台风路径可视化分析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针对虚拟风暴潮台风实现其发展过程与路径的展示，包括台风中心的位置、移行轨迹等。对影响长江口的虚拟台风数据进行质量控制、可视化展示</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117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业务调度应用层-关键期水文智能预报分析-基于风暴潮增水预报智能模型业务化预报应用-虚拟风暴潮台风背景风场可视化分析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对虚拟风暴潮台风过程对应的风场进行可视化与分析。提供台风过程中风速、风向的空间分布情况，动态展示不同时间点的风场分布，清晰地表达台风路径沿途的风速变化及风场的整体结构</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118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业务调度应用层-关键期水文智能预报分析-基于风暴潮增水预报智能模型业务化预报应用-区域潮位预报结果可视化分析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通过直观的图形展示潮位、风暴潮在特定区域内的预报结果，体现不同时间点和空间范围内的潮位变化。系统通过底图叠加预报信息的形式，展示区域的潮位预测结果。</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119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业务调度应用层-关键期水文智能预报分析-基于风暴潮增水预报智能模型业务化预报应用-单点潮位预报结果可视化分析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实现对某一特定站点或监测点的位置，展示其潮位预报结果。包括潮位的升降、风暴潮的增水信息等。并通过图表、过程线等形式展示潮位的变化。</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120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业务调度应用层-关键期水文智能预报分析-基于风暴潮增水预报智能模型业务化预报应用-多站点潮位预报结果对比分析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通过展示多个监测站点的潮位预测数据，反映不同站点的潮位变化趋势和风暴潮影响程度差异。该功能点能够展示多个监测点的潮位预报结果，并通过可视化方式将预报结果进行直观比对，从而便于比较各站点潮位的升降幅度、最大值、最小值等关键数据</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121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业务调度应用层-关键期水文智能预报分析-基于沿江沿海单站潮位智能预报模型应用-</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沿江沿海单站潮位智能预报模型引擎适配开发</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结合水文智能预报模型作业管理技术标准要求，针对单站潮位智能预报模型引擎进行适配开发和数据项定义，包括引擎连接配置和引擎测试、引擎输入接口解析、引擎输出接口解析和引擎驱动接口解析。</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122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业务调度应用层-关键期水文智能预报分析-基于沿江沿海单站潮位智能预报模型应用-</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短期时序特征分析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对站点实测潮位、风速、风压等动态监测数据，提取短期临近1小时高频时序序列，分析并构造短期时序特征，精准捕捉训练要素的实时演变态势，为模型短临预报的动态响应提供细粒度数据支撑。</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123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业务调度应用层-关键期水文智能预报分析-基于沿江沿海单站潮位智能预报模型应用-</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中长期时序特征分析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对站点实测潮位、风速、风压等动态监测数据，挖掘历史临近12小时的中长期时间序列，分析并采用聚合统计等方式构造中长期时序特征，为模型植入训练要素的中长期演化认知，增强对极端场景的适配性。</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124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业务调度应用层-关键期水文智能预报分析-基于沿江沿海单站潮位智能预报模型应用-</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预报时序特征分析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整合台风路径预报、天文潮、气象预报等未来预报数据，分析并构建预报时序特征。通过量化未来驱动因子的时空分布规律，提升预报结果与实际过程的契合度。</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125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业务调度应用层-关键期水文智能预报分析-基于沿江沿海单站潮位智能预报模型应用-</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数据标准化分析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对多源数据进行数据标准化消除数据间的量纲差异与数值级差。标准化保留数据的分布特征，加速梯度下降效率，增强模型对不同量级输入的泛化能力，降低极端值对参数更新的扰动，保障训练过程的稳定性与结果可靠性。</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126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业务调度应用层-关键期水文智能预报分析-基于沿江沿海单站潮位智能预报模型应用-</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模型边界映射关系配置</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单站潮位智能预报模型注册后，即可自动读取潮位预报模型的相关边界配置信息，并能配置边界与外部模型数据集对象的匹配关系，后续可作为方案派生的边界配置模板使用。</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127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业务调度应用层-关键期水文智能预报分析-基于沿江沿海单站潮位智能预报模型应用-</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模型结果映射关系配置</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单站潮位智能预报模型注册后，即可自动读取潮位预报模型的相关结果输出配置信息，并能配置结果对象与外部模型数据集对象的匹配关系，后续可作为方案派生的结果配置模板使用。</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128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业务调度应用层-关键期水文智能预报分析-基于沿江沿海单站潮位智能预报模型应用-</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模拟方案边界映射关系自定义配置</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方案创建后能够自动继承模板的边界映射关系与数据集对象配置内容，同时也支持本方案进行自定义配置</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129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业务调度应用层-关键期水文智能预报分析-基于沿江沿海单站潮位智能预报模型应用-</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模拟方案结果映射关系自定义配置</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方案创建后能够自动继承模板的模型结果与数据集对象映射关系配置内容，同时也支持本方案进行自定义配置</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130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业务调度应用层-关键期水文智能预报分析-基于沿江沿海单站潮位智能预报模型应用-</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自动预报方案设置</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对沿江沿海单站潮位智能预报模型进行自动预报的精细化配置。可自定义滚动频率、预报时长、输出步长等参数。系统基于设置参数自动触发模型循环运行，实时接入最新实测潮位、气象预报，驱动模型滚动生成逐小时潮位预报序列，实现从数据输入到结果输出的自动化、标准化管控。</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131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业务调度应用层-关键期水文智能预报分析-基于沿江沿海单站潮位智能预报模型应用-</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历史反演方案设置</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聚焦重要风暴潮台风场次对模型进行反演验证，通过配置历史的实测数据和对应的气象条件，驱动沿江沿海单站潮位智能预报模型反演相应站点潮位变化过程，并与实际观测结果进行对比分析，辅助提升模型对极端场景的预测精度。</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132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业务调度应用层-关键期水文智能预报分析-基于沿江沿海单站潮位智能预报模型应用-</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模拟方案任务调度管理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根据方案设置信息内容，方案定时执行自动任务后生成一系列的方案实例，可对自动任务进行上线及下线操作。</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133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业务调度应用层-关键期水文智能预报分析-基于沿江沿海单站潮位智能预报模型应用-</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模拟方案结果数据查询</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根据方案模型结果映射关系配置，可自动获取方案模拟对应站点的结果，能够以图表的方式显示特定输出点的模拟结果过程时序数值。</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134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业务调度应用层-关键期水文智能预报分析-基于沿江沿海单站潮位智能预报模型应用-</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模拟方案结果数据导出</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根据配置的方案模型结果映射关系，自动提取方案模拟对应站点的结果，支持按时间范围自定义筛选，并以标准化格式导出方案模拟的结果数据。</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135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业务调度应用层-关键期水文智能预报分析-基于沿江沿海单站潮位智能预报模型应用-</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模拟方案结果曲线图展示</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根据配置的方案模型结果映射关系，能够以曲线图的方式查验方案模拟计算点的结果数据，直观呈现模拟结果的过程演变趋势。</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136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业务调度应用层-关键期水文智能预报分析-潮位预报类多模型成果评估-</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多模型潮位预报精度评估项配置</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针对模型方案预报结果，能够在系统内置的精度评估方法中进行自定义选择某项或某几项进行精度评估，评估项设置保存后在后续结果查看中自动生效。</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137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业务调度应用层-关键期水文智能预报分析-潮位预报类多模型成果评估-</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多模型潮位预报均方根误差分析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均方根误差（RMSE）评估功能用于衡量预测值与真实值之间的平均偏差程度，并能将评估结果进行展示。</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138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业务调度应用层-关键期水文智能预报分析-多模型潮位预报确定性系数分析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确定性系数（DC）评估功能主要用于量化模型模拟结果的整体准确性，并能将评估结果进行展示。</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139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业务调度应用层-关键期水文智能预报分析-潮位预报类多模型成果评估-</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融合预报组合视图管理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根据融合预报业务需求组织灵活的预报成果数据查看方式，不同的预报成果数据项组合为融合预报视图。系统可新增融合预报组合视图，能够自定针对系统中已经建立的融合预报组合视图，能够进行重命名、删除等维护操作。义视图名称，能够对组合视图进行文件夹式的分类组织管理。</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140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业务调度应用层-关键期水文智能预报分析-潮位预报类多模型成果评估-</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多类型预报方案对比</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能够自定义选择不同预报类模型方案在融合预报视图中的结果输出项，支持各类预报方案的选择，能选择指定的方案模拟结果输出项进行对比。在选择好方案模拟结果项对比展示后，图表中还能叠加实测数据进行曲线对比查看。</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141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业务调度应用层-关键期水文智能预报分析-水文预报成果应用服务-</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长江口杭州湾网格化潮位时空分布成果应用服务</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提供长江口杭州湾网格化潮位数据的空间分布、时序过程等成果应用服务，为场景展示功能应用提供支持</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142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业务调度应用层-关键期水文智能预报分析-水文预报成果应用服务-</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黄浦江、苏州河潮位时空分布成果应用服务</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提供黄浦江、苏州河潮位数据的空间分布、时序过程等成果应用服务，为场景展示功能应用提供支持</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143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业务调度应用层-关键期水文智能预报分析-水文预报成果应用服务-</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潮位典型站点预报过程成果应用服务</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提供潮位典型站点预报过程成果应用服务，为场景展示功能应用提供支持</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144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业务调度应用层-关键期水文智能预报分析-水文预报成果应用服务-</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其他各类预报成果应用服务</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提供其他各类预报成果成果应用服务，为场景展示功能应用提供支持</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145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业务调度应用层-防汛隐患分析管理-街镇隐患自查</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街镇隐患自查上报:街镇防汛部门实现街镇范围内各类隐患排查信息的定位（通过输入门牌号等方式GIS定位）、隐患情况信息的上报。</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防汛体系五组上报:支持基层防汛体系上报五组建设成果，包括上报、修改、下载等。</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防汛体系六有上报:支持基层防汛体系上报六有标准化建设成果，包括上报、修改、下载等。</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街镇隐患情况自查整改:委托的第三方单位对各区防汛隐患的排查，并根据要求在系统里上报的信息，市防御技术中心会审核，认为需要整改的隐患派单到各区，不需要整改则点击忽略</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街镇隐患情况市级督查下方整改:支持基层防汛体系上报五组建设成果，包括上报、修改、下载等。</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街镇隐患综合查询:按照检查时间、隐患对象、隐患等级、隐患状态等方式，对街镇内的各类隐患信息进行综合查询，并支持打印、导出</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街镇隐患汇总分析:通过地图和图表的的方式汇总分析本街镇所有隐患点的位置分布、状态分布、等级分布、类型分布等</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146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业务调度应用层-防汛隐患分析管理-区级隐患核实</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区级隐患整改下达:各区防汛部门对下属各街镇上报的隐患信息进行确认，明确隐患等级、隐患整改期限和要求，督查在期限内完成隐患整改并上报</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区级隐患整改考核:按照区级部门对街镇隐患排查考核办法进行考核管理，重点围绕隐患上报情况、整改及时率、完成情况、市级督查情况等进行考核</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区级隐患综合查询:按照来源、所属街镇、检查时间、隐患对象、隐患等级、隐患状态等方式，对区内各街镇发现的各类隐患信息进行综合查询</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区级隐患汇总分析:通过GIS地图和图表的的方式汇总分析区内所有街镇隐患点的位置分布、详情、状态汇总、等级分布、类型排名等</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147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业务调度应用层-防汛隐患分析管理-第三方隐患排查</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隐患排查上报:市级防汛主管部门委托的第三方单位对各区防汛隐患进行全面排查，包括日常排查和专项排查。</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隐患排查信息综合查询:第三方单位上报的各类隐患排查信息进行综合查询，对各排查整改的情况进行现场复核，实现排查信息闭环管理，综合信息支持查询、导出和打印等应用</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148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业务调度应用层-防汛隐患分析管理-市级隐患督查</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第三方隐患信息确认:委托的第三方单位对各区防汛隐患进行确认，确认为有效隐患信息的，通过系统下发各区街镇进行整改</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区级自查信息抽查：对各区自查上报的隐患信息进行关注与抽查管理.</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责任单位考核：实现各区和第三方每季度考核管理和排名公布。</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149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业务调度应用层-防汛隐患分析管理-防汛隐患整改监管</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防汛隐患状态跟踪:以防汛隐患整改业务流程为主线，结合GIS、图、表以及被确认需要整改的防汛隐患，实现对防汛隐患状态的展现。</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汛隐患处置审核:支持对防汛隐患整改成果的审核。</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150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业务调度应用层-防汛隐患分析管理-防汛隐患分析-防汛隐患分类分级助手-重要防汛设施安全隐患分类分级助手</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基于《防汛安全隐患分类分级判定标准》对重要防汛设施安全隐患分类分级判定标准，对判定标准进行数字化处理，构建重要防汛设施安全隐患分类分级助手。</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151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业务调度应用层-防汛隐患分析管理-防汛隐患分析-防汛隐患分类分级助手-重点区域暴雨积水隐患分类分级助手</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基于《防汛安全隐患分类分级判定标准》对重点区域暴雨积水隐患分类分级判定标准，对判定标准进行数字化处理，构建重点区域暴雨积水隐患分类分级助手。</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152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业务调度应用层-防汛隐患分析管理-防汛隐患分析-防汛隐患分类分级助手-高空坠物伤人毁物隐患分类分级助手</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基于《防汛安全隐患分类分级判定标准》对高空坠物伤人毁物隐患分类分级判定标准，对判定标准进行数字化处理，构建高空坠物伤人毁物隐患分类分级助手。</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153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业务调度应用层-防汛隐患分析管理-防汛隐患分析-防汛隐患分类分级助手-建筑工地度汛安全隐患分类分级助手</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基于《防汛安全隐患分类分级判定标准》对建筑工地度汛安全隐患分类分级判定标准，对判定标准进行数字化处理，构建建筑工地度汛安全隐患分类分级助手。</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154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业务调度应用层-防汛隐患分析管理-防汛隐患分析-防汛隐患分类分级助手-地下空间雨水倒灌隐患分类分级助手</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基于《防汛安全隐患分类分级判定标准》对地下空间雨水倒灌隐患分类分级判定标准，对判定标准进行数字化处理，构建地下空间雨水倒灌隐患分类分级助手。</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155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业务调度应用层-防汛隐患分析管理-防汛隐患分析-防汛隐患分类分级助手-危棚简屋坍塌伤人隐患分类分级助手</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基于《防汛安全隐患分类分级判定标准》对重危棚简屋坍塌伤人隐患分类分级判定标准，对判定标准进行数字化处理，构建危棚简屋坍塌伤人隐患分类分级助手。</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156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业务调度应用层-防汛隐患分析管理-防汛隐患分析-防汛隐患分类分级助手-绿化树木倒伏伤人隐患分类分级助手</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基于《防汛安全隐患分类分级判定标准》对绿化树木倒伏伤人隐患分类分级判定标准，对判定标准进行数字化处理，构建绿化树木倒伏伤人隐患分类分级助手。</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157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业务调度应用层-防汛隐患分析管理-防汛隐患分析-全市防汛隐患一张图</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示全市里所有防汛隐患信息（包含区自查、市区督查），首页分为左、中、右结构；默认展示当年到当天所有隐患信息，也可以自己调整时间查询；左边上方展示全市隐患情况统计（根据隐患状态、等级、类型）、下方展示各区隐患整改完成率的排名；中间地图默认根据区聚合展示所有隐患信息，根据放大地图，分为街镇聚合，在放大显示隐患详细位置，也可以地图左上角勾选不同图层筛选隐患，中间地图根据筛选展示隐患；右侧从三个维度进行统计，根据隐患等级、隐患类型、隐患超期的统计；地图左下方有图例，右下角有地图的切换，可以根据建筑物更准确确认隐患位置</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158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业务调度应用层-防汛隐患分析管理-防汛隐患分析-基层防汛体系一张图</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结合上海市行政区划分，支持对全市基层防汛体系的展现。</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159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业务调度应用层-防汛隐患分析管理-防汛隐患分析-防汛隐患分析智能助手-防汛预案助手</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支持基于行政区、行业单位名称的查询，使用列表展现查询的结果，点击可查看防汛预案详细信息。</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160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业务调度应用层-防汛隐患分析管理-防汛隐患分析-防汛隐患分析智能助手-抢险技术</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支持基于行业单位名称的查询，使用列表展现查询的结果，点击可查看抢险技术详细信息</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161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业务调度应用层-防汛隐患分析管理-防汛隐患分析-防汛隐患分析智能助手-防汛风险隐患助手</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支持设施类别、隐患名称的信息查询，使用GIS和列表展现查询的结果，点击可查看防汛风险隐患资详细信息</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162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业务调度应用层-防汛隐患分析管理-防汛隐患分析-防汛隐患分析智能助手-内涝防治助手</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支持设施类别、隐患名称的信息查询，使用GIS和列表展现查询的结果，点击可查看防汛风险隐患资详细信息</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163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业务调度应用层-防汛隐患分析管理-防汛隐患分析-防汛隐患分析智能助手-防汛预警信息助手</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基于防汛预警信息、防汛响应信息等，支持按照等级、时间、类型等多维度的组成查询，并使用表格、图对结果进行可视化表达以及导出</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164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业务调度应用层-防汛隐患分析管理-防汛隐患分析-防汛隐患分析智能助手-道路积水风险态势图生成工具</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开发道路积水风险态势图软件工具，可以按照业务人员对分析条件的设定，支持对数据资源进行加权、插值和求和等运算，结合GIS、报表、信息看板等形式，支持道路积水风险图展现。</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165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业务调度应用层-防汛隐患分析管理-防汛隐患分析-防汛隐患分析智能助手-小区积水风险态势图生成工具</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开发小区积水风险态势图软件工具，可以按照业务人员对分析条件的设定，支持对数据资源进行加权、插值和求和等运算，结合GIS、报表、信息看板等形式，支持积水小区风险专题图展现。</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166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业务调度应用层-防汛隐患分析管理-防汛隐患分析-防汛隐患分析智能助手-下立交积水风险态势图生成工具</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开发下立交风险态势图软件工具，可以按照业务人员对分析条件的设定，支持对数据资源进行加权、插值和求和等运算，结合GIS、报表、信息看板等形式，支持下立交风险专题图展现。</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167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业务调度应用层-防汛隐患分析管理-防汛隐患分析-防汛隐患分析智能助手-海塘险段风险态势图生成工具</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根据水旱灾害防御的要求，需要及时为上级防汛主管部门提供不同类型的防汛防台专题图服务，因此需要开发海塘险段风险态势图软件工具，可以按照业务人员对分析条件的设定，支持对数据资源进行加权、插值和求和等运算，结合GIS、报表、信息看板等形式，支持海塘险段风险专题图展现</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168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业务调度应用层-防汛隐患分析管理-防汛隐患分析-防汛隐患分析智能助手-平铺对比分析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平铺对比分析支持将不同年度的分析对象，在页面上进行平铺，实现不同年度、月度的平铺分析，最多可实现四个年度或者月度的平铺分析。</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169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业务调度应用层-防汛隐患分析管理-防汛隐患分析-防汛隐患分析智能助手-卷帘对比分析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卷帘对比分析支持将两个不同年度、月度的分析对象，使用图层叠加的技术，实现卷帘对比分析。支持用户控制页面上的卷帘控件，上下拖动，实现不同年度、月度的对比分析。</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170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业务调度应用层-防汛隐患分析管理-防汛隐患分析-全市防汛隐患报表统计</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实现全市各类隐患信息的报表统计，包括各区自查、第三排查，对隐患数量、完成整改数量、整改完整率、超期情况等进行统计，并支持打印、导出等功能</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171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业务调度应用层-防汛隐患分析管理-防汛隐患分析-基层防汛体系报表统计</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实现对基层防汛体系上报五组、六有的各类建设成果进行汇总统计，包括统计完成情况、数量等，对于有空间位置的信息同步实现GIS上图</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172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业务调度应用层-防汛隐患分析管理-与现有系统集成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与水务局统一门户集成:实现防汛隐患排查系统与市水务局统一门户的统一用户的集成，各区街镇防办部门用户通过市水务局统一门户登录实现防汛隐患排查系统功能访问</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与市水务海洋公共服务平台集成: 实现防汛隐患排查系统数据成果与市水务海洋公共服务平台的集成，主要通过一张图的方式展示全部隐患信息的基本情况和整改完成信息</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与市防汛指挥大系统集成:实现防汛隐患排查系统数据成果与市防汛指挥大系统（大屏）的集成，提供各类防汛隐患排查系统数据成果数据服务支持市防汛指挥大系统的防汛隐患专题建设</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173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业务调度应用层-泵站放江及养护精细化管理-养护管理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养护计划:系统提供养护计划创建模块，养护单位可定期创建养护计划并提交管理单位进行审核</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养护任务:依据审核通过的养护计划，关联创建具体的养护任务工作并派发给养护工作人员现场执行</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养护执行:系统提供养护工作人员可接收养护任务的待办功能模块，可查看详细的养护任务信息并执行养护任务</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养护成果上报:系统提供养护成果上报功能，完成养护工作后，可将成果信息上报提交至系统</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养护成果审核:管理单位可查看养护工作和成果情况，并对养护结果进行审核，通过的则自动归档，不通过的退回养护单位重新处置</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视觉中枢集成:集成视频监控功能，通过现场养护位置信息，关联就近视频监控，可查看现场养护执行情况</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河湖健康趋势分析:按照水利部《河湖健康评价指南》生成的河湖健康评价报告电子化后，挂接到相关河道，作为河道的基础信息之一，支持对健康档案的关键字查询、下载、查看等操作</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水下地形GIS应用:基于GIS，结合河道水下地形测量数据，挂接到相关河道，作为河道的基础信息之一，支持对水下地形数据查看、下载、数据对比等操作</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174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业务调度应用层-泵站放江及养护精细化管理-泵站放江</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泵站放江任务:集成排水中心泵站放江信号，通过应用系统自动生成各区泵站放江养护任务并自动派发给相应区镇养护单位及管理单位</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泵站任务接收和执行:由各区养护单位接收系统派发的养护任务并去现场进行养护工作，将养护成果上报至系统</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泵站放江养护成果审核:由区管理单位对现场上报的养护成果信息进行审核确认</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泵站放江养护成果统计:围绕养护管理要求，以月度统计各个区泵站放江养护成效，包括养护任务数量、现场养护次数、出动人次、出动船次和养护工作量信息的汇总统计</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175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业务调度应用层-泵站放江及养护精细化管理-养护统计考核</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养护管理成果统计:依据系统产生的业务数据信息，以不同的维度汇总统计相应的数据对象，对其进行归类分析展示</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养护管理成果综合评价:整合养护成果统计信息，并梳理养护监管标准，制定养护考核管理办法，通过信息系统实现养护成效的智能评价</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176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业务调度应用层-泵站放江及养护精细化管理-水网数据模型—管理信息</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围绕“一条河”概念，建立统一的从属信息数字模型，以信息融合模式，完整的描述市、区两级重点河湖水体对象的各类特征表象。</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177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业务调度应用层-泵站放江及养护精细化管理-水网数据模型—涉河设施</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涉河信息包括河道堤防、河道栏杆、防汛通道、河道标牌、河道绿化、水闸、泵站、市政排口、农污排口、码头等信息，合地图、图和表对信息展现，支持按照行政区、河道名称的模糊查询。</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178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业务调度应用层-泵站放江及养护精细化管理-水网数据模型—养护管理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养护管理水网养护和河长制所有与选择河道相关的河湖时间信息，以及事件的详细信息等，合地图、图和表对信息展现，支持按照行政区、河道名称的模糊查询。</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179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业务调度应用层-泵站放江及养护精细化管理-水网数据模型—监测信息</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监测信息包括监测断面评价、物联监测、视频监控等，结合地图、图和表对信息展现，支持按照行政区、河道名称的模糊查询。</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180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业务调度应用层-防汛隐患分析管理-防汛隐患分析-防汛隐患分析智能助手-叠加对比分析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叠加对比分析支持将两个不同年度、月度的分析对象，使用图层叠加的技术，实现叠加对比分析。支持图层透明度调节为核心，实现不同年度、月度的对比分析。</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181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业务调度应用层-泵站放江及养护精细化管理-水网数据模型—河湖综合评价</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从河湖基础信息、准则情况以及河湖大数据评价3个维度，实现对河湖的综合评价，并结合图和表进行展现，支持按照行政区、河道名称的模糊查询。</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182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业务调度应用层-泵站放江及养护精细化管理-水网数据模型—AI智能集成应用</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基于智能建设成果，实现智能问答智能体集成。</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183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业务调度应用层-泵站放江及养护精细化管理-水网数据模型—水网数据模型地图应用</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GIS，结合河道水系、涉河设施、监测信息等，支持分层展示、模糊查询等具体应用。择对应图层，可以直观展现当前图层的全部内容，同时，可以根据业务需要叠加多个图层，以及图层中每个对象关联的详细信息的查看。</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184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业务调度应用层-泵站放江及养护精细化管理-集成河湖智能体应用</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基于智能建设成果，实现巡查助手、智能问答等水网养护相关智能体集成。</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185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业务调度应用层-水网管理移动端-水网随行-用户登录/认证鉴权/消息通知</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用户登录:河湖管理移动端用户登录。</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认证鉴权:统一河湖管理移动端用户认证与权限验签。</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消息通知:推送与河道相关的各种通知，包括水质变化报告、设施维护信息、新功能上线通知等，确保用户第一时间获取关键信息。</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186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业务调度应用层-水网管理移动端-水网随行-空间定位</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在地图上精确显示用户当前位置，对于移动中的用户，能够实时更新其位置信息并在地图上动态展示移动轨迹。</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187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业务调度应用层-水网管理移动端-水网随行-地图浏览</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开发河湖全景地图移动端应用，支持地图浏览、位置搜索、路径规划等功能，方便用户随时随地查看河湖信息</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188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业务调度应用层-水网管理移动端-水网随行-智能查询</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通过定位、模糊查询获取水网数据模型中河湖相关信息并在地图中标记关联的地理位置信息。</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189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业务调度应用层-水网管理移动端-水网随行-历史回溯</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支持用户查看河湖地图的历史数据状态，了解河湖的变化趋势和历史情况。</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190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业务调度应用层-水网管理移动端-水网随行-图层管理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根据不同的业务需求和图层数据，在地图上加载多种不同类型的数据图层；提供图层控制工具，允许用户对已加载的图层进行开关控制、透明度调整等操作；支持用户点击地图上的图层要素，查询该要素的详细属性信息。</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191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业务调度应用层-水网管理移动端-水网随行-智能问答</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在移动端集成沪水精灵 AI 智能问答助手，实现随时随地的智能问答服务，为用户提供具体的河湖管理建议和解决方案。</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192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业务调度应用层-水网管理移动端-水网随行-智能导航</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根据用户位置和目的地，结合实时路况，规划最佳巡河或处理问题的路线，节省时间和成本；智能导航功能与地图图层管理相结合，用户在导航时可查看相关图层信息，如周边水闸、建成区等，增强对河道及周边环境的了解。</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193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业务调度应用层-水网管理移动端-水网随行-水网数据模型融合</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通过水网数据模型表达设施、监测、评价等多维数据，结合当前定位信息，通过图表、地图、时间序列等多种可视化方式，将多维数据直观地展示出来，方便用户快速了解河湖状况。</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194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业务调度应用层-水网管理移动端-水网随行-事件查看</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查看河湖相关的各类事件，包括重大污染、涉河案件、巡查问题等事件，详细反应事件的发生时间、地点、处理过程等详细信息。</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195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业务调度应用层-水网管理移动端-水网随行-巡河助手</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根据知识库里业务管理规则对基层工作人员的工作指导，结合水网数据模型中历史常见问题分析提出巡河建议。</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196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业务调度应用层-水网管理移动端-水网随行-河湖报告查看</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查看河湖评价、水质、历史事件等信息产生的河湖综合分析报告，浏览成效对比、原因分析等河湖综合分析结果。</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197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业务调度应用层-水网管理移动端-水网随行-随行印记/位置收藏/随记分享/地图工具</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随行印记:支持用户以文本形式记录河湖观察笔记、巡河日志等内容，方便用户随时记录和整理信息；允许用户添加图片、音频、视频等多媒体资料，丰富随记内容和形式。</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位置收藏:用户可在地图上对具有重要参考价值的地点（如水质取样点、排口、水闸等）进行自定义标记和收藏，点击收藏点即可查看相关内容，实现位置信息与业务数据的深度融合与便捷访问。</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随记分享:支持随记数据的共享和交流，促进河湖管理经验的交流和传播。</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地图工具:地图旋转、缩放、测距、测面、地图标注、比例尺</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198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业务调度应用层-水网管理移动端-问题有奖举报</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小程序有奖举报:针对水网养护类问题，为社会市民提供小程序随身拍应用，市民可将发现的各类河湖问题，通过小程序上报至系统并由系统进行养护处置流转。主要包括河湖问题举报功能、历史上报信息查询和个人信息管理功能</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有奖举报支付：针对市民上报的有效河湖问题，系统自动将相应的奖励自动支付到市民的支付宝或微信账户中</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养护处置流程集成：针对市民上报的河湖问题，实现与河湖养护系统对接，并通过系统业务流程进行河湖问题处置</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随申办集成：实现与市级随申办移动应用功能模块集成，包括APP、微信小程序和支付宝小程序</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199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数据支撑层-事件中枢-汇聚防汛业务事件</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外部平台事件接入：系统从多个外部平台接入水务事件，包括水环境治理大系统、上海市水务专业网格化（河湖部分）、城感通（</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）、12345市民热线（水务）、城运通（城运中心）</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智能体事件接入：视频智能体与</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智能体发现相关积水事件，通过统一的API接口将事件接入事件中枢</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统一事件标准：建立统一的事件标准体系，涵盖事件的核心要素</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事件菜单管理：支持用户自定义菜单列，满足不同的默认筛选需要</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业务汇聚：汇聚行业内的各类事件，打造事件中枢</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200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数据支撑层-事件中枢-业务事件流转调度-跨区域事件流转</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当事件影响范围超出单一行政区时，系统自动共享数据，协调多个行政区上下游同步处置</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201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数据支撑层-事件中枢-业务事件流转调度-跨层级事件流转</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建立“街道-区-市”三级事件升降级通道，根据事件的紧急程度和影响范围进行自动升级或降级</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202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数据支撑层-事件中枢-业务事件流转调度-跨部门事件流转</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通过事件中枢打通多部门壁垒，建立工单直派机制</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203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数据支撑层-事件中枢-业务事件流转调度-水务局事件接办</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其他委办涉及河湖类事件需要水务局处理时，通过将事件工单推送至事件中枢，水务局工作人员即可快速接办</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204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数据支撑层-事件中枢-业务事件流转调度-水务局事件退回</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其他委办涉及河湖类事件需要水务局处理时，通过将事件工单推送至事件中枢，水务局工作人员发现实际内容不符可以退回事件</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205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数据支撑层-事件中枢-业务事件流转调度-事件等待/恢复</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可以将有前置条件的事件暂时设置为等待状态</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206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数据支撑层-事件中枢-业务事件流转调度-重点事件关注</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用户可以自行设置重点关注事件，即时工单被关闭已可以在事件列表置顶显示</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207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数据支撑层-事件中枢-业务事件流转调度-事件取消</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对于无效、误报等事件可以进行取消操作</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208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数据支撑层-事件中枢-业务事件流转调度-事件引擎</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事件引擎包含了流程设计器、表单设计器、组织架构管理、数据源配置管理等功能，其中流程设计器可以设计事件流程图、配置事件列表、配置催办逻辑，表单设计器可以设计用户在事件界面所看到的表单</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209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数据支撑层-事件中枢-事件协同处置管理-事件处置</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用户在事件详情页查看完整溯源信息，在线填写处置措施、方案，上传处置凭证，系统记录并保存处置记录。</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210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数据支撑层-事件中枢-事件协同处置管理-事件转派</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支持将事件转交同科室协办人员，需备注转派原因，系统记录历史转派路径，用于效能分析。</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211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数据支撑层-事件中枢-事件协同处置管理-事件核查</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对需现场核验事件，核查人员上传核查信息，核查不通过时标注具体问题，退回时自动关联原处置人。</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212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数据支撑层-事件中枢-事件协同处置管理-事件结案归档</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系统对所有结案事件进行数据归档，并在结案时最后一次计算更新所有考核指标，数据可在报表中查阅。</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213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数据支撑层-事件中枢-事件协同处置管理-监督检查</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对各级发现和处置问题进行日常督办、专项督查</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214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数据支撑层-事件中枢-事件协同处置管理-效能分析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各级可通过系统内数据进行研判，分析工作情况</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215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数据支撑层-事件中枢-事件协同处置管理-超期提醒</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支持对即将超期和已超期事件进行提醒</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216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数据支撑层-事件中枢-事件协同处置管理-事件催办</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支持管理人员对事件进行催办操作</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217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数据支撑层-事件中枢-业务事件集中管理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事件总览：支持以卡片的方式展示当前所有处理中的事件</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事件查询：支持按工单号、工单类别、工单来源、派单人、时间范围等条件对工单综合查询</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事件详情：支持按流程图形式展示事件流转过程，查看各流程节点的附件信息</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事件权限：支持根据权限划分各个角色用户所看到的工单条目</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218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数据支撑层-事件中枢-业务事件多维分析-事件类别分析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对历史事件数据进行深度剖析，全面了解一段时间内各类事件的发生情况</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219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数据支撑层-事件中枢-业务事件多维分析-事件区域分析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借助历史事件数据展开区域分析，全面洞察一段时间内全部事件或特定类别事件（如防汛事件）在不同区域的分布特征</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220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数据支撑层-事件中枢-业务事件多维分析-事件来源分析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对历史事件数据进行细致梳理，深入探究事件的来源渠道</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221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数据支撑层-事件中枢-业务事件多维分析-事件同环比分析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针对各类业务事件维度，反映事件在短期内的变化速度和趋势。环比统计水务事件相关近期趋势即时效果、发现异常波动</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222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数据支撑层-事件中枢-业务事件多维分析-各区域事件响应时长分析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通过对历史事件数据的分析，准确统计各行政区的事件响应时长</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223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数据支撑层-事件中枢-业务事件多维分析-各区域事件处置时长分析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通过对历史事件数据的分析，详细统计各行政区的事件处置时长</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224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数据支撑层-事件中枢-业务事件多维分析-各业务事件处置时长及按时完成率分析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通过多维对比，统计各分类事件数据的差异，全面了解不同类别事件处置的效率和效果</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通过对历史事件数据的系统分析，精准计算事件按时完成率。</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225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AI智算和知识层-防汛视觉智能大模型应用功能-知识建模与组织-知识切片-多模态切片-图片理解</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实现以列表信息展示任务执行产生的快照图片理解结果，包括关联的任务名称、设备名称、设备id、理解时间等。</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实现查看图片理解结果详情，包括设备快照、理解问题、理解结果等。</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实现按照任务名称、设备名称、理解时间查询理解结果信息。</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实现新建图片理解任务，包括配置任务名称、关联预案、任务描述、关联prompt模板。</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226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AI智算和知识层-防汛视觉智能大模型应用功能-知识建模与组织-知识切片-多模态切片-快照轮巡</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实现创建快照轮巡任务，支配置任务名称、轮巡时段、任务并发、轮巡间隔、执行周期和选择设备分组，并实现对任务进行描述。</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实现按照预设条件进行图片轮巡。</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实现快照任务结果导出。</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实现按照任务名称、快照结果、操作时间和设备名称/ID查询轮巡结果，实现列表方式查看轮巡结果。</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实现查看单个图像结果详情，包括查看历史记录、快照信息、开流延时、分辨率、编码格式、失败原因等。</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227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AI智算和知识层-防汛视觉智能大模型应用功能-知识建模与组织-元信息标注-多模态元信息标注-智能打标</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以任务调度的模式，通过下发预案任务，按需调度接入系统的视频点位的视频流数据，结合视频的图像快照服务，截取待解析的视频场景图，进行快照的智能打标。</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228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AI智算和知识层-防汛视觉智能大模型应用功能-能力构建与流程编排-流程编排与逻辑控制-任务优先级调度-算法任务编排</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针对防汛类及河湖类类型进行算法任务编排，编排任务名称、时间段设定、快照巡视频率设定、特征关联等，形成针对场景的一系列任务算法。基于指定的算法模型与图片数据资源创建图片解析计算任务。</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229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AI智算和知识层-防汛视觉智能大模型应用功能-能力构建与流程编排-流程编排与逻辑控制-任务优先级调度-任务级联</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实现列表或卡片视图查看级联任务，包括任务名称、任务类型、级联类型、最近一次任务同步时间等信息。</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实现通过任务名称、任务类型、级联类型、任务状态查询级联任务。</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上级平台完成级联任务创建，实现下级平台自动获取与本级平台相关联任务信息。</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实现对获取的任务自动分类，通过待办事项列表展示需要下级平台处理的任务，待办事项列表包括任务名称、任务类型、级联类型、处理状态。</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实现对待办事项列表中的任务进行签收、同步操作。</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实现根据任务类型，自动判断级联同步范围和同步对象，包括常态预案目录、专项预案目录、级联设备范围。</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230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AI智算和知识层-防汛视觉智能大模型应用功能-能力构建与流程编排-流程编排与逻辑控制-任务优先级调度-预案关联</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任务可关联已有分析预案，确保任务执行策略符合业务需求。</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关联预案（可选）：选择一个或多个 已有预案</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231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AI智算和知识层-防汛视觉智能大模型应用功能-能力构建与流程编排-流程编排与逻辑控制-任务优先级调度-任务关联</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实现点击任务查看任务执行详情。</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实现任务单次和循环配置。</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232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AI智算和知识层-防汛视觉智能大模型应用功能-能力构建与流程编排-流程编排与逻辑控制-消息传递与调度-结果推送</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通过列表展示当前算法任务已产生的预警信息；支持按照预警来源任务名称、算法名称、设备名称、预警类型与预警推送状态等条件对预警进行查询检索；支持单个算法预警图片查看；支持配置算法预警推送对象，包括推送单个用户或一类角色；支持对预警的产生频次及预警类型分布进行统计分析并以排行榜单和图表的形式进行展示；支持查看包含预警来源基本信息、预警发生时间、地点、图片信息、预警推送对象信息等在内的预警详情；支持根据预警详情信息对预警的真实性与准确性进行核实。</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233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AI智算和知识层-防汛视觉智能大模型应用功能-能力构建与流程编排-提示词工程-复杂提示词工程-图片智能分析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将图片理解与轮巡任务以及事件特征结合，利用多模态大模型进行智能分析。实现图生文、事件预发现等能力。</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实现新建图片理解任务，包括配置任务名称、关联预案、任务描述、关联prompt模板。</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234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AI智算和知识层-防汛视觉智能大模型应用功能-能力构建与流程编排-提示词工程-复杂提示词工程-算法注册管理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通过录入算法的基本信息、配置信息、适配算力信息、参数信息、附件内容对算法进行注册；支持算法信息的查看、修改与删除；支持通过列表展示当前已注册的算法信息；支按按照算法名称、算法分类、算法厂商、发布状态等条件对算法进行查询检索；支持查看包含算法基本信息、算法应用情况统计、算法性能参数要求等在内的算法详情信息；支持按算法厂商统计不同算法分类的算法数量并以图表的形式展示；支持按照算法种类统计的算法数量并以图表的形式展示。</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235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AI智算和知识层-防汛视觉智能大模型应用功能-能力构建与流程编排-提示词工程-复杂提示词工程-算力注册管理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通过录入算力节点的基本信息与性能参数对算力进行注册；支持算力节点信息的查看、修改与删除；支持通过列表或卡片的模式展示当前已注册的算力节点信息；支持按照算力节点地址、算力类型、AI加速卡型号、节点来源、节点状态等条件对算力进行查询检索；支持对各个算力节点的状态与使用情况进行实时监控；支持对平台总体算力的消耗情况与富余算力进行统计与展示。</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236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AI智算和知识层-防汛视觉智能大模型应用功能-能力构建与流程编排-提示词工程-复杂提示词工程-任务调度管理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以卡片模式展示可添加至任务中运行的算法的名称、来源厂商、应用场景与效果图，供用户进行选择；支持以列表模式展示可添加至任务中进行算法应用的视频设备名称、编号、画质与所属行政区划，并支持根据关键词对设备进行查询以及实时视频的播放，供用户进行选择；支持通过在视频画面上进行区域框选的方式对任务执行时需要使用的算法参数进行标注；支持对任务名称、任务执行调度周期、任务优先级与算力资源分配信息进行配置；支持对算法任务产生的预警推送的对象、预警判重规则、预警抑制时段与预警推送模式进行配置；支持通过列表展示当前已创建的算法任务信息；支持按照任务名称、任务中运行的算法名称、任务执行模式、任务设备状态、任务运行状态与任务启停状态等条件对算法任务进行查询检索；支持算法任务的启停、查看、修改与删除；支持对算法任务的预警产生数量、算力消耗情况、任务调度信息、任务状态信息进行统计并以排行榜单和图表的形式进行展示；支持展示算法任务中所有视频设备的实时算法应用渲染画面以及任务产生的预警实时推送；支持展示算法任务的操作日志与任务状态变更日志的实时与历史监控信息。</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237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AI智算和知识层-防汛视觉智能大模型应用功能-能力构建与流程编排-提示词工程-复杂提示词工程-模型纳管</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实现纳管大模型推理引擎服务；实现查看当前已纳管的所有大模型推理引擎及其在线状态；实现纳管服务器及GPU资源；实现当前硬件资源、大模型引擎在各资源上的分配情况。</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238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AI智算和知识层-防汛视觉智能大模型应用功能-能力构建与流程编排-提示词工程-复杂提示词工程-模型管控</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实现对大模型推理引擎服务的实时健康监测；实现大模型的统一网关入口，将大模型推理请求按需调度到对应的大模型推理引擎服务上；对同一类型的大模型的多个实例，平台支持round robin等调度策略；实现对断连和恢复的大模型服务进行实时感知和调管。</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239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AI智算和知识层-防汛视觉智能大模型应用功能-能力构建与流程编排-提示词工程-复杂提示词工程-服务监测</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实现监控服务器硬件资源情况，包括cpu、内存、硬盘使用情况及利用率；实现监控GPU显卡的显存使用、GPU利用率、温度等；实现查看历史一个月的硬件资源情况；实现查看纳管的各大模型推理引擎的使用统计分析。</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240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AI智算和知识层-防汛视觉智能大模型应用功能-能力构建与流程编排-提示词工程-复杂提示词工程-指标管理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实现新建指标，包括定义防汛、河湖管理相关指标名称等；实现堤防险情、洪涝灾害、河道垃圾等指标的维护、更新。</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实现指标的维护、更新。</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241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AI智算和知识层-防汛视觉智能大模型应用功能-能力构建与流程编排-提示词工程-复杂提示词工程-Prompt模板管理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实现新建事件相关prompt模板，包括配置模板名称、模板指标、prompt内容。</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实现以列表形式展示prompt模板内容，包括模板名称、模板内容、关联指标、创建时间等。</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实现对模版列表进行查询，查询条件包括模板名称、模板标签。</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实现查看模板详情，并实现删除操作。</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242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AI智算和知识层-防汛视觉智能大模型应用功能-能力构建与流程编排-提示词工程-复杂提示词工程-Prompt优化</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实现对于Prompt语料进行内容质量和结构上的优化。</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实现prompt优化任务管理，包括新建prompt任务、查看优化前后对比结果。</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实现prompt优化任务配置，包括选择待优化的prompt模板、预期输出。</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实现以prompt优化任务名称对prompt优化任务进行查询。</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243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AI智算和知识层-防汛视觉智能大模型应用功能-防汛视觉智能大模型应用功能-防汛视觉智能大模型应用功能-视频资源接入-手机采集回传-移动端视频采集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现场工作人员通过手机就可以实现实时视频的采集和回传</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244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AI智算和知识层-防汛视觉智能大模型应用功能-防汛视觉智能大模型应用功能-防汛视觉智能大模型应用功能-视频资源接入-手机采集回传-PC端指挥调度</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与指挥大厅实时沟通协调，便于掌握现场情况辅助指挥决策。</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245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AI智算和知识层-防汛视觉智能大模型应用功能-防汛视觉智能大模型应用功能-防汛视觉智能大模型应用功能-视频资源接入-手机采集回传-采集管理-专题管理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专题信息配置，包括专题名称、专题联系人、专题类型、专题有效期，专题邀请码；支持专题信息以卡片视图展示，包括专题名称、专题下联系人姓名、专题下联系人电话；支持专题信息批量导入，通过文件上传形式导入专题名称、专题联系人；专题信息批量导出，通过文件下载的形式导出专题信息，包括专题名称、专题联系人；支持专题联系人重复校验，文件上传的联系人将与专题已添加的联系人按照联系人手机号进行重复校验；支持专题信息查询，根据专题名称、专题下联系人姓名查询专题；支持专题信息编辑，编辑内容包括专题名称、临时添加联系人；专题信息删除，不在直播的专题可以删除专题信息；支持专题首次执行，系统自动向专题联系人批量发送邀请短信；支持专题联系人身份校验，联系人通过短信链接和专题邀请码登录，身份核验通过后回传音视频画面；支持专题联系人在离线状态更新，根据音视频流回传数据判断联系人在离线状态。</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246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AI智算和知识层-防汛视觉智能大模型应用功能-防汛视觉智能大模型应用功能-防汛视觉智能大模型应用功能-视频资源接入-手机采集回传-采集管理-联系人管理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直播联系人信息新建，包括联系人姓名、手机号、邮箱；支持联系人唯一性校验，根据姓名和手机号对联系人信息进行唯一性校验；支持联系人基础信息列表展示，包括联系人姓名、手机号、邮箱查询联系人信息；支持联系人信息批量导入，包括联系人姓名、手机号、邮箱信息；支持联系人信息批量导出，包括联系人姓名、手机号、邮箱信息；支持联系人在离线状态更新，根据联系人开流状态自动更新列表中联系人在离线状态；支持联系人信息编辑，包括联系人姓名、手机号、邮箱。</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247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AI智算和知识层-防汛视觉智能大模型应用功能-防汛视觉智能大模型应用功能-防汛视觉智能大模型应用功能-视频资源接入-手机采集回传-采集管理-历史记录管理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支持历史直播记录信息展示，包括直播时间、直播用户、联系人电话等；实现直播画面录制，录制的直播视频文件存放在多媒体库，录制数据保存为MP3、MP4、MKV、OGG、AVI等音视频格式文件。</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248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AI智算和知识层-防汛视觉智能大模型应用功能-防汛视觉智能大模型应用功能-防汛视觉智能大模型应用功能-视频资源接入-手机采集回传-采集管理-直播画面控制</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多人画面回传，自适应调整画面布局；全屏查看单个视频回传画面放大缩小；对回传画面的清晰度进行调整，可进行画面质量优先和清晰度优先切换；麦克风控制，用于控制回传音视麦克风启用或关闭，音频音量控制，用于控制回传音视音量大小；实时更新回传的视频流质量信息，包括信号大小，帧率、码率。</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249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AI智算和知识层-防汛视觉智能大模型应用功能-防汛视觉智能大模型应用功能-防汛视觉智能大模型应用功能-视频资源接入-手机采集回传-采集管理-周边画面融合</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获取单个联系人周边200米，500米，800米范围内固定监控设备；支持直播联系人位置信息展示，通过gis地图展示正在直播联系人位置信息，在gis地图上展示周边监控点位信息，包括点位坐标、点位图标；实现回传画面与周边点位视频画面同时播放。</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250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AI智算和知识层-防汛视觉智能大模型应用功能-防汛视觉智能大模型应用功能-防汛视觉智能大模型应用功能-视频资源接入-手机采集回传-采集管理-直播间管理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通过输入邀请码进入直播间，直播链接有效期校验，包括直播结束，24h有效或者自定义直播链接有效期；支持多人直播时，支持根据直播间人数自适应调整画面布局；支持选择画质优先或流畅度优先，保证弱网环境下音视频安全稳定传输。</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251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AI智算和知识层-防汛视觉智能大模型应用功能-防汛视觉智能大模型应用功能-防汛视觉智能大模型应用功能-视频资源接入-手机采集回传-采集管理-移动端控制</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支持手机硬件调用配置，包括前后摄像头控制、手机扬声器、麦克风；支持直播画面自动旋转配置，默认自动打开手机横竖屏旋转。</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252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AI智算和知识层-防汛视觉智能大模型应用功能-防汛视觉智能大模型应用功能-防汛视觉智能大模型应用功能-视频资源接入-手机采集回传-采集管理-会话控制管理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支持在通话过程中，实时网络状况监控功能，能够即时获取并分析上行推流和下行拉流的网络性能，确保通信的流畅性和稳定性；</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支持广泛的音视频流接入协议，包括但不限于 RTMP、RTSP、SRT、HLS 和 GB28181，为用户提供了灵活多样的接入选项，以适应不同的应用场景和需求；</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支持多种音视频编码转换，视频编码格式包括AV1、VP8、VP9、H264、H265；音频编码格式包括OUPS、AAC、PCM、MP3；</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支持多种音视频解码转换，视频解码格式包括VP8、VP9、H264、H265，音频解码格式包括 OUPS、AAC；</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支持多种视频流输出协议，如 WebRTC、HTTP-FLV、RTMP、RTSP、SRT、HLS 和 GB28181，为用户提供了多样化的输出选项，以适应不同的播放和传播需求；</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支持用户定制视频流的传输方式，包括 TCP、UDP 和 RTP 等，以适应不同网络环境和应用要求；</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支持ICE 网络穿透技术，支持内外网视频数据的无缝交换，并通过安全网关保障数据传输的安全性；支持节点间的级联组网，构建区域行业的数据互联互通网络，实现跨区域信息的高效共享与交流。</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253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AI智算和知识层-防汛视觉智能大模型应用功能-防汛视觉智能大模型应用功能-防汛视觉智能大模型应用功能-视频资源接入-手机采集回传-采集管理-流动态处理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支持端到端的智能带宽管理功能，能够实时监测网络带宽状况，并根据当前的网络条件动态调整数据传输策略，确保即使在带宽受限或网络波动的情况下，用户也能享受到稳定且高质量的通信体验；</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支持在通话过程中，自动监测网络状况，并根据监测结果智能调整视频的分辨率、帧率和码率，确保视频流在不同网络环境下都能保持最佳观看效果，同时避免因网络不稳定导致的卡顿和延迟；</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支持视频丢帧补偿技术，在检测到网络丢帧时，为确保视频通话的流畅性，系统将自动进行画面处理优化，通过算法预测和填补丢失的帧，从而减少视频播放中的跳跃和不连贯现象，提供更加平滑的视觉体验；</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支持音频降噪功能，可以有效降低背景噪音和干扰；支持环境音和人声增益处理，通过提升人声的清晰度和音量，使得通话双方即使在嘈杂环境中也能享受到清晰、自然的通话音质。</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254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AI智算和知识层-防汛视觉智能大模型应用功能-防汛视觉智能大模型应用功能-防汛视觉智能大模型应用功能-基础信息管理-设备信息管理-摄像机管理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列表展示摄像机列表，支持文件导入方式新增设备，录入设备基础信息，并提供数据规则校验；支持按照行政区划、键盘编号、设备名称查询对应设备；支持设备批量信息导入、导出；支持设备信息的编辑和删除。</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255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AI智算和知识层-防汛视觉智能大模型应用功能-防汛视觉智能大模型应用功能-防汛视觉智能大模型应用功能-基础信息管理-设备信息管理-属性信息维护</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支持查看设备详情，包括设备基本信息（一机一档字段）、人工审核结果、图片轮巡结果以及相关轮巡告警图片；支持查看设备标签，包括属性标签和场所标签；支持查看视频快照，默认关联最新快照。</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256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AI智算和知识层-防汛视觉智能大模型应用功能-防汛视觉智能大模型应用功能-防汛视觉智能大模型应用功能-基础信息管理-设备分组管理-业务分组</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业务分组的增、删、改的维护操作；支持按行政区划、设备名称、设备编码、设备属性、键盘编码查询分组内设备；支持分组顺序拖拽调整、分组设备的批量导入/导出；支持业务分组绑定设备，支持按行政区划同步设备进行绑定。</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257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AI智算和知识层-防汛视觉智能大模型应用功能-防汛视觉智能大模型应用功能-防汛视觉智能大模型应用功能-基础信息管理-设备分组管理-快照分组</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支持快照分组的增、删、改的维护操作；支持快好分组进行设备绑定，支持按照行政区划、设备名称等条件查询设备。</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258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AI智算和知识层-防汛视觉智能大模型应用功能-防汛视觉智能大模型应用功能-防汛视觉智能大模型应用功能-基础信息管理-设备地图标点-设备标点状态</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支持设备资源树展示设备标点状态；支持根据设备信息及标签信息查询设备标点状态；支持对已标点的设备进行统计。</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259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AI智算和知识层-防汛视觉智能大模型应用功能-防汛视觉智能大模型应用功能-防汛视觉智能大模型应用功能-基础信息管理-设备地图标点-设备坐标修改</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支持根据gis地图修改点位经纬度信息；支持地图标点信息修改记录查询。</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260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AI智算和知识层-防汛视觉智能大模型应用功能-防汛视觉智能大模型应用功能-防汛视觉智能大模型应用功能-业务预案管理-预案管理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列表展示公共预案、个人预案、分享预案目录，支持目录编辑、删除、排序等控制；支持预案克隆、编辑、查询、执行操作；支持预案统计，包括预案目录统计、预案调阅次数统计；支持预案导出功能，支持翻页选中设备/全量选择；预案目录编辑功能支持支持公共预案/个人预案目录路径切换和子节点切换；新增预案时支持打应用标签功能，同时支持应用标签一键同步；预案编辑时支持拖拽移动视频点位；支持公共预案目录路径编辑。</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261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AI智算和知识层-防汛视觉智能大模型应用功能-防汛视觉智能大模型应用功能-防汛视觉智能大模型应用功能-业务预案管理-预案配置</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支持对分组设备进行预案快捷编制；支持对资源树、检索结果的设备选择加入暂存架，快捷编制预案</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支持预案内设备增、删操作；支持配置预案时，允许从一个或多个预案导入设备，并进行自动去重；支持预案内设备顺序调整控制；支持配置预案屏幕布局、轮巡间隔、执行时间；支持在导航栏调整预案目录结构，拖拽移动预案排序；支持预案中的点位按经纬度坐标等自动排序排序；支持配置预案/编辑预案，鼠标移到设备名称上，显示全部名称。</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262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AI智算和知识层-防汛视觉智能大模型应用功能-防汛视觉智能大模型应用功能-防汛视觉智能大模型应用功能-业务预案管理-预案执行</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预案本地执行、投屏操作；支持预案执行时支持设备锁定、设备顺序调整、设备替换、播放暂停、上翻/下翻操作；预案执行播放窗支持可拖拽移动；预案执行时显示每个设备序号，与左侧卡片列表联动对应；预案执行时支持从目录树替换设备临时上屏；预案执行时支持从目录树临时拖拽设备到预案中；预案执行时支持页码跳转；支持执行公共预案时过滤掉该用户没有权限的点位。</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263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AI智算和知识层-防汛视觉智能大模型应用功能-防汛视觉智能大模型应用功能-防汛视觉智能大模型应用功能-业务预案管理-预案分享</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支持个人预案分享单个或多个用户；支持分享预案目录里的预案复制添加到个人预案；支持按时间、按用户查看共享预案情况。</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264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AI智算和知识层-防汛视觉智能大模型应用功能-防汛视觉智能大模型应用功能-防汛视觉智能大模型应用功能-业务预案管理-流加速管理-加速配置</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支持配置静态加速设备资源总量、动态加速设备资源总量及资源释放时间；支持新增、移除、导入加速设备。</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265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AI智算和知识层-防汛视觉智能大模型应用功能-防汛视觉智能大模型应用功能-防汛视觉智能大模型应用功能-业务预案管理-流加速管理-加速统计</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支持静态加速统计，包括启动状态、取流状态、断流状态；支持动态加速统计，包括启动状态，取流状态、断流状态。</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266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AI智算和知识层-防汛视觉智能大模型应用功能-防汛视觉智能大模型应用功能-防汛视觉智能大模型应用功能-业务预案管理-流加速管理-任务维护</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列表展示设备加速详情，包括设备名称、加速类型、取流状态、断流时间、断流次数；支持根据设备名称、设备编码、加速类型、取流状态筛选加速信息；支持加速点位条件筛选以及点位的新增、批量导入、模版下载等功能。</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267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AI智算和知识层-防汛视觉智能大模型应用功能-防汛视觉智能大模型应用功能-防汛视觉智能大模型应用功能-视频自动轮巡-轮巡任务管理-轮巡任务配置</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列表展示已创建的快照轮巡任务信息，包括展示任务名称、分组名称、轮巡间隔、轮巡时段、上一轮结束时间、任务状态；支持按照任务名称、任务状态查询；支持对任务进行开启/关闭、修改、删除操作；支持导出任务列表；支持点击任务查看任务执行详情；支持任务单次和循环配置；支持创建快照轮巡任务，支配置任务名称、轮巡时段、任务并发、轮巡间隔、执行周期和选择设备分组，并支持对任务进行描述。</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268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AI智算和知识层-防汛视觉智能大模型应用功能-防汛视觉智能大模型应用功能-防汛视觉智能大模型应用功能-视频自动轮巡-轮巡任务管理-轮巡结果管理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列表方式查看轮巡结果；支持快照任务结果导出；支持按照任务名称、快照结果、操作时间和设备名称/ID查询轮巡结果；支持查看单个设备结果详情，包括查看历史记录、快照信息、开流延时、分辨率、编码格式、失败原因等。</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269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AI智算和知识层-防汛视觉智能大模型应用功能-防汛视觉智能大模型应用功能-防汛视觉智能大模型应用功能-视频自动轮巡-视频质量分析-诊断任务管理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列表展示已创建的质量诊断任务信息，支持按照任务名称、设备分组、任务状态查询任务，支持统计任务数及查看任务结果；支持创建、编辑、删除质量诊断任务，创建任务支持配置任务信息、设备分组、诊断类别、并发数量等参数，支持诊断任务的导出；支持查看诊断结果，包括设备正常异常数量的统计；通过卡片和列表两种方式展示诊断结果，可查看结果详情，包括诊断详细信息、快照信息和设备基本信息，支持诊断结果的导出。</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270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AI智算和知识层-防汛视觉智能大模型应用功能-防汛视觉智能大模型应用功能-防汛视觉智能大模型应用功能-视频自动轮巡-视频质量分析-诊断结果管理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支持新增故障告警规则，支持配置平台故障监测类型、故障级别、触发阈值等参数；支持对故障信息的查询功能；支持对故障等级、故障所属组织、故障持续时间、故障设备次数进行统计；支持对故障进行复检。</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271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AI智算和知识层-防汛视觉智能大模型应用功能-防汛视觉智能大模型应用功能-防汛视觉智能大模型应用功能-视频自动轮巡-视频质量分析-诊断结果统计分析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按照日期，所属组织查询设备质量信息，包括设备开流质量、画面质量、录像质量；支持查询信息导出和生成统计图；支持按照日期、所属组织查询设备信息；支持按照诊断信息、故障信息分类统计设备信息；支持统计信息的导出；支持按照日期、所属组织查询设备信息；支持对查询的设备按照不同故障类型进行统计；支持统计信息的导出。</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272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AI智算和知识层-防汛视觉智能大模型应用功能-防汛视觉智能大模型应用功能-防汛视觉智能大模型应用功能-视频地图智搜-视频多维度检索</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支持组合搜索；如多个关键字组合搜索，支持拼音、首字母等方式的搜索；</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支持通过常用标签、全量标签等视频标签筛选设备检索结果；</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支持标签交集、并集进行组合检索。</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273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AI智算和知识层-防汛视觉智能大模型应用功能-防汛视觉智能大模型应用功能-防汛视觉智能大模型应用功能-视频地图智搜-视频地图智搜</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支持针对地图上的区域、道路、路口、门牌号进行地图信息搜索；</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支持检索结果范围内视频点位的选择；</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支持添加地图书签、一键地图复位、地图模式切换等基础地图操作；</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支持资源聚合显示，针对资源数量多的情况，实现对于在当前地图放大比率基础上进行自动测算，在一定范围内的同类资源聚合显示，地图放大比率。调整后，资源重新聚合或分散显示，鼠标放在聚合上可以列出所属资源信息；</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支持鼠标停留在地图的资源撒点图标上面，系统自动显示该资源信息；</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支持搜索兴趣点时显示该区域轮廓线，左侧展示轮廓线内的所有关联点位列表。</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274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AI智算和知识层-防汛视觉智能大模型应用功能-防汛视觉智能大模型应用功能-防汛视觉智能大模型应用功能-事件预发现-事件特征</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对防汛类和河湖类事件进行特征定义，利用多模态算法实现对视频快照图像数据检测、识别、特征属性提取、存储的过程，通过万物检测、万物识别和图像理解能力，后续交给专业模型进行训练</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275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AI智算和知识层-防汛视觉智能大模型应用功能-防汛视觉智能大模型应用功能-防汛视觉智能大模型应用功能-事件预发现-图像快照管理-图像快照生成组件</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提供水务业务监测和提供快照抽取支撑，可灵活制定快照抽帧策略满足不同业务场景需求。</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实现对视频资源进行轮巡检测后截取图片快照，实现每日0.5万级次开流检测。实现新增轮巡任务，设置任务名称、任务并发、轮巡时段、轮巡间隔、任务描述、执行周期、设备分组；</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实现编辑和删除已经创建的轮巡任务；实现根据任务名称、任务状态查询轮巡任务详情；</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实现根据设备名称、任务名称、快照结果、操作时间查询轮巡结果；</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实现查看轮巡当前状态和历史记录；实现快照访问不低于50张/S；实现用户配置存储策略，按每张快照0.5M，实现百万级图片的存储。</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276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AI智算和知识层-防汛视觉智能大模型应用功能-防汛视觉智能大模型应用功能-防汛视觉智能大模型应用功能-事件预发现-图像快照管理-快照级联</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提供设备巡检快照信息级联管理，包括巡检结果和快照数据。</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提供快照数据同步参数管理，包括同步周期设置、快照更新等。</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实现根据设备级联范围自动校验快照级联任务中的设备。</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实现通过同步记录查看历史快照级联任务，包括快照数量、快照数据、快照变更状态。</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277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AI智算和知识层-防汛视觉智能大模型应用功能-防汛视觉智能大模型应用功能-防汛视觉智能大模型应用功能-智能预警-预发现智能告警</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实现以列表形式展示最近30条预发现告警数据，包括告警图片、预发现告警类型。</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278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AI智算和知识层-防汛视觉智能大模型应用功能-防汛视觉智能大模型应用功能-防汛视觉智能大模型应用功能-智能预警-告警审核</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实现对预发现告警事件人工审核，审核结果包括通过，未通过。</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实现告警事件批量审核，可对多个告警事件进行批量审核，不同事件审核可以快捷切换。</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279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AI智算和知识层-防汛视觉智能大模型应用功能-防汛视觉智能大模型应用功能-防汛视觉智能大模型应用功能-智能预警-告警查询</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实现按照告警类型和告警事件以及标签信息查询预发现告警事件。</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280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AI智算和知识层-防汛视觉智能大模型应用功能-防汛视觉智能大模型应用功能-防汛视觉智能大模型应用功能-智能预警-告警关联展示</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实现以卡片模型展示告预发现告警事件。</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实现点击告警事件在地图上展示告警事件关联点位。</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281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AI智算和知识层-防汛视觉智能大模型应用功能-防汛视觉智能大模型应用功能-防汛视觉智能大模型应用功能-智能预警-告警事件调阅</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实现对预发现告警事件关联点位信息调阅。</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282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AI智算和知识层-防汛视觉智能大模型应用功能-防汛视觉智能大模型应用功能-防汛视觉智能大模型应用功能-智能预警-告警对外接口</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提供实时预警，预警查询，API接口等服务，实现为上层业务平台提供相应的AI服务和接口调用。</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283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AI智算和知识层-防汛视觉智能大模型应用功能-防汛视觉智能大模型应用功能-防汛视觉智能大模型应用功能-统计分析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实现对级联的数据进行统计分析，自动甄别数据变更类型，包括新增和移除。</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实现查看增量预案数据详情，包括预案名称、预案目录和预案变更类型，包括新增预案、移除预案。</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实现查看增量快照详情，包括设备名称、快照大小、快照分辨率、开流延迟、编码格式等信息。</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284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AI智算和知识层-防汛视觉智能大模型应用功能-防汛视觉智能大模型应用功能-防汛视觉智能大模型应用功能-手机拍图识别-水域垃圾图片识别模型-水域垃圾图片识别数据集管理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根据水域垃圾图片识别需求，收集水域垃圾素材，通过训练数据集创建、修改、删除和查看功能。</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285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AI智算和知识层-防汛视觉智能大模型应用功能-防汛视觉智能大模型应用功能-防汛视觉智能大模型应用功能-手机拍图识别-水域垃圾图片识别模型-水域垃圾图片识别数据标注</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可以快速标注训练图片类别或标注训练图片中的物体位置、名称，并将标注的标签保存。支持对一个图片中的多个物体分别标注标签。</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286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AI智算和知识层-防汛视觉智能大模型应用功能-防汛视觉智能大模型应用功能-防汛视觉智能大模型应用功能-手机拍图识别-水域垃圾图片识别模型-水域垃圾图片识别模型创建</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基于YOLOv8算法，构建水域垃圾图片识别模型，实现巡查养护图片中水域垃圾位置的识别。</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287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AI智算和知识层-防汛视觉智能大模型应用功能-防汛视觉智能大模型应用功能-防汛视觉智能大模型应用功能-手机拍图识别-水域垃圾图片识别模型-水域垃圾图片识别模型训练</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实现对水域垃圾图片识别模型训练。</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288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AI智算和知识层-防汛视觉智能大模型应用功能-防汛视觉智能大模型应用功能-防汛视觉智能大模型应用功能-手机拍图识别-水域垃圾图片识别模型-水域垃圾图片识别模型发布</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打包水域垃圾图片识别模型数据并提交审核，审核通过后正式发布</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289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AI智算和知识层-防汛视觉智能大模型应用功能-防汛视觉智能大模型应用功能-防汛视觉智能大模型应用功能-手机拍图识别-堤防坍塌图片识别模型-堤防坍塌图片识别数据集管理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根据堤防坍塌图片识别需求，收集堤防坍塌素材，通过训练数据集创建、修改、删除和查看功能</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290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AI智算和知识层-防汛视觉智能大模型应用功能-防汛视觉智能大模型应用功能-防汛视觉智能大模型应用功能-手机拍图识别-堤防坍塌图片识别模型-堤防坍塌图片识别数据标注</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可以快速标注训练图片类别或标注训练图片中的物体位置、名称，并将标注的标签保存。支持对一个图片中的多个物体分别标注标签。</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291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AI智算和知识层-防汛视觉智能大模型应用功能-防汛视觉智能大模型应用功能-防汛视觉智能大模型应用功能-手机拍图识别-堤防坍塌图片识别模型-堤防坍塌图片识别模型创建</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基于YOLOv8算法，构建堤防坍塌图片识别模型，实现巡查养护图片中堤防坍塌位置的识别。</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292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AI智算和知识层-防汛视觉智能大模型应用功能-防汛视觉智能大模型应用功能-防汛视觉智能大模型应用功能-手机拍图识别-堤防坍塌图片识别模型-堤防坍塌图片识别模型训练</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实现对堤防坍塌图片识别模型训练。</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293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AI智算和知识层-防汛视觉智能大模型应用功能-防汛视觉智能大模型应用功能-防汛视觉智能大模型应用功能-手机拍图识别-堤防坍塌图片识别模型-堤防坍塌图片识别模型发布</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打包堤防坍塌图片识别模型数据并提交审核，审核通过后正式发布</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294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AI智算和知识层-防汛数据与知识融合分析及智能应用大模型-数据预处理-数据采集-结构化数据采集-结构化数据采集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从防汛知识层面和河湖知识层面实现防汛数据知识的全面汇聚。包含数据导入、过滤采集、数据抽取、API接口采集、消息队列对接等方式。</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295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AI智算和知识层-防汛数据与知识融合分析及智能应用大模型-数据预处理-数据采集-非结构化数据采集-非结构化数据采集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采用多模态文档解析引擎，支持多源异构数据（Word/PDF/Excel/PPT/网页等）的OCR识别、复杂结构文档解析与文件导入、文件批量导入等方式。</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296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AI智算和知识层-防汛数据与知识融合分析及智能应用大模型-数据预处理-数据处理-格式规范化-格式规范化</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数据归集分类，日期时间统一格式（ISO 8601）；文本编码统一（UTF-8）；数值格式统一</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297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AI智算和知识层-防汛数据与知识融合分析及智能应用大模型-数据预处理-数据处理-缺失值处理-缺失值处理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数据插值补数预处理相关功能</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298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AI智算和知识层-防汛数据与知识融合分析及智能应用大模型-数据预处理-数据处理-异常值检测与处理-异常值检测与处理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数据合理性判断、</w:t>
            </w:r>
            <w:r>
              <w:rPr>
                <w:rFonts w:hint="eastAsia" w:asciiTheme="majorEastAsia" w:hAnsiTheme="majorEastAsia" w:eastAsiaTheme="majorEastAsia" w:cstheme="majorEastAsia"/>
                <w:color w:val="000000"/>
                <w:kern w:val="0"/>
                <w:sz w:val="20"/>
                <w:szCs w:val="20"/>
                <w:lang w:bidi="ar"/>
              </w:rPr>
              <w:br w:type="textWrapping"/>
            </w:r>
            <w:r>
              <w:rPr>
                <w:rFonts w:hint="eastAsia" w:asciiTheme="majorEastAsia" w:hAnsiTheme="majorEastAsia" w:eastAsiaTheme="majorEastAsia" w:cstheme="majorEastAsia"/>
                <w:color w:val="000000"/>
                <w:kern w:val="0"/>
                <w:sz w:val="20"/>
                <w:szCs w:val="20"/>
                <w:lang w:bidi="ar"/>
              </w:rPr>
              <w:t>统计异常检测、逻辑矛盾识别；设计异常剔除、修正或标记策略。</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299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AI智算和知识层-防汛数据与知识融合分析及智能应用大模型-数据预处理-数据处理-重复数据去重-重复数据去重</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嵌入去重、格式校验等机制确保数据源的完整性。</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300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AI智算和知识层-防汛数据与知识融合分析及智能应用大模型-数据预处理-数据处理-噪声数据剔除-噪声数据剔除</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文本数据通过正则表达式、NLP工具链去除噪声并标准化，图像/视频通过OpenCV进行降噪、归一化与增强，音频则借助Librosa实施分帧与频谱转换</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301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AI智算和知识层-防汛数据与知识融合分析及智能应用大模型-数据预处理-数据处理-编码标准化-编码标准化</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数据归集分类，分类编码、地理编码、时间编码统一。</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302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AI智算和知识层-防汛数据与知识融合分析及智能应用大模型-数据预处理-接口服务-元数据接口-元数据接口</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包含知识注册、知识内容管理、知识权限管理功能。从业务核心系统中抽取元数据用于语料治理。</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303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AI智算和知识层-防汛数据与知识融合分析及智能应用大模型-数据预处理-接口服务-知识库接口-知识库接口</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统一的数据知识 API 接口服务，旨在为各类应用程序与系统提供高效、便捷且标准化的数据知识访问。</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304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AI智算和知识层-防汛数据与知识融合分析及智能应用大模型-知识库建设-知识建模与组织-知识切片-规则切片</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非结构化数据知识的分区管理旨在通过逻辑或物理层面的数据划分，提升存储效率、查询性能及可维护性。</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305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AI智算和知识层-防汛数据与知识融合分析及智能应用大模型-知识库建设-知识建模与组织--多模态切片</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包含通用模式、论文模式动态分块策略，自定义分块粒度、重叠窗口设置</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306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AI智算和知识层-防汛数据与知识融合分析及智能应用大模型-知识库建设-知识建模与组织-元信息标注-基本元信息标注</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包含向量嵌入、混合索引构建（含向量索引、关键词倒排索引、结构化元数据索引）</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307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AI智算和知识层-防汛数据与知识融合分析及智能应用大模型-知识库建设-知识建模与组织-知识抽取-实体及关系标准化</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包含数据知识分类、数据标签增强、数据知识关系关联</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308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AI智算和知识层-防汛数据与知识融合分析及智能应用大模型-知识库建设-知识建模与组织-知识图谱建模-领域本体建模-水网知识库-方案预案库</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基于知识图谱和自然语言处理NLP技术，对气象水文预报、水文监测、泵闸安全监测、水利片水资源调度预案等进行结构化、参数化和数字化处理，并与相关河湖对象动态关联。</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309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AI智算和知识层-防汛数据与知识融合分析及智能应用大模型-知识库建设-知识建模与组织-知识图谱建模-领域本体建模-水网知识库-业务规则库</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基于知识图谱和自然语言处理NLP技术，对法律法规、规程规范、技术标准、技术方案等文档内容进行结构化处理，通过对河湖运行管理的各项业务规则进行抽取、表示和管理，形成可组合应用的结构化规则集。</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310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AI智算和知识层-防汛数据与知识融合分析及智能应用大模型-知识库建设-知识建模与组织-知识图谱建模-领域本体建模-水网知识库-历史场景库</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知识图谱和自然语言处理NLP技术，对历史场景的场景特征、事件成因、调度处置过程、调度处置效果及经验等内容，对历史场景进行过程重建、特征标注，支撑相似场景的快速查找，为同类事件的预案预演模拟和决策提供依据。</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311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AI智算和知识层-防汛数据与知识融合分析及智能应用大模型-知识库建设-知识建模与组织-知识图谱建模-领域本体建模-水网知识库-对象关系库</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基于知识图谱和自然语言处理NLP技术，以知识图谱的形式描述物理河湖水网中的自然河湖、水利工程和河湖水网对象管理活动等实体及其关联关系。</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312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AI智算和知识层-防汛数据与知识融合分析及智能应用大模型-知识库建设-知识建模与组织-知识图谱建模-领域本体建模-防汛知识库-防汛预案知识库</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知识图谱和自然语言处理NLP技术，对本市防汛防台应急预案、水旱灾害应急处置预案、雨水系统提标与应急调蓄方案、城市内涝治理实施方案等进行结构化、参数化和数字化处理，并与相关防汛基础设施对象实现动态关联。</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313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AI智算和知识层-防汛数据与知识融合分析及智能应用大模型-知识库建设-知识建模与组织-知识图谱建模-领域本体建模-防汛知识库-防汛业务规则库</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知识图谱和自然语言处理NLP技术，对防汛业务开展相关的涉及预防、监测、应急响应、抢险救灾等多个环节分级响应、风险排查、物资储备、灾后处置等的业务规则等进行结构化、参数化和数字化处理，并与相关防汛基础设施对象动态关联。</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314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AI智算和知识层-防汛数据与知识融合分析及智能应用大模型-知识库建设-知识建模与组织-知识图谱建模-知识图谱构建-多源异构业务知识图谱构建</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实体动态抽取、关系推理、社区摘要生成</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315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AI智算和知识层-防汛数据与知识融合分析及智能应用大模型-知识库建设-知识建模与组织-知识图谱建模-知识图谱构建-现有防汛相关知识库集成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实现对数字孪生黄浦江知识库集成、拦路港知识库集成、浦东水网知识库集成、防汛AI语料库集成</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316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AI智算和知识层-防汛数据与知识融合分析及智能应用大模型-知识库建设-知识建模与组织-知识图谱建模-知识图谱构建-遥感解译结果上图</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遥感数据解译与防汛、河湖要素提取、上图</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317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AI智算和知识层-防汛数据与知识融合分析及智能应用大模型-知识库建设-知识建模与组织-知识增强-上下文增强</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在知识生成和回答过程中，充分考虑上下文信息，结合用户的历史查询记录、对话内容、业务场景背景等，生成更贴合用户实际需求和语境的知识回答。</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318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AI智算和知识层-防汛数据与知识融合分析及智能应用大模型-知识库建设-知识更新与进化-变更检测与版本管理-定期巡检与更新</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实现自动抓取涉河相关的政策、法规、标准等文档，相关文档经过处理后要分解，提取，加工，形成知识图谱</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319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AI智算和知识层-防汛数据与知识融合分析及智能应用大模型-知识库建设-知识质量与安全-质量检查-六性检查与纠错</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事实校验规则、敏感词过滤、参数约束，六性检查与纠错</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320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AI智算和知识层-防汛数据与知识融合分析及智能应用大模型-智能体建设-能力构建与流程编排-工具开发及框架集成-脚本编辑与执行</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对检索出的知识结果进行相关性排序</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321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AI智算和知识层-防汛数据与知识融合分析及智能应用大模型-智能体建设-能力构建与流程编排-工具开发及框架集成-多工具组合使用能力-数据知识多维度混合检索</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向量检索、关键词匹配、图谱推理</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322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AI智算和知识层-防汛数据与知识融合分析及智能应用大模型-智能体建设-能力构建与流程编排-工具开发及框架集成-多工具组合使用能力-数据知识生成优化LLM模型支持</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整合大型语言模型（LLM）技术，利用其强大的语言生成能力和知识理解能力，为用户提供个性化、多样化、高质量的知识服务。</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323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AI智算和知识层-防汛数据与知识融合分析及智能应用大模型-智能体建设-能力构建与流程编排-工具开发及框架集成-多工具组合使用能力-Embedding模型支持能内容</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引入 Embedding 模型，对知识数据进行高效的向量化表示和相似性计算，为知识检索、语义分析等服务提供有力支持。</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324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AI智算和知识层-防汛数据与知识融合分析及智能应用大模型-智能体建设-能力构建与流程编排-工具开发及框架集成-数据接口API集成与系统对接</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提供丰富的 API 接口，实现知识服务与其他业务系统、应用程序的无缝集成。</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325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AI智算和知识层-防汛数据与知识融合分析及智能应用大模型-智能体建设-能力构建与流程编排-工具开发及框架集成-数据安全与权限控制</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为不同用户角色和使用场景提供灵活的授权策略，包括权限分配、使用期限设定、授权范围限定等</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326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AI智算和知识层-防汛数据与知识融合分析及智能应用大模型-智能体建设-能力构建与流程编排-知识工程-复杂知识工程-防汛知识助手-面向公众服务知识助手</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供防汛防台注意事项、积水围困求救、暴雨内涝积水注意事项等知识的智能问答。提供积水监测、雨量监测和潮位预报监测类信息的智能问答</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327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AI智算和知识层-防汛数据与知识融合分析及智能应用大模型-智能体建设-能力构建与流程编排-知识工程-复杂知识工程-防汛知识助手-面向防汛业务人员知识助手-防汛综述知识助手</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结合LLM大语言模型以及防汛知识库，支持自动生成当前防汛信息综述</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328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AI智算和知识层-防汛数据与知识融合分析及智能应用大模型-智能体建设-能力构建与流程编排-知识工程-复杂知识工程-防汛知识助手-面向防汛业务人员知识助手-防汛历史知识助手</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结合LLM大语言模型以及防汛知识库，支持对当前水情特征、雨情特征和风情特征进行智能分析</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329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AI智算和知识层-防汛数据与知识融合分析及智能应用大模型-智能体建设-能力构建与流程编排-知识工程-复杂知识工程-防汛知识助手-面向防汛业务人员知识助手-防汛预案知识助手</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合LLM大语言模型以及防汛知识库，支持按照当前防汛态势，自动汇总对应处置预案、处置所需物资信息等内容</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330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AI智算和知识层-防汛数据与知识融合分析及智能应用大模型-智能体建设-能力构建与流程编排-知识工程-复杂知识工程-巡河助手-知识问答</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根据知识库里业务管理规则对基层工作人员的工作指导，基于APP端的基本工作指导,提供知识问答。</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331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AI智算和知识层-防汛数据与知识融合分析及智能应用大模型-智能体建设-能力构建与流程编排-知识工程-复杂知识工程-巡河助手-标准轨范</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对基层工作人员河湖巡查养护人员，提供河湖巡查养护标准规范的智能问答。</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332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AI智算和知识层-防汛数据与知识融合分析及智能应用大模型-智能体建设-能力构建与流程编排-知识工程-复杂知识工程-巡河助手-巡查指导</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对基层工作人员河湖巡查养护人员，提供河湖巡查业务方面的智能问答，高效支撑基层工作人员人员执行河湖巡查任务。</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333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AI智算和知识层-防汛数据与知识融合分析及智能应用大模型-智能体建设-能力构建与流程编排-知识工程-复杂知识工程-巡河助手-养护指导</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对基层工作人员河湖巡查养护人员，提供水网养护业务方面的智能问答，高效支撑基层工作人员人员执行水网养护任务。</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334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AI智算和知识层-防汛数据与知识融合分析及智能应用大模型-智能体建设-能力构建与流程编排-知识工程-复杂知识工程-巡河助手-问题分析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基于知识库和智能体建设成果，结合水网数据模型中历史常见问题分析提出巡河建议，如不同季节、汛期、非汛期、关联气象降雨、潮位、重大保障期间。</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335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AI智算和知识层-防汛数据与知识融合分析及智能应用大模型-智能体建设-能力构建与流程编排-知识工程-复杂知识工程-数据知识地图</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实现防汛、河湖数据与知识的多源融合，通过知识图谱的关联查询和空间数据分析，挖掘数据背后隐藏的知识和规律，为用户提供直观、深度的知识发现服务。</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336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AI智算和知识层-防汛数据与知识融合分析及智能应用大模型-智能体建设-能力构建与流程编排-知识工程-复杂知识工程-水务知识资产管理-知识产品梳理盘点</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自动识别和归类不同类型的水务知识产品，包括但不限于技术规范文档、科研报告、操作手册、培训视频、案例集等。</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337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AI智算和知识层-防汛数据与知识融合分析及智能应用大模型-智能体建设-能力构建与流程编排-知识工程-复杂知识工程-水务知识资产管理-知识台账登记</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对水务知识资产的详细信息进行登记和管理，建立一份完整的知识资产台账</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338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AI智算和知识层-防汛数据与知识融合分析及智能应用大模型-智能体建设-能力构建与流程编排-知识工程-复杂知识工程-水务知识产品发布-知识产品挖掘</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运用数据挖掘技术挖掘防汛、河湖多源异构数据知识间的潜在关联关系。</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339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AI智算和知识层-防汛数据与知识融合分析及智能应用大模型-智能体建设-能力构建与流程编排-知识工程-复杂知识工程-水务知识产品发布-知识多维关联</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基于数据知识的多维度信息（如业务分类、主题域、标签等），构建数据知识关联图谱。将具有相同或相似业务分类的数据知识进行关联</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340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AI智算和知识层-防汛数据与知识融合分析及智能应用大模型-智能体建设-能力构建与流程编排-流程编排与逻辑控制-规则流程图设计</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支持对知识服务的工作流进行编排和配置</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341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AI智算和知识层-防汛数据与知识融合分析及智能应用大模型-智能体建设-能力构建与流程编排-流程编排与逻辑控制-消息传递与调度</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提供代理模板的扩展机制，允许用户根据自身需求自定义知识服务的代理模板。</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342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AI智算和知识层-防汛数据与知识融合分析及智能应用大模型-智能体建设-能力构建与流程编排-MCP服务开发与接入-数据源与工具集成-数据知识传输服务实时同步</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实现关键业务的数据实时流动</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343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AI智算和知识层-防汛数据与知识融合分析及智能应用大模型-智能体建设-能力构建与流程编排-MCP服务开发与接入-数据源与工具集成-数据知识传输服务定期迁移</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通过多种网络链路，快速实现跨云平台数据库迁移、云下数据库迁移上云或云上跨区域的数据库迁移等多种业务场景迁移。</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344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AI智算和知识层-防汛数据与知识融合分析及智能应用大模型-智能体建设-能力构建与流程编排-MCP服务开发与接入-数据源与工具集成-多模态融合知识服务-数据知识接口服务</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数据知识订阅、数据知识消费</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345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AI智算和知识层-防汛数据与知识融合分析及智能应用大模型-智能体建设-上下文与多轮对话管理-上下文建模与状态管理-多轮状态追踪</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Web管理、REST API接口、SDK接入、知识库可视化、对话历史追踪、回答溯源</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346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AI智算和知识层-防汛智能体大模型-智能体-角色与对话框架设计-角色设定与身份管理-智能体人格设定</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对智能体进行人格设定，区分内涝积水专家、气象专家、资源调度专家、积水</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专家等。</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347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AI智算和知识层-防汛智能体大模型-智能体-角色与对话框架设计-角色设定与身份管理-多角色协作设计</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综合多角色间的协同，综合研判积水程度，跟踪积水情况，预测积水发展，核验并筛选无效</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348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AI智算和知识层-防汛智能体大模型-智能体-能力构建与流程编排-提示词工程-复杂提示词工程</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根据不同人格和负责的业务分别进行提示词工程。</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349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AI智算和知识层-防汛智能体大模型-智能体-能力构建与流程编排-知识工程-复杂知识工程</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在水务、气象、应急、城市管理等专业领域，把文档、表格、图片、专家经验等变成结构化知识，统一存储。</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350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AI智算和知识层-防汛智能体大模型-智能体-能力构建与流程编排-流程编排与逻辑控制-模糊表达/歧义处理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根据标准和知识库，对积水程度、现场处置情况、风险影响等内容的标准化统一处理。</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351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AI智算和知识层-防汛智能体大模型-智能体-能力构建与流程编排-流程编排与逻辑控制-多智能体协同</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支持市、区、街镇智能体间横向联动与纵向调度，实现任务协调与分工。</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352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AI智算和知识层-防汛智能体大模型-智能体-能力构建与流程编排-流程编排与逻辑控制-消息传递与调度</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搭建各级智能体通信通道，支持信息传递与任务同步。</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353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AI智算和知识层-防汛智能体大模型-智能体-智能体持续学习与优化-用户反馈与标注方案-测试集增强</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对多个街镇在同一场台风下的响应效率、积水分布等进行交叉分析，挖掘规律。</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354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AI智算和知识层-防汛智能体大模型-智能体-智能体评估与部署-方案设计-评估与部署方案</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结合业务目标、应用场景及资源约束，制定完整方案，为后续评估与部署工作提供清晰框架和行动指南。</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355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AI智算和知识层-防汛智能体大模型-智能体-智能体评估与部署-可用性评测-准确性评测</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构建多场景测试数据集，验证积水、</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等核心业务指标是否达标。</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356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AI智算和知识层-防汛智能体大模型-智能体-智能体评估与部署-可用性评测-性能/并发评测</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模拟不同数据量下的运行场景，测试响应速度、吞吐量、资源占用率及在高并发环境下的稳定性。</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357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AI智算和知识层-防汛智能体大模型-智能体-智能体评估与部署-安全性评测-安全评估</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从数据、功能、权限及合规性等安全方面，排查存在的安全隐患，保障信息与系统安全。</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358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AI智算和知识层-防汛智能体大模型-智能体-智能体评估与部署-智能体部署-智能体部署</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完成软硬件环境搭建、程序部署与调试、初始化，并开展部署后的试运行与监控，建立运维机制。</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359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AI智算和知识层-防汛智能体大模型-防汛智能体应用功能-防汛智能体应用功能-防汛智能体应用功能-空间感知模块-积水发现-3D地形还原与特征理解</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利用单图深度估计与点云重建技术还原摄像头视角下的三维地形，辅助判断地势低洼区域，提升积水检测准确性。</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360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AI智算和知识层-防汛智能体大模型-防汛智能体应用功能-防汛智能体应用功能-防汛智能体应用功能-空间感知模块-积水发现-摄像头接入</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构建高效的视频接入与调度机制，支持多路城市监控摄像头的实时接入与抽帧处理，为积水监测提供高质量视频源支撑。</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361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AI智算和知识层-防汛智能体大模型-防汛智能体应用功能-防汛智能体应用功能-防汛智能体应用功能-空间感知模块-积水发现-摄像头数据预处理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对接入视频画面进行格式统一、噪点清洗与语义区域分割，为后续图像识别提供高质量输入。</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362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AI智算和知识层-防汛智能体大模型-防汛智能体应用功能-防汛智能体应用功能-防汛智能体应用功能-时空数据融合模块-积水信息过滤-多源平台数据接入</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整合雨量、水位、工单、热线、</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等多类数据源，统一格式与结构，构建时空融合信息底座。</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363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AI智算和知识层-防汛智能体大模型-防汛智能体应用功能-防汛智能体应用功能-防汛智能体应用功能-时空数据融合模块-积水信息过滤-校验与初步核查</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运用数据可信度分析、空间位置匹配等方法，对初步积水数据进行去重与信息筛选，提升数据有效性。</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364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AI智算和知识层-防汛智能体大模型-防汛智能体应用功能-防汛智能体应用功能-防汛智能体应用功能-时空数据融合模块-</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过滤与判断-多源</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信息整合</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汇聚城感通、市民热线、灾情直报等渠道</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数据，构建统一的</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信息流。</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365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AI智算和知识层-防汛智能体大模型-防汛智能体应用功能-防汛智能体应用功能-防汛智能体应用功能-时空数据融合模块-</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过滤与判断-</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规则过滤</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基于关键词匹配、主题分类与频次分析，对原始</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信息进行初步筛查与过滤。</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366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AI智算和知识层-防汛智能体大模型-防汛智能体应用功能-防汛智能体应用功能-防汛智能体应用功能-时空数据融合模块-积水预测-伏羲中期气象大模型-模型优化</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开发融合深度学习与物理机制的气象模型，实现3~7日中期降水精细预测。</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367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AI智算和知识层-防汛智能体大模型-防汛智能体应用功能-防汛智能体应用功能-防汛智能体应用功能-时空数据融合模块-积水预测-伏羲中期气象大模型-微调适配</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对接上海地区气候特征，基于历史台风数据训练优化气象模型效果。</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368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AI智算和知识层-防汛智能体大模型-防汛智能体应用功能-防汛智能体应用功能-防汛智能体应用功能-时空数据融合模块-积水预测-伏羲中期气象大模型-服务对接</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将模型输出接入防汛平台接口，实现预测结果自动调用与可视化呈现。</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369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AI智算和知识层-防汛智能体大模型-防汛智能体应用功能-防汛智能体应用功能-防汛智能体应用功能-时空数据融合模块-积水预测-伏羲区域降尺度超分辨率气象大模型-模型优化</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构建能实现千米级别空间降尺度的超分辨率模型，提升局地极端天气预测能力。</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370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AI智算和知识层-防汛智能体大模型-防汛智能体应用功能-防汛智能体应用功能-防汛智能体应用功能-时空数据融合模块-积水预测-伏羲区域降尺度超分辨率气象大模型-微调适配</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针对上海地形与城市热岛效应优化参数，提升模型本地适配度与实用性。</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371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AI智算和知识层-防汛智能体大模型-防汛智能体应用功能-防汛智能体应用功能-防汛智能体应用功能-时空数据融合模块-积水预测-伏羲区域降尺度超分辨率气象大模型-服务对接</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建立模型接口与智能体联动机制，为积水趋势预测提供高分辨率输入。</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372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AI智算和知识层-防汛智能体大模型-防汛智能体应用功能-防汛智能体应用功能-防汛智能体应用功能-世界模型模块-局部点位环境常态世界模型建模</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建立摄像头对应区域的常态空间模型，记录正常场景下的视觉特征与结构布局。</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373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AI智算和知识层-防汛智能体大模型-防汛智能体应用功能-防汛智能体应用功能-防汛智能体应用功能-世界模型模块-局部点位环境常态世界模型点位适配</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将世界模型适配至不同摄像头点位，通过坐标变换与特征拟合提升模型泛化能力。</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374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AI智算和知识层-防汛智能体大模型-防汛智能体应用功能-防汛智能体应用功能-防汛智能体应用功能-空间推理与分析模块-积水点位实况-积水影响区域动态划分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基于积水深度、范围及周边道路网络，动态分析积水对周边区域的影响范围。</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375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AI智算和知识层-防汛智能体大模型-防汛智能体应用功能-防汛智能体应用功能-防汛智能体应用功能-空间推理与分析模块-积水点位实况-最佳视角摄像头择优</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自动筛选当前最能反映积水实况的摄像头视角，提升点位展示的直观性与准确性。</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376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AI智算和知识层-防汛智能体大模型-防汛智能体应用功能-防汛智能体应用功能-防汛智能体应用功能-空间推理与分析模块-积水预测-积水点位发展趋势预测</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融合降雨预测、排水能力与地形条件，预判积水可能发展趋势与持续时间。</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377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AI智算和知识层-防汛智能体大模型-防汛智能体应用功能-防汛智能体应用功能-防汛智能体应用功能-空间推理与分析模块-积水预测-预测结果网格化整理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将预测结果落图至千米级空间网格，支持在不同区域尺度上进行积水风险评估。</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378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AI智算和知识层-防汛智能体大模型-防汛智能体应用功能-防汛智能体应用功能-防汛智能体应用功能-空间推理与分析模块-基于视频的积水过程跟踪-工作人员识别</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识别摄像头画面中出现的抢险工作人员，用于辅助评估现场响应情况。</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379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AI智算和知识层-防汛智能体大模型-防汛智能体应用功能-防汛智能体应用功能-防汛智能体应用功能-空间推理与分析模块-基于视频的积水过程跟踪-工作车辆识别</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分析监控画面中应急车辆的出现与停留轨迹，记录处置过程关键时间点。</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380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AI智算和知识层-防汛智能体大模型-防汛智能体应用功能-防汛智能体应用功能-防汛智能体应用功能-空间推理与分析模块-积水模拟仿真</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基于真实地形与排水参数，构建多种积水情境模拟，支持预案演练与模型验证。</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381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AI智算和知识层-防汛智能体大模型-防汛智能体应用功能-防汛智能体应用功能-防汛智能体应用功能-空间推理与分析模块-积水发现-积水深度识别</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结合图像中积水反光、水面边界与参照物比例，估算积水深度。</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382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AI智算和知识层-防汛智能体大模型-防汛智能体应用功能-防汛智能体应用功能-防汛智能体应用功能-空间推理与分析模块-积水发现-积水严重程度基础识别</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基于面积、深度、持续时间等基本指标，评估积水严重等级。</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383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AI智算和知识层-防汛智能体大模型-防汛智能体应用功能-防汛智能体应用功能-防汛智能体应用功能-空间推理与分析模块-积水发现-积水严重程度精准识别</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融合历史记录、</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热度、周边工况等信息，进行多因子综合评估。</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384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AI智算和知识层-防汛智能体大模型-防汛智能体应用功能-防汛智能体应用功能-防汛智能体应用功能-空间推理与分析模块-积水发现-积水点位综合判断</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综合图像识别结果与外部数据，自动生成每个积水点的识别标签与状态判断。</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385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AI智算和知识层-防汛智能体大模型-防汛智能体应用功能-防汛智能体应用功能-防汛智能体应用功能-空间推理与分析模块-积水发现-积水严重程度排序</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将全市积水点按严重程度进行动态排序，生成市级、区级、街镇级 Top5 榜单。</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386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过滤与判断-</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多媒体内容分类</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对图像、视频等多模态</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内容进行结构化分类，为后续处理提供统一输入。</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387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过滤与判断-</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分级</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对</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事件按照风险等级进行分类，划分一般、关注、重要等等级标签。</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388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过滤与判断-</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严重程度排序</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按照传播速度、关键词风险等级、相关积水情况等综合指标对</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排序。</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389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核验-</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信息与实况比对校验</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将</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反映的问题与摄像头画面、积水监测等数据对比，核实事件真实性。</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390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AI智算和知识层-防汛智能体大模型-防汛智能体应用功能-防汛智能体应用功能-防汛智能体应用功能-空间推理与分析模块-点位级智能体-多维度数据整合与观察</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聚合该点位的降雨、图像、</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、工单等多维数据，实现单点级实时感知与趋势跟踪。</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391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AI智算和知识层-防汛智能体大模型-防汛智能体应用功能-防汛智能体应用功能-防汛智能体应用功能-空间推理与分析模块-点位级智能体-综合分析研判与专报</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针对单个积水点位生成综合研判报告，提炼关键风险要素并输出结构化专报。</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392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AI智算和知识层-防汛智能体大模型-防汛智能体应用功能-防汛智能体应用功能-防汛智能体应用功能-空间推理与分析模块-街镇级智能体-多维度数据整合与观察</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汇总街镇内所有积水点、降雨监测与</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数据，提供街镇级灾情统一视图。</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393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AI智算和知识层-防汛智能体大模型-防汛智能体应用功能-防汛智能体应用功能-防汛智能体应用功能-空间推理与分析模块-街镇级智能体-综合分析研判与专报</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针对街镇级别输出积水分布、严重程度、应急响应等综合报告，辅助本级调度决策。</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394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AI智算和知识层-防汛智能体大模型-防汛智能体应用功能-防汛智能体应用功能-防汛智能体应用功能-空间推理与分析模块-区级智能体-多维度数据整合与观察</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汇聚全区各街镇灾情信息，构建面向区防汛部门的统一感知视图。</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395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AI智算和知识层-防汛智能体大模型-防汛智能体应用功能-防汛智能体应用功能-防汛智能体应用功能-空间推理与分析模块-区级智能体-综合分析研判与专报</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面向区级管理部门输出灾情分布态势图、趋势预测与重点建议。</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396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AI智算和知识层-防汛智能体大模型-防汛智能体应用功能-防汛智能体应用功能-防汛智能体应用功能-空间推理与分析模块-市级智能体-多维度数据整合与观察</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汇总全市范围内灾情信息，构建市级智能体统一调度视图，感知城市整体态势。</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397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AI智算和知识层-防汛智能体大模型-防汛智能体应用功能-防汛智能体应用功能-防汛智能体应用功能-空间推理与分析模块-市级智能体-综合分析研判与专报</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输出全市积水风险地图与重点区划排名，形成面向应急管理与领导决策的分析报告。</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398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AI智算和知识层-防汛智能体大模型-防汛智能体应用功能-防汛智能体应用功能-防汛智能体应用功能-空间推理与分析模块-积水全生命周期跟踪-快照时间轴智能梳理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自动按时间序列整理摄像头快照与积水状态，形成完整的积水发展过程回顾。</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399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AI智算和知识层-防汛智能体大模型-防汛智能体应用功能-防汛智能体应用功能-防汛智能体应用功能-空间推理与分析模块-积水全生命周期跟踪-关键时刻判断</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利用降雨、传感器、视频等数据自动识别积水的发生、加重、处置、消退等关键时间点。</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400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AI智算和知识层-防汛智能体大模型-防汛智能体应用功能-防汛智能体应用功能-防汛智能体应用功能-空间推理与分析模块-积水点态势搜索-照片人、物、场提取及对齐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通过大模型从图片中提取人物、车辆、场景等要素，实现图片语义对齐与统一表征。</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401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AI智算和知识层-防汛智能体大模型-防汛智能体应用功能-防汛智能体应用功能-防汛智能体应用功能-空间推理与分析模块-积水点态势搜索-照片全物体关系构建</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构建图谱结构，标注图片中物体之间的空间关系与交互逻辑，支持结构化搜索。</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402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AI智算和知识层-防汛智能体大模型-防汛智能体应用功能-防汛智能体应用功能-防汛智能体应用功能-空间推理与分析模块-积水点态势搜索-照片摘要提取及对齐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为图片生成摘要信息，包括时间、事件、核心现象，提升跨图理解与检索能力。</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403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AI智算和知识层-防汛智能体大模型-防汛智能体应用功能-防汛智能体应用功能-防汛智能体应用功能-空间推理与分析模块-积水点态势搜索-基于摘要的索引构建</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依据图片摘要构建语义索引结构，支持按事件特征进行快速召回。</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404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AI智算和知识层-防汛智能体大模型-防汛智能体应用功能-防汛智能体应用功能-防汛智能体应用功能-空间推理与分析模块-积水点态势搜索-基于物体的索引构建</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将图片中的关键物体作为标签，建立物体级的索引体系，便于相似画面检索。</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405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AI智算和知识层-防汛智能体大模型-防汛智能体应用功能-防汛智能体应用功能-防汛智能体应用功能-空间推理与分析模块-积水点态势搜索-基于图像特征的索引构建</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采用图像神经网络提取画面向量，构建图像相似度索引，支持模糊检索。</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406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AI智算和知识层-防汛智能体大模型-防汛智能体应用功能-防汛智能体应用功能-防汛智能体应用功能-空间推理与分析模块-积水点态势搜索-空间索引构建</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将图片与具体摄像头位置关联，建立空间坐标索引，支持按区域回溯积水态势。</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407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AI智算和知识层-防汛智能体大模型-防汛智能体应用功能-防汛智能体应用功能-防汛智能体应用功能-空间推理与分析模块-积水点态势搜索-召回评估</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对搜索结果进行召回率评估，优化索引构建策略与搜索精度。</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408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AI智算和知识层-防汛智能体大模型-防汛智能体应用功能-防汛智能体应用功能-防汛智能体应用功能-空间推理与分析模块-积水点态势搜索-底层vllm部署及微调</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部署视觉-语言大模型（vllm），并对其进行微调，提升图文理解与描述能力。</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409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AI智算和知识层-防汛智能体大模型-防汛智能体应用功能-防汛智能体应用功能-防汛智能体应用功能-算力调度模块-算力动态调整-调度策略-实时气象预报数据结合</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实时获取气象预报数据，根据即将到来的强降雨情况动态调整算力分布优先级。</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410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AI智算和知识层-防汛智能体大模型-防汛智能体应用功能-防汛智能体应用功能-防汛智能体应用功能-算力调度模块-算力动态调整-调度策略-实时降雨数据结合</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结合“一镇一站”实时雨量数据，快速判断重点监测区域，触发智能体聚焦响应。</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411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AI智算和知识层-防汛智能体大模型-防汛智能体应用功能-防汛智能体应用功能-防汛智能体应用功能-算力调度模块-算力动态调整-调度策略-实时工单</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情况结合</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分析工单积压与热点</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区域，动态调整观测频率与智能体推理资源分配。</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412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AI智算和知识层-防汛智能体大模型-防汛智能体应用功能-防汛智能体应用功能-防汛智能体应用功能-算力调度模块-算力动态调整-调度策略-历史工单</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情况结合</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融合历史高频积水与</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点位，提升预置策略的前瞻性与资源部署合理性。</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413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AI智算和知识层-防汛智能体大模型-防汛智能体应用功能-防汛智能体应用功能-防汛智能体应用功能-算力调度模块-算力动态调整-调度引擎</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构建多因素决策机制，驱动城市范围内多级智能体算力资源实时调配。</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414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AI智算和知识层-防汛智能体大模型-防汛智能体应用功能-防汛智能体应用功能-防汛智能体应用功能-算力调度模块-算力动态调整-动态调度模拟仿真</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通过场景还原与仿真演练，验证算力调度策略在各类极端情况下的适应性与有效性。</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415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AI智算和知识层-防汛智能体大模型-防汛智能体应用功能-防汛智能体应用功能-防汛智能体应用功能-历史回溯与持续学习模块-街镇历史积水情况建模</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构建街镇级积水风险画像，融合历史积水频率、雨量分布与地势信息。</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416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AI智算和知识层-防汛智能体大模型-防汛智能体应用功能-防汛智能体应用功能-防汛智能体应用功能-历史回溯与持续学习模块-区域历史事实匹配</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支持当前积水事件与历史相似场景比对，提升响应策略推荐的科学性。</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417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AI智算和知识层-防汛智能体大模型-防汛智能体应用功能-防汛智能体应用功能-防汛智能体应用功能-历史回溯与持续学习模块-台风记录与选择</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支持按年份、路径、等级等维度检索台风事件，为回溯分析提供索引入口。</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418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AI智算和知识层-防汛智能体大模型-防汛智能体应用功能-防汛智能体应用功能-防汛智能体应用功能-历史回溯与持续学习模块-台风影响地图</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可视化呈现历史台风路径及其对应时间段全市积水、风雨强度等多维影响。</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419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AI智算和知识层-防汛智能体大模型-防汛智能体应用功能-防汛智能体应用功能-防汛智能体应用功能-历史回溯与持续学习模块-回溯时间轴</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构建台风登陆、最大风雨、离境等关键节点时间轴，支持逐时查看灾情演化。</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420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AI智算和知识层-防汛智能体大模型-防汛智能体应用功能-防汛智能体应用功能-防汛智能体应用功能-历史回溯与持续学习模块-历史积水回溯</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还原历次台风过程中的积水点发展轨迹，标注各时段水深变化与处理记录。</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421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AI智算和知识层-防汛智能体大模型-防汛智能体应用功能-防汛智能体应用功能-防汛智能体应用功能-历史回溯与持续学习模块-历史</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回溯</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分析历史灾情期间</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爆发节点、传播路径与公众关注重点，辅助总结传播规律。</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422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AI智算和知识层-防汛智能体大模型-防汛智能体应用功能-防汛智能体应用功能-防汛智能体应用功能-历史回溯与持续学习模块-其他事件回溯</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包括交通中断、泵车调度、六停等数据的时间轴追踪与事件链分析。</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423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AI智算和知识层-防汛智能体大模型-防汛智能体应用功能-防汛智能体应用功能-防汛智能体应用功能-历史回溯与持续学习模块-区域间关联分析</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对多个街镇在同一场台风下的响应效率、积水分布等进行交叉分析，挖掘规律。</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424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AI智算和知识层-防汛智能体大模型-防汛智能体应用功能-防汛智能体应用功能-防汛智能体应用功能-历史回溯与持续学习模块-区域详细总结</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自动生成区域级历史灾情总结报告，涵盖积水、响应、</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等维度。</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425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AI智算和知识层-防汛智能体大模型-防汛智能体应用功能-防汛智能体应用功能-防汛智能体应用功能-数据共享赋能模块-地图图层输出</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将各类智能体分析结果与原始感知数据以图层形式输出至地图平台。</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426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AI智算和知识层-防汛智能体大模型-防汛智能体应用功能-防汛智能体应用功能-防汛智能体应用功能-数据共享赋能模块-推荐与告警 API</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提供外部系统调用的接口服务，支持高风险点推荐与实时告警输出。</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427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AI智算和知识层-防汛智能体大模型-防汛智能体应用功能-防汛智能体应用功能-防汛智能体应用功能-数据共享赋能模块-实时 / 详情查询接口</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支持通过接口实时查询某一积水点或</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事件的详细演变信息。</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428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AI智算和知识层-防汛智能体大模型-防汛智能体应用功能-防汛智能体应用功能-防汛智能体应用功能-数据共享赋能模块-生命周期 / 时序回溯输出</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输出积水或</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事件的全过程结构化记录，支持回溯分析与外部展示。</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429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AI智算和知识层-防汛智能体大模型-防汛智能体应用功能-防汛智能体应用功能-防汛智能体应用功能-交互与显示模块-积水地图-精细化全市地图</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构建覆盖市、区、街镇三级的动态积水分布地图，实时显示风险点。</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430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AI智算和知识层-防汛智能体大模型-防汛智能体应用功能-防汛智能体应用功能-防汛智能体应用功能-交互与显示模块-积水地图-行政区划快捷导航</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支持按行政层级一键切换区域，快速定位关键积水区域。</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431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AI智算和知识层-防汛智能体大模型-防汛智能体应用功能-防汛智能体应用功能-防汛智能体应用功能-交互与显示模块-积水地图-数字化图层管理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支持叠加显示降雨、传感器、</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、泵站等多图层信息，提升可读性。</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432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AI智算和知识层-防汛智能体大模型-防汛智能体应用功能-防汛智能体应用功能-防汛智能体应用功能-交互与显示模块-积水地图-积水点位与详情</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展示每一个积水点的状态、快照、监测数据、响应记录等详细信息。</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433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AI智算和知识层-防汛智能体大模型-防汛智能体应用功能-防汛智能体应用功能-防汛智能体应用功能-交互与显示模块-积水地图-台风路径及降雨影响</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叠加台风实时路径与预报信息，展示其对城市降雨与积水的直接影响。</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434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AI智算和知识层-防汛智能体大模型-防汛智能体应用功能-防汛智能体应用功能-防汛智能体应用功能-交互与显示模块-积水地图-重点区域及设备设施</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标注泵站、易涝点、重要设施等位置信息，辅助应急判断与调度。</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435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AI智算和知识层-防汛智能体大模型-防汛智能体应用功能-防汛智能体应用功能-防汛智能体应用功能-交互与显示模块-积水地图-积水统计与区域排名</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提供不同区域积水数量、严重程度等统计数据及排名对比。</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436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AI智算和知识层-防汛智能体大模型-防汛智能体应用功能-防汛智能体应用功能-防汛智能体应用功能-交互与显示模块-积水地图-灾情滚动播报</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动态滚动展示各区域灾情摘要，供应急指挥快速掌握。</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437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AI智算和知识层-防汛智能体大模型-防汛智能体应用功能-防汛智能体应用功能-防汛智能体应用功能-交互与显示模块-智能体-智能体分析结果</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以图表和文字形式展示智能体对当前灾情的综合分析与判断。</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438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AI智算和知识层-防汛智能体大模型-防汛智能体应用功能-防汛智能体应用功能-防汛智能体应用功能-交互与显示模块-智能体-严重点位滚动播报</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滚动推送市级、区级、街镇级Top5严重点位及分析结果，便于快速响应。</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439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AI智算和知识层-防汛智能体大模型-防汛智能体应用功能-防汛智能体应用功能-防汛智能体应用功能-交互与显示模块-智能体-严重点位与详情</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点击严重点位查看其全生命周期状态与现场图像，辅助研判。</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440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AI智算和知识层-防汛智能体大模型-防汛智能体应用功能-防汛智能体应用功能-防汛智能体应用功能-交互与显示模块-</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核验-</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点位与详情</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展示每条</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事件的时间、地点、内容、验证状态及相关数据。</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441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AI智算和知识层-防汛智能体大模型-防汛智能体应用功能-防汛智能体应用功能-防汛智能体应用功能-交互与显示模块-</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核验-负面事件排行</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统计当日最具传播影响力或最严重的</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事件，进行聚焦展示。</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442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AI智算和知识层-防汛智能体大模型-防汛智能体应用功能-防汛智能体应用功能-防汛智能体应用功能-交互与显示模块-点位详情-智能体核验</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展示该点位智能体是否进行过核验及其结果。</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443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AI智算和知识层-防汛智能体大模型-防汛智能体应用功能-防汛智能体应用功能-防汛智能体应用功能-交互与显示模块-点位详情-重点关注指标</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展示如小时雨强、积水深度、时长等高关注指标，辅助判断。</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444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AI智算和知识层-防汛智能体大模型-防汛智能体应用功能-防汛智能体应用功能-防汛智能体应用功能-交互与显示模块-点位详情-泵站列表与状态</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展示点位周边泵站运行状态、流量与调度情况。</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445</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AI智算和知识层-防汛智能体大模型-防汛智能体应用功能-防汛智能体应用功能-防汛智能体应用功能-交互与显示模块-点位详情-</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详情</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列出与该点位相关的所有</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内容，支持逐条查看。</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446</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AI智算和知识层-防汛智能体大模型-防汛智能体应用功能-防汛智能体应用功能-防汛智能体应用功能-交互与显示模块-点位详情-积水详情</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展示该点积水过程的完整生命周期，含快照与结构化数据。</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447</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AI智算和知识层-防汛智能体大模型-防汛智能体应用功能-防汛智能体应用功能-防汛智能体应用功能-交互与显示模块-点位详情-智能体观察</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展示智能体针对该点位的推理结论与发展趋势判断。</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448</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AI智算和知识层-防汛智能体大模型-防汛智能体应用功能-防汛智能体应用功能-防汛智能体应用功能-交互与显示模块-点位详情-摄像头推荐列表</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推荐该点最优角度摄像头，供现场查看与核实使用。</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449</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AI智算和知识层-防汛智能体大模型-防汛智能体应用功能-防汛智能体应用功能-防汛智能体应用功能-交互与显示模块-点位详情-摄像头详情与时间轴</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展示摄像头快照与时间轴画面记录，支持追溯历史演变。</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450</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AI智算和知识层-防汛智能体大模型-防汛智能体应用功能-防汛智能体应用功能-防汛智能体应用功能-交互与显示模块-智能体与地图联动框架</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支持智能体生成结果与地图展示联动更新，提升使用效率。</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451</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AI智算和知识层-防汛智能体大模型-防汛智能体应用功能-防汛智能体应用功能-防汛智能体应用功能-交互与显示模块-多端显示UI功能适配</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支持PC端、大屏端、移动端的响应式适配，确保多端一致性。</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452</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AI智算和知识层-防汛智能体大模型-防汛智能体应用功能-防汛智能体应用功能-防汛智能体应用功能-交互与显示模块-与防汛大屏联调与UI适配</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对接城市防汛大屏UI展示需求，支持高亮渲染与多维展示。</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453</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AI智算和知识层-防汛智能体大模型-防汛智能体应用功能-防汛智能体应用功能-防汛智能体应用功能-系统运维与管理模块-后台管理页面-数据管理</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管理系统中积水、</w:t>
            </w:r>
            <w:r>
              <w:rPr>
                <w:rFonts w:hint="eastAsia" w:asciiTheme="majorEastAsia" w:hAnsiTheme="majorEastAsia" w:eastAsiaTheme="majorEastAsia" w:cstheme="majorEastAsia"/>
                <w:color w:val="000000"/>
                <w:kern w:val="0"/>
                <w:sz w:val="20"/>
                <w:szCs w:val="20"/>
                <w:lang w:eastAsia="zh-CN" w:bidi="ar"/>
              </w:rPr>
              <w:t>YQ</w:t>
            </w:r>
            <w:r>
              <w:rPr>
                <w:rFonts w:hint="eastAsia" w:asciiTheme="majorEastAsia" w:hAnsiTheme="majorEastAsia" w:eastAsiaTheme="majorEastAsia" w:cstheme="majorEastAsia"/>
                <w:color w:val="000000"/>
                <w:kern w:val="0"/>
                <w:sz w:val="20"/>
                <w:szCs w:val="20"/>
                <w:lang w:bidi="ar"/>
              </w:rPr>
              <w:t>、传感器等各类数据的增删查改与更新同步。</w:t>
            </w:r>
          </w:p>
        </w:tc>
      </w:tr>
      <w:tr>
        <w:tblPrEx>
          <w:tblCellMar>
            <w:top w:w="0" w:type="dxa"/>
            <w:left w:w="108" w:type="dxa"/>
            <w:bottom w:w="0" w:type="dxa"/>
            <w:right w:w="108" w:type="dxa"/>
          </w:tblCellMar>
        </w:tblPrEx>
        <w:trPr>
          <w:trHeight w:val="280" w:hRule="atLeast"/>
        </w:trPr>
        <w:tc>
          <w:tcPr>
            <w:tcW w:w="82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454</w:t>
            </w:r>
          </w:p>
        </w:tc>
        <w:tc>
          <w:tcPr>
            <w:tcW w:w="2401"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密码改造-密码改造-密码应用改造</w:t>
            </w:r>
          </w:p>
        </w:tc>
        <w:tc>
          <w:tcPr>
            <w:tcW w:w="490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asciiTheme="majorEastAsia" w:hAnsiTheme="majorEastAsia" w:eastAsiaTheme="majorEastAsia" w:cstheme="majorEastAsia"/>
                <w:color w:val="000000"/>
                <w:sz w:val="20"/>
                <w:szCs w:val="20"/>
              </w:rPr>
            </w:pPr>
            <w:r>
              <w:rPr>
                <w:rFonts w:hint="eastAsia" w:asciiTheme="majorEastAsia" w:hAnsiTheme="majorEastAsia" w:eastAsiaTheme="majorEastAsia" w:cstheme="majorEastAsia"/>
                <w:color w:val="000000"/>
                <w:kern w:val="0"/>
                <w:sz w:val="20"/>
                <w:szCs w:val="20"/>
                <w:lang w:bidi="ar"/>
              </w:rPr>
              <w:t>密码应用改造相关功能</w:t>
            </w:r>
          </w:p>
        </w:tc>
      </w:tr>
    </w:tbl>
    <w:p>
      <w:pPr>
        <w:rPr>
          <w:rFonts w:hint="eastAsia"/>
          <w:bCs/>
        </w:rPr>
      </w:pPr>
    </w:p>
    <w:p>
      <w:pPr>
        <w:numPr>
          <w:ilvl w:val="0"/>
          <w:numId w:val="3"/>
        </w:numPr>
        <w:rPr>
          <w:rFonts w:hint="eastAsia"/>
          <w:bCs/>
        </w:rPr>
      </w:pPr>
      <w:r>
        <w:rPr>
          <w:rFonts w:hint="eastAsia"/>
          <w:bCs/>
        </w:rPr>
        <w:t>产品软件明细：</w:t>
      </w:r>
    </w:p>
    <w:tbl>
      <w:tblPr>
        <w:tblStyle w:val="35"/>
        <w:tblW w:w="8587" w:type="dxa"/>
        <w:tblInd w:w="98" w:type="dxa"/>
        <w:tblLayout w:type="autofit"/>
        <w:tblCellMar>
          <w:top w:w="0" w:type="dxa"/>
          <w:left w:w="108" w:type="dxa"/>
          <w:bottom w:w="0" w:type="dxa"/>
          <w:right w:w="108" w:type="dxa"/>
        </w:tblCellMar>
      </w:tblPr>
      <w:tblGrid>
        <w:gridCol w:w="707"/>
        <w:gridCol w:w="2130"/>
        <w:gridCol w:w="4120"/>
        <w:gridCol w:w="780"/>
        <w:gridCol w:w="850"/>
      </w:tblGrid>
      <w:tr>
        <w:tblPrEx>
          <w:tblCellMar>
            <w:top w:w="0" w:type="dxa"/>
            <w:left w:w="108" w:type="dxa"/>
            <w:bottom w:w="0" w:type="dxa"/>
            <w:right w:w="108" w:type="dxa"/>
          </w:tblCellMar>
        </w:tblPrEx>
        <w:trPr>
          <w:trHeight w:val="280" w:hRule="atLeast"/>
        </w:trPr>
        <w:tc>
          <w:tcPr>
            <w:tcW w:w="707" w:type="dxa"/>
            <w:tcBorders>
              <w:top w:val="single" w:color="000000" w:sz="8" w:space="0"/>
              <w:left w:val="single" w:color="000000" w:sz="8"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宋体"/>
                <w:b/>
                <w:bCs/>
                <w:color w:val="000000"/>
                <w:sz w:val="22"/>
                <w:szCs w:val="22"/>
              </w:rPr>
            </w:pPr>
            <w:r>
              <w:rPr>
                <w:rFonts w:hint="eastAsia" w:cs="宋体"/>
                <w:b/>
                <w:bCs/>
                <w:color w:val="000000"/>
                <w:kern w:val="0"/>
                <w:sz w:val="22"/>
                <w:szCs w:val="22"/>
                <w:lang w:bidi="ar"/>
              </w:rPr>
              <w:t>序号</w:t>
            </w:r>
          </w:p>
        </w:tc>
        <w:tc>
          <w:tcPr>
            <w:tcW w:w="2130" w:type="dxa"/>
            <w:tcBorders>
              <w:top w:val="single" w:color="000000" w:sz="8"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宋体"/>
                <w:b/>
                <w:bCs/>
                <w:color w:val="000000"/>
                <w:sz w:val="22"/>
                <w:szCs w:val="22"/>
              </w:rPr>
            </w:pPr>
            <w:r>
              <w:rPr>
                <w:rFonts w:hint="eastAsia" w:cs="宋体"/>
                <w:b/>
                <w:bCs/>
                <w:color w:val="000000"/>
                <w:kern w:val="0"/>
                <w:sz w:val="22"/>
                <w:szCs w:val="22"/>
                <w:lang w:bidi="ar"/>
              </w:rPr>
              <w:t>产品名称</w:t>
            </w:r>
          </w:p>
        </w:tc>
        <w:tc>
          <w:tcPr>
            <w:tcW w:w="4120" w:type="dxa"/>
            <w:tcBorders>
              <w:top w:val="single" w:color="000000" w:sz="8"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宋体"/>
                <w:b/>
                <w:bCs/>
                <w:color w:val="000000"/>
                <w:sz w:val="22"/>
                <w:szCs w:val="22"/>
              </w:rPr>
            </w:pPr>
            <w:r>
              <w:rPr>
                <w:rFonts w:hint="eastAsia" w:cs="宋体"/>
                <w:b/>
                <w:bCs/>
                <w:color w:val="000000"/>
                <w:kern w:val="0"/>
                <w:sz w:val="22"/>
                <w:szCs w:val="22"/>
                <w:lang w:bidi="ar"/>
              </w:rPr>
              <w:t>产品配置</w:t>
            </w:r>
          </w:p>
        </w:tc>
        <w:tc>
          <w:tcPr>
            <w:tcW w:w="780" w:type="dxa"/>
            <w:tcBorders>
              <w:top w:val="single" w:color="000000" w:sz="8"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宋体"/>
                <w:b/>
                <w:bCs/>
                <w:color w:val="000000"/>
                <w:sz w:val="22"/>
                <w:szCs w:val="22"/>
              </w:rPr>
            </w:pPr>
            <w:r>
              <w:rPr>
                <w:rFonts w:hint="eastAsia" w:cs="宋体"/>
                <w:b/>
                <w:bCs/>
                <w:color w:val="000000"/>
                <w:kern w:val="0"/>
                <w:sz w:val="22"/>
                <w:szCs w:val="22"/>
                <w:lang w:bidi="ar"/>
              </w:rPr>
              <w:t>产品数量</w:t>
            </w:r>
          </w:p>
        </w:tc>
        <w:tc>
          <w:tcPr>
            <w:tcW w:w="850" w:type="dxa"/>
            <w:tcBorders>
              <w:top w:val="single" w:color="000000" w:sz="8" w:space="0"/>
              <w:left w:val="single" w:color="000000" w:sz="4" w:space="0"/>
              <w:bottom w:val="single" w:color="000000" w:sz="4" w:space="0"/>
              <w:right w:val="single" w:color="000000" w:sz="8" w:space="0"/>
            </w:tcBorders>
            <w:vAlign w:val="center"/>
          </w:tcPr>
          <w:p>
            <w:pPr>
              <w:widowControl/>
              <w:spacing w:line="240" w:lineRule="auto"/>
              <w:ind w:firstLine="0" w:firstLineChars="0"/>
              <w:jc w:val="center"/>
              <w:textAlignment w:val="center"/>
              <w:rPr>
                <w:rFonts w:hint="eastAsia" w:cs="宋体"/>
                <w:b/>
                <w:bCs/>
                <w:color w:val="000000"/>
                <w:sz w:val="22"/>
                <w:szCs w:val="22"/>
              </w:rPr>
            </w:pPr>
            <w:r>
              <w:rPr>
                <w:rFonts w:hint="eastAsia" w:cs="宋体"/>
                <w:b/>
                <w:bCs/>
                <w:color w:val="000000"/>
                <w:kern w:val="0"/>
                <w:sz w:val="22"/>
                <w:szCs w:val="22"/>
                <w:lang w:bidi="ar"/>
              </w:rPr>
              <w:t>保修年限</w:t>
            </w:r>
          </w:p>
        </w:tc>
      </w:tr>
      <w:tr>
        <w:tblPrEx>
          <w:tblCellMar>
            <w:top w:w="0" w:type="dxa"/>
            <w:left w:w="108" w:type="dxa"/>
            <w:bottom w:w="0" w:type="dxa"/>
            <w:right w:w="108" w:type="dxa"/>
          </w:tblCellMar>
        </w:tblPrEx>
        <w:trPr>
          <w:trHeight w:val="560" w:hRule="atLeast"/>
        </w:trPr>
        <w:tc>
          <w:tcPr>
            <w:tcW w:w="707" w:type="dxa"/>
            <w:tcBorders>
              <w:top w:val="single" w:color="000000" w:sz="4" w:space="0"/>
              <w:left w:val="single" w:color="000000" w:sz="8"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宋体"/>
                <w:color w:val="000000"/>
                <w:sz w:val="22"/>
                <w:szCs w:val="22"/>
              </w:rPr>
            </w:pPr>
            <w:r>
              <w:rPr>
                <w:rFonts w:hint="eastAsia" w:cs="宋体"/>
                <w:color w:val="000000"/>
                <w:kern w:val="0"/>
                <w:sz w:val="22"/>
                <w:szCs w:val="22"/>
                <w:lang w:bidi="ar"/>
              </w:rPr>
              <w:t>1</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color w:val="000000"/>
                <w:sz w:val="22"/>
                <w:szCs w:val="22"/>
              </w:rPr>
            </w:pPr>
            <w:r>
              <w:rPr>
                <w:rFonts w:hint="eastAsia" w:cs="宋体"/>
                <w:color w:val="000000"/>
                <w:kern w:val="0"/>
                <w:sz w:val="22"/>
                <w:szCs w:val="22"/>
                <w:lang w:bidi="ar"/>
              </w:rPr>
              <w:t>工具软件-空间智能机</w:t>
            </w:r>
          </w:p>
        </w:tc>
        <w:tc>
          <w:tcPr>
            <w:tcW w:w="412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color w:val="000000"/>
                <w:sz w:val="22"/>
                <w:szCs w:val="22"/>
              </w:rPr>
            </w:pPr>
            <w:r>
              <w:rPr>
                <w:rFonts w:hint="eastAsia" w:cs="宋体"/>
                <w:color w:val="000000"/>
                <w:sz w:val="22"/>
                <w:szCs w:val="22"/>
              </w:rPr>
              <w:t>空间智能机是面向城市空间感知与决策的核心基础设施，集成了多层次、全生命周期的智能体管理与时空计算能力，能够为各类应急响应与智能服务提供精细化支撑。其主要功能包括：</w:t>
            </w:r>
          </w:p>
          <w:p>
            <w:pPr>
              <w:widowControl/>
              <w:spacing w:line="240" w:lineRule="auto"/>
              <w:ind w:firstLine="0" w:firstLineChars="0"/>
              <w:jc w:val="left"/>
              <w:textAlignment w:val="center"/>
              <w:rPr>
                <w:rFonts w:hint="eastAsia" w:cs="宋体"/>
                <w:color w:val="000000"/>
                <w:sz w:val="22"/>
                <w:szCs w:val="22"/>
              </w:rPr>
            </w:pPr>
            <w:r>
              <w:rPr>
                <w:rFonts w:hint="eastAsia" w:cs="宋体"/>
                <w:color w:val="000000"/>
                <w:sz w:val="22"/>
                <w:szCs w:val="22"/>
              </w:rPr>
              <w:t>1、智能体统一管理：支持防汛等多类型智能体的动态创建、快速部署与销毁，提供全生命周期监控、配置与协同调度，确保各区域智能体灵活协作、稳定运行。</w:t>
            </w:r>
          </w:p>
          <w:p>
            <w:pPr>
              <w:widowControl/>
              <w:spacing w:line="240" w:lineRule="auto"/>
              <w:ind w:firstLine="0" w:firstLineChars="0"/>
              <w:jc w:val="left"/>
              <w:textAlignment w:val="center"/>
              <w:rPr>
                <w:rFonts w:hint="eastAsia" w:cs="宋体"/>
                <w:color w:val="000000"/>
                <w:sz w:val="22"/>
                <w:szCs w:val="22"/>
              </w:rPr>
            </w:pPr>
            <w:r>
              <w:rPr>
                <w:rFonts w:hint="eastAsia" w:cs="宋体"/>
                <w:color w:val="000000"/>
                <w:sz w:val="22"/>
                <w:szCs w:val="22"/>
              </w:rPr>
              <w:t>2、世界模型构建：基于三维空间结构与多模态数据，精确识别建筑、道路、水域等实体，并通过时空融合推理实现积水演变过程及风险源头的关联分析。</w:t>
            </w:r>
          </w:p>
          <w:p>
            <w:pPr>
              <w:widowControl/>
              <w:spacing w:line="240" w:lineRule="auto"/>
              <w:ind w:firstLine="0" w:firstLineChars="0"/>
              <w:jc w:val="left"/>
              <w:textAlignment w:val="center"/>
              <w:rPr>
                <w:rFonts w:hint="eastAsia" w:cs="宋体"/>
                <w:color w:val="000000"/>
                <w:sz w:val="22"/>
                <w:szCs w:val="22"/>
              </w:rPr>
            </w:pPr>
            <w:r>
              <w:rPr>
                <w:rFonts w:hint="eastAsia" w:cs="宋体"/>
                <w:color w:val="000000"/>
                <w:sz w:val="22"/>
                <w:szCs w:val="22"/>
              </w:rPr>
              <w:t>3、时空计算内核：内置STG时空图引擎，利用MVRTREE索引与高效压缩算法，支持海量空间事件的实时热力查询、历史轨迹回放与趋势预测，保障数据检索的高性能与低时延。</w:t>
            </w:r>
          </w:p>
          <w:p>
            <w:pPr>
              <w:widowControl/>
              <w:spacing w:line="240" w:lineRule="auto"/>
              <w:ind w:firstLine="0" w:firstLineChars="0"/>
              <w:jc w:val="left"/>
              <w:textAlignment w:val="center"/>
              <w:rPr>
                <w:rFonts w:hint="eastAsia" w:cs="宋体"/>
                <w:color w:val="000000"/>
                <w:sz w:val="22"/>
                <w:szCs w:val="22"/>
              </w:rPr>
            </w:pPr>
            <w:r>
              <w:rPr>
                <w:rFonts w:hint="eastAsia" w:cs="宋体"/>
                <w:color w:val="000000"/>
                <w:sz w:val="22"/>
                <w:szCs w:val="22"/>
              </w:rPr>
              <w:t>4、实时数据数字化：接入视频、点云、GeoJSON等多源数据，实时开展人流轨迹分析、场景深度融合与设备联动，形成动态沙盒视图，助力应急指挥与资源调度。</w:t>
            </w:r>
          </w:p>
          <w:p>
            <w:pPr>
              <w:widowControl/>
              <w:spacing w:line="240" w:lineRule="auto"/>
              <w:ind w:firstLine="0" w:firstLineChars="0"/>
              <w:jc w:val="left"/>
              <w:textAlignment w:val="center"/>
              <w:rPr>
                <w:rFonts w:hint="eastAsia" w:cs="宋体"/>
                <w:color w:val="000000"/>
                <w:sz w:val="22"/>
                <w:szCs w:val="22"/>
              </w:rPr>
            </w:pPr>
            <w:r>
              <w:rPr>
                <w:rFonts w:hint="eastAsia" w:cs="宋体"/>
                <w:color w:val="000000"/>
                <w:sz w:val="22"/>
                <w:szCs w:val="22"/>
              </w:rPr>
              <w:t>5、自主持续学习：系统可根据本地环境进行模型微调与增量训练，不断优化积水监测、风险评估与事件预测的准确度与灵敏度，实现智能体能力的自适应迭代。</w:t>
            </w:r>
          </w:p>
          <w:p>
            <w:pPr>
              <w:widowControl/>
              <w:spacing w:line="240" w:lineRule="auto"/>
              <w:ind w:firstLine="0" w:firstLineChars="0"/>
              <w:jc w:val="left"/>
              <w:textAlignment w:val="center"/>
              <w:rPr>
                <w:rFonts w:hint="eastAsia" w:cs="宋体"/>
                <w:color w:val="000000"/>
                <w:sz w:val="22"/>
                <w:szCs w:val="22"/>
              </w:rPr>
            </w:pPr>
            <w:r>
              <w:rPr>
                <w:rFonts w:hint="eastAsia" w:cs="宋体"/>
                <w:color w:val="000000"/>
                <w:sz w:val="22"/>
                <w:szCs w:val="22"/>
              </w:rPr>
              <w:t>6、通过上述功能，空间智能机为防汛场景提供了从底层数据融合到高层决策支持的完整解决方案，为防汛智能体的高效运行提供了坚实的技术支撑，大幅提升了感知精度与响应效率，使城市在极端天气下具备“全域感知、精准发现、智能响应、持续优化”的综合防汛能力。</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宋体"/>
                <w:color w:val="000000"/>
                <w:sz w:val="22"/>
                <w:szCs w:val="22"/>
              </w:rPr>
            </w:pPr>
            <w:r>
              <w:rPr>
                <w:rFonts w:hint="eastAsia" w:cs="宋体"/>
                <w:color w:val="000000"/>
                <w:kern w:val="0"/>
                <w:sz w:val="22"/>
                <w:szCs w:val="22"/>
                <w:lang w:bidi="ar"/>
              </w:rPr>
              <w:t>10</w:t>
            </w:r>
          </w:p>
        </w:tc>
        <w:tc>
          <w:tcPr>
            <w:tcW w:w="850" w:type="dxa"/>
            <w:tcBorders>
              <w:top w:val="single" w:color="000000" w:sz="4" w:space="0"/>
              <w:left w:val="single" w:color="000000" w:sz="4" w:space="0"/>
              <w:bottom w:val="single" w:color="000000" w:sz="4" w:space="0"/>
              <w:right w:val="single" w:color="000000" w:sz="8" w:space="0"/>
            </w:tcBorders>
            <w:vAlign w:val="center"/>
          </w:tcPr>
          <w:p>
            <w:pPr>
              <w:widowControl/>
              <w:spacing w:line="240" w:lineRule="auto"/>
              <w:ind w:firstLine="0" w:firstLineChars="0"/>
              <w:jc w:val="center"/>
              <w:textAlignment w:val="center"/>
              <w:rPr>
                <w:rFonts w:hint="eastAsia" w:cs="宋体"/>
                <w:color w:val="000000"/>
                <w:sz w:val="22"/>
                <w:szCs w:val="22"/>
              </w:rPr>
            </w:pPr>
            <w:r>
              <w:rPr>
                <w:rFonts w:hint="eastAsia" w:cs="宋体"/>
                <w:color w:val="000000"/>
                <w:kern w:val="0"/>
                <w:sz w:val="22"/>
                <w:szCs w:val="22"/>
                <w:lang w:bidi="ar"/>
              </w:rPr>
              <w:t>1</w:t>
            </w:r>
          </w:p>
        </w:tc>
      </w:tr>
    </w:tbl>
    <w:p>
      <w:pPr>
        <w:ind w:firstLine="0" w:firstLineChars="0"/>
        <w:rPr>
          <w:rFonts w:hint="eastAsia"/>
          <w:bCs/>
        </w:rPr>
      </w:pPr>
    </w:p>
    <w:p>
      <w:pPr>
        <w:numPr>
          <w:ilvl w:val="0"/>
          <w:numId w:val="3"/>
        </w:numPr>
        <w:rPr>
          <w:rFonts w:hint="eastAsia"/>
          <w:bCs/>
        </w:rPr>
      </w:pPr>
      <w:r>
        <w:rPr>
          <w:rFonts w:hint="eastAsia"/>
          <w:bCs/>
        </w:rPr>
        <w:t>本项目系统集成相关内容：</w:t>
      </w:r>
    </w:p>
    <w:p>
      <w:pPr>
        <w:ind w:firstLine="0" w:firstLineChars="0"/>
        <w:rPr>
          <w:rFonts w:hint="eastAsia"/>
          <w:bCs/>
        </w:rPr>
      </w:pPr>
      <w:r>
        <w:rPr>
          <w:rFonts w:hint="eastAsia"/>
          <w:bCs/>
        </w:rPr>
        <w:t xml:space="preserve">    负责本项目的系统集成，相关工具软件的部署，安装，调试，满足智慧防汛及调度管理子系统的相关要求。</w:t>
      </w:r>
    </w:p>
    <w:p>
      <w:pPr>
        <w:rPr>
          <w:rFonts w:hint="eastAsia"/>
          <w:bCs/>
        </w:rPr>
      </w:pPr>
    </w:p>
    <w:p>
      <w:pPr>
        <w:pStyle w:val="2"/>
      </w:pPr>
      <w:bookmarkStart w:id="18" w:name="_Toc63785503"/>
      <w:r>
        <w:rPr>
          <w:rFonts w:hint="eastAsia"/>
        </w:rPr>
        <w:t>其他工作要求</w:t>
      </w:r>
      <w:bookmarkEnd w:id="18"/>
    </w:p>
    <w:p>
      <w:pPr>
        <w:keepNext/>
        <w:keepLines/>
        <w:numPr>
          <w:ilvl w:val="1"/>
          <w:numId w:val="4"/>
        </w:numPr>
        <w:tabs>
          <w:tab w:val="left" w:pos="360"/>
        </w:tabs>
        <w:spacing w:before="120" w:line="240" w:lineRule="auto"/>
        <w:ind w:left="0" w:firstLine="0" w:firstLineChars="0"/>
        <w:outlineLvl w:val="1"/>
        <w:rPr>
          <w:rFonts w:ascii="仿宋" w:hAnsi="仿宋" w:eastAsia="仿宋"/>
          <w:b/>
          <w:vanish/>
          <w:color w:val="000000"/>
          <w:sz w:val="28"/>
          <w:szCs w:val="20"/>
        </w:rPr>
      </w:pPr>
      <w:bookmarkStart w:id="19" w:name="_Toc62209488"/>
      <w:bookmarkEnd w:id="19"/>
      <w:bookmarkStart w:id="20" w:name="_Toc63151871"/>
      <w:bookmarkEnd w:id="20"/>
      <w:bookmarkStart w:id="21" w:name="_Toc62219358"/>
      <w:bookmarkEnd w:id="21"/>
      <w:bookmarkStart w:id="22" w:name="_Toc63785439"/>
      <w:bookmarkEnd w:id="22"/>
      <w:bookmarkStart w:id="23" w:name="_Toc61968111"/>
      <w:bookmarkEnd w:id="23"/>
      <w:bookmarkStart w:id="24" w:name="_Toc63785504"/>
      <w:bookmarkEnd w:id="24"/>
      <w:bookmarkStart w:id="25" w:name="_Toc63585480"/>
      <w:bookmarkEnd w:id="25"/>
      <w:bookmarkStart w:id="26" w:name="_Toc63762370"/>
      <w:bookmarkEnd w:id="26"/>
    </w:p>
    <w:p>
      <w:pPr>
        <w:pStyle w:val="3"/>
      </w:pPr>
      <w:bookmarkStart w:id="27" w:name="_Toc63785505"/>
      <w:r>
        <w:rPr>
          <w:rFonts w:hint="eastAsia"/>
        </w:rPr>
        <w:t>售后服务要求</w:t>
      </w:r>
      <w:bookmarkEnd w:id="27"/>
    </w:p>
    <w:p>
      <w:pPr>
        <w:pStyle w:val="106"/>
        <w:snapToGrid w:val="0"/>
        <w:spacing w:line="360" w:lineRule="auto"/>
        <w:ind w:firstLine="480"/>
        <w:rPr>
          <w:rFonts w:ascii="宋体" w:hAnsi="宋体"/>
          <w:sz w:val="24"/>
          <w:szCs w:val="24"/>
        </w:rPr>
      </w:pPr>
      <w:r>
        <w:rPr>
          <w:rFonts w:hint="eastAsia" w:ascii="宋体" w:hAnsi="宋体"/>
          <w:sz w:val="24"/>
          <w:szCs w:val="24"/>
        </w:rPr>
        <w:t>本项目从系统验收通过之日起1年内提供</w:t>
      </w:r>
      <w:r>
        <w:rPr>
          <w:rFonts w:ascii="宋体" w:hAnsi="宋体"/>
          <w:sz w:val="24"/>
          <w:szCs w:val="24"/>
        </w:rPr>
        <w:t>7*24小时免费技术支持</w:t>
      </w:r>
      <w:r>
        <w:rPr>
          <w:rFonts w:hint="eastAsia" w:ascii="宋体" w:hAnsi="宋体"/>
          <w:sz w:val="24"/>
          <w:szCs w:val="24"/>
        </w:rPr>
        <w:t>和售后服务，1年后进入有偿维护期。</w:t>
      </w:r>
    </w:p>
    <w:p>
      <w:pPr>
        <w:pStyle w:val="106"/>
        <w:snapToGrid w:val="0"/>
        <w:spacing w:line="360" w:lineRule="auto"/>
        <w:ind w:firstLine="480"/>
        <w:rPr>
          <w:rFonts w:ascii="宋体" w:hAnsi="宋体"/>
          <w:sz w:val="24"/>
          <w:szCs w:val="24"/>
        </w:rPr>
      </w:pPr>
      <w:r>
        <w:rPr>
          <w:rFonts w:hint="eastAsia" w:ascii="宋体" w:hAnsi="宋体"/>
          <w:sz w:val="24"/>
          <w:szCs w:val="24"/>
        </w:rPr>
        <w:t>在质量保证期内，供应商将按照售后服务的承诺提供保修和运行维护服务，如果厂商对信息系统中软、硬件设备等产品中的部分保修期超过上述期限的，则按照厂商的规定进行免费保修。</w:t>
      </w:r>
    </w:p>
    <w:p>
      <w:pPr>
        <w:pStyle w:val="106"/>
        <w:snapToGrid w:val="0"/>
        <w:spacing w:line="360" w:lineRule="auto"/>
        <w:ind w:firstLine="480"/>
        <w:rPr>
          <w:rFonts w:hint="eastAsia" w:ascii="宋体" w:hAnsi="宋体" w:eastAsia="宋体" w:cs="Times New Roman"/>
          <w:bCs w:val="0"/>
          <w:kern w:val="2"/>
          <w:sz w:val="24"/>
          <w:szCs w:val="24"/>
          <w:lang w:val="en-US" w:eastAsia="zh-CN" w:bidi="ar-SA"/>
        </w:rPr>
      </w:pPr>
      <w:r>
        <w:rPr>
          <w:rFonts w:hint="eastAsia" w:ascii="宋体" w:hAnsi="宋体"/>
          <w:sz w:val="24"/>
          <w:szCs w:val="24"/>
          <w:lang w:val="en-US" w:eastAsia="zh-CN"/>
        </w:rPr>
        <w:t>在质量保证期内，供应商负责信息系统的运行维护工作，确保信息系统安全、稳定、可靠地运行。本项目涉及的运行维护工作范围为：智慧防汛及调度管理子系统建设</w:t>
      </w:r>
      <w:r>
        <w:rPr>
          <w:rFonts w:hint="eastAsia" w:ascii="宋体" w:hAnsi="宋体" w:eastAsia="宋体" w:cs="Times New Roman"/>
          <w:bCs w:val="0"/>
          <w:kern w:val="2"/>
          <w:sz w:val="24"/>
          <w:szCs w:val="24"/>
          <w:lang w:val="en-US" w:eastAsia="zh-CN" w:bidi="ar-SA"/>
        </w:rPr>
        <w:t>项目</w:t>
      </w:r>
      <w:r>
        <w:rPr>
          <w:rFonts w:hint="eastAsia" w:ascii="宋体" w:hAnsi="宋体" w:cs="Times New Roman"/>
          <w:bCs w:val="0"/>
          <w:kern w:val="2"/>
          <w:sz w:val="24"/>
          <w:szCs w:val="24"/>
          <w:lang w:val="en-US" w:eastAsia="zh-CN" w:bidi="ar-SA"/>
        </w:rPr>
        <w:t>所涉及相关软件开发及产品软件</w:t>
      </w:r>
      <w:r>
        <w:rPr>
          <w:rFonts w:hint="eastAsia" w:ascii="宋体" w:hAnsi="宋体" w:eastAsia="宋体" w:cs="Times New Roman"/>
          <w:bCs w:val="0"/>
          <w:kern w:val="2"/>
          <w:sz w:val="24"/>
          <w:szCs w:val="24"/>
          <w:lang w:val="en-US" w:eastAsia="zh-CN" w:bidi="ar-SA"/>
        </w:rPr>
        <w:t>。</w:t>
      </w:r>
    </w:p>
    <w:p>
      <w:pPr>
        <w:pStyle w:val="3"/>
      </w:pPr>
      <w:bookmarkStart w:id="28" w:name="_Toc63785506"/>
      <w:r>
        <w:rPr>
          <w:rFonts w:hint="eastAsia"/>
        </w:rPr>
        <w:t>应急响应要求</w:t>
      </w:r>
      <w:bookmarkEnd w:id="28"/>
    </w:p>
    <w:p>
      <w:pPr>
        <w:spacing w:line="600" w:lineRule="exact"/>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供应商对系统故障应能够实时响应，若系统发生故障，接到通知后30分钟之内响应，专业工程师2小时内到达现场。特殊故障与采购人沟通协商后，按照协商的方式制定解决方案并进行处理。</w:t>
      </w:r>
    </w:p>
    <w:p>
      <w:pPr>
        <w:spacing w:line="600" w:lineRule="exact"/>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具体故障级别及对应的应急响应要求如下：</w:t>
      </w:r>
    </w:p>
    <w:p>
      <w:pPr>
        <w:spacing w:line="600" w:lineRule="exact"/>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一级故障：在1小时内确诊，总故障解决时间不超过4小时。</w:t>
      </w:r>
    </w:p>
    <w:p>
      <w:pPr>
        <w:spacing w:line="600" w:lineRule="exact"/>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二级故障：在2小时内确诊，并在4小时内由专家到达现场确诊并解决，总故障解决时间不超过8小时；</w:t>
      </w:r>
    </w:p>
    <w:p>
      <w:pPr>
        <w:spacing w:line="600" w:lineRule="exact"/>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三、四级故障：在4小时内确诊故障，总故障解决时间不超过16小时。</w:t>
      </w:r>
    </w:p>
    <w:p>
      <w:pPr>
        <w:spacing w:line="600" w:lineRule="exact"/>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依据故障时间及故障范围划分故障级别，故障级别分为四级，依次为Ⅰ级（紧急）、Ⅱ级（严重）、Ⅲ级（较大）和Ⅳ级（一般），分别定义如下：</w:t>
      </w:r>
    </w:p>
    <w:p>
      <w:pPr>
        <w:spacing w:line="600" w:lineRule="exact"/>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Ⅰ级（紧急）故障为工作时间段（8:30——17:30）内大范围故障；</w:t>
      </w:r>
    </w:p>
    <w:p>
      <w:pPr>
        <w:spacing w:line="600" w:lineRule="exact"/>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Ⅱ级（严重）故障为非工作时间段（17:30——次日8:30）内大范围故障；</w:t>
      </w:r>
    </w:p>
    <w:p>
      <w:pPr>
        <w:spacing w:line="600" w:lineRule="exact"/>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Ⅲ级（较大）故障为工作时间段（8:30——17:30）内小范围故障；</w:t>
      </w:r>
    </w:p>
    <w:p>
      <w:pPr>
        <w:spacing w:line="600" w:lineRule="exact"/>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Ⅳ级（一般）故障为非工作时间段（17:30——次日8:30）内小范围故障；</w:t>
      </w:r>
    </w:p>
    <w:p>
      <w:pPr>
        <w:pStyle w:val="3"/>
        <w:rPr>
          <w:rFonts w:hint="eastAsia"/>
          <w:lang w:val="en-US" w:eastAsia="zh-CN"/>
        </w:rPr>
      </w:pPr>
      <w:r>
        <w:rPr>
          <w:rFonts w:hint="eastAsia"/>
          <w:lang w:val="en-US" w:eastAsia="zh-CN"/>
        </w:rPr>
        <w:t>网络与数据安全</w:t>
      </w:r>
    </w:p>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(1)供应商应在项目深化设计阶段，应开展安全需求调研和数据分类分级工作，制定网络和数据安全设计方案，制定总体安全技术架构，明确边界防护、访问控制、权限管理、系统安全配置、身份鉴别、入侵防范等系统安全防护措施，制定差异化的数据安全防护手段，确保数据全生命周期安全。</w:t>
      </w:r>
    </w:p>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(2)供应商应配合采购人开展相关安全制度和规范的制定，并根据项目实际，制定项目实施过程安全管理方案。</w:t>
      </w:r>
    </w:p>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(3)供应商应确保所提供的软件产品和定制开发内容所涉及的供应链满足采购人的管理要求，提供供应链物料清单，落实供应链安全控制措施，包括代码安全检测和质量评估、漏洞扫描、第三方组件评估等工作，并于系统上线前，完成信息化资产的梳理。</w:t>
      </w:r>
    </w:p>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(4)供应商应在项目实施过程中，推动安全开发控制工作的实施，按照安全设计方案和采购人安全开发要求，落实安全开发规范，确保代码质量和安全性。供应商应确保系统开发及生产环境安全，落实安全管理策略及安全配置。</w:t>
      </w:r>
    </w:p>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(5)供应商应在项目实施过程中，按照数据差异化安全防护策略，根据系统需要采取数据加密、数据访问控制、日志记录、流转监测等防护能力及相关管理流程，切实保障数据安全。</w:t>
      </w:r>
    </w:p>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(6)供应商应按照采购人场地及人员安全管理制度，加强人员管理，配合采购人落实人员背调、入离场、终端管理、网络限制、数据权限最小化等管控措施。</w:t>
      </w:r>
    </w:p>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(7)供应商应于系统上线部署前对系统运行环境、应用软件等开展安全自查，并于项目初验及系统试运行阶段，配合采购人开展安测、密测、等保、密评、数据安全风险评估等系列安全测试、评估工作，针对发现的问题及时完成整改，确保系统上线安全。</w:t>
      </w:r>
    </w:p>
    <w:p>
      <w:pP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(8)供应商应在系统免维期内承担系统安全运维管理责任，落实安全管理保障措施，包括但不限于制度修订、风险排查、应急响应、漏洞修复、重保等工作。</w:t>
      </w:r>
    </w:p>
    <w:p>
      <w:pPr>
        <w:pStyle w:val="3"/>
      </w:pPr>
      <w:bookmarkStart w:id="29" w:name="_Toc63785507"/>
      <w:r>
        <w:rPr>
          <w:rFonts w:hint="eastAsia"/>
        </w:rPr>
        <w:t>培训要求</w:t>
      </w:r>
      <w:bookmarkEnd w:id="29"/>
    </w:p>
    <w:p>
      <w:r>
        <w:rPr>
          <w:rFonts w:hint="eastAsia"/>
        </w:rPr>
        <w:t>对系统使用单位提供业务操作培训，应提供详细培训方案。</w:t>
      </w:r>
    </w:p>
    <w:p>
      <w:r>
        <w:rPr>
          <w:rFonts w:hint="eastAsia"/>
        </w:rPr>
        <w:t>(1)在12个月的质量保证期内，提供2次与项目相关的必要培训。</w:t>
      </w:r>
    </w:p>
    <w:p>
      <w:r>
        <w:rPr>
          <w:rFonts w:hint="eastAsia"/>
        </w:rPr>
        <w:t>(2)供应商需要开展分层次的人员培训工作，每次培训后应对参加培训人员进行测试，评估培训成果。培训应具有培训教材、培训环境和高水平的培训讲师。</w:t>
      </w:r>
    </w:p>
    <w:p>
      <w:r>
        <w:rPr>
          <w:rFonts w:hint="eastAsia"/>
        </w:rPr>
        <w:t>(3)供应商应提供一般用户的基础操作培训和部门信息管理员的日常应用维护的培训，确保用户对象能够掌握对应的操作技能。</w:t>
      </w:r>
    </w:p>
    <w:p>
      <w:pPr>
        <w:pStyle w:val="3"/>
      </w:pPr>
      <w:bookmarkStart w:id="30" w:name="_Toc63785508"/>
      <w:r>
        <w:rPr>
          <w:rFonts w:hint="eastAsia"/>
        </w:rPr>
        <w:t>验收要求</w:t>
      </w:r>
      <w:bookmarkEnd w:id="30"/>
    </w:p>
    <w:p>
      <w:pPr>
        <w:rPr>
          <w:szCs w:val="21"/>
        </w:rPr>
      </w:pPr>
      <w:r>
        <w:rPr>
          <w:rFonts w:hint="eastAsia"/>
          <w:szCs w:val="21"/>
        </w:rPr>
        <w:t>本项目按下述方式开展验收。</w:t>
      </w:r>
    </w:p>
    <w:p>
      <w:pPr>
        <w:rPr>
          <w:szCs w:val="21"/>
        </w:rPr>
      </w:pPr>
      <w:r>
        <w:rPr>
          <w:rFonts w:hint="eastAsia"/>
          <w:szCs w:val="21"/>
        </w:rPr>
        <w:t>（</w:t>
      </w:r>
      <w:r>
        <w:rPr>
          <w:szCs w:val="21"/>
        </w:rPr>
        <w:t>1）验收分初验和终验。</w:t>
      </w:r>
    </w:p>
    <w:p>
      <w:pPr>
        <w:rPr>
          <w:szCs w:val="21"/>
        </w:rPr>
      </w:pPr>
      <w:r>
        <w:rPr>
          <w:rFonts w:hint="eastAsia"/>
          <w:szCs w:val="21"/>
        </w:rPr>
        <w:t>（</w:t>
      </w:r>
      <w:r>
        <w:rPr>
          <w:szCs w:val="21"/>
        </w:rPr>
        <w:t>2）初验前，供应商须完成软件开发、软硬件安装和信息系统的调试等，并对本项目进行功能和运行检测，确保所有信息系统功能模块能够正常运行且已达到本项目约定的各类标准要求。供应商应以书面形式向招标方递交初验通知书。招标方应当在接到通知后的5个工作日内确定初验的具体日期，由双方按照本项目的约定完成本项目的初验。招标方有权委托第三方检测机构进行验收，对此供应商应当配合。</w:t>
      </w:r>
    </w:p>
    <w:p>
      <w:pPr>
        <w:rPr>
          <w:szCs w:val="21"/>
        </w:rPr>
      </w:pPr>
      <w:r>
        <w:rPr>
          <w:rFonts w:hint="eastAsia"/>
          <w:szCs w:val="21"/>
        </w:rPr>
        <w:t>（</w:t>
      </w:r>
      <w:r>
        <w:rPr>
          <w:szCs w:val="21"/>
        </w:rPr>
        <w:t>3）初验时，供应商须提供软件文档包括《用户需求说明书》、《系统概要设计说明书》、《系统详细设计说明书》、</w:t>
      </w:r>
      <w:r>
        <w:rPr>
          <w:rFonts w:hint="eastAsia"/>
          <w:szCs w:val="21"/>
        </w:rPr>
        <w:t>《三方功能需求确认单》、</w:t>
      </w:r>
      <w:r>
        <w:rPr>
          <w:szCs w:val="21"/>
        </w:rPr>
        <w:t>《测试报告》、《用户使用手册》、《系统部署文档》等）及可安装的程序运行文件。所交付的文档与文件应当是可供自然人阅读的书面和电子文档。软件文档及可安装的程序运行文件验收通过后，视为初验通过。如有缺陷，招标方应向供应商出具书面报告，陈述需要改进的缺陷。供应商应立即严格依照招标方的书面报告中的要求改进缺陷，并再次进行初验。</w:t>
      </w:r>
    </w:p>
    <w:p>
      <w:pPr>
        <w:rPr>
          <w:szCs w:val="21"/>
        </w:rPr>
      </w:pPr>
      <w:r>
        <w:rPr>
          <w:rFonts w:hint="eastAsia"/>
          <w:szCs w:val="21"/>
        </w:rPr>
        <w:t>（</w:t>
      </w:r>
      <w:r>
        <w:rPr>
          <w:szCs w:val="21"/>
        </w:rPr>
        <w:t>4）自初验通过之日起，招标方享有供应商免费提供的</w:t>
      </w:r>
      <w:r>
        <w:rPr>
          <w:rFonts w:hint="eastAsia"/>
          <w:szCs w:val="21"/>
          <w:lang w:val="en-US" w:eastAsia="zh"/>
        </w:rPr>
        <w:t>90</w:t>
      </w:r>
      <w:r>
        <w:rPr>
          <w:szCs w:val="21"/>
        </w:rPr>
        <w:t>天的信息系统试运行现场驻场服务期。该期间内，供应商应当按照招标方的要求提供现场技术支持服务，解决信息系统试运行期间可能出现的各类问题，或进一步提高与完善信息系统运行水平。</w:t>
      </w:r>
    </w:p>
    <w:p>
      <w:pPr>
        <w:rPr>
          <w:szCs w:val="21"/>
        </w:rPr>
      </w:pPr>
      <w:r>
        <w:rPr>
          <w:rFonts w:hint="eastAsia"/>
          <w:szCs w:val="21"/>
        </w:rPr>
        <w:t>（</w:t>
      </w:r>
      <w:r>
        <w:rPr>
          <w:szCs w:val="21"/>
        </w:rPr>
        <w:t>5）初验通过且信息系统试运行期已经达到本项目约定的时间，经供应商确认信息系统具备正常运行条件，且信息系统通过运行测试，供应商应以书面形式通知招标方信息系统已准备就绪等待终验。招标方在收到终验通知后的</w:t>
      </w:r>
      <w:r>
        <w:rPr>
          <w:rFonts w:hint="eastAsia"/>
          <w:szCs w:val="21"/>
          <w:lang w:val="en-US" w:eastAsia="zh"/>
        </w:rPr>
        <w:t>10</w:t>
      </w:r>
      <w:r>
        <w:rPr>
          <w:szCs w:val="21"/>
        </w:rPr>
        <w:t>个工作日内发起组织专家验收会。</w:t>
      </w:r>
    </w:p>
    <w:p>
      <w:pPr>
        <w:rPr>
          <w:szCs w:val="21"/>
        </w:rPr>
      </w:pPr>
      <w:r>
        <w:rPr>
          <w:rFonts w:hint="eastAsia"/>
          <w:szCs w:val="21"/>
        </w:rPr>
        <w:t>（6</w:t>
      </w:r>
      <w:r>
        <w:rPr>
          <w:szCs w:val="21"/>
        </w:rPr>
        <w:t>）如果属于供应商原因致使本项目未能通过终验，供应商应当排除缺陷，直至本项目完全符合验收标准，由上述情形而产生的相关费用应由供应商自行承担。</w:t>
      </w:r>
    </w:p>
    <w:p>
      <w:pPr>
        <w:rPr>
          <w:szCs w:val="21"/>
        </w:rPr>
      </w:pPr>
      <w:r>
        <w:rPr>
          <w:rFonts w:hint="eastAsia"/>
          <w:szCs w:val="21"/>
        </w:rPr>
        <w:t>（7</w:t>
      </w:r>
      <w:r>
        <w:rPr>
          <w:szCs w:val="21"/>
        </w:rPr>
        <w:t>）如果由于招标方原因导致本项目在终验通过前出现故障或问题，供应商应及时配合排除该方面的故障或问题。</w:t>
      </w:r>
    </w:p>
    <w:p>
      <w:pPr>
        <w:rPr>
          <w:szCs w:val="21"/>
        </w:rPr>
      </w:pPr>
      <w:r>
        <w:rPr>
          <w:rFonts w:hint="eastAsia"/>
          <w:szCs w:val="21"/>
        </w:rPr>
        <w:t>（8</w:t>
      </w:r>
      <w:r>
        <w:rPr>
          <w:szCs w:val="21"/>
        </w:rPr>
        <w:t>）如本项目连续3次验收未通过（含初验未通过或终验未通过），招标方有权解除项目，并有权依照本项目约定的违约条款追究供应商的违约责任。</w:t>
      </w:r>
    </w:p>
    <w:p>
      <w:pPr>
        <w:pStyle w:val="3"/>
      </w:pPr>
      <w:bookmarkStart w:id="31" w:name="_Toc63785509"/>
      <w:r>
        <w:rPr>
          <w:rFonts w:hint="eastAsia"/>
        </w:rPr>
        <w:t>进度要求</w:t>
      </w:r>
      <w:bookmarkEnd w:id="31"/>
    </w:p>
    <w:p>
      <w:r>
        <w:rPr>
          <w:rFonts w:hint="eastAsia"/>
        </w:rPr>
        <w:t>投标人应根据建设内容，分阶段制定合理的时间进度，并且应根据招标方要求进行调整和细化。</w:t>
      </w:r>
    </w:p>
    <w:p>
      <w:pPr>
        <w:rPr>
          <w:rFonts w:hint="eastAsia"/>
        </w:rPr>
      </w:pPr>
      <w:r>
        <w:rPr>
          <w:rFonts w:hint="eastAsia"/>
        </w:rPr>
        <w:t>总建设周期</w:t>
      </w:r>
      <w:r>
        <w:rPr>
          <w:rFonts w:hint="eastAsia"/>
          <w:lang w:val="en-US" w:eastAsia="zh-CN"/>
        </w:rPr>
        <w:t>从合同签订</w:t>
      </w:r>
      <w:r>
        <w:rPr>
          <w:rFonts w:hint="eastAsia"/>
        </w:rPr>
        <w:t>至2027年6月30日</w:t>
      </w:r>
      <w:r>
        <w:rPr>
          <w:rFonts w:hint="eastAsia"/>
          <w:lang w:val="en-US" w:eastAsia="zh-CN"/>
        </w:rPr>
        <w:t>前</w:t>
      </w:r>
      <w:r>
        <w:rPr>
          <w:rFonts w:hint="eastAsia"/>
        </w:rPr>
        <w:t>，分为</w:t>
      </w:r>
      <w:r>
        <w:rPr>
          <w:rFonts w:hint="eastAsia"/>
          <w:lang w:val="en-US" w:eastAsia="zh-CN"/>
        </w:rPr>
        <w:t>4</w:t>
      </w:r>
      <w:r>
        <w:rPr>
          <w:rFonts w:hint="eastAsia"/>
        </w:rPr>
        <w:t>个阶段。</w:t>
      </w:r>
    </w:p>
    <w:p>
      <w:pPr>
        <w:rPr>
          <w:rFonts w:hint="eastAsia" w:eastAsia="宋体"/>
          <w:lang w:eastAsia="zh-CN"/>
        </w:rPr>
      </w:pPr>
      <w:r>
        <w:rPr>
          <w:rFonts w:hint="eastAsia"/>
          <w:lang w:eastAsia="zh-CN"/>
        </w:rPr>
        <w:t>（</w:t>
      </w:r>
      <w:r>
        <w:rPr>
          <w:rFonts w:hint="eastAsia"/>
          <w:lang w:val="en-US" w:eastAsia="zh-CN"/>
        </w:rPr>
        <w:t>投标人可根据实际情况设计项目实施进度，确保在</w:t>
      </w:r>
      <w:r>
        <w:rPr>
          <w:rFonts w:hint="eastAsia"/>
        </w:rPr>
        <w:t>2027年6月30日</w:t>
      </w:r>
      <w:r>
        <w:rPr>
          <w:rFonts w:hint="eastAsia"/>
          <w:lang w:val="en-US" w:eastAsia="zh-CN"/>
        </w:rPr>
        <w:t>前完成项目验收</w:t>
      </w:r>
      <w:r>
        <w:rPr>
          <w:rFonts w:hint="eastAsia"/>
          <w:lang w:eastAsia="zh-CN"/>
        </w:rPr>
        <w:t>）</w:t>
      </w:r>
    </w:p>
    <w:p>
      <w:pPr>
        <w:rPr>
          <w:rFonts w:hint="eastAsia"/>
        </w:rPr>
      </w:pPr>
      <w:r>
        <w:rPr>
          <w:rFonts w:hint="eastAsia"/>
        </w:rPr>
        <w:t>(1)</w:t>
      </w:r>
      <w:r>
        <w:rPr>
          <w:rFonts w:hint="eastAsia"/>
        </w:rPr>
        <w:tab/>
      </w:r>
      <w:r>
        <w:rPr>
          <w:rFonts w:hint="eastAsia"/>
        </w:rPr>
        <w:t>项目规划设计阶段</w:t>
      </w:r>
    </w:p>
    <w:p>
      <w:pPr>
        <w:rPr>
          <w:rFonts w:hint="eastAsia"/>
        </w:rPr>
      </w:pPr>
      <w:r>
        <w:rPr>
          <w:rFonts w:hint="eastAsia"/>
        </w:rPr>
        <w:t>本阶段主要完成项目有关业务、系统和需求的调研，制定通用类标准规范，形成总体设计方案，完成系统架构、数据库、基础资源、功能等详细设计，并提供主体建设内容的部分系统原型。</w:t>
      </w:r>
    </w:p>
    <w:p>
      <w:pPr>
        <w:rPr>
          <w:rFonts w:hint="eastAsia"/>
        </w:rPr>
      </w:pPr>
    </w:p>
    <w:p>
      <w:pPr>
        <w:rPr>
          <w:rFonts w:hint="eastAsia"/>
        </w:rPr>
      </w:pPr>
      <w:r>
        <w:rPr>
          <w:rFonts w:hint="eastAsia"/>
        </w:rPr>
        <w:t>(2)</w:t>
      </w:r>
      <w:r>
        <w:rPr>
          <w:rFonts w:hint="eastAsia"/>
        </w:rPr>
        <w:tab/>
      </w:r>
      <w:r>
        <w:rPr>
          <w:rFonts w:hint="eastAsia"/>
        </w:rPr>
        <w:t>项目开发测试阶段</w:t>
      </w:r>
    </w:p>
    <w:p>
      <w:pPr>
        <w:rPr>
          <w:rFonts w:hint="eastAsia"/>
        </w:rPr>
      </w:pPr>
      <w:r>
        <w:rPr>
          <w:rFonts w:hint="eastAsia"/>
        </w:rPr>
        <w:t>本阶段主要进行数据汇集与加工、技术体系搭建、资源申请和各模块的开发与测试工作，完成系统联调与部署，发布beta测试版本。根据建设计划实现相应建设内容的开发测试工作。</w:t>
      </w:r>
    </w:p>
    <w:p>
      <w:pPr>
        <w:rPr>
          <w:rFonts w:hint="eastAsia"/>
        </w:rPr>
      </w:pPr>
    </w:p>
    <w:p>
      <w:pPr>
        <w:numPr>
          <w:ilvl w:val="0"/>
          <w:numId w:val="0"/>
        </w:numPr>
        <w:ind w:firstLine="480" w:firstLineChars="200"/>
        <w:rPr>
          <w:rFonts w:hint="eastAsia"/>
        </w:rPr>
      </w:pPr>
      <w:r>
        <w:rPr>
          <w:rFonts w:hint="eastAsia"/>
          <w:lang w:eastAsia="zh-CN"/>
        </w:rPr>
        <w:t>（</w:t>
      </w:r>
      <w:r>
        <w:rPr>
          <w:rFonts w:hint="eastAsia"/>
          <w:lang w:val="en-US" w:eastAsia="zh-CN"/>
        </w:rPr>
        <w:t>3</w:t>
      </w:r>
      <w:r>
        <w:rPr>
          <w:rFonts w:hint="eastAsia"/>
          <w:lang w:eastAsia="zh-CN"/>
        </w:rPr>
        <w:t>）</w:t>
      </w:r>
      <w:r>
        <w:rPr>
          <w:rFonts w:hint="eastAsia"/>
        </w:rPr>
        <w:t>项目试运行和迭代开发阶段</w:t>
      </w:r>
    </w:p>
    <w:p>
      <w:pPr>
        <w:rPr>
          <w:rFonts w:hint="eastAsia"/>
        </w:rPr>
      </w:pPr>
      <w:r>
        <w:rPr>
          <w:rFonts w:hint="eastAsia"/>
        </w:rPr>
        <w:t>本阶段主要进行项目功能试运行，修正各模块联调中出现的问题，完成系统完善和功能迭代，直至发布正式运行版本，同时形成完整的标准规范体系。</w:t>
      </w:r>
    </w:p>
    <w:p>
      <w:pPr>
        <w:widowControl/>
        <w:jc w:val="left"/>
        <w:rPr>
          <w:rFonts w:hint="eastAsia"/>
          <w:highlight w:val="yellow"/>
        </w:rPr>
      </w:pPr>
    </w:p>
    <w:p>
      <w:pPr>
        <w:numPr>
          <w:ilvl w:val="0"/>
          <w:numId w:val="0"/>
        </w:numPr>
        <w:ind w:firstLine="480" w:firstLineChars="200"/>
        <w:rPr>
          <w:rFonts w:hint="eastAsia"/>
        </w:rPr>
      </w:pPr>
      <w:r>
        <w:rPr>
          <w:rFonts w:hint="eastAsia"/>
          <w:lang w:eastAsia="zh-CN"/>
        </w:rPr>
        <w:t>（</w:t>
      </w:r>
      <w:r>
        <w:rPr>
          <w:rFonts w:hint="eastAsia"/>
          <w:lang w:val="en-US" w:eastAsia="zh-CN"/>
        </w:rPr>
        <w:t>4</w:t>
      </w:r>
      <w:r>
        <w:rPr>
          <w:rFonts w:hint="eastAsia"/>
          <w:lang w:eastAsia="zh-CN"/>
        </w:rPr>
        <w:t>）</w:t>
      </w:r>
      <w:r>
        <w:rPr>
          <w:rFonts w:hint="eastAsia"/>
        </w:rPr>
        <w:t>项目终验阶段</w:t>
      </w:r>
    </w:p>
    <w:p>
      <w:pPr>
        <w:widowControl/>
        <w:jc w:val="left"/>
        <w:rPr>
          <w:rFonts w:hint="eastAsia"/>
        </w:rPr>
      </w:pPr>
      <w:r>
        <w:rPr>
          <w:rFonts w:hint="eastAsia"/>
        </w:rPr>
        <w:t>本阶段主要</w:t>
      </w:r>
      <w:r>
        <w:rPr>
          <w:rFonts w:cs="宋体"/>
          <w:kern w:val="0"/>
          <w:lang w:bidi="ar"/>
        </w:rPr>
        <w:t>在</w:t>
      </w:r>
      <w:r>
        <w:rPr>
          <w:rFonts w:hint="eastAsia" w:cs="宋体"/>
          <w:kern w:val="0"/>
          <w:lang w:bidi="ar"/>
        </w:rPr>
        <w:t>试运行</w:t>
      </w:r>
      <w:r>
        <w:rPr>
          <w:rFonts w:cs="宋体"/>
          <w:kern w:val="0"/>
          <w:lang w:bidi="ar"/>
        </w:rPr>
        <w:t>整改完成的基础上，</w:t>
      </w:r>
      <w:r>
        <w:rPr>
          <w:rFonts w:hint="eastAsia"/>
        </w:rPr>
        <w:t>实施项目终验收并启动项目的正式运行，根据项目运行情况和验收要求开展项目测评、功能优化和绩效评价等工作。</w:t>
      </w:r>
    </w:p>
    <w:p/>
    <w:p>
      <w:pPr>
        <w:pStyle w:val="3"/>
      </w:pPr>
      <w:bookmarkStart w:id="32" w:name="_Toc63785511"/>
      <w:r>
        <w:t>等级保护要求</w:t>
      </w:r>
      <w:bookmarkEnd w:id="32"/>
    </w:p>
    <w:p>
      <w:pPr>
        <w:ind w:firstLine="560"/>
        <w:rPr>
          <w:rFonts w:ascii="仿宋_GB2312" w:eastAsia="仿宋_GB2312" w:cs="仿宋_GB2312"/>
          <w:color w:val="000000"/>
          <w:kern w:val="0"/>
          <w:sz w:val="28"/>
          <w:szCs w:val="28"/>
        </w:rPr>
      </w:pPr>
      <w:r>
        <w:t>本项目等级保护要求：参照等保</w:t>
      </w:r>
      <w:r>
        <w:rPr>
          <w:rFonts w:hint="eastAsia"/>
        </w:rPr>
        <w:t>三</w:t>
      </w:r>
      <w:r>
        <w:t>级要求建设。</w:t>
      </w:r>
    </w:p>
    <w:p>
      <w:pPr>
        <w:pStyle w:val="3"/>
      </w:pPr>
      <w:r>
        <w:rPr>
          <w:rFonts w:hint="eastAsia"/>
        </w:rPr>
        <w:t>商</w:t>
      </w:r>
      <w:r>
        <w:rPr>
          <w:rFonts w:hint="eastAsia"/>
          <w:lang w:val="en-US" w:eastAsia="zh-CN"/>
        </w:rPr>
        <w:t>用</w:t>
      </w:r>
      <w:r>
        <w:rPr>
          <w:rFonts w:hint="eastAsia"/>
        </w:rPr>
        <w:t>密码应用需求</w:t>
      </w:r>
    </w:p>
    <w:p>
      <w:pPr>
        <w:rPr>
          <w:rFonts w:hint="eastAsia"/>
        </w:rPr>
      </w:pPr>
      <w:r>
        <w:rPr>
          <w:rFonts w:hint="eastAsia"/>
        </w:rPr>
        <w:t>商业密码应用需求：参照商业密码应用第三级建设。</w:t>
      </w:r>
    </w:p>
    <w:p>
      <w:pPr>
        <w:rPr>
          <w:rFonts w:hint="eastAsia"/>
        </w:rPr>
      </w:pPr>
      <w:r>
        <w:rPr>
          <w:rFonts w:hint="eastAsia"/>
        </w:rPr>
        <w:t>基于云平台提供的安全认证网关、签名验签、数据库加密等密码服务以及系统的应用功能，需开发适配若干密码应用功能模块，以实现网络和通信、设备和计算、应用和数据等层面的各密码应用功能。</w:t>
      </w:r>
    </w:p>
    <w:p>
      <w:pPr>
        <w:ind w:firstLine="560"/>
        <w:jc w:val="center"/>
        <w:rPr>
          <w:rFonts w:hint="eastAsia" w:ascii="仿宋" w:hAnsi="仿宋" w:cs="Arial"/>
          <w:szCs w:val="28"/>
        </w:rPr>
      </w:pPr>
      <w:r>
        <w:rPr>
          <w:rFonts w:hint="eastAsia" w:ascii="仿宋" w:hAnsi="仿宋" w:cs="Arial"/>
          <w:szCs w:val="28"/>
        </w:rPr>
        <w:t>密码应用合规性对照表</w:t>
      </w:r>
    </w:p>
    <w:tbl>
      <w:tblPr>
        <w:tblStyle w:val="35"/>
        <w:tblpPr w:leftFromText="180" w:rightFromText="180" w:vertAnchor="text" w:horzAnchor="page" w:tblpX="1273" w:tblpY="490"/>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204"/>
        <w:gridCol w:w="1385"/>
        <w:gridCol w:w="1073"/>
        <w:gridCol w:w="2399"/>
        <w:gridCol w:w="1638"/>
        <w:gridCol w:w="11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8" w:hRule="atLeast"/>
          <w:tblHeader/>
        </w:trPr>
        <w:tc>
          <w:tcPr>
            <w:tcW w:w="762" w:type="dxa"/>
            <w:vAlign w:val="center"/>
          </w:tcPr>
          <w:p>
            <w:pPr>
              <w:pStyle w:val="16"/>
              <w:jc w:val="center"/>
              <w:rPr>
                <w:b/>
                <w:bCs/>
              </w:rPr>
            </w:pPr>
            <w:r>
              <w:rPr>
                <w:rFonts w:hint="eastAsia"/>
                <w:b/>
                <w:bCs/>
              </w:rPr>
              <w:t>指标要求</w:t>
            </w:r>
          </w:p>
        </w:tc>
        <w:tc>
          <w:tcPr>
            <w:tcW w:w="1204" w:type="dxa"/>
            <w:vAlign w:val="center"/>
          </w:tcPr>
          <w:p>
            <w:pPr>
              <w:pStyle w:val="16"/>
              <w:rPr>
                <w:b/>
                <w:bCs/>
              </w:rPr>
            </w:pPr>
            <w:r>
              <w:rPr>
                <w:rFonts w:hint="eastAsia"/>
                <w:b/>
                <w:bCs/>
              </w:rPr>
              <w:t>密码技术应用点</w:t>
            </w:r>
          </w:p>
        </w:tc>
        <w:tc>
          <w:tcPr>
            <w:tcW w:w="1385" w:type="dxa"/>
            <w:vAlign w:val="center"/>
          </w:tcPr>
          <w:p>
            <w:pPr>
              <w:pStyle w:val="16"/>
              <w:rPr>
                <w:b/>
                <w:bCs/>
              </w:rPr>
            </w:pPr>
            <w:r>
              <w:rPr>
                <w:rFonts w:hint="eastAsia"/>
                <w:b/>
                <w:bCs/>
              </w:rPr>
              <w:t>GB/T 39786密码应用基本要求</w:t>
            </w:r>
          </w:p>
        </w:tc>
        <w:tc>
          <w:tcPr>
            <w:tcW w:w="1073" w:type="dxa"/>
            <w:vAlign w:val="center"/>
          </w:tcPr>
          <w:p>
            <w:pPr>
              <w:pStyle w:val="16"/>
              <w:rPr>
                <w:b/>
                <w:bCs/>
              </w:rPr>
            </w:pPr>
            <w:r>
              <w:rPr>
                <w:rFonts w:hint="eastAsia"/>
                <w:b/>
                <w:bCs/>
              </w:rPr>
              <w:t>适用情况</w:t>
            </w:r>
          </w:p>
          <w:p>
            <w:pPr>
              <w:pStyle w:val="16"/>
              <w:rPr>
                <w:b/>
                <w:bCs/>
              </w:rPr>
            </w:pPr>
            <w:r>
              <w:rPr>
                <w:rFonts w:hint="eastAsia"/>
                <w:b/>
                <w:bCs/>
              </w:rPr>
              <w:t>（适用/不适用）</w:t>
            </w:r>
          </w:p>
        </w:tc>
        <w:tc>
          <w:tcPr>
            <w:tcW w:w="2399" w:type="dxa"/>
            <w:vAlign w:val="center"/>
          </w:tcPr>
          <w:p>
            <w:pPr>
              <w:pStyle w:val="16"/>
              <w:rPr>
                <w:b/>
                <w:bCs/>
              </w:rPr>
            </w:pPr>
            <w:r>
              <w:rPr>
                <w:rFonts w:hint="eastAsia"/>
                <w:b/>
                <w:bCs/>
              </w:rPr>
              <w:t>采取的密码保障措施</w:t>
            </w:r>
          </w:p>
        </w:tc>
        <w:tc>
          <w:tcPr>
            <w:tcW w:w="1638" w:type="dxa"/>
            <w:vAlign w:val="center"/>
          </w:tcPr>
          <w:p>
            <w:pPr>
              <w:pStyle w:val="16"/>
              <w:jc w:val="center"/>
              <w:rPr>
                <w:b/>
                <w:bCs/>
              </w:rPr>
            </w:pPr>
            <w:r>
              <w:rPr>
                <w:rFonts w:hint="eastAsia"/>
                <w:b/>
                <w:bCs/>
              </w:rPr>
              <w:t>说明</w:t>
            </w:r>
          </w:p>
          <w:p>
            <w:pPr>
              <w:pStyle w:val="16"/>
              <w:rPr>
                <w:b/>
                <w:bCs/>
              </w:rPr>
            </w:pPr>
            <w:r>
              <w:rPr>
                <w:rFonts w:hint="eastAsia"/>
                <w:b/>
                <w:bCs/>
              </w:rPr>
              <w:t>（如采取的缓解及替代性措施）</w:t>
            </w:r>
          </w:p>
        </w:tc>
        <w:tc>
          <w:tcPr>
            <w:tcW w:w="1145" w:type="dxa"/>
            <w:vAlign w:val="center"/>
          </w:tcPr>
          <w:p>
            <w:pPr>
              <w:pStyle w:val="16"/>
              <w:rPr>
                <w:b/>
                <w:bCs/>
              </w:rPr>
            </w:pPr>
            <w:r>
              <w:rPr>
                <w:rFonts w:hint="eastAsia"/>
                <w:b/>
                <w:bCs/>
              </w:rPr>
              <w:t>自评结果</w:t>
            </w:r>
          </w:p>
          <w:p>
            <w:pPr>
              <w:pStyle w:val="16"/>
              <w:rPr>
                <w:b/>
                <w:bCs/>
              </w:rPr>
            </w:pPr>
            <w:r>
              <w:rPr>
                <w:rFonts w:hint="eastAsia"/>
                <w:b/>
                <w:bCs/>
              </w:rPr>
              <w:t>（通过/未通过）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restart"/>
            <w:vAlign w:val="center"/>
          </w:tcPr>
          <w:p>
            <w:pPr>
              <w:pStyle w:val="16"/>
            </w:pPr>
            <w:r>
              <w:rPr>
                <w:rFonts w:hint="eastAsia"/>
              </w:rPr>
              <w:t>物理和环境安全</w:t>
            </w:r>
          </w:p>
        </w:tc>
        <w:tc>
          <w:tcPr>
            <w:tcW w:w="1204" w:type="dxa"/>
            <w:vAlign w:val="center"/>
          </w:tcPr>
          <w:p>
            <w:pPr>
              <w:pStyle w:val="16"/>
            </w:pPr>
            <w:r>
              <w:rPr>
                <w:rFonts w:hint="eastAsia"/>
              </w:rPr>
              <w:t>身份鉴别</w:t>
            </w:r>
          </w:p>
        </w:tc>
        <w:tc>
          <w:tcPr>
            <w:tcW w:w="1385" w:type="dxa"/>
            <w:vAlign w:val="center"/>
          </w:tcPr>
          <w:p>
            <w:pPr>
              <w:pStyle w:val="16"/>
              <w:jc w:val="center"/>
            </w:pPr>
            <w:r>
              <w:rPr>
                <w:rFonts w:hint="eastAsia"/>
              </w:rPr>
              <w:t>宜</w:t>
            </w:r>
          </w:p>
        </w:tc>
        <w:tc>
          <w:tcPr>
            <w:tcW w:w="1073" w:type="dxa"/>
            <w:vAlign w:val="center"/>
          </w:tcPr>
          <w:p>
            <w:pPr>
              <w:pStyle w:val="16"/>
              <w:jc w:val="center"/>
            </w:pPr>
            <w:r>
              <w:rPr>
                <w:rFonts w:hint="eastAsia"/>
              </w:rPr>
              <w:t>适用</w:t>
            </w:r>
          </w:p>
        </w:tc>
        <w:tc>
          <w:tcPr>
            <w:tcW w:w="2399" w:type="dxa"/>
            <w:vAlign w:val="center"/>
          </w:tcPr>
          <w:p>
            <w:pPr>
              <w:pStyle w:val="16"/>
            </w:pPr>
            <w:r>
              <w:rPr>
                <w:rFonts w:hint="eastAsia"/>
              </w:rPr>
              <w:t>由云平台提供安全保障。复用云平台密评结果。</w:t>
            </w:r>
          </w:p>
        </w:tc>
        <w:tc>
          <w:tcPr>
            <w:tcW w:w="1638" w:type="dxa"/>
            <w:vAlign w:val="center"/>
          </w:tcPr>
          <w:p>
            <w:pPr>
              <w:pStyle w:val="16"/>
              <w:jc w:val="center"/>
            </w:pPr>
            <w:r>
              <w:rPr>
                <w:rFonts w:hint="eastAsia"/>
              </w:rPr>
              <w:t>/</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762" w:type="dxa"/>
            <w:vMerge w:val="continue"/>
            <w:vAlign w:val="center"/>
          </w:tcPr>
          <w:p>
            <w:pPr>
              <w:pStyle w:val="16"/>
            </w:pPr>
          </w:p>
        </w:tc>
        <w:tc>
          <w:tcPr>
            <w:tcW w:w="1204" w:type="dxa"/>
            <w:vAlign w:val="center"/>
          </w:tcPr>
          <w:p>
            <w:pPr>
              <w:pStyle w:val="16"/>
            </w:pPr>
            <w:r>
              <w:rPr>
                <w:rFonts w:hint="eastAsia"/>
              </w:rPr>
              <w:t>电子门禁记录数据存储完整性</w:t>
            </w:r>
          </w:p>
        </w:tc>
        <w:tc>
          <w:tcPr>
            <w:tcW w:w="1385" w:type="dxa"/>
            <w:vAlign w:val="center"/>
          </w:tcPr>
          <w:p>
            <w:pPr>
              <w:pStyle w:val="16"/>
              <w:jc w:val="center"/>
            </w:pPr>
            <w:r>
              <w:rPr>
                <w:rFonts w:hint="eastAsia"/>
              </w:rPr>
              <w:t>宜</w:t>
            </w:r>
          </w:p>
        </w:tc>
        <w:tc>
          <w:tcPr>
            <w:tcW w:w="1073" w:type="dxa"/>
            <w:vAlign w:val="center"/>
          </w:tcPr>
          <w:p>
            <w:pPr>
              <w:pStyle w:val="16"/>
              <w:jc w:val="center"/>
            </w:pPr>
            <w:r>
              <w:rPr>
                <w:rFonts w:hint="eastAsia"/>
              </w:rPr>
              <w:t>适用</w:t>
            </w:r>
          </w:p>
        </w:tc>
        <w:tc>
          <w:tcPr>
            <w:tcW w:w="2399" w:type="dxa"/>
            <w:vMerge w:val="restart"/>
            <w:vAlign w:val="center"/>
          </w:tcPr>
          <w:p>
            <w:pPr>
              <w:pStyle w:val="16"/>
            </w:pPr>
            <w:r>
              <w:rPr>
                <w:rFonts w:hint="eastAsia"/>
              </w:rPr>
              <w:t>由云平台提供安全保障。复用云平台密评结果。</w:t>
            </w:r>
          </w:p>
        </w:tc>
        <w:tc>
          <w:tcPr>
            <w:tcW w:w="1638" w:type="dxa"/>
            <w:vAlign w:val="center"/>
          </w:tcPr>
          <w:p>
            <w:pPr>
              <w:pStyle w:val="16"/>
              <w:jc w:val="center"/>
            </w:pPr>
            <w:r>
              <w:rPr>
                <w:rFonts w:hint="eastAsia"/>
              </w:rPr>
              <w:t>/</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continue"/>
            <w:vAlign w:val="center"/>
          </w:tcPr>
          <w:p>
            <w:pPr>
              <w:pStyle w:val="16"/>
            </w:pPr>
          </w:p>
        </w:tc>
        <w:tc>
          <w:tcPr>
            <w:tcW w:w="1204" w:type="dxa"/>
            <w:vAlign w:val="center"/>
          </w:tcPr>
          <w:p>
            <w:pPr>
              <w:pStyle w:val="16"/>
            </w:pPr>
            <w:r>
              <w:rPr>
                <w:rFonts w:hint="eastAsia"/>
              </w:rPr>
              <w:t>视频监控记录数据存储完整性</w:t>
            </w:r>
          </w:p>
        </w:tc>
        <w:tc>
          <w:tcPr>
            <w:tcW w:w="1385" w:type="dxa"/>
            <w:vAlign w:val="center"/>
          </w:tcPr>
          <w:p>
            <w:pPr>
              <w:pStyle w:val="16"/>
              <w:jc w:val="center"/>
            </w:pPr>
            <w:r>
              <w:rPr>
                <w:rFonts w:hint="eastAsia"/>
              </w:rPr>
              <w:t>宜</w:t>
            </w:r>
          </w:p>
        </w:tc>
        <w:tc>
          <w:tcPr>
            <w:tcW w:w="1073" w:type="dxa"/>
            <w:vAlign w:val="center"/>
          </w:tcPr>
          <w:p>
            <w:pPr>
              <w:pStyle w:val="16"/>
              <w:jc w:val="center"/>
            </w:pPr>
            <w:r>
              <w:rPr>
                <w:rFonts w:hint="eastAsia"/>
              </w:rPr>
              <w:t>适用</w:t>
            </w:r>
          </w:p>
        </w:tc>
        <w:tc>
          <w:tcPr>
            <w:tcW w:w="2399" w:type="dxa"/>
            <w:vMerge w:val="continue"/>
            <w:vAlign w:val="center"/>
          </w:tcPr>
          <w:p>
            <w:pPr>
              <w:pStyle w:val="16"/>
            </w:pPr>
          </w:p>
        </w:tc>
        <w:tc>
          <w:tcPr>
            <w:tcW w:w="1638" w:type="dxa"/>
            <w:vAlign w:val="center"/>
          </w:tcPr>
          <w:p>
            <w:pPr>
              <w:pStyle w:val="16"/>
              <w:jc w:val="center"/>
            </w:pPr>
            <w:r>
              <w:rPr>
                <w:rFonts w:hint="eastAsia"/>
              </w:rPr>
              <w:t>/</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restart"/>
            <w:vAlign w:val="center"/>
          </w:tcPr>
          <w:p>
            <w:pPr>
              <w:pStyle w:val="16"/>
            </w:pPr>
            <w:r>
              <w:rPr>
                <w:rFonts w:hint="eastAsia"/>
              </w:rPr>
              <w:t>网络和通信安全</w:t>
            </w:r>
          </w:p>
        </w:tc>
        <w:tc>
          <w:tcPr>
            <w:tcW w:w="1204" w:type="dxa"/>
            <w:vAlign w:val="center"/>
          </w:tcPr>
          <w:p>
            <w:pPr>
              <w:pStyle w:val="16"/>
            </w:pPr>
            <w:r>
              <w:rPr>
                <w:rFonts w:hint="eastAsia"/>
              </w:rPr>
              <w:t>身份鉴别</w:t>
            </w:r>
          </w:p>
        </w:tc>
        <w:tc>
          <w:tcPr>
            <w:tcW w:w="1385" w:type="dxa"/>
            <w:vAlign w:val="center"/>
          </w:tcPr>
          <w:p>
            <w:pPr>
              <w:pStyle w:val="16"/>
              <w:jc w:val="center"/>
            </w:pPr>
            <w:r>
              <w:rPr>
                <w:rFonts w:hint="eastAsia"/>
              </w:rPr>
              <w:t>应</w:t>
            </w:r>
          </w:p>
        </w:tc>
        <w:tc>
          <w:tcPr>
            <w:tcW w:w="1073" w:type="dxa"/>
            <w:vAlign w:val="center"/>
          </w:tcPr>
          <w:p>
            <w:pPr>
              <w:pStyle w:val="16"/>
              <w:jc w:val="center"/>
            </w:pPr>
            <w:r>
              <w:rPr>
                <w:rFonts w:hint="eastAsia"/>
              </w:rPr>
              <w:t>适用</w:t>
            </w:r>
          </w:p>
        </w:tc>
        <w:tc>
          <w:tcPr>
            <w:tcW w:w="2399" w:type="dxa"/>
            <w:vAlign w:val="center"/>
          </w:tcPr>
          <w:p>
            <w:pPr>
              <w:pStyle w:val="16"/>
            </w:pPr>
            <w:r>
              <w:rPr>
                <w:rFonts w:hint="eastAsia"/>
              </w:rPr>
              <w:t>通过调用密码支撑平台部署的安全认证网关服务，对业务通信链路的服务端进行身份鉴别；</w:t>
            </w:r>
          </w:p>
          <w:p>
            <w:pPr>
              <w:pStyle w:val="16"/>
            </w:pPr>
            <w:r>
              <w:rPr>
                <w:rFonts w:hint="eastAsia"/>
              </w:rPr>
              <w:t>通过调用云平台部署的SSL VPN，对运维管理链路的服务端进行身份鉴别。（远程运维通信信道复用云平台密评结果。）</w:t>
            </w:r>
          </w:p>
        </w:tc>
        <w:tc>
          <w:tcPr>
            <w:tcW w:w="1638" w:type="dxa"/>
            <w:vAlign w:val="center"/>
          </w:tcPr>
          <w:p>
            <w:pPr>
              <w:pStyle w:val="16"/>
              <w:jc w:val="center"/>
            </w:pPr>
            <w:r>
              <w:rPr>
                <w:rFonts w:hint="eastAsia"/>
              </w:rPr>
              <w:t>/</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762" w:type="dxa"/>
            <w:vMerge w:val="continue"/>
            <w:vAlign w:val="center"/>
          </w:tcPr>
          <w:p>
            <w:pPr>
              <w:pStyle w:val="16"/>
            </w:pPr>
          </w:p>
        </w:tc>
        <w:tc>
          <w:tcPr>
            <w:tcW w:w="1204" w:type="dxa"/>
            <w:vAlign w:val="center"/>
          </w:tcPr>
          <w:p>
            <w:pPr>
              <w:pStyle w:val="16"/>
            </w:pPr>
            <w:r>
              <w:rPr>
                <w:rFonts w:hint="eastAsia"/>
              </w:rPr>
              <w:t>通信数据完整性</w:t>
            </w:r>
          </w:p>
        </w:tc>
        <w:tc>
          <w:tcPr>
            <w:tcW w:w="1385" w:type="dxa"/>
            <w:vAlign w:val="center"/>
          </w:tcPr>
          <w:p>
            <w:pPr>
              <w:pStyle w:val="16"/>
              <w:jc w:val="center"/>
            </w:pPr>
            <w:r>
              <w:rPr>
                <w:rFonts w:hint="eastAsia"/>
              </w:rPr>
              <w:t>宜</w:t>
            </w:r>
          </w:p>
        </w:tc>
        <w:tc>
          <w:tcPr>
            <w:tcW w:w="1073" w:type="dxa"/>
            <w:vAlign w:val="center"/>
          </w:tcPr>
          <w:p>
            <w:pPr>
              <w:pStyle w:val="16"/>
              <w:jc w:val="center"/>
            </w:pPr>
            <w:r>
              <w:rPr>
                <w:rFonts w:hint="eastAsia"/>
              </w:rPr>
              <w:t>适用</w:t>
            </w:r>
          </w:p>
        </w:tc>
        <w:tc>
          <w:tcPr>
            <w:tcW w:w="2399" w:type="dxa"/>
            <w:vMerge w:val="restart"/>
            <w:vAlign w:val="center"/>
          </w:tcPr>
          <w:p>
            <w:pPr>
              <w:pStyle w:val="16"/>
            </w:pPr>
            <w:r>
              <w:rPr>
                <w:rFonts w:hint="eastAsia"/>
              </w:rPr>
              <w:t>通过调用密码支撑平台部署的安全认证网关服务，通过TLCP通信协议实现用户与系统通信数据的机密性和完整性保护；</w:t>
            </w:r>
          </w:p>
          <w:p>
            <w:pPr>
              <w:pStyle w:val="16"/>
            </w:pPr>
            <w:r>
              <w:rPr>
                <w:rFonts w:hint="eastAsia"/>
              </w:rPr>
              <w:t>通过调用云平台部署的SSL VPN，基于TLCP通信协议对运维管理数据进行传输机密性和完整性保护。（远程运维通信信道复用云平台密评结果。）</w:t>
            </w:r>
          </w:p>
        </w:tc>
        <w:tc>
          <w:tcPr>
            <w:tcW w:w="1638" w:type="dxa"/>
            <w:vAlign w:val="center"/>
          </w:tcPr>
          <w:p>
            <w:pPr>
              <w:pStyle w:val="16"/>
              <w:jc w:val="center"/>
            </w:pPr>
            <w:r>
              <w:rPr>
                <w:rFonts w:hint="eastAsia"/>
              </w:rPr>
              <w:t>/</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continue"/>
            <w:vAlign w:val="center"/>
          </w:tcPr>
          <w:p>
            <w:pPr>
              <w:pStyle w:val="16"/>
            </w:pPr>
          </w:p>
        </w:tc>
        <w:tc>
          <w:tcPr>
            <w:tcW w:w="1204" w:type="dxa"/>
            <w:vAlign w:val="center"/>
          </w:tcPr>
          <w:p>
            <w:pPr>
              <w:pStyle w:val="16"/>
            </w:pPr>
            <w:r>
              <w:rPr>
                <w:rFonts w:hint="eastAsia"/>
              </w:rPr>
              <w:t>通信过程中重要数据的机密性</w:t>
            </w:r>
          </w:p>
        </w:tc>
        <w:tc>
          <w:tcPr>
            <w:tcW w:w="1385" w:type="dxa"/>
            <w:vAlign w:val="center"/>
          </w:tcPr>
          <w:p>
            <w:pPr>
              <w:pStyle w:val="16"/>
              <w:jc w:val="center"/>
            </w:pPr>
            <w:r>
              <w:rPr>
                <w:rFonts w:hint="eastAsia"/>
              </w:rPr>
              <w:t>应</w:t>
            </w:r>
          </w:p>
        </w:tc>
        <w:tc>
          <w:tcPr>
            <w:tcW w:w="1073" w:type="dxa"/>
            <w:vAlign w:val="center"/>
          </w:tcPr>
          <w:p>
            <w:pPr>
              <w:pStyle w:val="16"/>
              <w:jc w:val="center"/>
            </w:pPr>
            <w:r>
              <w:rPr>
                <w:rFonts w:hint="eastAsia"/>
              </w:rPr>
              <w:t>适用</w:t>
            </w:r>
          </w:p>
        </w:tc>
        <w:tc>
          <w:tcPr>
            <w:tcW w:w="2399" w:type="dxa"/>
            <w:vMerge w:val="continue"/>
            <w:vAlign w:val="center"/>
          </w:tcPr>
          <w:p>
            <w:pPr>
              <w:pStyle w:val="16"/>
            </w:pPr>
          </w:p>
        </w:tc>
        <w:tc>
          <w:tcPr>
            <w:tcW w:w="1638" w:type="dxa"/>
            <w:vAlign w:val="center"/>
          </w:tcPr>
          <w:p>
            <w:pPr>
              <w:pStyle w:val="16"/>
              <w:jc w:val="center"/>
            </w:pPr>
            <w:r>
              <w:rPr>
                <w:rFonts w:hint="eastAsia"/>
              </w:rPr>
              <w:t>/</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continue"/>
            <w:vAlign w:val="center"/>
          </w:tcPr>
          <w:p>
            <w:pPr>
              <w:pStyle w:val="16"/>
            </w:pPr>
          </w:p>
        </w:tc>
        <w:tc>
          <w:tcPr>
            <w:tcW w:w="1204" w:type="dxa"/>
            <w:vAlign w:val="center"/>
          </w:tcPr>
          <w:p>
            <w:pPr>
              <w:pStyle w:val="16"/>
            </w:pPr>
            <w:r>
              <w:rPr>
                <w:rFonts w:hint="eastAsia"/>
              </w:rPr>
              <w:t>网络边界访问控制信息的完整性</w:t>
            </w:r>
          </w:p>
        </w:tc>
        <w:tc>
          <w:tcPr>
            <w:tcW w:w="1385" w:type="dxa"/>
            <w:vAlign w:val="center"/>
          </w:tcPr>
          <w:p>
            <w:pPr>
              <w:pStyle w:val="16"/>
              <w:jc w:val="center"/>
            </w:pPr>
            <w:r>
              <w:rPr>
                <w:rFonts w:hint="eastAsia"/>
              </w:rPr>
              <w:t>宜</w:t>
            </w:r>
          </w:p>
        </w:tc>
        <w:tc>
          <w:tcPr>
            <w:tcW w:w="1073" w:type="dxa"/>
            <w:vAlign w:val="center"/>
          </w:tcPr>
          <w:p>
            <w:pPr>
              <w:pStyle w:val="16"/>
              <w:jc w:val="center"/>
            </w:pPr>
            <w:r>
              <w:rPr>
                <w:rFonts w:hint="eastAsia"/>
              </w:rPr>
              <w:t>适用</w:t>
            </w:r>
          </w:p>
        </w:tc>
        <w:tc>
          <w:tcPr>
            <w:tcW w:w="2399" w:type="dxa"/>
            <w:vAlign w:val="center"/>
          </w:tcPr>
          <w:p>
            <w:pPr>
              <w:pStyle w:val="16"/>
            </w:pPr>
            <w:r>
              <w:rPr>
                <w:rFonts w:hint="eastAsia"/>
              </w:rPr>
              <w:t>由安全认证网关服务、SSL VPN等密码产品提供网络边界访问控制信息完整性保护。（远程运维通信信道复用云平台密评结果。）</w:t>
            </w:r>
          </w:p>
        </w:tc>
        <w:tc>
          <w:tcPr>
            <w:tcW w:w="1638" w:type="dxa"/>
            <w:vAlign w:val="center"/>
          </w:tcPr>
          <w:p>
            <w:pPr>
              <w:pStyle w:val="16"/>
              <w:jc w:val="center"/>
            </w:pPr>
            <w:r>
              <w:rPr>
                <w:rFonts w:hint="eastAsia"/>
              </w:rPr>
              <w:t>/</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continue"/>
            <w:vAlign w:val="center"/>
          </w:tcPr>
          <w:p>
            <w:pPr>
              <w:pStyle w:val="16"/>
            </w:pPr>
          </w:p>
        </w:tc>
        <w:tc>
          <w:tcPr>
            <w:tcW w:w="1204" w:type="dxa"/>
            <w:vAlign w:val="center"/>
          </w:tcPr>
          <w:p>
            <w:pPr>
              <w:pStyle w:val="16"/>
            </w:pPr>
            <w:r>
              <w:rPr>
                <w:rFonts w:hint="eastAsia"/>
              </w:rPr>
              <w:t>安全接入认证</w:t>
            </w:r>
          </w:p>
        </w:tc>
        <w:tc>
          <w:tcPr>
            <w:tcW w:w="1385" w:type="dxa"/>
            <w:vAlign w:val="center"/>
          </w:tcPr>
          <w:p>
            <w:pPr>
              <w:pStyle w:val="16"/>
              <w:jc w:val="center"/>
            </w:pPr>
            <w:r>
              <w:rPr>
                <w:rFonts w:hint="eastAsia"/>
              </w:rPr>
              <w:t>可</w:t>
            </w:r>
          </w:p>
        </w:tc>
        <w:tc>
          <w:tcPr>
            <w:tcW w:w="1073" w:type="dxa"/>
            <w:vAlign w:val="center"/>
          </w:tcPr>
          <w:p>
            <w:pPr>
              <w:pStyle w:val="16"/>
              <w:jc w:val="center"/>
            </w:pPr>
            <w:r>
              <w:rPr>
                <w:rFonts w:hint="eastAsia"/>
              </w:rPr>
              <w:t>不适用</w:t>
            </w:r>
          </w:p>
        </w:tc>
        <w:tc>
          <w:tcPr>
            <w:tcW w:w="2399" w:type="dxa"/>
            <w:vAlign w:val="center"/>
          </w:tcPr>
          <w:p>
            <w:pPr>
              <w:pStyle w:val="16"/>
              <w:jc w:val="center"/>
            </w:pPr>
            <w:r>
              <w:rPr>
                <w:rFonts w:hint="eastAsia"/>
              </w:rPr>
              <w:t>/</w:t>
            </w:r>
          </w:p>
        </w:tc>
        <w:tc>
          <w:tcPr>
            <w:tcW w:w="1638" w:type="dxa"/>
            <w:vAlign w:val="center"/>
          </w:tcPr>
          <w:p>
            <w:pPr>
              <w:pStyle w:val="16"/>
            </w:pPr>
            <w:r>
              <w:rPr>
                <w:rFonts w:hint="eastAsia"/>
              </w:rPr>
              <w:t>无外部设备接入本系统的需求。</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6" w:hRule="atLeast"/>
        </w:trPr>
        <w:tc>
          <w:tcPr>
            <w:tcW w:w="762" w:type="dxa"/>
            <w:vMerge w:val="restart"/>
            <w:vAlign w:val="center"/>
          </w:tcPr>
          <w:p>
            <w:pPr>
              <w:pStyle w:val="16"/>
            </w:pPr>
            <w:r>
              <w:rPr>
                <w:rFonts w:hint="eastAsia"/>
              </w:rPr>
              <w:t>设备和计算安全</w:t>
            </w:r>
          </w:p>
        </w:tc>
        <w:tc>
          <w:tcPr>
            <w:tcW w:w="1204" w:type="dxa"/>
            <w:vAlign w:val="center"/>
          </w:tcPr>
          <w:p>
            <w:pPr>
              <w:pStyle w:val="16"/>
            </w:pPr>
            <w:r>
              <w:rPr>
                <w:rFonts w:hint="eastAsia"/>
              </w:rPr>
              <w:t>身份鉴别</w:t>
            </w:r>
          </w:p>
        </w:tc>
        <w:tc>
          <w:tcPr>
            <w:tcW w:w="1385" w:type="dxa"/>
            <w:vAlign w:val="center"/>
          </w:tcPr>
          <w:p>
            <w:pPr>
              <w:pStyle w:val="16"/>
              <w:jc w:val="center"/>
            </w:pPr>
            <w:r>
              <w:rPr>
                <w:rFonts w:hint="eastAsia"/>
              </w:rPr>
              <w:t>应</w:t>
            </w:r>
          </w:p>
        </w:tc>
        <w:tc>
          <w:tcPr>
            <w:tcW w:w="1073" w:type="dxa"/>
            <w:vAlign w:val="center"/>
          </w:tcPr>
          <w:p>
            <w:pPr>
              <w:pStyle w:val="16"/>
              <w:jc w:val="center"/>
            </w:pPr>
            <w:r>
              <w:rPr>
                <w:rFonts w:hint="eastAsia"/>
              </w:rPr>
              <w:t>适用</w:t>
            </w:r>
          </w:p>
        </w:tc>
        <w:tc>
          <w:tcPr>
            <w:tcW w:w="2399" w:type="dxa"/>
            <w:vMerge w:val="restart"/>
            <w:vAlign w:val="center"/>
          </w:tcPr>
          <w:p>
            <w:pPr>
              <w:pStyle w:val="16"/>
            </w:pPr>
            <w:r>
              <w:rPr>
                <w:rFonts w:hint="eastAsia"/>
              </w:rPr>
              <w:t>向远程运维管理员配发智能密码钥匙，对访问堡垒机、服务器、数据库的用户进行身份鉴别，并通过调用云平台部署的SSL VPN建立安全的远程管理信息传输通道。</w:t>
            </w:r>
          </w:p>
        </w:tc>
        <w:tc>
          <w:tcPr>
            <w:tcW w:w="1638" w:type="dxa"/>
            <w:vMerge w:val="restart"/>
            <w:vAlign w:val="center"/>
          </w:tcPr>
          <w:p>
            <w:pPr>
              <w:pStyle w:val="16"/>
            </w:pPr>
            <w:r>
              <w:rPr>
                <w:rFonts w:hint="eastAsia"/>
              </w:rPr>
              <w:t>堡垒机、服务器虚拟机、数据库登录时的身份鉴别未使用密码技术，通过云平台部署的SSL VPN双向鉴别降低风险。</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continue"/>
            <w:vAlign w:val="center"/>
          </w:tcPr>
          <w:p>
            <w:pPr>
              <w:pStyle w:val="16"/>
            </w:pPr>
          </w:p>
        </w:tc>
        <w:tc>
          <w:tcPr>
            <w:tcW w:w="1204" w:type="dxa"/>
            <w:vAlign w:val="center"/>
          </w:tcPr>
          <w:p>
            <w:pPr>
              <w:pStyle w:val="16"/>
            </w:pPr>
            <w:r>
              <w:rPr>
                <w:rFonts w:hint="eastAsia"/>
              </w:rPr>
              <w:t>远程管理通道安全</w:t>
            </w:r>
          </w:p>
        </w:tc>
        <w:tc>
          <w:tcPr>
            <w:tcW w:w="1385" w:type="dxa"/>
            <w:vAlign w:val="center"/>
          </w:tcPr>
          <w:p>
            <w:pPr>
              <w:pStyle w:val="16"/>
              <w:jc w:val="center"/>
            </w:pPr>
            <w:r>
              <w:rPr>
                <w:rFonts w:hint="eastAsia"/>
              </w:rPr>
              <w:t>应</w:t>
            </w:r>
          </w:p>
        </w:tc>
        <w:tc>
          <w:tcPr>
            <w:tcW w:w="1073" w:type="dxa"/>
            <w:vAlign w:val="center"/>
          </w:tcPr>
          <w:p>
            <w:pPr>
              <w:pStyle w:val="16"/>
              <w:jc w:val="center"/>
            </w:pPr>
            <w:r>
              <w:rPr>
                <w:rFonts w:hint="eastAsia"/>
              </w:rPr>
              <w:t>适用</w:t>
            </w:r>
          </w:p>
        </w:tc>
        <w:tc>
          <w:tcPr>
            <w:tcW w:w="2399" w:type="dxa"/>
            <w:vMerge w:val="continue"/>
            <w:vAlign w:val="center"/>
          </w:tcPr>
          <w:p>
            <w:pPr>
              <w:pStyle w:val="16"/>
            </w:pPr>
          </w:p>
        </w:tc>
        <w:tc>
          <w:tcPr>
            <w:tcW w:w="1638" w:type="dxa"/>
            <w:vMerge w:val="continue"/>
            <w:vAlign w:val="center"/>
          </w:tcPr>
          <w:p>
            <w:pPr>
              <w:pStyle w:val="16"/>
              <w:jc w:val="center"/>
            </w:pP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continue"/>
            <w:vAlign w:val="center"/>
          </w:tcPr>
          <w:p>
            <w:pPr>
              <w:pStyle w:val="16"/>
            </w:pPr>
          </w:p>
        </w:tc>
        <w:tc>
          <w:tcPr>
            <w:tcW w:w="1204" w:type="dxa"/>
            <w:vAlign w:val="center"/>
          </w:tcPr>
          <w:p>
            <w:pPr>
              <w:pStyle w:val="16"/>
            </w:pPr>
            <w:r>
              <w:rPr>
                <w:rFonts w:hint="eastAsia"/>
              </w:rPr>
              <w:t>系统资源访问控制信息完整性</w:t>
            </w:r>
          </w:p>
        </w:tc>
        <w:tc>
          <w:tcPr>
            <w:tcW w:w="1385" w:type="dxa"/>
            <w:vAlign w:val="center"/>
          </w:tcPr>
          <w:p>
            <w:pPr>
              <w:pStyle w:val="16"/>
              <w:jc w:val="center"/>
            </w:pPr>
            <w:r>
              <w:rPr>
                <w:rFonts w:hint="eastAsia"/>
              </w:rPr>
              <w:t>宜</w:t>
            </w:r>
          </w:p>
        </w:tc>
        <w:tc>
          <w:tcPr>
            <w:tcW w:w="1073" w:type="dxa"/>
            <w:vAlign w:val="center"/>
          </w:tcPr>
          <w:p>
            <w:pPr>
              <w:pStyle w:val="16"/>
              <w:jc w:val="center"/>
            </w:pPr>
            <w:r>
              <w:rPr>
                <w:rFonts w:hint="eastAsia"/>
              </w:rPr>
              <w:t>适用</w:t>
            </w:r>
          </w:p>
        </w:tc>
        <w:tc>
          <w:tcPr>
            <w:tcW w:w="2399" w:type="dxa"/>
            <w:vAlign w:val="center"/>
          </w:tcPr>
          <w:p>
            <w:pPr>
              <w:pStyle w:val="16"/>
            </w:pPr>
            <w:r>
              <w:rPr>
                <w:rFonts w:hint="eastAsia"/>
              </w:rPr>
              <w:t>通过调用密码支撑平台提供的签名验签服务，基于SM2密码算法对服务器虚拟机、数据库等设备的访问控制信息进行完整性保护。密码服务访问控制信息的完整性保护由其配套的密码产品自身实现。</w:t>
            </w:r>
          </w:p>
        </w:tc>
        <w:tc>
          <w:tcPr>
            <w:tcW w:w="1638" w:type="dxa"/>
            <w:vAlign w:val="center"/>
          </w:tcPr>
          <w:p>
            <w:pPr>
              <w:pStyle w:val="16"/>
              <w:jc w:val="center"/>
            </w:pPr>
            <w:r>
              <w:rPr>
                <w:rFonts w:hint="eastAsia"/>
              </w:rPr>
              <w:t>/</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continue"/>
            <w:vAlign w:val="center"/>
          </w:tcPr>
          <w:p>
            <w:pPr>
              <w:pStyle w:val="16"/>
            </w:pPr>
          </w:p>
        </w:tc>
        <w:tc>
          <w:tcPr>
            <w:tcW w:w="1204" w:type="dxa"/>
            <w:vAlign w:val="center"/>
          </w:tcPr>
          <w:p>
            <w:pPr>
              <w:pStyle w:val="16"/>
            </w:pPr>
            <w:r>
              <w:rPr>
                <w:rFonts w:hint="eastAsia"/>
              </w:rPr>
              <w:t>重要信息资源安全标记完整性</w:t>
            </w:r>
          </w:p>
        </w:tc>
        <w:tc>
          <w:tcPr>
            <w:tcW w:w="1385" w:type="dxa"/>
            <w:vAlign w:val="center"/>
          </w:tcPr>
          <w:p>
            <w:pPr>
              <w:pStyle w:val="16"/>
              <w:jc w:val="center"/>
            </w:pPr>
            <w:r>
              <w:rPr>
                <w:rFonts w:hint="eastAsia"/>
              </w:rPr>
              <w:t>宜</w:t>
            </w:r>
          </w:p>
        </w:tc>
        <w:tc>
          <w:tcPr>
            <w:tcW w:w="1073" w:type="dxa"/>
            <w:vAlign w:val="center"/>
          </w:tcPr>
          <w:p>
            <w:pPr>
              <w:pStyle w:val="16"/>
              <w:jc w:val="center"/>
            </w:pPr>
            <w:r>
              <w:rPr>
                <w:rFonts w:hint="eastAsia"/>
              </w:rPr>
              <w:t>不适用</w:t>
            </w:r>
          </w:p>
        </w:tc>
        <w:tc>
          <w:tcPr>
            <w:tcW w:w="2399" w:type="dxa"/>
            <w:vAlign w:val="center"/>
          </w:tcPr>
          <w:p>
            <w:pPr>
              <w:pStyle w:val="16"/>
              <w:jc w:val="center"/>
            </w:pPr>
            <w:r>
              <w:rPr>
                <w:rFonts w:hint="eastAsia"/>
              </w:rPr>
              <w:t>/</w:t>
            </w:r>
          </w:p>
        </w:tc>
        <w:tc>
          <w:tcPr>
            <w:tcW w:w="1638" w:type="dxa"/>
            <w:vAlign w:val="center"/>
          </w:tcPr>
          <w:p>
            <w:pPr>
              <w:pStyle w:val="16"/>
            </w:pPr>
            <w:r>
              <w:rPr>
                <w:rFonts w:hint="eastAsia"/>
              </w:rPr>
              <w:t>本系统不涉及重要信息资源的安全标记。</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continue"/>
            <w:vAlign w:val="center"/>
          </w:tcPr>
          <w:p>
            <w:pPr>
              <w:pStyle w:val="16"/>
            </w:pPr>
          </w:p>
        </w:tc>
        <w:tc>
          <w:tcPr>
            <w:tcW w:w="1204" w:type="dxa"/>
            <w:vAlign w:val="center"/>
          </w:tcPr>
          <w:p>
            <w:pPr>
              <w:pStyle w:val="16"/>
            </w:pPr>
            <w:r>
              <w:rPr>
                <w:rFonts w:hint="eastAsia"/>
              </w:rPr>
              <w:t>日志记录完整性</w:t>
            </w:r>
          </w:p>
        </w:tc>
        <w:tc>
          <w:tcPr>
            <w:tcW w:w="1385" w:type="dxa"/>
            <w:vAlign w:val="center"/>
          </w:tcPr>
          <w:p>
            <w:pPr>
              <w:pStyle w:val="16"/>
              <w:jc w:val="center"/>
            </w:pPr>
            <w:r>
              <w:rPr>
                <w:rFonts w:hint="eastAsia"/>
              </w:rPr>
              <w:t>宜</w:t>
            </w:r>
          </w:p>
        </w:tc>
        <w:tc>
          <w:tcPr>
            <w:tcW w:w="1073" w:type="dxa"/>
            <w:vAlign w:val="center"/>
          </w:tcPr>
          <w:p>
            <w:pPr>
              <w:pStyle w:val="16"/>
              <w:jc w:val="center"/>
            </w:pPr>
            <w:r>
              <w:rPr>
                <w:rFonts w:hint="eastAsia"/>
              </w:rPr>
              <w:t>适用</w:t>
            </w:r>
          </w:p>
        </w:tc>
        <w:tc>
          <w:tcPr>
            <w:tcW w:w="2399" w:type="dxa"/>
            <w:vAlign w:val="center"/>
          </w:tcPr>
          <w:p>
            <w:pPr>
              <w:pStyle w:val="16"/>
            </w:pPr>
            <w:r>
              <w:rPr>
                <w:rFonts w:hint="eastAsia"/>
              </w:rPr>
              <w:t>通过调用密码支撑平台提供的签名验签服务，基于SM2密码算法对服务器虚拟机、数据库等设备的日志进行完整性保护。密码服务日志记录完整性保护由其配套的密码产品自身实现。</w:t>
            </w:r>
          </w:p>
        </w:tc>
        <w:tc>
          <w:tcPr>
            <w:tcW w:w="1638" w:type="dxa"/>
            <w:vAlign w:val="center"/>
          </w:tcPr>
          <w:p>
            <w:pPr>
              <w:pStyle w:val="16"/>
              <w:jc w:val="center"/>
            </w:pPr>
            <w:r>
              <w:rPr>
                <w:rFonts w:hint="eastAsia"/>
              </w:rPr>
              <w:t>/</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continue"/>
            <w:vAlign w:val="center"/>
          </w:tcPr>
          <w:p>
            <w:pPr>
              <w:pStyle w:val="16"/>
            </w:pPr>
          </w:p>
        </w:tc>
        <w:tc>
          <w:tcPr>
            <w:tcW w:w="1204" w:type="dxa"/>
            <w:vAlign w:val="center"/>
          </w:tcPr>
          <w:p>
            <w:pPr>
              <w:pStyle w:val="16"/>
            </w:pPr>
            <w:r>
              <w:rPr>
                <w:rFonts w:hint="eastAsia"/>
              </w:rPr>
              <w:t>重要可执行程序完整性、重要可执行程序来源真实性</w:t>
            </w:r>
          </w:p>
        </w:tc>
        <w:tc>
          <w:tcPr>
            <w:tcW w:w="1385" w:type="dxa"/>
            <w:vAlign w:val="center"/>
          </w:tcPr>
          <w:p>
            <w:pPr>
              <w:pStyle w:val="16"/>
              <w:jc w:val="center"/>
            </w:pPr>
            <w:r>
              <w:rPr>
                <w:rFonts w:hint="eastAsia"/>
              </w:rPr>
              <w:t>宜</w:t>
            </w:r>
          </w:p>
        </w:tc>
        <w:tc>
          <w:tcPr>
            <w:tcW w:w="1073" w:type="dxa"/>
            <w:vAlign w:val="center"/>
          </w:tcPr>
          <w:p>
            <w:pPr>
              <w:pStyle w:val="16"/>
              <w:jc w:val="center"/>
            </w:pPr>
            <w:r>
              <w:rPr>
                <w:rFonts w:hint="eastAsia"/>
              </w:rPr>
              <w:t>适用</w:t>
            </w:r>
          </w:p>
        </w:tc>
        <w:tc>
          <w:tcPr>
            <w:tcW w:w="2399" w:type="dxa"/>
            <w:vAlign w:val="center"/>
          </w:tcPr>
          <w:p>
            <w:pPr>
              <w:pStyle w:val="16"/>
            </w:pPr>
            <w:r>
              <w:rPr>
                <w:rFonts w:hint="eastAsia"/>
              </w:rPr>
              <w:t>通过调用密码支撑平台提供的签名验签服务，使用基于SM2密码算法的数字证书及其SM2密码算法对应用服务器中重要可执行程序和文件进行数字签名，实现应用服务器中重要可执行程序和文件完整性保护和来源真实性保护。</w:t>
            </w:r>
          </w:p>
        </w:tc>
        <w:tc>
          <w:tcPr>
            <w:tcW w:w="1638" w:type="dxa"/>
            <w:vAlign w:val="center"/>
          </w:tcPr>
          <w:p>
            <w:pPr>
              <w:pStyle w:val="16"/>
              <w:jc w:val="center"/>
            </w:pPr>
            <w:r>
              <w:rPr>
                <w:rFonts w:hint="eastAsia"/>
              </w:rPr>
              <w:t>/</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restart"/>
            <w:vAlign w:val="center"/>
          </w:tcPr>
          <w:p>
            <w:pPr>
              <w:pStyle w:val="16"/>
            </w:pPr>
            <w:r>
              <w:rPr>
                <w:rFonts w:hint="eastAsia"/>
              </w:rPr>
              <w:t>应用和数据安全</w:t>
            </w:r>
          </w:p>
        </w:tc>
        <w:tc>
          <w:tcPr>
            <w:tcW w:w="1204" w:type="dxa"/>
            <w:vAlign w:val="center"/>
          </w:tcPr>
          <w:p>
            <w:pPr>
              <w:pStyle w:val="16"/>
            </w:pPr>
            <w:r>
              <w:rPr>
                <w:rFonts w:hint="eastAsia"/>
              </w:rPr>
              <w:t>身份鉴别</w:t>
            </w:r>
          </w:p>
        </w:tc>
        <w:tc>
          <w:tcPr>
            <w:tcW w:w="1385" w:type="dxa"/>
            <w:vAlign w:val="center"/>
          </w:tcPr>
          <w:p>
            <w:pPr>
              <w:pStyle w:val="16"/>
              <w:jc w:val="center"/>
            </w:pPr>
            <w:r>
              <w:rPr>
                <w:rFonts w:hint="eastAsia"/>
              </w:rPr>
              <w:t>应</w:t>
            </w:r>
          </w:p>
        </w:tc>
        <w:tc>
          <w:tcPr>
            <w:tcW w:w="1073" w:type="dxa"/>
            <w:vAlign w:val="center"/>
          </w:tcPr>
          <w:p>
            <w:pPr>
              <w:pStyle w:val="16"/>
              <w:jc w:val="center"/>
            </w:pPr>
            <w:r>
              <w:rPr>
                <w:rFonts w:hint="eastAsia"/>
              </w:rPr>
              <w:t>适用</w:t>
            </w:r>
          </w:p>
        </w:tc>
        <w:tc>
          <w:tcPr>
            <w:tcW w:w="2399" w:type="dxa"/>
            <w:vAlign w:val="center"/>
          </w:tcPr>
          <w:p>
            <w:pPr>
              <w:pStyle w:val="16"/>
            </w:pPr>
            <w:r>
              <w:rPr>
                <w:rFonts w:hint="eastAsia"/>
              </w:rPr>
              <w:t>在系统政务外网和PC端部署安全浏览器（含密码模块），并向相关用户配发智能密码钥匙，通过调用密码支撑平台的身份鉴别服务，基于SM2密码算法的签名验签机制，对政务外网PC端用户进行身份鉴别。</w:t>
            </w:r>
          </w:p>
        </w:tc>
        <w:tc>
          <w:tcPr>
            <w:tcW w:w="1638" w:type="dxa"/>
            <w:vAlign w:val="center"/>
          </w:tcPr>
          <w:p>
            <w:pPr>
              <w:pStyle w:val="16"/>
              <w:jc w:val="center"/>
            </w:pPr>
            <w:r>
              <w:rPr>
                <w:rFonts w:hint="eastAsia"/>
              </w:rPr>
              <w:t>/</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continue"/>
            <w:vAlign w:val="center"/>
          </w:tcPr>
          <w:p>
            <w:pPr>
              <w:pStyle w:val="16"/>
            </w:pPr>
          </w:p>
        </w:tc>
        <w:tc>
          <w:tcPr>
            <w:tcW w:w="1204" w:type="dxa"/>
            <w:vAlign w:val="center"/>
          </w:tcPr>
          <w:p>
            <w:pPr>
              <w:pStyle w:val="16"/>
            </w:pPr>
            <w:r>
              <w:rPr>
                <w:rFonts w:hint="eastAsia"/>
              </w:rPr>
              <w:t>访问控制信息完整性</w:t>
            </w:r>
          </w:p>
        </w:tc>
        <w:tc>
          <w:tcPr>
            <w:tcW w:w="1385" w:type="dxa"/>
            <w:vAlign w:val="center"/>
          </w:tcPr>
          <w:p>
            <w:pPr>
              <w:pStyle w:val="16"/>
              <w:jc w:val="center"/>
            </w:pPr>
            <w:r>
              <w:rPr>
                <w:rFonts w:hint="eastAsia"/>
              </w:rPr>
              <w:t>宜</w:t>
            </w:r>
          </w:p>
        </w:tc>
        <w:tc>
          <w:tcPr>
            <w:tcW w:w="1073" w:type="dxa"/>
            <w:vAlign w:val="center"/>
          </w:tcPr>
          <w:p>
            <w:pPr>
              <w:pStyle w:val="16"/>
              <w:jc w:val="center"/>
            </w:pPr>
            <w:r>
              <w:rPr>
                <w:rFonts w:hint="eastAsia"/>
              </w:rPr>
              <w:t>适用</w:t>
            </w:r>
          </w:p>
        </w:tc>
        <w:tc>
          <w:tcPr>
            <w:tcW w:w="2399" w:type="dxa"/>
            <w:vAlign w:val="center"/>
          </w:tcPr>
          <w:p>
            <w:pPr>
              <w:pStyle w:val="16"/>
            </w:pPr>
            <w:r>
              <w:rPr>
                <w:rFonts w:hint="eastAsia"/>
              </w:rPr>
              <w:t>通过调用密码支撑平台的签名验签服务，使用SM2密码算法对应用用户访问权限控制列表进行完整性保护。</w:t>
            </w:r>
          </w:p>
        </w:tc>
        <w:tc>
          <w:tcPr>
            <w:tcW w:w="1638" w:type="dxa"/>
            <w:vAlign w:val="center"/>
          </w:tcPr>
          <w:p>
            <w:pPr>
              <w:pStyle w:val="16"/>
              <w:jc w:val="center"/>
            </w:pPr>
            <w:r>
              <w:rPr>
                <w:rFonts w:hint="eastAsia"/>
              </w:rPr>
              <w:t>/</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continue"/>
            <w:vAlign w:val="center"/>
          </w:tcPr>
          <w:p>
            <w:pPr>
              <w:pStyle w:val="16"/>
            </w:pPr>
          </w:p>
        </w:tc>
        <w:tc>
          <w:tcPr>
            <w:tcW w:w="1204" w:type="dxa"/>
            <w:vAlign w:val="center"/>
          </w:tcPr>
          <w:p>
            <w:pPr>
              <w:pStyle w:val="16"/>
            </w:pPr>
            <w:r>
              <w:rPr>
                <w:rFonts w:hint="eastAsia"/>
              </w:rPr>
              <w:t>重要信息资源安全标记完整性</w:t>
            </w:r>
          </w:p>
        </w:tc>
        <w:tc>
          <w:tcPr>
            <w:tcW w:w="1385" w:type="dxa"/>
            <w:vAlign w:val="center"/>
          </w:tcPr>
          <w:p>
            <w:pPr>
              <w:pStyle w:val="16"/>
              <w:jc w:val="center"/>
            </w:pPr>
            <w:r>
              <w:rPr>
                <w:rFonts w:hint="eastAsia"/>
              </w:rPr>
              <w:t>宜</w:t>
            </w:r>
          </w:p>
        </w:tc>
        <w:tc>
          <w:tcPr>
            <w:tcW w:w="1073" w:type="dxa"/>
            <w:vAlign w:val="center"/>
          </w:tcPr>
          <w:p>
            <w:pPr>
              <w:pStyle w:val="16"/>
              <w:jc w:val="center"/>
            </w:pPr>
            <w:r>
              <w:rPr>
                <w:rFonts w:hint="eastAsia"/>
              </w:rPr>
              <w:t>不适用</w:t>
            </w:r>
          </w:p>
        </w:tc>
        <w:tc>
          <w:tcPr>
            <w:tcW w:w="2399" w:type="dxa"/>
            <w:vAlign w:val="center"/>
          </w:tcPr>
          <w:p>
            <w:pPr>
              <w:pStyle w:val="16"/>
              <w:jc w:val="center"/>
            </w:pPr>
            <w:r>
              <w:rPr>
                <w:rFonts w:hint="eastAsia"/>
              </w:rPr>
              <w:t>/</w:t>
            </w:r>
          </w:p>
        </w:tc>
        <w:tc>
          <w:tcPr>
            <w:tcW w:w="1638" w:type="dxa"/>
            <w:vAlign w:val="center"/>
          </w:tcPr>
          <w:p>
            <w:pPr>
              <w:pStyle w:val="16"/>
            </w:pPr>
            <w:r>
              <w:rPr>
                <w:rFonts w:hint="eastAsia"/>
              </w:rPr>
              <w:t>本系统不涉及重要信息资源的安全标记。</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762" w:type="dxa"/>
            <w:vMerge w:val="continue"/>
            <w:vAlign w:val="center"/>
          </w:tcPr>
          <w:p>
            <w:pPr>
              <w:pStyle w:val="16"/>
            </w:pPr>
          </w:p>
        </w:tc>
        <w:tc>
          <w:tcPr>
            <w:tcW w:w="1204" w:type="dxa"/>
            <w:vAlign w:val="center"/>
          </w:tcPr>
          <w:p>
            <w:pPr>
              <w:pStyle w:val="16"/>
            </w:pPr>
            <w:r>
              <w:rPr>
                <w:rFonts w:hint="eastAsia"/>
              </w:rPr>
              <w:t>重要数据传输机密性</w:t>
            </w:r>
          </w:p>
        </w:tc>
        <w:tc>
          <w:tcPr>
            <w:tcW w:w="1385" w:type="dxa"/>
            <w:vAlign w:val="center"/>
          </w:tcPr>
          <w:p>
            <w:pPr>
              <w:pStyle w:val="16"/>
              <w:jc w:val="center"/>
            </w:pPr>
            <w:r>
              <w:rPr>
                <w:rFonts w:hint="eastAsia"/>
              </w:rPr>
              <w:t>应</w:t>
            </w:r>
          </w:p>
        </w:tc>
        <w:tc>
          <w:tcPr>
            <w:tcW w:w="1073" w:type="dxa"/>
            <w:vAlign w:val="center"/>
          </w:tcPr>
          <w:p>
            <w:pPr>
              <w:pStyle w:val="16"/>
              <w:jc w:val="center"/>
            </w:pPr>
            <w:r>
              <w:rPr>
                <w:rFonts w:hint="eastAsia"/>
              </w:rPr>
              <w:t>适用</w:t>
            </w:r>
          </w:p>
        </w:tc>
        <w:tc>
          <w:tcPr>
            <w:tcW w:w="2399" w:type="dxa"/>
            <w:vMerge w:val="restart"/>
            <w:vAlign w:val="center"/>
          </w:tcPr>
          <w:p>
            <w:pPr>
              <w:pStyle w:val="16"/>
            </w:pPr>
            <w:r>
              <w:rPr>
                <w:rFonts w:hint="eastAsia"/>
              </w:rPr>
              <w:t>通过调用密码支撑平台的数据加解密服务，分别使用SM4-CBC算法保护数据、智慧防汛及调度管理业务数据进行存储机密性保护。</w:t>
            </w:r>
          </w:p>
          <w:p>
            <w:pPr>
              <w:pStyle w:val="16"/>
            </w:pPr>
            <w:r>
              <w:rPr>
                <w:rFonts w:hint="eastAsia"/>
              </w:rPr>
              <w:t>通过调用密码支撑平台的签名验签服务，使用SM2密码算法对用户身份鉴别数据和业务日志数据进行存储完整性保护。</w:t>
            </w:r>
          </w:p>
          <w:p>
            <w:pPr>
              <w:pStyle w:val="16"/>
            </w:pPr>
            <w:r>
              <w:rPr>
                <w:rFonts w:hint="eastAsia"/>
              </w:rPr>
              <w:t>通过调用密码支撑平台的安全认证网关服务实现身份鉴别数据、智慧防汛及调度管理业务数据、业务日志数据等重要数据的安全传输防护。</w:t>
            </w:r>
          </w:p>
        </w:tc>
        <w:tc>
          <w:tcPr>
            <w:tcW w:w="1638" w:type="dxa"/>
            <w:vMerge w:val="restart"/>
            <w:vAlign w:val="center"/>
          </w:tcPr>
          <w:p>
            <w:pPr>
              <w:pStyle w:val="16"/>
            </w:pPr>
            <w:r>
              <w:rPr>
                <w:rFonts w:hint="eastAsia"/>
              </w:rPr>
              <w:t>通过网络和通信层面的密码技术，对重要数据的传输机密性和完整性进行弥补和降低风险。</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762" w:type="dxa"/>
            <w:vMerge w:val="continue"/>
            <w:vAlign w:val="center"/>
          </w:tcPr>
          <w:p>
            <w:pPr>
              <w:pStyle w:val="16"/>
            </w:pPr>
          </w:p>
        </w:tc>
        <w:tc>
          <w:tcPr>
            <w:tcW w:w="1204" w:type="dxa"/>
            <w:vAlign w:val="center"/>
          </w:tcPr>
          <w:p>
            <w:pPr>
              <w:pStyle w:val="16"/>
            </w:pPr>
            <w:r>
              <w:rPr>
                <w:rFonts w:hint="eastAsia"/>
              </w:rPr>
              <w:t>重要数据存储机密性</w:t>
            </w:r>
          </w:p>
        </w:tc>
        <w:tc>
          <w:tcPr>
            <w:tcW w:w="1385" w:type="dxa"/>
            <w:vAlign w:val="center"/>
          </w:tcPr>
          <w:p>
            <w:pPr>
              <w:pStyle w:val="16"/>
              <w:jc w:val="center"/>
            </w:pPr>
            <w:r>
              <w:rPr>
                <w:rFonts w:hint="eastAsia"/>
              </w:rPr>
              <w:t>应</w:t>
            </w:r>
          </w:p>
        </w:tc>
        <w:tc>
          <w:tcPr>
            <w:tcW w:w="1073" w:type="dxa"/>
            <w:vAlign w:val="center"/>
          </w:tcPr>
          <w:p>
            <w:pPr>
              <w:pStyle w:val="16"/>
              <w:jc w:val="center"/>
            </w:pPr>
            <w:r>
              <w:rPr>
                <w:rFonts w:hint="eastAsia"/>
              </w:rPr>
              <w:t>适用</w:t>
            </w:r>
          </w:p>
        </w:tc>
        <w:tc>
          <w:tcPr>
            <w:tcW w:w="2399" w:type="dxa"/>
            <w:vMerge w:val="continue"/>
            <w:vAlign w:val="center"/>
          </w:tcPr>
          <w:p>
            <w:pPr>
              <w:pStyle w:val="16"/>
            </w:pPr>
          </w:p>
        </w:tc>
        <w:tc>
          <w:tcPr>
            <w:tcW w:w="1638" w:type="dxa"/>
            <w:vMerge w:val="continue"/>
            <w:vAlign w:val="center"/>
          </w:tcPr>
          <w:p>
            <w:pPr>
              <w:pStyle w:val="16"/>
              <w:jc w:val="center"/>
            </w:pP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762" w:type="dxa"/>
            <w:vMerge w:val="continue"/>
            <w:vAlign w:val="center"/>
          </w:tcPr>
          <w:p>
            <w:pPr>
              <w:pStyle w:val="16"/>
            </w:pPr>
          </w:p>
        </w:tc>
        <w:tc>
          <w:tcPr>
            <w:tcW w:w="1204" w:type="dxa"/>
            <w:vAlign w:val="center"/>
          </w:tcPr>
          <w:p>
            <w:pPr>
              <w:pStyle w:val="16"/>
            </w:pPr>
            <w:r>
              <w:rPr>
                <w:rFonts w:hint="eastAsia"/>
              </w:rPr>
              <w:t>重要数据传输完整性</w:t>
            </w:r>
          </w:p>
        </w:tc>
        <w:tc>
          <w:tcPr>
            <w:tcW w:w="1385" w:type="dxa"/>
            <w:vAlign w:val="center"/>
          </w:tcPr>
          <w:p>
            <w:pPr>
              <w:pStyle w:val="16"/>
              <w:jc w:val="center"/>
            </w:pPr>
            <w:r>
              <w:rPr>
                <w:rFonts w:hint="eastAsia"/>
              </w:rPr>
              <w:t>宜</w:t>
            </w:r>
          </w:p>
        </w:tc>
        <w:tc>
          <w:tcPr>
            <w:tcW w:w="1073" w:type="dxa"/>
            <w:vAlign w:val="center"/>
          </w:tcPr>
          <w:p>
            <w:pPr>
              <w:pStyle w:val="16"/>
              <w:jc w:val="center"/>
            </w:pPr>
            <w:r>
              <w:rPr>
                <w:rFonts w:hint="eastAsia"/>
              </w:rPr>
              <w:t>适用</w:t>
            </w:r>
          </w:p>
        </w:tc>
        <w:tc>
          <w:tcPr>
            <w:tcW w:w="2399" w:type="dxa"/>
            <w:vMerge w:val="continue"/>
            <w:vAlign w:val="center"/>
          </w:tcPr>
          <w:p>
            <w:pPr>
              <w:pStyle w:val="16"/>
            </w:pPr>
          </w:p>
        </w:tc>
        <w:tc>
          <w:tcPr>
            <w:tcW w:w="1638" w:type="dxa"/>
            <w:vMerge w:val="continue"/>
            <w:vAlign w:val="center"/>
          </w:tcPr>
          <w:p>
            <w:pPr>
              <w:pStyle w:val="16"/>
              <w:jc w:val="center"/>
            </w:pP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continue"/>
            <w:vAlign w:val="center"/>
          </w:tcPr>
          <w:p>
            <w:pPr>
              <w:pStyle w:val="16"/>
            </w:pPr>
          </w:p>
        </w:tc>
        <w:tc>
          <w:tcPr>
            <w:tcW w:w="1204" w:type="dxa"/>
            <w:vAlign w:val="center"/>
          </w:tcPr>
          <w:p>
            <w:pPr>
              <w:pStyle w:val="16"/>
            </w:pPr>
            <w:r>
              <w:rPr>
                <w:rFonts w:hint="eastAsia"/>
              </w:rPr>
              <w:t>重要数据存储完整性</w:t>
            </w:r>
          </w:p>
        </w:tc>
        <w:tc>
          <w:tcPr>
            <w:tcW w:w="1385" w:type="dxa"/>
            <w:vAlign w:val="center"/>
          </w:tcPr>
          <w:p>
            <w:pPr>
              <w:pStyle w:val="16"/>
              <w:jc w:val="center"/>
            </w:pPr>
            <w:r>
              <w:rPr>
                <w:rFonts w:hint="eastAsia"/>
              </w:rPr>
              <w:t>宜</w:t>
            </w:r>
          </w:p>
        </w:tc>
        <w:tc>
          <w:tcPr>
            <w:tcW w:w="1073" w:type="dxa"/>
            <w:vAlign w:val="center"/>
          </w:tcPr>
          <w:p>
            <w:pPr>
              <w:pStyle w:val="16"/>
              <w:jc w:val="center"/>
            </w:pPr>
            <w:r>
              <w:rPr>
                <w:rFonts w:hint="eastAsia"/>
              </w:rPr>
              <w:t>适用</w:t>
            </w:r>
          </w:p>
        </w:tc>
        <w:tc>
          <w:tcPr>
            <w:tcW w:w="2399" w:type="dxa"/>
            <w:vMerge w:val="continue"/>
            <w:vAlign w:val="center"/>
          </w:tcPr>
          <w:p>
            <w:pPr>
              <w:pStyle w:val="16"/>
            </w:pPr>
          </w:p>
        </w:tc>
        <w:tc>
          <w:tcPr>
            <w:tcW w:w="1638" w:type="dxa"/>
            <w:vMerge w:val="continue"/>
            <w:vAlign w:val="center"/>
          </w:tcPr>
          <w:p>
            <w:pPr>
              <w:pStyle w:val="16"/>
              <w:jc w:val="center"/>
            </w:pP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continue"/>
            <w:vAlign w:val="center"/>
          </w:tcPr>
          <w:p>
            <w:pPr>
              <w:pStyle w:val="16"/>
            </w:pPr>
          </w:p>
        </w:tc>
        <w:tc>
          <w:tcPr>
            <w:tcW w:w="1204" w:type="dxa"/>
            <w:vAlign w:val="center"/>
          </w:tcPr>
          <w:p>
            <w:pPr>
              <w:pStyle w:val="16"/>
            </w:pPr>
            <w:r>
              <w:rPr>
                <w:rFonts w:hint="eastAsia"/>
              </w:rPr>
              <w:t>不可否认性</w:t>
            </w:r>
          </w:p>
        </w:tc>
        <w:tc>
          <w:tcPr>
            <w:tcW w:w="1385" w:type="dxa"/>
            <w:vAlign w:val="center"/>
          </w:tcPr>
          <w:p>
            <w:pPr>
              <w:pStyle w:val="16"/>
              <w:jc w:val="center"/>
            </w:pPr>
            <w:r>
              <w:rPr>
                <w:rFonts w:hint="eastAsia"/>
              </w:rPr>
              <w:t>宜</w:t>
            </w:r>
          </w:p>
        </w:tc>
        <w:tc>
          <w:tcPr>
            <w:tcW w:w="1073" w:type="dxa"/>
            <w:vAlign w:val="center"/>
          </w:tcPr>
          <w:p>
            <w:pPr>
              <w:pStyle w:val="16"/>
              <w:jc w:val="center"/>
            </w:pPr>
            <w:r>
              <w:rPr>
                <w:rFonts w:hint="eastAsia"/>
              </w:rPr>
              <w:t>适用</w:t>
            </w:r>
          </w:p>
        </w:tc>
        <w:tc>
          <w:tcPr>
            <w:tcW w:w="2399" w:type="dxa"/>
            <w:vAlign w:val="center"/>
          </w:tcPr>
          <w:p>
            <w:pPr>
              <w:pStyle w:val="16"/>
            </w:pPr>
            <w:r>
              <w:rPr>
                <w:rFonts w:hint="eastAsia"/>
              </w:rPr>
              <w:t>通过调用密码支撑平台提供的电子签章服务、时间戳服务，基于SM2密码算法对智慧防汛及调度管理业务数据进行数字签名，并加盖时间戳，实现智慧防汛及调度管理业务数据的完整性保护以及文件签发人操作行为的不可否认性。</w:t>
            </w:r>
          </w:p>
        </w:tc>
        <w:tc>
          <w:tcPr>
            <w:tcW w:w="1638" w:type="dxa"/>
            <w:vAlign w:val="center"/>
          </w:tcPr>
          <w:p>
            <w:pPr>
              <w:pStyle w:val="16"/>
              <w:jc w:val="center"/>
            </w:pPr>
            <w:r>
              <w:rPr>
                <w:rFonts w:hint="eastAsia"/>
              </w:rPr>
              <w:t>/</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restart"/>
            <w:vAlign w:val="center"/>
          </w:tcPr>
          <w:p>
            <w:pPr>
              <w:pStyle w:val="16"/>
            </w:pPr>
            <w:r>
              <w:rPr>
                <w:rFonts w:hint="eastAsia"/>
              </w:rPr>
              <w:t>管理制度</w:t>
            </w:r>
          </w:p>
        </w:tc>
        <w:tc>
          <w:tcPr>
            <w:tcW w:w="1204" w:type="dxa"/>
            <w:vAlign w:val="center"/>
          </w:tcPr>
          <w:p>
            <w:pPr>
              <w:pStyle w:val="16"/>
            </w:pPr>
            <w:r>
              <w:rPr>
                <w:rFonts w:hint="eastAsia"/>
              </w:rPr>
              <w:t>具备密码应用安全管理制度</w:t>
            </w:r>
          </w:p>
        </w:tc>
        <w:tc>
          <w:tcPr>
            <w:tcW w:w="1385" w:type="dxa"/>
            <w:vAlign w:val="center"/>
          </w:tcPr>
          <w:p>
            <w:pPr>
              <w:pStyle w:val="16"/>
              <w:jc w:val="center"/>
            </w:pPr>
            <w:r>
              <w:rPr>
                <w:rFonts w:hint="eastAsia"/>
              </w:rPr>
              <w:t>应</w:t>
            </w:r>
          </w:p>
        </w:tc>
        <w:tc>
          <w:tcPr>
            <w:tcW w:w="1073" w:type="dxa"/>
            <w:vAlign w:val="center"/>
          </w:tcPr>
          <w:p>
            <w:pPr>
              <w:pStyle w:val="16"/>
              <w:jc w:val="center"/>
            </w:pPr>
            <w:r>
              <w:rPr>
                <w:rFonts w:hint="eastAsia"/>
              </w:rPr>
              <w:t>适用</w:t>
            </w:r>
          </w:p>
        </w:tc>
        <w:tc>
          <w:tcPr>
            <w:tcW w:w="2399" w:type="dxa"/>
            <w:vAlign w:val="center"/>
          </w:tcPr>
          <w:p>
            <w:pPr>
              <w:pStyle w:val="16"/>
            </w:pPr>
            <w:r>
              <w:rPr>
                <w:rFonts w:hint="eastAsia"/>
              </w:rPr>
              <w:t>制定密码应用安全管理制度</w:t>
            </w:r>
          </w:p>
        </w:tc>
        <w:tc>
          <w:tcPr>
            <w:tcW w:w="1638" w:type="dxa"/>
            <w:vAlign w:val="center"/>
          </w:tcPr>
          <w:p>
            <w:pPr>
              <w:pStyle w:val="16"/>
              <w:jc w:val="center"/>
            </w:pPr>
            <w:r>
              <w:rPr>
                <w:rFonts w:hint="eastAsia"/>
              </w:rPr>
              <w:t>/</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continue"/>
            <w:vAlign w:val="center"/>
          </w:tcPr>
          <w:p>
            <w:pPr>
              <w:pStyle w:val="16"/>
            </w:pPr>
          </w:p>
        </w:tc>
        <w:tc>
          <w:tcPr>
            <w:tcW w:w="1204" w:type="dxa"/>
            <w:vAlign w:val="center"/>
          </w:tcPr>
          <w:p>
            <w:pPr>
              <w:pStyle w:val="16"/>
            </w:pPr>
            <w:r>
              <w:rPr>
                <w:rFonts w:hint="eastAsia"/>
              </w:rPr>
              <w:t>密钥管理规则</w:t>
            </w:r>
          </w:p>
        </w:tc>
        <w:tc>
          <w:tcPr>
            <w:tcW w:w="1385" w:type="dxa"/>
            <w:vAlign w:val="center"/>
          </w:tcPr>
          <w:p>
            <w:pPr>
              <w:pStyle w:val="16"/>
              <w:jc w:val="center"/>
            </w:pPr>
            <w:r>
              <w:rPr>
                <w:rFonts w:hint="eastAsia"/>
              </w:rPr>
              <w:t>应</w:t>
            </w:r>
          </w:p>
        </w:tc>
        <w:tc>
          <w:tcPr>
            <w:tcW w:w="1073" w:type="dxa"/>
            <w:vAlign w:val="center"/>
          </w:tcPr>
          <w:p>
            <w:pPr>
              <w:pStyle w:val="16"/>
              <w:jc w:val="center"/>
            </w:pPr>
            <w:r>
              <w:rPr>
                <w:rFonts w:hint="eastAsia"/>
              </w:rPr>
              <w:t>适用</w:t>
            </w:r>
          </w:p>
        </w:tc>
        <w:tc>
          <w:tcPr>
            <w:tcW w:w="2399" w:type="dxa"/>
            <w:vAlign w:val="center"/>
          </w:tcPr>
          <w:p>
            <w:pPr>
              <w:pStyle w:val="16"/>
            </w:pPr>
            <w:r>
              <w:rPr>
                <w:rFonts w:hint="eastAsia"/>
              </w:rPr>
              <w:t>制定密钥管理规则</w:t>
            </w:r>
          </w:p>
        </w:tc>
        <w:tc>
          <w:tcPr>
            <w:tcW w:w="1638" w:type="dxa"/>
            <w:vAlign w:val="center"/>
          </w:tcPr>
          <w:p>
            <w:pPr>
              <w:pStyle w:val="16"/>
              <w:jc w:val="center"/>
            </w:pPr>
            <w:r>
              <w:rPr>
                <w:rFonts w:hint="eastAsia"/>
              </w:rPr>
              <w:t>/</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continue"/>
            <w:vAlign w:val="center"/>
          </w:tcPr>
          <w:p>
            <w:pPr>
              <w:pStyle w:val="16"/>
            </w:pPr>
          </w:p>
        </w:tc>
        <w:tc>
          <w:tcPr>
            <w:tcW w:w="1204" w:type="dxa"/>
            <w:vAlign w:val="center"/>
          </w:tcPr>
          <w:p>
            <w:pPr>
              <w:pStyle w:val="16"/>
            </w:pPr>
            <w:r>
              <w:rPr>
                <w:rFonts w:hint="eastAsia"/>
              </w:rPr>
              <w:t>建立操作规程</w:t>
            </w:r>
          </w:p>
        </w:tc>
        <w:tc>
          <w:tcPr>
            <w:tcW w:w="1385" w:type="dxa"/>
            <w:vAlign w:val="center"/>
          </w:tcPr>
          <w:p>
            <w:pPr>
              <w:pStyle w:val="16"/>
              <w:jc w:val="center"/>
            </w:pPr>
            <w:r>
              <w:rPr>
                <w:rFonts w:hint="eastAsia"/>
              </w:rPr>
              <w:t>应</w:t>
            </w:r>
          </w:p>
        </w:tc>
        <w:tc>
          <w:tcPr>
            <w:tcW w:w="1073" w:type="dxa"/>
            <w:vAlign w:val="center"/>
          </w:tcPr>
          <w:p>
            <w:pPr>
              <w:pStyle w:val="16"/>
              <w:jc w:val="center"/>
            </w:pPr>
            <w:r>
              <w:rPr>
                <w:rFonts w:hint="eastAsia"/>
              </w:rPr>
              <w:t>适用</w:t>
            </w:r>
          </w:p>
        </w:tc>
        <w:tc>
          <w:tcPr>
            <w:tcW w:w="2399" w:type="dxa"/>
            <w:vAlign w:val="center"/>
          </w:tcPr>
          <w:p>
            <w:pPr>
              <w:pStyle w:val="16"/>
            </w:pPr>
            <w:r>
              <w:rPr>
                <w:rFonts w:hint="eastAsia"/>
              </w:rPr>
              <w:t>建立操作规程</w:t>
            </w:r>
          </w:p>
        </w:tc>
        <w:tc>
          <w:tcPr>
            <w:tcW w:w="1638" w:type="dxa"/>
            <w:vAlign w:val="center"/>
          </w:tcPr>
          <w:p>
            <w:pPr>
              <w:pStyle w:val="16"/>
              <w:jc w:val="center"/>
            </w:pPr>
            <w:r>
              <w:rPr>
                <w:rFonts w:hint="eastAsia"/>
              </w:rPr>
              <w:t>/</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continue"/>
            <w:vAlign w:val="center"/>
          </w:tcPr>
          <w:p>
            <w:pPr>
              <w:pStyle w:val="16"/>
            </w:pPr>
          </w:p>
        </w:tc>
        <w:tc>
          <w:tcPr>
            <w:tcW w:w="1204" w:type="dxa"/>
            <w:vAlign w:val="center"/>
          </w:tcPr>
          <w:p>
            <w:pPr>
              <w:pStyle w:val="16"/>
            </w:pPr>
            <w:r>
              <w:rPr>
                <w:rFonts w:hint="eastAsia"/>
              </w:rPr>
              <w:t>定期修订安全管理制度</w:t>
            </w:r>
          </w:p>
        </w:tc>
        <w:tc>
          <w:tcPr>
            <w:tcW w:w="1385" w:type="dxa"/>
            <w:vAlign w:val="center"/>
          </w:tcPr>
          <w:p>
            <w:pPr>
              <w:pStyle w:val="16"/>
              <w:jc w:val="center"/>
            </w:pPr>
            <w:r>
              <w:rPr>
                <w:rFonts w:hint="eastAsia"/>
              </w:rPr>
              <w:t>应</w:t>
            </w:r>
          </w:p>
        </w:tc>
        <w:tc>
          <w:tcPr>
            <w:tcW w:w="1073" w:type="dxa"/>
            <w:vAlign w:val="center"/>
          </w:tcPr>
          <w:p>
            <w:pPr>
              <w:pStyle w:val="16"/>
              <w:jc w:val="center"/>
            </w:pPr>
            <w:r>
              <w:rPr>
                <w:rFonts w:hint="eastAsia"/>
              </w:rPr>
              <w:t>适用</w:t>
            </w:r>
          </w:p>
        </w:tc>
        <w:tc>
          <w:tcPr>
            <w:tcW w:w="2399" w:type="dxa"/>
            <w:vAlign w:val="center"/>
          </w:tcPr>
          <w:p>
            <w:pPr>
              <w:pStyle w:val="16"/>
            </w:pPr>
            <w:r>
              <w:rPr>
                <w:rFonts w:hint="eastAsia"/>
              </w:rPr>
              <w:t>定期修订安全管理制度</w:t>
            </w:r>
          </w:p>
        </w:tc>
        <w:tc>
          <w:tcPr>
            <w:tcW w:w="1638" w:type="dxa"/>
            <w:vAlign w:val="center"/>
          </w:tcPr>
          <w:p>
            <w:pPr>
              <w:pStyle w:val="16"/>
              <w:jc w:val="center"/>
            </w:pPr>
            <w:r>
              <w:rPr>
                <w:rFonts w:hint="eastAsia"/>
              </w:rPr>
              <w:t>/</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continue"/>
            <w:vAlign w:val="center"/>
          </w:tcPr>
          <w:p>
            <w:pPr>
              <w:pStyle w:val="16"/>
            </w:pPr>
          </w:p>
        </w:tc>
        <w:tc>
          <w:tcPr>
            <w:tcW w:w="1204" w:type="dxa"/>
            <w:vAlign w:val="center"/>
          </w:tcPr>
          <w:p>
            <w:pPr>
              <w:pStyle w:val="16"/>
            </w:pPr>
            <w:r>
              <w:rPr>
                <w:rFonts w:hint="eastAsia"/>
              </w:rPr>
              <w:t>明确管理制度发布流程</w:t>
            </w:r>
          </w:p>
        </w:tc>
        <w:tc>
          <w:tcPr>
            <w:tcW w:w="1385" w:type="dxa"/>
            <w:vAlign w:val="center"/>
          </w:tcPr>
          <w:p>
            <w:pPr>
              <w:pStyle w:val="16"/>
              <w:jc w:val="center"/>
            </w:pPr>
            <w:r>
              <w:rPr>
                <w:rFonts w:hint="eastAsia"/>
              </w:rPr>
              <w:t>应</w:t>
            </w:r>
          </w:p>
        </w:tc>
        <w:tc>
          <w:tcPr>
            <w:tcW w:w="1073" w:type="dxa"/>
            <w:vAlign w:val="center"/>
          </w:tcPr>
          <w:p>
            <w:pPr>
              <w:pStyle w:val="16"/>
              <w:jc w:val="center"/>
            </w:pPr>
            <w:r>
              <w:rPr>
                <w:rFonts w:hint="eastAsia"/>
              </w:rPr>
              <w:t>适用</w:t>
            </w:r>
          </w:p>
        </w:tc>
        <w:tc>
          <w:tcPr>
            <w:tcW w:w="2399" w:type="dxa"/>
            <w:vAlign w:val="center"/>
          </w:tcPr>
          <w:p>
            <w:pPr>
              <w:pStyle w:val="16"/>
            </w:pPr>
            <w:r>
              <w:rPr>
                <w:rFonts w:hint="eastAsia"/>
              </w:rPr>
              <w:t>明确管理制度发布流程</w:t>
            </w:r>
          </w:p>
        </w:tc>
        <w:tc>
          <w:tcPr>
            <w:tcW w:w="1638" w:type="dxa"/>
            <w:vAlign w:val="center"/>
          </w:tcPr>
          <w:p>
            <w:pPr>
              <w:pStyle w:val="16"/>
              <w:jc w:val="center"/>
            </w:pPr>
            <w:r>
              <w:rPr>
                <w:rFonts w:hint="eastAsia"/>
              </w:rPr>
              <w:t>/</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continue"/>
            <w:vAlign w:val="center"/>
          </w:tcPr>
          <w:p>
            <w:pPr>
              <w:pStyle w:val="16"/>
            </w:pPr>
          </w:p>
        </w:tc>
        <w:tc>
          <w:tcPr>
            <w:tcW w:w="1204" w:type="dxa"/>
            <w:vAlign w:val="center"/>
          </w:tcPr>
          <w:p>
            <w:pPr>
              <w:pStyle w:val="16"/>
            </w:pPr>
            <w:r>
              <w:rPr>
                <w:rFonts w:hint="eastAsia"/>
              </w:rPr>
              <w:t>制度执行过程记录留存</w:t>
            </w:r>
          </w:p>
        </w:tc>
        <w:tc>
          <w:tcPr>
            <w:tcW w:w="1385" w:type="dxa"/>
            <w:vAlign w:val="center"/>
          </w:tcPr>
          <w:p>
            <w:pPr>
              <w:pStyle w:val="16"/>
              <w:jc w:val="center"/>
            </w:pPr>
            <w:r>
              <w:rPr>
                <w:rFonts w:hint="eastAsia"/>
              </w:rPr>
              <w:t>应</w:t>
            </w:r>
          </w:p>
        </w:tc>
        <w:tc>
          <w:tcPr>
            <w:tcW w:w="1073" w:type="dxa"/>
            <w:vAlign w:val="center"/>
          </w:tcPr>
          <w:p>
            <w:pPr>
              <w:pStyle w:val="16"/>
              <w:jc w:val="center"/>
            </w:pPr>
            <w:r>
              <w:rPr>
                <w:rFonts w:hint="eastAsia"/>
              </w:rPr>
              <w:t>适用</w:t>
            </w:r>
          </w:p>
        </w:tc>
        <w:tc>
          <w:tcPr>
            <w:tcW w:w="2399" w:type="dxa"/>
            <w:vAlign w:val="center"/>
          </w:tcPr>
          <w:p>
            <w:pPr>
              <w:pStyle w:val="16"/>
            </w:pPr>
            <w:r>
              <w:rPr>
                <w:rFonts w:hint="eastAsia"/>
              </w:rPr>
              <w:t>留存制度执行过程记录</w:t>
            </w:r>
          </w:p>
        </w:tc>
        <w:tc>
          <w:tcPr>
            <w:tcW w:w="1638" w:type="dxa"/>
            <w:vAlign w:val="center"/>
          </w:tcPr>
          <w:p>
            <w:pPr>
              <w:pStyle w:val="16"/>
              <w:jc w:val="center"/>
            </w:pPr>
            <w:r>
              <w:rPr>
                <w:rFonts w:hint="eastAsia"/>
              </w:rPr>
              <w:t>/</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restart"/>
            <w:vAlign w:val="center"/>
          </w:tcPr>
          <w:p>
            <w:pPr>
              <w:pStyle w:val="16"/>
            </w:pPr>
            <w:r>
              <w:rPr>
                <w:rFonts w:hint="eastAsia"/>
              </w:rPr>
              <w:t>人员管理</w:t>
            </w:r>
          </w:p>
        </w:tc>
        <w:tc>
          <w:tcPr>
            <w:tcW w:w="1204" w:type="dxa"/>
            <w:vAlign w:val="center"/>
          </w:tcPr>
          <w:p>
            <w:pPr>
              <w:pStyle w:val="16"/>
            </w:pPr>
            <w:r>
              <w:rPr>
                <w:rFonts w:hint="eastAsia"/>
              </w:rPr>
              <w:t>了解并遵守密码相关法律法规和密码管理制度</w:t>
            </w:r>
          </w:p>
        </w:tc>
        <w:tc>
          <w:tcPr>
            <w:tcW w:w="1385" w:type="dxa"/>
            <w:vAlign w:val="center"/>
          </w:tcPr>
          <w:p>
            <w:pPr>
              <w:pStyle w:val="16"/>
              <w:jc w:val="center"/>
            </w:pPr>
            <w:r>
              <w:rPr>
                <w:rFonts w:hint="eastAsia"/>
              </w:rPr>
              <w:t>应</w:t>
            </w:r>
          </w:p>
        </w:tc>
        <w:tc>
          <w:tcPr>
            <w:tcW w:w="1073" w:type="dxa"/>
            <w:vAlign w:val="center"/>
          </w:tcPr>
          <w:p>
            <w:pPr>
              <w:pStyle w:val="16"/>
              <w:jc w:val="center"/>
            </w:pPr>
            <w:r>
              <w:rPr>
                <w:rFonts w:hint="eastAsia"/>
              </w:rPr>
              <w:t>适用</w:t>
            </w:r>
          </w:p>
        </w:tc>
        <w:tc>
          <w:tcPr>
            <w:tcW w:w="2399" w:type="dxa"/>
            <w:vAlign w:val="center"/>
          </w:tcPr>
          <w:p>
            <w:pPr>
              <w:pStyle w:val="16"/>
            </w:pPr>
            <w:r>
              <w:rPr>
                <w:rFonts w:hint="eastAsia"/>
              </w:rPr>
              <w:t>对密码相关法律法规和密码管理制度进行定期培训</w:t>
            </w:r>
          </w:p>
        </w:tc>
        <w:tc>
          <w:tcPr>
            <w:tcW w:w="1638" w:type="dxa"/>
            <w:vAlign w:val="center"/>
          </w:tcPr>
          <w:p>
            <w:pPr>
              <w:pStyle w:val="16"/>
              <w:jc w:val="center"/>
            </w:pPr>
            <w:r>
              <w:rPr>
                <w:rFonts w:hint="eastAsia"/>
              </w:rPr>
              <w:t>/</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continue"/>
            <w:vAlign w:val="center"/>
          </w:tcPr>
          <w:p>
            <w:pPr>
              <w:pStyle w:val="16"/>
            </w:pPr>
          </w:p>
        </w:tc>
        <w:tc>
          <w:tcPr>
            <w:tcW w:w="1204" w:type="dxa"/>
            <w:vAlign w:val="center"/>
          </w:tcPr>
          <w:p>
            <w:pPr>
              <w:pStyle w:val="16"/>
            </w:pPr>
            <w:r>
              <w:rPr>
                <w:rFonts w:hint="eastAsia"/>
              </w:rPr>
              <w:t>建立密码应用岗位责任制度</w:t>
            </w:r>
          </w:p>
        </w:tc>
        <w:tc>
          <w:tcPr>
            <w:tcW w:w="1385" w:type="dxa"/>
            <w:vAlign w:val="center"/>
          </w:tcPr>
          <w:p>
            <w:pPr>
              <w:pStyle w:val="16"/>
              <w:jc w:val="center"/>
            </w:pPr>
            <w:r>
              <w:rPr>
                <w:rFonts w:hint="eastAsia"/>
              </w:rPr>
              <w:t>应</w:t>
            </w:r>
          </w:p>
        </w:tc>
        <w:tc>
          <w:tcPr>
            <w:tcW w:w="1073" w:type="dxa"/>
            <w:vAlign w:val="center"/>
          </w:tcPr>
          <w:p>
            <w:pPr>
              <w:pStyle w:val="16"/>
              <w:jc w:val="center"/>
            </w:pPr>
            <w:r>
              <w:rPr>
                <w:rFonts w:hint="eastAsia"/>
              </w:rPr>
              <w:t>适用</w:t>
            </w:r>
          </w:p>
        </w:tc>
        <w:tc>
          <w:tcPr>
            <w:tcW w:w="2399" w:type="dxa"/>
            <w:vAlign w:val="center"/>
          </w:tcPr>
          <w:p>
            <w:pPr>
              <w:pStyle w:val="16"/>
            </w:pPr>
            <w:r>
              <w:rPr>
                <w:rFonts w:hint="eastAsia"/>
              </w:rPr>
              <w:t>建立密码应用岗位责任制度</w:t>
            </w:r>
          </w:p>
        </w:tc>
        <w:tc>
          <w:tcPr>
            <w:tcW w:w="1638" w:type="dxa"/>
            <w:vAlign w:val="center"/>
          </w:tcPr>
          <w:p>
            <w:pPr>
              <w:pStyle w:val="16"/>
              <w:jc w:val="center"/>
            </w:pPr>
            <w:r>
              <w:rPr>
                <w:rFonts w:hint="eastAsia"/>
              </w:rPr>
              <w:t>/</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continue"/>
            <w:vAlign w:val="center"/>
          </w:tcPr>
          <w:p>
            <w:pPr>
              <w:pStyle w:val="16"/>
            </w:pPr>
          </w:p>
        </w:tc>
        <w:tc>
          <w:tcPr>
            <w:tcW w:w="1204" w:type="dxa"/>
            <w:vAlign w:val="center"/>
          </w:tcPr>
          <w:p>
            <w:pPr>
              <w:pStyle w:val="16"/>
            </w:pPr>
            <w:r>
              <w:rPr>
                <w:rFonts w:hint="eastAsia"/>
              </w:rPr>
              <w:t>建立上岗人员培训制度</w:t>
            </w:r>
          </w:p>
        </w:tc>
        <w:tc>
          <w:tcPr>
            <w:tcW w:w="1385" w:type="dxa"/>
            <w:vAlign w:val="center"/>
          </w:tcPr>
          <w:p>
            <w:pPr>
              <w:pStyle w:val="16"/>
              <w:jc w:val="center"/>
            </w:pPr>
            <w:r>
              <w:rPr>
                <w:rFonts w:hint="eastAsia"/>
              </w:rPr>
              <w:t>应</w:t>
            </w:r>
          </w:p>
        </w:tc>
        <w:tc>
          <w:tcPr>
            <w:tcW w:w="1073" w:type="dxa"/>
            <w:vAlign w:val="center"/>
          </w:tcPr>
          <w:p>
            <w:pPr>
              <w:pStyle w:val="16"/>
              <w:jc w:val="center"/>
            </w:pPr>
            <w:r>
              <w:rPr>
                <w:rFonts w:hint="eastAsia"/>
              </w:rPr>
              <w:t>适用</w:t>
            </w:r>
          </w:p>
        </w:tc>
        <w:tc>
          <w:tcPr>
            <w:tcW w:w="2399" w:type="dxa"/>
            <w:vAlign w:val="center"/>
          </w:tcPr>
          <w:p>
            <w:pPr>
              <w:pStyle w:val="16"/>
            </w:pPr>
            <w:r>
              <w:rPr>
                <w:rFonts w:hint="eastAsia"/>
              </w:rPr>
              <w:t>建立上岗人员培训制度</w:t>
            </w:r>
          </w:p>
        </w:tc>
        <w:tc>
          <w:tcPr>
            <w:tcW w:w="1638" w:type="dxa"/>
            <w:vAlign w:val="center"/>
          </w:tcPr>
          <w:p>
            <w:pPr>
              <w:pStyle w:val="16"/>
              <w:jc w:val="center"/>
            </w:pPr>
            <w:r>
              <w:rPr>
                <w:rFonts w:hint="eastAsia"/>
              </w:rPr>
              <w:t>/</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continue"/>
            <w:vAlign w:val="center"/>
          </w:tcPr>
          <w:p>
            <w:pPr>
              <w:pStyle w:val="16"/>
            </w:pPr>
          </w:p>
        </w:tc>
        <w:tc>
          <w:tcPr>
            <w:tcW w:w="1204" w:type="dxa"/>
            <w:vAlign w:val="center"/>
          </w:tcPr>
          <w:p>
            <w:pPr>
              <w:pStyle w:val="16"/>
            </w:pPr>
            <w:r>
              <w:rPr>
                <w:rFonts w:hint="eastAsia"/>
              </w:rPr>
              <w:t>定期进行安全岗位人员考核</w:t>
            </w:r>
          </w:p>
        </w:tc>
        <w:tc>
          <w:tcPr>
            <w:tcW w:w="1385" w:type="dxa"/>
            <w:vAlign w:val="center"/>
          </w:tcPr>
          <w:p>
            <w:pPr>
              <w:pStyle w:val="16"/>
              <w:jc w:val="center"/>
            </w:pPr>
            <w:r>
              <w:rPr>
                <w:rFonts w:hint="eastAsia"/>
              </w:rPr>
              <w:t>应</w:t>
            </w:r>
          </w:p>
        </w:tc>
        <w:tc>
          <w:tcPr>
            <w:tcW w:w="1073" w:type="dxa"/>
            <w:vAlign w:val="center"/>
          </w:tcPr>
          <w:p>
            <w:pPr>
              <w:pStyle w:val="16"/>
              <w:jc w:val="center"/>
            </w:pPr>
            <w:r>
              <w:rPr>
                <w:rFonts w:hint="eastAsia"/>
              </w:rPr>
              <w:t>适用</w:t>
            </w:r>
          </w:p>
        </w:tc>
        <w:tc>
          <w:tcPr>
            <w:tcW w:w="2399" w:type="dxa"/>
            <w:vAlign w:val="center"/>
          </w:tcPr>
          <w:p>
            <w:pPr>
              <w:pStyle w:val="16"/>
            </w:pPr>
            <w:r>
              <w:rPr>
                <w:rFonts w:hint="eastAsia"/>
              </w:rPr>
              <w:t>定期对安全岗位人员进行考核</w:t>
            </w:r>
          </w:p>
        </w:tc>
        <w:tc>
          <w:tcPr>
            <w:tcW w:w="1638" w:type="dxa"/>
            <w:vAlign w:val="center"/>
          </w:tcPr>
          <w:p>
            <w:pPr>
              <w:pStyle w:val="16"/>
              <w:jc w:val="center"/>
            </w:pPr>
            <w:r>
              <w:rPr>
                <w:rFonts w:hint="eastAsia"/>
              </w:rPr>
              <w:t>/</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continue"/>
            <w:vAlign w:val="center"/>
          </w:tcPr>
          <w:p>
            <w:pPr>
              <w:pStyle w:val="16"/>
            </w:pPr>
          </w:p>
        </w:tc>
        <w:tc>
          <w:tcPr>
            <w:tcW w:w="1204" w:type="dxa"/>
            <w:vAlign w:val="center"/>
          </w:tcPr>
          <w:p>
            <w:pPr>
              <w:pStyle w:val="16"/>
            </w:pPr>
            <w:r>
              <w:rPr>
                <w:rFonts w:hint="eastAsia"/>
              </w:rPr>
              <w:t>建立关键岗位人员保密制度和调离制度</w:t>
            </w:r>
          </w:p>
        </w:tc>
        <w:tc>
          <w:tcPr>
            <w:tcW w:w="1385" w:type="dxa"/>
            <w:vAlign w:val="center"/>
          </w:tcPr>
          <w:p>
            <w:pPr>
              <w:pStyle w:val="16"/>
              <w:jc w:val="center"/>
            </w:pPr>
            <w:r>
              <w:rPr>
                <w:rFonts w:hint="eastAsia"/>
              </w:rPr>
              <w:t>应</w:t>
            </w:r>
          </w:p>
        </w:tc>
        <w:tc>
          <w:tcPr>
            <w:tcW w:w="1073" w:type="dxa"/>
            <w:vAlign w:val="center"/>
          </w:tcPr>
          <w:p>
            <w:pPr>
              <w:pStyle w:val="16"/>
              <w:jc w:val="center"/>
            </w:pPr>
            <w:r>
              <w:rPr>
                <w:rFonts w:hint="eastAsia"/>
              </w:rPr>
              <w:t>适用</w:t>
            </w:r>
          </w:p>
        </w:tc>
        <w:tc>
          <w:tcPr>
            <w:tcW w:w="2399" w:type="dxa"/>
            <w:vAlign w:val="center"/>
          </w:tcPr>
          <w:p>
            <w:pPr>
              <w:pStyle w:val="16"/>
            </w:pPr>
            <w:r>
              <w:rPr>
                <w:rFonts w:hint="eastAsia"/>
              </w:rPr>
              <w:t>建立关键岗位人员保密制度和调离制度</w:t>
            </w:r>
          </w:p>
        </w:tc>
        <w:tc>
          <w:tcPr>
            <w:tcW w:w="1638" w:type="dxa"/>
            <w:vAlign w:val="center"/>
          </w:tcPr>
          <w:p>
            <w:pPr>
              <w:pStyle w:val="16"/>
              <w:jc w:val="center"/>
            </w:pPr>
            <w:r>
              <w:rPr>
                <w:rFonts w:hint="eastAsia"/>
              </w:rPr>
              <w:t>/</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restart"/>
            <w:vAlign w:val="center"/>
          </w:tcPr>
          <w:p>
            <w:pPr>
              <w:pStyle w:val="16"/>
            </w:pPr>
            <w:r>
              <w:rPr>
                <w:rFonts w:hint="eastAsia"/>
              </w:rPr>
              <w:t>建设运行</w:t>
            </w:r>
          </w:p>
        </w:tc>
        <w:tc>
          <w:tcPr>
            <w:tcW w:w="1204" w:type="dxa"/>
            <w:vAlign w:val="center"/>
          </w:tcPr>
          <w:p>
            <w:pPr>
              <w:pStyle w:val="16"/>
            </w:pPr>
            <w:r>
              <w:rPr>
                <w:rFonts w:hint="eastAsia"/>
              </w:rPr>
              <w:t>制定密码应用方案</w:t>
            </w:r>
          </w:p>
        </w:tc>
        <w:tc>
          <w:tcPr>
            <w:tcW w:w="1385" w:type="dxa"/>
            <w:vAlign w:val="center"/>
          </w:tcPr>
          <w:p>
            <w:pPr>
              <w:pStyle w:val="16"/>
              <w:jc w:val="center"/>
            </w:pPr>
            <w:r>
              <w:rPr>
                <w:rFonts w:hint="eastAsia"/>
              </w:rPr>
              <w:t>应</w:t>
            </w:r>
          </w:p>
        </w:tc>
        <w:tc>
          <w:tcPr>
            <w:tcW w:w="1073" w:type="dxa"/>
            <w:vAlign w:val="center"/>
          </w:tcPr>
          <w:p>
            <w:pPr>
              <w:pStyle w:val="16"/>
              <w:jc w:val="center"/>
            </w:pPr>
            <w:r>
              <w:rPr>
                <w:rFonts w:hint="eastAsia"/>
              </w:rPr>
              <w:t>适用</w:t>
            </w:r>
          </w:p>
        </w:tc>
        <w:tc>
          <w:tcPr>
            <w:tcW w:w="2399" w:type="dxa"/>
            <w:vAlign w:val="center"/>
          </w:tcPr>
          <w:p>
            <w:pPr>
              <w:pStyle w:val="16"/>
            </w:pPr>
            <w:r>
              <w:rPr>
                <w:rFonts w:hint="eastAsia"/>
              </w:rPr>
              <w:t>制定密码应用方案</w:t>
            </w:r>
          </w:p>
        </w:tc>
        <w:tc>
          <w:tcPr>
            <w:tcW w:w="1638" w:type="dxa"/>
            <w:vAlign w:val="center"/>
          </w:tcPr>
          <w:p>
            <w:pPr>
              <w:pStyle w:val="16"/>
              <w:jc w:val="center"/>
            </w:pPr>
            <w:r>
              <w:rPr>
                <w:rFonts w:hint="eastAsia"/>
              </w:rPr>
              <w:t>/</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continue"/>
            <w:vAlign w:val="center"/>
          </w:tcPr>
          <w:p>
            <w:pPr>
              <w:pStyle w:val="16"/>
            </w:pPr>
          </w:p>
        </w:tc>
        <w:tc>
          <w:tcPr>
            <w:tcW w:w="1204" w:type="dxa"/>
            <w:vAlign w:val="center"/>
          </w:tcPr>
          <w:p>
            <w:pPr>
              <w:pStyle w:val="16"/>
            </w:pPr>
            <w:r>
              <w:rPr>
                <w:rFonts w:hint="eastAsia"/>
              </w:rPr>
              <w:t>制定密钥安全管理策略</w:t>
            </w:r>
          </w:p>
        </w:tc>
        <w:tc>
          <w:tcPr>
            <w:tcW w:w="1385" w:type="dxa"/>
            <w:vAlign w:val="center"/>
          </w:tcPr>
          <w:p>
            <w:pPr>
              <w:pStyle w:val="16"/>
              <w:jc w:val="center"/>
            </w:pPr>
            <w:r>
              <w:rPr>
                <w:rFonts w:hint="eastAsia"/>
              </w:rPr>
              <w:t>应</w:t>
            </w:r>
          </w:p>
        </w:tc>
        <w:tc>
          <w:tcPr>
            <w:tcW w:w="1073" w:type="dxa"/>
            <w:vAlign w:val="center"/>
          </w:tcPr>
          <w:p>
            <w:pPr>
              <w:pStyle w:val="16"/>
              <w:jc w:val="center"/>
            </w:pPr>
            <w:r>
              <w:rPr>
                <w:rFonts w:hint="eastAsia"/>
              </w:rPr>
              <w:t>适用</w:t>
            </w:r>
          </w:p>
        </w:tc>
        <w:tc>
          <w:tcPr>
            <w:tcW w:w="2399" w:type="dxa"/>
            <w:vAlign w:val="center"/>
          </w:tcPr>
          <w:p>
            <w:pPr>
              <w:pStyle w:val="16"/>
            </w:pPr>
            <w:r>
              <w:rPr>
                <w:rFonts w:hint="eastAsia"/>
              </w:rPr>
              <w:t>制定密钥安全管理策略</w:t>
            </w:r>
          </w:p>
        </w:tc>
        <w:tc>
          <w:tcPr>
            <w:tcW w:w="1638" w:type="dxa"/>
            <w:vAlign w:val="center"/>
          </w:tcPr>
          <w:p>
            <w:pPr>
              <w:pStyle w:val="16"/>
              <w:jc w:val="center"/>
            </w:pPr>
            <w:r>
              <w:rPr>
                <w:rFonts w:hint="eastAsia"/>
              </w:rPr>
              <w:t>/</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continue"/>
            <w:vAlign w:val="center"/>
          </w:tcPr>
          <w:p>
            <w:pPr>
              <w:pStyle w:val="16"/>
            </w:pPr>
          </w:p>
        </w:tc>
        <w:tc>
          <w:tcPr>
            <w:tcW w:w="1204" w:type="dxa"/>
            <w:vAlign w:val="center"/>
          </w:tcPr>
          <w:p>
            <w:pPr>
              <w:pStyle w:val="16"/>
            </w:pPr>
            <w:r>
              <w:rPr>
                <w:rFonts w:hint="eastAsia"/>
              </w:rPr>
              <w:t>依据密码应用方案实施建设</w:t>
            </w:r>
          </w:p>
        </w:tc>
        <w:tc>
          <w:tcPr>
            <w:tcW w:w="1385" w:type="dxa"/>
            <w:vAlign w:val="center"/>
          </w:tcPr>
          <w:p>
            <w:pPr>
              <w:pStyle w:val="16"/>
              <w:jc w:val="center"/>
            </w:pPr>
            <w:r>
              <w:rPr>
                <w:rFonts w:hint="eastAsia"/>
              </w:rPr>
              <w:t>应</w:t>
            </w:r>
          </w:p>
        </w:tc>
        <w:tc>
          <w:tcPr>
            <w:tcW w:w="1073" w:type="dxa"/>
            <w:vAlign w:val="center"/>
          </w:tcPr>
          <w:p>
            <w:pPr>
              <w:pStyle w:val="16"/>
              <w:jc w:val="center"/>
            </w:pPr>
            <w:r>
              <w:rPr>
                <w:rFonts w:hint="eastAsia"/>
              </w:rPr>
              <w:t>适用</w:t>
            </w:r>
          </w:p>
        </w:tc>
        <w:tc>
          <w:tcPr>
            <w:tcW w:w="2399" w:type="dxa"/>
            <w:vAlign w:val="center"/>
          </w:tcPr>
          <w:p>
            <w:pPr>
              <w:pStyle w:val="16"/>
            </w:pPr>
            <w:r>
              <w:rPr>
                <w:rFonts w:hint="eastAsia"/>
              </w:rPr>
              <w:t>依据密码应用方案实施建设</w:t>
            </w:r>
          </w:p>
        </w:tc>
        <w:tc>
          <w:tcPr>
            <w:tcW w:w="1638" w:type="dxa"/>
            <w:vAlign w:val="center"/>
          </w:tcPr>
          <w:p>
            <w:pPr>
              <w:pStyle w:val="16"/>
              <w:jc w:val="center"/>
            </w:pPr>
            <w:r>
              <w:rPr>
                <w:rFonts w:hint="eastAsia"/>
              </w:rPr>
              <w:t>/</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continue"/>
            <w:vAlign w:val="center"/>
          </w:tcPr>
          <w:p>
            <w:pPr>
              <w:pStyle w:val="16"/>
            </w:pPr>
          </w:p>
        </w:tc>
        <w:tc>
          <w:tcPr>
            <w:tcW w:w="1204" w:type="dxa"/>
            <w:vAlign w:val="center"/>
          </w:tcPr>
          <w:p>
            <w:pPr>
              <w:pStyle w:val="16"/>
            </w:pPr>
            <w:r>
              <w:rPr>
                <w:rFonts w:hint="eastAsia"/>
              </w:rPr>
              <w:t>投入运行前进行密码应用安全性评估</w:t>
            </w:r>
          </w:p>
        </w:tc>
        <w:tc>
          <w:tcPr>
            <w:tcW w:w="1385" w:type="dxa"/>
            <w:vAlign w:val="center"/>
          </w:tcPr>
          <w:p>
            <w:pPr>
              <w:pStyle w:val="16"/>
              <w:jc w:val="center"/>
            </w:pPr>
            <w:r>
              <w:rPr>
                <w:rFonts w:hint="eastAsia"/>
              </w:rPr>
              <w:t>应</w:t>
            </w:r>
          </w:p>
        </w:tc>
        <w:tc>
          <w:tcPr>
            <w:tcW w:w="1073" w:type="dxa"/>
            <w:vAlign w:val="center"/>
          </w:tcPr>
          <w:p>
            <w:pPr>
              <w:pStyle w:val="16"/>
              <w:jc w:val="center"/>
            </w:pPr>
            <w:r>
              <w:rPr>
                <w:rFonts w:hint="eastAsia"/>
              </w:rPr>
              <w:t>适用</w:t>
            </w:r>
          </w:p>
        </w:tc>
        <w:tc>
          <w:tcPr>
            <w:tcW w:w="2399" w:type="dxa"/>
            <w:vAlign w:val="center"/>
          </w:tcPr>
          <w:p>
            <w:pPr>
              <w:pStyle w:val="16"/>
            </w:pPr>
            <w:r>
              <w:rPr>
                <w:rFonts w:hint="eastAsia"/>
              </w:rPr>
              <w:t>系统投入运行前进行密码应用安全性评估</w:t>
            </w:r>
          </w:p>
        </w:tc>
        <w:tc>
          <w:tcPr>
            <w:tcW w:w="1638" w:type="dxa"/>
            <w:vAlign w:val="center"/>
          </w:tcPr>
          <w:p>
            <w:pPr>
              <w:pStyle w:val="16"/>
              <w:jc w:val="center"/>
            </w:pPr>
            <w:r>
              <w:rPr>
                <w:rFonts w:hint="eastAsia"/>
              </w:rPr>
              <w:t>/</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continue"/>
            <w:vAlign w:val="center"/>
          </w:tcPr>
          <w:p>
            <w:pPr>
              <w:pStyle w:val="16"/>
            </w:pPr>
          </w:p>
        </w:tc>
        <w:tc>
          <w:tcPr>
            <w:tcW w:w="1204" w:type="dxa"/>
            <w:vAlign w:val="center"/>
          </w:tcPr>
          <w:p>
            <w:pPr>
              <w:pStyle w:val="16"/>
            </w:pPr>
            <w:r>
              <w:rPr>
                <w:rFonts w:hint="eastAsia"/>
              </w:rPr>
              <w:t>定期开展密码应用安全性评估及攻防对抗演习</w:t>
            </w:r>
          </w:p>
        </w:tc>
        <w:tc>
          <w:tcPr>
            <w:tcW w:w="1385" w:type="dxa"/>
            <w:vAlign w:val="center"/>
          </w:tcPr>
          <w:p>
            <w:pPr>
              <w:pStyle w:val="16"/>
              <w:jc w:val="center"/>
            </w:pPr>
            <w:r>
              <w:rPr>
                <w:rFonts w:hint="eastAsia"/>
              </w:rPr>
              <w:t>应</w:t>
            </w:r>
          </w:p>
        </w:tc>
        <w:tc>
          <w:tcPr>
            <w:tcW w:w="1073" w:type="dxa"/>
            <w:vAlign w:val="center"/>
          </w:tcPr>
          <w:p>
            <w:pPr>
              <w:pStyle w:val="16"/>
              <w:jc w:val="center"/>
            </w:pPr>
            <w:r>
              <w:rPr>
                <w:rFonts w:hint="eastAsia"/>
              </w:rPr>
              <w:t>适用</w:t>
            </w:r>
          </w:p>
        </w:tc>
        <w:tc>
          <w:tcPr>
            <w:tcW w:w="2399" w:type="dxa"/>
            <w:vAlign w:val="center"/>
          </w:tcPr>
          <w:p>
            <w:pPr>
              <w:pStyle w:val="16"/>
            </w:pPr>
            <w:r>
              <w:rPr>
                <w:rFonts w:hint="eastAsia"/>
              </w:rPr>
              <w:t>定期开展密码应用安全性评估及攻防对抗演习</w:t>
            </w:r>
          </w:p>
        </w:tc>
        <w:tc>
          <w:tcPr>
            <w:tcW w:w="1638" w:type="dxa"/>
            <w:vAlign w:val="center"/>
          </w:tcPr>
          <w:p>
            <w:pPr>
              <w:pStyle w:val="16"/>
              <w:jc w:val="center"/>
            </w:pPr>
            <w:r>
              <w:rPr>
                <w:rFonts w:hint="eastAsia"/>
              </w:rPr>
              <w:t>/</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restart"/>
            <w:vAlign w:val="center"/>
          </w:tcPr>
          <w:p>
            <w:pPr>
              <w:pStyle w:val="16"/>
            </w:pPr>
            <w:r>
              <w:rPr>
                <w:rFonts w:hint="eastAsia"/>
              </w:rPr>
              <w:t>应急处置</w:t>
            </w:r>
          </w:p>
        </w:tc>
        <w:tc>
          <w:tcPr>
            <w:tcW w:w="1204" w:type="dxa"/>
            <w:vAlign w:val="center"/>
          </w:tcPr>
          <w:p>
            <w:pPr>
              <w:pStyle w:val="16"/>
            </w:pPr>
            <w:r>
              <w:rPr>
                <w:rFonts w:hint="eastAsia"/>
              </w:rPr>
              <w:t>应急策略</w:t>
            </w:r>
          </w:p>
        </w:tc>
        <w:tc>
          <w:tcPr>
            <w:tcW w:w="1385" w:type="dxa"/>
            <w:vAlign w:val="center"/>
          </w:tcPr>
          <w:p>
            <w:pPr>
              <w:pStyle w:val="16"/>
              <w:jc w:val="center"/>
            </w:pPr>
            <w:r>
              <w:rPr>
                <w:rFonts w:hint="eastAsia"/>
              </w:rPr>
              <w:t>应</w:t>
            </w:r>
          </w:p>
        </w:tc>
        <w:tc>
          <w:tcPr>
            <w:tcW w:w="1073" w:type="dxa"/>
            <w:vAlign w:val="center"/>
          </w:tcPr>
          <w:p>
            <w:pPr>
              <w:pStyle w:val="16"/>
              <w:jc w:val="center"/>
            </w:pPr>
            <w:r>
              <w:rPr>
                <w:rFonts w:hint="eastAsia"/>
              </w:rPr>
              <w:t>适用</w:t>
            </w:r>
          </w:p>
        </w:tc>
        <w:tc>
          <w:tcPr>
            <w:tcW w:w="2399" w:type="dxa"/>
            <w:vAlign w:val="center"/>
          </w:tcPr>
          <w:p>
            <w:pPr>
              <w:pStyle w:val="16"/>
            </w:pPr>
            <w:r>
              <w:rPr>
                <w:rFonts w:hint="eastAsia"/>
              </w:rPr>
              <w:t>制定密码应用应急策略</w:t>
            </w:r>
          </w:p>
        </w:tc>
        <w:tc>
          <w:tcPr>
            <w:tcW w:w="1638" w:type="dxa"/>
            <w:vAlign w:val="center"/>
          </w:tcPr>
          <w:p>
            <w:pPr>
              <w:pStyle w:val="16"/>
              <w:jc w:val="center"/>
            </w:pPr>
            <w:r>
              <w:rPr>
                <w:rFonts w:hint="eastAsia"/>
              </w:rPr>
              <w:t>/</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continue"/>
            <w:vAlign w:val="center"/>
          </w:tcPr>
          <w:p>
            <w:pPr>
              <w:pStyle w:val="16"/>
            </w:pPr>
          </w:p>
        </w:tc>
        <w:tc>
          <w:tcPr>
            <w:tcW w:w="1204" w:type="dxa"/>
            <w:vAlign w:val="center"/>
          </w:tcPr>
          <w:p>
            <w:pPr>
              <w:pStyle w:val="16"/>
            </w:pPr>
            <w:r>
              <w:rPr>
                <w:rFonts w:hint="eastAsia"/>
              </w:rPr>
              <w:t>事件处置</w:t>
            </w:r>
          </w:p>
        </w:tc>
        <w:tc>
          <w:tcPr>
            <w:tcW w:w="1385" w:type="dxa"/>
            <w:vAlign w:val="center"/>
          </w:tcPr>
          <w:p>
            <w:pPr>
              <w:pStyle w:val="16"/>
              <w:jc w:val="center"/>
            </w:pPr>
            <w:r>
              <w:rPr>
                <w:rFonts w:hint="eastAsia"/>
              </w:rPr>
              <w:t>应</w:t>
            </w:r>
          </w:p>
        </w:tc>
        <w:tc>
          <w:tcPr>
            <w:tcW w:w="1073" w:type="dxa"/>
            <w:vAlign w:val="center"/>
          </w:tcPr>
          <w:p>
            <w:pPr>
              <w:pStyle w:val="16"/>
              <w:jc w:val="center"/>
            </w:pPr>
            <w:r>
              <w:rPr>
                <w:rFonts w:hint="eastAsia"/>
              </w:rPr>
              <w:t>适用</w:t>
            </w:r>
          </w:p>
        </w:tc>
        <w:tc>
          <w:tcPr>
            <w:tcW w:w="2399" w:type="dxa"/>
            <w:vAlign w:val="center"/>
          </w:tcPr>
          <w:p>
            <w:pPr>
              <w:pStyle w:val="16"/>
            </w:pPr>
            <w:r>
              <w:rPr>
                <w:rFonts w:hint="eastAsia"/>
              </w:rPr>
              <w:t>制定密码应用事件处置规范</w:t>
            </w:r>
          </w:p>
        </w:tc>
        <w:tc>
          <w:tcPr>
            <w:tcW w:w="1638" w:type="dxa"/>
            <w:vAlign w:val="center"/>
          </w:tcPr>
          <w:p>
            <w:pPr>
              <w:pStyle w:val="16"/>
              <w:jc w:val="center"/>
            </w:pPr>
            <w:r>
              <w:rPr>
                <w:rFonts w:hint="eastAsia"/>
              </w:rPr>
              <w:t>/</w:t>
            </w:r>
          </w:p>
        </w:tc>
        <w:tc>
          <w:tcPr>
            <w:tcW w:w="1145" w:type="dxa"/>
            <w:vAlign w:val="center"/>
          </w:tcPr>
          <w:p>
            <w:pPr>
              <w:pStyle w:val="16"/>
              <w:jc w:val="center"/>
            </w:pPr>
            <w:r>
              <w:rPr>
                <w:rFonts w:hint="eastAsia"/>
              </w:rPr>
              <w:t>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2" w:type="dxa"/>
            <w:vMerge w:val="continue"/>
            <w:vAlign w:val="center"/>
          </w:tcPr>
          <w:p>
            <w:pPr>
              <w:pStyle w:val="16"/>
            </w:pPr>
          </w:p>
        </w:tc>
        <w:tc>
          <w:tcPr>
            <w:tcW w:w="1204" w:type="dxa"/>
            <w:vAlign w:val="center"/>
          </w:tcPr>
          <w:p>
            <w:pPr>
              <w:pStyle w:val="16"/>
            </w:pPr>
            <w:r>
              <w:rPr>
                <w:rFonts w:hint="eastAsia"/>
              </w:rPr>
              <w:t>向有关主管部门上报处置情况</w:t>
            </w:r>
          </w:p>
        </w:tc>
        <w:tc>
          <w:tcPr>
            <w:tcW w:w="1385" w:type="dxa"/>
            <w:vAlign w:val="center"/>
          </w:tcPr>
          <w:p>
            <w:pPr>
              <w:pStyle w:val="16"/>
              <w:jc w:val="center"/>
            </w:pPr>
            <w:r>
              <w:rPr>
                <w:rFonts w:hint="eastAsia"/>
              </w:rPr>
              <w:t>应</w:t>
            </w:r>
          </w:p>
        </w:tc>
        <w:tc>
          <w:tcPr>
            <w:tcW w:w="1073" w:type="dxa"/>
            <w:vAlign w:val="center"/>
          </w:tcPr>
          <w:p>
            <w:pPr>
              <w:pStyle w:val="16"/>
              <w:jc w:val="center"/>
            </w:pPr>
            <w:r>
              <w:rPr>
                <w:rFonts w:hint="eastAsia"/>
              </w:rPr>
              <w:t>适用</w:t>
            </w:r>
          </w:p>
        </w:tc>
        <w:tc>
          <w:tcPr>
            <w:tcW w:w="2399" w:type="dxa"/>
            <w:vAlign w:val="center"/>
          </w:tcPr>
          <w:p>
            <w:pPr>
              <w:pStyle w:val="16"/>
            </w:pPr>
            <w:r>
              <w:rPr>
                <w:rFonts w:hint="eastAsia"/>
              </w:rPr>
              <w:t>向有关主管部门上报处置情况</w:t>
            </w:r>
          </w:p>
        </w:tc>
        <w:tc>
          <w:tcPr>
            <w:tcW w:w="1638" w:type="dxa"/>
            <w:vAlign w:val="center"/>
          </w:tcPr>
          <w:p>
            <w:pPr>
              <w:pStyle w:val="16"/>
              <w:jc w:val="center"/>
            </w:pPr>
            <w:r>
              <w:rPr>
                <w:rFonts w:hint="eastAsia"/>
              </w:rPr>
              <w:t>/</w:t>
            </w:r>
          </w:p>
        </w:tc>
        <w:tc>
          <w:tcPr>
            <w:tcW w:w="1145" w:type="dxa"/>
            <w:vAlign w:val="center"/>
          </w:tcPr>
          <w:p>
            <w:pPr>
              <w:pStyle w:val="16"/>
              <w:jc w:val="center"/>
            </w:pPr>
            <w:r>
              <w:rPr>
                <w:rFonts w:hint="eastAsia"/>
              </w:rPr>
              <w:t>通过</w:t>
            </w:r>
          </w:p>
        </w:tc>
      </w:tr>
    </w:tbl>
    <w:p>
      <w:pPr>
        <w:ind w:firstLine="560"/>
        <w:rPr>
          <w:rFonts w:hint="eastAsia" w:ascii="仿宋" w:hAnsi="仿宋" w:cs="Arial"/>
          <w:szCs w:val="28"/>
        </w:rPr>
      </w:pPr>
    </w:p>
    <w:p>
      <w:pPr>
        <w:pStyle w:val="3"/>
      </w:pPr>
      <w:bookmarkStart w:id="33" w:name="_Toc63785512"/>
      <w:r>
        <w:rPr>
          <w:rFonts w:hint="eastAsia"/>
        </w:rPr>
        <w:t>技术文件要求</w:t>
      </w:r>
    </w:p>
    <w:p>
      <w:r>
        <w:rPr>
          <w:rFonts w:hint="eastAsia"/>
        </w:rPr>
        <w:t>投标人提供的书面技术资料应能确保系统正常运行所需的管理、运营及维护有关的全套文件。技术文件应该全面、完整、详细。投标人提供的技术文件至少应包括：</w:t>
      </w:r>
    </w:p>
    <w:p>
      <w:r>
        <w:rPr>
          <w:rFonts w:hint="eastAsia"/>
        </w:rPr>
        <w:t>－</w:t>
      </w:r>
      <w:r>
        <w:t xml:space="preserve"> 系统说明文件； </w:t>
      </w:r>
    </w:p>
    <w:p>
      <w:r>
        <w:rPr>
          <w:rFonts w:hint="eastAsia"/>
        </w:rPr>
        <w:t>－</w:t>
      </w:r>
      <w:r>
        <w:t xml:space="preserve"> 技术手册(安装、测试、操作、维护、故障排除等)； </w:t>
      </w:r>
    </w:p>
    <w:p>
      <w:r>
        <w:rPr>
          <w:rFonts w:hint="eastAsia"/>
        </w:rPr>
        <w:t>－</w:t>
      </w:r>
      <w:r>
        <w:t xml:space="preserve"> 项目文档，应该包括：</w:t>
      </w:r>
    </w:p>
    <w:p>
      <w:pPr>
        <w:ind w:left="360"/>
      </w:pPr>
      <w:r>
        <w:t>(1)软件需求说明书</w:t>
      </w:r>
    </w:p>
    <w:p>
      <w:pPr>
        <w:ind w:left="360"/>
      </w:pPr>
      <w:r>
        <w:t>(2)</w:t>
      </w:r>
      <w:r>
        <w:tab/>
      </w:r>
      <w:r>
        <w:t>系统总体设计说明书</w:t>
      </w:r>
    </w:p>
    <w:p>
      <w:pPr>
        <w:ind w:left="360"/>
      </w:pPr>
      <w:r>
        <w:t>(3)</w:t>
      </w:r>
      <w:r>
        <w:tab/>
      </w:r>
      <w:r>
        <w:t>应用软件功能清单</w:t>
      </w:r>
    </w:p>
    <w:p>
      <w:r>
        <w:rPr>
          <w:rFonts w:hint="eastAsia"/>
        </w:rPr>
        <w:t>提供全套技术文件纸介质</w:t>
      </w:r>
      <w:r>
        <w:t>3套以及电子文件1套。</w:t>
      </w:r>
    </w:p>
    <w:p>
      <w:pPr>
        <w:pStyle w:val="2"/>
      </w:pPr>
      <w:r>
        <w:rPr>
          <w:rFonts w:hint="eastAsia"/>
        </w:rPr>
        <w:t>供应商管理要求</w:t>
      </w:r>
      <w:bookmarkEnd w:id="33"/>
    </w:p>
    <w:p>
      <w:pPr>
        <w:pStyle w:val="80"/>
        <w:ind w:firstLine="480"/>
        <w:rPr>
          <w:sz w:val="24"/>
          <w:szCs w:val="24"/>
        </w:rPr>
      </w:pPr>
      <w:r>
        <w:rPr>
          <w:rFonts w:hint="eastAsia"/>
          <w:sz w:val="24"/>
          <w:szCs w:val="24"/>
        </w:rPr>
        <w:t>1、在项目实施期间，中标人应严格执行国家、地方、行业有关本项目业务管理和安全作业的法律、法规和制度并按规定承担相应的费用。中标人因违反规定等原因造成的一切损失和责任由中标人自行承担。</w:t>
      </w:r>
    </w:p>
    <w:p>
      <w:pPr>
        <w:pStyle w:val="80"/>
        <w:ind w:firstLine="480"/>
        <w:rPr>
          <w:sz w:val="24"/>
          <w:szCs w:val="24"/>
        </w:rPr>
      </w:pPr>
      <w:r>
        <w:rPr>
          <w:rFonts w:hint="eastAsia"/>
          <w:sz w:val="24"/>
          <w:szCs w:val="24"/>
        </w:rPr>
        <w:t>2、中标人在投标书中承诺并经招标人认定的项目负责人及专业技术人员必须是本单位职工（在本单位缴纳社会保障金）和该项目实施现场的实际操作者，应具有类似本项目的实施经验，并应在软件应用调研、安装、试运行等期间常驻项目现场。未经采购人同意，中标人不得调换或撤离上述人员。如采购人认为有必要，可要求中标人对上述人员中的部分人员作出更好的调整。</w:t>
      </w:r>
    </w:p>
    <w:p>
      <w:pPr>
        <w:pStyle w:val="80"/>
        <w:ind w:firstLine="480"/>
        <w:rPr>
          <w:sz w:val="24"/>
          <w:szCs w:val="24"/>
        </w:rPr>
      </w:pPr>
      <w:r>
        <w:rPr>
          <w:rFonts w:hint="eastAsia"/>
          <w:sz w:val="24"/>
          <w:szCs w:val="24"/>
        </w:rPr>
        <w:t>3、中标人在项目实施期间，应按项目实际进度与环节落实所对应项目整体及各环节管理工作，按照规范做好项目实施期间相关管理与实施记录。</w:t>
      </w:r>
    </w:p>
    <w:p>
      <w:pPr>
        <w:pStyle w:val="80"/>
        <w:ind w:firstLine="480"/>
        <w:rPr>
          <w:sz w:val="24"/>
          <w:szCs w:val="24"/>
        </w:rPr>
      </w:pPr>
      <w:r>
        <w:rPr>
          <w:rFonts w:hint="eastAsia"/>
          <w:sz w:val="24"/>
          <w:szCs w:val="24"/>
        </w:rPr>
        <w:t>4、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必须得到采购人项目联系人确认。</w:t>
      </w:r>
    </w:p>
    <w:p>
      <w:pPr>
        <w:pStyle w:val="80"/>
        <w:ind w:firstLine="480"/>
        <w:rPr>
          <w:sz w:val="24"/>
          <w:szCs w:val="24"/>
        </w:rPr>
      </w:pPr>
      <w:r>
        <w:rPr>
          <w:rFonts w:hint="eastAsia"/>
          <w:sz w:val="24"/>
          <w:szCs w:val="24"/>
        </w:rPr>
        <w:t>5、中标人在项目实施期间必须遵守采购人的规章制度并提供实施人员名单。</w:t>
      </w:r>
    </w:p>
    <w:p>
      <w:pPr>
        <w:pStyle w:val="80"/>
        <w:ind w:firstLine="480"/>
        <w:rPr>
          <w:sz w:val="24"/>
          <w:szCs w:val="24"/>
        </w:rPr>
      </w:pPr>
      <w:r>
        <w:rPr>
          <w:rFonts w:hint="eastAsia"/>
          <w:sz w:val="24"/>
          <w:szCs w:val="24"/>
        </w:rPr>
        <w:t>6、各投标人在投标文件中要结合本项目的特点和采购人上述的具体要求制定相应的管理措施，并在报价中列支相应的费用清单，投标人报价中未列支上述费用清单的，上述费用视为已包含在投标人的投标总报价中。</w:t>
      </w:r>
    </w:p>
    <w:p>
      <w:pPr>
        <w:pStyle w:val="80"/>
        <w:ind w:firstLine="480"/>
      </w:pPr>
      <w:r>
        <w:rPr>
          <w:rFonts w:hint="eastAsia"/>
          <w:sz w:val="24"/>
          <w:szCs w:val="24"/>
        </w:rPr>
        <w:t>7、本项目软件开发及调试将纳入采购人的管理范围，中标人在此过程中须服从上述单位的管理协调。</w:t>
      </w:r>
    </w:p>
    <w:p>
      <w:pPr>
        <w:pStyle w:val="80"/>
        <w:ind w:firstLine="420"/>
      </w:pPr>
    </w:p>
    <w:p>
      <w:pPr>
        <w:pStyle w:val="2"/>
      </w:pPr>
      <w:bookmarkStart w:id="34" w:name="_Toc63785513"/>
      <w:r>
        <w:rPr>
          <w:rFonts w:hint="eastAsia"/>
        </w:rPr>
        <w:t>关于转让和分包的规定</w:t>
      </w:r>
    </w:p>
    <w:p>
      <w:pPr>
        <w:numPr>
          <w:ilvl w:val="255"/>
          <w:numId w:val="0"/>
        </w:numPr>
        <w:spacing w:line="560" w:lineRule="exact"/>
        <w:ind w:firstLine="48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本项目不得转让、项目主体不得分包；非主体部分可分包履行。</w:t>
      </w:r>
    </w:p>
    <w:p>
      <w:pPr>
        <w:numPr>
          <w:ilvl w:val="255"/>
          <w:numId w:val="0"/>
        </w:numPr>
        <w:spacing w:line="560" w:lineRule="exact"/>
        <w:ind w:firstLine="48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非主体内容如下：</w:t>
      </w:r>
    </w:p>
    <w:p>
      <w:pPr>
        <w:numPr>
          <w:ilvl w:val="255"/>
          <w:numId w:val="0"/>
        </w:numPr>
        <w:spacing w:line="560" w:lineRule="exact"/>
        <w:rPr>
          <w:rFonts w:hint="eastAsia" w:ascii="Times New Roman" w:hAnsi="仿宋" w:eastAsia="仿宋_GB2312"/>
          <w:b/>
          <w:sz w:val="28"/>
          <w:szCs w:val="28"/>
        </w:rPr>
      </w:pPr>
    </w:p>
    <w:tbl>
      <w:tblPr>
        <w:tblStyle w:val="35"/>
        <w:tblW w:w="8822" w:type="dxa"/>
        <w:tblInd w:w="98" w:type="dxa"/>
        <w:tblLayout w:type="fixed"/>
        <w:tblCellMar>
          <w:top w:w="0" w:type="dxa"/>
          <w:left w:w="108" w:type="dxa"/>
          <w:bottom w:w="0" w:type="dxa"/>
          <w:right w:w="108" w:type="dxa"/>
        </w:tblCellMar>
      </w:tblPr>
      <w:tblGrid>
        <w:gridCol w:w="771"/>
        <w:gridCol w:w="3421"/>
        <w:gridCol w:w="2213"/>
        <w:gridCol w:w="2417"/>
      </w:tblGrid>
      <w:tr>
        <w:tblPrEx>
          <w:tblCellMar>
            <w:top w:w="0" w:type="dxa"/>
            <w:left w:w="108" w:type="dxa"/>
            <w:bottom w:w="0" w:type="dxa"/>
            <w:right w:w="108" w:type="dxa"/>
          </w:tblCellMar>
        </w:tblPrEx>
        <w:trPr>
          <w:trHeight w:val="280" w:hRule="atLeast"/>
        </w:trPr>
        <w:tc>
          <w:tcPr>
            <w:tcW w:w="771" w:type="dxa"/>
            <w:tcBorders>
              <w:top w:val="single" w:color="auto" w:sz="8" w:space="0"/>
              <w:left w:val="single" w:color="auto" w:sz="8" w:space="0"/>
              <w:bottom w:val="single" w:color="auto" w:sz="4" w:space="0"/>
              <w:right w:val="single" w:color="auto" w:sz="4" w:space="0"/>
            </w:tcBorders>
            <w:noWrap/>
            <w:vAlign w:val="center"/>
          </w:tcPr>
          <w:p>
            <w:pPr>
              <w:widowControl/>
              <w:ind w:firstLine="0" w:firstLineChars="0"/>
              <w:jc w:val="center"/>
              <w:textAlignment w:val="center"/>
              <w:rPr>
                <w:rFonts w:hint="eastAsia" w:cs="宋体"/>
                <w:b/>
                <w:bCs/>
                <w:color w:val="000000"/>
                <w:sz w:val="22"/>
                <w:szCs w:val="22"/>
              </w:rPr>
            </w:pPr>
            <w:r>
              <w:rPr>
                <w:rFonts w:hint="eastAsia" w:cs="宋体"/>
                <w:b/>
                <w:bCs/>
                <w:color w:val="000000"/>
                <w:kern w:val="0"/>
                <w:lang w:bidi="ar"/>
              </w:rPr>
              <w:t>序号</w:t>
            </w:r>
          </w:p>
        </w:tc>
        <w:tc>
          <w:tcPr>
            <w:tcW w:w="3421" w:type="dxa"/>
            <w:tcBorders>
              <w:top w:val="single" w:color="auto" w:sz="8" w:space="0"/>
              <w:left w:val="single" w:color="auto" w:sz="4" w:space="0"/>
              <w:bottom w:val="single" w:color="auto" w:sz="4" w:space="0"/>
              <w:right w:val="single" w:color="auto" w:sz="4" w:space="0"/>
            </w:tcBorders>
            <w:noWrap/>
            <w:vAlign w:val="center"/>
          </w:tcPr>
          <w:p>
            <w:pPr>
              <w:widowControl/>
              <w:ind w:firstLine="0" w:firstLineChars="0"/>
              <w:jc w:val="center"/>
              <w:textAlignment w:val="center"/>
              <w:rPr>
                <w:rFonts w:hint="eastAsia" w:cs="宋体"/>
                <w:b/>
                <w:bCs/>
                <w:color w:val="000000"/>
                <w:kern w:val="0"/>
                <w:lang w:bidi="ar"/>
              </w:rPr>
            </w:pPr>
            <w:r>
              <w:rPr>
                <w:rFonts w:hint="eastAsia" w:cs="宋体"/>
                <w:b/>
                <w:bCs/>
                <w:color w:val="000000"/>
                <w:kern w:val="0"/>
                <w:lang w:bidi="ar"/>
              </w:rPr>
              <w:t>模块名称</w:t>
            </w:r>
          </w:p>
        </w:tc>
        <w:tc>
          <w:tcPr>
            <w:tcW w:w="2213" w:type="dxa"/>
            <w:tcBorders>
              <w:top w:val="single" w:color="auto" w:sz="8" w:space="0"/>
              <w:left w:val="single" w:color="auto" w:sz="4" w:space="0"/>
              <w:bottom w:val="single" w:color="auto" w:sz="4" w:space="0"/>
              <w:right w:val="single" w:color="auto" w:sz="4" w:space="0"/>
            </w:tcBorders>
            <w:noWrap/>
            <w:vAlign w:val="center"/>
          </w:tcPr>
          <w:p>
            <w:pPr>
              <w:widowControl/>
              <w:ind w:firstLine="0" w:firstLineChars="0"/>
              <w:jc w:val="center"/>
              <w:textAlignment w:val="center"/>
              <w:rPr>
                <w:rFonts w:hint="eastAsia" w:cs="宋体"/>
                <w:b/>
                <w:bCs/>
                <w:color w:val="000000"/>
                <w:sz w:val="22"/>
                <w:szCs w:val="22"/>
              </w:rPr>
            </w:pPr>
            <w:r>
              <w:rPr>
                <w:rFonts w:hint="eastAsia" w:cs="宋体"/>
                <w:b/>
                <w:bCs/>
                <w:color w:val="000000"/>
                <w:kern w:val="0"/>
                <w:lang w:bidi="ar"/>
              </w:rPr>
              <w:t>模块金额（元）</w:t>
            </w:r>
          </w:p>
        </w:tc>
        <w:tc>
          <w:tcPr>
            <w:tcW w:w="2417" w:type="dxa"/>
            <w:tcBorders>
              <w:top w:val="single" w:color="auto" w:sz="8" w:space="0"/>
              <w:left w:val="single" w:color="auto" w:sz="4" w:space="0"/>
              <w:bottom w:val="single" w:color="auto" w:sz="4" w:space="0"/>
              <w:right w:val="single" w:color="auto" w:sz="8" w:space="0"/>
            </w:tcBorders>
            <w:noWrap/>
            <w:vAlign w:val="center"/>
          </w:tcPr>
          <w:p>
            <w:pPr>
              <w:widowControl/>
              <w:ind w:firstLine="0" w:firstLineChars="0"/>
              <w:jc w:val="center"/>
              <w:textAlignment w:val="center"/>
              <w:rPr>
                <w:rFonts w:hint="eastAsia" w:cs="宋体"/>
                <w:b/>
                <w:bCs/>
                <w:color w:val="000000"/>
                <w:sz w:val="22"/>
                <w:szCs w:val="22"/>
              </w:rPr>
            </w:pPr>
            <w:r>
              <w:rPr>
                <w:rFonts w:hint="eastAsia" w:cs="宋体"/>
                <w:b/>
                <w:bCs/>
                <w:color w:val="000000"/>
                <w:kern w:val="0"/>
                <w:lang w:bidi="ar"/>
              </w:rPr>
              <w:t>人员要求</w:t>
            </w:r>
          </w:p>
        </w:tc>
      </w:tr>
      <w:tr>
        <w:tblPrEx>
          <w:tblCellMar>
            <w:top w:w="0" w:type="dxa"/>
            <w:left w:w="108" w:type="dxa"/>
            <w:bottom w:w="0" w:type="dxa"/>
            <w:right w:w="108" w:type="dxa"/>
          </w:tblCellMar>
        </w:tblPrEx>
        <w:trPr>
          <w:trHeight w:val="280" w:hRule="atLeast"/>
        </w:trPr>
        <w:tc>
          <w:tcPr>
            <w:tcW w:w="771" w:type="dxa"/>
            <w:tcBorders>
              <w:top w:val="single" w:color="auto" w:sz="4" w:space="0"/>
              <w:left w:val="single" w:color="auto" w:sz="8" w:space="0"/>
              <w:bottom w:val="single" w:color="auto" w:sz="4" w:space="0"/>
              <w:right w:val="single" w:color="auto" w:sz="4" w:space="0"/>
            </w:tcBorders>
            <w:noWrap/>
            <w:vAlign w:val="center"/>
          </w:tcPr>
          <w:p>
            <w:pPr>
              <w:widowControl/>
              <w:ind w:firstLine="0" w:firstLineChars="0"/>
              <w:jc w:val="center"/>
              <w:textAlignment w:val="center"/>
              <w:rPr>
                <w:rFonts w:hint="eastAsia" w:cs="宋体"/>
                <w:b/>
                <w:bCs/>
                <w:color w:val="000000"/>
                <w:sz w:val="22"/>
                <w:szCs w:val="22"/>
              </w:rPr>
            </w:pPr>
            <w:r>
              <w:rPr>
                <w:rFonts w:hint="eastAsia" w:cs="宋体"/>
                <w:b/>
                <w:bCs/>
                <w:color w:val="000000"/>
                <w:kern w:val="0"/>
                <w:lang w:bidi="ar"/>
              </w:rPr>
              <w:t>1</w:t>
            </w:r>
          </w:p>
        </w:tc>
        <w:tc>
          <w:tcPr>
            <w:tcW w:w="3421" w:type="dxa"/>
            <w:tcBorders>
              <w:top w:val="single" w:color="auto" w:sz="4" w:space="0"/>
              <w:left w:val="single" w:color="auto" w:sz="4" w:space="0"/>
              <w:bottom w:val="single" w:color="auto" w:sz="4" w:space="0"/>
              <w:right w:val="single" w:color="auto" w:sz="4" w:space="0"/>
            </w:tcBorders>
            <w:noWrap/>
            <w:vAlign w:val="center"/>
          </w:tcPr>
          <w:p>
            <w:pPr>
              <w:widowControl/>
              <w:ind w:firstLine="0" w:firstLineChars="0"/>
              <w:textAlignment w:val="center"/>
              <w:rPr>
                <w:rFonts w:hint="eastAsia" w:cs="宋体"/>
                <w:color w:val="000000"/>
              </w:rPr>
            </w:pPr>
            <w:r>
              <w:rPr>
                <w:rFonts w:hint="eastAsia" w:cs="宋体"/>
                <w:color w:val="000000"/>
                <w:lang w:bidi="ar"/>
              </w:rPr>
              <w:t>AI智算和知识层-防汛智能体大模型-智能体</w:t>
            </w:r>
          </w:p>
        </w:tc>
        <w:tc>
          <w:tcPr>
            <w:tcW w:w="2213" w:type="dxa"/>
            <w:tcBorders>
              <w:top w:val="single" w:color="auto" w:sz="4" w:space="0"/>
              <w:left w:val="single" w:color="auto" w:sz="4" w:space="0"/>
              <w:bottom w:val="single" w:color="auto" w:sz="4" w:space="0"/>
              <w:right w:val="single" w:color="auto" w:sz="4" w:space="0"/>
            </w:tcBorders>
            <w:noWrap/>
            <w:vAlign w:val="center"/>
          </w:tcPr>
          <w:p>
            <w:pPr>
              <w:widowControl/>
              <w:ind w:firstLine="0" w:firstLineChars="0"/>
              <w:jc w:val="center"/>
              <w:textAlignment w:val="center"/>
              <w:rPr>
                <w:rFonts w:hint="eastAsia" w:cs="宋体"/>
                <w:color w:val="000000"/>
                <w:lang w:bidi="ar"/>
              </w:rPr>
            </w:pPr>
            <w:r>
              <w:rPr>
                <w:rFonts w:hint="eastAsia" w:cs="宋体"/>
                <w:color w:val="000000"/>
                <w:lang w:bidi="ar"/>
              </w:rPr>
              <w:t xml:space="preserve"> 1,250,000.00 </w:t>
            </w:r>
          </w:p>
        </w:tc>
        <w:tc>
          <w:tcPr>
            <w:tcW w:w="2417" w:type="dxa"/>
            <w:tcBorders>
              <w:top w:val="single" w:color="auto" w:sz="4" w:space="0"/>
              <w:left w:val="single" w:color="auto" w:sz="4" w:space="0"/>
              <w:bottom w:val="single" w:color="auto" w:sz="4" w:space="0"/>
              <w:right w:val="single" w:color="auto" w:sz="8" w:space="0"/>
            </w:tcBorders>
            <w:noWrap/>
            <w:vAlign w:val="center"/>
          </w:tcPr>
          <w:p>
            <w:pPr>
              <w:widowControl/>
              <w:ind w:firstLine="0" w:firstLineChars="0"/>
              <w:jc w:val="center"/>
              <w:textAlignment w:val="center"/>
              <w:rPr>
                <w:rFonts w:hint="eastAsia" w:cs="宋体"/>
                <w:color w:val="000000"/>
              </w:rPr>
            </w:pPr>
            <w:r>
              <w:rPr>
                <w:rFonts w:hint="eastAsia" w:cs="宋体"/>
                <w:color w:val="000000"/>
                <w:lang w:bidi="ar"/>
              </w:rPr>
              <w:t>2（1人驻场）</w:t>
            </w:r>
          </w:p>
        </w:tc>
      </w:tr>
      <w:tr>
        <w:tblPrEx>
          <w:tblCellMar>
            <w:top w:w="0" w:type="dxa"/>
            <w:left w:w="108" w:type="dxa"/>
            <w:bottom w:w="0" w:type="dxa"/>
            <w:right w:w="108" w:type="dxa"/>
          </w:tblCellMar>
        </w:tblPrEx>
        <w:trPr>
          <w:trHeight w:val="280" w:hRule="atLeast"/>
        </w:trPr>
        <w:tc>
          <w:tcPr>
            <w:tcW w:w="771" w:type="dxa"/>
            <w:tcBorders>
              <w:top w:val="single" w:color="auto" w:sz="4" w:space="0"/>
              <w:left w:val="single" w:color="auto" w:sz="8" w:space="0"/>
              <w:bottom w:val="single" w:color="auto" w:sz="4" w:space="0"/>
              <w:right w:val="single" w:color="auto" w:sz="4" w:space="0"/>
            </w:tcBorders>
            <w:noWrap/>
            <w:vAlign w:val="center"/>
          </w:tcPr>
          <w:p>
            <w:pPr>
              <w:widowControl/>
              <w:ind w:firstLine="0" w:firstLineChars="0"/>
              <w:jc w:val="center"/>
              <w:textAlignment w:val="center"/>
              <w:rPr>
                <w:rFonts w:hint="eastAsia" w:cs="宋体"/>
                <w:b/>
                <w:bCs/>
                <w:color w:val="000000"/>
                <w:sz w:val="22"/>
                <w:szCs w:val="22"/>
              </w:rPr>
            </w:pPr>
            <w:r>
              <w:rPr>
                <w:rFonts w:hint="eastAsia" w:cs="宋体"/>
                <w:b/>
                <w:bCs/>
                <w:color w:val="000000"/>
                <w:kern w:val="0"/>
                <w:lang w:bidi="ar"/>
              </w:rPr>
              <w:t>2</w:t>
            </w:r>
          </w:p>
        </w:tc>
        <w:tc>
          <w:tcPr>
            <w:tcW w:w="342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textAlignment w:val="center"/>
              <w:rPr>
                <w:rFonts w:hint="eastAsia" w:cs="宋体"/>
                <w:color w:val="000000"/>
              </w:rPr>
            </w:pPr>
            <w:r>
              <w:rPr>
                <w:rFonts w:hint="eastAsia" w:cs="宋体"/>
                <w:color w:val="000000"/>
                <w:lang w:bidi="ar"/>
              </w:rPr>
              <w:t>AI智算和知识层-防汛智能体大模型-防汛智能体应用功能</w:t>
            </w:r>
          </w:p>
        </w:tc>
        <w:tc>
          <w:tcPr>
            <w:tcW w:w="221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hint="eastAsia" w:cs="宋体"/>
                <w:color w:val="000000"/>
                <w:lang w:bidi="ar"/>
              </w:rPr>
            </w:pPr>
            <w:r>
              <w:rPr>
                <w:rFonts w:hint="eastAsia" w:cs="宋体"/>
                <w:color w:val="000000"/>
                <w:lang w:bidi="ar"/>
              </w:rPr>
              <w:t xml:space="preserve"> 4,925,000.00 </w:t>
            </w:r>
          </w:p>
        </w:tc>
        <w:tc>
          <w:tcPr>
            <w:tcW w:w="2417" w:type="dxa"/>
            <w:tcBorders>
              <w:top w:val="single" w:color="auto" w:sz="4" w:space="0"/>
              <w:left w:val="single" w:color="auto" w:sz="4" w:space="0"/>
              <w:bottom w:val="single" w:color="auto" w:sz="4" w:space="0"/>
              <w:right w:val="single" w:color="auto" w:sz="8" w:space="0"/>
            </w:tcBorders>
            <w:noWrap/>
            <w:vAlign w:val="center"/>
          </w:tcPr>
          <w:p>
            <w:pPr>
              <w:widowControl/>
              <w:ind w:firstLine="0" w:firstLineChars="0"/>
              <w:jc w:val="center"/>
              <w:textAlignment w:val="center"/>
              <w:rPr>
                <w:rFonts w:hint="eastAsia" w:cs="宋体"/>
                <w:color w:val="000000"/>
              </w:rPr>
            </w:pPr>
            <w:r>
              <w:rPr>
                <w:rFonts w:hint="eastAsia" w:cs="宋体"/>
                <w:color w:val="000000"/>
                <w:lang w:bidi="ar"/>
              </w:rPr>
              <w:t>11（3人驻场）</w:t>
            </w:r>
          </w:p>
        </w:tc>
      </w:tr>
    </w:tbl>
    <w:p>
      <w:pPr>
        <w:spacing w:line="560" w:lineRule="exact"/>
        <w:ind w:firstLine="562"/>
        <w:rPr>
          <w:rFonts w:ascii="Times New Roman" w:hAnsi="仿宋" w:eastAsia="仿宋_GB2312"/>
          <w:b/>
          <w:sz w:val="28"/>
          <w:szCs w:val="28"/>
        </w:rPr>
      </w:pPr>
    </w:p>
    <w:p/>
    <w:p>
      <w:pPr>
        <w:pStyle w:val="2"/>
      </w:pPr>
      <w:bookmarkStart w:id="35" w:name="_Toc63785510"/>
      <w:r>
        <w:rPr>
          <w:rFonts w:hint="eastAsia"/>
        </w:rPr>
        <w:t>项目团队及驻场人员要求</w:t>
      </w:r>
      <w:bookmarkEnd w:id="35"/>
    </w:p>
    <w:p>
      <w:pPr>
        <w:rPr>
          <w:rFonts w:hint="eastAsia"/>
        </w:rPr>
      </w:pPr>
      <w:r>
        <w:t>1）投标人须熟悉</w:t>
      </w:r>
      <w:r>
        <w:rPr>
          <w:rFonts w:hint="eastAsia"/>
        </w:rPr>
        <w:t>平台的技术架构、安全体系，</w:t>
      </w:r>
      <w:r>
        <w:t>具有稳定的在职技术保障力量，能够提供及时的技术支援或服务，应针对本项目提供不少于</w:t>
      </w:r>
      <w:r>
        <w:rPr>
          <w:rFonts w:hint="eastAsia"/>
          <w:lang w:val="en-US" w:eastAsia="zh-CN"/>
        </w:rPr>
        <w:t>52</w:t>
      </w:r>
      <w:r>
        <w:t>人的项目服务团队（包括项目经理、技术负责人、研发</w:t>
      </w:r>
      <w:r>
        <w:rPr>
          <w:rFonts w:hint="eastAsia"/>
        </w:rPr>
        <w:t>工程师</w:t>
      </w:r>
      <w:r>
        <w:t>等</w:t>
      </w:r>
      <w:r>
        <w:rPr>
          <w:rFonts w:hint="eastAsia"/>
        </w:rPr>
        <w:t>，</w:t>
      </w:r>
      <w:r>
        <w:rPr>
          <w:rFonts w:hint="eastAsia" w:cs="宋体"/>
        </w:rPr>
        <w:t>含分包人员），驻场人员不少于10人。</w:t>
      </w:r>
      <w:r>
        <w:t>项目</w:t>
      </w:r>
      <w:r>
        <w:rPr>
          <w:rFonts w:hint="eastAsia"/>
        </w:rPr>
        <w:t>经理</w:t>
      </w:r>
      <w:r>
        <w:t>需</w:t>
      </w:r>
      <w:r>
        <w:rPr>
          <w:rFonts w:hint="eastAsia"/>
        </w:rPr>
        <w:t>具有5</w:t>
      </w:r>
      <w:r>
        <w:t>年以上</w:t>
      </w:r>
      <w:r>
        <w:rPr>
          <w:rFonts w:hint="eastAsia"/>
        </w:rPr>
        <w:t>政务信息化领域</w:t>
      </w:r>
      <w:r>
        <w:t>项目且担任项目经理职务的工作经验</w:t>
      </w:r>
      <w:r>
        <w:rPr>
          <w:rFonts w:hint="eastAsia"/>
        </w:rPr>
        <w:t>。</w:t>
      </w:r>
      <w:r>
        <w:rPr>
          <w:rFonts w:hint="eastAsia" w:cs="宋体"/>
        </w:rPr>
        <w:t>由于本项目是</w:t>
      </w:r>
      <w:r>
        <w:rPr>
          <w:rFonts w:hint="eastAsia"/>
        </w:rPr>
        <w:t>聚焦城市防汛实战的重要</w:t>
      </w:r>
      <w:r>
        <w:rPr>
          <w:rFonts w:hint="eastAsia" w:cs="宋体"/>
        </w:rPr>
        <w:t>能力平台，重要程度高，且时间紧、任务重，需要具有丰富的政务信息化项目经验和技术经验的团队参与建设，以满足本项目专业性要求。</w:t>
      </w:r>
      <w:r>
        <w:t>投标单位的相关服务人员需具备相应的服务能力，需提供相关证明（最近一个季度</w:t>
      </w:r>
      <w:r>
        <w:rPr>
          <w:rFonts w:hint="eastAsia"/>
          <w:lang w:val="en-US" w:eastAsia="zh-CN"/>
        </w:rPr>
        <w:t>任一个月</w:t>
      </w:r>
      <w:r>
        <w:t>依法缴纳社保费的证明）。</w:t>
      </w:r>
    </w:p>
    <w:tbl>
      <w:tblPr>
        <w:tblStyle w:val="35"/>
        <w:tblW w:w="8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1448"/>
        <w:gridCol w:w="769"/>
        <w:gridCol w:w="4125"/>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pPr>
              <w:widowControl/>
              <w:spacing w:line="240" w:lineRule="auto"/>
              <w:ind w:firstLine="0" w:firstLineChars="0"/>
              <w:jc w:val="center"/>
              <w:rPr>
                <w:rFonts w:hint="eastAsia"/>
                <w:b/>
              </w:rPr>
            </w:pPr>
            <w:r>
              <w:rPr>
                <w:rFonts w:hint="eastAsia"/>
                <w:b/>
              </w:rPr>
              <w:t>角色</w:t>
            </w:r>
          </w:p>
        </w:tc>
        <w:tc>
          <w:tcPr>
            <w:tcW w:w="1448" w:type="dxa"/>
            <w:noWrap/>
            <w:vAlign w:val="center"/>
          </w:tcPr>
          <w:p>
            <w:pPr>
              <w:widowControl/>
              <w:spacing w:line="240" w:lineRule="auto"/>
              <w:ind w:firstLine="0" w:firstLineChars="0"/>
              <w:jc w:val="center"/>
              <w:rPr>
                <w:rFonts w:hint="eastAsia"/>
                <w:b/>
              </w:rPr>
            </w:pPr>
            <w:r>
              <w:rPr>
                <w:rFonts w:hint="eastAsia"/>
                <w:b/>
              </w:rPr>
              <w:t>主要职责</w:t>
            </w:r>
          </w:p>
        </w:tc>
        <w:tc>
          <w:tcPr>
            <w:tcW w:w="769" w:type="dxa"/>
            <w:noWrap/>
            <w:vAlign w:val="center"/>
          </w:tcPr>
          <w:p>
            <w:pPr>
              <w:widowControl/>
              <w:spacing w:line="240" w:lineRule="auto"/>
              <w:ind w:firstLine="0" w:firstLineChars="0"/>
              <w:jc w:val="center"/>
              <w:rPr>
                <w:rFonts w:hint="eastAsia"/>
                <w:b/>
              </w:rPr>
            </w:pPr>
            <w:r>
              <w:rPr>
                <w:rFonts w:hint="eastAsia"/>
                <w:b/>
              </w:rPr>
              <w:t>人员数量</w:t>
            </w:r>
          </w:p>
        </w:tc>
        <w:tc>
          <w:tcPr>
            <w:tcW w:w="4125" w:type="dxa"/>
            <w:vAlign w:val="center"/>
          </w:tcPr>
          <w:p>
            <w:pPr>
              <w:widowControl/>
              <w:spacing w:line="240" w:lineRule="auto"/>
              <w:ind w:firstLine="0" w:firstLineChars="0"/>
              <w:jc w:val="center"/>
              <w:rPr>
                <w:rFonts w:hint="eastAsia"/>
                <w:b/>
              </w:rPr>
            </w:pPr>
            <w:r>
              <w:rPr>
                <w:rFonts w:hint="eastAsia"/>
                <w:b/>
              </w:rPr>
              <w:t>人员要求</w:t>
            </w:r>
          </w:p>
        </w:tc>
        <w:tc>
          <w:tcPr>
            <w:tcW w:w="1093" w:type="dxa"/>
            <w:noWrap/>
            <w:vAlign w:val="center"/>
          </w:tcPr>
          <w:p>
            <w:pPr>
              <w:widowControl/>
              <w:spacing w:line="240" w:lineRule="auto"/>
              <w:ind w:firstLine="0" w:firstLineChars="0"/>
              <w:jc w:val="center"/>
              <w:rPr>
                <w:rFonts w:hint="eastAsia"/>
                <w:b/>
              </w:rPr>
            </w:pPr>
            <w:r>
              <w:rPr>
                <w:rFonts w:hint="eastAsia"/>
                <w:b/>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416" w:type="dxa"/>
            <w:noWrap/>
            <w:vAlign w:val="center"/>
          </w:tcPr>
          <w:p>
            <w:pPr>
              <w:widowControl/>
              <w:spacing w:line="240" w:lineRule="auto"/>
              <w:ind w:firstLine="0" w:firstLineChars="0"/>
              <w:jc w:val="center"/>
              <w:rPr>
                <w:rFonts w:hint="eastAsia"/>
              </w:rPr>
            </w:pPr>
            <w:r>
              <w:rPr>
                <w:rFonts w:hint="eastAsia"/>
              </w:rPr>
              <w:t>项目经理</w:t>
            </w:r>
          </w:p>
        </w:tc>
        <w:tc>
          <w:tcPr>
            <w:tcW w:w="1448" w:type="dxa"/>
            <w:vAlign w:val="center"/>
          </w:tcPr>
          <w:p>
            <w:pPr>
              <w:widowControl/>
              <w:spacing w:line="240" w:lineRule="auto"/>
              <w:ind w:firstLine="0" w:firstLineChars="0"/>
              <w:jc w:val="center"/>
              <w:rPr>
                <w:rFonts w:hint="eastAsia"/>
              </w:rPr>
            </w:pPr>
            <w:r>
              <w:rPr>
                <w:rFonts w:hint="eastAsia"/>
              </w:rPr>
              <w:t>负责项目质量和进度控制</w:t>
            </w:r>
          </w:p>
        </w:tc>
        <w:tc>
          <w:tcPr>
            <w:tcW w:w="769" w:type="dxa"/>
            <w:noWrap/>
            <w:vAlign w:val="center"/>
          </w:tcPr>
          <w:p>
            <w:pPr>
              <w:widowControl/>
              <w:spacing w:line="240" w:lineRule="auto"/>
              <w:ind w:firstLine="0" w:firstLineChars="0"/>
              <w:jc w:val="center"/>
              <w:rPr>
                <w:rFonts w:hint="eastAsia"/>
              </w:rPr>
            </w:pPr>
            <w:r>
              <w:rPr>
                <w:rFonts w:hint="eastAsia"/>
              </w:rPr>
              <w:t>1人</w:t>
            </w:r>
          </w:p>
        </w:tc>
        <w:tc>
          <w:tcPr>
            <w:tcW w:w="4125" w:type="dxa"/>
            <w:vAlign w:val="center"/>
          </w:tcPr>
          <w:p>
            <w:pPr>
              <w:widowControl/>
              <w:spacing w:line="240" w:lineRule="auto"/>
              <w:ind w:firstLine="0" w:firstLineChars="0"/>
              <w:jc w:val="left"/>
              <w:rPr>
                <w:rFonts w:hint="eastAsia"/>
              </w:rPr>
            </w:pPr>
            <w:r>
              <w:rPr>
                <w:rFonts w:hint="eastAsia"/>
              </w:rPr>
              <w:t>本科及以上学历，</w:t>
            </w:r>
            <w:r>
              <w:rPr>
                <w:rFonts w:hint="eastAsia"/>
                <w:lang w:val="en-US" w:eastAsia="zh-CN"/>
              </w:rPr>
              <w:t>水务专业</w:t>
            </w:r>
            <w:r>
              <w:rPr>
                <w:rFonts w:hint="eastAsia" w:cs="宋体"/>
              </w:rPr>
              <w:t>（给排水、水文水资源、水利</w:t>
            </w:r>
            <w:r>
              <w:rPr>
                <w:rFonts w:hint="eastAsia" w:cs="宋体"/>
                <w:lang w:val="en-US" w:eastAsia="zh-CN"/>
              </w:rPr>
              <w:t>等</w:t>
            </w:r>
            <w:r>
              <w:rPr>
                <w:rFonts w:hint="eastAsia" w:cs="宋体"/>
              </w:rPr>
              <w:t>）</w:t>
            </w:r>
            <w:r>
              <w:rPr>
                <w:rFonts w:hint="eastAsia"/>
                <w:lang w:val="en-US" w:eastAsia="zh-CN"/>
              </w:rPr>
              <w:t>相关高级职称</w:t>
            </w:r>
            <w:r>
              <w:rPr>
                <w:rFonts w:hint="eastAsia"/>
              </w:rPr>
              <w:t>，具有5年以上</w:t>
            </w:r>
            <w:r>
              <w:rPr>
                <w:rFonts w:hint="eastAsia" w:cs="宋体"/>
              </w:rPr>
              <w:t>政务信息化项目</w:t>
            </w:r>
            <w:r>
              <w:rPr>
                <w:rFonts w:hint="eastAsia"/>
              </w:rPr>
              <w:t xml:space="preserve">管理经验 </w:t>
            </w:r>
          </w:p>
        </w:tc>
        <w:tc>
          <w:tcPr>
            <w:tcW w:w="1093" w:type="dxa"/>
            <w:noWrap/>
            <w:vAlign w:val="center"/>
          </w:tcPr>
          <w:p>
            <w:pPr>
              <w:widowControl/>
              <w:spacing w:line="240" w:lineRule="auto"/>
              <w:ind w:firstLine="0" w:firstLineChars="0"/>
              <w:jc w:val="center"/>
              <w:rPr>
                <w:rFonts w:hint="eastAsia"/>
              </w:rPr>
            </w:pPr>
            <w:r>
              <w:rPr>
                <w:rFonts w:hint="eastAsia"/>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pPr>
              <w:widowControl/>
              <w:spacing w:line="240" w:lineRule="auto"/>
              <w:ind w:firstLine="0" w:firstLineChars="0"/>
              <w:jc w:val="center"/>
              <w:rPr>
                <w:rFonts w:hint="eastAsia"/>
              </w:rPr>
            </w:pPr>
            <w:r>
              <w:rPr>
                <w:rFonts w:hint="eastAsia"/>
              </w:rPr>
              <w:t>技术负责人</w:t>
            </w:r>
          </w:p>
        </w:tc>
        <w:tc>
          <w:tcPr>
            <w:tcW w:w="1448" w:type="dxa"/>
            <w:vAlign w:val="center"/>
          </w:tcPr>
          <w:p>
            <w:pPr>
              <w:widowControl/>
              <w:spacing w:line="240" w:lineRule="auto"/>
              <w:ind w:firstLine="0" w:firstLineChars="0"/>
              <w:jc w:val="left"/>
              <w:rPr>
                <w:rFonts w:hint="eastAsia"/>
              </w:rPr>
            </w:pPr>
            <w:r>
              <w:rPr>
                <w:rFonts w:hint="eastAsia" w:cs="宋体"/>
                <w:color w:val="000000"/>
                <w:kern w:val="0"/>
                <w:lang w:bidi="ar"/>
              </w:rPr>
              <w:t>负责项目技术架构路线</w:t>
            </w:r>
          </w:p>
        </w:tc>
        <w:tc>
          <w:tcPr>
            <w:tcW w:w="769" w:type="dxa"/>
            <w:noWrap/>
            <w:vAlign w:val="center"/>
          </w:tcPr>
          <w:p>
            <w:pPr>
              <w:widowControl/>
              <w:spacing w:line="240" w:lineRule="auto"/>
              <w:ind w:firstLine="0" w:firstLineChars="0"/>
              <w:jc w:val="center"/>
              <w:rPr>
                <w:rFonts w:hint="eastAsia"/>
              </w:rPr>
            </w:pPr>
            <w:r>
              <w:rPr>
                <w:rFonts w:hint="eastAsia"/>
              </w:rPr>
              <w:t>1人</w:t>
            </w:r>
          </w:p>
        </w:tc>
        <w:tc>
          <w:tcPr>
            <w:tcW w:w="4125" w:type="dxa"/>
            <w:vAlign w:val="center"/>
          </w:tcPr>
          <w:p>
            <w:pPr>
              <w:widowControl/>
              <w:spacing w:line="240" w:lineRule="auto"/>
              <w:ind w:firstLine="0" w:firstLineChars="0"/>
              <w:jc w:val="left"/>
              <w:rPr>
                <w:rFonts w:hint="eastAsia"/>
              </w:rPr>
            </w:pPr>
            <w:r>
              <w:rPr>
                <w:rFonts w:hint="eastAsia"/>
              </w:rPr>
              <w:t>本科及以上学历</w:t>
            </w:r>
            <w:r>
              <w:rPr>
                <w:rFonts w:hint="eastAsia" w:cs="宋体"/>
              </w:rPr>
              <w:t>，</w:t>
            </w:r>
            <w:r>
              <w:rPr>
                <w:rFonts w:hint="eastAsia"/>
              </w:rPr>
              <w:t>信息系统项目管理师（高级）证书</w:t>
            </w:r>
            <w:r>
              <w:rPr>
                <w:rFonts w:hint="eastAsia" w:cs="宋体"/>
              </w:rPr>
              <w:t>，具备3年以上政务信息化项目开发经验，</w:t>
            </w:r>
            <w:r>
              <w:rPr>
                <w:rFonts w:hint="eastAsia"/>
              </w:rPr>
              <w:t>相关资质证书</w:t>
            </w:r>
          </w:p>
        </w:tc>
        <w:tc>
          <w:tcPr>
            <w:tcW w:w="1093" w:type="dxa"/>
            <w:noWrap/>
            <w:vAlign w:val="center"/>
          </w:tcPr>
          <w:p>
            <w:pPr>
              <w:widowControl/>
              <w:spacing w:line="240" w:lineRule="auto"/>
              <w:ind w:firstLine="0" w:firstLineChars="0"/>
              <w:jc w:val="center"/>
              <w:rPr>
                <w:rFonts w:hint="eastAsia"/>
              </w:rPr>
            </w:pPr>
            <w:r>
              <w:rPr>
                <w:rFonts w:hint="eastAsia"/>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pPr>
              <w:widowControl/>
              <w:spacing w:line="240" w:lineRule="auto"/>
              <w:ind w:firstLine="0" w:firstLineChars="0"/>
              <w:jc w:val="center"/>
              <w:rPr>
                <w:rFonts w:hint="eastAsia"/>
              </w:rPr>
            </w:pPr>
            <w:r>
              <w:rPr>
                <w:rFonts w:hint="eastAsia"/>
              </w:rPr>
              <w:t>数据分析师</w:t>
            </w:r>
          </w:p>
        </w:tc>
        <w:tc>
          <w:tcPr>
            <w:tcW w:w="1448" w:type="dxa"/>
            <w:vAlign w:val="center"/>
          </w:tcPr>
          <w:p>
            <w:pPr>
              <w:widowControl/>
              <w:spacing w:line="240" w:lineRule="auto"/>
              <w:ind w:firstLine="0" w:firstLineChars="0"/>
              <w:jc w:val="left"/>
              <w:rPr>
                <w:rFonts w:hint="eastAsia" w:cs="宋体"/>
                <w:color w:val="000000"/>
                <w:kern w:val="0"/>
                <w:lang w:bidi="ar"/>
              </w:rPr>
            </w:pPr>
            <w:r>
              <w:rPr>
                <w:rFonts w:hint="eastAsia" w:cs="宋体"/>
                <w:color w:val="000000"/>
                <w:kern w:val="0"/>
                <w:lang w:bidi="ar"/>
              </w:rPr>
              <w:t>负责项目数据分析</w:t>
            </w:r>
          </w:p>
        </w:tc>
        <w:tc>
          <w:tcPr>
            <w:tcW w:w="769" w:type="dxa"/>
            <w:noWrap/>
            <w:vAlign w:val="center"/>
          </w:tcPr>
          <w:p>
            <w:pPr>
              <w:widowControl/>
              <w:spacing w:line="240" w:lineRule="auto"/>
              <w:ind w:firstLine="0" w:firstLineChars="0"/>
              <w:jc w:val="center"/>
              <w:rPr>
                <w:rFonts w:hint="eastAsia"/>
              </w:rPr>
            </w:pPr>
            <w:r>
              <w:rPr>
                <w:rFonts w:hint="eastAsia"/>
              </w:rPr>
              <w:t>3人</w:t>
            </w:r>
          </w:p>
        </w:tc>
        <w:tc>
          <w:tcPr>
            <w:tcW w:w="4125" w:type="dxa"/>
            <w:vAlign w:val="center"/>
          </w:tcPr>
          <w:p>
            <w:pPr>
              <w:widowControl/>
              <w:spacing w:line="240" w:lineRule="auto"/>
              <w:ind w:firstLine="0" w:firstLineChars="0"/>
              <w:jc w:val="left"/>
              <w:rPr>
                <w:rFonts w:hint="eastAsia"/>
              </w:rPr>
            </w:pPr>
            <w:r>
              <w:rPr>
                <w:rFonts w:hint="eastAsia" w:cs="宋体"/>
              </w:rPr>
              <w:t>本科及以上学历，</w:t>
            </w:r>
            <w:r>
              <w:rPr>
                <w:rFonts w:hint="eastAsia"/>
              </w:rPr>
              <w:t>数据治理、数据分析相关资质证书，</w:t>
            </w:r>
            <w:r>
              <w:rPr>
                <w:rFonts w:hint="eastAsia" w:cs="宋体"/>
              </w:rPr>
              <w:t>具备3年以上政务信息化项目研发工作经历</w:t>
            </w:r>
          </w:p>
        </w:tc>
        <w:tc>
          <w:tcPr>
            <w:tcW w:w="1093" w:type="dxa"/>
            <w:noWrap/>
            <w:vAlign w:val="center"/>
          </w:tcPr>
          <w:p>
            <w:pPr>
              <w:widowControl/>
              <w:spacing w:line="240" w:lineRule="auto"/>
              <w:ind w:firstLine="0" w:firstLineChars="0"/>
              <w:jc w:val="center"/>
              <w:rPr>
                <w:rFonts w:hint="eastAsia"/>
              </w:rPr>
            </w:pPr>
            <w:r>
              <w:rPr>
                <w:rFonts w:hint="eastAsia"/>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pPr>
              <w:widowControl/>
              <w:spacing w:line="240" w:lineRule="auto"/>
              <w:ind w:firstLine="0" w:firstLineChars="0"/>
              <w:jc w:val="center"/>
              <w:rPr>
                <w:rFonts w:hint="eastAsia"/>
              </w:rPr>
            </w:pPr>
            <w:r>
              <w:rPr>
                <w:rFonts w:hint="eastAsia"/>
              </w:rPr>
              <w:t>研发工程师</w:t>
            </w:r>
          </w:p>
        </w:tc>
        <w:tc>
          <w:tcPr>
            <w:tcW w:w="1448" w:type="dxa"/>
            <w:noWrap/>
            <w:vAlign w:val="center"/>
          </w:tcPr>
          <w:p>
            <w:pPr>
              <w:widowControl/>
              <w:spacing w:line="240" w:lineRule="auto"/>
              <w:ind w:firstLine="0" w:firstLineChars="0"/>
              <w:jc w:val="center"/>
              <w:rPr>
                <w:rFonts w:hint="eastAsia"/>
              </w:rPr>
            </w:pPr>
            <w:r>
              <w:rPr>
                <w:rFonts w:hint="eastAsia"/>
              </w:rPr>
              <w:t>负责项目具体开发与实施</w:t>
            </w:r>
          </w:p>
        </w:tc>
        <w:tc>
          <w:tcPr>
            <w:tcW w:w="769" w:type="dxa"/>
            <w:noWrap/>
            <w:vAlign w:val="center"/>
          </w:tcPr>
          <w:p>
            <w:pPr>
              <w:widowControl/>
              <w:spacing w:line="240" w:lineRule="auto"/>
              <w:ind w:firstLine="0" w:firstLineChars="0"/>
              <w:jc w:val="center"/>
              <w:rPr>
                <w:rFonts w:hint="eastAsia"/>
              </w:rPr>
            </w:pPr>
            <w:r>
              <w:rPr>
                <w:rFonts w:hint="eastAsia"/>
                <w:lang w:val="en-US" w:eastAsia="zh-CN"/>
              </w:rPr>
              <w:t>47</w:t>
            </w:r>
            <w:r>
              <w:rPr>
                <w:rFonts w:hint="eastAsia"/>
              </w:rPr>
              <w:t>人</w:t>
            </w:r>
          </w:p>
        </w:tc>
        <w:tc>
          <w:tcPr>
            <w:tcW w:w="4125" w:type="dxa"/>
            <w:vAlign w:val="center"/>
          </w:tcPr>
          <w:p>
            <w:pPr>
              <w:widowControl/>
              <w:spacing w:line="240" w:lineRule="auto"/>
              <w:ind w:firstLine="0" w:firstLineChars="0"/>
              <w:jc w:val="left"/>
              <w:rPr>
                <w:rFonts w:hint="eastAsia"/>
                <w:highlight w:val="yellow"/>
              </w:rPr>
            </w:pPr>
            <w:r>
              <w:rPr>
                <w:rFonts w:hint="eastAsia"/>
              </w:rPr>
              <w:t>本科及以上学历，</w:t>
            </w:r>
            <w:r>
              <w:rPr>
                <w:rFonts w:hint="eastAsia" w:cs="宋体"/>
              </w:rPr>
              <w:t>需包含具有水务专业（给排水、水文水资源、水利</w:t>
            </w:r>
            <w:r>
              <w:rPr>
                <w:rFonts w:hint="eastAsia" w:cs="宋体"/>
                <w:lang w:val="en-US" w:eastAsia="zh-CN"/>
              </w:rPr>
              <w:t>等</w:t>
            </w:r>
            <w:r>
              <w:rPr>
                <w:rFonts w:hint="eastAsia" w:cs="宋体"/>
              </w:rPr>
              <w:t>）相关经验的专业人员</w:t>
            </w:r>
            <w:r>
              <w:rPr>
                <w:rFonts w:hint="eastAsia" w:cs="宋体"/>
                <w:lang w:eastAsia="zh-CN"/>
              </w:rPr>
              <w:t>；</w:t>
            </w:r>
            <w:r>
              <w:rPr>
                <w:rFonts w:hint="eastAsia" w:cs="宋体"/>
              </w:rPr>
              <w:t>水环境</w:t>
            </w:r>
            <w:r>
              <w:rPr>
                <w:rFonts w:hint="eastAsia" w:cs="宋体"/>
                <w:lang w:eastAsia="zh-CN"/>
              </w:rPr>
              <w:t>、</w:t>
            </w:r>
            <w:r>
              <w:rPr>
                <w:rFonts w:hint="eastAsia" w:cs="宋体"/>
                <w:lang w:val="en-US" w:eastAsia="zh-CN"/>
              </w:rPr>
              <w:t>环境工程</w:t>
            </w:r>
            <w:r>
              <w:rPr>
                <w:rFonts w:hint="eastAsia" w:cs="宋体"/>
              </w:rPr>
              <w:t>相关</w:t>
            </w:r>
            <w:r>
              <w:rPr>
                <w:rFonts w:hint="eastAsia" w:cs="宋体"/>
                <w:lang w:eastAsia="zh-CN"/>
              </w:rPr>
              <w:t>中级及以上职称</w:t>
            </w:r>
            <w:r>
              <w:rPr>
                <w:rFonts w:hint="eastAsia" w:cs="宋体"/>
              </w:rPr>
              <w:t>；计算机类高级工程师职称、系统集成项目管理工程师、系统分析师、系统架构设计师、网络工程师、注册信息安全专业人员证书</w:t>
            </w:r>
          </w:p>
        </w:tc>
        <w:tc>
          <w:tcPr>
            <w:tcW w:w="1093" w:type="dxa"/>
            <w:noWrap/>
            <w:vAlign w:val="center"/>
          </w:tcPr>
          <w:p>
            <w:pPr>
              <w:widowControl/>
              <w:spacing w:line="240" w:lineRule="auto"/>
              <w:ind w:firstLine="0" w:firstLineChars="0"/>
              <w:jc w:val="center"/>
              <w:rPr>
                <w:rFonts w:hint="eastAsia"/>
              </w:rPr>
            </w:pPr>
            <w:r>
              <w:rPr>
                <w:rFonts w:hint="eastAsia"/>
              </w:rPr>
              <w:t>部分驻场（不少于8人驻场）</w:t>
            </w:r>
          </w:p>
        </w:tc>
      </w:tr>
    </w:tbl>
    <w:p>
      <w:pPr>
        <w:rPr>
          <w:rFonts w:hint="eastAsia"/>
        </w:rPr>
      </w:pPr>
      <w:r>
        <w:t>2）投标人应针对本项目提供不少于</w:t>
      </w:r>
      <w:r>
        <w:rPr>
          <w:rFonts w:hint="eastAsia"/>
          <w:lang w:val="en-US" w:eastAsia="zh-CN"/>
        </w:rPr>
        <w:t>7</w:t>
      </w:r>
      <w:r>
        <w:t>人的质保期间支撑团队（其中</w:t>
      </w:r>
      <w:r>
        <w:rPr>
          <w:rFonts w:hint="eastAsia"/>
        </w:rPr>
        <w:t>运维</w:t>
      </w:r>
      <w:r>
        <w:t>经理</w:t>
      </w:r>
      <w:r>
        <w:rPr>
          <w:rFonts w:hint="eastAsia"/>
        </w:rPr>
        <w:t>1</w:t>
      </w:r>
      <w:r>
        <w:t>人，</w:t>
      </w:r>
      <w:r>
        <w:rPr>
          <w:rFonts w:hint="eastAsia"/>
        </w:rPr>
        <w:t>运维</w:t>
      </w:r>
      <w:r>
        <w:t>技术支持不少于</w:t>
      </w:r>
      <w:r>
        <w:rPr>
          <w:rFonts w:hint="eastAsia"/>
        </w:rPr>
        <w:t>1</w:t>
      </w:r>
      <w:r>
        <w:t>人</w:t>
      </w:r>
      <w:r>
        <w:rPr>
          <w:rFonts w:hint="eastAsia"/>
        </w:rPr>
        <w:t>，运维</w:t>
      </w:r>
      <w:r>
        <w:t>工程师不少于</w:t>
      </w:r>
      <w:r>
        <w:rPr>
          <w:rFonts w:hint="eastAsia"/>
        </w:rPr>
        <w:t>5</w:t>
      </w:r>
      <w:r>
        <w:t>人）；投标人的相关服务人员需具备相应的服务能力，需提供相关证明（最近一个季度</w:t>
      </w:r>
      <w:r>
        <w:rPr>
          <w:rFonts w:hint="eastAsia"/>
          <w:lang w:val="en-US" w:eastAsia="zh-CN"/>
        </w:rPr>
        <w:t>任一个月</w:t>
      </w:r>
      <w:r>
        <w:t>依法缴纳社保费的证明）。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260"/>
        <w:gridCol w:w="1417"/>
        <w:gridCol w:w="1055"/>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68" w:type="dxa"/>
            <w:noWrap/>
            <w:vAlign w:val="center"/>
          </w:tcPr>
          <w:p>
            <w:pPr>
              <w:widowControl/>
              <w:spacing w:line="240" w:lineRule="auto"/>
              <w:ind w:firstLine="0" w:firstLineChars="0"/>
              <w:jc w:val="center"/>
              <w:rPr>
                <w:rFonts w:hint="eastAsia"/>
                <w:b/>
              </w:rPr>
            </w:pPr>
            <w:r>
              <w:rPr>
                <w:rFonts w:hint="eastAsia"/>
                <w:b/>
              </w:rPr>
              <w:t>角色</w:t>
            </w:r>
          </w:p>
        </w:tc>
        <w:tc>
          <w:tcPr>
            <w:tcW w:w="3260" w:type="dxa"/>
            <w:noWrap/>
            <w:vAlign w:val="center"/>
          </w:tcPr>
          <w:p>
            <w:pPr>
              <w:widowControl/>
              <w:spacing w:line="240" w:lineRule="auto"/>
              <w:ind w:firstLine="0" w:firstLineChars="0"/>
              <w:jc w:val="center"/>
              <w:rPr>
                <w:rFonts w:hint="eastAsia"/>
                <w:b/>
              </w:rPr>
            </w:pPr>
            <w:r>
              <w:rPr>
                <w:rFonts w:hint="eastAsia"/>
                <w:b/>
              </w:rPr>
              <w:t>主要职责</w:t>
            </w:r>
          </w:p>
        </w:tc>
        <w:tc>
          <w:tcPr>
            <w:tcW w:w="1417" w:type="dxa"/>
            <w:noWrap/>
            <w:vAlign w:val="center"/>
          </w:tcPr>
          <w:p>
            <w:pPr>
              <w:widowControl/>
              <w:spacing w:line="240" w:lineRule="auto"/>
              <w:ind w:firstLine="0" w:firstLineChars="0"/>
              <w:jc w:val="center"/>
              <w:rPr>
                <w:rFonts w:hint="eastAsia"/>
                <w:b/>
              </w:rPr>
            </w:pPr>
            <w:r>
              <w:rPr>
                <w:rFonts w:hint="eastAsia"/>
                <w:b/>
              </w:rPr>
              <w:t>人员数量</w:t>
            </w:r>
          </w:p>
        </w:tc>
        <w:tc>
          <w:tcPr>
            <w:tcW w:w="1055" w:type="dxa"/>
            <w:vAlign w:val="center"/>
          </w:tcPr>
          <w:p>
            <w:pPr>
              <w:widowControl/>
              <w:spacing w:line="240" w:lineRule="auto"/>
              <w:ind w:firstLine="0" w:firstLineChars="0"/>
              <w:jc w:val="center"/>
              <w:rPr>
                <w:rFonts w:hint="eastAsia"/>
                <w:b/>
              </w:rPr>
            </w:pPr>
            <w:r>
              <w:rPr>
                <w:rFonts w:hint="eastAsia"/>
                <w:b/>
              </w:rPr>
              <w:t>人员要求</w:t>
            </w:r>
          </w:p>
        </w:tc>
        <w:tc>
          <w:tcPr>
            <w:tcW w:w="1128" w:type="dxa"/>
            <w:noWrap/>
            <w:vAlign w:val="center"/>
          </w:tcPr>
          <w:p>
            <w:pPr>
              <w:widowControl/>
              <w:spacing w:line="240" w:lineRule="auto"/>
              <w:ind w:firstLine="0" w:firstLineChars="0"/>
              <w:jc w:val="center"/>
              <w:rPr>
                <w:rFonts w:hint="eastAsia"/>
                <w:b/>
              </w:rPr>
            </w:pPr>
            <w:r>
              <w:rPr>
                <w:rFonts w:hint="eastAsia"/>
                <w:b/>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68" w:type="dxa"/>
            <w:noWrap/>
            <w:vAlign w:val="center"/>
          </w:tcPr>
          <w:p>
            <w:pPr>
              <w:widowControl/>
              <w:spacing w:line="240" w:lineRule="auto"/>
              <w:ind w:firstLine="0" w:firstLineChars="0"/>
              <w:jc w:val="left"/>
              <w:rPr>
                <w:rFonts w:hint="eastAsia"/>
              </w:rPr>
            </w:pPr>
            <w:r>
              <w:rPr>
                <w:rFonts w:hint="eastAsia" w:cs="宋体"/>
              </w:rPr>
              <w:t>运维经理</w:t>
            </w:r>
          </w:p>
        </w:tc>
        <w:tc>
          <w:tcPr>
            <w:tcW w:w="3260" w:type="dxa"/>
            <w:vAlign w:val="center"/>
          </w:tcPr>
          <w:p>
            <w:pPr>
              <w:widowControl/>
              <w:spacing w:line="240" w:lineRule="auto"/>
              <w:ind w:firstLine="0" w:firstLineChars="0"/>
              <w:jc w:val="left"/>
              <w:rPr>
                <w:rFonts w:hint="eastAsia"/>
              </w:rPr>
            </w:pPr>
            <w:r>
              <w:rPr>
                <w:rFonts w:hint="eastAsia" w:cs="宋体"/>
              </w:rPr>
              <w:t>负责统筹平台支撑工作</w:t>
            </w:r>
          </w:p>
        </w:tc>
        <w:tc>
          <w:tcPr>
            <w:tcW w:w="1417" w:type="dxa"/>
            <w:noWrap/>
            <w:vAlign w:val="center"/>
          </w:tcPr>
          <w:p>
            <w:pPr>
              <w:widowControl/>
              <w:spacing w:line="240" w:lineRule="auto"/>
              <w:ind w:firstLine="0" w:firstLineChars="0"/>
              <w:jc w:val="center"/>
              <w:rPr>
                <w:rFonts w:hint="eastAsia"/>
              </w:rPr>
            </w:pPr>
            <w:r>
              <w:rPr>
                <w:rFonts w:hint="eastAsia"/>
              </w:rPr>
              <w:t>1人</w:t>
            </w:r>
          </w:p>
        </w:tc>
        <w:tc>
          <w:tcPr>
            <w:tcW w:w="1055" w:type="dxa"/>
            <w:vAlign w:val="center"/>
          </w:tcPr>
          <w:p>
            <w:pPr>
              <w:widowControl/>
              <w:spacing w:line="240" w:lineRule="auto"/>
              <w:ind w:firstLine="0" w:firstLineChars="0"/>
              <w:jc w:val="center"/>
              <w:rPr>
                <w:rFonts w:hint="eastAsia"/>
              </w:rPr>
            </w:pPr>
            <w:r>
              <w:rPr>
                <w:rFonts w:hint="eastAsia"/>
              </w:rPr>
              <w:t>本科及以上学历</w:t>
            </w:r>
          </w:p>
        </w:tc>
        <w:tc>
          <w:tcPr>
            <w:tcW w:w="1128" w:type="dxa"/>
            <w:noWrap/>
            <w:vAlign w:val="center"/>
          </w:tcPr>
          <w:p>
            <w:pPr>
              <w:widowControl/>
              <w:spacing w:line="240" w:lineRule="auto"/>
              <w:ind w:firstLine="0" w:firstLineChars="0"/>
              <w:jc w:val="center"/>
              <w:rPr>
                <w:rFonts w:hint="eastAsia"/>
              </w:rPr>
            </w:pPr>
            <w:r>
              <w:rPr>
                <w:rFonts w:hint="eastAsia"/>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68" w:type="dxa"/>
            <w:noWrap/>
            <w:vAlign w:val="center"/>
          </w:tcPr>
          <w:p>
            <w:pPr>
              <w:widowControl/>
              <w:spacing w:line="240" w:lineRule="auto"/>
              <w:ind w:firstLine="0" w:firstLineChars="0"/>
              <w:jc w:val="left"/>
              <w:rPr>
                <w:rFonts w:hint="eastAsia"/>
              </w:rPr>
            </w:pPr>
            <w:r>
              <w:rPr>
                <w:rFonts w:hint="eastAsia"/>
              </w:rPr>
              <w:t>运维技术支持</w:t>
            </w:r>
          </w:p>
        </w:tc>
        <w:tc>
          <w:tcPr>
            <w:tcW w:w="3260" w:type="dxa"/>
            <w:vAlign w:val="center"/>
          </w:tcPr>
          <w:p>
            <w:pPr>
              <w:widowControl/>
              <w:spacing w:line="240" w:lineRule="auto"/>
              <w:ind w:firstLine="0" w:firstLineChars="0"/>
              <w:jc w:val="left"/>
              <w:rPr>
                <w:rFonts w:hint="eastAsia"/>
              </w:rPr>
            </w:pPr>
            <w:r>
              <w:rPr>
                <w:rFonts w:hint="eastAsia"/>
              </w:rPr>
              <w:t>负责平台运维技术支持</w:t>
            </w:r>
          </w:p>
        </w:tc>
        <w:tc>
          <w:tcPr>
            <w:tcW w:w="1417" w:type="dxa"/>
            <w:noWrap/>
            <w:vAlign w:val="center"/>
          </w:tcPr>
          <w:p>
            <w:pPr>
              <w:widowControl/>
              <w:spacing w:line="240" w:lineRule="auto"/>
              <w:ind w:firstLine="0" w:firstLineChars="0"/>
              <w:jc w:val="center"/>
              <w:rPr>
                <w:rFonts w:hint="eastAsia"/>
              </w:rPr>
            </w:pPr>
            <w:r>
              <w:rPr>
                <w:rFonts w:hint="eastAsia"/>
              </w:rPr>
              <w:t>1人</w:t>
            </w:r>
          </w:p>
        </w:tc>
        <w:tc>
          <w:tcPr>
            <w:tcW w:w="1055" w:type="dxa"/>
            <w:vAlign w:val="center"/>
          </w:tcPr>
          <w:p>
            <w:pPr>
              <w:widowControl/>
              <w:spacing w:line="240" w:lineRule="auto"/>
              <w:ind w:firstLine="0" w:firstLineChars="0"/>
              <w:jc w:val="center"/>
              <w:rPr>
                <w:rFonts w:hint="eastAsia"/>
              </w:rPr>
            </w:pPr>
            <w:r>
              <w:rPr>
                <w:rFonts w:hint="eastAsia"/>
              </w:rPr>
              <w:t>本科及以上学历</w:t>
            </w:r>
          </w:p>
        </w:tc>
        <w:tc>
          <w:tcPr>
            <w:tcW w:w="1128" w:type="dxa"/>
            <w:noWrap/>
            <w:vAlign w:val="center"/>
          </w:tcPr>
          <w:p>
            <w:pPr>
              <w:widowControl/>
              <w:spacing w:line="240" w:lineRule="auto"/>
              <w:ind w:firstLine="0" w:firstLineChars="0"/>
              <w:jc w:val="center"/>
              <w:rPr>
                <w:rFonts w:hint="eastAsia"/>
              </w:rPr>
            </w:pPr>
            <w:r>
              <w:rPr>
                <w:rFonts w:hint="eastAsia"/>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68" w:type="dxa"/>
            <w:noWrap/>
            <w:vAlign w:val="center"/>
          </w:tcPr>
          <w:p>
            <w:pPr>
              <w:widowControl/>
              <w:spacing w:line="240" w:lineRule="auto"/>
              <w:ind w:firstLine="0" w:firstLineChars="0"/>
              <w:jc w:val="left"/>
              <w:rPr>
                <w:rFonts w:hint="eastAsia"/>
              </w:rPr>
            </w:pPr>
            <w:r>
              <w:rPr>
                <w:rFonts w:hint="eastAsia"/>
              </w:rPr>
              <w:t>运维工程师</w:t>
            </w:r>
          </w:p>
        </w:tc>
        <w:tc>
          <w:tcPr>
            <w:tcW w:w="3260" w:type="dxa"/>
            <w:noWrap/>
            <w:vAlign w:val="center"/>
          </w:tcPr>
          <w:p>
            <w:pPr>
              <w:widowControl/>
              <w:spacing w:line="240" w:lineRule="auto"/>
              <w:ind w:firstLine="0" w:firstLineChars="0"/>
              <w:jc w:val="left"/>
              <w:rPr>
                <w:rFonts w:hint="eastAsia"/>
              </w:rPr>
            </w:pPr>
            <w:r>
              <w:rPr>
                <w:rFonts w:hint="eastAsia"/>
              </w:rPr>
              <w:t>负责项目运行维护、bug修复、功能迭代</w:t>
            </w:r>
          </w:p>
        </w:tc>
        <w:tc>
          <w:tcPr>
            <w:tcW w:w="1417" w:type="dxa"/>
            <w:noWrap/>
            <w:vAlign w:val="center"/>
          </w:tcPr>
          <w:p>
            <w:pPr>
              <w:widowControl/>
              <w:spacing w:line="240" w:lineRule="auto"/>
              <w:ind w:firstLine="0" w:firstLineChars="0"/>
              <w:jc w:val="center"/>
              <w:rPr>
                <w:rFonts w:hint="eastAsia"/>
              </w:rPr>
            </w:pPr>
            <w:r>
              <w:rPr>
                <w:rFonts w:hint="eastAsia"/>
              </w:rPr>
              <w:t>5人</w:t>
            </w:r>
          </w:p>
        </w:tc>
        <w:tc>
          <w:tcPr>
            <w:tcW w:w="1055" w:type="dxa"/>
            <w:vAlign w:val="center"/>
          </w:tcPr>
          <w:p>
            <w:pPr>
              <w:widowControl/>
              <w:spacing w:line="240" w:lineRule="auto"/>
              <w:ind w:firstLine="0" w:firstLineChars="0"/>
              <w:jc w:val="center"/>
              <w:rPr>
                <w:rFonts w:hint="eastAsia"/>
              </w:rPr>
            </w:pPr>
            <w:r>
              <w:rPr>
                <w:rFonts w:hint="eastAsia"/>
              </w:rPr>
              <w:t>本科及以上学历</w:t>
            </w:r>
          </w:p>
        </w:tc>
        <w:tc>
          <w:tcPr>
            <w:tcW w:w="1128" w:type="dxa"/>
            <w:noWrap/>
            <w:vAlign w:val="center"/>
          </w:tcPr>
          <w:p>
            <w:pPr>
              <w:widowControl/>
              <w:spacing w:line="240" w:lineRule="auto"/>
              <w:ind w:firstLine="0" w:firstLineChars="0"/>
              <w:jc w:val="center"/>
              <w:rPr>
                <w:rFonts w:hint="eastAsia"/>
              </w:rPr>
            </w:pPr>
            <w:r>
              <w:rPr>
                <w:rFonts w:hint="eastAsia"/>
              </w:rPr>
              <w:t>驻场</w:t>
            </w:r>
          </w:p>
        </w:tc>
      </w:tr>
    </w:tbl>
    <w:p>
      <w:pPr>
        <w:numPr>
          <w:ilvl w:val="0"/>
          <w:numId w:val="0"/>
        </w:numPr>
        <w:jc w:val="left"/>
      </w:pPr>
      <w:r>
        <w:rPr>
          <w:rFonts w:hint="eastAsia"/>
          <w:lang w:val="en-US" w:eastAsia="zh-CN"/>
        </w:rPr>
        <w:t>投标人具备具备CCRC-软件安全开发、CCRC-信息系统安全集成、CCRC-信息系统安全运维的优先</w:t>
      </w:r>
    </w:p>
    <w:bookmarkEnd w:id="34"/>
    <w:p>
      <w:pPr>
        <w:pStyle w:val="2"/>
      </w:pPr>
      <w:bookmarkStart w:id="36" w:name="_Toc68798863"/>
      <w:bookmarkStart w:id="37" w:name="_GoBack"/>
      <w:bookmarkEnd w:id="37"/>
      <w:r>
        <w:rPr>
          <w:rFonts w:hint="eastAsia"/>
        </w:rPr>
        <w:t>附录</w:t>
      </w:r>
      <w:bookmarkEnd w:id="36"/>
    </w:p>
    <w:p>
      <w:pPr>
        <w:ind w:firstLine="482"/>
        <w:rPr>
          <w:b/>
        </w:rPr>
      </w:pPr>
      <w:r>
        <w:rPr>
          <w:rFonts w:hint="eastAsia"/>
          <w:b/>
        </w:rPr>
        <w:t>若项目建设过程中需符合相关技术标准或规范文件的要求，请将相关文件作为附件列出。</w:t>
      </w:r>
    </w:p>
    <w:p>
      <w:pPr>
        <w:ind w:firstLine="482"/>
      </w:pPr>
      <w:r>
        <w:rPr>
          <w:rFonts w:hint="eastAsia"/>
          <w:b/>
        </w:rPr>
        <w:t>参考如下：</w:t>
      </w:r>
    </w:p>
    <w:p>
      <w:pPr>
        <w:ind w:firstLine="0" w:firstLineChars="0"/>
      </w:pPr>
      <w:r>
        <w:rPr>
          <w:rFonts w:hint="eastAsia"/>
        </w:rPr>
        <w:t>1、</w:t>
      </w:r>
      <w:r>
        <w:t>《政务网络安全监测平台总体技术要求》</w:t>
      </w:r>
    </w:p>
    <w:p>
      <w:pPr>
        <w:ind w:firstLine="0" w:firstLineChars="0"/>
      </w:pPr>
      <w:r>
        <w:object>
          <v:shape id="_x0000_i1025" o:spt="75" type="#_x0000_t75" style="height:55pt;width:76.5pt;" o:ole="t" filled="f" o:preferrelative="t" stroked="f" coordsize="21600,21600">
            <v:path/>
            <v:fill on="f" focussize="0,0"/>
            <v:stroke on="f" joinstyle="miter"/>
            <v:imagedata r:id="rId14" o:title=""/>
            <o:lock v:ext="edit" aspectratio="t"/>
            <w10:wrap type="none"/>
            <w10:anchorlock/>
          </v:shape>
          <o:OLEObject Type="Embed" ProgID="Package" ShapeID="_x0000_i1025" DrawAspect="Icon" ObjectID="_1468075725" r:id="rId13">
            <o:LockedField>false</o:LockedField>
          </o:OLEObject>
        </w:object>
      </w:r>
    </w:p>
    <w:p>
      <w:pPr>
        <w:ind w:firstLine="0" w:firstLineChars="0"/>
      </w:pPr>
    </w:p>
    <w:p>
      <w:pPr>
        <w:ind w:firstLine="0" w:firstLineChars="0"/>
        <w:jc w:val="left"/>
      </w:pPr>
      <w:r>
        <w:rPr>
          <w:rFonts w:hint="eastAsia"/>
        </w:rPr>
        <w:t>2、《上海市电子政务外网建设和运行管理指南（试行）》</w:t>
      </w:r>
    </w:p>
    <w:p>
      <w:pPr>
        <w:ind w:firstLine="0" w:firstLineChars="0"/>
        <w:jc w:val="left"/>
      </w:pPr>
      <w:r>
        <w:object>
          <v:shape id="_x0000_i1026" o:spt="75" type="#_x0000_t75" style="height:55pt;width:76.5pt;" o:ole="t" filled="f" o:preferrelative="t" stroked="f" coordsize="21600,21600">
            <v:path/>
            <v:fill on="f" focussize="0,0"/>
            <v:stroke on="f" joinstyle="miter"/>
            <v:imagedata r:id="rId16" o:title=""/>
            <o:lock v:ext="edit" aspectratio="t"/>
            <w10:wrap type="none"/>
            <w10:anchorlock/>
          </v:shape>
          <o:OLEObject Type="Embed" ProgID="Package" ShapeID="_x0000_i1026" DrawAspect="Icon" ObjectID="_1468075726" r:id="rId15">
            <o:LockedField>false</o:LockedField>
          </o:OLEObject>
        </w:object>
      </w:r>
    </w:p>
    <w:p>
      <w:pPr>
        <w:ind w:firstLine="0" w:firstLineChars="0"/>
        <w:jc w:val="left"/>
        <w:rPr>
          <w:rFonts w:hint="eastAsia"/>
          <w:lang w:val="en-US" w:eastAsia="zh-CN"/>
        </w:rPr>
      </w:pPr>
      <w:r>
        <w:rPr>
          <w:rFonts w:hint="eastAsia"/>
          <w:lang w:val="en-US" w:eastAsia="zh-CN"/>
        </w:rPr>
        <w:t>3、《低代码相关要求（试行）》</w:t>
      </w:r>
    </w:p>
    <w:p>
      <w:pPr>
        <w:ind w:firstLine="0" w:firstLineChars="0"/>
        <w:jc w:val="left"/>
        <w:rPr>
          <w:rFonts w:hint="eastAsia"/>
          <w:lang w:val="en-US" w:eastAsia="zh-CN"/>
        </w:rPr>
      </w:pPr>
    </w:p>
    <w:p>
      <w:pPr>
        <w:numPr>
          <w:ilvl w:val="0"/>
          <w:numId w:val="0"/>
        </w:numPr>
        <w:jc w:val="left"/>
        <w:rPr>
          <w:rFonts w:hint="eastAsia"/>
          <w:lang w:val="en-US" w:eastAsia="zh-CN"/>
        </w:rPr>
      </w:pPr>
      <w:r>
        <w:rPr>
          <w:rFonts w:hint="eastAsia"/>
          <w:lang w:val="en-US" w:eastAsia="zh-CN"/>
        </w:rPr>
        <w:t>4、其他标准</w:t>
      </w:r>
    </w:p>
    <w:p>
      <w:pPr>
        <w:spacing w:line="560" w:lineRule="exact"/>
        <w:ind w:firstLine="562"/>
        <w:rPr>
          <w:rFonts w:hint="eastAsia" w:ascii="宋体" w:hAnsi="宋体" w:eastAsia="宋体" w:cs="宋体"/>
          <w:b w:val="0"/>
          <w:bCs/>
          <w:sz w:val="24"/>
          <w:szCs w:val="24"/>
        </w:rPr>
      </w:pPr>
      <w:r>
        <w:rPr>
          <w:rFonts w:hint="eastAsia" w:ascii="宋体" w:hAnsi="宋体" w:eastAsia="宋体" w:cs="宋体"/>
          <w:b w:val="0"/>
          <w:bCs/>
          <w:sz w:val="24"/>
          <w:szCs w:val="24"/>
        </w:rPr>
        <w:t>附表：网络和数据安全事件处罚措施</w:t>
      </w:r>
    </w:p>
    <w:tbl>
      <w:tblPr>
        <w:tblStyle w:val="35"/>
        <w:tblW w:w="8796" w:type="dxa"/>
        <w:tblInd w:w="101" w:type="dxa"/>
        <w:tblLayout w:type="autofit"/>
        <w:tblCellMar>
          <w:top w:w="0" w:type="dxa"/>
          <w:left w:w="108" w:type="dxa"/>
          <w:bottom w:w="0" w:type="dxa"/>
          <w:right w:w="108" w:type="dxa"/>
        </w:tblCellMar>
      </w:tblPr>
      <w:tblGrid>
        <w:gridCol w:w="1080"/>
        <w:gridCol w:w="1460"/>
        <w:gridCol w:w="2429"/>
        <w:gridCol w:w="3827"/>
      </w:tblGrid>
      <w:tr>
        <w:tblPrEx>
          <w:tblCellMar>
            <w:top w:w="0" w:type="dxa"/>
            <w:left w:w="108" w:type="dxa"/>
            <w:bottom w:w="0" w:type="dxa"/>
            <w:right w:w="108" w:type="dxa"/>
          </w:tblCellMar>
        </w:tblPrEx>
        <w:trPr>
          <w:trHeight w:val="280" w:hRule="atLeast"/>
        </w:trPr>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2"/>
              </w:rPr>
            </w:pPr>
            <w:r>
              <w:rPr>
                <w:rFonts w:hint="eastAsia" w:ascii="宋体" w:hAnsi="宋体" w:eastAsia="宋体" w:cs="宋体"/>
                <w:color w:val="000000"/>
                <w:kern w:val="0"/>
                <w:sz w:val="22"/>
              </w:rPr>
              <w:t>序号</w:t>
            </w:r>
          </w:p>
        </w:tc>
        <w:tc>
          <w:tcPr>
            <w:tcW w:w="1460"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2"/>
              </w:rPr>
            </w:pPr>
            <w:r>
              <w:rPr>
                <w:rFonts w:hint="eastAsia" w:ascii="宋体" w:hAnsi="宋体" w:eastAsia="宋体" w:cs="宋体"/>
                <w:color w:val="000000"/>
                <w:kern w:val="0"/>
                <w:sz w:val="22"/>
              </w:rPr>
              <w:t>类型</w:t>
            </w:r>
          </w:p>
        </w:tc>
        <w:tc>
          <w:tcPr>
            <w:tcW w:w="2429"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2"/>
              </w:rPr>
            </w:pPr>
            <w:r>
              <w:rPr>
                <w:rFonts w:hint="eastAsia" w:ascii="宋体" w:hAnsi="宋体" w:eastAsia="宋体" w:cs="宋体"/>
                <w:color w:val="000000"/>
                <w:kern w:val="0"/>
                <w:sz w:val="22"/>
              </w:rPr>
              <w:t>负面行为分级情况</w:t>
            </w:r>
          </w:p>
        </w:tc>
        <w:tc>
          <w:tcPr>
            <w:tcW w:w="3827"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2"/>
              </w:rPr>
            </w:pPr>
            <w:r>
              <w:rPr>
                <w:rFonts w:hint="eastAsia" w:ascii="宋体" w:hAnsi="宋体" w:eastAsia="宋体" w:cs="宋体"/>
                <w:color w:val="000000"/>
                <w:kern w:val="0"/>
                <w:sz w:val="22"/>
              </w:rPr>
              <w:t>追究措施</w:t>
            </w:r>
          </w:p>
        </w:tc>
      </w:tr>
      <w:tr>
        <w:tblPrEx>
          <w:tblCellMar>
            <w:top w:w="0" w:type="dxa"/>
            <w:left w:w="108" w:type="dxa"/>
            <w:bottom w:w="0" w:type="dxa"/>
            <w:right w:w="108" w:type="dxa"/>
          </w:tblCellMar>
        </w:tblPrEx>
        <w:trPr>
          <w:trHeight w:val="1480" w:hRule="atLeast"/>
        </w:trPr>
        <w:tc>
          <w:tcPr>
            <w:tcW w:w="1080"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2"/>
              </w:rPr>
            </w:pPr>
            <w:r>
              <w:rPr>
                <w:rFonts w:hint="eastAsia" w:ascii="宋体" w:hAnsi="宋体" w:eastAsia="宋体" w:cs="宋体"/>
                <w:color w:val="000000"/>
                <w:kern w:val="0"/>
                <w:sz w:val="22"/>
              </w:rPr>
              <w:t>1</w:t>
            </w:r>
          </w:p>
        </w:tc>
        <w:tc>
          <w:tcPr>
            <w:tcW w:w="1460" w:type="dxa"/>
            <w:vMerge w:val="restar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2"/>
              </w:rPr>
            </w:pPr>
            <w:r>
              <w:rPr>
                <w:rFonts w:hint="eastAsia" w:ascii="宋体" w:hAnsi="宋体" w:eastAsia="宋体" w:cs="宋体"/>
                <w:color w:val="000000"/>
                <w:kern w:val="0"/>
                <w:sz w:val="22"/>
              </w:rPr>
              <w:t>安全事件</w:t>
            </w:r>
          </w:p>
        </w:tc>
        <w:tc>
          <w:tcPr>
            <w:tcW w:w="2429"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r>
              <w:rPr>
                <w:rFonts w:hint="eastAsia" w:ascii="宋体" w:hAnsi="宋体" w:eastAsia="宋体" w:cs="宋体"/>
                <w:color w:val="000000"/>
                <w:kern w:val="0"/>
                <w:sz w:val="22"/>
              </w:rPr>
              <w:t>1、发生网络安全事件或数据泄露事件，每发生一起，按不同级别进行追究。</w:t>
            </w:r>
          </w:p>
        </w:tc>
        <w:tc>
          <w:tcPr>
            <w:tcW w:w="3827" w:type="dxa"/>
            <w:tcBorders>
              <w:top w:val="nil"/>
              <w:left w:val="nil"/>
              <w:bottom w:val="single" w:color="auto" w:sz="4" w:space="0"/>
              <w:right w:val="single" w:color="auto" w:sz="4" w:space="0"/>
            </w:tcBorders>
            <w:noWrap/>
          </w:tcPr>
          <w:p>
            <w:pPr>
              <w:widowControl/>
              <w:spacing w:line="240" w:lineRule="auto"/>
              <w:ind w:firstLine="0" w:firstLineChars="0"/>
              <w:rPr>
                <w:rFonts w:hint="eastAsia" w:ascii="宋体" w:hAnsi="宋体" w:eastAsia="宋体" w:cs="宋体"/>
                <w:color w:val="000000"/>
                <w:kern w:val="0"/>
                <w:sz w:val="22"/>
              </w:rPr>
            </w:pPr>
            <w:r>
              <w:rPr>
                <w:rFonts w:hint="eastAsia" w:ascii="宋体" w:hAnsi="宋体" w:eastAsia="宋体" w:cs="宋体"/>
                <w:color w:val="000000"/>
                <w:kern w:val="0"/>
                <w:sz w:val="22"/>
              </w:rPr>
              <w:t>　见下</w:t>
            </w:r>
          </w:p>
        </w:tc>
      </w:tr>
      <w:tr>
        <w:tblPrEx>
          <w:tblCellMar>
            <w:top w:w="0" w:type="dxa"/>
            <w:left w:w="108" w:type="dxa"/>
            <w:bottom w:w="0" w:type="dxa"/>
            <w:right w:w="108" w:type="dxa"/>
          </w:tblCellMar>
        </w:tblPrEx>
        <w:trPr>
          <w:trHeight w:val="1580" w:hRule="atLeast"/>
        </w:trPr>
        <w:tc>
          <w:tcPr>
            <w:tcW w:w="1080"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2"/>
              </w:rPr>
            </w:pPr>
            <w:r>
              <w:rPr>
                <w:rFonts w:hint="eastAsia" w:ascii="宋体" w:hAnsi="宋体" w:eastAsia="宋体" w:cs="宋体"/>
                <w:color w:val="000000"/>
                <w:kern w:val="0"/>
                <w:sz w:val="22"/>
              </w:rPr>
              <w:t>2</w:t>
            </w:r>
          </w:p>
        </w:tc>
        <w:tc>
          <w:tcPr>
            <w:tcW w:w="14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p>
        </w:tc>
        <w:tc>
          <w:tcPr>
            <w:tcW w:w="2429"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r>
              <w:rPr>
                <w:rFonts w:hint="eastAsia" w:ascii="宋体" w:hAnsi="宋体" w:eastAsia="宋体" w:cs="宋体"/>
                <w:color w:val="000000"/>
                <w:kern w:val="0"/>
                <w:sz w:val="22"/>
              </w:rPr>
              <w:t>（1）发生重大（Ⅱ级）及以上网络和数据安全事件的；</w:t>
            </w:r>
          </w:p>
        </w:tc>
        <w:tc>
          <w:tcPr>
            <w:tcW w:w="3827"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r>
              <w:rPr>
                <w:rFonts w:hint="eastAsia" w:ascii="宋体" w:hAnsi="宋体" w:eastAsia="宋体" w:cs="宋体"/>
                <w:color w:val="000000"/>
                <w:kern w:val="0"/>
                <w:sz w:val="22"/>
              </w:rPr>
              <w:t>1、限期整改；</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2、约谈企业负责人；</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3、扣除项目运维费用的3%；</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4、上报主管部门，必要时终止项目合同并追究相关刑事责任。</w:t>
            </w:r>
          </w:p>
        </w:tc>
      </w:tr>
      <w:tr>
        <w:tblPrEx>
          <w:tblCellMar>
            <w:top w:w="0" w:type="dxa"/>
            <w:left w:w="108" w:type="dxa"/>
            <w:bottom w:w="0" w:type="dxa"/>
            <w:right w:w="108" w:type="dxa"/>
          </w:tblCellMar>
        </w:tblPrEx>
        <w:trPr>
          <w:trHeight w:val="1120" w:hRule="atLeast"/>
        </w:trPr>
        <w:tc>
          <w:tcPr>
            <w:tcW w:w="1080"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2"/>
              </w:rPr>
            </w:pPr>
            <w:r>
              <w:rPr>
                <w:rFonts w:hint="eastAsia" w:ascii="宋体" w:hAnsi="宋体" w:eastAsia="宋体" w:cs="宋体"/>
                <w:color w:val="000000"/>
                <w:kern w:val="0"/>
                <w:sz w:val="22"/>
              </w:rPr>
              <w:t>3</w:t>
            </w:r>
          </w:p>
        </w:tc>
        <w:tc>
          <w:tcPr>
            <w:tcW w:w="14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p>
        </w:tc>
        <w:tc>
          <w:tcPr>
            <w:tcW w:w="2429"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r>
              <w:rPr>
                <w:rFonts w:hint="eastAsia" w:ascii="宋体" w:hAnsi="宋体" w:eastAsia="宋体" w:cs="宋体"/>
                <w:color w:val="000000"/>
                <w:kern w:val="0"/>
                <w:sz w:val="22"/>
              </w:rPr>
              <w:t>（2）发生较大网络安全和数据事件（Ⅲ级）的；</w:t>
            </w:r>
          </w:p>
        </w:tc>
        <w:tc>
          <w:tcPr>
            <w:tcW w:w="3827"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r>
              <w:rPr>
                <w:rFonts w:hint="eastAsia" w:ascii="宋体" w:hAnsi="宋体" w:eastAsia="宋体" w:cs="宋体"/>
                <w:color w:val="000000"/>
                <w:kern w:val="0"/>
                <w:sz w:val="22"/>
              </w:rPr>
              <w:t>1、限期整改；</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2、约谈企业负责人；</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3、扣除项目运维费用的2%</w:t>
            </w:r>
          </w:p>
        </w:tc>
      </w:tr>
      <w:tr>
        <w:tblPrEx>
          <w:tblCellMar>
            <w:top w:w="0" w:type="dxa"/>
            <w:left w:w="108" w:type="dxa"/>
            <w:bottom w:w="0" w:type="dxa"/>
            <w:right w:w="108" w:type="dxa"/>
          </w:tblCellMar>
        </w:tblPrEx>
        <w:trPr>
          <w:trHeight w:val="1190" w:hRule="atLeast"/>
        </w:trPr>
        <w:tc>
          <w:tcPr>
            <w:tcW w:w="1080"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2"/>
              </w:rPr>
            </w:pPr>
            <w:r>
              <w:rPr>
                <w:rFonts w:hint="eastAsia" w:ascii="宋体" w:hAnsi="宋体" w:eastAsia="宋体" w:cs="宋体"/>
                <w:color w:val="000000"/>
                <w:kern w:val="0"/>
                <w:sz w:val="22"/>
              </w:rPr>
              <w:t>4</w:t>
            </w:r>
          </w:p>
        </w:tc>
        <w:tc>
          <w:tcPr>
            <w:tcW w:w="14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p>
        </w:tc>
        <w:tc>
          <w:tcPr>
            <w:tcW w:w="2429"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r>
              <w:rPr>
                <w:rFonts w:hint="eastAsia" w:ascii="宋体" w:hAnsi="宋体" w:eastAsia="宋体" w:cs="宋体"/>
                <w:color w:val="000000"/>
                <w:kern w:val="0"/>
                <w:sz w:val="22"/>
              </w:rPr>
              <w:t>（3）发生一般网络和数据安全事件（Ⅳ级）的。</w:t>
            </w:r>
          </w:p>
        </w:tc>
        <w:tc>
          <w:tcPr>
            <w:tcW w:w="3827"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r>
              <w:rPr>
                <w:rFonts w:hint="eastAsia" w:ascii="宋体" w:hAnsi="宋体" w:eastAsia="宋体" w:cs="宋体"/>
                <w:color w:val="000000"/>
                <w:kern w:val="0"/>
                <w:sz w:val="22"/>
              </w:rPr>
              <w:t>1、限期整改；</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2、约谈企业负责人；</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3、扣除项目运维费用的1%</w:t>
            </w:r>
          </w:p>
        </w:tc>
      </w:tr>
      <w:tr>
        <w:tblPrEx>
          <w:tblCellMar>
            <w:top w:w="0" w:type="dxa"/>
            <w:left w:w="108" w:type="dxa"/>
            <w:bottom w:w="0" w:type="dxa"/>
            <w:right w:w="108" w:type="dxa"/>
          </w:tblCellMar>
        </w:tblPrEx>
        <w:trPr>
          <w:trHeight w:val="680" w:hRule="atLeast"/>
        </w:trPr>
        <w:tc>
          <w:tcPr>
            <w:tcW w:w="1080"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2"/>
              </w:rPr>
            </w:pPr>
            <w:r>
              <w:rPr>
                <w:rFonts w:hint="eastAsia" w:ascii="宋体" w:hAnsi="宋体" w:eastAsia="宋体" w:cs="宋体"/>
                <w:color w:val="000000"/>
                <w:kern w:val="0"/>
                <w:sz w:val="22"/>
              </w:rPr>
              <w:t>5</w:t>
            </w:r>
          </w:p>
        </w:tc>
        <w:tc>
          <w:tcPr>
            <w:tcW w:w="14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p>
        </w:tc>
        <w:tc>
          <w:tcPr>
            <w:tcW w:w="2429"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r>
              <w:rPr>
                <w:rFonts w:hint="eastAsia" w:ascii="宋体" w:hAnsi="宋体" w:eastAsia="宋体" w:cs="宋体"/>
                <w:color w:val="000000"/>
                <w:kern w:val="0"/>
                <w:sz w:val="22"/>
              </w:rPr>
              <w:t>2、被主管部门通报安全事件，每发生一起，按不同级别进行追究。</w:t>
            </w:r>
          </w:p>
        </w:tc>
        <w:tc>
          <w:tcPr>
            <w:tcW w:w="3827" w:type="dxa"/>
            <w:tcBorders>
              <w:top w:val="nil"/>
              <w:left w:val="nil"/>
              <w:bottom w:val="single" w:color="auto" w:sz="4" w:space="0"/>
              <w:right w:val="single" w:color="auto" w:sz="4" w:space="0"/>
            </w:tcBorders>
            <w:noWrap/>
          </w:tcPr>
          <w:p>
            <w:pPr>
              <w:widowControl/>
              <w:spacing w:line="240" w:lineRule="auto"/>
              <w:ind w:firstLine="0" w:firstLineChars="0"/>
              <w:rPr>
                <w:rFonts w:hint="eastAsia" w:ascii="宋体" w:hAnsi="宋体" w:eastAsia="宋体" w:cs="宋体"/>
                <w:color w:val="000000"/>
                <w:kern w:val="0"/>
                <w:sz w:val="22"/>
              </w:rPr>
            </w:pPr>
            <w:r>
              <w:rPr>
                <w:rFonts w:hint="eastAsia" w:ascii="宋体" w:hAnsi="宋体" w:eastAsia="宋体" w:cs="宋体"/>
                <w:color w:val="000000"/>
                <w:kern w:val="0"/>
                <w:sz w:val="22"/>
              </w:rPr>
              <w:t>　见下</w:t>
            </w:r>
          </w:p>
        </w:tc>
      </w:tr>
      <w:tr>
        <w:tblPrEx>
          <w:tblCellMar>
            <w:top w:w="0" w:type="dxa"/>
            <w:left w:w="108" w:type="dxa"/>
            <w:bottom w:w="0" w:type="dxa"/>
            <w:right w:w="108" w:type="dxa"/>
          </w:tblCellMar>
        </w:tblPrEx>
        <w:trPr>
          <w:trHeight w:val="1500" w:hRule="atLeast"/>
        </w:trPr>
        <w:tc>
          <w:tcPr>
            <w:tcW w:w="1080"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2"/>
              </w:rPr>
            </w:pPr>
            <w:r>
              <w:rPr>
                <w:rFonts w:hint="eastAsia" w:ascii="宋体" w:hAnsi="宋体" w:eastAsia="宋体" w:cs="宋体"/>
                <w:color w:val="000000"/>
                <w:kern w:val="0"/>
                <w:sz w:val="22"/>
              </w:rPr>
              <w:t>6</w:t>
            </w:r>
          </w:p>
        </w:tc>
        <w:tc>
          <w:tcPr>
            <w:tcW w:w="14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p>
        </w:tc>
        <w:tc>
          <w:tcPr>
            <w:tcW w:w="2429"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r>
              <w:rPr>
                <w:rFonts w:hint="eastAsia" w:ascii="宋体" w:hAnsi="宋体" w:eastAsia="宋体" w:cs="宋体"/>
                <w:color w:val="000000"/>
                <w:kern w:val="0"/>
                <w:sz w:val="22"/>
              </w:rPr>
              <w:t>（1）被中央有关部门通报，并核实的。</w:t>
            </w:r>
          </w:p>
        </w:tc>
        <w:tc>
          <w:tcPr>
            <w:tcW w:w="3827"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r>
              <w:rPr>
                <w:rFonts w:hint="eastAsia" w:ascii="宋体" w:hAnsi="宋体" w:eastAsia="宋体" w:cs="宋体"/>
                <w:color w:val="000000"/>
                <w:kern w:val="0"/>
                <w:sz w:val="22"/>
              </w:rPr>
              <w:t>1、限期整改；</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2、约谈企业负责人；</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3、扣除项目运维费用的3%</w:t>
            </w:r>
          </w:p>
        </w:tc>
      </w:tr>
      <w:tr>
        <w:tblPrEx>
          <w:tblCellMar>
            <w:top w:w="0" w:type="dxa"/>
            <w:left w:w="108" w:type="dxa"/>
            <w:bottom w:w="0" w:type="dxa"/>
            <w:right w:w="108" w:type="dxa"/>
          </w:tblCellMar>
        </w:tblPrEx>
        <w:trPr>
          <w:trHeight w:val="1310" w:hRule="atLeast"/>
        </w:trPr>
        <w:tc>
          <w:tcPr>
            <w:tcW w:w="1080"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2"/>
              </w:rPr>
            </w:pPr>
            <w:r>
              <w:rPr>
                <w:rFonts w:hint="eastAsia" w:ascii="宋体" w:hAnsi="宋体" w:eastAsia="宋体" w:cs="宋体"/>
                <w:color w:val="000000"/>
                <w:kern w:val="0"/>
                <w:sz w:val="22"/>
              </w:rPr>
              <w:t>7</w:t>
            </w:r>
          </w:p>
        </w:tc>
        <w:tc>
          <w:tcPr>
            <w:tcW w:w="14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p>
        </w:tc>
        <w:tc>
          <w:tcPr>
            <w:tcW w:w="2429"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r>
              <w:rPr>
                <w:rFonts w:hint="eastAsia" w:ascii="宋体" w:hAnsi="宋体" w:eastAsia="宋体" w:cs="宋体"/>
                <w:color w:val="000000"/>
                <w:kern w:val="0"/>
                <w:sz w:val="22"/>
              </w:rPr>
              <w:t>（2）被本市有关部门通报，并核实的。</w:t>
            </w:r>
          </w:p>
        </w:tc>
        <w:tc>
          <w:tcPr>
            <w:tcW w:w="3827"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r>
              <w:rPr>
                <w:rFonts w:hint="eastAsia" w:ascii="宋体" w:hAnsi="宋体" w:eastAsia="宋体" w:cs="宋体"/>
                <w:color w:val="000000"/>
                <w:kern w:val="0"/>
                <w:sz w:val="22"/>
              </w:rPr>
              <w:t>1、限期整改；</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2、约谈企业负责人；</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3、扣除项目运维费用的2%</w:t>
            </w:r>
          </w:p>
        </w:tc>
      </w:tr>
      <w:tr>
        <w:tblPrEx>
          <w:tblCellMar>
            <w:top w:w="0" w:type="dxa"/>
            <w:left w:w="108" w:type="dxa"/>
            <w:bottom w:w="0" w:type="dxa"/>
            <w:right w:w="108" w:type="dxa"/>
          </w:tblCellMar>
        </w:tblPrEx>
        <w:trPr>
          <w:trHeight w:val="1140" w:hRule="atLeast"/>
        </w:trPr>
        <w:tc>
          <w:tcPr>
            <w:tcW w:w="1080"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2"/>
              </w:rPr>
            </w:pPr>
            <w:r>
              <w:rPr>
                <w:rFonts w:hint="eastAsia" w:ascii="宋体" w:hAnsi="宋体" w:eastAsia="宋体" w:cs="宋体"/>
                <w:color w:val="000000"/>
                <w:kern w:val="0"/>
                <w:sz w:val="22"/>
              </w:rPr>
              <w:t>8</w:t>
            </w:r>
          </w:p>
        </w:tc>
        <w:tc>
          <w:tcPr>
            <w:tcW w:w="14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p>
        </w:tc>
        <w:tc>
          <w:tcPr>
            <w:tcW w:w="2429"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r>
              <w:rPr>
                <w:rFonts w:hint="eastAsia" w:ascii="宋体" w:hAnsi="宋体" w:eastAsia="宋体" w:cs="宋体"/>
                <w:color w:val="000000"/>
                <w:kern w:val="0"/>
                <w:sz w:val="22"/>
              </w:rPr>
              <w:t>（3）被中心通报，对业务造成影响。</w:t>
            </w:r>
          </w:p>
        </w:tc>
        <w:tc>
          <w:tcPr>
            <w:tcW w:w="3827"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r>
              <w:rPr>
                <w:rFonts w:hint="eastAsia" w:ascii="宋体" w:hAnsi="宋体" w:eastAsia="宋体" w:cs="宋体"/>
                <w:color w:val="000000"/>
                <w:kern w:val="0"/>
                <w:sz w:val="22"/>
              </w:rPr>
              <w:t>1、限期整改；</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2、约谈企业负责人；</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3、一个服务周期内累计发生3次及以上的，扣除项目运维费用的1%</w:t>
            </w:r>
          </w:p>
        </w:tc>
      </w:tr>
      <w:tr>
        <w:tblPrEx>
          <w:tblCellMar>
            <w:top w:w="0" w:type="dxa"/>
            <w:left w:w="108" w:type="dxa"/>
            <w:bottom w:w="0" w:type="dxa"/>
            <w:right w:w="108" w:type="dxa"/>
          </w:tblCellMar>
        </w:tblPrEx>
        <w:trPr>
          <w:trHeight w:val="1270" w:hRule="atLeast"/>
        </w:trPr>
        <w:tc>
          <w:tcPr>
            <w:tcW w:w="1080"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2"/>
              </w:rPr>
            </w:pPr>
            <w:r>
              <w:rPr>
                <w:rFonts w:hint="eastAsia" w:ascii="宋体" w:hAnsi="宋体" w:eastAsia="宋体" w:cs="宋体"/>
                <w:color w:val="000000"/>
                <w:kern w:val="0"/>
                <w:sz w:val="22"/>
              </w:rPr>
              <w:t>9</w:t>
            </w:r>
          </w:p>
        </w:tc>
        <w:tc>
          <w:tcPr>
            <w:tcW w:w="14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p>
        </w:tc>
        <w:tc>
          <w:tcPr>
            <w:tcW w:w="2429"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r>
              <w:rPr>
                <w:rFonts w:hint="eastAsia" w:ascii="宋体" w:hAnsi="宋体" w:eastAsia="宋体" w:cs="宋体"/>
                <w:color w:val="000000"/>
                <w:kern w:val="0"/>
                <w:sz w:val="22"/>
              </w:rPr>
              <w:t>（4）被重要用户投诉，影响中心形象、声誉。</w:t>
            </w:r>
          </w:p>
        </w:tc>
        <w:tc>
          <w:tcPr>
            <w:tcW w:w="3827"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r>
              <w:rPr>
                <w:rFonts w:hint="eastAsia" w:ascii="宋体" w:hAnsi="宋体" w:eastAsia="宋体" w:cs="宋体"/>
                <w:color w:val="000000"/>
                <w:kern w:val="0"/>
                <w:sz w:val="22"/>
              </w:rPr>
              <w:t>1、限期整改；</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2、约谈企业负责人；</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3、一个服务周期内累计发生2次及以上的，扣除项目运维费用的2%</w:t>
            </w:r>
          </w:p>
        </w:tc>
      </w:tr>
      <w:tr>
        <w:tblPrEx>
          <w:tblCellMar>
            <w:top w:w="0" w:type="dxa"/>
            <w:left w:w="108" w:type="dxa"/>
            <w:bottom w:w="0" w:type="dxa"/>
            <w:right w:w="108" w:type="dxa"/>
          </w:tblCellMar>
        </w:tblPrEx>
        <w:trPr>
          <w:trHeight w:val="840" w:hRule="atLeast"/>
        </w:trPr>
        <w:tc>
          <w:tcPr>
            <w:tcW w:w="1080"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2"/>
              </w:rPr>
            </w:pPr>
            <w:r>
              <w:rPr>
                <w:rFonts w:hint="eastAsia" w:ascii="宋体" w:hAnsi="宋体" w:eastAsia="宋体" w:cs="宋体"/>
                <w:color w:val="000000"/>
                <w:kern w:val="0"/>
                <w:sz w:val="22"/>
              </w:rPr>
              <w:t>10</w:t>
            </w:r>
          </w:p>
        </w:tc>
        <w:tc>
          <w:tcPr>
            <w:tcW w:w="14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p>
        </w:tc>
        <w:tc>
          <w:tcPr>
            <w:tcW w:w="2429"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r>
              <w:rPr>
                <w:rFonts w:hint="eastAsia" w:ascii="宋体" w:hAnsi="宋体" w:eastAsia="宋体" w:cs="宋体"/>
                <w:color w:val="000000"/>
                <w:kern w:val="0"/>
                <w:sz w:val="22"/>
              </w:rPr>
              <w:t>3、在日常安全监控和检查中，发现服务厂商建设、运维的系统被非法登陆、信息泄露或篡改、病毒或黑客攻击等安全事件。</w:t>
            </w:r>
          </w:p>
        </w:tc>
        <w:tc>
          <w:tcPr>
            <w:tcW w:w="3827"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r>
              <w:rPr>
                <w:rFonts w:hint="eastAsia" w:ascii="宋体" w:hAnsi="宋体" w:eastAsia="宋体" w:cs="宋体"/>
                <w:color w:val="000000"/>
                <w:kern w:val="0"/>
                <w:sz w:val="22"/>
              </w:rPr>
              <w:t>1、限期整改；</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2、约谈企业负责人；</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3、扣除项目运维费用的2%</w:t>
            </w:r>
          </w:p>
        </w:tc>
      </w:tr>
      <w:tr>
        <w:tblPrEx>
          <w:tblCellMar>
            <w:top w:w="0" w:type="dxa"/>
            <w:left w:w="108" w:type="dxa"/>
            <w:bottom w:w="0" w:type="dxa"/>
            <w:right w:w="108" w:type="dxa"/>
          </w:tblCellMar>
        </w:tblPrEx>
        <w:trPr>
          <w:trHeight w:val="840" w:hRule="atLeast"/>
        </w:trPr>
        <w:tc>
          <w:tcPr>
            <w:tcW w:w="1080"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2"/>
              </w:rPr>
            </w:pPr>
            <w:r>
              <w:rPr>
                <w:rFonts w:hint="eastAsia" w:ascii="宋体" w:hAnsi="宋体" w:eastAsia="宋体" w:cs="宋体"/>
                <w:color w:val="000000"/>
                <w:kern w:val="0"/>
                <w:sz w:val="22"/>
              </w:rPr>
              <w:t>11</w:t>
            </w:r>
          </w:p>
        </w:tc>
        <w:tc>
          <w:tcPr>
            <w:tcW w:w="14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p>
        </w:tc>
        <w:tc>
          <w:tcPr>
            <w:tcW w:w="2429"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r>
              <w:rPr>
                <w:rFonts w:hint="eastAsia" w:ascii="宋体" w:hAnsi="宋体" w:eastAsia="宋体" w:cs="宋体"/>
                <w:color w:val="000000"/>
                <w:kern w:val="0"/>
                <w:sz w:val="22"/>
              </w:rPr>
              <w:t>4、在上级主管单位对中心进行安全检查中，发现问题的。</w:t>
            </w:r>
          </w:p>
        </w:tc>
        <w:tc>
          <w:tcPr>
            <w:tcW w:w="3827"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r>
              <w:rPr>
                <w:rFonts w:hint="eastAsia" w:ascii="宋体" w:hAnsi="宋体" w:eastAsia="宋体" w:cs="宋体"/>
                <w:color w:val="000000"/>
                <w:kern w:val="0"/>
                <w:sz w:val="22"/>
              </w:rPr>
              <w:t>1、限期整改；</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2、约谈企业负责人；</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3、在一次检查中发现2个及以上高危问题的，扣除项目运维费用的2%</w:t>
            </w:r>
          </w:p>
        </w:tc>
      </w:tr>
      <w:tr>
        <w:tblPrEx>
          <w:tblCellMar>
            <w:top w:w="0" w:type="dxa"/>
            <w:left w:w="108" w:type="dxa"/>
            <w:bottom w:w="0" w:type="dxa"/>
            <w:right w:w="108" w:type="dxa"/>
          </w:tblCellMar>
        </w:tblPrEx>
        <w:trPr>
          <w:trHeight w:val="840" w:hRule="atLeast"/>
        </w:trPr>
        <w:tc>
          <w:tcPr>
            <w:tcW w:w="1080"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2"/>
              </w:rPr>
            </w:pPr>
            <w:r>
              <w:rPr>
                <w:rFonts w:hint="eastAsia" w:ascii="宋体" w:hAnsi="宋体" w:eastAsia="宋体" w:cs="宋体"/>
                <w:color w:val="000000"/>
                <w:kern w:val="0"/>
                <w:sz w:val="22"/>
              </w:rPr>
              <w:t>12</w:t>
            </w:r>
          </w:p>
        </w:tc>
        <w:tc>
          <w:tcPr>
            <w:tcW w:w="14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p>
        </w:tc>
        <w:tc>
          <w:tcPr>
            <w:tcW w:w="2429"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r>
              <w:rPr>
                <w:rFonts w:hint="eastAsia" w:ascii="宋体" w:hAnsi="宋体" w:eastAsia="宋体" w:cs="宋体"/>
                <w:color w:val="000000"/>
                <w:kern w:val="0"/>
                <w:sz w:val="22"/>
              </w:rPr>
              <w:t>5、未经批准，擅自在各种媒体发表与中心有关的评论或言论。</w:t>
            </w:r>
          </w:p>
        </w:tc>
        <w:tc>
          <w:tcPr>
            <w:tcW w:w="3827"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r>
              <w:rPr>
                <w:rFonts w:hint="eastAsia" w:ascii="宋体" w:hAnsi="宋体" w:eastAsia="宋体" w:cs="宋体"/>
                <w:color w:val="000000"/>
                <w:kern w:val="0"/>
                <w:sz w:val="22"/>
              </w:rPr>
              <w:t>1、限期整改；</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2、约谈企业负责人；</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3、扣除项目运维费用的2%</w:t>
            </w:r>
          </w:p>
        </w:tc>
      </w:tr>
      <w:tr>
        <w:tblPrEx>
          <w:tblCellMar>
            <w:top w:w="0" w:type="dxa"/>
            <w:left w:w="108" w:type="dxa"/>
            <w:bottom w:w="0" w:type="dxa"/>
            <w:right w:w="108" w:type="dxa"/>
          </w:tblCellMar>
        </w:tblPrEx>
        <w:trPr>
          <w:trHeight w:val="840" w:hRule="atLeast"/>
        </w:trPr>
        <w:tc>
          <w:tcPr>
            <w:tcW w:w="1080"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2"/>
              </w:rPr>
            </w:pPr>
            <w:r>
              <w:rPr>
                <w:rFonts w:hint="eastAsia" w:ascii="宋体" w:hAnsi="宋体" w:eastAsia="宋体" w:cs="宋体"/>
                <w:color w:val="000000"/>
                <w:kern w:val="0"/>
                <w:sz w:val="22"/>
              </w:rPr>
              <w:t>13</w:t>
            </w:r>
          </w:p>
        </w:tc>
        <w:tc>
          <w:tcPr>
            <w:tcW w:w="1460" w:type="dxa"/>
            <w:vMerge w:val="restart"/>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2"/>
              </w:rPr>
            </w:pPr>
            <w:r>
              <w:rPr>
                <w:rFonts w:hint="eastAsia" w:ascii="宋体" w:hAnsi="宋体" w:eastAsia="宋体" w:cs="宋体"/>
                <w:color w:val="000000"/>
                <w:kern w:val="0"/>
                <w:sz w:val="22"/>
              </w:rPr>
              <w:t>故障</w:t>
            </w:r>
          </w:p>
        </w:tc>
        <w:tc>
          <w:tcPr>
            <w:tcW w:w="2429"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r>
              <w:rPr>
                <w:rFonts w:hint="eastAsia" w:ascii="宋体" w:hAnsi="宋体" w:eastAsia="宋体" w:cs="宋体"/>
                <w:color w:val="000000"/>
                <w:kern w:val="0"/>
                <w:sz w:val="22"/>
              </w:rPr>
              <w:t>1、发生A1、A2级故障。</w:t>
            </w:r>
          </w:p>
        </w:tc>
        <w:tc>
          <w:tcPr>
            <w:tcW w:w="3827"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r>
              <w:rPr>
                <w:rFonts w:hint="eastAsia" w:ascii="宋体" w:hAnsi="宋体" w:eastAsia="宋体" w:cs="宋体"/>
                <w:color w:val="000000"/>
                <w:kern w:val="0"/>
                <w:sz w:val="22"/>
              </w:rPr>
              <w:t>1、限期整改；</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2、约谈企业负责人；</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3、扣除项目运维费用的3%</w:t>
            </w:r>
          </w:p>
        </w:tc>
      </w:tr>
      <w:tr>
        <w:tblPrEx>
          <w:tblCellMar>
            <w:top w:w="0" w:type="dxa"/>
            <w:left w:w="108" w:type="dxa"/>
            <w:bottom w:w="0" w:type="dxa"/>
            <w:right w:w="108" w:type="dxa"/>
          </w:tblCellMar>
        </w:tblPrEx>
        <w:trPr>
          <w:trHeight w:val="840" w:hRule="atLeast"/>
        </w:trPr>
        <w:tc>
          <w:tcPr>
            <w:tcW w:w="1080"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2"/>
              </w:rPr>
            </w:pPr>
            <w:r>
              <w:rPr>
                <w:rFonts w:hint="eastAsia" w:ascii="宋体" w:hAnsi="宋体" w:eastAsia="宋体" w:cs="宋体"/>
                <w:color w:val="000000"/>
                <w:kern w:val="0"/>
                <w:sz w:val="22"/>
              </w:rPr>
              <w:t>14</w:t>
            </w:r>
          </w:p>
        </w:tc>
        <w:tc>
          <w:tcPr>
            <w:tcW w:w="14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p>
        </w:tc>
        <w:tc>
          <w:tcPr>
            <w:tcW w:w="2429"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r>
              <w:rPr>
                <w:rFonts w:hint="eastAsia" w:ascii="宋体" w:hAnsi="宋体" w:eastAsia="宋体" w:cs="宋体"/>
                <w:color w:val="000000"/>
                <w:kern w:val="0"/>
                <w:sz w:val="22"/>
              </w:rPr>
              <w:t>2、发生B1、B2级故障。</w:t>
            </w:r>
          </w:p>
        </w:tc>
        <w:tc>
          <w:tcPr>
            <w:tcW w:w="3827"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r>
              <w:rPr>
                <w:rFonts w:hint="eastAsia" w:ascii="宋体" w:hAnsi="宋体" w:eastAsia="宋体" w:cs="宋体"/>
                <w:color w:val="000000"/>
                <w:kern w:val="0"/>
                <w:sz w:val="22"/>
              </w:rPr>
              <w:t>1、限期整改；</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2、约谈企业负责人；</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3、一个服务周期内累计2次及以上的，扣除项目运维费用的2%</w:t>
            </w:r>
          </w:p>
        </w:tc>
      </w:tr>
      <w:tr>
        <w:tblPrEx>
          <w:tblCellMar>
            <w:top w:w="0" w:type="dxa"/>
            <w:left w:w="108" w:type="dxa"/>
            <w:bottom w:w="0" w:type="dxa"/>
            <w:right w:w="108" w:type="dxa"/>
          </w:tblCellMar>
        </w:tblPrEx>
        <w:trPr>
          <w:trHeight w:val="840" w:hRule="atLeast"/>
        </w:trPr>
        <w:tc>
          <w:tcPr>
            <w:tcW w:w="1080"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2"/>
              </w:rPr>
            </w:pPr>
            <w:r>
              <w:rPr>
                <w:rFonts w:hint="eastAsia" w:ascii="宋体" w:hAnsi="宋体" w:eastAsia="宋体" w:cs="宋体"/>
                <w:color w:val="000000"/>
                <w:kern w:val="0"/>
                <w:sz w:val="22"/>
              </w:rPr>
              <w:t>15</w:t>
            </w:r>
          </w:p>
        </w:tc>
        <w:tc>
          <w:tcPr>
            <w:tcW w:w="146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p>
        </w:tc>
        <w:tc>
          <w:tcPr>
            <w:tcW w:w="2429"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r>
              <w:rPr>
                <w:rFonts w:hint="eastAsia" w:ascii="宋体" w:hAnsi="宋体" w:eastAsia="宋体" w:cs="宋体"/>
                <w:color w:val="000000"/>
                <w:kern w:val="0"/>
                <w:sz w:val="22"/>
              </w:rPr>
              <w:t>3、发生C+级故障。</w:t>
            </w:r>
          </w:p>
        </w:tc>
        <w:tc>
          <w:tcPr>
            <w:tcW w:w="3827"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r>
              <w:rPr>
                <w:rFonts w:hint="eastAsia" w:ascii="宋体" w:hAnsi="宋体" w:eastAsia="宋体" w:cs="宋体"/>
                <w:color w:val="000000"/>
                <w:kern w:val="0"/>
                <w:sz w:val="22"/>
              </w:rPr>
              <w:t>1、限期整改；</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2、约谈企业负责人；</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3、一个服务周期内累计3次及以上的，扣除项目运维费用的1%</w:t>
            </w:r>
          </w:p>
        </w:tc>
      </w:tr>
      <w:tr>
        <w:tblPrEx>
          <w:tblCellMar>
            <w:top w:w="0" w:type="dxa"/>
            <w:left w:w="108" w:type="dxa"/>
            <w:bottom w:w="0" w:type="dxa"/>
            <w:right w:w="108" w:type="dxa"/>
          </w:tblCellMar>
        </w:tblPrEx>
        <w:trPr>
          <w:trHeight w:val="1120" w:hRule="atLeast"/>
        </w:trPr>
        <w:tc>
          <w:tcPr>
            <w:tcW w:w="1080"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2"/>
              </w:rPr>
            </w:pPr>
            <w:r>
              <w:rPr>
                <w:rFonts w:hint="eastAsia" w:ascii="宋体" w:hAnsi="宋体" w:eastAsia="宋体" w:cs="宋体"/>
                <w:color w:val="000000"/>
                <w:kern w:val="0"/>
                <w:sz w:val="22"/>
              </w:rPr>
              <w:t>16</w:t>
            </w:r>
          </w:p>
        </w:tc>
        <w:tc>
          <w:tcPr>
            <w:tcW w:w="1460" w:type="dxa"/>
            <w:vMerge w:val="restart"/>
            <w:tcBorders>
              <w:top w:val="nil"/>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hint="eastAsia" w:ascii="宋体" w:hAnsi="宋体" w:eastAsia="宋体" w:cs="宋体"/>
                <w:color w:val="000000"/>
                <w:kern w:val="0"/>
                <w:sz w:val="22"/>
              </w:rPr>
            </w:pPr>
            <w:r>
              <w:rPr>
                <w:rFonts w:hint="eastAsia" w:ascii="宋体" w:hAnsi="宋体" w:eastAsia="宋体" w:cs="宋体"/>
                <w:color w:val="000000"/>
                <w:kern w:val="0"/>
                <w:sz w:val="22"/>
              </w:rPr>
              <w:t>漏洞</w:t>
            </w:r>
          </w:p>
        </w:tc>
        <w:tc>
          <w:tcPr>
            <w:tcW w:w="2429"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r>
              <w:rPr>
                <w:rFonts w:hint="eastAsia" w:ascii="宋体" w:hAnsi="宋体" w:eastAsia="宋体" w:cs="宋体"/>
                <w:color w:val="000000"/>
                <w:kern w:val="0"/>
                <w:sz w:val="22"/>
              </w:rPr>
              <w:t>1、运维项目，未按要求上报产品漏洞情况，未及时更新版本</w:t>
            </w:r>
          </w:p>
        </w:tc>
        <w:tc>
          <w:tcPr>
            <w:tcW w:w="3827"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r>
              <w:rPr>
                <w:rFonts w:hint="eastAsia" w:ascii="宋体" w:hAnsi="宋体" w:eastAsia="宋体" w:cs="宋体"/>
                <w:color w:val="000000"/>
                <w:kern w:val="0"/>
                <w:sz w:val="22"/>
              </w:rPr>
              <w:t>1、限期整改；</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2、约谈企业负责人；</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3、每发现一次未上报或未及时更新且存在漏洞发生安全事件的，按事件等级进行项目金额扣除。</w:t>
            </w:r>
          </w:p>
        </w:tc>
      </w:tr>
      <w:tr>
        <w:tblPrEx>
          <w:tblCellMar>
            <w:top w:w="0" w:type="dxa"/>
            <w:left w:w="108" w:type="dxa"/>
            <w:bottom w:w="0" w:type="dxa"/>
            <w:right w:w="108" w:type="dxa"/>
          </w:tblCellMar>
        </w:tblPrEx>
        <w:trPr>
          <w:trHeight w:val="1680" w:hRule="atLeast"/>
        </w:trPr>
        <w:tc>
          <w:tcPr>
            <w:tcW w:w="1080"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2"/>
              </w:rPr>
            </w:pPr>
            <w:r>
              <w:rPr>
                <w:rFonts w:hint="eastAsia" w:ascii="宋体" w:hAnsi="宋体" w:eastAsia="宋体" w:cs="宋体"/>
                <w:color w:val="000000"/>
                <w:kern w:val="0"/>
                <w:sz w:val="22"/>
              </w:rPr>
              <w:t>17</w:t>
            </w:r>
          </w:p>
        </w:tc>
        <w:tc>
          <w:tcPr>
            <w:tcW w:w="14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p>
        </w:tc>
        <w:tc>
          <w:tcPr>
            <w:tcW w:w="2429"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r>
              <w:rPr>
                <w:rFonts w:hint="eastAsia" w:ascii="宋体" w:hAnsi="宋体" w:eastAsia="宋体" w:cs="宋体"/>
                <w:color w:val="000000"/>
                <w:kern w:val="0"/>
                <w:sz w:val="22"/>
              </w:rPr>
              <w:t>2、存在漏洞风险，未按要求及时修复漏洞或采取防护措施</w:t>
            </w:r>
          </w:p>
        </w:tc>
        <w:tc>
          <w:tcPr>
            <w:tcW w:w="3827"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ascii="宋体" w:hAnsi="宋体" w:eastAsia="宋体" w:cs="宋体"/>
                <w:color w:val="000000"/>
                <w:kern w:val="0"/>
                <w:sz w:val="22"/>
              </w:rPr>
            </w:pPr>
            <w:r>
              <w:rPr>
                <w:rFonts w:hint="eastAsia" w:ascii="宋体" w:hAnsi="宋体" w:eastAsia="宋体" w:cs="宋体"/>
                <w:color w:val="000000"/>
                <w:kern w:val="0"/>
                <w:sz w:val="22"/>
              </w:rPr>
              <w:t>1、限期整改；</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2、约谈企业负责人；</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3、一个服务周期内累计3次及以上的中高危漏洞未按期整改的，扣除项目运维费用的2%；</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4、每发现一次未按时修复且发生安全事件的，按事件等级进行项目金额扣除。</w:t>
            </w:r>
          </w:p>
        </w:tc>
      </w:tr>
    </w:tbl>
    <w:p>
      <w:pPr>
        <w:numPr>
          <w:ilvl w:val="0"/>
          <w:numId w:val="0"/>
        </w:numPr>
        <w:jc w:val="left"/>
        <w:rPr>
          <w:rFonts w:hint="default"/>
          <w:lang w:val="en-US" w:eastAsia="zh-CN"/>
        </w:rPr>
      </w:pP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等线">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200001FF" w:csb1="00000000"/>
  </w:font>
  <w:font w:name="Arial Unicode MS">
    <w:altName w:val="DejaVu Sans"/>
    <w:panose1 w:val="020B0604020202020204"/>
    <w:charset w:val="86"/>
    <w:family w:val="swiss"/>
    <w:pitch w:val="default"/>
    <w:sig w:usb0="00000000" w:usb1="00000000" w:usb2="0000003F" w:usb3="00000000" w:csb0="603F01FF" w:csb1="FFFF0000"/>
  </w:font>
  <w:font w:name="等线 Light">
    <w:altName w:val="华文中宋"/>
    <w:panose1 w:val="02010600030101010101"/>
    <w:charset w:val="86"/>
    <w:family w:val="auto"/>
    <w:pitch w:val="default"/>
    <w:sig w:usb0="00000000" w:usb1="00000000" w:usb2="00000016" w:usb3="00000000" w:csb0="0004000F" w:csb1="00000000"/>
  </w:font>
  <w:font w:name="time">
    <w:altName w:val="华文中宋"/>
    <w:panose1 w:val="00000000000000000000"/>
    <w:charset w:val="00"/>
    <w:family w:val="roman"/>
    <w:pitch w:val="default"/>
    <w:sig w:usb0="00000000" w:usb1="00000000" w:usb2="00000000" w:usb3="00000000" w:csb0="00040001" w:csb1="00000000"/>
  </w:font>
  <w:font w:name="Microsoft YaHei UI">
    <w:altName w:val="文泉驿微米黑"/>
    <w:panose1 w:val="020B0503020204020204"/>
    <w:charset w:val="86"/>
    <w:family w:val="swiss"/>
    <w:pitch w:val="default"/>
    <w:sig w:usb0="00000000" w:usb1="00000000" w:usb2="00000016" w:usb3="00000000" w:csb0="0004001F" w:csb1="00000000"/>
  </w:font>
  <w:font w:name="文泉驿微米黑">
    <w:panose1 w:val="020B0606030804020204"/>
    <w:charset w:val="86"/>
    <w:family w:val="auto"/>
    <w:pitch w:val="default"/>
    <w:sig w:usb0="E10002EF" w:usb1="6BDFFCFB" w:usb2="00800036" w:usb3="00000000" w:csb0="603E019F" w:csb1="DFD70000"/>
  </w:font>
  <w:font w:name="Microsoft Sans Serif">
    <w:altName w:val="DejaVu Sans"/>
    <w:panose1 w:val="020B0604020202020204"/>
    <w:charset w:val="00"/>
    <w:family w:val="swiss"/>
    <w:pitch w:val="default"/>
    <w:sig w:usb0="00000000" w:usb1="00000000" w:usb2="00000029" w:usb3="00000000" w:csb0="200101FF" w:csb1="20280000"/>
  </w:font>
  <w:font w:name="楷体_GB2312">
    <w:altName w:val="方正楷体_GBK"/>
    <w:panose1 w:val="02010609030101010101"/>
    <w:charset w:val="86"/>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华文细黑">
    <w:altName w:val="文泉驿微米黑"/>
    <w:panose1 w:val="02010600040101010101"/>
    <w:charset w:val="86"/>
    <w:family w:val="auto"/>
    <w:pitch w:val="default"/>
    <w:sig w:usb0="00000000" w:usb1="00000000" w:usb2="00000000" w:usb3="00000000" w:csb0="0004009F" w:csb1="DFD70000"/>
  </w:font>
  <w:font w:name="微软雅黑">
    <w:altName w:val="方正黑体_GBK"/>
    <w:panose1 w:val="00000000000000000000"/>
    <w:charset w:val="00"/>
    <w:family w:val="auto"/>
    <w:pitch w:val="default"/>
    <w:sig w:usb0="00000000" w:usb1="00000000" w:usb2="00000000" w:usb3="00000000" w:csb0="00000000" w:csb1="00000000"/>
  </w:font>
  <w:font w:name="Tahoma">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pPr>
    <w:r>
      <w:fldChar w:fldCharType="begin"/>
    </w:r>
    <w:r>
      <w:instrText xml:space="preserve">PAGE   \* MERGEFORMAT</w:instrText>
    </w:r>
    <w:r>
      <w:fldChar w:fldCharType="separate"/>
    </w:r>
    <w:r>
      <w:rPr>
        <w:lang w:val="zh-CN"/>
      </w:rPr>
      <w:t>11</w:t>
    </w:r>
    <w:r>
      <w:rPr>
        <w:lang w:val="zh-CN"/>
      </w:rP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CC7CA"/>
    <w:multiLevelType w:val="singleLevel"/>
    <w:tmpl w:val="8ABCC7CA"/>
    <w:lvl w:ilvl="0" w:tentative="0">
      <w:start w:val="1"/>
      <w:numFmt w:val="decimal"/>
      <w:lvlText w:val="%1)"/>
      <w:lvlJc w:val="left"/>
      <w:pPr>
        <w:ind w:left="425" w:hanging="425"/>
      </w:pPr>
      <w:rPr>
        <w:rFonts w:hint="default"/>
      </w:rPr>
    </w:lvl>
  </w:abstractNum>
  <w:abstractNum w:abstractNumId="1">
    <w:nsid w:val="E7B22D20"/>
    <w:multiLevelType w:val="singleLevel"/>
    <w:tmpl w:val="E7B22D20"/>
    <w:lvl w:ilvl="0" w:tentative="0">
      <w:start w:val="1"/>
      <w:numFmt w:val="decimal"/>
      <w:suff w:val="nothing"/>
      <w:lvlText w:val="%1、"/>
      <w:lvlJc w:val="left"/>
    </w:lvl>
  </w:abstractNum>
  <w:abstractNum w:abstractNumId="2">
    <w:nsid w:val="6350366A"/>
    <w:multiLevelType w:val="multilevel"/>
    <w:tmpl w:val="6350366A"/>
    <w:lvl w:ilvl="0" w:tentative="0">
      <w:start w:val="1"/>
      <w:numFmt w:val="none"/>
      <w:pStyle w:val="11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ZhZTM4MDQ0MjE0NzZkMDgxNGZjMjYxNzEzNTkwZWIifQ=="/>
  </w:docVars>
  <w:rsids>
    <w:rsidRoot w:val="006910C0"/>
    <w:rsid w:val="0000005A"/>
    <w:rsid w:val="00000AED"/>
    <w:rsid w:val="00002DBA"/>
    <w:rsid w:val="00003516"/>
    <w:rsid w:val="0000380E"/>
    <w:rsid w:val="00005AFD"/>
    <w:rsid w:val="00006563"/>
    <w:rsid w:val="000074F1"/>
    <w:rsid w:val="00007A41"/>
    <w:rsid w:val="00007DA7"/>
    <w:rsid w:val="00012EF0"/>
    <w:rsid w:val="000156DE"/>
    <w:rsid w:val="000165AD"/>
    <w:rsid w:val="000179E9"/>
    <w:rsid w:val="00020C18"/>
    <w:rsid w:val="00021EE6"/>
    <w:rsid w:val="0002280E"/>
    <w:rsid w:val="00022C74"/>
    <w:rsid w:val="00025122"/>
    <w:rsid w:val="000252D5"/>
    <w:rsid w:val="00026997"/>
    <w:rsid w:val="00027A64"/>
    <w:rsid w:val="00032D27"/>
    <w:rsid w:val="00035325"/>
    <w:rsid w:val="00035D5B"/>
    <w:rsid w:val="000378D0"/>
    <w:rsid w:val="00037F2C"/>
    <w:rsid w:val="00042C2A"/>
    <w:rsid w:val="000430EC"/>
    <w:rsid w:val="000447CB"/>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231F"/>
    <w:rsid w:val="00062A05"/>
    <w:rsid w:val="00062EE6"/>
    <w:rsid w:val="0006344E"/>
    <w:rsid w:val="000649E6"/>
    <w:rsid w:val="0006794B"/>
    <w:rsid w:val="00067DCA"/>
    <w:rsid w:val="00070063"/>
    <w:rsid w:val="0007087A"/>
    <w:rsid w:val="000710EC"/>
    <w:rsid w:val="00072237"/>
    <w:rsid w:val="00072ABE"/>
    <w:rsid w:val="00080B39"/>
    <w:rsid w:val="00083950"/>
    <w:rsid w:val="0008452F"/>
    <w:rsid w:val="00084E8E"/>
    <w:rsid w:val="00085A68"/>
    <w:rsid w:val="00090625"/>
    <w:rsid w:val="00090948"/>
    <w:rsid w:val="00091CD1"/>
    <w:rsid w:val="0009460E"/>
    <w:rsid w:val="000951D4"/>
    <w:rsid w:val="000A2146"/>
    <w:rsid w:val="000A2930"/>
    <w:rsid w:val="000A3276"/>
    <w:rsid w:val="000A3C35"/>
    <w:rsid w:val="000A3E30"/>
    <w:rsid w:val="000A5876"/>
    <w:rsid w:val="000A61D0"/>
    <w:rsid w:val="000A6C67"/>
    <w:rsid w:val="000A6DB8"/>
    <w:rsid w:val="000A7596"/>
    <w:rsid w:val="000B11A8"/>
    <w:rsid w:val="000B1959"/>
    <w:rsid w:val="000B2E1C"/>
    <w:rsid w:val="000B4459"/>
    <w:rsid w:val="000B4B46"/>
    <w:rsid w:val="000B5363"/>
    <w:rsid w:val="000B53BA"/>
    <w:rsid w:val="000B642F"/>
    <w:rsid w:val="000B6C99"/>
    <w:rsid w:val="000C3F3C"/>
    <w:rsid w:val="000C5A75"/>
    <w:rsid w:val="000C75E9"/>
    <w:rsid w:val="000C75F7"/>
    <w:rsid w:val="000D0AB2"/>
    <w:rsid w:val="000D225C"/>
    <w:rsid w:val="000D36F2"/>
    <w:rsid w:val="000D4B26"/>
    <w:rsid w:val="000D74DB"/>
    <w:rsid w:val="000E24D6"/>
    <w:rsid w:val="000E6072"/>
    <w:rsid w:val="000E6D61"/>
    <w:rsid w:val="000E7A23"/>
    <w:rsid w:val="000F1C29"/>
    <w:rsid w:val="000F1E9E"/>
    <w:rsid w:val="000F2B10"/>
    <w:rsid w:val="000F3F72"/>
    <w:rsid w:val="001055B2"/>
    <w:rsid w:val="001068F0"/>
    <w:rsid w:val="00106AB8"/>
    <w:rsid w:val="00106C9E"/>
    <w:rsid w:val="00106E16"/>
    <w:rsid w:val="0010768B"/>
    <w:rsid w:val="00111701"/>
    <w:rsid w:val="00112A29"/>
    <w:rsid w:val="001167F6"/>
    <w:rsid w:val="00116C86"/>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FFA"/>
    <w:rsid w:val="00137AC6"/>
    <w:rsid w:val="00145512"/>
    <w:rsid w:val="001465BD"/>
    <w:rsid w:val="00147B45"/>
    <w:rsid w:val="00150803"/>
    <w:rsid w:val="00151D83"/>
    <w:rsid w:val="001546C9"/>
    <w:rsid w:val="00154FAE"/>
    <w:rsid w:val="00155E77"/>
    <w:rsid w:val="00156A70"/>
    <w:rsid w:val="00160A61"/>
    <w:rsid w:val="00160FC0"/>
    <w:rsid w:val="0016429B"/>
    <w:rsid w:val="00164525"/>
    <w:rsid w:val="00164C50"/>
    <w:rsid w:val="00165CB2"/>
    <w:rsid w:val="00166203"/>
    <w:rsid w:val="00166767"/>
    <w:rsid w:val="001707CB"/>
    <w:rsid w:val="00170C54"/>
    <w:rsid w:val="00171477"/>
    <w:rsid w:val="00172A1A"/>
    <w:rsid w:val="00173251"/>
    <w:rsid w:val="00176BED"/>
    <w:rsid w:val="0017759D"/>
    <w:rsid w:val="001804A5"/>
    <w:rsid w:val="00181C94"/>
    <w:rsid w:val="00182C84"/>
    <w:rsid w:val="00187031"/>
    <w:rsid w:val="00191EA4"/>
    <w:rsid w:val="00192B6C"/>
    <w:rsid w:val="00192C30"/>
    <w:rsid w:val="0019381E"/>
    <w:rsid w:val="00194CF5"/>
    <w:rsid w:val="0019503C"/>
    <w:rsid w:val="00195D94"/>
    <w:rsid w:val="00196F7B"/>
    <w:rsid w:val="001971CB"/>
    <w:rsid w:val="0019795C"/>
    <w:rsid w:val="001A053A"/>
    <w:rsid w:val="001A22A2"/>
    <w:rsid w:val="001A2971"/>
    <w:rsid w:val="001A3D52"/>
    <w:rsid w:val="001A460A"/>
    <w:rsid w:val="001A4A4C"/>
    <w:rsid w:val="001B0230"/>
    <w:rsid w:val="001B13AB"/>
    <w:rsid w:val="001B3907"/>
    <w:rsid w:val="001B3B49"/>
    <w:rsid w:val="001B4907"/>
    <w:rsid w:val="001B4DC5"/>
    <w:rsid w:val="001B5505"/>
    <w:rsid w:val="001C2180"/>
    <w:rsid w:val="001C29CC"/>
    <w:rsid w:val="001C3217"/>
    <w:rsid w:val="001C3B98"/>
    <w:rsid w:val="001C6028"/>
    <w:rsid w:val="001C6365"/>
    <w:rsid w:val="001C7F57"/>
    <w:rsid w:val="001D0E79"/>
    <w:rsid w:val="001D6049"/>
    <w:rsid w:val="001D7339"/>
    <w:rsid w:val="001E2750"/>
    <w:rsid w:val="001E4343"/>
    <w:rsid w:val="001E52BB"/>
    <w:rsid w:val="001E660A"/>
    <w:rsid w:val="001F05D6"/>
    <w:rsid w:val="001F5B0A"/>
    <w:rsid w:val="001F640F"/>
    <w:rsid w:val="001F6794"/>
    <w:rsid w:val="001F6F65"/>
    <w:rsid w:val="002002DF"/>
    <w:rsid w:val="00203A6F"/>
    <w:rsid w:val="00205646"/>
    <w:rsid w:val="002063F7"/>
    <w:rsid w:val="002129E5"/>
    <w:rsid w:val="00212AA4"/>
    <w:rsid w:val="00212E13"/>
    <w:rsid w:val="002163C8"/>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1525"/>
    <w:rsid w:val="00241D87"/>
    <w:rsid w:val="00243C55"/>
    <w:rsid w:val="00243D5E"/>
    <w:rsid w:val="002451EC"/>
    <w:rsid w:val="00245ED4"/>
    <w:rsid w:val="00246B41"/>
    <w:rsid w:val="0025002B"/>
    <w:rsid w:val="002500DE"/>
    <w:rsid w:val="00252457"/>
    <w:rsid w:val="00252581"/>
    <w:rsid w:val="002535B5"/>
    <w:rsid w:val="002538CB"/>
    <w:rsid w:val="002542BD"/>
    <w:rsid w:val="0025774E"/>
    <w:rsid w:val="00257D64"/>
    <w:rsid w:val="0026340A"/>
    <w:rsid w:val="002654EA"/>
    <w:rsid w:val="002704EA"/>
    <w:rsid w:val="0027061A"/>
    <w:rsid w:val="002719CC"/>
    <w:rsid w:val="002730C5"/>
    <w:rsid w:val="0027337C"/>
    <w:rsid w:val="0027602B"/>
    <w:rsid w:val="00277F5E"/>
    <w:rsid w:val="00280084"/>
    <w:rsid w:val="00280490"/>
    <w:rsid w:val="002860B8"/>
    <w:rsid w:val="0029206E"/>
    <w:rsid w:val="00293382"/>
    <w:rsid w:val="00294F51"/>
    <w:rsid w:val="002A2342"/>
    <w:rsid w:val="002A279E"/>
    <w:rsid w:val="002A4FA3"/>
    <w:rsid w:val="002B3606"/>
    <w:rsid w:val="002B3D80"/>
    <w:rsid w:val="002B4402"/>
    <w:rsid w:val="002B4946"/>
    <w:rsid w:val="002B4C41"/>
    <w:rsid w:val="002B588D"/>
    <w:rsid w:val="002C1839"/>
    <w:rsid w:val="002C214A"/>
    <w:rsid w:val="002C28E8"/>
    <w:rsid w:val="002C3027"/>
    <w:rsid w:val="002C674D"/>
    <w:rsid w:val="002C7648"/>
    <w:rsid w:val="002C7DC4"/>
    <w:rsid w:val="002D0821"/>
    <w:rsid w:val="002D1929"/>
    <w:rsid w:val="002D1B73"/>
    <w:rsid w:val="002D3CB0"/>
    <w:rsid w:val="002D4800"/>
    <w:rsid w:val="002D5B21"/>
    <w:rsid w:val="002D6F6D"/>
    <w:rsid w:val="002E1FE6"/>
    <w:rsid w:val="002E2EA7"/>
    <w:rsid w:val="002E36D2"/>
    <w:rsid w:val="002E748B"/>
    <w:rsid w:val="002F2002"/>
    <w:rsid w:val="002F335D"/>
    <w:rsid w:val="002F4E32"/>
    <w:rsid w:val="002F503F"/>
    <w:rsid w:val="002F51DD"/>
    <w:rsid w:val="002F5D08"/>
    <w:rsid w:val="002F6895"/>
    <w:rsid w:val="002F6D13"/>
    <w:rsid w:val="003038D3"/>
    <w:rsid w:val="003049C7"/>
    <w:rsid w:val="00305F0E"/>
    <w:rsid w:val="0030667A"/>
    <w:rsid w:val="003106DE"/>
    <w:rsid w:val="00311530"/>
    <w:rsid w:val="00312D31"/>
    <w:rsid w:val="00315216"/>
    <w:rsid w:val="0031691C"/>
    <w:rsid w:val="00317AEF"/>
    <w:rsid w:val="00317F49"/>
    <w:rsid w:val="0032089B"/>
    <w:rsid w:val="00323450"/>
    <w:rsid w:val="00323D93"/>
    <w:rsid w:val="0032489B"/>
    <w:rsid w:val="0032525B"/>
    <w:rsid w:val="00326A7A"/>
    <w:rsid w:val="00326FEE"/>
    <w:rsid w:val="003315D7"/>
    <w:rsid w:val="00334DE6"/>
    <w:rsid w:val="0033536D"/>
    <w:rsid w:val="003353FF"/>
    <w:rsid w:val="003366D2"/>
    <w:rsid w:val="00337C79"/>
    <w:rsid w:val="00337FEF"/>
    <w:rsid w:val="0034084C"/>
    <w:rsid w:val="00340D5E"/>
    <w:rsid w:val="003420B5"/>
    <w:rsid w:val="00343646"/>
    <w:rsid w:val="00344CCB"/>
    <w:rsid w:val="00345897"/>
    <w:rsid w:val="00351BFC"/>
    <w:rsid w:val="0035575E"/>
    <w:rsid w:val="003565B4"/>
    <w:rsid w:val="00362E75"/>
    <w:rsid w:val="003631AA"/>
    <w:rsid w:val="003632D5"/>
    <w:rsid w:val="00363575"/>
    <w:rsid w:val="00364EF9"/>
    <w:rsid w:val="00367579"/>
    <w:rsid w:val="0036795B"/>
    <w:rsid w:val="00370A29"/>
    <w:rsid w:val="003722F9"/>
    <w:rsid w:val="00372349"/>
    <w:rsid w:val="00372CBC"/>
    <w:rsid w:val="00373A61"/>
    <w:rsid w:val="00374BDE"/>
    <w:rsid w:val="00376B39"/>
    <w:rsid w:val="003772C0"/>
    <w:rsid w:val="00377BAC"/>
    <w:rsid w:val="00380142"/>
    <w:rsid w:val="00380558"/>
    <w:rsid w:val="00381D3C"/>
    <w:rsid w:val="0038223E"/>
    <w:rsid w:val="00382D92"/>
    <w:rsid w:val="00385AEF"/>
    <w:rsid w:val="003860EA"/>
    <w:rsid w:val="0038781A"/>
    <w:rsid w:val="0039080B"/>
    <w:rsid w:val="0039326E"/>
    <w:rsid w:val="00394E22"/>
    <w:rsid w:val="003967A4"/>
    <w:rsid w:val="00397FA3"/>
    <w:rsid w:val="003A1596"/>
    <w:rsid w:val="003A317E"/>
    <w:rsid w:val="003A345B"/>
    <w:rsid w:val="003A49EE"/>
    <w:rsid w:val="003A674D"/>
    <w:rsid w:val="003A7123"/>
    <w:rsid w:val="003B102E"/>
    <w:rsid w:val="003B2167"/>
    <w:rsid w:val="003B5F5D"/>
    <w:rsid w:val="003B62C8"/>
    <w:rsid w:val="003C0C62"/>
    <w:rsid w:val="003C12DC"/>
    <w:rsid w:val="003C2CDA"/>
    <w:rsid w:val="003D000A"/>
    <w:rsid w:val="003D31E9"/>
    <w:rsid w:val="003D544E"/>
    <w:rsid w:val="003D5980"/>
    <w:rsid w:val="003E0842"/>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3BA3"/>
    <w:rsid w:val="003F3BD5"/>
    <w:rsid w:val="003F400E"/>
    <w:rsid w:val="003F6F35"/>
    <w:rsid w:val="003F7768"/>
    <w:rsid w:val="00400E8C"/>
    <w:rsid w:val="004017DC"/>
    <w:rsid w:val="00401B53"/>
    <w:rsid w:val="00402668"/>
    <w:rsid w:val="00404FEC"/>
    <w:rsid w:val="0040534D"/>
    <w:rsid w:val="00405FAD"/>
    <w:rsid w:val="004117AB"/>
    <w:rsid w:val="00412B2F"/>
    <w:rsid w:val="00415281"/>
    <w:rsid w:val="00415716"/>
    <w:rsid w:val="0041604D"/>
    <w:rsid w:val="00417842"/>
    <w:rsid w:val="00417A6E"/>
    <w:rsid w:val="00420CDF"/>
    <w:rsid w:val="0042285D"/>
    <w:rsid w:val="00427D2B"/>
    <w:rsid w:val="00430B13"/>
    <w:rsid w:val="00430CE5"/>
    <w:rsid w:val="0043153C"/>
    <w:rsid w:val="00431D0F"/>
    <w:rsid w:val="0043481C"/>
    <w:rsid w:val="00444307"/>
    <w:rsid w:val="0044436F"/>
    <w:rsid w:val="004443EB"/>
    <w:rsid w:val="00444432"/>
    <w:rsid w:val="00444673"/>
    <w:rsid w:val="0044621E"/>
    <w:rsid w:val="00447BF1"/>
    <w:rsid w:val="00450BA4"/>
    <w:rsid w:val="004511FC"/>
    <w:rsid w:val="00456784"/>
    <w:rsid w:val="00456DCA"/>
    <w:rsid w:val="00461140"/>
    <w:rsid w:val="004611DB"/>
    <w:rsid w:val="004658B0"/>
    <w:rsid w:val="0046614B"/>
    <w:rsid w:val="00467FD7"/>
    <w:rsid w:val="00470073"/>
    <w:rsid w:val="004730F8"/>
    <w:rsid w:val="00474353"/>
    <w:rsid w:val="00474555"/>
    <w:rsid w:val="004750F4"/>
    <w:rsid w:val="00476CB1"/>
    <w:rsid w:val="00480A48"/>
    <w:rsid w:val="00482501"/>
    <w:rsid w:val="00482E7D"/>
    <w:rsid w:val="00484395"/>
    <w:rsid w:val="004865FB"/>
    <w:rsid w:val="00486C03"/>
    <w:rsid w:val="00491AB3"/>
    <w:rsid w:val="00497A33"/>
    <w:rsid w:val="004A1112"/>
    <w:rsid w:val="004A1DA0"/>
    <w:rsid w:val="004A1F20"/>
    <w:rsid w:val="004A2393"/>
    <w:rsid w:val="004A3569"/>
    <w:rsid w:val="004A452A"/>
    <w:rsid w:val="004A5F2C"/>
    <w:rsid w:val="004A6E4F"/>
    <w:rsid w:val="004A720D"/>
    <w:rsid w:val="004B00D0"/>
    <w:rsid w:val="004B6084"/>
    <w:rsid w:val="004B7AE0"/>
    <w:rsid w:val="004C0BC4"/>
    <w:rsid w:val="004C260D"/>
    <w:rsid w:val="004C2D47"/>
    <w:rsid w:val="004C4357"/>
    <w:rsid w:val="004C4477"/>
    <w:rsid w:val="004C5730"/>
    <w:rsid w:val="004C6397"/>
    <w:rsid w:val="004C668F"/>
    <w:rsid w:val="004C682B"/>
    <w:rsid w:val="004D142C"/>
    <w:rsid w:val="004D29F7"/>
    <w:rsid w:val="004D36D8"/>
    <w:rsid w:val="004D4C5C"/>
    <w:rsid w:val="004D5AB0"/>
    <w:rsid w:val="004D5EAE"/>
    <w:rsid w:val="004D7A0E"/>
    <w:rsid w:val="004E06E7"/>
    <w:rsid w:val="004E0AE3"/>
    <w:rsid w:val="004E20D3"/>
    <w:rsid w:val="004E2C82"/>
    <w:rsid w:val="004E4FAE"/>
    <w:rsid w:val="004E62C7"/>
    <w:rsid w:val="004E68FF"/>
    <w:rsid w:val="004E7A1B"/>
    <w:rsid w:val="004F0B7F"/>
    <w:rsid w:val="004F1193"/>
    <w:rsid w:val="004F11DC"/>
    <w:rsid w:val="004F2124"/>
    <w:rsid w:val="004F271B"/>
    <w:rsid w:val="004F3A52"/>
    <w:rsid w:val="004F449F"/>
    <w:rsid w:val="004F4E7E"/>
    <w:rsid w:val="004F63AB"/>
    <w:rsid w:val="004F6B76"/>
    <w:rsid w:val="004F6C7C"/>
    <w:rsid w:val="004F7F1A"/>
    <w:rsid w:val="004F7FBB"/>
    <w:rsid w:val="005042B3"/>
    <w:rsid w:val="005045AB"/>
    <w:rsid w:val="00507D43"/>
    <w:rsid w:val="005103F2"/>
    <w:rsid w:val="00510E2C"/>
    <w:rsid w:val="00511FDC"/>
    <w:rsid w:val="005124C6"/>
    <w:rsid w:val="00513EBC"/>
    <w:rsid w:val="00514CE1"/>
    <w:rsid w:val="00517155"/>
    <w:rsid w:val="00517DB3"/>
    <w:rsid w:val="005200DC"/>
    <w:rsid w:val="005200F2"/>
    <w:rsid w:val="0052369D"/>
    <w:rsid w:val="005271DB"/>
    <w:rsid w:val="00530D2F"/>
    <w:rsid w:val="0053487C"/>
    <w:rsid w:val="005356E1"/>
    <w:rsid w:val="00536A8B"/>
    <w:rsid w:val="00540418"/>
    <w:rsid w:val="00541A96"/>
    <w:rsid w:val="00541C6A"/>
    <w:rsid w:val="00542C54"/>
    <w:rsid w:val="00546A43"/>
    <w:rsid w:val="00546C70"/>
    <w:rsid w:val="00547258"/>
    <w:rsid w:val="00550CF0"/>
    <w:rsid w:val="005559FE"/>
    <w:rsid w:val="005560D6"/>
    <w:rsid w:val="00556D07"/>
    <w:rsid w:val="005611F2"/>
    <w:rsid w:val="00561734"/>
    <w:rsid w:val="00561952"/>
    <w:rsid w:val="00564B9A"/>
    <w:rsid w:val="00565694"/>
    <w:rsid w:val="00566DD6"/>
    <w:rsid w:val="005714EF"/>
    <w:rsid w:val="005717D9"/>
    <w:rsid w:val="00571CEC"/>
    <w:rsid w:val="00572FCE"/>
    <w:rsid w:val="005750DB"/>
    <w:rsid w:val="005759FC"/>
    <w:rsid w:val="00575B85"/>
    <w:rsid w:val="00576DB9"/>
    <w:rsid w:val="0057738F"/>
    <w:rsid w:val="005805E4"/>
    <w:rsid w:val="0058202F"/>
    <w:rsid w:val="00584221"/>
    <w:rsid w:val="00584EB6"/>
    <w:rsid w:val="00586B68"/>
    <w:rsid w:val="0058774E"/>
    <w:rsid w:val="005878CF"/>
    <w:rsid w:val="00590CA0"/>
    <w:rsid w:val="00595B01"/>
    <w:rsid w:val="00596D98"/>
    <w:rsid w:val="005979A5"/>
    <w:rsid w:val="005A0021"/>
    <w:rsid w:val="005A017B"/>
    <w:rsid w:val="005A2AEC"/>
    <w:rsid w:val="005A412D"/>
    <w:rsid w:val="005A5212"/>
    <w:rsid w:val="005B002D"/>
    <w:rsid w:val="005B0FFF"/>
    <w:rsid w:val="005B19AF"/>
    <w:rsid w:val="005B258C"/>
    <w:rsid w:val="005B61DD"/>
    <w:rsid w:val="005B6735"/>
    <w:rsid w:val="005B7831"/>
    <w:rsid w:val="005C0CD6"/>
    <w:rsid w:val="005C12D9"/>
    <w:rsid w:val="005C2146"/>
    <w:rsid w:val="005C309D"/>
    <w:rsid w:val="005C544B"/>
    <w:rsid w:val="005C5916"/>
    <w:rsid w:val="005C5AEE"/>
    <w:rsid w:val="005C774A"/>
    <w:rsid w:val="005D3734"/>
    <w:rsid w:val="005D4F16"/>
    <w:rsid w:val="005D5A53"/>
    <w:rsid w:val="005D5DA0"/>
    <w:rsid w:val="005D7FBD"/>
    <w:rsid w:val="005E19B4"/>
    <w:rsid w:val="005E1D6B"/>
    <w:rsid w:val="005E227A"/>
    <w:rsid w:val="005E2CF8"/>
    <w:rsid w:val="005E3126"/>
    <w:rsid w:val="005E7075"/>
    <w:rsid w:val="005E75A7"/>
    <w:rsid w:val="005F38E2"/>
    <w:rsid w:val="005F3EE6"/>
    <w:rsid w:val="005F6736"/>
    <w:rsid w:val="00602C10"/>
    <w:rsid w:val="00602EBD"/>
    <w:rsid w:val="00604CF2"/>
    <w:rsid w:val="00606DFF"/>
    <w:rsid w:val="00606FB7"/>
    <w:rsid w:val="00610533"/>
    <w:rsid w:val="006110F6"/>
    <w:rsid w:val="00611FA1"/>
    <w:rsid w:val="00612522"/>
    <w:rsid w:val="00612DA6"/>
    <w:rsid w:val="0061365B"/>
    <w:rsid w:val="006138B6"/>
    <w:rsid w:val="00614BC6"/>
    <w:rsid w:val="00614E33"/>
    <w:rsid w:val="006158B8"/>
    <w:rsid w:val="0061706D"/>
    <w:rsid w:val="006173DA"/>
    <w:rsid w:val="00617EF9"/>
    <w:rsid w:val="00620295"/>
    <w:rsid w:val="00622F8E"/>
    <w:rsid w:val="00626AC8"/>
    <w:rsid w:val="00627912"/>
    <w:rsid w:val="0063195F"/>
    <w:rsid w:val="00636C0A"/>
    <w:rsid w:val="00637EC6"/>
    <w:rsid w:val="0064240C"/>
    <w:rsid w:val="00642FF5"/>
    <w:rsid w:val="006430FB"/>
    <w:rsid w:val="00643992"/>
    <w:rsid w:val="00644DBC"/>
    <w:rsid w:val="00646FE6"/>
    <w:rsid w:val="006474CD"/>
    <w:rsid w:val="00647744"/>
    <w:rsid w:val="006479A0"/>
    <w:rsid w:val="006500D9"/>
    <w:rsid w:val="00653B54"/>
    <w:rsid w:val="006541A3"/>
    <w:rsid w:val="00654FAD"/>
    <w:rsid w:val="00655C9F"/>
    <w:rsid w:val="006567FF"/>
    <w:rsid w:val="00656867"/>
    <w:rsid w:val="0066109F"/>
    <w:rsid w:val="00664B26"/>
    <w:rsid w:val="0066596B"/>
    <w:rsid w:val="00670295"/>
    <w:rsid w:val="006704F5"/>
    <w:rsid w:val="00672894"/>
    <w:rsid w:val="00674B47"/>
    <w:rsid w:val="0067609E"/>
    <w:rsid w:val="00676BE1"/>
    <w:rsid w:val="00677749"/>
    <w:rsid w:val="00680E07"/>
    <w:rsid w:val="00682B9D"/>
    <w:rsid w:val="00683806"/>
    <w:rsid w:val="00686AF9"/>
    <w:rsid w:val="006910C0"/>
    <w:rsid w:val="00691954"/>
    <w:rsid w:val="0069320E"/>
    <w:rsid w:val="00693D13"/>
    <w:rsid w:val="00694F58"/>
    <w:rsid w:val="006955BC"/>
    <w:rsid w:val="006959E2"/>
    <w:rsid w:val="00696920"/>
    <w:rsid w:val="00697EB9"/>
    <w:rsid w:val="006A20D4"/>
    <w:rsid w:val="006A268D"/>
    <w:rsid w:val="006A350F"/>
    <w:rsid w:val="006A3957"/>
    <w:rsid w:val="006A39A4"/>
    <w:rsid w:val="006A41D6"/>
    <w:rsid w:val="006A669D"/>
    <w:rsid w:val="006A6E41"/>
    <w:rsid w:val="006B012F"/>
    <w:rsid w:val="006B27CF"/>
    <w:rsid w:val="006B41BD"/>
    <w:rsid w:val="006B5678"/>
    <w:rsid w:val="006B62B2"/>
    <w:rsid w:val="006C1C57"/>
    <w:rsid w:val="006C5760"/>
    <w:rsid w:val="006C6D6F"/>
    <w:rsid w:val="006D0D78"/>
    <w:rsid w:val="006D1128"/>
    <w:rsid w:val="006D2848"/>
    <w:rsid w:val="006D30E0"/>
    <w:rsid w:val="006D5521"/>
    <w:rsid w:val="006D5FE9"/>
    <w:rsid w:val="006D6CBB"/>
    <w:rsid w:val="006D76A9"/>
    <w:rsid w:val="006D77F4"/>
    <w:rsid w:val="006E0898"/>
    <w:rsid w:val="006E41CD"/>
    <w:rsid w:val="006F3BEC"/>
    <w:rsid w:val="00703C00"/>
    <w:rsid w:val="007057CC"/>
    <w:rsid w:val="007066F2"/>
    <w:rsid w:val="00706AE5"/>
    <w:rsid w:val="0070740A"/>
    <w:rsid w:val="00711F93"/>
    <w:rsid w:val="00712940"/>
    <w:rsid w:val="0071428C"/>
    <w:rsid w:val="00715A16"/>
    <w:rsid w:val="007164B0"/>
    <w:rsid w:val="007166FF"/>
    <w:rsid w:val="007260CC"/>
    <w:rsid w:val="00726543"/>
    <w:rsid w:val="0073353E"/>
    <w:rsid w:val="00736633"/>
    <w:rsid w:val="00741EE7"/>
    <w:rsid w:val="00743A79"/>
    <w:rsid w:val="007444D4"/>
    <w:rsid w:val="0074594D"/>
    <w:rsid w:val="007459F3"/>
    <w:rsid w:val="00746E35"/>
    <w:rsid w:val="007470E2"/>
    <w:rsid w:val="0075232F"/>
    <w:rsid w:val="00753132"/>
    <w:rsid w:val="007550B3"/>
    <w:rsid w:val="00760451"/>
    <w:rsid w:val="0077182A"/>
    <w:rsid w:val="00771913"/>
    <w:rsid w:val="00772718"/>
    <w:rsid w:val="00775BCF"/>
    <w:rsid w:val="007818AA"/>
    <w:rsid w:val="00783140"/>
    <w:rsid w:val="007838B6"/>
    <w:rsid w:val="00783E77"/>
    <w:rsid w:val="007906F1"/>
    <w:rsid w:val="0079243D"/>
    <w:rsid w:val="00794A9B"/>
    <w:rsid w:val="0079583B"/>
    <w:rsid w:val="00796602"/>
    <w:rsid w:val="00797185"/>
    <w:rsid w:val="007976B7"/>
    <w:rsid w:val="00797A7E"/>
    <w:rsid w:val="00797D6F"/>
    <w:rsid w:val="007B014B"/>
    <w:rsid w:val="007B0D88"/>
    <w:rsid w:val="007B306F"/>
    <w:rsid w:val="007B4714"/>
    <w:rsid w:val="007B4E82"/>
    <w:rsid w:val="007C1996"/>
    <w:rsid w:val="007C3773"/>
    <w:rsid w:val="007C3F1F"/>
    <w:rsid w:val="007D2D0D"/>
    <w:rsid w:val="007D3325"/>
    <w:rsid w:val="007D3818"/>
    <w:rsid w:val="007D6DC5"/>
    <w:rsid w:val="007D7425"/>
    <w:rsid w:val="007E320E"/>
    <w:rsid w:val="007E3280"/>
    <w:rsid w:val="007E4A02"/>
    <w:rsid w:val="007E595C"/>
    <w:rsid w:val="007E59A5"/>
    <w:rsid w:val="007F3B8C"/>
    <w:rsid w:val="007F41D0"/>
    <w:rsid w:val="007F4B8B"/>
    <w:rsid w:val="007F5957"/>
    <w:rsid w:val="007F70B6"/>
    <w:rsid w:val="007F74CA"/>
    <w:rsid w:val="00800F1E"/>
    <w:rsid w:val="0080195A"/>
    <w:rsid w:val="0080239C"/>
    <w:rsid w:val="00802841"/>
    <w:rsid w:val="008037D5"/>
    <w:rsid w:val="00805447"/>
    <w:rsid w:val="008054FA"/>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3C2"/>
    <w:rsid w:val="008250A2"/>
    <w:rsid w:val="00825D64"/>
    <w:rsid w:val="0082650B"/>
    <w:rsid w:val="008301CE"/>
    <w:rsid w:val="008312E3"/>
    <w:rsid w:val="00831D5B"/>
    <w:rsid w:val="00832DD6"/>
    <w:rsid w:val="00832F0C"/>
    <w:rsid w:val="008336F2"/>
    <w:rsid w:val="008345D9"/>
    <w:rsid w:val="008347CB"/>
    <w:rsid w:val="00835647"/>
    <w:rsid w:val="00837A2E"/>
    <w:rsid w:val="00841558"/>
    <w:rsid w:val="00842A68"/>
    <w:rsid w:val="008435BA"/>
    <w:rsid w:val="0084558B"/>
    <w:rsid w:val="0084654A"/>
    <w:rsid w:val="00847654"/>
    <w:rsid w:val="00851064"/>
    <w:rsid w:val="00855543"/>
    <w:rsid w:val="008566B3"/>
    <w:rsid w:val="008576B7"/>
    <w:rsid w:val="00857F7B"/>
    <w:rsid w:val="00863DA1"/>
    <w:rsid w:val="008654A6"/>
    <w:rsid w:val="00865D86"/>
    <w:rsid w:val="00870495"/>
    <w:rsid w:val="00870EA1"/>
    <w:rsid w:val="008710C5"/>
    <w:rsid w:val="00874438"/>
    <w:rsid w:val="00874E75"/>
    <w:rsid w:val="008767F3"/>
    <w:rsid w:val="00876CEF"/>
    <w:rsid w:val="00877342"/>
    <w:rsid w:val="008803C3"/>
    <w:rsid w:val="00881450"/>
    <w:rsid w:val="008817C7"/>
    <w:rsid w:val="00881875"/>
    <w:rsid w:val="008848A3"/>
    <w:rsid w:val="00884AF1"/>
    <w:rsid w:val="00885F7A"/>
    <w:rsid w:val="00890712"/>
    <w:rsid w:val="00890D81"/>
    <w:rsid w:val="00892955"/>
    <w:rsid w:val="00893628"/>
    <w:rsid w:val="008941EB"/>
    <w:rsid w:val="0089545A"/>
    <w:rsid w:val="00895A02"/>
    <w:rsid w:val="008A01EE"/>
    <w:rsid w:val="008A0DAC"/>
    <w:rsid w:val="008A3B78"/>
    <w:rsid w:val="008A4166"/>
    <w:rsid w:val="008A7DBF"/>
    <w:rsid w:val="008B136C"/>
    <w:rsid w:val="008B55EF"/>
    <w:rsid w:val="008B6910"/>
    <w:rsid w:val="008C0B5C"/>
    <w:rsid w:val="008C1343"/>
    <w:rsid w:val="008C3912"/>
    <w:rsid w:val="008C5598"/>
    <w:rsid w:val="008C69EA"/>
    <w:rsid w:val="008C6F8B"/>
    <w:rsid w:val="008C7AB7"/>
    <w:rsid w:val="008C7FB4"/>
    <w:rsid w:val="008D2C8C"/>
    <w:rsid w:val="008D3040"/>
    <w:rsid w:val="008D3ECD"/>
    <w:rsid w:val="008D5C03"/>
    <w:rsid w:val="008D7580"/>
    <w:rsid w:val="008D7C35"/>
    <w:rsid w:val="008E5698"/>
    <w:rsid w:val="008E5733"/>
    <w:rsid w:val="008E77D2"/>
    <w:rsid w:val="008E78FD"/>
    <w:rsid w:val="008F199D"/>
    <w:rsid w:val="008F38A0"/>
    <w:rsid w:val="008F39C9"/>
    <w:rsid w:val="008F5EB5"/>
    <w:rsid w:val="008F678C"/>
    <w:rsid w:val="008F75A7"/>
    <w:rsid w:val="008F7E5A"/>
    <w:rsid w:val="00900A7F"/>
    <w:rsid w:val="009036EE"/>
    <w:rsid w:val="00905815"/>
    <w:rsid w:val="00905D1D"/>
    <w:rsid w:val="0091016D"/>
    <w:rsid w:val="009108A7"/>
    <w:rsid w:val="00910C98"/>
    <w:rsid w:val="00911910"/>
    <w:rsid w:val="00912A58"/>
    <w:rsid w:val="00913908"/>
    <w:rsid w:val="00913D26"/>
    <w:rsid w:val="0091438B"/>
    <w:rsid w:val="009147E3"/>
    <w:rsid w:val="00920FD2"/>
    <w:rsid w:val="00923A43"/>
    <w:rsid w:val="0092439C"/>
    <w:rsid w:val="0092498E"/>
    <w:rsid w:val="00925B91"/>
    <w:rsid w:val="00934461"/>
    <w:rsid w:val="00934F7E"/>
    <w:rsid w:val="00936A1C"/>
    <w:rsid w:val="00943E35"/>
    <w:rsid w:val="00945278"/>
    <w:rsid w:val="0094658D"/>
    <w:rsid w:val="00947678"/>
    <w:rsid w:val="00947878"/>
    <w:rsid w:val="009504C2"/>
    <w:rsid w:val="0095254A"/>
    <w:rsid w:val="0095273B"/>
    <w:rsid w:val="009559E1"/>
    <w:rsid w:val="009568D5"/>
    <w:rsid w:val="00957CD3"/>
    <w:rsid w:val="0096269B"/>
    <w:rsid w:val="00963FB0"/>
    <w:rsid w:val="00964C86"/>
    <w:rsid w:val="00965E82"/>
    <w:rsid w:val="009664BB"/>
    <w:rsid w:val="009669F8"/>
    <w:rsid w:val="00966F89"/>
    <w:rsid w:val="00973B5D"/>
    <w:rsid w:val="0097755E"/>
    <w:rsid w:val="00981467"/>
    <w:rsid w:val="00981C24"/>
    <w:rsid w:val="009852F6"/>
    <w:rsid w:val="00985DE5"/>
    <w:rsid w:val="00986254"/>
    <w:rsid w:val="0098729E"/>
    <w:rsid w:val="00990067"/>
    <w:rsid w:val="00992977"/>
    <w:rsid w:val="009937D4"/>
    <w:rsid w:val="00993C78"/>
    <w:rsid w:val="009948C7"/>
    <w:rsid w:val="00995850"/>
    <w:rsid w:val="0099796C"/>
    <w:rsid w:val="009A194E"/>
    <w:rsid w:val="009A1EA2"/>
    <w:rsid w:val="009A209E"/>
    <w:rsid w:val="009A3FD7"/>
    <w:rsid w:val="009A6652"/>
    <w:rsid w:val="009A74FD"/>
    <w:rsid w:val="009B25D8"/>
    <w:rsid w:val="009B42E3"/>
    <w:rsid w:val="009B5859"/>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F110B"/>
    <w:rsid w:val="009F1498"/>
    <w:rsid w:val="009F1E9F"/>
    <w:rsid w:val="009F3793"/>
    <w:rsid w:val="009F54F2"/>
    <w:rsid w:val="00A0056B"/>
    <w:rsid w:val="00A01657"/>
    <w:rsid w:val="00A01C65"/>
    <w:rsid w:val="00A0213D"/>
    <w:rsid w:val="00A04C73"/>
    <w:rsid w:val="00A0679A"/>
    <w:rsid w:val="00A07A2B"/>
    <w:rsid w:val="00A12375"/>
    <w:rsid w:val="00A125B8"/>
    <w:rsid w:val="00A13124"/>
    <w:rsid w:val="00A15370"/>
    <w:rsid w:val="00A156AB"/>
    <w:rsid w:val="00A16B8D"/>
    <w:rsid w:val="00A21293"/>
    <w:rsid w:val="00A2134B"/>
    <w:rsid w:val="00A21623"/>
    <w:rsid w:val="00A220EB"/>
    <w:rsid w:val="00A22302"/>
    <w:rsid w:val="00A25F1B"/>
    <w:rsid w:val="00A325F3"/>
    <w:rsid w:val="00A33103"/>
    <w:rsid w:val="00A33294"/>
    <w:rsid w:val="00A35DCB"/>
    <w:rsid w:val="00A3690E"/>
    <w:rsid w:val="00A37751"/>
    <w:rsid w:val="00A406B1"/>
    <w:rsid w:val="00A4113E"/>
    <w:rsid w:val="00A42435"/>
    <w:rsid w:val="00A438BA"/>
    <w:rsid w:val="00A446FD"/>
    <w:rsid w:val="00A46F46"/>
    <w:rsid w:val="00A52CB6"/>
    <w:rsid w:val="00A52F99"/>
    <w:rsid w:val="00A538BB"/>
    <w:rsid w:val="00A54164"/>
    <w:rsid w:val="00A56737"/>
    <w:rsid w:val="00A60002"/>
    <w:rsid w:val="00A603D8"/>
    <w:rsid w:val="00A60AE2"/>
    <w:rsid w:val="00A61834"/>
    <w:rsid w:val="00A618B0"/>
    <w:rsid w:val="00A62790"/>
    <w:rsid w:val="00A6291F"/>
    <w:rsid w:val="00A63F53"/>
    <w:rsid w:val="00A7111E"/>
    <w:rsid w:val="00A755B6"/>
    <w:rsid w:val="00A75B1A"/>
    <w:rsid w:val="00A80ED4"/>
    <w:rsid w:val="00A816C4"/>
    <w:rsid w:val="00A82981"/>
    <w:rsid w:val="00A86F10"/>
    <w:rsid w:val="00A87AF2"/>
    <w:rsid w:val="00A90B23"/>
    <w:rsid w:val="00A93193"/>
    <w:rsid w:val="00A93C2B"/>
    <w:rsid w:val="00A94556"/>
    <w:rsid w:val="00A974CB"/>
    <w:rsid w:val="00AA1EAC"/>
    <w:rsid w:val="00AA45E2"/>
    <w:rsid w:val="00AA7AC1"/>
    <w:rsid w:val="00AB6327"/>
    <w:rsid w:val="00AB6B8F"/>
    <w:rsid w:val="00AC0C65"/>
    <w:rsid w:val="00AC0FB2"/>
    <w:rsid w:val="00AC3721"/>
    <w:rsid w:val="00AC41C6"/>
    <w:rsid w:val="00AC70C7"/>
    <w:rsid w:val="00AC76B7"/>
    <w:rsid w:val="00AD0223"/>
    <w:rsid w:val="00AD123A"/>
    <w:rsid w:val="00AD15FF"/>
    <w:rsid w:val="00AD1AA5"/>
    <w:rsid w:val="00AD2920"/>
    <w:rsid w:val="00AD2CD5"/>
    <w:rsid w:val="00AD2DFC"/>
    <w:rsid w:val="00AD38C4"/>
    <w:rsid w:val="00AD5A4A"/>
    <w:rsid w:val="00AD60EE"/>
    <w:rsid w:val="00AD6A2B"/>
    <w:rsid w:val="00AD73D4"/>
    <w:rsid w:val="00AE1EA2"/>
    <w:rsid w:val="00AE2874"/>
    <w:rsid w:val="00AE2BA2"/>
    <w:rsid w:val="00AE2F98"/>
    <w:rsid w:val="00AE3602"/>
    <w:rsid w:val="00AE5342"/>
    <w:rsid w:val="00AE5987"/>
    <w:rsid w:val="00AE6472"/>
    <w:rsid w:val="00AF1345"/>
    <w:rsid w:val="00AF38A8"/>
    <w:rsid w:val="00AF63EB"/>
    <w:rsid w:val="00B016D2"/>
    <w:rsid w:val="00B018EC"/>
    <w:rsid w:val="00B060C7"/>
    <w:rsid w:val="00B11AB7"/>
    <w:rsid w:val="00B12213"/>
    <w:rsid w:val="00B13710"/>
    <w:rsid w:val="00B22881"/>
    <w:rsid w:val="00B23EFC"/>
    <w:rsid w:val="00B24B72"/>
    <w:rsid w:val="00B25DB8"/>
    <w:rsid w:val="00B2656C"/>
    <w:rsid w:val="00B266E6"/>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1C67"/>
    <w:rsid w:val="00B53F86"/>
    <w:rsid w:val="00B53FDC"/>
    <w:rsid w:val="00B55431"/>
    <w:rsid w:val="00B55CAE"/>
    <w:rsid w:val="00B576C6"/>
    <w:rsid w:val="00B615F2"/>
    <w:rsid w:val="00B61A28"/>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900FE"/>
    <w:rsid w:val="00B9064C"/>
    <w:rsid w:val="00BA0A14"/>
    <w:rsid w:val="00BA228D"/>
    <w:rsid w:val="00BA398D"/>
    <w:rsid w:val="00BA39D3"/>
    <w:rsid w:val="00BA5C56"/>
    <w:rsid w:val="00BA776F"/>
    <w:rsid w:val="00BB0C0D"/>
    <w:rsid w:val="00BB0D69"/>
    <w:rsid w:val="00BB366E"/>
    <w:rsid w:val="00BB3AF0"/>
    <w:rsid w:val="00BB4F70"/>
    <w:rsid w:val="00BB67FF"/>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4C95"/>
    <w:rsid w:val="00BD65FC"/>
    <w:rsid w:val="00BD7660"/>
    <w:rsid w:val="00BE0666"/>
    <w:rsid w:val="00BE24B9"/>
    <w:rsid w:val="00BE2AE8"/>
    <w:rsid w:val="00BE2D55"/>
    <w:rsid w:val="00BE38DD"/>
    <w:rsid w:val="00BE4AB1"/>
    <w:rsid w:val="00BF16C3"/>
    <w:rsid w:val="00BF38E0"/>
    <w:rsid w:val="00BF44FA"/>
    <w:rsid w:val="00BF57E1"/>
    <w:rsid w:val="00C003B4"/>
    <w:rsid w:val="00C00A5F"/>
    <w:rsid w:val="00C042E0"/>
    <w:rsid w:val="00C051D9"/>
    <w:rsid w:val="00C06333"/>
    <w:rsid w:val="00C06F68"/>
    <w:rsid w:val="00C075BA"/>
    <w:rsid w:val="00C10A3A"/>
    <w:rsid w:val="00C11E20"/>
    <w:rsid w:val="00C15D16"/>
    <w:rsid w:val="00C20015"/>
    <w:rsid w:val="00C247DD"/>
    <w:rsid w:val="00C25B43"/>
    <w:rsid w:val="00C26A54"/>
    <w:rsid w:val="00C3261C"/>
    <w:rsid w:val="00C3318B"/>
    <w:rsid w:val="00C33C20"/>
    <w:rsid w:val="00C35362"/>
    <w:rsid w:val="00C357EA"/>
    <w:rsid w:val="00C379F8"/>
    <w:rsid w:val="00C37A1C"/>
    <w:rsid w:val="00C42323"/>
    <w:rsid w:val="00C4316E"/>
    <w:rsid w:val="00C453A9"/>
    <w:rsid w:val="00C465D5"/>
    <w:rsid w:val="00C4756A"/>
    <w:rsid w:val="00C47C39"/>
    <w:rsid w:val="00C50649"/>
    <w:rsid w:val="00C50E1F"/>
    <w:rsid w:val="00C51C09"/>
    <w:rsid w:val="00C52BB6"/>
    <w:rsid w:val="00C53471"/>
    <w:rsid w:val="00C55143"/>
    <w:rsid w:val="00C5611B"/>
    <w:rsid w:val="00C5695E"/>
    <w:rsid w:val="00C61528"/>
    <w:rsid w:val="00C63457"/>
    <w:rsid w:val="00C64964"/>
    <w:rsid w:val="00C6631E"/>
    <w:rsid w:val="00C67473"/>
    <w:rsid w:val="00C67AA4"/>
    <w:rsid w:val="00C7148C"/>
    <w:rsid w:val="00C72192"/>
    <w:rsid w:val="00C732E5"/>
    <w:rsid w:val="00C73D0B"/>
    <w:rsid w:val="00C75017"/>
    <w:rsid w:val="00C765B4"/>
    <w:rsid w:val="00C813EA"/>
    <w:rsid w:val="00C81496"/>
    <w:rsid w:val="00C82CE6"/>
    <w:rsid w:val="00C82E22"/>
    <w:rsid w:val="00C85144"/>
    <w:rsid w:val="00C86738"/>
    <w:rsid w:val="00C86A27"/>
    <w:rsid w:val="00C91517"/>
    <w:rsid w:val="00C929BD"/>
    <w:rsid w:val="00C931A2"/>
    <w:rsid w:val="00CA02E1"/>
    <w:rsid w:val="00CA15DA"/>
    <w:rsid w:val="00CA224E"/>
    <w:rsid w:val="00CA41C5"/>
    <w:rsid w:val="00CA42B7"/>
    <w:rsid w:val="00CA4A53"/>
    <w:rsid w:val="00CA51F5"/>
    <w:rsid w:val="00CB218A"/>
    <w:rsid w:val="00CB225A"/>
    <w:rsid w:val="00CB69E6"/>
    <w:rsid w:val="00CB761B"/>
    <w:rsid w:val="00CB7E33"/>
    <w:rsid w:val="00CC13DF"/>
    <w:rsid w:val="00CC1EEE"/>
    <w:rsid w:val="00CC562B"/>
    <w:rsid w:val="00CC6C15"/>
    <w:rsid w:val="00CC7FCF"/>
    <w:rsid w:val="00CD2749"/>
    <w:rsid w:val="00CD2A60"/>
    <w:rsid w:val="00CD306F"/>
    <w:rsid w:val="00CD3971"/>
    <w:rsid w:val="00CD3DAB"/>
    <w:rsid w:val="00CE0DF1"/>
    <w:rsid w:val="00CE3786"/>
    <w:rsid w:val="00CE4027"/>
    <w:rsid w:val="00CE47CC"/>
    <w:rsid w:val="00CE68F6"/>
    <w:rsid w:val="00CE7E27"/>
    <w:rsid w:val="00CF22AC"/>
    <w:rsid w:val="00CF2F0A"/>
    <w:rsid w:val="00CF79E8"/>
    <w:rsid w:val="00D015AA"/>
    <w:rsid w:val="00D021B8"/>
    <w:rsid w:val="00D03D90"/>
    <w:rsid w:val="00D04024"/>
    <w:rsid w:val="00D043EB"/>
    <w:rsid w:val="00D06705"/>
    <w:rsid w:val="00D06A9B"/>
    <w:rsid w:val="00D0750D"/>
    <w:rsid w:val="00D07DD8"/>
    <w:rsid w:val="00D1038F"/>
    <w:rsid w:val="00D10BF7"/>
    <w:rsid w:val="00D10FEB"/>
    <w:rsid w:val="00D140A0"/>
    <w:rsid w:val="00D203D1"/>
    <w:rsid w:val="00D2057A"/>
    <w:rsid w:val="00D21D98"/>
    <w:rsid w:val="00D2317F"/>
    <w:rsid w:val="00D231A9"/>
    <w:rsid w:val="00D24391"/>
    <w:rsid w:val="00D2472B"/>
    <w:rsid w:val="00D253DD"/>
    <w:rsid w:val="00D26FFA"/>
    <w:rsid w:val="00D3215D"/>
    <w:rsid w:val="00D33352"/>
    <w:rsid w:val="00D347D9"/>
    <w:rsid w:val="00D35565"/>
    <w:rsid w:val="00D36A19"/>
    <w:rsid w:val="00D40DCF"/>
    <w:rsid w:val="00D41075"/>
    <w:rsid w:val="00D41C76"/>
    <w:rsid w:val="00D41DD8"/>
    <w:rsid w:val="00D4222C"/>
    <w:rsid w:val="00D425CE"/>
    <w:rsid w:val="00D42F40"/>
    <w:rsid w:val="00D4396C"/>
    <w:rsid w:val="00D4446F"/>
    <w:rsid w:val="00D44B55"/>
    <w:rsid w:val="00D45490"/>
    <w:rsid w:val="00D457B8"/>
    <w:rsid w:val="00D457E1"/>
    <w:rsid w:val="00D47BEB"/>
    <w:rsid w:val="00D50487"/>
    <w:rsid w:val="00D50563"/>
    <w:rsid w:val="00D50F50"/>
    <w:rsid w:val="00D5235F"/>
    <w:rsid w:val="00D52F50"/>
    <w:rsid w:val="00D55A98"/>
    <w:rsid w:val="00D56B49"/>
    <w:rsid w:val="00D6053F"/>
    <w:rsid w:val="00D6073D"/>
    <w:rsid w:val="00D618D6"/>
    <w:rsid w:val="00D62426"/>
    <w:rsid w:val="00D62804"/>
    <w:rsid w:val="00D70F55"/>
    <w:rsid w:val="00D70FA5"/>
    <w:rsid w:val="00D74171"/>
    <w:rsid w:val="00D7474C"/>
    <w:rsid w:val="00D8032C"/>
    <w:rsid w:val="00D80CE2"/>
    <w:rsid w:val="00D83080"/>
    <w:rsid w:val="00D83E66"/>
    <w:rsid w:val="00D84D5F"/>
    <w:rsid w:val="00D851E2"/>
    <w:rsid w:val="00D87FFA"/>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1BC2"/>
    <w:rsid w:val="00DB1CBB"/>
    <w:rsid w:val="00DB31ED"/>
    <w:rsid w:val="00DB4124"/>
    <w:rsid w:val="00DB4511"/>
    <w:rsid w:val="00DB4F0C"/>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F10B1"/>
    <w:rsid w:val="00DF1FDA"/>
    <w:rsid w:val="00DF3DD0"/>
    <w:rsid w:val="00DF4D50"/>
    <w:rsid w:val="00DF538C"/>
    <w:rsid w:val="00E021C2"/>
    <w:rsid w:val="00E024A3"/>
    <w:rsid w:val="00E0423D"/>
    <w:rsid w:val="00E057B5"/>
    <w:rsid w:val="00E0581E"/>
    <w:rsid w:val="00E079C5"/>
    <w:rsid w:val="00E07CBD"/>
    <w:rsid w:val="00E07F56"/>
    <w:rsid w:val="00E10A16"/>
    <w:rsid w:val="00E1112F"/>
    <w:rsid w:val="00E1318F"/>
    <w:rsid w:val="00E13B3B"/>
    <w:rsid w:val="00E13E29"/>
    <w:rsid w:val="00E16857"/>
    <w:rsid w:val="00E16C3A"/>
    <w:rsid w:val="00E20651"/>
    <w:rsid w:val="00E2107C"/>
    <w:rsid w:val="00E21E70"/>
    <w:rsid w:val="00E224DE"/>
    <w:rsid w:val="00E23DCE"/>
    <w:rsid w:val="00E26363"/>
    <w:rsid w:val="00E272A4"/>
    <w:rsid w:val="00E305F9"/>
    <w:rsid w:val="00E306AC"/>
    <w:rsid w:val="00E34446"/>
    <w:rsid w:val="00E3633B"/>
    <w:rsid w:val="00E36870"/>
    <w:rsid w:val="00E374E1"/>
    <w:rsid w:val="00E417AB"/>
    <w:rsid w:val="00E43D48"/>
    <w:rsid w:val="00E4542D"/>
    <w:rsid w:val="00E45BE0"/>
    <w:rsid w:val="00E46CAD"/>
    <w:rsid w:val="00E47521"/>
    <w:rsid w:val="00E4760C"/>
    <w:rsid w:val="00E507A6"/>
    <w:rsid w:val="00E5375C"/>
    <w:rsid w:val="00E561AD"/>
    <w:rsid w:val="00E57FAF"/>
    <w:rsid w:val="00E60BA9"/>
    <w:rsid w:val="00E63510"/>
    <w:rsid w:val="00E635EA"/>
    <w:rsid w:val="00E655E5"/>
    <w:rsid w:val="00E65F4E"/>
    <w:rsid w:val="00E662E0"/>
    <w:rsid w:val="00E67D5D"/>
    <w:rsid w:val="00E71C7A"/>
    <w:rsid w:val="00E73119"/>
    <w:rsid w:val="00E73E1E"/>
    <w:rsid w:val="00E767FF"/>
    <w:rsid w:val="00E84C91"/>
    <w:rsid w:val="00E84E60"/>
    <w:rsid w:val="00E8556E"/>
    <w:rsid w:val="00E86B2D"/>
    <w:rsid w:val="00E86F4D"/>
    <w:rsid w:val="00E87D08"/>
    <w:rsid w:val="00E90D0E"/>
    <w:rsid w:val="00E91B2D"/>
    <w:rsid w:val="00E92FCA"/>
    <w:rsid w:val="00E95CAA"/>
    <w:rsid w:val="00EA0A39"/>
    <w:rsid w:val="00EA0EB2"/>
    <w:rsid w:val="00EA236F"/>
    <w:rsid w:val="00EA3023"/>
    <w:rsid w:val="00EA3E49"/>
    <w:rsid w:val="00EA3FC8"/>
    <w:rsid w:val="00EA5B8C"/>
    <w:rsid w:val="00EB0DC9"/>
    <w:rsid w:val="00EB1383"/>
    <w:rsid w:val="00EB252D"/>
    <w:rsid w:val="00EB29FA"/>
    <w:rsid w:val="00EB2CCE"/>
    <w:rsid w:val="00EB385F"/>
    <w:rsid w:val="00EB3E49"/>
    <w:rsid w:val="00EB5FC3"/>
    <w:rsid w:val="00EB6DA9"/>
    <w:rsid w:val="00EC1561"/>
    <w:rsid w:val="00EC462E"/>
    <w:rsid w:val="00EC6CD8"/>
    <w:rsid w:val="00EC786F"/>
    <w:rsid w:val="00ED1866"/>
    <w:rsid w:val="00ED3134"/>
    <w:rsid w:val="00ED38E2"/>
    <w:rsid w:val="00ED5C44"/>
    <w:rsid w:val="00ED635B"/>
    <w:rsid w:val="00EE742D"/>
    <w:rsid w:val="00EF0A22"/>
    <w:rsid w:val="00EF1267"/>
    <w:rsid w:val="00EF180C"/>
    <w:rsid w:val="00EF3B6B"/>
    <w:rsid w:val="00EF4B43"/>
    <w:rsid w:val="00EF6750"/>
    <w:rsid w:val="00EF770B"/>
    <w:rsid w:val="00F02836"/>
    <w:rsid w:val="00F02FB5"/>
    <w:rsid w:val="00F0534E"/>
    <w:rsid w:val="00F05C30"/>
    <w:rsid w:val="00F10F1B"/>
    <w:rsid w:val="00F14179"/>
    <w:rsid w:val="00F15786"/>
    <w:rsid w:val="00F167C5"/>
    <w:rsid w:val="00F20B5A"/>
    <w:rsid w:val="00F21F0B"/>
    <w:rsid w:val="00F236AB"/>
    <w:rsid w:val="00F24EA4"/>
    <w:rsid w:val="00F27087"/>
    <w:rsid w:val="00F2773C"/>
    <w:rsid w:val="00F300B3"/>
    <w:rsid w:val="00F30DB9"/>
    <w:rsid w:val="00F30FB8"/>
    <w:rsid w:val="00F31D68"/>
    <w:rsid w:val="00F33152"/>
    <w:rsid w:val="00F338F2"/>
    <w:rsid w:val="00F349D3"/>
    <w:rsid w:val="00F3533E"/>
    <w:rsid w:val="00F35B84"/>
    <w:rsid w:val="00F402B5"/>
    <w:rsid w:val="00F4072F"/>
    <w:rsid w:val="00F42839"/>
    <w:rsid w:val="00F44CC0"/>
    <w:rsid w:val="00F450BA"/>
    <w:rsid w:val="00F4684B"/>
    <w:rsid w:val="00F46BE9"/>
    <w:rsid w:val="00F47C3B"/>
    <w:rsid w:val="00F506CA"/>
    <w:rsid w:val="00F53A7A"/>
    <w:rsid w:val="00F54FCD"/>
    <w:rsid w:val="00F5785C"/>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412F"/>
    <w:rsid w:val="00F84791"/>
    <w:rsid w:val="00F85995"/>
    <w:rsid w:val="00F85FC5"/>
    <w:rsid w:val="00F86C22"/>
    <w:rsid w:val="00F90CB3"/>
    <w:rsid w:val="00F912A2"/>
    <w:rsid w:val="00F913A3"/>
    <w:rsid w:val="00F925C3"/>
    <w:rsid w:val="00FA0109"/>
    <w:rsid w:val="00FA458B"/>
    <w:rsid w:val="00FA5EC5"/>
    <w:rsid w:val="00FA7016"/>
    <w:rsid w:val="00FA7174"/>
    <w:rsid w:val="00FA793D"/>
    <w:rsid w:val="00FB020E"/>
    <w:rsid w:val="00FB0F17"/>
    <w:rsid w:val="00FB4B9D"/>
    <w:rsid w:val="00FB50ED"/>
    <w:rsid w:val="00FB6E18"/>
    <w:rsid w:val="00FC144B"/>
    <w:rsid w:val="00FC2169"/>
    <w:rsid w:val="00FC28E2"/>
    <w:rsid w:val="00FC3BF6"/>
    <w:rsid w:val="00FC3D22"/>
    <w:rsid w:val="00FC6FE1"/>
    <w:rsid w:val="00FD0C3D"/>
    <w:rsid w:val="00FD2F6B"/>
    <w:rsid w:val="00FE064A"/>
    <w:rsid w:val="00FE0B55"/>
    <w:rsid w:val="00FE1E98"/>
    <w:rsid w:val="00FE2452"/>
    <w:rsid w:val="00FE5469"/>
    <w:rsid w:val="00FE66C2"/>
    <w:rsid w:val="00FE684A"/>
    <w:rsid w:val="00FE6F23"/>
    <w:rsid w:val="00FF0F8C"/>
    <w:rsid w:val="00FF408B"/>
    <w:rsid w:val="00FF43E1"/>
    <w:rsid w:val="01E2571C"/>
    <w:rsid w:val="03430854"/>
    <w:rsid w:val="039F5FA6"/>
    <w:rsid w:val="04D83849"/>
    <w:rsid w:val="09305ADA"/>
    <w:rsid w:val="0E8013B7"/>
    <w:rsid w:val="10D604C6"/>
    <w:rsid w:val="11B515E0"/>
    <w:rsid w:val="13A53267"/>
    <w:rsid w:val="13F970D2"/>
    <w:rsid w:val="14AA4136"/>
    <w:rsid w:val="1572463D"/>
    <w:rsid w:val="163A420B"/>
    <w:rsid w:val="1789696D"/>
    <w:rsid w:val="19413B26"/>
    <w:rsid w:val="1C6D3688"/>
    <w:rsid w:val="1C974DF7"/>
    <w:rsid w:val="1CC63D0A"/>
    <w:rsid w:val="1DC2081A"/>
    <w:rsid w:val="1DD94266"/>
    <w:rsid w:val="1F9D0947"/>
    <w:rsid w:val="1FFB29C6"/>
    <w:rsid w:val="22AF3620"/>
    <w:rsid w:val="22E70AD4"/>
    <w:rsid w:val="24F1508D"/>
    <w:rsid w:val="266F634F"/>
    <w:rsid w:val="291059EA"/>
    <w:rsid w:val="2A6A1385"/>
    <w:rsid w:val="2BBF12EC"/>
    <w:rsid w:val="2BC649D9"/>
    <w:rsid w:val="3515160D"/>
    <w:rsid w:val="397C0FB2"/>
    <w:rsid w:val="3B7807FE"/>
    <w:rsid w:val="3C7D00D8"/>
    <w:rsid w:val="3CA06C0C"/>
    <w:rsid w:val="3EA25851"/>
    <w:rsid w:val="3F6C3757"/>
    <w:rsid w:val="405D6A10"/>
    <w:rsid w:val="41DA6594"/>
    <w:rsid w:val="43B73115"/>
    <w:rsid w:val="444C1A75"/>
    <w:rsid w:val="44A3526F"/>
    <w:rsid w:val="44B032F4"/>
    <w:rsid w:val="457D25F7"/>
    <w:rsid w:val="468341CD"/>
    <w:rsid w:val="472C2589"/>
    <w:rsid w:val="473C6E69"/>
    <w:rsid w:val="478FD910"/>
    <w:rsid w:val="4A760AEB"/>
    <w:rsid w:val="4F3162CA"/>
    <w:rsid w:val="50D95873"/>
    <w:rsid w:val="526102AF"/>
    <w:rsid w:val="528444DA"/>
    <w:rsid w:val="537745D5"/>
    <w:rsid w:val="53A73078"/>
    <w:rsid w:val="54B1DE23"/>
    <w:rsid w:val="552306F6"/>
    <w:rsid w:val="56E352D5"/>
    <w:rsid w:val="577E5BC2"/>
    <w:rsid w:val="57E435FE"/>
    <w:rsid w:val="582D0655"/>
    <w:rsid w:val="5951205C"/>
    <w:rsid w:val="59D079E8"/>
    <w:rsid w:val="59D40847"/>
    <w:rsid w:val="59FF76DE"/>
    <w:rsid w:val="5AE37F25"/>
    <w:rsid w:val="5CB23D47"/>
    <w:rsid w:val="5DF6D3A7"/>
    <w:rsid w:val="5FAF09C4"/>
    <w:rsid w:val="608C4642"/>
    <w:rsid w:val="62795572"/>
    <w:rsid w:val="64DD6417"/>
    <w:rsid w:val="66004745"/>
    <w:rsid w:val="692A15AB"/>
    <w:rsid w:val="6A567F20"/>
    <w:rsid w:val="6CD97953"/>
    <w:rsid w:val="6ED30FD7"/>
    <w:rsid w:val="6FFF7BD7"/>
    <w:rsid w:val="727D78FD"/>
    <w:rsid w:val="73CC655F"/>
    <w:rsid w:val="73FA8648"/>
    <w:rsid w:val="753B1FA5"/>
    <w:rsid w:val="75957445"/>
    <w:rsid w:val="75D01AE1"/>
    <w:rsid w:val="77524363"/>
    <w:rsid w:val="77B917B5"/>
    <w:rsid w:val="77F75380"/>
    <w:rsid w:val="78703975"/>
    <w:rsid w:val="78CD525B"/>
    <w:rsid w:val="78DA1289"/>
    <w:rsid w:val="7BDC08A0"/>
    <w:rsid w:val="7BE420FD"/>
    <w:rsid w:val="7D0D296B"/>
    <w:rsid w:val="7D4E0B54"/>
    <w:rsid w:val="7D503E78"/>
    <w:rsid w:val="7D9FDCC7"/>
    <w:rsid w:val="7E0160D4"/>
    <w:rsid w:val="B79A69B2"/>
    <w:rsid w:val="BAF790BE"/>
    <w:rsid w:val="BE5F5F21"/>
    <w:rsid w:val="D7FD395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75"/>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link w:val="88"/>
    <w:qFormat/>
    <w:uiPriority w:val="9"/>
    <w:pPr>
      <w:keepNext/>
      <w:keepLines/>
      <w:numPr>
        <w:ilvl w:val="1"/>
        <w:numId w:val="1"/>
      </w:numPr>
      <w:spacing w:before="120" w:after="120"/>
      <w:ind w:firstLine="0" w:firstLineChars="0"/>
      <w:outlineLvl w:val="1"/>
    </w:pPr>
    <w:rPr>
      <w:b/>
      <w:bCs/>
      <w:sz w:val="30"/>
      <w:szCs w:val="32"/>
    </w:rPr>
  </w:style>
  <w:style w:type="paragraph" w:styleId="4">
    <w:name w:val="heading 3"/>
    <w:basedOn w:val="1"/>
    <w:next w:val="1"/>
    <w:link w:val="81"/>
    <w:qFormat/>
    <w:uiPriority w:val="0"/>
    <w:pPr>
      <w:keepNext/>
      <w:keepLines/>
      <w:numPr>
        <w:ilvl w:val="2"/>
        <w:numId w:val="1"/>
      </w:numPr>
      <w:spacing w:before="120" w:after="120"/>
      <w:ind w:firstLine="0" w:firstLineChars="0"/>
      <w:outlineLvl w:val="2"/>
    </w:pPr>
    <w:rPr>
      <w:b/>
      <w:bCs/>
      <w:sz w:val="28"/>
      <w:szCs w:val="28"/>
    </w:rPr>
  </w:style>
  <w:style w:type="paragraph" w:styleId="5">
    <w:name w:val="heading 4"/>
    <w:basedOn w:val="1"/>
    <w:next w:val="1"/>
    <w:link w:val="58"/>
    <w:qFormat/>
    <w:uiPriority w:val="0"/>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86"/>
    <w:qFormat/>
    <w:uiPriority w:val="0"/>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99"/>
    <w:qFormat/>
    <w:uiPriority w:val="0"/>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2"/>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8"/>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48"/>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54"/>
    <w:qFormat/>
    <w:uiPriority w:val="0"/>
    <w:pPr>
      <w:spacing w:afterLines="50"/>
      <w:ind w:firstLine="200"/>
    </w:pPr>
    <w:rPr>
      <w:rFonts w:ascii="Arial" w:hAnsi="Arial" w:eastAsia="黑体"/>
      <w:sz w:val="20"/>
      <w:szCs w:val="20"/>
    </w:rPr>
  </w:style>
  <w:style w:type="paragraph" w:styleId="14">
    <w:name w:val="Document Map"/>
    <w:basedOn w:val="1"/>
    <w:link w:val="91"/>
    <w:qFormat/>
    <w:uiPriority w:val="0"/>
    <w:rPr>
      <w:rFonts w:hAnsi="Times New Roman"/>
      <w:sz w:val="18"/>
      <w:szCs w:val="18"/>
    </w:rPr>
  </w:style>
  <w:style w:type="paragraph" w:styleId="15">
    <w:name w:val="annotation text"/>
    <w:basedOn w:val="1"/>
    <w:link w:val="45"/>
    <w:qFormat/>
    <w:uiPriority w:val="99"/>
    <w:pPr>
      <w:jc w:val="left"/>
    </w:pPr>
    <w:rPr>
      <w:rFonts w:ascii="Times New Roman" w:hAnsi="Times New Roman" w:eastAsia="仿宋"/>
      <w:sz w:val="28"/>
    </w:rPr>
  </w:style>
  <w:style w:type="paragraph" w:styleId="16">
    <w:name w:val="Body Text"/>
    <w:basedOn w:val="1"/>
    <w:link w:val="59"/>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5"/>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6"/>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47"/>
    <w:qFormat/>
    <w:uiPriority w:val="0"/>
    <w:pPr>
      <w:ind w:left="100" w:leftChars="2500"/>
    </w:pPr>
    <w:rPr>
      <w:rFonts w:ascii="Times New Roman" w:hAnsi="Times New Roman"/>
      <w:sz w:val="21"/>
    </w:rPr>
  </w:style>
  <w:style w:type="paragraph" w:styleId="23">
    <w:name w:val="Balloon Text"/>
    <w:basedOn w:val="1"/>
    <w:link w:val="96"/>
    <w:qFormat/>
    <w:uiPriority w:val="0"/>
    <w:rPr>
      <w:rFonts w:ascii="Times New Roman" w:hAnsi="Times New Roman"/>
      <w:sz w:val="18"/>
      <w:szCs w:val="18"/>
    </w:rPr>
  </w:style>
  <w:style w:type="paragraph" w:styleId="24">
    <w:name w:val="footer"/>
    <w:basedOn w:val="1"/>
    <w:link w:val="89"/>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7"/>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7"/>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95"/>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83"/>
    <w:qFormat/>
    <w:uiPriority w:val="0"/>
    <w:rPr>
      <w:b/>
      <w:bCs/>
      <w:sz w:val="21"/>
    </w:rPr>
  </w:style>
  <w:style w:type="table" w:styleId="36">
    <w:name w:val="Table Grid"/>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page number"/>
    <w:basedOn w:val="37"/>
    <w:qFormat/>
    <w:uiPriority w:val="0"/>
  </w:style>
  <w:style w:type="character" w:styleId="39">
    <w:name w:val="FollowedHyperlink"/>
    <w:unhideWhenUsed/>
    <w:qFormat/>
    <w:uiPriority w:val="99"/>
    <w:rPr>
      <w:color w:val="954F72"/>
      <w:u w:val="single"/>
    </w:rPr>
  </w:style>
  <w:style w:type="character" w:styleId="40">
    <w:name w:val="Hyperlink"/>
    <w:qFormat/>
    <w:uiPriority w:val="99"/>
    <w:rPr>
      <w:color w:val="0000FF"/>
      <w:u w:val="single"/>
    </w:rPr>
  </w:style>
  <w:style w:type="character" w:styleId="41">
    <w:name w:val="annotation reference"/>
    <w:qFormat/>
    <w:uiPriority w:val="99"/>
    <w:rPr>
      <w:sz w:val="21"/>
      <w:szCs w:val="21"/>
    </w:rPr>
  </w:style>
  <w:style w:type="character" w:customStyle="1" w:styleId="42">
    <w:name w:val="标题 3 字符1"/>
    <w:qFormat/>
    <w:uiPriority w:val="0"/>
    <w:rPr>
      <w:rFonts w:ascii="宋体" w:hAnsi="宋体"/>
      <w:b/>
      <w:bCs/>
      <w:kern w:val="2"/>
      <w:sz w:val="28"/>
      <w:szCs w:val="28"/>
    </w:rPr>
  </w:style>
  <w:style w:type="character" w:customStyle="1" w:styleId="43">
    <w:name w:val="首行缩进正文 Char"/>
    <w:link w:val="44"/>
    <w:qFormat/>
    <w:uiPriority w:val="0"/>
    <w:rPr>
      <w:kern w:val="2"/>
      <w:sz w:val="24"/>
    </w:rPr>
  </w:style>
  <w:style w:type="paragraph" w:customStyle="1" w:styleId="44">
    <w:name w:val="首行缩进正文"/>
    <w:basedOn w:val="1"/>
    <w:link w:val="43"/>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5">
    <w:name w:val="批注文字 Char"/>
    <w:link w:val="15"/>
    <w:qFormat/>
    <w:uiPriority w:val="99"/>
    <w:rPr>
      <w:rFonts w:eastAsia="仿宋"/>
      <w:kern w:val="2"/>
      <w:sz w:val="28"/>
      <w:szCs w:val="24"/>
    </w:rPr>
  </w:style>
  <w:style w:type="character" w:customStyle="1" w:styleId="46">
    <w:name w:val="日期 字符"/>
    <w:semiHidden/>
    <w:qFormat/>
    <w:uiPriority w:val="99"/>
    <w:rPr>
      <w:rFonts w:ascii="宋体" w:hAnsi="宋体"/>
      <w:kern w:val="2"/>
      <w:sz w:val="24"/>
      <w:szCs w:val="24"/>
    </w:rPr>
  </w:style>
  <w:style w:type="character" w:customStyle="1" w:styleId="47">
    <w:name w:val="日期 Char"/>
    <w:link w:val="22"/>
    <w:qFormat/>
    <w:uiPriority w:val="0"/>
    <w:rPr>
      <w:kern w:val="2"/>
      <w:sz w:val="21"/>
      <w:szCs w:val="24"/>
    </w:rPr>
  </w:style>
  <w:style w:type="character" w:customStyle="1" w:styleId="48">
    <w:name w:val="标题 9 Char"/>
    <w:link w:val="10"/>
    <w:qFormat/>
    <w:uiPriority w:val="9"/>
    <w:rPr>
      <w:rFonts w:ascii="Cambria" w:hAnsi="Cambria"/>
      <w:kern w:val="2"/>
      <w:sz w:val="21"/>
      <w:szCs w:val="21"/>
    </w:rPr>
  </w:style>
  <w:style w:type="character" w:customStyle="1" w:styleId="49">
    <w:name w:val="未处理的提及1"/>
    <w:unhideWhenUsed/>
    <w:qFormat/>
    <w:uiPriority w:val="99"/>
    <w:rPr>
      <w:color w:val="605E5C"/>
      <w:shd w:val="clear" w:color="auto" w:fill="E1DFDD"/>
    </w:rPr>
  </w:style>
  <w:style w:type="character" w:customStyle="1" w:styleId="50">
    <w:name w:val="标题 1 字符"/>
    <w:qFormat/>
    <w:uiPriority w:val="9"/>
    <w:rPr>
      <w:rFonts w:ascii="宋体" w:hAnsi="宋体"/>
      <w:b/>
      <w:bCs/>
      <w:kern w:val="44"/>
      <w:sz w:val="44"/>
      <w:szCs w:val="44"/>
    </w:rPr>
  </w:style>
  <w:style w:type="character" w:customStyle="1" w:styleId="51">
    <w:name w:val="标题 3 字符"/>
    <w:semiHidden/>
    <w:qFormat/>
    <w:uiPriority w:val="9"/>
    <w:rPr>
      <w:rFonts w:ascii="宋体" w:hAnsi="宋体"/>
      <w:b/>
      <w:bCs/>
      <w:kern w:val="2"/>
      <w:sz w:val="32"/>
      <w:szCs w:val="32"/>
    </w:rPr>
  </w:style>
  <w:style w:type="character" w:customStyle="1" w:styleId="52">
    <w:name w:val="页脚 字符"/>
    <w:qFormat/>
    <w:uiPriority w:val="99"/>
  </w:style>
  <w:style w:type="character" w:customStyle="1" w:styleId="53">
    <w:name w:val="标题 5 字符"/>
    <w:semiHidden/>
    <w:qFormat/>
    <w:uiPriority w:val="9"/>
    <w:rPr>
      <w:rFonts w:ascii="宋体" w:hAnsi="宋体"/>
      <w:b/>
      <w:bCs/>
      <w:kern w:val="2"/>
      <w:sz w:val="28"/>
      <w:szCs w:val="28"/>
    </w:rPr>
  </w:style>
  <w:style w:type="character" w:customStyle="1" w:styleId="54">
    <w:name w:val="题注 Char"/>
    <w:link w:val="13"/>
    <w:qFormat/>
    <w:locked/>
    <w:uiPriority w:val="0"/>
    <w:rPr>
      <w:rFonts w:ascii="Arial" w:hAnsi="Arial" w:eastAsia="黑体"/>
      <w:kern w:val="2"/>
    </w:rPr>
  </w:style>
  <w:style w:type="character" w:customStyle="1" w:styleId="55">
    <w:name w:val="标题 2 字符"/>
    <w:semiHidden/>
    <w:qFormat/>
    <w:uiPriority w:val="9"/>
    <w:rPr>
      <w:rFonts w:ascii="等线 Light" w:hAnsi="等线 Light" w:eastAsia="等线 Light" w:cs="Times New Roman"/>
      <w:b/>
      <w:bCs/>
      <w:kern w:val="2"/>
      <w:sz w:val="32"/>
      <w:szCs w:val="32"/>
    </w:rPr>
  </w:style>
  <w:style w:type="character" w:customStyle="1" w:styleId="56">
    <w:name w:val="纯文本 字符"/>
    <w:qFormat/>
    <w:uiPriority w:val="0"/>
    <w:rPr>
      <w:rFonts w:ascii="宋体" w:hAnsi="Courier New" w:cs="Courier New"/>
      <w:kern w:val="2"/>
      <w:sz w:val="21"/>
      <w:szCs w:val="21"/>
    </w:rPr>
  </w:style>
  <w:style w:type="character" w:customStyle="1" w:styleId="57">
    <w:name w:val="列表段落 字符"/>
    <w:qFormat/>
    <w:uiPriority w:val="34"/>
    <w:rPr>
      <w:kern w:val="2"/>
      <w:sz w:val="21"/>
      <w:szCs w:val="22"/>
    </w:rPr>
  </w:style>
  <w:style w:type="character" w:customStyle="1" w:styleId="58">
    <w:name w:val="标题 4 Char"/>
    <w:link w:val="5"/>
    <w:qFormat/>
    <w:uiPriority w:val="0"/>
    <w:rPr>
      <w:rFonts w:ascii="宋体" w:hAnsi="宋体"/>
      <w:b/>
      <w:bCs/>
      <w:kern w:val="2"/>
      <w:sz w:val="30"/>
      <w:szCs w:val="30"/>
    </w:rPr>
  </w:style>
  <w:style w:type="character" w:customStyle="1" w:styleId="59">
    <w:name w:val="正文文本 Char"/>
    <w:link w:val="16"/>
    <w:qFormat/>
    <w:uiPriority w:val="0"/>
    <w:rPr>
      <w:kern w:val="2"/>
      <w:sz w:val="21"/>
      <w:szCs w:val="24"/>
    </w:rPr>
  </w:style>
  <w:style w:type="character" w:customStyle="1" w:styleId="60">
    <w:name w:val="列出段落 Char"/>
    <w:link w:val="61"/>
    <w:qFormat/>
    <w:uiPriority w:val="34"/>
    <w:rPr>
      <w:kern w:val="2"/>
      <w:sz w:val="21"/>
      <w:szCs w:val="24"/>
    </w:rPr>
  </w:style>
  <w:style w:type="paragraph" w:styleId="61">
    <w:name w:val="List Paragraph"/>
    <w:basedOn w:val="1"/>
    <w:link w:val="60"/>
    <w:qFormat/>
    <w:uiPriority w:val="34"/>
    <w:pPr>
      <w:ind w:firstLine="420"/>
    </w:pPr>
    <w:rPr>
      <w:rFonts w:ascii="Times New Roman" w:hAnsi="Times New Roman"/>
      <w:sz w:val="21"/>
    </w:rPr>
  </w:style>
  <w:style w:type="character" w:customStyle="1" w:styleId="62">
    <w:name w:val="font21"/>
    <w:qFormat/>
    <w:uiPriority w:val="0"/>
    <w:rPr>
      <w:rFonts w:ascii="Calibri" w:hAnsi="Calibri" w:cs="Calibri"/>
      <w:color w:val="000000"/>
      <w:sz w:val="21"/>
      <w:szCs w:val="21"/>
      <w:u w:val="none"/>
    </w:rPr>
  </w:style>
  <w:style w:type="character" w:customStyle="1" w:styleId="63">
    <w:name w:val="*正文 Char"/>
    <w:link w:val="64"/>
    <w:qFormat/>
    <w:uiPriority w:val="0"/>
    <w:rPr>
      <w:rFonts w:ascii="time" w:hAnsi="time"/>
      <w:sz w:val="24"/>
      <w:szCs w:val="24"/>
      <w:lang w:bidi="en-US"/>
    </w:rPr>
  </w:style>
  <w:style w:type="paragraph" w:customStyle="1" w:styleId="64">
    <w:name w:val="*正文"/>
    <w:basedOn w:val="1"/>
    <w:link w:val="63"/>
    <w:qFormat/>
    <w:uiPriority w:val="0"/>
    <w:pPr>
      <w:widowControl/>
      <w:ind w:firstLine="200"/>
      <w:contextualSpacing/>
    </w:pPr>
    <w:rPr>
      <w:rFonts w:ascii="time" w:hAnsi="time"/>
      <w:kern w:val="0"/>
      <w:lang w:bidi="en-US"/>
    </w:rPr>
  </w:style>
  <w:style w:type="character" w:customStyle="1" w:styleId="65">
    <w:name w:val="正文文本缩进 字符"/>
    <w:semiHidden/>
    <w:qFormat/>
    <w:uiPriority w:val="99"/>
    <w:rPr>
      <w:rFonts w:ascii="宋体" w:hAnsi="宋体"/>
      <w:kern w:val="2"/>
      <w:sz w:val="24"/>
      <w:szCs w:val="24"/>
    </w:rPr>
  </w:style>
  <w:style w:type="character" w:customStyle="1" w:styleId="66">
    <w:name w:val="纯文本 Char"/>
    <w:link w:val="20"/>
    <w:qFormat/>
    <w:locked/>
    <w:uiPriority w:val="0"/>
    <w:rPr>
      <w:rFonts w:ascii="宋体" w:hAnsi="Courier New"/>
      <w:kern w:val="2"/>
      <w:sz w:val="21"/>
    </w:rPr>
  </w:style>
  <w:style w:type="character" w:customStyle="1" w:styleId="67">
    <w:name w:val="my正文 Char"/>
    <w:link w:val="68"/>
    <w:qFormat/>
    <w:uiPriority w:val="0"/>
    <w:rPr>
      <w:kern w:val="2"/>
      <w:sz w:val="21"/>
      <w:szCs w:val="24"/>
    </w:rPr>
  </w:style>
  <w:style w:type="paragraph" w:customStyle="1" w:styleId="68">
    <w:name w:val="my正文"/>
    <w:basedOn w:val="1"/>
    <w:link w:val="67"/>
    <w:qFormat/>
    <w:uiPriority w:val="0"/>
    <w:pPr>
      <w:spacing w:line="240" w:lineRule="auto"/>
      <w:ind w:firstLine="0" w:firstLineChars="0"/>
    </w:pPr>
    <w:rPr>
      <w:rFonts w:ascii="Times New Roman" w:hAnsi="Times New Roman"/>
      <w:sz w:val="21"/>
    </w:rPr>
  </w:style>
  <w:style w:type="character" w:customStyle="1" w:styleId="69">
    <w:name w:val="正文2 字符"/>
    <w:link w:val="70"/>
    <w:qFormat/>
    <w:uiPriority w:val="0"/>
    <w:rPr>
      <w:kern w:val="2"/>
      <w:sz w:val="21"/>
      <w:szCs w:val="24"/>
    </w:rPr>
  </w:style>
  <w:style w:type="paragraph" w:customStyle="1" w:styleId="70">
    <w:name w:val="正文2"/>
    <w:basedOn w:val="1"/>
    <w:link w:val="69"/>
    <w:qFormat/>
    <w:uiPriority w:val="0"/>
    <w:pPr>
      <w:ind w:firstLine="420"/>
    </w:pPr>
    <w:rPr>
      <w:rFonts w:ascii="Times New Roman" w:hAnsi="Times New Roman"/>
      <w:sz w:val="21"/>
    </w:rPr>
  </w:style>
  <w:style w:type="character" w:customStyle="1" w:styleId="71">
    <w:name w:val="font41"/>
    <w:qFormat/>
    <w:uiPriority w:val="0"/>
    <w:rPr>
      <w:rFonts w:hint="eastAsia" w:ascii="宋体" w:hAnsi="宋体" w:eastAsia="宋体" w:cs="宋体"/>
      <w:color w:val="000000"/>
      <w:sz w:val="21"/>
      <w:szCs w:val="21"/>
      <w:u w:val="none"/>
    </w:rPr>
  </w:style>
  <w:style w:type="character" w:customStyle="1" w:styleId="72">
    <w:name w:val="标题 7 Char"/>
    <w:link w:val="8"/>
    <w:qFormat/>
    <w:uiPriority w:val="9"/>
    <w:rPr>
      <w:b/>
      <w:bCs/>
      <w:kern w:val="2"/>
      <w:sz w:val="21"/>
      <w:szCs w:val="24"/>
    </w:rPr>
  </w:style>
  <w:style w:type="character" w:customStyle="1" w:styleId="73">
    <w:name w:val="批注框文本 字符"/>
    <w:semiHidden/>
    <w:qFormat/>
    <w:uiPriority w:val="99"/>
    <w:rPr>
      <w:rFonts w:ascii="宋体" w:hAnsi="宋体"/>
      <w:kern w:val="2"/>
      <w:sz w:val="18"/>
      <w:szCs w:val="18"/>
    </w:rPr>
  </w:style>
  <w:style w:type="character" w:customStyle="1" w:styleId="74">
    <w:name w:val="副标题 Char1"/>
    <w:qFormat/>
    <w:uiPriority w:val="0"/>
    <w:rPr>
      <w:rFonts w:ascii="Calibri Light" w:hAnsi="Calibri Light" w:cs="Times New Roman"/>
      <w:b/>
      <w:bCs/>
      <w:kern w:val="28"/>
      <w:sz w:val="32"/>
      <w:szCs w:val="32"/>
    </w:rPr>
  </w:style>
  <w:style w:type="character" w:customStyle="1" w:styleId="75">
    <w:name w:val="标题 1 Char1"/>
    <w:link w:val="2"/>
    <w:qFormat/>
    <w:uiPriority w:val="0"/>
    <w:rPr>
      <w:rFonts w:ascii="宋体" w:hAnsi="宋体" w:eastAsia="黑体"/>
      <w:b/>
      <w:bCs/>
      <w:kern w:val="44"/>
      <w:sz w:val="32"/>
      <w:szCs w:val="28"/>
    </w:rPr>
  </w:style>
  <w:style w:type="character" w:customStyle="1" w:styleId="76">
    <w:name w:val="批注文字 字符"/>
    <w:qFormat/>
    <w:uiPriority w:val="99"/>
    <w:rPr>
      <w:rFonts w:ascii="宋体" w:hAnsi="宋体"/>
      <w:kern w:val="2"/>
      <w:sz w:val="24"/>
      <w:szCs w:val="24"/>
    </w:rPr>
  </w:style>
  <w:style w:type="character" w:customStyle="1" w:styleId="77">
    <w:name w:val="文档结构图 字符"/>
    <w:semiHidden/>
    <w:qFormat/>
    <w:uiPriority w:val="99"/>
    <w:rPr>
      <w:rFonts w:ascii="Microsoft YaHei UI" w:hAnsi="宋体" w:eastAsia="Microsoft YaHei UI"/>
      <w:kern w:val="2"/>
      <w:sz w:val="18"/>
      <w:szCs w:val="18"/>
    </w:rPr>
  </w:style>
  <w:style w:type="character" w:customStyle="1" w:styleId="78">
    <w:name w:val="标题 6 字符"/>
    <w:semiHidden/>
    <w:qFormat/>
    <w:uiPriority w:val="9"/>
    <w:rPr>
      <w:rFonts w:ascii="等线 Light" w:hAnsi="等线 Light" w:eastAsia="等线 Light" w:cs="Times New Roman"/>
      <w:b/>
      <w:bCs/>
      <w:kern w:val="2"/>
      <w:sz w:val="24"/>
      <w:szCs w:val="24"/>
    </w:rPr>
  </w:style>
  <w:style w:type="character" w:customStyle="1" w:styleId="79">
    <w:name w:val="正文正文2 Char"/>
    <w:link w:val="80"/>
    <w:qFormat/>
    <w:uiPriority w:val="0"/>
    <w:rPr>
      <w:rFonts w:ascii="宋体" w:hAnsi="宋体"/>
      <w:kern w:val="2"/>
      <w:sz w:val="21"/>
      <w:szCs w:val="21"/>
    </w:rPr>
  </w:style>
  <w:style w:type="paragraph" w:customStyle="1" w:styleId="80">
    <w:name w:val="正文正文2"/>
    <w:basedOn w:val="1"/>
    <w:link w:val="79"/>
    <w:qFormat/>
    <w:uiPriority w:val="0"/>
    <w:pPr>
      <w:ind w:firstLine="460"/>
    </w:pPr>
    <w:rPr>
      <w:sz w:val="21"/>
      <w:szCs w:val="21"/>
    </w:rPr>
  </w:style>
  <w:style w:type="character" w:customStyle="1" w:styleId="81">
    <w:name w:val="标题 3 Char"/>
    <w:link w:val="4"/>
    <w:qFormat/>
    <w:uiPriority w:val="0"/>
    <w:rPr>
      <w:rFonts w:ascii="宋体" w:hAnsi="宋体"/>
      <w:b/>
      <w:bCs/>
      <w:kern w:val="2"/>
      <w:sz w:val="28"/>
      <w:szCs w:val="28"/>
    </w:rPr>
  </w:style>
  <w:style w:type="character" w:customStyle="1" w:styleId="82">
    <w:name w:val="标题 4 字符"/>
    <w:semiHidden/>
    <w:qFormat/>
    <w:uiPriority w:val="9"/>
    <w:rPr>
      <w:rFonts w:ascii="等线 Light" w:hAnsi="等线 Light" w:eastAsia="等线 Light" w:cs="Times New Roman"/>
      <w:b/>
      <w:bCs/>
      <w:kern w:val="2"/>
      <w:sz w:val="28"/>
      <w:szCs w:val="28"/>
    </w:rPr>
  </w:style>
  <w:style w:type="character" w:customStyle="1" w:styleId="83">
    <w:name w:val="批注主题 Char"/>
    <w:link w:val="34"/>
    <w:qFormat/>
    <w:uiPriority w:val="0"/>
    <w:rPr>
      <w:rFonts w:eastAsia="仿宋"/>
      <w:b/>
      <w:bCs/>
      <w:kern w:val="2"/>
      <w:sz w:val="21"/>
      <w:szCs w:val="24"/>
    </w:rPr>
  </w:style>
  <w:style w:type="character" w:customStyle="1" w:styleId="84">
    <w:name w:val="页眉 字符"/>
    <w:semiHidden/>
    <w:qFormat/>
    <w:uiPriority w:val="99"/>
    <w:rPr>
      <w:rFonts w:ascii="宋体" w:hAnsi="宋体"/>
      <w:kern w:val="2"/>
      <w:sz w:val="18"/>
      <w:szCs w:val="18"/>
    </w:rPr>
  </w:style>
  <w:style w:type="character" w:customStyle="1" w:styleId="85">
    <w:name w:val="正文文本缩进 Char"/>
    <w:link w:val="17"/>
    <w:qFormat/>
    <w:uiPriority w:val="0"/>
    <w:rPr>
      <w:kern w:val="2"/>
      <w:sz w:val="21"/>
    </w:rPr>
  </w:style>
  <w:style w:type="character" w:customStyle="1" w:styleId="86">
    <w:name w:val="标题 5 Char"/>
    <w:link w:val="6"/>
    <w:qFormat/>
    <w:uiPriority w:val="0"/>
    <w:rPr>
      <w:rFonts w:ascii="宋体" w:hAnsi="宋体"/>
      <w:b/>
      <w:bCs/>
      <w:kern w:val="2"/>
      <w:sz w:val="24"/>
      <w:szCs w:val="28"/>
    </w:rPr>
  </w:style>
  <w:style w:type="character" w:customStyle="1" w:styleId="87">
    <w:name w:val="副标题 Char"/>
    <w:link w:val="28"/>
    <w:qFormat/>
    <w:uiPriority w:val="0"/>
    <w:rPr>
      <w:rFonts w:ascii="Calibri Light" w:hAnsi="Calibri Light"/>
      <w:b/>
      <w:bCs/>
      <w:kern w:val="28"/>
      <w:sz w:val="32"/>
      <w:szCs w:val="32"/>
    </w:rPr>
  </w:style>
  <w:style w:type="character" w:customStyle="1" w:styleId="88">
    <w:name w:val="标题 2 Char"/>
    <w:link w:val="3"/>
    <w:qFormat/>
    <w:uiPriority w:val="9"/>
    <w:rPr>
      <w:rFonts w:ascii="宋体" w:hAnsi="宋体"/>
      <w:b/>
      <w:bCs/>
      <w:kern w:val="2"/>
      <w:sz w:val="30"/>
      <w:szCs w:val="32"/>
    </w:rPr>
  </w:style>
  <w:style w:type="character" w:customStyle="1" w:styleId="89">
    <w:name w:val="页脚 Char"/>
    <w:link w:val="24"/>
    <w:qFormat/>
    <w:uiPriority w:val="99"/>
    <w:rPr>
      <w:kern w:val="2"/>
      <w:sz w:val="18"/>
      <w:szCs w:val="18"/>
    </w:rPr>
  </w:style>
  <w:style w:type="character" w:customStyle="1" w:styleId="90">
    <w:name w:val="批注主题 字符"/>
    <w:semiHidden/>
    <w:qFormat/>
    <w:uiPriority w:val="99"/>
    <w:rPr>
      <w:rFonts w:ascii="宋体" w:hAnsi="宋体"/>
      <w:b/>
      <w:bCs/>
      <w:kern w:val="2"/>
      <w:sz w:val="24"/>
      <w:szCs w:val="24"/>
    </w:rPr>
  </w:style>
  <w:style w:type="character" w:customStyle="1" w:styleId="91">
    <w:name w:val="文档结构图 Char"/>
    <w:link w:val="14"/>
    <w:qFormat/>
    <w:uiPriority w:val="0"/>
    <w:rPr>
      <w:rFonts w:ascii="宋体"/>
      <w:kern w:val="2"/>
      <w:sz w:val="18"/>
      <w:szCs w:val="18"/>
    </w:rPr>
  </w:style>
  <w:style w:type="character" w:customStyle="1" w:styleId="92">
    <w:name w:val="font31"/>
    <w:qFormat/>
    <w:uiPriority w:val="0"/>
    <w:rPr>
      <w:rFonts w:hint="eastAsia" w:ascii="宋体" w:hAnsi="宋体" w:eastAsia="宋体" w:cs="宋体"/>
      <w:color w:val="000000"/>
      <w:sz w:val="21"/>
      <w:szCs w:val="21"/>
      <w:u w:val="none"/>
    </w:rPr>
  </w:style>
  <w:style w:type="character" w:customStyle="1" w:styleId="93">
    <w:name w:val="标准正文 Char"/>
    <w:link w:val="94"/>
    <w:qFormat/>
    <w:uiPriority w:val="0"/>
    <w:rPr>
      <w:rFonts w:ascii="Arial" w:hAnsi="Arial"/>
      <w:kern w:val="2"/>
      <w:sz w:val="24"/>
    </w:rPr>
  </w:style>
  <w:style w:type="paragraph" w:customStyle="1" w:styleId="94">
    <w:name w:val="标准正文"/>
    <w:basedOn w:val="17"/>
    <w:link w:val="93"/>
    <w:qFormat/>
    <w:uiPriority w:val="0"/>
    <w:pPr>
      <w:spacing w:before="60" w:after="60"/>
      <w:ind w:firstLine="482" w:firstLineChars="0"/>
    </w:pPr>
    <w:rPr>
      <w:rFonts w:ascii="Arial" w:hAnsi="Arial"/>
      <w:sz w:val="24"/>
    </w:rPr>
  </w:style>
  <w:style w:type="character" w:customStyle="1" w:styleId="95">
    <w:name w:val="标题 Char"/>
    <w:link w:val="33"/>
    <w:qFormat/>
    <w:uiPriority w:val="0"/>
    <w:rPr>
      <w:rFonts w:ascii="Cambria" w:hAnsi="Cambria" w:eastAsia="黑体"/>
      <w:b/>
      <w:bCs/>
      <w:kern w:val="2"/>
      <w:sz w:val="52"/>
      <w:szCs w:val="32"/>
    </w:rPr>
  </w:style>
  <w:style w:type="character" w:customStyle="1" w:styleId="96">
    <w:name w:val="批注框文本 Char"/>
    <w:link w:val="23"/>
    <w:qFormat/>
    <w:uiPriority w:val="0"/>
    <w:rPr>
      <w:kern w:val="2"/>
      <w:sz w:val="18"/>
      <w:szCs w:val="18"/>
    </w:rPr>
  </w:style>
  <w:style w:type="character" w:customStyle="1" w:styleId="97">
    <w:name w:val="页眉 Char"/>
    <w:link w:val="25"/>
    <w:qFormat/>
    <w:uiPriority w:val="99"/>
    <w:rPr>
      <w:kern w:val="2"/>
      <w:sz w:val="18"/>
      <w:szCs w:val="18"/>
    </w:rPr>
  </w:style>
  <w:style w:type="character" w:customStyle="1" w:styleId="98">
    <w:name w:val="标题 8 Char"/>
    <w:link w:val="9"/>
    <w:qFormat/>
    <w:uiPriority w:val="9"/>
    <w:rPr>
      <w:rFonts w:ascii="Cambria" w:hAnsi="Cambria"/>
      <w:kern w:val="2"/>
      <w:sz w:val="21"/>
      <w:szCs w:val="24"/>
    </w:rPr>
  </w:style>
  <w:style w:type="character" w:customStyle="1" w:styleId="99">
    <w:name w:val="标题 6 Char"/>
    <w:link w:val="7"/>
    <w:qFormat/>
    <w:uiPriority w:val="0"/>
    <w:rPr>
      <w:rFonts w:ascii="Cambria" w:hAnsi="Cambria"/>
      <w:b/>
      <w:bCs/>
      <w:kern w:val="2"/>
      <w:sz w:val="24"/>
      <w:szCs w:val="24"/>
    </w:rPr>
  </w:style>
  <w:style w:type="character" w:customStyle="1" w:styleId="100">
    <w:name w:val="标题 字符"/>
    <w:qFormat/>
    <w:uiPriority w:val="10"/>
    <w:rPr>
      <w:rFonts w:ascii="等线 Light" w:hAnsi="等线 Light" w:eastAsia="等线 Light" w:cs="Times New Roman"/>
      <w:b/>
      <w:bCs/>
      <w:kern w:val="2"/>
      <w:sz w:val="32"/>
      <w:szCs w:val="32"/>
    </w:rPr>
  </w:style>
  <w:style w:type="character" w:customStyle="1" w:styleId="101">
    <w:name w:val="副标题 字符"/>
    <w:qFormat/>
    <w:uiPriority w:val="11"/>
    <w:rPr>
      <w:rFonts w:ascii="等线" w:hAnsi="等线" w:eastAsia="等线" w:cs="Times New Roman"/>
      <w:b/>
      <w:bCs/>
      <w:kern w:val="28"/>
      <w:sz w:val="32"/>
      <w:szCs w:val="32"/>
    </w:rPr>
  </w:style>
  <w:style w:type="paragraph" w:customStyle="1" w:styleId="102">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3">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4">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5">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6">
    <w:name w:val="正文缩进1"/>
    <w:basedOn w:val="1"/>
    <w:qFormat/>
    <w:uiPriority w:val="0"/>
    <w:pPr>
      <w:spacing w:line="240" w:lineRule="auto"/>
      <w:ind w:firstLine="420"/>
    </w:pPr>
    <w:rPr>
      <w:rFonts w:ascii="Times New Roman" w:hAnsi="Times New Roman"/>
      <w:sz w:val="21"/>
      <w:szCs w:val="20"/>
    </w:rPr>
  </w:style>
  <w:style w:type="paragraph" w:customStyle="1" w:styleId="107">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8">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09">
    <w:name w:val="Indent Normal"/>
    <w:basedOn w:val="1"/>
    <w:qFormat/>
    <w:uiPriority w:val="0"/>
    <w:pPr>
      <w:ind w:firstLine="150" w:firstLineChars="150"/>
    </w:pPr>
  </w:style>
  <w:style w:type="paragraph" w:customStyle="1" w:styleId="110">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1">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2">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3">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4">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5">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7">
    <w:name w:val="Char Char Char Char Char Char1 Char"/>
    <w:basedOn w:val="1"/>
    <w:qFormat/>
    <w:uiPriority w:val="0"/>
    <w:pPr>
      <w:widowControl/>
      <w:spacing w:after="160" w:line="240" w:lineRule="exact"/>
      <w:jc w:val="left"/>
    </w:pPr>
  </w:style>
  <w:style w:type="paragraph" w:customStyle="1" w:styleId="118">
    <w:name w:val="PM_Body"/>
    <w:basedOn w:val="1"/>
    <w:qFormat/>
    <w:locked/>
    <w:uiPriority w:val="0"/>
    <w:rPr>
      <w:szCs w:val="21"/>
    </w:rPr>
  </w:style>
  <w:style w:type="paragraph" w:customStyle="1" w:styleId="119">
    <w:name w:val="Char Char1"/>
    <w:basedOn w:val="1"/>
    <w:qFormat/>
    <w:uiPriority w:val="0"/>
    <w:pPr>
      <w:widowControl/>
      <w:spacing w:before="120" w:after="120"/>
    </w:pPr>
    <w:rPr>
      <w:rFonts w:ascii="Times New Roman" w:hAnsi="Times New Roman" w:cs="宋体"/>
    </w:rPr>
  </w:style>
  <w:style w:type="paragraph" w:customStyle="1" w:styleId="120">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1">
    <w:name w:val="Revision"/>
    <w:unhideWhenUsed/>
    <w:qFormat/>
    <w:uiPriority w:val="99"/>
    <w:rPr>
      <w:rFonts w:ascii="宋体" w:hAnsi="宋体" w:eastAsia="宋体" w:cs="Times New Roman"/>
      <w:kern w:val="2"/>
      <w:sz w:val="24"/>
      <w:szCs w:val="24"/>
      <w:lang w:val="en-US" w:eastAsia="zh-CN" w:bidi="ar-SA"/>
    </w:rPr>
  </w:style>
  <w:style w:type="paragraph" w:customStyle="1" w:styleId="122">
    <w:name w:val="列出段落2"/>
    <w:basedOn w:val="1"/>
    <w:qFormat/>
    <w:uiPriority w:val="0"/>
    <w:pPr>
      <w:spacing w:line="240" w:lineRule="auto"/>
      <w:ind w:firstLine="420"/>
    </w:pPr>
    <w:rPr>
      <w:rFonts w:ascii="等线" w:hAnsi="等线" w:eastAsia="等线" w:cs="等线"/>
      <w:sz w:val="21"/>
      <w:szCs w:val="21"/>
    </w:rPr>
  </w:style>
  <w:style w:type="paragraph" w:customStyle="1" w:styleId="123">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5">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6">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7">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8">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29">
    <w:name w:val="TOC Heading"/>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0">
    <w:name w:val="!我的表格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
    <w:name w:val="网格型1"/>
    <w:basedOn w:val="35"/>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2">
    <w:name w:val="标题 1 Char"/>
    <w:qFormat/>
    <w:uiPriority w:val="0"/>
    <w:rPr>
      <w:rFonts w:ascii="宋体" w:hAnsi="宋体" w:eastAsia="黑体"/>
      <w:b/>
      <w:bCs/>
      <w:kern w:val="44"/>
      <w:sz w:val="32"/>
      <w:szCs w:val="28"/>
    </w:rPr>
  </w:style>
  <w:style w:type="character" w:customStyle="1" w:styleId="133">
    <w:name w:val="纯文本 Char2"/>
    <w:qFormat/>
    <w:uiPriority w:val="0"/>
    <w:rPr>
      <w:rFonts w:ascii="宋体" w:hAnsi="宋体" w:eastAsia="宋体" w:cs="Times New Roman"/>
      <w:color w:val="000000"/>
      <w:kern w:val="0"/>
      <w:sz w:val="24"/>
      <w:szCs w:val="24"/>
    </w:rPr>
  </w:style>
  <w:style w:type="paragraph" w:customStyle="1" w:styleId="134">
    <w:name w:val="列出段落1"/>
    <w:basedOn w:val="1"/>
    <w:qFormat/>
    <w:uiPriority w:val="34"/>
    <w:pPr>
      <w:spacing w:line="240" w:lineRule="auto"/>
      <w:ind w:firstLine="420"/>
    </w:pPr>
    <w:rPr>
      <w:rFonts w:ascii="Calibri" w:hAnsi="Calibri"/>
      <w:sz w:val="21"/>
      <w:szCs w:val="22"/>
    </w:rPr>
  </w:style>
  <w:style w:type="paragraph" w:customStyle="1" w:styleId="135">
    <w:name w:val="00封-2评估报告"/>
    <w:basedOn w:val="136"/>
    <w:qFormat/>
    <w:uiPriority w:val="0"/>
    <w:pPr>
      <w:adjustRightInd/>
      <w:textAlignment w:val="auto"/>
    </w:pPr>
    <w:rPr>
      <w:rFonts w:ascii="Times New Roman" w:hAnsi="Times New Roman"/>
      <w:bCs/>
      <w:kern w:val="2"/>
      <w:sz w:val="72"/>
      <w:szCs w:val="22"/>
    </w:rPr>
  </w:style>
  <w:style w:type="paragraph" w:customStyle="1" w:styleId="136">
    <w:name w:val="00封-1项目名称"/>
    <w:basedOn w:val="1"/>
    <w:qFormat/>
    <w:uiPriority w:val="0"/>
    <w:pPr>
      <w:adjustRightInd w:val="0"/>
      <w:spacing w:beforeLines="100" w:afterLines="100"/>
      <w:ind w:firstLine="0" w:firstLineChars="0"/>
      <w:jc w:val="center"/>
      <w:textAlignment w:val="baseline"/>
    </w:pPr>
    <w:rPr>
      <w:rFonts w:ascii="黑体" w:hAnsi="华文细黑" w:eastAsia="黑体"/>
      <w:b/>
      <w:kern w:val="0"/>
      <w:sz w:val="48"/>
      <w:szCs w:val="48"/>
    </w:rPr>
  </w:style>
  <w:style w:type="paragraph" w:customStyle="1" w:styleId="137">
    <w:name w:val="可研正文"/>
    <w:basedOn w:val="1"/>
    <w:qFormat/>
    <w:uiPriority w:val="0"/>
    <w:pPr>
      <w:ind w:firstLine="200"/>
    </w:pPr>
    <w:rPr>
      <w:rFonts w:ascii="仿宋" w:hAnsi="仿宋"/>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87</Pages>
  <Words>2954</Words>
  <Characters>3044</Characters>
  <Lines>65</Lines>
  <Paragraphs>18</Paragraphs>
  <TotalTime>3</TotalTime>
  <ScaleCrop>false</ScaleCrop>
  <LinksUpToDate>false</LinksUpToDate>
  <CharactersWithSpaces>3046</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2022-12-26T01:54:00Z</dcterms:created>
  <dc:creator>gtig_tzb</dc:creator>
  <cp:lastModifiedBy>user</cp:lastModifiedBy>
  <cp:lastPrinted>2020-08-09T12:08:00Z</cp:lastPrinted>
  <dcterms:modified xsi:type="dcterms:W3CDTF">2026-03-16T09:13:10Z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7FC1AF22D4409E7AB869B269679EF5B9_43</vt:lpwstr>
  </property>
  <property fmtid="{D5CDD505-2E9C-101B-9397-08002B2CF9AE}" pid="4" name="KSOTemplateDocerSaveRecord">
    <vt:lpwstr>eyJoZGlkIjoiZjA1MTMxYjczMDAzZjJiNjI4NjIyNjdlMzE5YjM0NDkiLCJ1c2VySWQiOiI0MTU0NDAxMDcifQ==</vt:lpwstr>
  </property>
</Properties>
</file>