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C07119">
      <w:pPr>
        <w:ind w:firstLine="0" w:firstLineChars="0"/>
        <w:jc w:val="center"/>
        <w:rPr>
          <w:rFonts w:ascii="黑体" w:hAnsi="黑体" w:eastAsia="黑体"/>
          <w:sz w:val="48"/>
          <w:szCs w:val="48"/>
        </w:rPr>
      </w:pPr>
    </w:p>
    <w:p w14:paraId="5EBF9FA0">
      <w:pPr>
        <w:ind w:firstLine="0" w:firstLineChars="0"/>
        <w:jc w:val="center"/>
        <w:rPr>
          <w:rFonts w:ascii="黑体" w:hAnsi="黑体" w:eastAsia="黑体"/>
          <w:sz w:val="48"/>
          <w:szCs w:val="48"/>
        </w:rPr>
      </w:pPr>
    </w:p>
    <w:p w14:paraId="5359C504">
      <w:pPr>
        <w:ind w:firstLine="0" w:firstLineChars="0"/>
        <w:jc w:val="center"/>
        <w:rPr>
          <w:rFonts w:ascii="黑体" w:hAnsi="黑体" w:eastAsia="黑体"/>
          <w:sz w:val="52"/>
          <w:szCs w:val="52"/>
        </w:rPr>
      </w:pPr>
      <w:r>
        <w:rPr>
          <w:rFonts w:hint="eastAsia" w:ascii="黑体" w:hAnsi="黑体" w:eastAsia="黑体"/>
          <w:sz w:val="52"/>
          <w:szCs w:val="52"/>
        </w:rPr>
        <w:t>国家统计业务大系统建设项目</w:t>
      </w:r>
    </w:p>
    <w:p w14:paraId="728F61D3">
      <w:pPr>
        <w:ind w:firstLine="0" w:firstLineChars="0"/>
        <w:jc w:val="center"/>
        <w:rPr>
          <w:rFonts w:ascii="黑体" w:hAnsi="黑体" w:eastAsia="黑体"/>
          <w:sz w:val="52"/>
          <w:szCs w:val="52"/>
        </w:rPr>
      </w:pPr>
      <w:r>
        <w:rPr>
          <w:rFonts w:hint="eastAsia" w:ascii="黑体" w:hAnsi="黑体" w:eastAsia="黑体"/>
          <w:sz w:val="52"/>
          <w:szCs w:val="52"/>
        </w:rPr>
        <w:t>(2026年升级改造)</w:t>
      </w:r>
    </w:p>
    <w:p w14:paraId="6FC6505A">
      <w:pPr>
        <w:ind w:firstLine="0" w:firstLineChars="0"/>
        <w:jc w:val="center"/>
        <w:rPr>
          <w:rFonts w:ascii="黑体" w:hAnsi="黑体" w:eastAsia="黑体"/>
          <w:sz w:val="52"/>
          <w:szCs w:val="52"/>
        </w:rPr>
      </w:pPr>
      <w:r>
        <w:rPr>
          <w:rFonts w:hint="eastAsia" w:ascii="黑体" w:hAnsi="黑体" w:eastAsia="黑体"/>
          <w:sz w:val="52"/>
          <w:szCs w:val="52"/>
        </w:rPr>
        <w:t>采购需求</w:t>
      </w:r>
    </w:p>
    <w:p w14:paraId="26058841">
      <w:pPr>
        <w:ind w:firstLine="0" w:firstLineChars="0"/>
        <w:jc w:val="center"/>
        <w:rPr>
          <w:rFonts w:ascii="黑体" w:hAnsi="黑体" w:eastAsia="黑体"/>
          <w:sz w:val="72"/>
          <w:szCs w:val="72"/>
        </w:rPr>
      </w:pPr>
    </w:p>
    <w:p w14:paraId="3D48ED52">
      <w:pPr>
        <w:ind w:firstLine="0" w:firstLineChars="0"/>
        <w:jc w:val="center"/>
        <w:rPr>
          <w:rFonts w:ascii="黑体" w:hAnsi="黑体" w:eastAsia="黑体"/>
          <w:sz w:val="48"/>
          <w:szCs w:val="48"/>
        </w:rPr>
      </w:pPr>
    </w:p>
    <w:p w14:paraId="31C5361C">
      <w:pPr>
        <w:ind w:firstLine="0" w:firstLineChars="0"/>
        <w:jc w:val="center"/>
        <w:rPr>
          <w:rFonts w:ascii="黑体" w:hAnsi="黑体" w:eastAsia="黑体"/>
          <w:sz w:val="52"/>
          <w:szCs w:val="52"/>
        </w:rPr>
      </w:pPr>
    </w:p>
    <w:p w14:paraId="75B9A969">
      <w:pPr>
        <w:ind w:firstLine="1040"/>
        <w:rPr>
          <w:rFonts w:ascii="黑体" w:hAnsi="黑体" w:eastAsia="黑体"/>
          <w:sz w:val="52"/>
          <w:szCs w:val="52"/>
        </w:rPr>
      </w:pPr>
    </w:p>
    <w:p w14:paraId="6EA507CB"/>
    <w:p w14:paraId="4C28F141"/>
    <w:p w14:paraId="59BC23DA"/>
    <w:p w14:paraId="21B848D9"/>
    <w:p w14:paraId="35CF80D4"/>
    <w:p w14:paraId="748E103E">
      <w:pPr>
        <w:ind w:firstLine="1040"/>
        <w:rPr>
          <w:rFonts w:ascii="黑体" w:hAnsi="黑体" w:eastAsia="黑体"/>
          <w:sz w:val="52"/>
          <w:szCs w:val="52"/>
        </w:rPr>
      </w:pPr>
    </w:p>
    <w:p w14:paraId="03B9984D">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12F4CD39">
      <w:pPr>
        <w:pStyle w:val="2"/>
      </w:pPr>
      <w:bookmarkStart w:id="0" w:name="_Toc63785461"/>
      <w:r>
        <w:rPr>
          <w:rFonts w:hint="eastAsia"/>
        </w:rPr>
        <w:t>项目概况</w:t>
      </w:r>
      <w:bookmarkEnd w:id="0"/>
    </w:p>
    <w:p w14:paraId="5277980A">
      <w:pPr>
        <w:pStyle w:val="3"/>
      </w:pPr>
      <w:r>
        <w:rPr>
          <w:rFonts w:hint="eastAsia"/>
        </w:rPr>
        <w:t>项目背景和现状</w:t>
      </w:r>
    </w:p>
    <w:p w14:paraId="147EE481">
      <w:pPr>
        <w:pStyle w:val="61"/>
        <w:numPr>
          <w:ilvl w:val="2"/>
          <w:numId w:val="4"/>
        </w:numPr>
        <w:spacing w:line="560" w:lineRule="exact"/>
        <w:ind w:firstLineChars="0"/>
        <w:rPr>
          <w:rFonts w:ascii="宋体" w:hAnsi="宋体"/>
          <w:b/>
          <w:bCs/>
          <w:sz w:val="28"/>
          <w:szCs w:val="28"/>
        </w:rPr>
      </w:pPr>
      <w:r>
        <w:rPr>
          <w:rFonts w:hint="eastAsia" w:ascii="宋体" w:hAnsi="宋体"/>
          <w:b/>
          <w:bCs/>
          <w:sz w:val="28"/>
          <w:szCs w:val="28"/>
        </w:rPr>
        <w:t>上海市第四次全国农业普查数据处理子系统（新建）</w:t>
      </w:r>
    </w:p>
    <w:p w14:paraId="14D8B333">
      <w:r>
        <w:rPr>
          <w:rFonts w:hint="eastAsia"/>
        </w:rPr>
        <w:t>本市农普办在国家普查基础上，组织开展本市全国第四次农业普查工作，本项目并无完全适配的现有系统，为节约资源，充分利用已建的“上海市统计局第五次经济普查数据采集与处理子系统”建设成果，通过对接利用统一应用管理平台、五经普数据处理子系统等现有功能，完成本地农普元数据与制度定制、本地农普数据处理。</w:t>
      </w:r>
    </w:p>
    <w:p w14:paraId="01C96A4A">
      <w:pPr>
        <w:pStyle w:val="61"/>
        <w:numPr>
          <w:ilvl w:val="2"/>
          <w:numId w:val="4"/>
        </w:numPr>
        <w:spacing w:line="560" w:lineRule="exact"/>
        <w:ind w:firstLineChars="0"/>
        <w:rPr>
          <w:rFonts w:ascii="宋体" w:hAnsi="宋体"/>
          <w:b/>
          <w:bCs/>
          <w:sz w:val="28"/>
          <w:szCs w:val="28"/>
        </w:rPr>
      </w:pPr>
      <w:r>
        <w:rPr>
          <w:rFonts w:hint="eastAsia" w:ascii="宋体" w:hAnsi="宋体"/>
          <w:b/>
          <w:bCs/>
          <w:sz w:val="28"/>
          <w:szCs w:val="28"/>
        </w:rPr>
        <w:t>统计一套表网报管理系统项目(升级改造)</w:t>
      </w:r>
    </w:p>
    <w:p w14:paraId="0BFF3734">
      <w:pPr>
        <w:pStyle w:val="61"/>
        <w:numPr>
          <w:ilvl w:val="3"/>
          <w:numId w:val="4"/>
        </w:numPr>
        <w:spacing w:line="560" w:lineRule="exact"/>
        <w:ind w:firstLineChars="0"/>
        <w:rPr>
          <w:rFonts w:ascii="宋体" w:hAnsi="宋体"/>
          <w:b/>
          <w:bCs/>
          <w:sz w:val="24"/>
        </w:rPr>
      </w:pPr>
      <w:r>
        <w:rPr>
          <w:rFonts w:hint="eastAsia"/>
          <w:b/>
          <w:bCs/>
          <w:sz w:val="24"/>
        </w:rPr>
        <w:t>统计云工程上海联网直报节点子系统（升级改造）</w:t>
      </w:r>
    </w:p>
    <w:p w14:paraId="61F15CB2">
      <w:pPr>
        <w:pStyle w:val="61"/>
        <w:numPr>
          <w:ilvl w:val="4"/>
          <w:numId w:val="4"/>
        </w:numPr>
        <w:spacing w:line="560" w:lineRule="exact"/>
        <w:ind w:firstLineChars="0"/>
        <w:rPr>
          <w:rFonts w:ascii="宋体" w:hAnsi="宋体"/>
          <w:b/>
          <w:bCs/>
          <w:sz w:val="24"/>
        </w:rPr>
      </w:pPr>
      <w:r>
        <w:rPr>
          <w:rFonts w:hint="eastAsia"/>
          <w:b/>
          <w:bCs/>
          <w:sz w:val="24"/>
        </w:rPr>
        <w:t>上海市统计数据移动采集系统（新建）</w:t>
      </w:r>
    </w:p>
    <w:p w14:paraId="6740B1A1">
      <w:r>
        <w:rPr>
          <w:rFonts w:hint="eastAsia"/>
        </w:rPr>
        <w:t>构建统计数据移动采集，提升数据采集效率、保证数据质量、减轻基层负担。</w:t>
      </w:r>
    </w:p>
    <w:p w14:paraId="37EB635A">
      <w:pPr>
        <w:pStyle w:val="61"/>
        <w:numPr>
          <w:ilvl w:val="4"/>
          <w:numId w:val="4"/>
        </w:numPr>
        <w:spacing w:line="560" w:lineRule="exact"/>
        <w:ind w:firstLineChars="0"/>
        <w:rPr>
          <w:b/>
          <w:bCs/>
          <w:sz w:val="24"/>
        </w:rPr>
      </w:pPr>
      <w:r>
        <w:rPr>
          <w:rFonts w:hint="eastAsia"/>
          <w:b/>
          <w:bCs/>
          <w:sz w:val="24"/>
        </w:rPr>
        <w:t>上海市统计局数据共享子系统（新建）</w:t>
      </w:r>
    </w:p>
    <w:p w14:paraId="7DDDF11C">
      <w:r>
        <w:rPr>
          <w:rFonts w:hint="eastAsia"/>
        </w:rPr>
        <w:t>市局已经完成了联网直报系统采集节点建设，下级统计机关根据业务需要，向上海市统计局提出要回流本辖区数据，用以做其他数据应用方向的探索。</w:t>
      </w:r>
    </w:p>
    <w:p w14:paraId="382017C8">
      <w:pPr>
        <w:pStyle w:val="61"/>
        <w:numPr>
          <w:ilvl w:val="2"/>
          <w:numId w:val="4"/>
        </w:numPr>
        <w:spacing w:line="560" w:lineRule="exact"/>
        <w:ind w:firstLineChars="0"/>
        <w:rPr>
          <w:rFonts w:ascii="宋体" w:hAnsi="宋体"/>
          <w:b/>
          <w:bCs/>
          <w:sz w:val="28"/>
          <w:szCs w:val="28"/>
        </w:rPr>
      </w:pPr>
      <w:r>
        <w:rPr>
          <w:rFonts w:hint="eastAsia" w:ascii="宋体" w:hAnsi="宋体"/>
          <w:b/>
          <w:bCs/>
          <w:sz w:val="28"/>
          <w:szCs w:val="28"/>
        </w:rPr>
        <w:t>上海市统计局政府“电子统计”系统（升级改造）</w:t>
      </w:r>
    </w:p>
    <w:p w14:paraId="47FE803E">
      <w:r>
        <w:rPr>
          <w:rFonts w:hint="eastAsia"/>
        </w:rPr>
        <w:t>上海市统计局月度库系统主要用于统计局各专业处室的月度综合数据的加工处理，通过对现有系统的升级与完善，并融合与集成在“五经普数据采集与处理子系统”中，进一步推进统计业务工作全流程集中统一管理。</w:t>
      </w:r>
    </w:p>
    <w:p w14:paraId="35180836">
      <w:pPr>
        <w:pStyle w:val="61"/>
        <w:numPr>
          <w:ilvl w:val="2"/>
          <w:numId w:val="4"/>
        </w:numPr>
        <w:spacing w:line="560" w:lineRule="exact"/>
        <w:ind w:firstLineChars="0"/>
        <w:rPr>
          <w:rFonts w:ascii="宋体" w:hAnsi="宋体"/>
          <w:b/>
          <w:bCs/>
          <w:sz w:val="28"/>
          <w:szCs w:val="28"/>
        </w:rPr>
      </w:pPr>
      <w:r>
        <w:rPr>
          <w:rFonts w:hint="eastAsia" w:ascii="宋体" w:hAnsi="宋体"/>
          <w:b/>
          <w:bCs/>
          <w:sz w:val="28"/>
          <w:szCs w:val="28"/>
        </w:rPr>
        <w:t>上海市统计局机房网络安全加固（新建）</w:t>
      </w:r>
    </w:p>
    <w:p w14:paraId="25449D6A">
      <w:r>
        <w:rPr>
          <w:rFonts w:hint="eastAsia"/>
        </w:rPr>
        <w:t>根据最新的测评要求和行业标准，采购一系列硬件设备来替换过时的旧设备，支持市统计局办公网络以及对互联网、政务外网、国家局专网、政务云统计专网的访问控制。</w:t>
      </w:r>
    </w:p>
    <w:p w14:paraId="2AB04B8A">
      <w:pPr>
        <w:pStyle w:val="3"/>
      </w:pPr>
      <w:r>
        <w:rPr>
          <w:rFonts w:hint="eastAsia"/>
        </w:rPr>
        <w:t>建设期限</w:t>
      </w:r>
    </w:p>
    <w:p w14:paraId="585F74E2">
      <w:pPr>
        <w:rPr>
          <w:rFonts w:hint="eastAsia" w:eastAsia="宋体"/>
          <w:lang w:val="en-US" w:eastAsia="zh-CN"/>
        </w:rPr>
      </w:pPr>
      <w:r>
        <w:rPr>
          <w:rFonts w:hint="eastAsia"/>
        </w:rPr>
        <w:t>建设期限：自合同签订</w:t>
      </w:r>
      <w:r>
        <w:rPr>
          <w:rFonts w:hint="eastAsia"/>
          <w:lang w:eastAsia="zh-CN"/>
        </w:rPr>
        <w:t>生效</w:t>
      </w:r>
      <w:r>
        <w:rPr>
          <w:rFonts w:hint="eastAsia"/>
        </w:rPr>
        <w:t>之日起1</w:t>
      </w:r>
      <w:r>
        <w:t>4</w:t>
      </w:r>
      <w:r>
        <w:rPr>
          <w:rFonts w:hint="eastAsia"/>
        </w:rPr>
        <w:t>个月</w:t>
      </w:r>
      <w:r>
        <w:rPr>
          <w:rFonts w:hint="eastAsia"/>
          <w:lang w:eastAsia="zh-CN"/>
        </w:rPr>
        <w:t>（含</w:t>
      </w:r>
      <w:r>
        <w:rPr>
          <w:rFonts w:hint="eastAsia"/>
          <w:lang w:val="en-US" w:eastAsia="zh-CN"/>
        </w:rPr>
        <w:t>1个月系统试运行期</w:t>
      </w:r>
      <w:r>
        <w:rPr>
          <w:rFonts w:hint="eastAsia"/>
          <w:lang w:eastAsia="zh-CN"/>
        </w:rPr>
        <w:t>）</w:t>
      </w:r>
    </w:p>
    <w:p w14:paraId="04035B00">
      <w:pPr>
        <w:pStyle w:val="3"/>
      </w:pPr>
      <w:r>
        <w:rPr>
          <w:rFonts w:hint="eastAsia"/>
        </w:rPr>
        <w:t>建设地点</w:t>
      </w:r>
    </w:p>
    <w:p w14:paraId="6113D545">
      <w:r>
        <w:rPr>
          <w:rFonts w:hint="eastAsia"/>
        </w:rPr>
        <w:t>建设地点：上海市统计局</w:t>
      </w:r>
    </w:p>
    <w:p w14:paraId="4E43F8B3">
      <w:pPr>
        <w:pStyle w:val="3"/>
      </w:pPr>
      <w:r>
        <w:rPr>
          <w:rFonts w:hint="eastAsia"/>
        </w:rPr>
        <w:t>预算金额</w:t>
      </w:r>
    </w:p>
    <w:p w14:paraId="50E9A9BB">
      <w:r>
        <w:rPr>
          <w:rFonts w:hint="eastAsia"/>
        </w:rPr>
        <w:t>预算金额：2,321,200元</w:t>
      </w:r>
    </w:p>
    <w:p w14:paraId="48F81621">
      <w:pPr>
        <w:pStyle w:val="3"/>
      </w:pPr>
      <w:r>
        <w:rPr>
          <w:rFonts w:hint="eastAsia"/>
        </w:rPr>
        <w:t>采购金额（最高限价）</w:t>
      </w:r>
    </w:p>
    <w:p w14:paraId="2D7FED43">
      <w:r>
        <w:rPr>
          <w:rFonts w:hint="eastAsia"/>
        </w:rPr>
        <w:t>采购金额（最高限价）：2,321,200元</w:t>
      </w:r>
    </w:p>
    <w:p w14:paraId="7E7E4550">
      <w:pPr>
        <w:pStyle w:val="3"/>
      </w:pPr>
      <w:r>
        <w:rPr>
          <w:rFonts w:hint="eastAsia"/>
        </w:rPr>
        <w:t>组织形式</w:t>
      </w:r>
    </w:p>
    <w:p w14:paraId="1FBDF59D">
      <w:r>
        <w:rPr>
          <w:rFonts w:hint="eastAsia"/>
        </w:rPr>
        <w:t>组织形式：集中采购</w:t>
      </w:r>
    </w:p>
    <w:p w14:paraId="46AB2569">
      <w:pPr>
        <w:pStyle w:val="3"/>
      </w:pPr>
      <w:r>
        <w:rPr>
          <w:rFonts w:hint="eastAsia"/>
        </w:rPr>
        <w:t>采购方式</w:t>
      </w:r>
    </w:p>
    <w:p w14:paraId="55844C72">
      <w:r>
        <w:rPr>
          <w:rFonts w:hint="eastAsia"/>
        </w:rPr>
        <w:t>采购方式：竞争性磋商</w:t>
      </w:r>
    </w:p>
    <w:p w14:paraId="0959DC39">
      <w:pPr>
        <w:pStyle w:val="3"/>
      </w:pPr>
      <w:r>
        <w:rPr>
          <w:rFonts w:hint="eastAsia"/>
        </w:rPr>
        <w:t>是否接受联合体</w:t>
      </w:r>
      <w:r>
        <w:rPr>
          <w:rFonts w:hint="eastAsia"/>
          <w:lang w:eastAsia="zh-CN"/>
        </w:rPr>
        <w:t>响应</w:t>
      </w:r>
    </w:p>
    <w:p w14:paraId="4F758509">
      <w:r>
        <w:rPr>
          <w:rFonts w:hint="eastAsia"/>
        </w:rPr>
        <w:t>是否接受联合体</w:t>
      </w:r>
      <w:r>
        <w:rPr>
          <w:rFonts w:hint="eastAsia"/>
          <w:lang w:eastAsia="zh-CN"/>
        </w:rPr>
        <w:t>响应</w:t>
      </w:r>
      <w:r>
        <w:rPr>
          <w:rFonts w:hint="eastAsia"/>
        </w:rPr>
        <w:t>：否</w:t>
      </w:r>
    </w:p>
    <w:p w14:paraId="55088357">
      <w:pPr>
        <w:pStyle w:val="3"/>
      </w:pPr>
      <w:r>
        <w:t>是否按</w:t>
      </w:r>
      <w:r>
        <w:rPr>
          <w:rFonts w:hint="eastAsia"/>
          <w:lang w:eastAsia="zh-CN"/>
        </w:rPr>
        <w:t>XC</w:t>
      </w:r>
      <w:r>
        <w:t>要求建设</w:t>
      </w:r>
    </w:p>
    <w:p w14:paraId="6A3D4264">
      <w:r>
        <w:rPr>
          <w:rFonts w:hint="eastAsia"/>
        </w:rPr>
        <w:t>是否按</w:t>
      </w:r>
      <w:r>
        <w:rPr>
          <w:rFonts w:hint="eastAsia"/>
          <w:lang w:eastAsia="zh-CN"/>
        </w:rPr>
        <w:t>XC</w:t>
      </w:r>
      <w:r>
        <w:rPr>
          <w:rFonts w:hint="eastAsia"/>
        </w:rPr>
        <w:t>要求建设</w:t>
      </w:r>
      <w:r>
        <w:t>：是</w:t>
      </w:r>
    </w:p>
    <w:p w14:paraId="0AC353B7">
      <w:pPr>
        <w:pStyle w:val="3"/>
      </w:pPr>
      <w:r>
        <w:rPr>
          <w:rFonts w:hint="eastAsia"/>
        </w:rPr>
        <w:t>运维后所属大系统</w:t>
      </w:r>
    </w:p>
    <w:p w14:paraId="7918BB09">
      <w:r>
        <w:rPr>
          <w:rFonts w:hint="eastAsia"/>
        </w:rPr>
        <w:t>运维后所属大系统：国家统计业务大系统</w:t>
      </w:r>
    </w:p>
    <w:p w14:paraId="44CC5223">
      <w:pPr>
        <w:pStyle w:val="2"/>
      </w:pPr>
      <w:bookmarkStart w:id="1" w:name="_Toc47539070"/>
      <w:bookmarkEnd w:id="1"/>
      <w:bookmarkStart w:id="2" w:name="_Toc47533256"/>
      <w:bookmarkEnd w:id="2"/>
      <w:bookmarkStart w:id="3" w:name="_Toc47537134"/>
      <w:bookmarkEnd w:id="3"/>
      <w:bookmarkStart w:id="4" w:name="_Toc47531634"/>
      <w:bookmarkEnd w:id="4"/>
      <w:bookmarkStart w:id="5" w:name="_Toc47536272"/>
      <w:bookmarkEnd w:id="5"/>
      <w:bookmarkStart w:id="6" w:name="_Toc47532891"/>
      <w:bookmarkEnd w:id="6"/>
      <w:bookmarkStart w:id="7" w:name="_Toc47532255"/>
      <w:bookmarkEnd w:id="7"/>
      <w:bookmarkStart w:id="8" w:name="_Toc47536644"/>
      <w:bookmarkEnd w:id="8"/>
      <w:bookmarkStart w:id="9" w:name="_Toc48223882"/>
      <w:bookmarkStart w:id="10" w:name="_Toc63785463"/>
      <w:r>
        <w:rPr>
          <w:rFonts w:hint="eastAsia"/>
        </w:rPr>
        <w:t>建设目标</w:t>
      </w:r>
      <w:bookmarkEnd w:id="9"/>
      <w:bookmarkEnd w:id="10"/>
    </w:p>
    <w:p w14:paraId="1178E2A9">
      <w:pPr>
        <w:pStyle w:val="3"/>
      </w:pPr>
      <w:bookmarkStart w:id="11" w:name="_Toc47532923"/>
      <w:bookmarkEnd w:id="11"/>
      <w:bookmarkStart w:id="12" w:name="_Toc47533288"/>
      <w:bookmarkEnd w:id="12"/>
      <w:bookmarkStart w:id="13" w:name="_Toc47536676"/>
      <w:bookmarkEnd w:id="13"/>
      <w:bookmarkStart w:id="14" w:name="_Toc47537166"/>
      <w:bookmarkEnd w:id="14"/>
      <w:bookmarkStart w:id="15" w:name="_Toc47536304"/>
      <w:bookmarkEnd w:id="15"/>
      <w:bookmarkStart w:id="16" w:name="_Toc47539102"/>
      <w:bookmarkEnd w:id="16"/>
      <w:r>
        <w:rPr>
          <w:rFonts w:hint="eastAsia"/>
        </w:rPr>
        <w:t>上海市第四次全国农业普查数据处理子系统（新建）</w:t>
      </w:r>
    </w:p>
    <w:p w14:paraId="6D77EAF2">
      <w:pPr>
        <w:rPr>
          <w:rFonts w:hint="eastAsia"/>
        </w:rPr>
      </w:pPr>
      <w:r>
        <w:rPr>
          <w:rFonts w:hint="eastAsia"/>
        </w:rPr>
        <w:t>建设 “上海市第四次全国农业普查数据处理子系统”，在遵循国家普查标准的基础上，实现与国家统计局的数据交互，包括制度导入解析、数据回流、数据审核汇总等环节，支撑上海市各级统计机构高效地完成本市农业普查数据回流、审核、汇总、分析、共享及资料开发工作，完成对海量农业普查数据的快速处理、汇总、分析和存储。</w:t>
      </w:r>
    </w:p>
    <w:p w14:paraId="06593006">
      <w:pPr>
        <w:pStyle w:val="135"/>
        <w:numPr>
          <w:ilvl w:val="0"/>
          <w:numId w:val="0"/>
        </w:numPr>
        <w:ind w:firstLine="420"/>
      </w:pPr>
      <w:r>
        <w:rPr>
          <w:rFonts w:hint="eastAsia"/>
        </w:rPr>
        <w:t>2</w:t>
      </w:r>
      <w:r>
        <w:t>.1.1</w:t>
      </w:r>
      <w:r>
        <w:rPr>
          <w:rFonts w:hint="eastAsia"/>
        </w:rPr>
        <w:t>应用指标</w:t>
      </w:r>
    </w:p>
    <w:p w14:paraId="3754243A">
      <w:r>
        <w:rPr>
          <w:rFonts w:hint="eastAsia"/>
        </w:rPr>
        <w:t>上海市第四次全国农业普查数据处理子系统需</w:t>
      </w:r>
      <w:r>
        <w:t>满足上海市</w:t>
      </w:r>
      <w:r>
        <w:rPr>
          <w:rFonts w:hint="eastAsia"/>
        </w:rPr>
        <w:t>统计局对农普数据的回流、审核、处理、资料开发、分析展示等业务需求</w:t>
      </w:r>
      <w:r>
        <w:rPr>
          <w:rFonts w:hint="eastAsia"/>
          <w:lang w:eastAsia="zh-CN"/>
        </w:rPr>
        <w:t>，</w:t>
      </w:r>
      <w:r>
        <w:rPr>
          <w:rFonts w:hint="eastAsia"/>
          <w:lang w:val="en-US" w:eastAsia="zh-CN"/>
        </w:rPr>
        <w:t>处理</w:t>
      </w:r>
      <w:r>
        <w:rPr>
          <w:rFonts w:hint="eastAsia"/>
        </w:rPr>
        <w:t>约71万农户、约1500个村级单位、约125个乡级单位、约5700个农业经营单位的数据。支撑统计业务用户约5</w:t>
      </w:r>
      <w:r>
        <w:t>00人</w:t>
      </w:r>
      <w:r>
        <w:rPr>
          <w:rFonts w:hint="eastAsia"/>
        </w:rPr>
        <w:t>。</w:t>
      </w:r>
    </w:p>
    <w:p w14:paraId="1F3EFCC2">
      <w:r>
        <w:rPr>
          <w:rFonts w:hint="eastAsia"/>
        </w:rPr>
        <w:t>系统峰值并发数约4</w:t>
      </w:r>
      <w:r>
        <w:t>00人</w:t>
      </w:r>
      <w:r>
        <w:rPr>
          <w:rFonts w:hint="eastAsia"/>
        </w:rPr>
        <w:t>。</w:t>
      </w:r>
    </w:p>
    <w:p w14:paraId="2B489794">
      <w:pPr>
        <w:rPr>
          <w:rFonts w:hint="eastAsia"/>
        </w:rPr>
      </w:pPr>
      <w:r>
        <w:t>普通文本（含图片）类页面的响应速度要求在</w:t>
      </w:r>
      <w:r>
        <w:rPr>
          <w:rFonts w:hint="eastAsia"/>
        </w:rPr>
        <w:t>5</w:t>
      </w:r>
      <w:r>
        <w:t>秒级，</w:t>
      </w:r>
      <w:r>
        <w:rPr>
          <w:rFonts w:hint="eastAsia"/>
        </w:rPr>
        <w:t>底册处理、农普两员管理、数据查询</w:t>
      </w:r>
      <w:r>
        <w:t>类的页面的响应速度在3秒级，</w:t>
      </w:r>
      <w:r>
        <w:rPr>
          <w:rFonts w:hint="eastAsia"/>
        </w:rPr>
        <w:t>综合数据</w:t>
      </w:r>
      <w:r>
        <w:t>管理、处理类页面的响应时间1</w:t>
      </w:r>
      <w:r>
        <w:rPr>
          <w:rFonts w:hint="eastAsia"/>
        </w:rPr>
        <w:t>0秒</w:t>
      </w:r>
      <w:r>
        <w:t>级。</w:t>
      </w:r>
    </w:p>
    <w:p w14:paraId="34BCFCE2">
      <w:pPr>
        <w:pStyle w:val="135"/>
        <w:numPr>
          <w:ilvl w:val="0"/>
          <w:numId w:val="0"/>
        </w:numPr>
        <w:ind w:firstLine="420"/>
        <w:rPr>
          <w:rFonts w:hint="eastAsia"/>
        </w:rPr>
      </w:pPr>
      <w:r>
        <w:rPr>
          <w:rFonts w:hint="eastAsia"/>
        </w:rPr>
        <w:t>2</w:t>
      </w:r>
      <w:r>
        <w:t>.1.2</w:t>
      </w:r>
      <w:r>
        <w:rPr>
          <w:rFonts w:hint="eastAsia"/>
        </w:rPr>
        <w:t>业务绩效目标</w:t>
      </w:r>
    </w:p>
    <w:p w14:paraId="0C7301DD">
      <w:pPr>
        <w:rPr>
          <w:rFonts w:hint="eastAsia" w:eastAsia="宋体"/>
          <w:lang w:val="en-US" w:eastAsia="zh-CN"/>
        </w:rPr>
      </w:pPr>
      <w:r>
        <w:rPr>
          <w:rFonts w:hint="eastAsia"/>
        </w:rPr>
        <w:t>农业普查两员管理比例</w:t>
      </w:r>
      <w:r>
        <w:rPr>
          <w:rFonts w:hint="eastAsia"/>
          <w:lang w:val="en-US" w:eastAsia="zh-CN"/>
        </w:rPr>
        <w:t>100%，</w:t>
      </w:r>
      <w:r>
        <w:rPr>
          <w:rFonts w:hint="eastAsia"/>
        </w:rPr>
        <w:t>准时获取准确回流数据</w:t>
      </w:r>
      <w:r>
        <w:rPr>
          <w:rFonts w:hint="eastAsia"/>
          <w:lang w:eastAsia="zh-CN"/>
        </w:rPr>
        <w:t>，</w:t>
      </w:r>
      <w:r>
        <w:rPr>
          <w:rFonts w:hint="eastAsia"/>
        </w:rPr>
        <w:t>底册支持全部普查区</w:t>
      </w:r>
      <w:r>
        <w:rPr>
          <w:rFonts w:hint="eastAsia"/>
          <w:lang w:eastAsia="zh-CN"/>
        </w:rPr>
        <w:t>，</w:t>
      </w:r>
      <w:r>
        <w:rPr>
          <w:rFonts w:hint="eastAsia"/>
        </w:rPr>
        <w:t>梳理不少于</w:t>
      </w:r>
      <w:r>
        <w:t>500个四农普指标元数据</w:t>
      </w:r>
      <w:r>
        <w:rPr>
          <w:rFonts w:hint="eastAsia"/>
          <w:lang w:eastAsia="zh-CN"/>
        </w:rPr>
        <w:t>，</w:t>
      </w:r>
      <w:r>
        <w:rPr>
          <w:rFonts w:hint="eastAsia"/>
        </w:rPr>
        <w:t>梳理迁移第三次全国农业普查数据1</w:t>
      </w:r>
      <w:r>
        <w:t>000万条</w:t>
      </w:r>
      <w:r>
        <w:rPr>
          <w:rFonts w:hint="eastAsia"/>
          <w:lang w:eastAsia="zh-CN"/>
        </w:rPr>
        <w:t>。</w:t>
      </w:r>
    </w:p>
    <w:p w14:paraId="4EA47B8B">
      <w:pPr>
        <w:pStyle w:val="135"/>
        <w:numPr>
          <w:ilvl w:val="0"/>
          <w:numId w:val="0"/>
        </w:numPr>
        <w:ind w:firstLine="420"/>
        <w:rPr>
          <w:rFonts w:hint="eastAsia"/>
        </w:rPr>
      </w:pPr>
      <w:r>
        <w:rPr>
          <w:rFonts w:hint="eastAsia"/>
        </w:rPr>
        <w:t>2</w:t>
      </w:r>
      <w:r>
        <w:t>.1.3</w:t>
      </w:r>
      <w:r>
        <w:rPr>
          <w:rFonts w:hint="eastAsia"/>
        </w:rPr>
        <w:t>技术绩效目标</w:t>
      </w:r>
    </w:p>
    <w:p w14:paraId="296270B6">
      <w:pPr>
        <w:pStyle w:val="136"/>
        <w:numPr>
          <w:ilvl w:val="0"/>
          <w:numId w:val="5"/>
        </w:numPr>
        <w:ind w:firstLineChars="0"/>
        <w:rPr>
          <w:rFonts w:ascii="宋体" w:hAnsi="宋体" w:eastAsia="宋体"/>
          <w:sz w:val="24"/>
          <w:szCs w:val="24"/>
        </w:rPr>
      </w:pPr>
      <w:r>
        <w:rPr>
          <w:rFonts w:hint="eastAsia" w:ascii="宋体" w:hAnsi="宋体" w:eastAsia="宋体"/>
          <w:sz w:val="24"/>
          <w:szCs w:val="24"/>
        </w:rPr>
        <w:t>软件开发完成率100%</w:t>
      </w:r>
      <w:r>
        <w:rPr>
          <w:rFonts w:hint="eastAsia" w:ascii="宋体" w:hAnsi="宋体" w:eastAsia="宋体"/>
          <w:sz w:val="24"/>
          <w:szCs w:val="24"/>
          <w:lang w:eastAsia="zh-CN"/>
        </w:rPr>
        <w:t>；</w:t>
      </w:r>
    </w:p>
    <w:p w14:paraId="217A85EE">
      <w:pPr>
        <w:pStyle w:val="136"/>
        <w:numPr>
          <w:ilvl w:val="0"/>
          <w:numId w:val="5"/>
        </w:numPr>
        <w:ind w:firstLineChars="0"/>
        <w:rPr>
          <w:rFonts w:ascii="宋体" w:hAnsi="宋体" w:eastAsia="宋体"/>
          <w:sz w:val="24"/>
          <w:szCs w:val="24"/>
        </w:rPr>
      </w:pPr>
      <w:r>
        <w:rPr>
          <w:rFonts w:hint="eastAsia" w:ascii="宋体" w:hAnsi="宋体" w:eastAsia="宋体"/>
          <w:sz w:val="24"/>
          <w:szCs w:val="24"/>
        </w:rPr>
        <w:t>系统可靠性100%</w:t>
      </w:r>
      <w:r>
        <w:rPr>
          <w:rFonts w:hint="eastAsia" w:ascii="宋体" w:hAnsi="宋体" w:eastAsia="宋体"/>
          <w:sz w:val="24"/>
          <w:szCs w:val="24"/>
          <w:lang w:eastAsia="zh-CN"/>
        </w:rPr>
        <w:t>；</w:t>
      </w:r>
    </w:p>
    <w:p w14:paraId="02ACF4F2">
      <w:pPr>
        <w:pStyle w:val="136"/>
        <w:numPr>
          <w:ilvl w:val="0"/>
          <w:numId w:val="5"/>
        </w:numPr>
        <w:ind w:firstLineChars="0"/>
        <w:rPr>
          <w:rFonts w:ascii="宋体" w:hAnsi="宋体" w:eastAsia="宋体"/>
          <w:sz w:val="24"/>
          <w:szCs w:val="24"/>
        </w:rPr>
      </w:pPr>
      <w:r>
        <w:rPr>
          <w:rFonts w:hint="eastAsia" w:ascii="宋体" w:hAnsi="宋体" w:eastAsia="宋体"/>
          <w:sz w:val="24"/>
          <w:szCs w:val="24"/>
        </w:rPr>
        <w:t>软件测试达标</w:t>
      </w:r>
      <w:r>
        <w:rPr>
          <w:rFonts w:hint="eastAsia" w:ascii="宋体" w:hAnsi="宋体" w:eastAsia="宋体"/>
          <w:sz w:val="24"/>
          <w:szCs w:val="24"/>
          <w:lang w:eastAsia="zh-CN"/>
        </w:rPr>
        <w:t>；</w:t>
      </w:r>
    </w:p>
    <w:p w14:paraId="56A431A4">
      <w:pPr>
        <w:pStyle w:val="136"/>
        <w:numPr>
          <w:ilvl w:val="0"/>
          <w:numId w:val="5"/>
        </w:numPr>
        <w:ind w:firstLineChars="0"/>
        <w:rPr>
          <w:rFonts w:ascii="宋体" w:hAnsi="宋体" w:eastAsia="宋体"/>
          <w:sz w:val="24"/>
          <w:szCs w:val="24"/>
        </w:rPr>
      </w:pPr>
      <w:r>
        <w:rPr>
          <w:rFonts w:hint="eastAsia" w:ascii="宋体" w:hAnsi="宋体" w:eastAsia="宋体"/>
          <w:sz w:val="24"/>
          <w:szCs w:val="24"/>
        </w:rPr>
        <w:t>密码测试达标</w:t>
      </w:r>
      <w:r>
        <w:rPr>
          <w:rFonts w:hint="eastAsia" w:ascii="宋体" w:hAnsi="宋体" w:eastAsia="宋体"/>
          <w:sz w:val="24"/>
          <w:szCs w:val="24"/>
          <w:lang w:eastAsia="zh-CN"/>
        </w:rPr>
        <w:t>；</w:t>
      </w:r>
    </w:p>
    <w:p w14:paraId="6A4810E1">
      <w:pPr>
        <w:pStyle w:val="136"/>
        <w:numPr>
          <w:ilvl w:val="0"/>
          <w:numId w:val="5"/>
        </w:numPr>
        <w:ind w:firstLineChars="0"/>
        <w:rPr>
          <w:rFonts w:ascii="宋体" w:hAnsi="宋体" w:eastAsia="宋体"/>
          <w:sz w:val="24"/>
          <w:szCs w:val="24"/>
        </w:rPr>
      </w:pPr>
      <w:r>
        <w:rPr>
          <w:rFonts w:hint="eastAsia" w:ascii="宋体" w:hAnsi="宋体" w:eastAsia="宋体"/>
          <w:sz w:val="24"/>
          <w:szCs w:val="24"/>
        </w:rPr>
        <w:t>安全测试达标</w:t>
      </w:r>
      <w:r>
        <w:rPr>
          <w:rFonts w:hint="eastAsia" w:ascii="宋体" w:hAnsi="宋体" w:eastAsia="宋体"/>
          <w:sz w:val="24"/>
          <w:szCs w:val="24"/>
          <w:lang w:eastAsia="zh-CN"/>
        </w:rPr>
        <w:t>。</w:t>
      </w:r>
    </w:p>
    <w:p w14:paraId="58104ECB">
      <w:pPr>
        <w:rPr>
          <w:rFonts w:hint="eastAsia"/>
        </w:rPr>
      </w:pPr>
    </w:p>
    <w:p w14:paraId="7C1B2DEC">
      <w:pPr>
        <w:pStyle w:val="3"/>
      </w:pPr>
      <w:r>
        <w:rPr>
          <w:rFonts w:hint="eastAsia"/>
        </w:rPr>
        <w:t>统计一套表网报管理系统项目(升级改造)</w:t>
      </w:r>
    </w:p>
    <w:p w14:paraId="0F465B16">
      <w:pPr>
        <w:pStyle w:val="135"/>
        <w:numPr>
          <w:ilvl w:val="-1"/>
          <w:numId w:val="0"/>
        </w:numPr>
        <w:ind w:left="0" w:firstLine="420"/>
      </w:pPr>
      <w:r>
        <w:rPr>
          <w:rFonts w:hint="eastAsia"/>
          <w:lang w:val="en-US" w:eastAsia="zh-CN"/>
        </w:rPr>
        <w:t xml:space="preserve">2.2.1 </w:t>
      </w:r>
      <w:r>
        <w:rPr>
          <w:rFonts w:hint="eastAsia"/>
        </w:rPr>
        <w:t>统计云工程上海联网直报节点子系统（升级改造）</w:t>
      </w:r>
    </w:p>
    <w:p w14:paraId="648B066D">
      <w:pPr>
        <w:pStyle w:val="61"/>
        <w:numPr>
          <w:ilvl w:val="3"/>
          <w:numId w:val="3"/>
        </w:numPr>
        <w:spacing w:line="560" w:lineRule="exact"/>
        <w:ind w:firstLineChars="0"/>
        <w:rPr>
          <w:rFonts w:ascii="宋体" w:hAnsi="宋体"/>
          <w:b/>
          <w:bCs/>
          <w:sz w:val="24"/>
        </w:rPr>
      </w:pPr>
      <w:r>
        <w:rPr>
          <w:rFonts w:hint="eastAsia"/>
          <w:b/>
          <w:bCs/>
          <w:sz w:val="24"/>
        </w:rPr>
        <w:t>上海市统计数据移动采集子系统（新建）</w:t>
      </w:r>
    </w:p>
    <w:p w14:paraId="448268F0">
      <w:r>
        <w:rPr>
          <w:rFonts w:hint="eastAsia"/>
        </w:rPr>
        <w:t>上海市统计数据移动采集系统具体目标如下：</w:t>
      </w:r>
    </w:p>
    <w:p w14:paraId="1009A84B">
      <w:pPr>
        <w:rPr>
          <w:rFonts w:hint="eastAsia"/>
        </w:rPr>
      </w:pPr>
      <w:r>
        <w:rPr>
          <w:rFonts w:hint="eastAsia"/>
        </w:rPr>
        <w:t>与上海市统计云联网直报系统无缝对接，企业可通过统计云平台自主填报、统计员使用移动终端（PAD/手机）上门采集；统计对象从“四上”企业（规模以上工业企业、资质内建筑业企业、限额以上批零住餐企业、规模以上服务业企业）向中小微企业、个体户延伸；集成实时数据校验功能和异常值预警功能，确保统计数据真实、准确、完整；通过移动APP扫描个体户的电子营业执照二维码，自动获取登记信息并完成行业智能赋码，降低了填报门槛，提升数据采集效率。实现数据填报即时纠错和全流程可追溯。</w:t>
      </w:r>
    </w:p>
    <w:p w14:paraId="5DEB86DF">
      <w:pPr>
        <w:pStyle w:val="61"/>
        <w:spacing w:line="560" w:lineRule="exact"/>
        <w:ind w:left="567" w:firstLine="0" w:firstLineChars="0"/>
        <w:rPr>
          <w:b/>
          <w:bCs/>
          <w:sz w:val="24"/>
        </w:rPr>
      </w:pPr>
      <w:r>
        <w:rPr>
          <w:rFonts w:hint="eastAsia"/>
          <w:b/>
          <w:bCs/>
          <w:sz w:val="24"/>
        </w:rPr>
        <w:t>2</w:t>
      </w:r>
      <w:r>
        <w:rPr>
          <w:b/>
          <w:bCs/>
          <w:sz w:val="24"/>
        </w:rPr>
        <w:t>.2.1.1.1</w:t>
      </w:r>
      <w:r>
        <w:rPr>
          <w:rFonts w:hint="eastAsia"/>
          <w:b/>
          <w:bCs/>
          <w:sz w:val="24"/>
        </w:rPr>
        <w:t>应用指标</w:t>
      </w:r>
    </w:p>
    <w:p w14:paraId="28AD2709">
      <w:pPr>
        <w:rPr>
          <w:rFonts w:hint="eastAsia"/>
          <w:b/>
          <w:bCs/>
        </w:rPr>
      </w:pPr>
      <w:r>
        <w:t>高峰时段最大并发用户数为5.1万家</w:t>
      </w:r>
      <w:r>
        <w:rPr>
          <w:rFonts w:hint="eastAsia"/>
          <w:lang w:eastAsia="zh-CN"/>
        </w:rPr>
        <w:t>，</w:t>
      </w:r>
      <w:r>
        <w:rPr>
          <w:rFonts w:hint="eastAsia"/>
        </w:rPr>
        <w:t>系统平均响应时间小于</w:t>
      </w:r>
      <w:r>
        <w:t>1秒，100个用户并发访问服务处理平均响应时间（峰值响应时间）小于2秒。</w:t>
      </w:r>
    </w:p>
    <w:p w14:paraId="0013C6BB">
      <w:pPr>
        <w:pStyle w:val="61"/>
        <w:spacing w:line="560" w:lineRule="exact"/>
        <w:ind w:left="426" w:firstLine="139" w:firstLineChars="58"/>
        <w:rPr>
          <w:rFonts w:hint="eastAsia"/>
          <w:b/>
          <w:bCs/>
          <w:sz w:val="24"/>
        </w:rPr>
      </w:pPr>
      <w:r>
        <w:rPr>
          <w:rFonts w:hint="eastAsia"/>
          <w:b/>
          <w:bCs/>
          <w:sz w:val="24"/>
        </w:rPr>
        <w:t>2</w:t>
      </w:r>
      <w:r>
        <w:rPr>
          <w:b/>
          <w:bCs/>
          <w:sz w:val="24"/>
        </w:rPr>
        <w:t>.2.1.1.2</w:t>
      </w:r>
      <w:r>
        <w:rPr>
          <w:rFonts w:hint="eastAsia"/>
          <w:b/>
          <w:bCs/>
          <w:sz w:val="24"/>
        </w:rPr>
        <w:t>业务绩效目标</w:t>
      </w:r>
    </w:p>
    <w:p w14:paraId="55BC4A7A">
      <w:pPr>
        <w:rPr>
          <w:rFonts w:hint="default"/>
        </w:rPr>
      </w:pPr>
      <w:r>
        <w:rPr>
          <w:rFonts w:hint="eastAsia"/>
        </w:rPr>
        <w:t>能</w:t>
      </w:r>
      <w:r>
        <w:t>适配大部分的安卓设备（API</w:t>
      </w:r>
      <w:r>
        <w:rPr>
          <w:rFonts w:hint="eastAsia"/>
          <w:lang w:val="en-US" w:eastAsia="zh-CN"/>
        </w:rPr>
        <w:t xml:space="preserve"> </w:t>
      </w:r>
      <w:r>
        <w:t>Level</w:t>
      </w:r>
      <w:r>
        <w:rPr>
          <w:rFonts w:hint="eastAsia"/>
          <w:lang w:val="en-US" w:eastAsia="zh-CN"/>
        </w:rPr>
        <w:t xml:space="preserve"> </w:t>
      </w:r>
      <w:r>
        <w:t>16+），保障老旧机型流畅运行</w:t>
      </w:r>
      <w:r>
        <w:rPr>
          <w:rFonts w:hint="eastAsia"/>
        </w:rPr>
        <w:t>。计划通过系统</w:t>
      </w:r>
      <w:r>
        <w:rPr>
          <w:rFonts w:hint="default"/>
          <w:lang w:val="en-US" w:eastAsia="zh-CN"/>
        </w:rPr>
        <w:t>进行</w:t>
      </w:r>
      <w:r>
        <w:rPr>
          <w:rFonts w:hint="eastAsia"/>
        </w:rPr>
        <w:t>移动数据采集的调查任务</w:t>
      </w:r>
      <w:r>
        <w:rPr>
          <w:rFonts w:hint="default"/>
          <w:lang w:val="en-US" w:eastAsia="zh-CN"/>
        </w:rPr>
        <w:t>100%能支持。</w:t>
      </w:r>
    </w:p>
    <w:p w14:paraId="3E890226">
      <w:pPr>
        <w:pStyle w:val="61"/>
        <w:spacing w:line="560" w:lineRule="exact"/>
        <w:ind w:left="709" w:firstLine="0" w:firstLineChars="0"/>
        <w:rPr>
          <w:rFonts w:hint="eastAsia"/>
          <w:b/>
          <w:bCs/>
          <w:sz w:val="24"/>
        </w:rPr>
      </w:pPr>
      <w:r>
        <w:rPr>
          <w:rFonts w:hint="eastAsia"/>
          <w:b/>
          <w:bCs/>
          <w:sz w:val="24"/>
        </w:rPr>
        <w:t>2</w:t>
      </w:r>
      <w:r>
        <w:rPr>
          <w:b/>
          <w:bCs/>
          <w:sz w:val="24"/>
        </w:rPr>
        <w:t>.2.1.1.3</w:t>
      </w:r>
      <w:r>
        <w:rPr>
          <w:rFonts w:hint="eastAsia"/>
          <w:b/>
          <w:bCs/>
          <w:sz w:val="24"/>
        </w:rPr>
        <w:t>技术绩效目标</w:t>
      </w:r>
    </w:p>
    <w:p w14:paraId="28E18833">
      <w:pPr>
        <w:tabs>
          <w:tab w:val="left" w:pos="420"/>
        </w:tabs>
        <w:ind w:firstLineChars="0"/>
        <w:rPr>
          <w:rFonts w:hint="eastAsia" w:ascii="宋体" w:hAnsi="宋体" w:eastAsia="宋体"/>
          <w:sz w:val="24"/>
          <w:szCs w:val="24"/>
          <w:lang w:eastAsia="zh-CN"/>
        </w:rPr>
      </w:pPr>
      <w:r>
        <w:rPr>
          <w:rFonts w:hint="default" w:ascii="宋体" w:hAnsi="宋体" w:eastAsia="宋体"/>
          <w:sz w:val="24"/>
          <w:szCs w:val="24"/>
        </w:rPr>
        <w:t>软件开发完成率100%</w:t>
      </w:r>
      <w:r>
        <w:rPr>
          <w:rFonts w:hint="eastAsia" w:ascii="宋体" w:hAnsi="宋体" w:eastAsia="宋体"/>
          <w:sz w:val="24"/>
          <w:szCs w:val="24"/>
          <w:lang w:eastAsia="zh-CN"/>
        </w:rPr>
        <w:t>；</w:t>
      </w:r>
    </w:p>
    <w:p w14:paraId="371285AB">
      <w:pPr>
        <w:tabs>
          <w:tab w:val="left" w:pos="420"/>
        </w:tabs>
        <w:ind w:firstLineChars="0"/>
        <w:rPr>
          <w:rFonts w:hint="eastAsia" w:ascii="宋体" w:hAnsi="宋体" w:eastAsia="宋体"/>
          <w:sz w:val="24"/>
          <w:szCs w:val="24"/>
          <w:lang w:eastAsia="zh-CN"/>
        </w:rPr>
      </w:pPr>
      <w:r>
        <w:rPr>
          <w:rFonts w:hint="default" w:ascii="宋体" w:hAnsi="宋体" w:eastAsia="宋体"/>
          <w:sz w:val="24"/>
          <w:szCs w:val="24"/>
        </w:rPr>
        <w:t>系统可靠性100%</w:t>
      </w:r>
      <w:r>
        <w:rPr>
          <w:rFonts w:hint="eastAsia" w:ascii="宋体" w:hAnsi="宋体" w:eastAsia="宋体"/>
          <w:sz w:val="24"/>
          <w:szCs w:val="24"/>
          <w:lang w:eastAsia="zh-CN"/>
        </w:rPr>
        <w:t>；</w:t>
      </w:r>
    </w:p>
    <w:p w14:paraId="21B52C99">
      <w:pPr>
        <w:tabs>
          <w:tab w:val="left" w:pos="420"/>
        </w:tabs>
        <w:ind w:firstLineChars="0"/>
        <w:rPr>
          <w:rFonts w:hint="eastAsia" w:ascii="宋体" w:hAnsi="宋体" w:eastAsia="宋体"/>
          <w:sz w:val="24"/>
          <w:szCs w:val="24"/>
          <w:lang w:eastAsia="zh-CN"/>
        </w:rPr>
      </w:pPr>
      <w:r>
        <w:rPr>
          <w:rFonts w:hint="default" w:ascii="宋体" w:hAnsi="宋体" w:eastAsia="宋体"/>
          <w:sz w:val="24"/>
          <w:szCs w:val="24"/>
        </w:rPr>
        <w:t>软件测试达标</w:t>
      </w:r>
      <w:r>
        <w:rPr>
          <w:rFonts w:hint="eastAsia" w:ascii="宋体" w:hAnsi="宋体" w:eastAsia="宋体"/>
          <w:sz w:val="24"/>
          <w:szCs w:val="24"/>
          <w:lang w:eastAsia="zh-CN"/>
        </w:rPr>
        <w:t>；</w:t>
      </w:r>
    </w:p>
    <w:p w14:paraId="4A7E4A4C">
      <w:pPr>
        <w:tabs>
          <w:tab w:val="left" w:pos="420"/>
        </w:tabs>
        <w:ind w:firstLineChars="0"/>
        <w:rPr>
          <w:rFonts w:hint="eastAsia" w:ascii="宋体" w:hAnsi="宋体" w:eastAsia="宋体"/>
          <w:sz w:val="24"/>
          <w:szCs w:val="24"/>
          <w:lang w:eastAsia="zh-CN"/>
        </w:rPr>
      </w:pPr>
      <w:r>
        <w:rPr>
          <w:rFonts w:hint="default" w:ascii="宋体" w:hAnsi="宋体" w:eastAsia="宋体"/>
          <w:sz w:val="24"/>
          <w:szCs w:val="24"/>
        </w:rPr>
        <w:t>密码测试达标</w:t>
      </w:r>
      <w:r>
        <w:rPr>
          <w:rFonts w:hint="eastAsia" w:ascii="宋体" w:hAnsi="宋体" w:eastAsia="宋体"/>
          <w:sz w:val="24"/>
          <w:szCs w:val="24"/>
          <w:lang w:eastAsia="zh-CN"/>
        </w:rPr>
        <w:t>；</w:t>
      </w:r>
    </w:p>
    <w:p w14:paraId="2A2A8F1B">
      <w:pPr>
        <w:ind w:firstLine="420" w:firstLineChars="0"/>
        <w:rPr>
          <w:rFonts w:hint="eastAsia"/>
        </w:rPr>
      </w:pPr>
      <w:r>
        <w:rPr>
          <w:rFonts w:hint="default" w:ascii="宋体" w:hAnsi="宋体" w:eastAsia="宋体"/>
          <w:sz w:val="24"/>
          <w:szCs w:val="24"/>
        </w:rPr>
        <w:t>安全测试达标</w:t>
      </w:r>
      <w:r>
        <w:rPr>
          <w:rFonts w:hint="eastAsia"/>
          <w:sz w:val="24"/>
          <w:szCs w:val="24"/>
          <w:lang w:eastAsia="zh-CN"/>
        </w:rPr>
        <w:t>。</w:t>
      </w:r>
    </w:p>
    <w:p w14:paraId="5D8A023C">
      <w:pPr>
        <w:pStyle w:val="61"/>
        <w:numPr>
          <w:ilvl w:val="3"/>
          <w:numId w:val="3"/>
        </w:numPr>
        <w:spacing w:line="560" w:lineRule="exact"/>
        <w:ind w:firstLineChars="0"/>
        <w:rPr>
          <w:b/>
          <w:bCs/>
          <w:sz w:val="24"/>
        </w:rPr>
      </w:pPr>
      <w:r>
        <w:rPr>
          <w:rFonts w:hint="eastAsia"/>
          <w:b/>
          <w:bCs/>
          <w:sz w:val="24"/>
        </w:rPr>
        <w:t>上海市统计局数据共享子系统（新建）</w:t>
      </w:r>
    </w:p>
    <w:p w14:paraId="288CBA37">
      <w:pPr>
        <w:rPr>
          <w:rFonts w:hint="eastAsia"/>
        </w:rPr>
      </w:pPr>
      <w:r>
        <w:rPr>
          <w:rFonts w:hint="eastAsia"/>
        </w:rPr>
        <w:t>建设数据共享子系统，实现面向上海市区级统计机关的数据共享。构建一个安全可靠、灵活扩展的数据共享平台，满足统计机关组织的跨层级数据共享需求，实现数据价值的最大化利用。</w:t>
      </w:r>
    </w:p>
    <w:p w14:paraId="12DC53D7">
      <w:pPr>
        <w:pStyle w:val="61"/>
        <w:spacing w:line="560" w:lineRule="exact"/>
        <w:ind w:left="707" w:leftChars="254" w:hanging="98" w:hangingChars="41"/>
        <w:rPr>
          <w:b/>
          <w:bCs/>
          <w:sz w:val="24"/>
        </w:rPr>
      </w:pPr>
      <w:r>
        <w:rPr>
          <w:rFonts w:hint="eastAsia"/>
          <w:b/>
          <w:bCs/>
          <w:sz w:val="24"/>
        </w:rPr>
        <w:t>2</w:t>
      </w:r>
      <w:r>
        <w:rPr>
          <w:b/>
          <w:bCs/>
          <w:sz w:val="24"/>
        </w:rPr>
        <w:t>.2.1.2.1</w:t>
      </w:r>
      <w:r>
        <w:rPr>
          <w:rFonts w:hint="eastAsia"/>
          <w:b/>
          <w:bCs/>
          <w:sz w:val="24"/>
        </w:rPr>
        <w:t>应用指标</w:t>
      </w:r>
    </w:p>
    <w:p w14:paraId="4595C33A">
      <w:pPr>
        <w:rPr>
          <w:rFonts w:hint="eastAsia"/>
        </w:rPr>
      </w:pPr>
      <w:r>
        <w:rPr>
          <w:rFonts w:hint="eastAsia"/>
        </w:rPr>
        <w:t>具备7×24小时的连续运行能力</w:t>
      </w:r>
      <w:r>
        <w:rPr>
          <w:rFonts w:hint="eastAsia"/>
          <w:lang w:eastAsia="zh-CN"/>
        </w:rPr>
        <w:t>。</w:t>
      </w:r>
      <w:r>
        <w:rPr>
          <w:rFonts w:hint="eastAsia"/>
        </w:rPr>
        <w:t>软件版本升级不影响数据同步正常开展。</w:t>
      </w:r>
    </w:p>
    <w:p w14:paraId="29890B3D">
      <w:pPr>
        <w:pStyle w:val="61"/>
        <w:spacing w:line="560" w:lineRule="exact"/>
        <w:ind w:left="707" w:leftChars="254" w:hanging="98" w:hangingChars="41"/>
        <w:rPr>
          <w:rFonts w:hint="eastAsia"/>
          <w:b/>
          <w:bCs/>
          <w:sz w:val="24"/>
        </w:rPr>
      </w:pPr>
      <w:r>
        <w:rPr>
          <w:rFonts w:hint="eastAsia"/>
          <w:b/>
          <w:bCs/>
          <w:sz w:val="24"/>
        </w:rPr>
        <w:t>2</w:t>
      </w:r>
      <w:r>
        <w:rPr>
          <w:b/>
          <w:bCs/>
          <w:sz w:val="24"/>
        </w:rPr>
        <w:t>.2.1.2.2</w:t>
      </w:r>
      <w:r>
        <w:rPr>
          <w:rFonts w:hint="eastAsia"/>
          <w:b/>
          <w:bCs/>
          <w:sz w:val="24"/>
        </w:rPr>
        <w:t>业务绩效目标</w:t>
      </w:r>
    </w:p>
    <w:p w14:paraId="457AF3F7">
      <w:pPr>
        <w:pStyle w:val="61"/>
        <w:spacing w:line="560" w:lineRule="exact"/>
        <w:ind w:left="0" w:leftChars="0" w:firstLine="420" w:firstLineChars="0"/>
        <w:rPr>
          <w:rFonts w:hint="eastAsia" w:ascii="宋体" w:hAnsi="宋体"/>
          <w:b w:val="0"/>
          <w:bCs w:val="0"/>
          <w:sz w:val="24"/>
        </w:rPr>
      </w:pPr>
      <w:r>
        <w:rPr>
          <w:rFonts w:hint="eastAsia" w:ascii="宋体" w:hAnsi="宋体"/>
          <w:sz w:val="24"/>
        </w:rPr>
        <w:t>支持市统计局数据管理节点同时与16个区统计节点的数据同步</w:t>
      </w:r>
      <w:r>
        <w:rPr>
          <w:rFonts w:hint="eastAsia" w:ascii="宋体" w:hAnsi="宋体"/>
          <w:sz w:val="24"/>
          <w:lang w:eastAsia="zh-CN"/>
        </w:rPr>
        <w:t>。</w:t>
      </w:r>
    </w:p>
    <w:p w14:paraId="2ECD3E50">
      <w:pPr>
        <w:pStyle w:val="61"/>
        <w:spacing w:line="560" w:lineRule="exact"/>
        <w:ind w:left="707" w:leftChars="254" w:hanging="98" w:hangingChars="41"/>
        <w:rPr>
          <w:rFonts w:hint="eastAsia"/>
          <w:b/>
          <w:bCs/>
          <w:sz w:val="24"/>
        </w:rPr>
      </w:pPr>
      <w:r>
        <w:rPr>
          <w:rFonts w:hint="eastAsia"/>
          <w:b/>
          <w:bCs/>
          <w:sz w:val="24"/>
        </w:rPr>
        <w:t>2</w:t>
      </w:r>
      <w:r>
        <w:rPr>
          <w:b/>
          <w:bCs/>
          <w:sz w:val="24"/>
        </w:rPr>
        <w:t>.2.1.2.3</w:t>
      </w:r>
      <w:r>
        <w:rPr>
          <w:rFonts w:hint="eastAsia"/>
          <w:b/>
          <w:bCs/>
          <w:sz w:val="24"/>
        </w:rPr>
        <w:t>技术绩效目标</w:t>
      </w:r>
    </w:p>
    <w:p w14:paraId="7DDB7F20">
      <w:pPr>
        <w:tabs>
          <w:tab w:val="left" w:pos="420"/>
        </w:tabs>
        <w:ind w:firstLineChars="0"/>
        <w:rPr>
          <w:rFonts w:hint="eastAsia" w:ascii="宋体" w:hAnsi="宋体" w:eastAsia="宋体"/>
          <w:sz w:val="24"/>
          <w:szCs w:val="24"/>
          <w:lang w:eastAsia="zh-CN"/>
        </w:rPr>
      </w:pPr>
      <w:r>
        <w:rPr>
          <w:rFonts w:hint="default" w:ascii="宋体" w:hAnsi="宋体" w:eastAsia="宋体"/>
          <w:sz w:val="24"/>
          <w:szCs w:val="24"/>
        </w:rPr>
        <w:t>软件开发完成率100%</w:t>
      </w:r>
      <w:r>
        <w:rPr>
          <w:rFonts w:hint="eastAsia" w:ascii="宋体" w:hAnsi="宋体" w:eastAsia="宋体"/>
          <w:sz w:val="24"/>
          <w:szCs w:val="24"/>
          <w:lang w:eastAsia="zh-CN"/>
        </w:rPr>
        <w:t>；</w:t>
      </w:r>
    </w:p>
    <w:p w14:paraId="7249BC48">
      <w:pPr>
        <w:tabs>
          <w:tab w:val="left" w:pos="420"/>
        </w:tabs>
        <w:ind w:firstLineChars="0"/>
        <w:rPr>
          <w:rFonts w:hint="eastAsia" w:ascii="宋体" w:hAnsi="宋体" w:eastAsia="宋体"/>
          <w:sz w:val="24"/>
          <w:szCs w:val="24"/>
          <w:lang w:eastAsia="zh-CN"/>
        </w:rPr>
      </w:pPr>
      <w:r>
        <w:rPr>
          <w:rFonts w:hint="default" w:ascii="宋体" w:hAnsi="宋体" w:eastAsia="宋体"/>
          <w:sz w:val="24"/>
          <w:szCs w:val="24"/>
        </w:rPr>
        <w:t>系统可靠性100%</w:t>
      </w:r>
      <w:r>
        <w:rPr>
          <w:rFonts w:hint="eastAsia" w:ascii="宋体" w:hAnsi="宋体" w:eastAsia="宋体"/>
          <w:sz w:val="24"/>
          <w:szCs w:val="24"/>
          <w:lang w:eastAsia="zh-CN"/>
        </w:rPr>
        <w:t>；</w:t>
      </w:r>
    </w:p>
    <w:p w14:paraId="00170F46">
      <w:pPr>
        <w:tabs>
          <w:tab w:val="left" w:pos="420"/>
        </w:tabs>
        <w:ind w:firstLineChars="0"/>
        <w:rPr>
          <w:rFonts w:hint="eastAsia" w:ascii="宋体" w:hAnsi="宋体" w:eastAsia="宋体"/>
          <w:sz w:val="24"/>
          <w:szCs w:val="24"/>
          <w:lang w:eastAsia="zh-CN"/>
        </w:rPr>
      </w:pPr>
      <w:r>
        <w:rPr>
          <w:rFonts w:hint="default" w:ascii="宋体" w:hAnsi="宋体" w:eastAsia="宋体"/>
          <w:sz w:val="24"/>
          <w:szCs w:val="24"/>
        </w:rPr>
        <w:t>软件测试达标</w:t>
      </w:r>
      <w:r>
        <w:rPr>
          <w:rFonts w:hint="eastAsia" w:ascii="宋体" w:hAnsi="宋体" w:eastAsia="宋体"/>
          <w:sz w:val="24"/>
          <w:szCs w:val="24"/>
          <w:lang w:eastAsia="zh-CN"/>
        </w:rPr>
        <w:t>；</w:t>
      </w:r>
    </w:p>
    <w:p w14:paraId="57C0D647">
      <w:pPr>
        <w:tabs>
          <w:tab w:val="left" w:pos="420"/>
        </w:tabs>
        <w:ind w:firstLineChars="0"/>
        <w:rPr>
          <w:rFonts w:hint="eastAsia" w:ascii="宋体" w:hAnsi="宋体" w:eastAsia="宋体"/>
          <w:sz w:val="24"/>
          <w:szCs w:val="24"/>
          <w:lang w:eastAsia="zh-CN"/>
        </w:rPr>
      </w:pPr>
      <w:r>
        <w:rPr>
          <w:rFonts w:hint="default" w:ascii="宋体" w:hAnsi="宋体" w:eastAsia="宋体"/>
          <w:sz w:val="24"/>
          <w:szCs w:val="24"/>
        </w:rPr>
        <w:t>密码测试达标</w:t>
      </w:r>
      <w:r>
        <w:rPr>
          <w:rFonts w:hint="eastAsia" w:ascii="宋体" w:hAnsi="宋体" w:eastAsia="宋体"/>
          <w:sz w:val="24"/>
          <w:szCs w:val="24"/>
          <w:lang w:eastAsia="zh-CN"/>
        </w:rPr>
        <w:t>；</w:t>
      </w:r>
    </w:p>
    <w:p w14:paraId="446C9132">
      <w:pPr>
        <w:tabs>
          <w:tab w:val="left" w:pos="420"/>
        </w:tabs>
        <w:ind w:firstLineChars="0"/>
        <w:rPr>
          <w:rFonts w:hint="eastAsia" w:eastAsia="宋体"/>
          <w:b w:val="0"/>
          <w:bCs w:val="0"/>
          <w:sz w:val="24"/>
          <w:lang w:eastAsia="zh-CN"/>
        </w:rPr>
      </w:pPr>
      <w:r>
        <w:rPr>
          <w:rFonts w:hint="default" w:ascii="宋体" w:hAnsi="宋体" w:eastAsia="宋体"/>
          <w:sz w:val="24"/>
          <w:szCs w:val="24"/>
        </w:rPr>
        <w:t>安全测试达标</w:t>
      </w:r>
      <w:r>
        <w:rPr>
          <w:rFonts w:hint="eastAsia" w:ascii="宋体" w:hAnsi="宋体" w:eastAsia="宋体"/>
          <w:sz w:val="24"/>
          <w:szCs w:val="24"/>
          <w:lang w:eastAsia="zh-CN"/>
        </w:rPr>
        <w:t>。</w:t>
      </w:r>
    </w:p>
    <w:p w14:paraId="393C618B">
      <w:pPr>
        <w:rPr>
          <w:rFonts w:hint="eastAsia"/>
        </w:rPr>
      </w:pPr>
    </w:p>
    <w:p w14:paraId="0924B0F5">
      <w:pPr>
        <w:pStyle w:val="3"/>
        <w:ind w:left="709" w:firstLine="423" w:firstLineChars="141"/>
      </w:pPr>
      <w:r>
        <w:t>上海市统计大数据监测平台(升级改造)</w:t>
      </w:r>
    </w:p>
    <w:p w14:paraId="7E24CD7E">
      <w:pPr>
        <w:pStyle w:val="61"/>
        <w:numPr>
          <w:ilvl w:val="1"/>
          <w:numId w:val="3"/>
        </w:numPr>
        <w:spacing w:line="560" w:lineRule="exact"/>
        <w:ind w:firstLineChars="0"/>
        <w:rPr>
          <w:rFonts w:ascii="宋体" w:hAnsi="宋体"/>
          <w:b/>
          <w:bCs/>
          <w:vanish/>
          <w:sz w:val="28"/>
          <w:szCs w:val="28"/>
        </w:rPr>
      </w:pPr>
    </w:p>
    <w:p w14:paraId="3786E88D">
      <w:pPr>
        <w:pStyle w:val="135"/>
        <w:numPr>
          <w:ilvl w:val="-1"/>
          <w:numId w:val="0"/>
        </w:numPr>
        <w:ind w:left="0" w:firstLine="420"/>
      </w:pPr>
      <w:r>
        <w:rPr>
          <w:rFonts w:hint="eastAsia"/>
          <w:lang w:val="en-US" w:eastAsia="zh-CN"/>
        </w:rPr>
        <w:t xml:space="preserve">2.3.1 </w:t>
      </w:r>
      <w:r>
        <w:rPr>
          <w:rFonts w:hint="eastAsia"/>
        </w:rPr>
        <w:t>上海市统计局政府“电子统计”系统（升级改造）</w:t>
      </w:r>
    </w:p>
    <w:p w14:paraId="46DF855F">
      <w:pPr>
        <w:ind w:firstLine="0" w:firstLineChars="0"/>
      </w:pPr>
    </w:p>
    <w:p w14:paraId="2D955F02">
      <w:pPr>
        <w:rPr>
          <w:rFonts w:hint="eastAsia"/>
        </w:rPr>
      </w:pPr>
      <w:r>
        <w:rPr>
          <w:rFonts w:hint="eastAsia"/>
        </w:rPr>
        <w:t>对上海市统计局政府“电子统计”系统中月度库模块进行功能升级改造，实现与五经普数据处理子系统的元数据保持一致，满足局内对于综合数据的管理要求。赋能各专业处室自主完成月度库报表及日常业务报表的维护工作，满足综合处的数据统一管理要求，并为综合数据平台的数据展示与维护提供支撑。</w:t>
      </w:r>
    </w:p>
    <w:p w14:paraId="747DFDCB">
      <w:pPr>
        <w:pStyle w:val="61"/>
        <w:spacing w:line="560" w:lineRule="exact"/>
        <w:ind w:left="0" w:firstLine="420" w:firstLineChars="0"/>
        <w:rPr>
          <w:b/>
          <w:bCs/>
          <w:sz w:val="24"/>
        </w:rPr>
      </w:pPr>
      <w:r>
        <w:rPr>
          <w:rFonts w:hint="eastAsia"/>
          <w:b/>
          <w:bCs/>
          <w:sz w:val="24"/>
        </w:rPr>
        <w:t>2</w:t>
      </w:r>
      <w:r>
        <w:rPr>
          <w:b/>
          <w:bCs/>
          <w:sz w:val="24"/>
        </w:rPr>
        <w:t>.3.1</w:t>
      </w:r>
      <w:r>
        <w:rPr>
          <w:rFonts w:hint="eastAsia"/>
          <w:b/>
          <w:bCs/>
          <w:sz w:val="24"/>
          <w:lang w:val="en-US" w:eastAsia="zh-CN"/>
        </w:rPr>
        <w:t>.1</w:t>
      </w:r>
      <w:r>
        <w:rPr>
          <w:rFonts w:hint="eastAsia"/>
          <w:b/>
          <w:bCs/>
          <w:sz w:val="24"/>
        </w:rPr>
        <w:t>应用指标</w:t>
      </w:r>
    </w:p>
    <w:p w14:paraId="5732D4EC">
      <w:pPr>
        <w:ind w:left="0" w:firstLine="420" w:firstLineChars="0"/>
      </w:pPr>
      <w:r>
        <w:rPr>
          <w:rFonts w:hint="eastAsia"/>
        </w:rPr>
        <w:t>用户量约为75人左右。支持不低于57人同时并发事务处理能力。</w:t>
      </w:r>
    </w:p>
    <w:p w14:paraId="1B0C939F">
      <w:pPr>
        <w:ind w:left="0" w:firstLine="420" w:firstLineChars="0"/>
        <w:rPr>
          <w:rFonts w:hint="eastAsia"/>
          <w:b/>
          <w:bCs/>
        </w:rPr>
      </w:pPr>
      <w:r>
        <w:t>普通文本（含图片）类页面的响应速度要求在</w:t>
      </w:r>
      <w:r>
        <w:rPr>
          <w:rFonts w:hint="eastAsia"/>
        </w:rPr>
        <w:t>5</w:t>
      </w:r>
      <w:r>
        <w:t>秒级，数据报送</w:t>
      </w:r>
      <w:r>
        <w:rPr>
          <w:rFonts w:hint="eastAsia"/>
        </w:rPr>
        <w:t>、数据查询</w:t>
      </w:r>
      <w:r>
        <w:t>类的页面的响应速度在3秒级，</w:t>
      </w:r>
      <w:r>
        <w:rPr>
          <w:rFonts w:hint="eastAsia"/>
        </w:rPr>
        <w:t>综合数据</w:t>
      </w:r>
      <w:r>
        <w:t>管理、处理类页面的响应时间1</w:t>
      </w:r>
      <w:r>
        <w:rPr>
          <w:rFonts w:hint="eastAsia"/>
        </w:rPr>
        <w:t>0秒</w:t>
      </w:r>
      <w:r>
        <w:t>级。</w:t>
      </w:r>
    </w:p>
    <w:p w14:paraId="207E3DA6">
      <w:pPr>
        <w:pStyle w:val="61"/>
        <w:spacing w:line="560" w:lineRule="exact"/>
        <w:ind w:left="0" w:firstLine="420" w:firstLineChars="0"/>
        <w:rPr>
          <w:rFonts w:hint="eastAsia"/>
          <w:b/>
          <w:bCs/>
          <w:sz w:val="24"/>
        </w:rPr>
      </w:pPr>
      <w:r>
        <w:rPr>
          <w:rFonts w:hint="eastAsia"/>
          <w:b/>
          <w:bCs/>
          <w:sz w:val="24"/>
        </w:rPr>
        <w:t>2</w:t>
      </w:r>
      <w:r>
        <w:rPr>
          <w:b/>
          <w:bCs/>
          <w:sz w:val="24"/>
        </w:rPr>
        <w:t>.3.</w:t>
      </w:r>
      <w:r>
        <w:rPr>
          <w:rFonts w:hint="eastAsia"/>
          <w:b/>
          <w:bCs/>
          <w:sz w:val="24"/>
          <w:lang w:val="en-US" w:eastAsia="zh-CN"/>
        </w:rPr>
        <w:t>1.</w:t>
      </w:r>
      <w:r>
        <w:rPr>
          <w:b/>
          <w:bCs/>
          <w:sz w:val="24"/>
        </w:rPr>
        <w:t>2</w:t>
      </w:r>
      <w:r>
        <w:rPr>
          <w:rFonts w:hint="eastAsia"/>
          <w:b/>
          <w:bCs/>
          <w:sz w:val="24"/>
        </w:rPr>
        <w:t>业务绩效目标</w:t>
      </w:r>
    </w:p>
    <w:p w14:paraId="3771F9A6">
      <w:pPr>
        <w:ind w:left="0" w:firstLine="420" w:firstLineChars="0"/>
        <w:rPr>
          <w:rFonts w:hint="eastAsia"/>
          <w:b w:val="0"/>
          <w:bCs w:val="0"/>
          <w:sz w:val="24"/>
        </w:rPr>
      </w:pPr>
      <w:r>
        <w:rPr>
          <w:rFonts w:hint="eastAsia"/>
        </w:rPr>
        <w:t>月度库与五经普元数据</w:t>
      </w:r>
      <w:r>
        <w:rPr>
          <w:rFonts w:hint="eastAsia"/>
          <w:lang w:val="en-US" w:eastAsia="zh-CN"/>
        </w:rPr>
        <w:t>100%</w:t>
      </w:r>
      <w:r>
        <w:rPr>
          <w:rFonts w:hint="eastAsia"/>
        </w:rPr>
        <w:t>保持一致</w:t>
      </w:r>
      <w:r>
        <w:rPr>
          <w:rFonts w:hint="eastAsia"/>
          <w:lang w:eastAsia="zh-CN"/>
        </w:rPr>
        <w:t>。</w:t>
      </w:r>
    </w:p>
    <w:p w14:paraId="5EC659A8">
      <w:pPr>
        <w:pStyle w:val="61"/>
        <w:spacing w:line="560" w:lineRule="exact"/>
        <w:ind w:left="0" w:firstLine="420" w:firstLineChars="0"/>
        <w:rPr>
          <w:rFonts w:hint="eastAsia"/>
          <w:b/>
          <w:bCs/>
          <w:sz w:val="24"/>
        </w:rPr>
      </w:pPr>
      <w:r>
        <w:rPr>
          <w:rFonts w:hint="eastAsia"/>
          <w:b/>
          <w:bCs/>
          <w:sz w:val="24"/>
        </w:rPr>
        <w:t>2</w:t>
      </w:r>
      <w:r>
        <w:rPr>
          <w:b/>
          <w:bCs/>
          <w:sz w:val="24"/>
        </w:rPr>
        <w:t>.3.</w:t>
      </w:r>
      <w:r>
        <w:rPr>
          <w:rFonts w:hint="eastAsia"/>
          <w:b/>
          <w:bCs/>
          <w:sz w:val="24"/>
          <w:lang w:val="en-US" w:eastAsia="zh-CN"/>
        </w:rPr>
        <w:t>1.</w:t>
      </w:r>
      <w:r>
        <w:rPr>
          <w:b/>
          <w:bCs/>
          <w:sz w:val="24"/>
        </w:rPr>
        <w:t>3</w:t>
      </w:r>
      <w:r>
        <w:rPr>
          <w:rFonts w:hint="eastAsia"/>
          <w:b/>
          <w:bCs/>
          <w:sz w:val="24"/>
        </w:rPr>
        <w:t>技术绩效目标</w:t>
      </w:r>
    </w:p>
    <w:p w14:paraId="4B8B4C13">
      <w:pPr>
        <w:tabs>
          <w:tab w:val="left" w:pos="420"/>
        </w:tabs>
        <w:ind w:firstLine="0" w:firstLineChars="0"/>
        <w:rPr>
          <w:rFonts w:hint="eastAsia" w:ascii="宋体" w:hAnsi="宋体" w:eastAsia="宋体"/>
          <w:sz w:val="24"/>
          <w:szCs w:val="24"/>
          <w:lang w:val="en-US" w:eastAsia="zh-CN"/>
        </w:rPr>
      </w:pPr>
      <w:r>
        <w:rPr>
          <w:rFonts w:hint="eastAsia" w:ascii="宋体" w:hAnsi="宋体" w:eastAsia="宋体"/>
          <w:sz w:val="24"/>
          <w:szCs w:val="24"/>
          <w:lang w:val="en-US" w:eastAsia="zh-CN"/>
        </w:rPr>
        <w:tab/>
      </w:r>
      <w:r>
        <w:rPr>
          <w:rFonts w:hint="default" w:ascii="宋体" w:hAnsi="宋体" w:eastAsia="宋体"/>
          <w:sz w:val="24"/>
          <w:szCs w:val="24"/>
        </w:rPr>
        <w:t>软件开发完成率100%</w:t>
      </w:r>
      <w:r>
        <w:rPr>
          <w:rFonts w:hint="eastAsia" w:ascii="宋体" w:hAnsi="宋体" w:eastAsia="宋体"/>
          <w:sz w:val="24"/>
          <w:szCs w:val="24"/>
          <w:lang w:eastAsia="zh-CN"/>
        </w:rPr>
        <w:t>；</w:t>
      </w:r>
    </w:p>
    <w:p w14:paraId="49009EA8">
      <w:pPr>
        <w:tabs>
          <w:tab w:val="left" w:pos="420"/>
        </w:tabs>
        <w:ind w:firstLine="0" w:firstLineChars="0"/>
        <w:rPr>
          <w:rFonts w:hint="eastAsia" w:ascii="宋体" w:hAnsi="宋体" w:eastAsia="宋体"/>
          <w:sz w:val="24"/>
          <w:szCs w:val="24"/>
          <w:lang w:eastAsia="zh-CN"/>
        </w:rPr>
      </w:pPr>
      <w:r>
        <w:rPr>
          <w:rFonts w:hint="eastAsia" w:ascii="宋体" w:hAnsi="宋体" w:eastAsia="宋体"/>
          <w:sz w:val="24"/>
          <w:szCs w:val="24"/>
          <w:lang w:val="en-US" w:eastAsia="zh-CN"/>
        </w:rPr>
        <w:tab/>
      </w:r>
      <w:r>
        <w:rPr>
          <w:rFonts w:hint="default" w:ascii="宋体" w:hAnsi="宋体" w:eastAsia="宋体"/>
          <w:sz w:val="24"/>
          <w:szCs w:val="24"/>
        </w:rPr>
        <w:t>系统可靠性100%</w:t>
      </w:r>
      <w:r>
        <w:rPr>
          <w:rFonts w:hint="eastAsia" w:ascii="宋体" w:hAnsi="宋体" w:eastAsia="宋体"/>
          <w:sz w:val="24"/>
          <w:szCs w:val="24"/>
          <w:lang w:eastAsia="zh-CN"/>
        </w:rPr>
        <w:t>；</w:t>
      </w:r>
    </w:p>
    <w:p w14:paraId="79964B76">
      <w:pPr>
        <w:tabs>
          <w:tab w:val="left" w:pos="420"/>
        </w:tabs>
        <w:ind w:firstLine="0" w:firstLineChars="0"/>
        <w:rPr>
          <w:rFonts w:hint="eastAsia" w:ascii="宋体" w:hAnsi="宋体" w:eastAsia="宋体"/>
          <w:sz w:val="24"/>
          <w:szCs w:val="24"/>
          <w:lang w:eastAsia="zh-CN"/>
        </w:rPr>
      </w:pPr>
      <w:r>
        <w:rPr>
          <w:rFonts w:hint="eastAsia" w:ascii="宋体" w:hAnsi="宋体" w:eastAsia="宋体"/>
          <w:sz w:val="24"/>
          <w:szCs w:val="24"/>
          <w:lang w:val="en-US" w:eastAsia="zh-CN"/>
        </w:rPr>
        <w:tab/>
      </w:r>
      <w:r>
        <w:rPr>
          <w:rFonts w:hint="default" w:ascii="宋体" w:hAnsi="宋体" w:eastAsia="宋体"/>
          <w:sz w:val="24"/>
          <w:szCs w:val="24"/>
        </w:rPr>
        <w:t>软件测试达标</w:t>
      </w:r>
      <w:r>
        <w:rPr>
          <w:rFonts w:hint="eastAsia" w:ascii="宋体" w:hAnsi="宋体" w:eastAsia="宋体"/>
          <w:sz w:val="24"/>
          <w:szCs w:val="24"/>
          <w:lang w:eastAsia="zh-CN"/>
        </w:rPr>
        <w:t>；</w:t>
      </w:r>
    </w:p>
    <w:p w14:paraId="39E33D7D">
      <w:pPr>
        <w:tabs>
          <w:tab w:val="left" w:pos="420"/>
        </w:tabs>
        <w:ind w:firstLine="0" w:firstLineChars="0"/>
        <w:rPr>
          <w:rFonts w:hint="eastAsia" w:ascii="宋体" w:hAnsi="宋体" w:eastAsia="宋体"/>
          <w:sz w:val="24"/>
          <w:szCs w:val="24"/>
          <w:lang w:eastAsia="zh-CN"/>
        </w:rPr>
      </w:pPr>
      <w:r>
        <w:rPr>
          <w:rFonts w:hint="eastAsia" w:ascii="宋体" w:hAnsi="宋体" w:eastAsia="宋体"/>
          <w:sz w:val="24"/>
          <w:szCs w:val="24"/>
          <w:lang w:val="en-US" w:eastAsia="zh-CN"/>
        </w:rPr>
        <w:tab/>
      </w:r>
      <w:r>
        <w:rPr>
          <w:rFonts w:hint="default" w:ascii="宋体" w:hAnsi="宋体" w:eastAsia="宋体"/>
          <w:sz w:val="24"/>
          <w:szCs w:val="24"/>
        </w:rPr>
        <w:t>密码测试达标</w:t>
      </w:r>
      <w:r>
        <w:rPr>
          <w:rFonts w:hint="eastAsia" w:ascii="宋体" w:hAnsi="宋体" w:eastAsia="宋体"/>
          <w:sz w:val="24"/>
          <w:szCs w:val="24"/>
          <w:lang w:eastAsia="zh-CN"/>
        </w:rPr>
        <w:t>；</w:t>
      </w:r>
    </w:p>
    <w:p w14:paraId="6FA94A52">
      <w:pPr>
        <w:ind w:left="0" w:firstLine="420" w:firstLineChars="0"/>
        <w:rPr>
          <w:rFonts w:hint="eastAsia"/>
          <w:b/>
          <w:bCs/>
          <w:sz w:val="24"/>
        </w:rPr>
      </w:pPr>
      <w:r>
        <w:rPr>
          <w:rFonts w:hint="default" w:ascii="宋体" w:hAnsi="宋体" w:eastAsia="宋体"/>
          <w:sz w:val="24"/>
          <w:szCs w:val="24"/>
        </w:rPr>
        <w:t>安全测试达标</w:t>
      </w:r>
      <w:r>
        <w:rPr>
          <w:rFonts w:hint="eastAsia"/>
          <w:sz w:val="24"/>
          <w:szCs w:val="24"/>
          <w:lang w:eastAsia="zh-CN"/>
        </w:rPr>
        <w:t>。</w:t>
      </w:r>
    </w:p>
    <w:p w14:paraId="62F9AF74">
      <w:pPr>
        <w:rPr>
          <w:rFonts w:hint="eastAsia"/>
        </w:rPr>
      </w:pPr>
    </w:p>
    <w:p w14:paraId="55D6A9B7">
      <w:pPr>
        <w:pStyle w:val="3"/>
      </w:pPr>
      <w:r>
        <w:rPr>
          <w:rFonts w:hint="eastAsia"/>
        </w:rPr>
        <w:t>上海市统计局机房网络安全加固（新建）</w:t>
      </w:r>
    </w:p>
    <w:p w14:paraId="69612F2B">
      <w:r>
        <w:rPr>
          <w:rFonts w:hint="eastAsia"/>
        </w:rPr>
        <w:t>更新市统计局机房部分安全设备和网络设备，提高安全性，满足业务增长的接入需求。</w:t>
      </w:r>
    </w:p>
    <w:p w14:paraId="2C7D24C6">
      <w:pPr>
        <w:pStyle w:val="2"/>
      </w:pPr>
      <w:r>
        <w:rPr>
          <w:rFonts w:hint="eastAsia"/>
        </w:rPr>
        <w:t>项目建设内容</w:t>
      </w:r>
    </w:p>
    <w:p w14:paraId="3EE0A277">
      <w:pPr>
        <w:pStyle w:val="3"/>
      </w:pPr>
      <w:r>
        <w:rPr>
          <w:rFonts w:hint="eastAsia"/>
        </w:rPr>
        <w:t>上海市第四次全国农业普查数据处理子系统（新建）</w:t>
      </w:r>
    </w:p>
    <w:p w14:paraId="00D5BEE1">
      <w:r>
        <w:rPr>
          <w:rFonts w:hint="eastAsia"/>
        </w:rPr>
        <w:t>面向上海市第四次农业普查工作，依据《全国农业普查条例》和相关开展第四次农业普查的通知的要求，统筹上海市农业普查数据的处理工作，结合实际情况，构建四农普数据处理子系统的基础计算资源和存储资源环境，按照等保2.0三级标准进行管理防护；同时结合本市实际情况，在满足国家关于安全方面相关要求前提下，有效支撑国家和省级的农普数据采集和处理任务。</w:t>
      </w:r>
    </w:p>
    <w:p w14:paraId="23086A8C">
      <w:r>
        <w:rPr>
          <w:rFonts w:hint="eastAsia"/>
        </w:rPr>
        <w:t>建设上海市第四次全国农业普查数据处理子系统，包括应用集成、农普两员管理、底册预处理、国家农普数据回流、四农普专题数据管理、四农普专题分析与展示。主要内容如下：</w:t>
      </w:r>
    </w:p>
    <w:p w14:paraId="14EC482B">
      <w:r>
        <w:rPr>
          <w:rFonts w:hint="eastAsia"/>
        </w:rPr>
        <w:t>1、应用集成</w:t>
      </w:r>
    </w:p>
    <w:p w14:paraId="4799474A">
      <w:r>
        <w:rPr>
          <w:rFonts w:hint="eastAsia"/>
        </w:rPr>
        <w:t>基于四农普业务的统一支撑及协同，调用“上海市统计局第五次经济普查数据采集与处理子系统”中五经普管理平台-应用管理平台功能，为部门和基层用户按照各自角色权限提供统一接入点。实现上海市第四次全国农业普查数据处理子系统在现有应用管理平台中的统一门户集成、统一接入管理、统一用户管理、统一授权管理、统一资源管理、统一安全防护。</w:t>
      </w:r>
    </w:p>
    <w:p w14:paraId="5E50C3C6">
      <w:r>
        <w:rPr>
          <w:rFonts w:hint="eastAsia"/>
        </w:rPr>
        <w:t>2、农普两员管理</w:t>
      </w:r>
    </w:p>
    <w:p w14:paraId="5B737C03">
      <w:pPr>
        <w:rPr>
          <w:rFonts w:hint="eastAsia"/>
        </w:rPr>
      </w:pPr>
      <w:r>
        <w:rPr>
          <w:rFonts w:hint="eastAsia"/>
        </w:rPr>
        <w:t>对农业普查指导员和普查员的基本信息进行维护，建立普查员与普查区域/地块的映射关系，进行动态普查任务管理。</w:t>
      </w:r>
    </w:p>
    <w:p w14:paraId="5D699E4B">
      <w:pPr>
        <w:rPr>
          <w:rFonts w:hint="eastAsia"/>
        </w:rPr>
      </w:pPr>
      <w:r>
        <w:rPr>
          <w:rFonts w:hint="eastAsia" w:ascii="宋体" w:hAnsi="宋体" w:cs="Times New Roman"/>
          <w:color w:val="auto"/>
          <w:kern w:val="2"/>
          <w:sz w:val="24"/>
          <w:szCs w:val="24"/>
        </w:rPr>
        <w:t>具体包括：两员信息录入、审核、查询与编辑、删除与注销、统计分析；“两员”编码、“两员”编码停用、“两员”编码导出；根据普查组织机构，建立分组分级分地区的管理模式。台账信息包括但不限于普查“两员”用户的基本信息和主要工作信息。</w:t>
      </w:r>
    </w:p>
    <w:p w14:paraId="78696D4E">
      <w:r>
        <w:rPr>
          <w:rFonts w:hint="eastAsia"/>
        </w:rPr>
        <w:t>3、底册预处理</w:t>
      </w:r>
    </w:p>
    <w:p w14:paraId="7F9350F4">
      <w:r>
        <w:rPr>
          <w:rFonts w:hint="eastAsia"/>
        </w:rPr>
        <w:t>从清查摸底系统中按照指定的规则获取需要制作底册的数据，支持用户以不同机构级别获取数据，并显示数据归属行政区划，数据数量等指标。支持用户选择生成底册的数据范围，支持以普查区为粒度生成底册数据包，并记录底册生成业务操作痕迹，</w:t>
      </w:r>
      <w:r>
        <w:rPr>
          <w:rFonts w:hint="eastAsia" w:ascii="宋体" w:hAnsi="宋体" w:cs="Times New Roman"/>
          <w:color w:val="auto"/>
          <w:kern w:val="2"/>
          <w:sz w:val="24"/>
          <w:szCs w:val="24"/>
        </w:rPr>
        <w:t>用户可根据工作需要，将处理后的底册数据进行导出或下载</w:t>
      </w:r>
      <w:r>
        <w:rPr>
          <w:rFonts w:hint="eastAsia"/>
        </w:rPr>
        <w:t>。</w:t>
      </w:r>
    </w:p>
    <w:p w14:paraId="51959827">
      <w:r>
        <w:rPr>
          <w:rFonts w:hint="eastAsia"/>
        </w:rPr>
        <w:t>4、国家农普数据回流</w:t>
      </w:r>
    </w:p>
    <w:p w14:paraId="72FADF37">
      <w:pPr>
        <w:rPr>
          <w:rFonts w:hint="eastAsia"/>
        </w:rPr>
      </w:pPr>
      <w:r>
        <w:rPr>
          <w:rFonts w:hint="eastAsia"/>
        </w:rPr>
        <w:t>国家农普数据回流支持接收来自国家平台的反馈结果，</w:t>
      </w:r>
      <w:r>
        <w:rPr>
          <w:rFonts w:hint="eastAsia"/>
          <w:lang w:eastAsia="zh-CN"/>
        </w:rPr>
        <w:t>包括</w:t>
      </w:r>
      <w:r>
        <w:rPr>
          <w:rFonts w:hint="eastAsia"/>
        </w:rPr>
        <w:t>农普相关调查制度及制度相关的指标数据、目录数据、分组数据、计量单位数据等、农普调查采集数据、数据审核规则等，支持</w:t>
      </w:r>
      <w:r>
        <w:rPr>
          <w:rFonts w:hint="eastAsia" w:ascii="宋体" w:hAnsi="宋体" w:cs="Times New Roman"/>
          <w:color w:val="auto"/>
          <w:kern w:val="2"/>
          <w:sz w:val="24"/>
          <w:szCs w:val="24"/>
        </w:rPr>
        <w:t>字段级派生计算、多维度分组汇总、数据脱敏重构，输出标准化汇总表与结构化数据</w:t>
      </w:r>
      <w:r>
        <w:rPr>
          <w:rFonts w:hint="eastAsia"/>
        </w:rPr>
        <w:t>，支持记录和查询数据修改轨迹。</w:t>
      </w:r>
    </w:p>
    <w:p w14:paraId="1D523306">
      <w:r>
        <w:rPr>
          <w:rFonts w:hint="eastAsia"/>
        </w:rPr>
        <w:t>5、四农普专题数据管理</w:t>
      </w:r>
    </w:p>
    <w:p w14:paraId="757C3256">
      <w:pPr>
        <w:rPr>
          <w:rFonts w:hint="eastAsia"/>
        </w:rPr>
      </w:pPr>
      <w:r>
        <w:rPr>
          <w:rFonts w:hint="eastAsia"/>
        </w:rPr>
        <w:t>四农普专题数据管理体系整合</w:t>
      </w:r>
      <w:r>
        <w:rPr>
          <w:rFonts w:hint="eastAsia"/>
          <w:lang w:eastAsia="zh-CN"/>
        </w:rPr>
        <w:t>通过</w:t>
      </w:r>
      <w:r>
        <w:rPr>
          <w:rFonts w:hint="eastAsia"/>
        </w:rPr>
        <w:t>分类标签管理，实现四农普时空数据融合和版本管理，</w:t>
      </w:r>
      <w:r>
        <w:rPr>
          <w:rFonts w:hint="eastAsia" w:ascii="宋体" w:hAnsi="宋体" w:cs="Times New Roman"/>
          <w:color w:val="auto"/>
          <w:kern w:val="2"/>
          <w:sz w:val="24"/>
          <w:szCs w:val="24"/>
        </w:rPr>
        <w:t>数据校准、多源空间数据融合定位，不同农业区域边界及空间分布特征管理，支持对遥感数据源的动态编辑与接入配置、数据类型配置，对数据接入任务配置和管理，接入的遥感数据进行数据有效性检验以及数据标准化处理后输出、入库存储；对数据进行校正、拼接、裁剪等加工</w:t>
      </w:r>
      <w:r>
        <w:rPr>
          <w:rFonts w:hint="eastAsia"/>
        </w:rPr>
        <w:t>。</w:t>
      </w:r>
    </w:p>
    <w:p w14:paraId="38A4002F">
      <w:r>
        <w:rPr>
          <w:rFonts w:hint="eastAsia"/>
        </w:rPr>
        <w:t>6、四农普专题分析与展示</w:t>
      </w:r>
    </w:p>
    <w:p w14:paraId="01659EC2">
      <w:pPr>
        <w:rPr>
          <w:rFonts w:hint="eastAsia"/>
        </w:rPr>
      </w:pPr>
      <w:r>
        <w:rPr>
          <w:rFonts w:hint="eastAsia"/>
        </w:rPr>
        <w:t>专题分析用于深度开发普查成果，基于GIS空间遥感数据，建设农普遥感数据分析，如种植空间分布分析、种植趋势监测、长势监测、地物分类与识别、地物变化检测与更新；实现</w:t>
      </w:r>
      <w:r>
        <w:rPr>
          <w:rFonts w:hint="eastAsia" w:ascii="宋体" w:hAnsi="宋体" w:cs="Times New Roman"/>
          <w:color w:val="auto"/>
          <w:kern w:val="2"/>
          <w:sz w:val="24"/>
          <w:szCs w:val="24"/>
        </w:rPr>
        <w:t>农普地名地址图上落点、农普专题空间数据目录化管理、地理和弄频谱专题空间浏览、地理和农普专题空间查询、农普专题空间统计分析、农普专题时间统计分析、农普专题时空叠加统计分析</w:t>
      </w:r>
      <w:r>
        <w:rPr>
          <w:rFonts w:hint="eastAsia"/>
        </w:rPr>
        <w:t>。</w:t>
      </w:r>
    </w:p>
    <w:p w14:paraId="6FF4CE79">
      <w:r>
        <w:rPr>
          <w:rFonts w:hint="eastAsia"/>
        </w:rPr>
        <w:t>7、提供本地农普元数据与制度定制和本地农普数据处理两类数据服务，主要内容包括：</w:t>
      </w:r>
    </w:p>
    <w:p w14:paraId="1DA1EEB9">
      <w:r>
        <w:rPr>
          <w:rFonts w:hint="eastAsia"/>
        </w:rPr>
        <w:t>（1）本地农普元数据与制度定制</w:t>
      </w:r>
    </w:p>
    <w:p w14:paraId="684FDEEF">
      <w:r>
        <w:rPr>
          <w:rFonts w:hint="eastAsia"/>
        </w:rPr>
        <w:t>遵循国家的元数据标准，调用“上海市统计局第五次经济普查数据采集与处理子系统”中五经普管理平台-元数据与制度管理功能，定制四农普的调查制度、统计报表、农普元数据等，并借助现有功能实现四农普元数据统一管理、制度报表统一设计，满足各项统计制度管理、数据统一管理、数据分析的需要。</w:t>
      </w:r>
    </w:p>
    <w:p w14:paraId="5B286BB6">
      <w:r>
        <w:rPr>
          <w:rFonts w:hint="eastAsia"/>
        </w:rPr>
        <w:t>（2）本地农普数据处理</w:t>
      </w:r>
    </w:p>
    <w:p w14:paraId="1030AA32">
      <w:r>
        <w:rPr>
          <w:rFonts w:hint="eastAsia"/>
        </w:rPr>
        <w:t>调用“上海市统计局第五次经济普查数据采集与处理子系统”中的五经普数据处理子系统相关功能，提供农普资料开发、三农普数据梳理、标准化及入库等数据处理服务。</w:t>
      </w:r>
    </w:p>
    <w:p w14:paraId="1A1F26BA">
      <w:pPr>
        <w:pStyle w:val="3"/>
      </w:pPr>
      <w:r>
        <w:rPr>
          <w:rFonts w:hint="eastAsia"/>
        </w:rPr>
        <w:t>统计一套表网报管理系统项目(升级改造)</w:t>
      </w:r>
    </w:p>
    <w:p w14:paraId="535CBCD2">
      <w:pPr>
        <w:pStyle w:val="61"/>
        <w:numPr>
          <w:ilvl w:val="2"/>
          <w:numId w:val="6"/>
        </w:numPr>
        <w:spacing w:line="560" w:lineRule="exact"/>
        <w:ind w:firstLineChars="0"/>
        <w:rPr>
          <w:b/>
          <w:bCs/>
          <w:sz w:val="28"/>
          <w:szCs w:val="28"/>
        </w:rPr>
      </w:pPr>
      <w:r>
        <w:rPr>
          <w:rFonts w:hint="eastAsia"/>
          <w:b/>
          <w:bCs/>
          <w:sz w:val="28"/>
          <w:szCs w:val="28"/>
        </w:rPr>
        <w:t>统计云工程上海联网直报节点子系统（升级改造）</w:t>
      </w:r>
    </w:p>
    <w:p w14:paraId="36758821">
      <w:pPr>
        <w:pStyle w:val="61"/>
        <w:numPr>
          <w:ilvl w:val="3"/>
          <w:numId w:val="6"/>
        </w:numPr>
        <w:spacing w:line="560" w:lineRule="exact"/>
        <w:ind w:firstLineChars="0"/>
        <w:rPr>
          <w:rFonts w:ascii="宋体" w:hAnsi="宋体"/>
          <w:b/>
          <w:bCs/>
          <w:sz w:val="24"/>
        </w:rPr>
      </w:pPr>
      <w:r>
        <w:rPr>
          <w:rFonts w:hint="eastAsia" w:ascii="宋体" w:hAnsi="宋体"/>
          <w:b/>
          <w:bCs/>
          <w:sz w:val="24"/>
        </w:rPr>
        <w:t>上海市统计数据移动采集子系统（新建）</w:t>
      </w:r>
    </w:p>
    <w:p w14:paraId="55F424FE">
      <w:r>
        <w:rPr>
          <w:rFonts w:hint="eastAsia"/>
        </w:rPr>
        <w:t>系统通过“轻量化采集-智能设计-精准管控-动态更新”四大能力，构建起高效、精准、可扩展的统计移动采集体系。</w:t>
      </w:r>
    </w:p>
    <w:p w14:paraId="123BF74C">
      <w:r>
        <w:rPr>
          <w:rFonts w:hint="eastAsia"/>
        </w:rPr>
        <w:t>1.移动端数据采集模块</w:t>
      </w:r>
    </w:p>
    <w:p w14:paraId="218ADBFA">
      <w:r>
        <w:rPr>
          <w:rFonts w:hint="eastAsia"/>
        </w:rPr>
        <w:t>构建轻量化、全场景覆盖的移动端数据采集能力，采用C/S架构将报表模板、校验规则等核心资源预置在移动端，减少数据传输量以适配手机流量，并兼容主流Android机型。支持离线填报与实时同步，用户可在无网络环境下暂存数据，恢复网络后通过增量同步技术实现同步上传，大幅提升数据采集的时效性与灵活性。</w:t>
      </w:r>
    </w:p>
    <w:p w14:paraId="6725D697">
      <w:r>
        <w:rPr>
          <w:rFonts w:hint="eastAsia"/>
        </w:rPr>
        <w:t>2.多端报表协同设计模块</w:t>
      </w:r>
    </w:p>
    <w:p w14:paraId="31A657B7">
      <w:r>
        <w:rPr>
          <w:rFonts w:hint="eastAsia"/>
        </w:rPr>
        <w:t>系统支持PC端与移动端报表的跨端协同设计与版本管理，实现报表模板、调查对象、指标目录及校验规则的同步。通过可视化设计工具，实施工程师可快速完成移动端分辨率适配、页签分类管理、指标拖拽分配及控件类型配置。支持历史版本追溯与跨端一致性校验，实现“一次设计、多端复用”，降低重复开发成本。</w:t>
      </w:r>
    </w:p>
    <w:p w14:paraId="557FE0CB">
      <w:r>
        <w:rPr>
          <w:rFonts w:hint="eastAsia"/>
        </w:rPr>
        <w:t>3.移动端配置管理</w:t>
      </w:r>
    </w:p>
    <w:p w14:paraId="25DFB95E">
      <w:r>
        <w:rPr>
          <w:rFonts w:hint="eastAsia"/>
        </w:rPr>
        <w:t>搭建全流程管控平台，支持调查员批量分配调查范围、角色区分及数据追溯，实时监控人员任务进度。实现报表模板、审核规则、调查对象底册跨端同步，支持分表规则智能匹配与底册自动生成，保障统计制度快速落地与动态调整。</w:t>
      </w:r>
    </w:p>
    <w:p w14:paraId="12D71B06">
      <w:pPr>
        <w:pStyle w:val="61"/>
        <w:numPr>
          <w:ilvl w:val="3"/>
          <w:numId w:val="6"/>
        </w:numPr>
        <w:spacing w:line="560" w:lineRule="exact"/>
        <w:ind w:firstLineChars="0"/>
        <w:rPr>
          <w:rFonts w:ascii="宋体" w:hAnsi="宋体"/>
          <w:b/>
          <w:bCs/>
          <w:sz w:val="24"/>
        </w:rPr>
      </w:pPr>
      <w:r>
        <w:rPr>
          <w:rFonts w:hint="eastAsia" w:ascii="宋体" w:hAnsi="宋体"/>
          <w:b/>
          <w:bCs/>
          <w:sz w:val="24"/>
        </w:rPr>
        <w:t>上海市统计局数据共享子系统（新建）</w:t>
      </w:r>
    </w:p>
    <w:p w14:paraId="2FDFD6EB">
      <w:pPr>
        <w:ind w:firstLine="420" w:firstLineChars="0"/>
        <w:rPr>
          <w:rFonts w:hint="eastAsia"/>
        </w:rPr>
      </w:pPr>
      <w:r>
        <w:rPr>
          <w:rFonts w:hint="eastAsia"/>
        </w:rPr>
        <w:t>基于上海市联网直报节点实际情况，结合各区统计局的数据回流需求，建设数据门户，包括首页数据搜索、展示、动态，数据筛选、排序、列表和系统权限管理、菜单管理、日志管理、通用配置，将数据按约定格式</w:t>
      </w:r>
      <w:r>
        <w:rPr>
          <w:rFonts w:hint="eastAsia" w:ascii="宋体" w:hAnsi="宋体" w:cs="Times New Roman"/>
          <w:color w:val="auto"/>
          <w:kern w:val="2"/>
          <w:sz w:val="24"/>
          <w:szCs w:val="24"/>
        </w:rPr>
        <w:t>封装打包，推送至订阅方提供的相关接口；同时提供接口由订阅方主动拉取数据；提供数据同步过程信息记录、查询、导出</w:t>
      </w:r>
      <w:r>
        <w:rPr>
          <w:rFonts w:hint="eastAsia"/>
        </w:rPr>
        <w:t>。数据传输过程中需保证数据安全、完整、准确。</w:t>
      </w:r>
    </w:p>
    <w:p w14:paraId="31C4F1DD">
      <w:pPr>
        <w:pStyle w:val="3"/>
      </w:pPr>
      <w:r>
        <w:t>上海市统计大数据监测平台(升级改造)</w:t>
      </w:r>
    </w:p>
    <w:p w14:paraId="58B05AB2">
      <w:pPr>
        <w:pStyle w:val="3"/>
        <w:numPr>
          <w:ilvl w:val="-1"/>
          <w:numId w:val="0"/>
        </w:numPr>
        <w:ind w:left="0" w:firstLine="420"/>
      </w:pPr>
      <w:r>
        <w:rPr>
          <w:rFonts w:hint="eastAsia"/>
          <w:lang w:val="en-US" w:eastAsia="zh-CN"/>
        </w:rPr>
        <w:t>3.3.1</w:t>
      </w:r>
      <w:r>
        <w:rPr>
          <w:rFonts w:hint="eastAsia"/>
        </w:rPr>
        <w:t>上海市统计局政府“电子统计”系统（升级改造）</w:t>
      </w:r>
    </w:p>
    <w:p w14:paraId="31CD74F3">
      <w:r>
        <w:rPr>
          <w:rFonts w:hint="eastAsia"/>
        </w:rPr>
        <w:t>对上海市统计局政府“电子统计”系统中月度库模块进行升级改造，包括：月度库目录维护、文件管理、元数据管理、报表管理、指标管理、分组管理、时间框架管理、计量单位管理、月度库报表数据维护、月度库历史数据查询、月度库数据共享。</w:t>
      </w:r>
    </w:p>
    <w:p w14:paraId="02E27853">
      <w:pPr>
        <w:pStyle w:val="3"/>
      </w:pPr>
      <w:r>
        <w:rPr>
          <w:rFonts w:hint="eastAsia"/>
        </w:rPr>
        <w:t>上海市统计局机房网络安全加固（新建）</w:t>
      </w:r>
    </w:p>
    <w:p w14:paraId="452EB02A">
      <w:r>
        <w:rPr>
          <w:rFonts w:hint="eastAsia"/>
        </w:rPr>
        <w:t>基于市统计局核心业务系统-统计一套表网报管理系统上云后，拟定对机房部分网络安全设备进行升级替换加固。拟定将互联网区域防病毒网关、深信服数据库审计系统、格尔签名验签、格尔身份认证以及统计一套表网报管理系统应用服务器关机下架。拟定将统计内网区统计一套表网报管理系统数据库服务器、启明星辰数据审计系统、绿盟堡垒机、格尔CA认证服务器下架。</w:t>
      </w:r>
    </w:p>
    <w:p w14:paraId="2B05A670">
      <w:r>
        <w:rPr>
          <w:rFonts w:hint="eastAsia"/>
        </w:rPr>
        <w:t>在此次基础上进行网络安全加固进行升级替换新增设备包括互联网核心交换机和内网核心交换机各1台，新增办公专区1台VPN设备用于用户并发扩容。</w:t>
      </w:r>
    </w:p>
    <w:p w14:paraId="766AFB79">
      <w:pPr>
        <w:pStyle w:val="3"/>
      </w:pPr>
      <w:r>
        <w:rPr>
          <w:rFonts w:hint="eastAsia"/>
        </w:rPr>
        <w:t>应用总体架构</w:t>
      </w:r>
    </w:p>
    <w:p w14:paraId="52905202">
      <w:pPr>
        <w:pStyle w:val="61"/>
        <w:numPr>
          <w:ilvl w:val="2"/>
          <w:numId w:val="7"/>
        </w:numPr>
        <w:spacing w:line="560" w:lineRule="exact"/>
        <w:ind w:hanging="726" w:firstLineChars="0"/>
        <w:outlineLvl w:val="2"/>
        <w:rPr>
          <w:b/>
          <w:bCs/>
          <w:sz w:val="28"/>
          <w:szCs w:val="28"/>
        </w:rPr>
      </w:pPr>
      <w:r>
        <w:rPr>
          <w:rFonts w:hint="eastAsia"/>
          <w:b/>
          <w:bCs/>
          <w:sz w:val="28"/>
          <w:szCs w:val="28"/>
        </w:rPr>
        <w:t>上海市第四次全国农业普查数据处理子系统（新建）</w:t>
      </w:r>
    </w:p>
    <w:p w14:paraId="47365C58">
      <w:pPr>
        <w:ind w:left="482" w:firstLine="0" w:firstLineChars="0"/>
        <w:rPr>
          <w:b/>
          <w:bCs/>
          <w:sz w:val="28"/>
          <w:szCs w:val="28"/>
        </w:rPr>
      </w:pPr>
      <w:r>
        <w:rPr>
          <w:rFonts w:hint="eastAsia"/>
          <w:b/>
          <w:bCs/>
          <w:sz w:val="28"/>
          <w:szCs w:val="28"/>
        </w:rPr>
        <w:drawing>
          <wp:inline distT="0" distB="0" distL="0" distR="0">
            <wp:extent cx="5275580" cy="3256915"/>
            <wp:effectExtent l="0" t="0" r="1270" b="635"/>
            <wp:docPr id="8760449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44991" name="图片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6190" cy="3257143"/>
                    </a:xfrm>
                    <a:prstGeom prst="rect">
                      <a:avLst/>
                    </a:prstGeom>
                  </pic:spPr>
                </pic:pic>
              </a:graphicData>
            </a:graphic>
          </wp:inline>
        </w:drawing>
      </w:r>
    </w:p>
    <w:p w14:paraId="3D6D63C2">
      <w:r>
        <w:rPr>
          <w:rFonts w:hint="eastAsia"/>
        </w:rPr>
        <w:t>基础设施层：在上海市电子政务云平台申请计算资源、存储资源、网络资源、安全资源进行部署、运行。</w:t>
      </w:r>
    </w:p>
    <w:p w14:paraId="2898D528">
      <w:r>
        <w:rPr>
          <w:rFonts w:hint="eastAsia"/>
        </w:rPr>
        <w:t>数据层：按照系统划分和业务需求，设计基础支撑应用数据库、元数据库、基层数据库、汇总数据库、共享发布数据库等，为上海市第四次全国农业普查数据处理子系统提供数据支撑。</w:t>
      </w:r>
      <w:bookmarkStart w:id="45" w:name="_GoBack"/>
      <w:bookmarkEnd w:id="45"/>
    </w:p>
    <w:p w14:paraId="0A36248B">
      <w:r>
        <w:rPr>
          <w:rFonts w:hint="eastAsia"/>
        </w:rPr>
        <w:t>支撑层：调用“五经普数据采集与处理子系统”中应用管理平台的相关功能，完成用户、权限等信息初始化，并现上海市第四次全国农业普查数据处理子系统在现有应用管理平台中的统一门户集成、统一接入管理、统一用户管理、统一授权管理、统一资源管理、统一安全防护。。</w:t>
      </w:r>
    </w:p>
    <w:p w14:paraId="5A24A723">
      <w:r>
        <w:rPr>
          <w:rFonts w:hint="eastAsia"/>
        </w:rPr>
        <w:t>应用层：上海市第四次全国农业普查数据处理子系统建设包括系统开发和数据治理服务两部分。系统开发包括应用集成、农普两员管理、底册预处理、国家农普数据回流、四农普专题数据管理、四农普专题分析与展示、四农普GIS地图展示应用；数据治理服务包括本地农普元数据与制度定制和本地农普数据处理。</w:t>
      </w:r>
    </w:p>
    <w:p w14:paraId="7E2753AC">
      <w:r>
        <w:rPr>
          <w:rFonts w:hint="eastAsia"/>
        </w:rPr>
        <w:t>用户层：综合国家和上海市统计局业务特点，系统的用户分系统管理人员（包含系统管理人员、领导用户）、统计业务人员。</w:t>
      </w:r>
    </w:p>
    <w:p w14:paraId="4D14558D">
      <w:pPr>
        <w:pStyle w:val="61"/>
        <w:numPr>
          <w:ilvl w:val="2"/>
          <w:numId w:val="7"/>
        </w:numPr>
        <w:spacing w:line="560" w:lineRule="exact"/>
        <w:ind w:hanging="726" w:firstLineChars="0"/>
        <w:outlineLvl w:val="2"/>
        <w:rPr>
          <w:b/>
          <w:bCs/>
          <w:sz w:val="28"/>
          <w:szCs w:val="28"/>
        </w:rPr>
      </w:pPr>
      <w:r>
        <w:rPr>
          <w:rFonts w:hint="eastAsia"/>
          <w:b/>
          <w:bCs/>
          <w:sz w:val="28"/>
          <w:szCs w:val="28"/>
        </w:rPr>
        <w:t>统计一套表网报管理系统项目(升级改造)</w:t>
      </w:r>
    </w:p>
    <w:p w14:paraId="63FC4AC0">
      <w:pPr>
        <w:pStyle w:val="61"/>
        <w:numPr>
          <w:ilvl w:val="3"/>
          <w:numId w:val="7"/>
        </w:numPr>
        <w:spacing w:line="560" w:lineRule="exact"/>
        <w:ind w:firstLineChars="0"/>
        <w:rPr>
          <w:b/>
          <w:bCs/>
          <w:sz w:val="24"/>
        </w:rPr>
      </w:pPr>
      <w:r>
        <w:rPr>
          <w:rFonts w:hint="eastAsia"/>
          <w:b/>
          <w:bCs/>
          <w:sz w:val="24"/>
        </w:rPr>
        <w:t>统计云工程上海联网直报节点子系统（升级改造）</w:t>
      </w:r>
    </w:p>
    <w:p w14:paraId="261B707B">
      <w:pPr>
        <w:pStyle w:val="61"/>
        <w:numPr>
          <w:ilvl w:val="4"/>
          <w:numId w:val="7"/>
        </w:numPr>
        <w:spacing w:line="560" w:lineRule="exact"/>
        <w:ind w:firstLineChars="0"/>
        <w:rPr>
          <w:b/>
          <w:bCs/>
          <w:sz w:val="24"/>
        </w:rPr>
      </w:pPr>
      <w:r>
        <w:rPr>
          <w:rFonts w:hint="eastAsia"/>
          <w:b/>
          <w:bCs/>
          <w:sz w:val="24"/>
        </w:rPr>
        <w:t>上海市统计数据移动采集子系统（新建）</w:t>
      </w:r>
    </w:p>
    <w:p w14:paraId="6D749E96">
      <w:pPr>
        <w:ind w:firstLine="482"/>
        <w:rPr>
          <w:b/>
          <w:bCs/>
        </w:rPr>
      </w:pPr>
      <w:r>
        <w:rPr>
          <w:rFonts w:hint="eastAsia"/>
          <w:b/>
          <w:bCs/>
        </w:rPr>
        <w:drawing>
          <wp:inline distT="0" distB="0" distL="0" distR="0">
            <wp:extent cx="5206365" cy="4200525"/>
            <wp:effectExtent l="0" t="0" r="0" b="9525"/>
            <wp:docPr id="20346740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74034"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06365" cy="4200525"/>
                    </a:xfrm>
                    <a:prstGeom prst="rect">
                      <a:avLst/>
                    </a:prstGeom>
                    <a:noFill/>
                  </pic:spPr>
                </pic:pic>
              </a:graphicData>
            </a:graphic>
          </wp:inline>
        </w:drawing>
      </w:r>
    </w:p>
    <w:p w14:paraId="079A51B7">
      <w:r>
        <w:rPr>
          <w:rFonts w:hint="eastAsia"/>
        </w:rPr>
        <w:t>1.基础设施层</w:t>
      </w:r>
    </w:p>
    <w:p w14:paraId="463D7DBF">
      <w:r>
        <w:rPr>
          <w:rFonts w:hint="eastAsia"/>
        </w:rPr>
        <w:t>云平台：基于混政务云，提供弹性计算、存储与网络资源。</w:t>
      </w:r>
    </w:p>
    <w:p w14:paraId="400DDEEE">
      <w:r>
        <w:rPr>
          <w:rFonts w:hint="eastAsia"/>
        </w:rPr>
        <w:t>弹性计算：</w:t>
      </w:r>
    </w:p>
    <w:p w14:paraId="6F2E226E">
      <w:r>
        <w:rPr>
          <w:rFonts w:hint="eastAsia"/>
        </w:rPr>
        <w:t>移动端后台管理服务器与Nginx服务器部署于政务云虚拟机；</w:t>
      </w:r>
    </w:p>
    <w:p w14:paraId="57EBCB39">
      <w:r>
        <w:rPr>
          <w:rFonts w:hint="eastAsia"/>
        </w:rPr>
        <w:t>存储资源：</w:t>
      </w:r>
    </w:p>
    <w:p w14:paraId="0BE02DE4">
      <w:r>
        <w:rPr>
          <w:rFonts w:hint="eastAsia"/>
        </w:rPr>
        <w:t>本地轻存储：移动端APP内置轻量级数据库，存储离线填报数据，保障弱网环境下的数据安全；</w:t>
      </w:r>
    </w:p>
    <w:p w14:paraId="324D31AF">
      <w:r>
        <w:rPr>
          <w:rFonts w:hint="eastAsia"/>
        </w:rPr>
        <w:t>云端主存储：复用统计云联网直报系统的数据库，结构化数据（报表指标）与非结构化数据（图片附件）统一存储。</w:t>
      </w:r>
    </w:p>
    <w:p w14:paraId="5677E6B5">
      <w:r>
        <w:rPr>
          <w:rFonts w:hint="eastAsia"/>
        </w:rPr>
        <w:t>网络资源：</w:t>
      </w:r>
    </w:p>
    <w:p w14:paraId="50DA8951">
      <w:r>
        <w:rPr>
          <w:rFonts w:hint="eastAsia"/>
        </w:rPr>
        <w:t>网络带宽复用政务云出口，通过Nginx服务器实现流量分层（移动端API请求与PC端直报流量分离），保障实时交互延迟≤2秒；</w:t>
      </w:r>
    </w:p>
    <w:p w14:paraId="6AD2C0EA">
      <w:r>
        <w:rPr>
          <w:rFonts w:hint="eastAsia"/>
        </w:rPr>
        <w:t>政务云提供DDoS防护、WAF等安全组件，移动端通讯采用HTTPS（TLS1.3）加密，满足等保三级网络安全要求。</w:t>
      </w:r>
    </w:p>
    <w:p w14:paraId="323FBEB4">
      <w:r>
        <w:rPr>
          <w:rFonts w:hint="eastAsia"/>
        </w:rPr>
        <w:t>2.数据资源层</w:t>
      </w:r>
    </w:p>
    <w:p w14:paraId="5283D63B">
      <w:r>
        <w:rPr>
          <w:rFonts w:hint="eastAsia"/>
        </w:rPr>
        <w:t>构建“移动端轻量暂存+云端集中管理”的数据存储体系，确保数据采集便捷性与安全性：</w:t>
      </w:r>
    </w:p>
    <w:p w14:paraId="26BE8348">
      <w:r>
        <w:rPr>
          <w:rFonts w:hint="eastAsia"/>
        </w:rPr>
        <w:t>移动端数据库（轻量级本地库）：选用轻量级数据库，通过手机APP创建相应的数据表来存储用户填报的数据；对本地数据进行加密处理，保障数据的安全性。</w:t>
      </w:r>
    </w:p>
    <w:p w14:paraId="75BF1F92">
      <w:r>
        <w:rPr>
          <w:rFonts w:hint="eastAsia"/>
        </w:rPr>
        <w:t>统计云联网直报数据库：通过双向API接口实现移动端与云端数据实时同步（新增数据秒级同步，历史数据按需全量同步），采用CDC（变更数据捕获）技术确保“云-端”数据最终一致性；</w:t>
      </w:r>
    </w:p>
    <w:p w14:paraId="402B09A4">
      <w:r>
        <w:rPr>
          <w:rFonts w:hint="eastAsia"/>
        </w:rPr>
        <w:t>3.应用支撑层</w:t>
      </w:r>
    </w:p>
    <w:p w14:paraId="6612F05E">
      <w:r>
        <w:rPr>
          <w:rFonts w:hint="eastAsia"/>
        </w:rPr>
        <w:t>身份鉴别：统计人员采用“手机号+短信验证码”登录，直报用户采用“企业账号+短信验证码”登录，认证接口复用政务云统一身份认证平台（CA证书体系）；</w:t>
      </w:r>
    </w:p>
    <w:p w14:paraId="7F9C28D3">
      <w:r>
        <w:rPr>
          <w:rFonts w:hint="eastAsia"/>
        </w:rPr>
        <w:t>用户权限：提供统一权限管理。</w:t>
      </w:r>
    </w:p>
    <w:p w14:paraId="24D72F53">
      <w:r>
        <w:rPr>
          <w:rFonts w:hint="eastAsia"/>
        </w:rPr>
        <w:t>日志模块：记录APP的运行日志，包括用户操作、系统错误、网络请求等信息，方便开发者进行问题排查和分析。</w:t>
      </w:r>
    </w:p>
    <w:p w14:paraId="6E3F429D">
      <w:r>
        <w:rPr>
          <w:rFonts w:hint="eastAsia"/>
        </w:rPr>
        <w:t>缓存模块：对常用的数据进行缓存，如字典数据、用户配置信息等，提高APP的响应速度和性能。</w:t>
      </w:r>
    </w:p>
    <w:p w14:paraId="0BEB7B79">
      <w:r>
        <w:rPr>
          <w:rFonts w:hint="eastAsia"/>
        </w:rPr>
        <w:t>网络通讯：移动端与云端通过HTTP/2协议通信，支持多路复用；Nginx服务器作为反向代理，实现移动端“/mobile”前缀请求专属路由；</w:t>
      </w:r>
    </w:p>
    <w:p w14:paraId="63EC7CF0">
      <w:r>
        <w:rPr>
          <w:rFonts w:hint="eastAsia"/>
        </w:rPr>
        <w:t>4.应用层</w:t>
      </w:r>
    </w:p>
    <w:p w14:paraId="0281F4EF">
      <w:r>
        <w:rPr>
          <w:rFonts w:hint="eastAsia"/>
        </w:rPr>
        <w:t>基于“云-端”协同架构，构建轻量化采集与智能化管理功能集群，包括移动端数据采集模块、多端报表协同设计模块、移动端配置管理模块。</w:t>
      </w:r>
    </w:p>
    <w:p w14:paraId="4E9E1DF6">
      <w:r>
        <w:rPr>
          <w:rFonts w:hint="eastAsia"/>
        </w:rPr>
        <w:t>5.展示层</w:t>
      </w:r>
    </w:p>
    <w:p w14:paraId="22F0357F">
      <w:r>
        <w:rPr>
          <w:rFonts w:hint="eastAsia"/>
        </w:rPr>
        <w:t>以“高效填报、清晰展示”为目标，设计多端适配的用户界面。包含各种数据填报页面，如表单式填报、卡片式填报等；导航栏、菜单，方便用户在不同功能模块间切换；提示信息框，用于显示操作结果、错误提示等。</w:t>
      </w:r>
    </w:p>
    <w:p w14:paraId="74410C6B">
      <w:r>
        <w:rPr>
          <w:rFonts w:hint="eastAsia"/>
        </w:rPr>
        <w:t>6.用户层</w:t>
      </w:r>
    </w:p>
    <w:p w14:paraId="3EAE24E1">
      <w:r>
        <w:rPr>
          <w:rFonts w:hint="eastAsia"/>
        </w:rPr>
        <w:t>本项目系统用户包括上海市各级统计机构用户、企业自主填报用户、系统运维人员、系统管理人员。</w:t>
      </w:r>
    </w:p>
    <w:p w14:paraId="08DEE50F">
      <w:pPr>
        <w:pStyle w:val="61"/>
        <w:numPr>
          <w:ilvl w:val="4"/>
          <w:numId w:val="7"/>
        </w:numPr>
        <w:spacing w:line="560" w:lineRule="exact"/>
        <w:ind w:firstLineChars="0"/>
        <w:rPr>
          <w:b/>
          <w:bCs/>
          <w:sz w:val="24"/>
        </w:rPr>
      </w:pPr>
      <w:r>
        <w:rPr>
          <w:rFonts w:hint="eastAsia"/>
          <w:b/>
          <w:bCs/>
          <w:sz w:val="24"/>
        </w:rPr>
        <w:t>上海市统计局数据共享子系统（新建）</w:t>
      </w:r>
    </w:p>
    <w:p w14:paraId="73B156DD">
      <w:pPr>
        <w:rPr>
          <w:rFonts w:cs="宋体"/>
          <w:kern w:val="0"/>
        </w:rPr>
      </w:pPr>
      <w:r>
        <w:rPr>
          <w:rFonts w:hint="eastAsia" w:cs="宋体"/>
          <w:kern w:val="0"/>
        </w:rPr>
        <w:drawing>
          <wp:inline distT="0" distB="0" distL="0" distR="0">
            <wp:extent cx="5361940" cy="3323590"/>
            <wp:effectExtent l="0" t="0" r="0" b="0"/>
            <wp:docPr id="8132858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85833"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61940" cy="3323590"/>
                    </a:xfrm>
                    <a:prstGeom prst="rect">
                      <a:avLst/>
                    </a:prstGeom>
                    <a:noFill/>
                  </pic:spPr>
                </pic:pic>
              </a:graphicData>
            </a:graphic>
          </wp:inline>
        </w:drawing>
      </w:r>
    </w:p>
    <w:p w14:paraId="514654C6">
      <w:r>
        <w:rPr>
          <w:rFonts w:hint="eastAsia"/>
        </w:rPr>
        <w:t>接入层：负责接收来自不同终端和第三方系统的访问请求，完成身份认证、协议转换和流量控制，是连接外部用户与内部服务的桥梁。</w:t>
      </w:r>
    </w:p>
    <w:p w14:paraId="122F2199">
      <w:r>
        <w:rPr>
          <w:rFonts w:hint="eastAsia"/>
        </w:rPr>
        <w:t>服务层：封装核心业务逻辑，通过微服务架构实现功能解耦，支持弹性扩展和独立部署。各服务通过轻量级协议（如 HTTP/2、gRPC）或消息队列（如 Kafka）交互。</w:t>
      </w:r>
    </w:p>
    <w:p w14:paraId="3528B31D">
      <w:r>
        <w:rPr>
          <w:rFonts w:hint="eastAsia"/>
        </w:rPr>
        <w:t>数据层：负责数据的存储、管理和持久化，支持结构化、半结构化、非结构化数据的混合存储，保障数据安全与高可用性。</w:t>
      </w:r>
    </w:p>
    <w:p w14:paraId="668CA878">
      <w:pPr>
        <w:rPr>
          <w:rFonts w:hint="eastAsia"/>
        </w:rPr>
      </w:pPr>
      <w:r>
        <w:rPr>
          <w:rFonts w:hint="eastAsia"/>
        </w:rPr>
        <w:t>本系统实现了从外部接入到内部处理再到数据存储的全流程覆盖，既满足了业务灵活性需求，又保障了技术架构的稳定性与可扩展性，为跨层级数据共享提供了坚实的技术支撑。</w:t>
      </w:r>
    </w:p>
    <w:p w14:paraId="6559DF7F">
      <w:pPr>
        <w:pStyle w:val="61"/>
        <w:numPr>
          <w:ilvl w:val="2"/>
          <w:numId w:val="7"/>
        </w:numPr>
        <w:spacing w:line="560" w:lineRule="exact"/>
        <w:ind w:hanging="726" w:firstLineChars="0"/>
        <w:outlineLvl w:val="2"/>
        <w:rPr>
          <w:b/>
          <w:bCs/>
          <w:sz w:val="28"/>
          <w:szCs w:val="28"/>
        </w:rPr>
      </w:pPr>
      <w:r>
        <w:rPr>
          <w:b/>
          <w:bCs/>
          <w:sz w:val="28"/>
          <w:szCs w:val="28"/>
        </w:rPr>
        <w:t>上海市统计大数据监测平台(升级改造)</w:t>
      </w:r>
    </w:p>
    <w:p w14:paraId="5EB34C32">
      <w:pPr>
        <w:pStyle w:val="61"/>
        <w:numPr>
          <w:ilvl w:val="3"/>
          <w:numId w:val="7"/>
        </w:numPr>
        <w:spacing w:line="560" w:lineRule="exact"/>
        <w:ind w:left="720" w:firstLine="0" w:firstLineChars="0"/>
        <w:jc w:val="left"/>
        <w:outlineLvl w:val="9"/>
        <w:rPr>
          <w:rFonts w:hint="eastAsia"/>
          <w:b/>
          <w:bCs/>
          <w:sz w:val="24"/>
          <w:szCs w:val="24"/>
        </w:rPr>
      </w:pPr>
      <w:r>
        <w:rPr>
          <w:rFonts w:hint="eastAsia"/>
          <w:b/>
          <w:bCs/>
          <w:sz w:val="24"/>
          <w:szCs w:val="24"/>
        </w:rPr>
        <w:t>上海市统计局政府“电子统计”系统（升级改造）</w:t>
      </w:r>
    </w:p>
    <w:p w14:paraId="06321168">
      <w:pPr>
        <w:spacing w:line="560" w:lineRule="exact"/>
        <w:ind w:firstLineChars="0"/>
        <w:rPr>
          <w:b/>
          <w:bCs/>
        </w:rPr>
      </w:pPr>
    </w:p>
    <w:p w14:paraId="22B50594">
      <w:r>
        <w:rPr>
          <w:rFonts w:cs="宋体"/>
          <w:kern w:val="0"/>
        </w:rPr>
        <w:drawing>
          <wp:inline distT="0" distB="0" distL="0" distR="0">
            <wp:extent cx="5274310" cy="3234690"/>
            <wp:effectExtent l="0" t="0" r="2540" b="3810"/>
            <wp:docPr id="576359163"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59163" name="图片 1" descr="图形用户界面, 应用程序&#10;&#10;AI 生成的内容可能不正确。"/>
                    <pic:cNvPicPr>
                      <a:picLocks noChangeAspect="1"/>
                    </pic:cNvPicPr>
                  </pic:nvPicPr>
                  <pic:blipFill>
                    <a:blip r:embed="rId16"/>
                    <a:stretch>
                      <a:fillRect/>
                    </a:stretch>
                  </pic:blipFill>
                  <pic:spPr>
                    <a:xfrm>
                      <a:off x="0" y="0"/>
                      <a:ext cx="5274310" cy="3234690"/>
                    </a:xfrm>
                    <a:prstGeom prst="rect">
                      <a:avLst/>
                    </a:prstGeom>
                  </pic:spPr>
                </pic:pic>
              </a:graphicData>
            </a:graphic>
          </wp:inline>
        </w:drawing>
      </w:r>
    </w:p>
    <w:p w14:paraId="66C4923A">
      <w:r>
        <w:rPr>
          <w:rFonts w:hint="eastAsia"/>
        </w:rPr>
        <w:t>基础设施层：利用上海市统计局政府“电子统计”系统在政务云平台的现有资源进行部署、运行。</w:t>
      </w:r>
    </w:p>
    <w:p w14:paraId="1E2A9DFA">
      <w:r>
        <w:rPr>
          <w:rFonts w:hint="eastAsia"/>
        </w:rPr>
        <w:t>数据层：利旧现有的基础支撑应用数据库、元数据库、报表通用数据库、基层数据库、汇总数据库，对其中的数据按照上海市统计局现有的数据标准进行梳理、标准化、表样定制、迁移入库等操作。数据库的内容划分边界不改变，重新设计数据结构。根据月度数据共享数据，构建共享数据库。</w:t>
      </w:r>
    </w:p>
    <w:p w14:paraId="63FB50AB">
      <w:r>
        <w:rPr>
          <w:rFonts w:hint="eastAsia"/>
        </w:rPr>
        <w:t>支撑层：沿用现有的基础支撑应用，实现升级改造后用户管理、权限管理等。</w:t>
      </w:r>
    </w:p>
    <w:p w14:paraId="3B528996">
      <w:r>
        <w:rPr>
          <w:rFonts w:hint="eastAsia"/>
        </w:rPr>
        <w:t>应用层：对上海统计业务综合处理系统中的月度库模块进行升级改造，改造内容包括：月度库报表管理、月度库数据管理、月度库数据共享。利旧其他应用，以及与其他应用的数据接口。</w:t>
      </w:r>
    </w:p>
    <w:p w14:paraId="24057B72">
      <w:r>
        <w:rPr>
          <w:rFonts w:hint="eastAsia"/>
        </w:rPr>
        <w:t>用户层：升级改造完成后，用户群体不发生改变，依旧是上海市统计局的业务用户和管理用户。</w:t>
      </w:r>
    </w:p>
    <w:p w14:paraId="7CAA3685">
      <w:pPr>
        <w:pStyle w:val="3"/>
      </w:pPr>
      <w:r>
        <w:rPr>
          <w:rFonts w:hint="eastAsia"/>
        </w:rPr>
        <w:t>部署环境</w:t>
      </w:r>
    </w:p>
    <w:p w14:paraId="709D6460">
      <w:pPr>
        <w:pStyle w:val="61"/>
        <w:numPr>
          <w:ilvl w:val="2"/>
          <w:numId w:val="8"/>
        </w:numPr>
        <w:spacing w:line="560" w:lineRule="exact"/>
        <w:ind w:hanging="726" w:firstLineChars="0"/>
        <w:outlineLvl w:val="2"/>
        <w:rPr>
          <w:b/>
          <w:bCs/>
          <w:sz w:val="28"/>
          <w:szCs w:val="28"/>
        </w:rPr>
      </w:pPr>
      <w:r>
        <w:rPr>
          <w:rFonts w:hint="eastAsia"/>
          <w:b/>
          <w:bCs/>
          <w:sz w:val="28"/>
          <w:szCs w:val="28"/>
        </w:rPr>
        <w:t>上海市第四次全国农业普查数据处理子系统（新建）</w:t>
      </w:r>
    </w:p>
    <w:p w14:paraId="00345249">
      <w:r>
        <w:rPr>
          <w:rFonts w:hint="eastAsia"/>
        </w:rPr>
        <w:t>本系统依托上海市电子政务云平台部署，主体部署在政务外网统计专网。</w:t>
      </w:r>
    </w:p>
    <w:p w14:paraId="5EB48946">
      <w:pPr>
        <w:pStyle w:val="61"/>
        <w:numPr>
          <w:ilvl w:val="2"/>
          <w:numId w:val="8"/>
        </w:numPr>
        <w:spacing w:line="560" w:lineRule="exact"/>
        <w:ind w:hanging="726" w:firstLineChars="0"/>
        <w:outlineLvl w:val="2"/>
        <w:rPr>
          <w:b/>
          <w:bCs/>
          <w:sz w:val="28"/>
          <w:szCs w:val="28"/>
        </w:rPr>
      </w:pPr>
      <w:r>
        <w:rPr>
          <w:rFonts w:hint="eastAsia"/>
          <w:b/>
          <w:bCs/>
          <w:sz w:val="28"/>
          <w:szCs w:val="28"/>
        </w:rPr>
        <w:t>统计一套表网报管理系统项目(升级改造)</w:t>
      </w:r>
    </w:p>
    <w:p w14:paraId="24DB55BA">
      <w:pPr>
        <w:pStyle w:val="61"/>
        <w:numPr>
          <w:ilvl w:val="3"/>
          <w:numId w:val="8"/>
        </w:numPr>
        <w:ind w:firstLineChars="0"/>
        <w:rPr>
          <w:rFonts w:ascii="宋体" w:hAnsi="宋体"/>
          <w:b/>
          <w:bCs/>
          <w:sz w:val="24"/>
        </w:rPr>
      </w:pPr>
      <w:r>
        <w:rPr>
          <w:rFonts w:hint="eastAsia" w:ascii="宋体" w:hAnsi="宋体"/>
          <w:b/>
          <w:bCs/>
          <w:sz w:val="24"/>
        </w:rPr>
        <w:t>统计云工程上海联网直报节点子系统（升级改造）</w:t>
      </w:r>
    </w:p>
    <w:p w14:paraId="59925D99">
      <w:pPr>
        <w:pStyle w:val="61"/>
        <w:numPr>
          <w:ilvl w:val="4"/>
          <w:numId w:val="8"/>
        </w:numPr>
        <w:ind w:firstLineChars="0"/>
        <w:rPr>
          <w:rFonts w:ascii="宋体" w:hAnsi="宋体"/>
          <w:b/>
          <w:bCs/>
          <w:sz w:val="24"/>
        </w:rPr>
      </w:pPr>
      <w:r>
        <w:rPr>
          <w:rFonts w:hint="eastAsia"/>
          <w:b/>
          <w:bCs/>
          <w:sz w:val="24"/>
        </w:rPr>
        <w:t>上海市统计数据移动采集子系统（新建）</w:t>
      </w:r>
    </w:p>
    <w:p w14:paraId="43D7A531">
      <w:r>
        <w:rPr>
          <w:rFonts w:hint="eastAsia"/>
        </w:rPr>
        <w:t>本系统依托上海市电子政务云平台部署，主体部署在政务外网统计专网，通过互联网提供移动端访问接入。</w:t>
      </w:r>
    </w:p>
    <w:p w14:paraId="78584AE6">
      <w:pPr>
        <w:pStyle w:val="61"/>
        <w:numPr>
          <w:ilvl w:val="4"/>
          <w:numId w:val="8"/>
        </w:numPr>
        <w:ind w:firstLineChars="0"/>
        <w:rPr>
          <w:b/>
          <w:bCs/>
          <w:sz w:val="24"/>
        </w:rPr>
      </w:pPr>
      <w:r>
        <w:rPr>
          <w:rFonts w:hint="eastAsia"/>
          <w:b/>
          <w:bCs/>
          <w:sz w:val="24"/>
        </w:rPr>
        <w:t>上海市统计局数据共享子系统（新建）</w:t>
      </w:r>
    </w:p>
    <w:p w14:paraId="7AB1E3E4">
      <w:pPr>
        <w:ind w:firstLineChars="0"/>
        <w:rPr>
          <w:rFonts w:cs="宋体"/>
          <w:kern w:val="0"/>
        </w:rPr>
      </w:pPr>
      <w:r>
        <w:rPr>
          <w:rFonts w:hint="eastAsia"/>
        </w:rPr>
        <w:t>本系统依托上海市电子政务云平台部署，部署在政务外网。</w:t>
      </w:r>
    </w:p>
    <w:p w14:paraId="611A4B1E">
      <w:pPr>
        <w:pStyle w:val="61"/>
        <w:numPr>
          <w:ilvl w:val="2"/>
          <w:numId w:val="8"/>
        </w:numPr>
        <w:spacing w:line="560" w:lineRule="exact"/>
        <w:ind w:hanging="726" w:firstLineChars="0"/>
        <w:outlineLvl w:val="2"/>
        <w:rPr>
          <w:b/>
          <w:bCs/>
          <w:sz w:val="28"/>
          <w:szCs w:val="28"/>
        </w:rPr>
      </w:pPr>
      <w:r>
        <w:rPr>
          <w:b/>
          <w:bCs/>
          <w:sz w:val="28"/>
          <w:szCs w:val="28"/>
        </w:rPr>
        <w:t>上海市统计大数据监测平台(升级改造)</w:t>
      </w:r>
    </w:p>
    <w:p w14:paraId="0C0CF185">
      <w:r>
        <w:rPr>
          <w:rFonts w:hint="eastAsia"/>
        </w:rPr>
        <w:t>本系统依托上海市电子政务云平台部署，主体部署在政务外网区。</w:t>
      </w:r>
    </w:p>
    <w:p w14:paraId="52A5EE2E">
      <w:pPr>
        <w:pStyle w:val="61"/>
        <w:numPr>
          <w:ilvl w:val="2"/>
          <w:numId w:val="8"/>
        </w:numPr>
        <w:spacing w:line="560" w:lineRule="exact"/>
        <w:ind w:hanging="726" w:firstLineChars="0"/>
        <w:outlineLvl w:val="2"/>
        <w:rPr>
          <w:b/>
          <w:bCs/>
          <w:sz w:val="28"/>
          <w:szCs w:val="28"/>
        </w:rPr>
      </w:pPr>
      <w:r>
        <w:rPr>
          <w:rFonts w:hint="eastAsia"/>
          <w:b/>
          <w:bCs/>
          <w:sz w:val="28"/>
          <w:szCs w:val="28"/>
        </w:rPr>
        <w:t>上海市统计局机房网络安全加固（新建）</w:t>
      </w:r>
    </w:p>
    <w:p w14:paraId="1515E93F">
      <w:r>
        <w:rPr>
          <w:rFonts w:hint="eastAsia"/>
        </w:rPr>
        <w:t>网络安全加固基于上海市统计局现有机房基础进行。</w:t>
      </w:r>
    </w:p>
    <w:p w14:paraId="6E3392B3">
      <w:pPr>
        <w:pStyle w:val="3"/>
      </w:pPr>
      <w:r>
        <w:rPr>
          <w:rFonts w:hint="eastAsia"/>
        </w:rPr>
        <w:t>软件开发清单</w:t>
      </w:r>
    </w:p>
    <w:tbl>
      <w:tblPr>
        <w:tblStyle w:val="35"/>
        <w:tblW w:w="5000" w:type="pct"/>
        <w:jc w:val="center"/>
        <w:tblLayout w:type="autofit"/>
        <w:tblCellMar>
          <w:top w:w="0" w:type="dxa"/>
          <w:left w:w="108" w:type="dxa"/>
          <w:bottom w:w="0" w:type="dxa"/>
          <w:right w:w="108" w:type="dxa"/>
        </w:tblCellMar>
      </w:tblPr>
      <w:tblGrid>
        <w:gridCol w:w="658"/>
        <w:gridCol w:w="1542"/>
        <w:gridCol w:w="2727"/>
        <w:gridCol w:w="3601"/>
      </w:tblGrid>
      <w:tr w14:paraId="37EE2884">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000000" w:fill="F3F8FC"/>
            <w:noWrap/>
            <w:vAlign w:val="center"/>
          </w:tcPr>
          <w:p w14:paraId="2E9E2C26">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序号</w:t>
            </w:r>
          </w:p>
        </w:tc>
        <w:tc>
          <w:tcPr>
            <w:tcW w:w="904" w:type="pct"/>
            <w:tcBorders>
              <w:top w:val="single" w:color="auto" w:sz="4" w:space="0"/>
              <w:left w:val="nil"/>
              <w:bottom w:val="single" w:color="auto" w:sz="4" w:space="0"/>
              <w:right w:val="single" w:color="auto" w:sz="4" w:space="0"/>
            </w:tcBorders>
            <w:shd w:val="clear" w:color="000000" w:fill="F3F8FC"/>
            <w:noWrap/>
            <w:vAlign w:val="center"/>
          </w:tcPr>
          <w:p w14:paraId="0510699A">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应用系统名称</w:t>
            </w:r>
          </w:p>
        </w:tc>
        <w:tc>
          <w:tcPr>
            <w:tcW w:w="1599" w:type="pct"/>
            <w:tcBorders>
              <w:top w:val="single" w:color="auto" w:sz="4" w:space="0"/>
              <w:left w:val="nil"/>
              <w:bottom w:val="single" w:color="auto" w:sz="4" w:space="0"/>
              <w:right w:val="single" w:color="auto" w:sz="4" w:space="0"/>
            </w:tcBorders>
            <w:shd w:val="clear" w:color="000000" w:fill="F3F8FC"/>
            <w:noWrap/>
            <w:vAlign w:val="center"/>
          </w:tcPr>
          <w:p w14:paraId="61AFEA79">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模块名称</w:t>
            </w:r>
          </w:p>
        </w:tc>
        <w:tc>
          <w:tcPr>
            <w:tcW w:w="2111" w:type="pct"/>
            <w:tcBorders>
              <w:top w:val="single" w:color="auto" w:sz="4" w:space="0"/>
              <w:left w:val="nil"/>
              <w:bottom w:val="single" w:color="auto" w:sz="4" w:space="0"/>
              <w:right w:val="single" w:color="auto" w:sz="4" w:space="0"/>
            </w:tcBorders>
            <w:shd w:val="clear" w:color="000000" w:fill="F3F8FC"/>
            <w:vAlign w:val="center"/>
          </w:tcPr>
          <w:p w14:paraId="34C30045">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模块描述</w:t>
            </w:r>
          </w:p>
        </w:tc>
      </w:tr>
      <w:tr w14:paraId="09BC5645">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46951470">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603DE74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41DE596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上海市第四次全国农业普查数据处理子系统-应用集成</w:t>
            </w:r>
          </w:p>
        </w:tc>
        <w:tc>
          <w:tcPr>
            <w:tcW w:w="2111" w:type="pct"/>
            <w:tcBorders>
              <w:top w:val="single" w:color="000000" w:sz="4" w:space="0"/>
              <w:left w:val="single" w:color="000000" w:sz="4" w:space="0"/>
              <w:bottom w:val="single" w:color="000000" w:sz="4" w:space="0"/>
              <w:right w:val="single" w:color="000000" w:sz="4" w:space="0"/>
            </w:tcBorders>
            <w:vAlign w:val="center"/>
          </w:tcPr>
          <w:p w14:paraId="0A195AC8">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四农普工作门户开发与集成、接入集成、用户配置、权限配置、日志配置</w:t>
            </w:r>
          </w:p>
        </w:tc>
      </w:tr>
      <w:tr w14:paraId="210AA14F">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19463D9B">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36B6210D">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041EBCFA">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上海市第四次全国农业普查数据处理子系统-农普两员管理-两员信息管理</w:t>
            </w:r>
          </w:p>
        </w:tc>
        <w:tc>
          <w:tcPr>
            <w:tcW w:w="2111" w:type="pct"/>
            <w:tcBorders>
              <w:top w:val="single" w:color="000000" w:sz="4" w:space="0"/>
              <w:left w:val="single" w:color="000000" w:sz="4" w:space="0"/>
              <w:bottom w:val="single" w:color="000000" w:sz="4" w:space="0"/>
              <w:right w:val="single" w:color="000000" w:sz="4" w:space="0"/>
            </w:tcBorders>
            <w:vAlign w:val="center"/>
          </w:tcPr>
          <w:p w14:paraId="2A4480B6">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两员信息录入、审核、查询与编辑、删除与注销、统计分析</w:t>
            </w:r>
          </w:p>
        </w:tc>
      </w:tr>
      <w:tr w14:paraId="52F570A4">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22ED999D">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102AECE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59CE739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上海市第四次全国农业普查数据处理子系统-农普两员管理-两员制证认证</w:t>
            </w:r>
          </w:p>
        </w:tc>
        <w:tc>
          <w:tcPr>
            <w:tcW w:w="2111" w:type="pct"/>
            <w:tcBorders>
              <w:top w:val="single" w:color="000000" w:sz="4" w:space="0"/>
              <w:left w:val="single" w:color="000000" w:sz="4" w:space="0"/>
              <w:bottom w:val="single" w:color="000000" w:sz="4" w:space="0"/>
              <w:right w:val="single" w:color="000000" w:sz="4" w:space="0"/>
            </w:tcBorders>
            <w:vAlign w:val="center"/>
          </w:tcPr>
          <w:p w14:paraId="603456DE">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“两员”编码、“两员”编码停用、“两员”编码导出</w:t>
            </w:r>
          </w:p>
        </w:tc>
      </w:tr>
      <w:tr w14:paraId="07DB8E6F">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2CEF364B">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7002B89B">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3370F89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上海市第四次全国农业普查数据处理子系统-农普两员管理-两员信息台账</w:t>
            </w:r>
          </w:p>
        </w:tc>
        <w:tc>
          <w:tcPr>
            <w:tcW w:w="2111" w:type="pct"/>
            <w:tcBorders>
              <w:top w:val="single" w:color="000000" w:sz="4" w:space="0"/>
              <w:left w:val="single" w:color="000000" w:sz="4" w:space="0"/>
              <w:bottom w:val="single" w:color="000000" w:sz="4" w:space="0"/>
              <w:right w:val="single" w:color="000000" w:sz="4" w:space="0"/>
            </w:tcBorders>
            <w:vAlign w:val="center"/>
          </w:tcPr>
          <w:p w14:paraId="0FFD6A16">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根据普查组织机构，建立分组分级分地区的管理模式。台账信息包括但不限于普查“两员”用户的基本信息和主要工作信息。</w:t>
            </w:r>
          </w:p>
        </w:tc>
      </w:tr>
      <w:tr w14:paraId="5EF243C9">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3B5227EA">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59D207A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697DBB6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上海市第四次全国农业普查数据处理子系统-底册预处理-农普多源数据获取</w:t>
            </w:r>
          </w:p>
        </w:tc>
        <w:tc>
          <w:tcPr>
            <w:tcW w:w="2111" w:type="pct"/>
            <w:tcBorders>
              <w:top w:val="single" w:color="000000" w:sz="4" w:space="0"/>
              <w:left w:val="single" w:color="000000" w:sz="4" w:space="0"/>
              <w:bottom w:val="single" w:color="000000" w:sz="4" w:space="0"/>
              <w:right w:val="single" w:color="000000" w:sz="4" w:space="0"/>
            </w:tcBorders>
            <w:vAlign w:val="center"/>
          </w:tcPr>
          <w:p w14:paraId="178B8822">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数据获取与底册生成、底册数据本地化导入、外部数据接入</w:t>
            </w:r>
          </w:p>
        </w:tc>
      </w:tr>
      <w:tr w14:paraId="6CD34B57">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0F1F6225">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4204DD0A">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4FA099E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上海市第四次全国农业普查数据处理子系统-底册预处理-底册数据本地化处理</w:t>
            </w:r>
          </w:p>
        </w:tc>
        <w:tc>
          <w:tcPr>
            <w:tcW w:w="2111" w:type="pct"/>
            <w:tcBorders>
              <w:top w:val="single" w:color="000000" w:sz="4" w:space="0"/>
              <w:left w:val="single" w:color="000000" w:sz="4" w:space="0"/>
              <w:bottom w:val="single" w:color="000000" w:sz="4" w:space="0"/>
              <w:right w:val="single" w:color="000000" w:sz="4" w:space="0"/>
            </w:tcBorders>
            <w:vAlign w:val="center"/>
          </w:tcPr>
          <w:p w14:paraId="5F3E1C5F">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农普部门数据整合、农普地理信息校准、缺失主体信息补全、底册异常数据汇总、数据完整性核查、底册名录维护、农普名录库更新、行政区划及图层维护、地块与村级普查小区关联</w:t>
            </w:r>
          </w:p>
        </w:tc>
      </w:tr>
      <w:tr w14:paraId="2D17B3C4">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00FE38DA">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33D7BA92">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761D2F6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上海市第四次全国农业普查数据处理子系统-底册预处理-多来源数据比对</w:t>
            </w:r>
          </w:p>
        </w:tc>
        <w:tc>
          <w:tcPr>
            <w:tcW w:w="2111" w:type="pct"/>
            <w:tcBorders>
              <w:top w:val="single" w:color="000000" w:sz="4" w:space="0"/>
              <w:left w:val="single" w:color="000000" w:sz="4" w:space="0"/>
              <w:bottom w:val="single" w:color="000000" w:sz="4" w:space="0"/>
              <w:right w:val="single" w:color="000000" w:sz="4" w:space="0"/>
            </w:tcBorders>
            <w:vAlign w:val="center"/>
          </w:tcPr>
          <w:p w14:paraId="58B183BC">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农户户籍校验、地块面积校验、地块坐标校验、种植类型校验、</w:t>
            </w:r>
            <w:r>
              <w:rPr>
                <w:rFonts w:hint="eastAsia" w:ascii="Tahoma" w:hAnsi="Tahoma" w:cs="Tahoma"/>
                <w:color w:val="000000"/>
                <w:kern w:val="0"/>
                <w:sz w:val="22"/>
                <w:szCs w:val="22"/>
              </w:rPr>
              <w:br w:type="textWrapping"/>
            </w:r>
            <w:r>
              <w:rPr>
                <w:rFonts w:hint="eastAsia" w:ascii="Tahoma" w:hAnsi="Tahoma" w:cs="Tahoma"/>
                <w:color w:val="000000"/>
                <w:kern w:val="0"/>
                <w:sz w:val="22"/>
                <w:szCs w:val="22"/>
              </w:rPr>
              <w:t>校验结果查询</w:t>
            </w:r>
          </w:p>
        </w:tc>
      </w:tr>
      <w:tr w14:paraId="0EC44C57">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01583256">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2F8FAF5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3646428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上海市第四次全国农业普查数据处理子系统-底册预处理-底册数据分类标记</w:t>
            </w:r>
          </w:p>
        </w:tc>
        <w:tc>
          <w:tcPr>
            <w:tcW w:w="2111" w:type="pct"/>
            <w:tcBorders>
              <w:top w:val="single" w:color="000000" w:sz="4" w:space="0"/>
              <w:left w:val="single" w:color="000000" w:sz="4" w:space="0"/>
              <w:bottom w:val="single" w:color="000000" w:sz="4" w:space="0"/>
              <w:right w:val="single" w:color="000000" w:sz="4" w:space="0"/>
            </w:tcBorders>
            <w:vAlign w:val="center"/>
          </w:tcPr>
          <w:p w14:paraId="4072CA36">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自定义分类标签、底册数据进行分类标记、特殊区域人工标注</w:t>
            </w:r>
          </w:p>
        </w:tc>
      </w:tr>
      <w:tr w14:paraId="1CD5F6E3">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46FA5BB6">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0D9D2C3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61B4E37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上海市第四次全国农业普查数据处理子系统-底册预处理-底册数据查询</w:t>
            </w:r>
          </w:p>
        </w:tc>
        <w:tc>
          <w:tcPr>
            <w:tcW w:w="2111" w:type="pct"/>
            <w:tcBorders>
              <w:top w:val="single" w:color="000000" w:sz="4" w:space="0"/>
              <w:left w:val="single" w:color="000000" w:sz="4" w:space="0"/>
              <w:bottom w:val="single" w:color="000000" w:sz="4" w:space="0"/>
              <w:right w:val="single" w:color="000000" w:sz="4" w:space="0"/>
            </w:tcBorders>
            <w:vAlign w:val="center"/>
          </w:tcPr>
          <w:p w14:paraId="7386FE48">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农业生产业务数据查询、农业经营主体业务数据查询、农业地块业务数据查询、农户从业情况业务数据查询</w:t>
            </w:r>
          </w:p>
        </w:tc>
      </w:tr>
      <w:tr w14:paraId="1CE4A55C">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576D1723">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0F1D8E28">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7BE35258">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上海市第四次全国农业普查数据处理子系统-底册预处理-底册数据维护</w:t>
            </w:r>
          </w:p>
        </w:tc>
        <w:tc>
          <w:tcPr>
            <w:tcW w:w="2111" w:type="pct"/>
            <w:tcBorders>
              <w:top w:val="single" w:color="000000" w:sz="4" w:space="0"/>
              <w:left w:val="single" w:color="000000" w:sz="4" w:space="0"/>
              <w:bottom w:val="single" w:color="000000" w:sz="4" w:space="0"/>
              <w:right w:val="single" w:color="000000" w:sz="4" w:space="0"/>
            </w:tcBorders>
            <w:vAlign w:val="center"/>
          </w:tcPr>
          <w:p w14:paraId="5ADAF48D">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农业生产业务数据维护、农业经营主体业务数据维护、农业地块业务数据维护、农户从业情况业务数据维护</w:t>
            </w:r>
          </w:p>
        </w:tc>
      </w:tr>
      <w:tr w14:paraId="7040EB08">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0AA86FA0">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7ACEFF4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722327F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上海市第四次全国农业普查数据处理子系统-底册预处理-底册数据导出/下载</w:t>
            </w:r>
          </w:p>
        </w:tc>
        <w:tc>
          <w:tcPr>
            <w:tcW w:w="2111" w:type="pct"/>
            <w:tcBorders>
              <w:top w:val="single" w:color="000000" w:sz="4" w:space="0"/>
              <w:left w:val="single" w:color="000000" w:sz="4" w:space="0"/>
              <w:bottom w:val="single" w:color="000000" w:sz="4" w:space="0"/>
              <w:right w:val="single" w:color="000000" w:sz="4" w:space="0"/>
            </w:tcBorders>
            <w:vAlign w:val="center"/>
          </w:tcPr>
          <w:p w14:paraId="49C045C1">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用户可根据工作需要，将处理后的底册数据进行导出或下载。支持用户根据实际需求自定义导出范围，组合多维度条件筛选目标数据，支持选择导出数据的格式，如Excel、PDF等，并可自定义导出数据的内容范围。</w:t>
            </w:r>
          </w:p>
        </w:tc>
      </w:tr>
      <w:tr w14:paraId="46C28FF8">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05857DA8">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6D32514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3E65C47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上海市第四次全国农业普查数据处理子系统-国家农普数据回流-四农普元数据回流接收</w:t>
            </w:r>
          </w:p>
        </w:tc>
        <w:tc>
          <w:tcPr>
            <w:tcW w:w="2111" w:type="pct"/>
            <w:tcBorders>
              <w:top w:val="single" w:color="000000" w:sz="4" w:space="0"/>
              <w:left w:val="single" w:color="000000" w:sz="4" w:space="0"/>
              <w:bottom w:val="single" w:color="000000" w:sz="4" w:space="0"/>
              <w:right w:val="single" w:color="000000" w:sz="4" w:space="0"/>
            </w:tcBorders>
            <w:vAlign w:val="center"/>
          </w:tcPr>
          <w:p w14:paraId="612E42B9">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指标数据接收、目录数据接收、分组数据接收、计量单位数据接收、标识数据接收、自定义分组数据接收、衍生指标数据接收、</w:t>
            </w:r>
            <w:r>
              <w:rPr>
                <w:rFonts w:hint="eastAsia" w:ascii="Tahoma" w:hAnsi="Tahoma" w:cs="Tahoma"/>
                <w:color w:val="000000"/>
                <w:kern w:val="0"/>
                <w:sz w:val="22"/>
                <w:szCs w:val="22"/>
              </w:rPr>
              <w:br w:type="textWrapping"/>
            </w:r>
            <w:r>
              <w:rPr>
                <w:rFonts w:hint="eastAsia" w:ascii="Tahoma" w:hAnsi="Tahoma" w:cs="Tahoma"/>
                <w:color w:val="000000"/>
                <w:kern w:val="0"/>
                <w:sz w:val="22"/>
                <w:szCs w:val="22"/>
              </w:rPr>
              <w:t>通用表数据接收</w:t>
            </w:r>
          </w:p>
        </w:tc>
      </w:tr>
      <w:tr w14:paraId="30C98A77">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3119F1FD">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4B654908">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07AF94B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上海市第四次全国农业普查数据处理子系统-国家农普数据回流-四农普制度回流接收</w:t>
            </w:r>
          </w:p>
        </w:tc>
        <w:tc>
          <w:tcPr>
            <w:tcW w:w="2111" w:type="pct"/>
            <w:tcBorders>
              <w:top w:val="single" w:color="000000" w:sz="4" w:space="0"/>
              <w:left w:val="single" w:color="000000" w:sz="4" w:space="0"/>
              <w:bottom w:val="single" w:color="000000" w:sz="4" w:space="0"/>
              <w:right w:val="single" w:color="000000" w:sz="4" w:space="0"/>
            </w:tcBorders>
            <w:vAlign w:val="center"/>
          </w:tcPr>
          <w:p w14:paraId="75EA18E2">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农户调查制度接收、农业经营单位调查制度接收、行政村调查制度接收、镇调查制度接收</w:t>
            </w:r>
          </w:p>
        </w:tc>
      </w:tr>
      <w:tr w14:paraId="60E4EF5E">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3ED1D484">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12D2AB44">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370104FA">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上海市第四次全国农业普查数据处理子系统-国家农普数据回流-四农普采集数据回流接收</w:t>
            </w:r>
          </w:p>
        </w:tc>
        <w:tc>
          <w:tcPr>
            <w:tcW w:w="2111" w:type="pct"/>
            <w:tcBorders>
              <w:top w:val="single" w:color="000000" w:sz="4" w:space="0"/>
              <w:left w:val="single" w:color="000000" w:sz="4" w:space="0"/>
              <w:bottom w:val="single" w:color="000000" w:sz="4" w:space="0"/>
              <w:right w:val="single" w:color="000000" w:sz="4" w:space="0"/>
            </w:tcBorders>
            <w:vAlign w:val="center"/>
          </w:tcPr>
          <w:p w14:paraId="3D28CA48">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农户调查采集数据接收、农业经营单位调查采集数据接收、行政村调查采集数据接收、乡镇调查采集数据接收</w:t>
            </w:r>
          </w:p>
        </w:tc>
      </w:tr>
      <w:tr w14:paraId="6736BBEF">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783C8E4B">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462BDE3D">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1BF9A1E7">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上海市第四次全国农业普查数据处理子系统-国家农普数据回流-回流数据多维度评估</w:t>
            </w:r>
          </w:p>
        </w:tc>
        <w:tc>
          <w:tcPr>
            <w:tcW w:w="2111" w:type="pct"/>
            <w:tcBorders>
              <w:top w:val="single" w:color="000000" w:sz="4" w:space="0"/>
              <w:left w:val="single" w:color="000000" w:sz="4" w:space="0"/>
              <w:bottom w:val="single" w:color="000000" w:sz="4" w:space="0"/>
              <w:right w:val="single" w:color="000000" w:sz="4" w:space="0"/>
            </w:tcBorders>
            <w:vAlign w:val="center"/>
          </w:tcPr>
          <w:p w14:paraId="52C4E94B">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内置可配置的业务审核规则库，支持按指标阈值、逻辑校验关系、历史数据关联性自动标记异常数据，结合人工审核意见生成多级评估报告（如“数据质量评级”“逻辑矛盾清单”）</w:t>
            </w:r>
          </w:p>
        </w:tc>
      </w:tr>
      <w:tr w14:paraId="794FB78E">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39D4A9EC">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2E87A45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24B977A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上海市第四次全国农业普查数据处理子系统-国家农普数据回流-农普数据汇总处理</w:t>
            </w:r>
          </w:p>
        </w:tc>
        <w:tc>
          <w:tcPr>
            <w:tcW w:w="2111" w:type="pct"/>
            <w:tcBorders>
              <w:top w:val="single" w:color="000000" w:sz="4" w:space="0"/>
              <w:left w:val="single" w:color="000000" w:sz="4" w:space="0"/>
              <w:bottom w:val="single" w:color="000000" w:sz="4" w:space="0"/>
              <w:right w:val="single" w:color="000000" w:sz="4" w:space="0"/>
            </w:tcBorders>
            <w:vAlign w:val="center"/>
          </w:tcPr>
          <w:p w14:paraId="7A2F07EB">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支持字段级派生计算（如种植面积自动合并为亩均产值）、多维度分组汇总（按行政区/作物类型）、数据脱敏重构，输出标准化汇总表与结构化数据。</w:t>
            </w:r>
          </w:p>
        </w:tc>
      </w:tr>
      <w:tr w14:paraId="46076859">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0241C617">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30590B7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6318B28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上海市第四次全国农业普查数据处理子系统-国家农普数据回流-数据修改记录查看</w:t>
            </w:r>
          </w:p>
        </w:tc>
        <w:tc>
          <w:tcPr>
            <w:tcW w:w="2111" w:type="pct"/>
            <w:tcBorders>
              <w:top w:val="single" w:color="000000" w:sz="4" w:space="0"/>
              <w:left w:val="single" w:color="000000" w:sz="4" w:space="0"/>
              <w:bottom w:val="single" w:color="000000" w:sz="4" w:space="0"/>
              <w:right w:val="single" w:color="000000" w:sz="4" w:space="0"/>
            </w:tcBorders>
            <w:vAlign w:val="center"/>
          </w:tcPr>
          <w:p w14:paraId="4586235C">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记录每条数据的修改轨迹（含操作人、时间、前值/新值），支持按指标、区域、时间范围筛选查看修改记录，提供批量导出功能（支持CSV/Excel格式），内置修改原因备注与审批流程留痕。</w:t>
            </w:r>
          </w:p>
        </w:tc>
      </w:tr>
      <w:tr w14:paraId="2016DB72">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253AF5B3">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61F0A5E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681A3D07">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上海市第四次全国农业普查数据处理子系统-国家农普数据回流-数据修改记录统计</w:t>
            </w:r>
            <w:r>
              <w:rPr>
                <w:rFonts w:ascii="Tahoma" w:hAnsi="Tahoma" w:cs="Tahoma"/>
                <w:color w:val="000000"/>
                <w:kern w:val="0"/>
                <w:sz w:val="22"/>
                <w:szCs w:val="22"/>
              </w:rPr>
              <w:t>​​</w:t>
            </w:r>
          </w:p>
        </w:tc>
        <w:tc>
          <w:tcPr>
            <w:tcW w:w="2111" w:type="pct"/>
            <w:tcBorders>
              <w:top w:val="single" w:color="000000" w:sz="4" w:space="0"/>
              <w:left w:val="single" w:color="000000" w:sz="4" w:space="0"/>
              <w:bottom w:val="single" w:color="000000" w:sz="4" w:space="0"/>
              <w:right w:val="single" w:color="000000" w:sz="4" w:space="0"/>
            </w:tcBorders>
            <w:vAlign w:val="center"/>
          </w:tcPr>
          <w:p w14:paraId="51A41DC4">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自动生成各行政区数据修改频次热力图，对比展示不同区域的核心指标修正率，支持钻取查看具体修改记录，导出包含修改次数统计的行政区划专题报表。</w:t>
            </w:r>
          </w:p>
        </w:tc>
      </w:tr>
      <w:tr w14:paraId="56D24678">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27ED65D4">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59683F72">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0F56D28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上海市第四次全国农业普查数据处理子系统-四农普专题数据管理-四农普多维标签管理</w:t>
            </w:r>
          </w:p>
        </w:tc>
        <w:tc>
          <w:tcPr>
            <w:tcW w:w="2111" w:type="pct"/>
            <w:tcBorders>
              <w:top w:val="single" w:color="000000" w:sz="4" w:space="0"/>
              <w:left w:val="single" w:color="000000" w:sz="4" w:space="0"/>
              <w:bottom w:val="single" w:color="000000" w:sz="4" w:space="0"/>
              <w:right w:val="single" w:color="000000" w:sz="4" w:space="0"/>
            </w:tcBorders>
            <w:vAlign w:val="center"/>
          </w:tcPr>
          <w:p w14:paraId="10D858C5">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多维度分类标签库、标签关联数据智能抽取与绑定、标签数值化建模与动态分级、标签权重配置与加权评分、智能分类筛选与可视化钻取分析</w:t>
            </w:r>
          </w:p>
        </w:tc>
      </w:tr>
      <w:tr w14:paraId="1CB02F6F">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5BE65FAE">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2FF17A3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5DEB62C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上海市第四次全国农业普查数据处理子系统-四农普专题数据管理-四农普专题数据空间库管理</w:t>
            </w:r>
          </w:p>
        </w:tc>
        <w:tc>
          <w:tcPr>
            <w:tcW w:w="2111" w:type="pct"/>
            <w:tcBorders>
              <w:top w:val="single" w:color="000000" w:sz="4" w:space="0"/>
              <w:left w:val="single" w:color="000000" w:sz="4" w:space="0"/>
              <w:bottom w:val="single" w:color="000000" w:sz="4" w:space="0"/>
              <w:right w:val="single" w:color="000000" w:sz="4" w:space="0"/>
            </w:tcBorders>
            <w:vAlign w:val="center"/>
          </w:tcPr>
          <w:p w14:paraId="2A3A6136">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时空基准融合与要素表管理、时空数据多模态存储与版本管理、四农普时空数据“快照+增量”双版本管理</w:t>
            </w:r>
          </w:p>
        </w:tc>
      </w:tr>
      <w:tr w14:paraId="444F290D">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2E186E7F">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7A53C85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7B389E8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上海市第四次全国农业普查数据处理子系统-四农普专题数据管理-四农普调查对象空间定位管理</w:t>
            </w:r>
          </w:p>
        </w:tc>
        <w:tc>
          <w:tcPr>
            <w:tcW w:w="2111" w:type="pct"/>
            <w:tcBorders>
              <w:top w:val="single" w:color="000000" w:sz="4" w:space="0"/>
              <w:left w:val="single" w:color="000000" w:sz="4" w:space="0"/>
              <w:bottom w:val="single" w:color="000000" w:sz="4" w:space="0"/>
              <w:right w:val="single" w:color="000000" w:sz="4" w:space="0"/>
            </w:tcBorders>
            <w:vAlign w:val="center"/>
          </w:tcPr>
          <w:p w14:paraId="46263F17">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四农普调查对象数据校准、多源空间数据融合定位</w:t>
            </w:r>
          </w:p>
        </w:tc>
      </w:tr>
      <w:tr w14:paraId="568DEFF7">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2BE6AD71">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4B989A1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385C86F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上海市第四次全国农业普查数据处理子系统-四农普专题数据管理-四农普专题分析区域管理</w:t>
            </w:r>
          </w:p>
        </w:tc>
        <w:tc>
          <w:tcPr>
            <w:tcW w:w="2111" w:type="pct"/>
            <w:tcBorders>
              <w:top w:val="single" w:color="000000" w:sz="4" w:space="0"/>
              <w:left w:val="single" w:color="000000" w:sz="4" w:space="0"/>
              <w:bottom w:val="single" w:color="000000" w:sz="4" w:space="0"/>
              <w:right w:val="single" w:color="000000" w:sz="4" w:space="0"/>
            </w:tcBorders>
            <w:vAlign w:val="center"/>
          </w:tcPr>
          <w:p w14:paraId="50B1F843">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涉农区县区域边界与空间分布特征管理、农业生态保护区区域边界与空间分布特征管理、平原农业区区域边界与空间分布特征管理、近郊都市农业区区域边界与空间分布特征管理、沿海滩涂资源区区域边界与空间分布特征管理、粮食主产区区域边界与空间分布特征管理、特色农业示范区区域边界与空间分布特征管理、畜牧水产养殖区区域边界与空间分布特征管理、休闲农业与乡村旅游区区域边界与空间分布特征管理、农产品加工物流区区域边界与空间分布特征管理、现代农业园区区域边界与空间分布特征管理、生态补偿重点区区域边界与空间分布特征管理、智慧农业试验区区域边界与空间分布特征管理、特殊功能区域区域边界与空间分布特征管理</w:t>
            </w:r>
          </w:p>
        </w:tc>
      </w:tr>
      <w:tr w14:paraId="402A79B6">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1E3BB777">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73FA16C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5C4A0772">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上海市第四次全国农业普查数据处理子系统-四农普专题数据管理-四农普遥感测量数据管理-四农普遥感数据源动态编辑</w:t>
            </w:r>
          </w:p>
        </w:tc>
        <w:tc>
          <w:tcPr>
            <w:tcW w:w="2111" w:type="pct"/>
            <w:tcBorders>
              <w:top w:val="single" w:color="000000" w:sz="4" w:space="0"/>
              <w:left w:val="single" w:color="000000" w:sz="4" w:space="0"/>
              <w:bottom w:val="single" w:color="000000" w:sz="4" w:space="0"/>
              <w:right w:val="single" w:color="000000" w:sz="4" w:space="0"/>
            </w:tcBorders>
            <w:vAlign w:val="center"/>
          </w:tcPr>
          <w:p w14:paraId="1F0C912F">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提供可视化、可定制的数据源管理界面，支持对遥感数据源的动态编辑与接入配置。</w:t>
            </w:r>
          </w:p>
        </w:tc>
      </w:tr>
      <w:tr w14:paraId="28CF8099">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45F557CD">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70363FF7">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6C40E788">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上海市第四次全国农业普查数据处理子系统-四农普专题数据管理-四农普遥感测量数据管理-四农普遥感数据接入配置</w:t>
            </w:r>
          </w:p>
        </w:tc>
        <w:tc>
          <w:tcPr>
            <w:tcW w:w="2111" w:type="pct"/>
            <w:tcBorders>
              <w:top w:val="single" w:color="000000" w:sz="4" w:space="0"/>
              <w:left w:val="single" w:color="000000" w:sz="4" w:space="0"/>
              <w:bottom w:val="single" w:color="000000" w:sz="4" w:space="0"/>
              <w:right w:val="single" w:color="000000" w:sz="4" w:space="0"/>
            </w:tcBorders>
            <w:vAlign w:val="center"/>
          </w:tcPr>
          <w:p w14:paraId="10FF2F8A">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卫星类型配置、影像类配置、时间范围配置</w:t>
            </w:r>
          </w:p>
        </w:tc>
      </w:tr>
      <w:tr w14:paraId="1CFF6176">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3B8541A7">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023475D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319A8317">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上海市第四次全国农业普查数据处理子系统-四农普专题数据管理-四农普遥感测量数据管理-四农普遥感数据接入任务配置和管理</w:t>
            </w:r>
          </w:p>
        </w:tc>
        <w:tc>
          <w:tcPr>
            <w:tcW w:w="2111" w:type="pct"/>
            <w:tcBorders>
              <w:top w:val="single" w:color="000000" w:sz="4" w:space="0"/>
              <w:left w:val="single" w:color="000000" w:sz="4" w:space="0"/>
              <w:bottom w:val="single" w:color="000000" w:sz="4" w:space="0"/>
              <w:right w:val="single" w:color="000000" w:sz="4" w:space="0"/>
            </w:tcBorders>
            <w:vAlign w:val="center"/>
          </w:tcPr>
          <w:p w14:paraId="0FA3E11A">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数据接收任务管理主要是实现对数据接收任务进程进行管理的功能，包括定制、管理和调度接收任务。</w:t>
            </w:r>
          </w:p>
        </w:tc>
      </w:tr>
      <w:tr w14:paraId="18C41015">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0C4ABC7E">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2A2DF25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3FB6887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上海市第四次全国农业普查数据处理子系统-四农普专题数据管理-四农普遥感测量数据管理-四农普遥感数据标准化处理</w:t>
            </w:r>
          </w:p>
        </w:tc>
        <w:tc>
          <w:tcPr>
            <w:tcW w:w="2111" w:type="pct"/>
            <w:tcBorders>
              <w:top w:val="single" w:color="000000" w:sz="4" w:space="0"/>
              <w:left w:val="single" w:color="000000" w:sz="4" w:space="0"/>
              <w:bottom w:val="single" w:color="000000" w:sz="4" w:space="0"/>
              <w:right w:val="single" w:color="000000" w:sz="4" w:space="0"/>
            </w:tcBorders>
            <w:vAlign w:val="center"/>
          </w:tcPr>
          <w:p w14:paraId="589CF732">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对于接入的遥感遥感数据首先要进行数据的有效性检验以及数据标准化处理。主要包括：数据解析、数据格式标准化等功能。数据解析是数据标准化的前提，数据格式标准化主要是实现数据按照给定的输出参数（如某个投影、输出分辨率、文件格式等）进行标准化输出并入库存储。</w:t>
            </w:r>
          </w:p>
        </w:tc>
      </w:tr>
      <w:tr w14:paraId="6CF2F773">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34A9C414">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6FD413E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360D2AB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上海市第四次全国农业普查数据处理子系统-四农普专题数据管理-四农普遥感测量数据管理-四农普遥感数据产品加工</w:t>
            </w:r>
          </w:p>
        </w:tc>
        <w:tc>
          <w:tcPr>
            <w:tcW w:w="2111" w:type="pct"/>
            <w:tcBorders>
              <w:top w:val="single" w:color="000000" w:sz="4" w:space="0"/>
              <w:left w:val="single" w:color="000000" w:sz="4" w:space="0"/>
              <w:bottom w:val="single" w:color="000000" w:sz="4" w:space="0"/>
              <w:right w:val="single" w:color="000000" w:sz="4" w:space="0"/>
            </w:tcBorders>
            <w:vAlign w:val="center"/>
          </w:tcPr>
          <w:p w14:paraId="322C6A33">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数据辐射校正、几何精校正、数据拼接、数据投影、数据裁剪、融合、重采样、大气校正</w:t>
            </w:r>
          </w:p>
        </w:tc>
      </w:tr>
      <w:tr w14:paraId="283F8A71">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400BD736">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214C03C4">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7C39452D">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上海市第四次全国农业普查数据处理子系统-四农普专题分析与展示-四农普遥感数据分析</w:t>
            </w:r>
          </w:p>
        </w:tc>
        <w:tc>
          <w:tcPr>
            <w:tcW w:w="2111" w:type="pct"/>
            <w:tcBorders>
              <w:top w:val="single" w:color="000000" w:sz="4" w:space="0"/>
              <w:left w:val="single" w:color="000000" w:sz="4" w:space="0"/>
              <w:bottom w:val="single" w:color="000000" w:sz="4" w:space="0"/>
              <w:right w:val="single" w:color="000000" w:sz="4" w:space="0"/>
            </w:tcBorders>
            <w:vAlign w:val="center"/>
          </w:tcPr>
          <w:p w14:paraId="3C1FBA6C">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种植空间分布分析、种植趋势监测、长势监测、地物分类与识别、地物变化检测与更新</w:t>
            </w:r>
          </w:p>
        </w:tc>
      </w:tr>
      <w:tr w14:paraId="475C745D">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28AED649">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565F821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w:t>
            </w:r>
          </w:p>
        </w:tc>
        <w:tc>
          <w:tcPr>
            <w:tcW w:w="1599" w:type="pct"/>
            <w:tcBorders>
              <w:top w:val="single" w:color="000000" w:sz="4" w:space="0"/>
              <w:left w:val="single" w:color="000000" w:sz="4" w:space="0"/>
              <w:bottom w:val="single" w:color="000000" w:sz="4" w:space="0"/>
              <w:right w:val="single" w:color="000000" w:sz="4" w:space="0"/>
            </w:tcBorders>
            <w:vAlign w:val="center"/>
          </w:tcPr>
          <w:p w14:paraId="290D8DF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上海市第四次全国农业普查数据处理子系统-四农普专题分析与展示-四农普GIS应用统计分析</w:t>
            </w:r>
          </w:p>
        </w:tc>
        <w:tc>
          <w:tcPr>
            <w:tcW w:w="2111" w:type="pct"/>
            <w:tcBorders>
              <w:top w:val="single" w:color="000000" w:sz="4" w:space="0"/>
              <w:left w:val="single" w:color="000000" w:sz="4" w:space="0"/>
              <w:bottom w:val="single" w:color="000000" w:sz="4" w:space="0"/>
              <w:right w:val="single" w:color="000000" w:sz="4" w:space="0"/>
            </w:tcBorders>
            <w:vAlign w:val="center"/>
          </w:tcPr>
          <w:p w14:paraId="080BCA4C">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农普地名地址服务、农普专题空间目录服务、地理和农普专题空间浏览服务、地理和农普专题空间查询服务、农普专题空间统计分析服务、农普专题时间统计分析服务、农普专题时空叠加统计分析服务</w:t>
            </w:r>
          </w:p>
        </w:tc>
      </w:tr>
      <w:tr w14:paraId="68ADBF44">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40E8FAD0">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44EACE0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统计一套表网报管理系统项目（升级改造）</w:t>
            </w:r>
          </w:p>
        </w:tc>
        <w:tc>
          <w:tcPr>
            <w:tcW w:w="1599" w:type="pct"/>
            <w:tcBorders>
              <w:top w:val="single" w:color="000000" w:sz="4" w:space="0"/>
              <w:left w:val="single" w:color="000000" w:sz="4" w:space="0"/>
              <w:bottom w:val="single" w:color="000000" w:sz="4" w:space="0"/>
              <w:right w:val="single" w:color="000000" w:sz="4" w:space="0"/>
            </w:tcBorders>
            <w:vAlign w:val="center"/>
          </w:tcPr>
          <w:p w14:paraId="7EEF0C4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统计云工程上海联网直报节点子系统（升级改造）-上海市统计局数据共享子系统（新建）-数据门户-首页</w:t>
            </w:r>
          </w:p>
        </w:tc>
        <w:tc>
          <w:tcPr>
            <w:tcW w:w="2111" w:type="pct"/>
            <w:tcBorders>
              <w:top w:val="single" w:color="000000" w:sz="4" w:space="0"/>
              <w:left w:val="single" w:color="000000" w:sz="4" w:space="0"/>
              <w:bottom w:val="single" w:color="000000" w:sz="4" w:space="0"/>
              <w:right w:val="single" w:color="000000" w:sz="4" w:space="0"/>
            </w:tcBorders>
            <w:vAlign w:val="center"/>
          </w:tcPr>
          <w:p w14:paraId="33B6036A">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数据搜索、数据展示、数据动态</w:t>
            </w:r>
          </w:p>
        </w:tc>
      </w:tr>
      <w:tr w14:paraId="5034595D">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6C8F71A9">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5608580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统计一套表网报管理系统项目（升级改造）</w:t>
            </w:r>
          </w:p>
        </w:tc>
        <w:tc>
          <w:tcPr>
            <w:tcW w:w="1599" w:type="pct"/>
            <w:tcBorders>
              <w:top w:val="single" w:color="000000" w:sz="4" w:space="0"/>
              <w:left w:val="single" w:color="000000" w:sz="4" w:space="0"/>
              <w:bottom w:val="single" w:color="000000" w:sz="4" w:space="0"/>
              <w:right w:val="single" w:color="000000" w:sz="4" w:space="0"/>
            </w:tcBorders>
            <w:vAlign w:val="center"/>
          </w:tcPr>
          <w:p w14:paraId="1926EE1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统计云工程上海联网直报节点子系统（升级改造）-上海市统计局数据共享子系统（新建）-数据门户-数据目录</w:t>
            </w:r>
          </w:p>
        </w:tc>
        <w:tc>
          <w:tcPr>
            <w:tcW w:w="2111" w:type="pct"/>
            <w:tcBorders>
              <w:top w:val="single" w:color="000000" w:sz="4" w:space="0"/>
              <w:left w:val="single" w:color="000000" w:sz="4" w:space="0"/>
              <w:bottom w:val="single" w:color="000000" w:sz="4" w:space="0"/>
              <w:right w:val="single" w:color="000000" w:sz="4" w:space="0"/>
            </w:tcBorders>
            <w:vAlign w:val="center"/>
          </w:tcPr>
          <w:p w14:paraId="05881257">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搜索、筛选、排序、列表</w:t>
            </w:r>
          </w:p>
        </w:tc>
      </w:tr>
      <w:tr w14:paraId="2C284CDD">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035522C0">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7422CAA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统计一套表网报管理系统项目（升级改造）</w:t>
            </w:r>
          </w:p>
        </w:tc>
        <w:tc>
          <w:tcPr>
            <w:tcW w:w="1599" w:type="pct"/>
            <w:tcBorders>
              <w:top w:val="single" w:color="000000" w:sz="4" w:space="0"/>
              <w:left w:val="single" w:color="000000" w:sz="4" w:space="0"/>
              <w:bottom w:val="single" w:color="000000" w:sz="4" w:space="0"/>
              <w:right w:val="single" w:color="000000" w:sz="4" w:space="0"/>
            </w:tcBorders>
            <w:vAlign w:val="center"/>
          </w:tcPr>
          <w:p w14:paraId="75C6787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统计云工程上海联网直报节点子系统（升级改造）-上海市统计局数据共享子系统（新建）-数据门户-系统管理</w:t>
            </w:r>
          </w:p>
        </w:tc>
        <w:tc>
          <w:tcPr>
            <w:tcW w:w="2111" w:type="pct"/>
            <w:tcBorders>
              <w:top w:val="single" w:color="000000" w:sz="4" w:space="0"/>
              <w:left w:val="single" w:color="000000" w:sz="4" w:space="0"/>
              <w:bottom w:val="single" w:color="000000" w:sz="4" w:space="0"/>
              <w:right w:val="single" w:color="000000" w:sz="4" w:space="0"/>
            </w:tcBorders>
            <w:vAlign w:val="center"/>
          </w:tcPr>
          <w:p w14:paraId="5A0926F4">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权限管理、菜单管理、日志管理、通用配置</w:t>
            </w:r>
          </w:p>
        </w:tc>
      </w:tr>
      <w:tr w14:paraId="6BFE096A">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5353A980">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4B9A8624">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统计一套表网报管理系统项目（升级改造）</w:t>
            </w:r>
          </w:p>
        </w:tc>
        <w:tc>
          <w:tcPr>
            <w:tcW w:w="1599" w:type="pct"/>
            <w:tcBorders>
              <w:top w:val="single" w:color="000000" w:sz="4" w:space="0"/>
              <w:left w:val="single" w:color="000000" w:sz="4" w:space="0"/>
              <w:bottom w:val="single" w:color="000000" w:sz="4" w:space="0"/>
              <w:right w:val="single" w:color="000000" w:sz="4" w:space="0"/>
            </w:tcBorders>
            <w:vAlign w:val="center"/>
          </w:tcPr>
          <w:p w14:paraId="0218E97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统计云工程上海联网直报节点子系统（升级改造）-上海市统计局数据共享子系统（新建）-数据共享服务</w:t>
            </w:r>
          </w:p>
        </w:tc>
        <w:tc>
          <w:tcPr>
            <w:tcW w:w="2111" w:type="pct"/>
            <w:tcBorders>
              <w:top w:val="single" w:color="000000" w:sz="4" w:space="0"/>
              <w:left w:val="single" w:color="000000" w:sz="4" w:space="0"/>
              <w:bottom w:val="single" w:color="000000" w:sz="4" w:space="0"/>
              <w:right w:val="single" w:color="000000" w:sz="4" w:space="0"/>
            </w:tcBorders>
            <w:vAlign w:val="center"/>
          </w:tcPr>
          <w:p w14:paraId="10C18AFF">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1.数据单向推送，把数据按照约定格式封装打包，推送至订阅方提供的相关接口。</w:t>
            </w:r>
            <w:r>
              <w:rPr>
                <w:rFonts w:hint="eastAsia" w:ascii="Tahoma" w:hAnsi="Tahoma" w:cs="Tahoma"/>
                <w:color w:val="000000"/>
                <w:kern w:val="0"/>
                <w:sz w:val="22"/>
                <w:szCs w:val="22"/>
              </w:rPr>
              <w:br w:type="textWrapping"/>
            </w:r>
            <w:r>
              <w:rPr>
                <w:rFonts w:hint="eastAsia" w:ascii="Tahoma" w:hAnsi="Tahoma" w:cs="Tahoma"/>
                <w:color w:val="000000"/>
                <w:kern w:val="0"/>
                <w:sz w:val="22"/>
                <w:szCs w:val="22"/>
              </w:rPr>
              <w:t>2.数据主动获取，本系统提供相关接口由订阅方主动拉取。</w:t>
            </w:r>
            <w:r>
              <w:rPr>
                <w:rFonts w:hint="eastAsia" w:ascii="Tahoma" w:hAnsi="Tahoma" w:cs="Tahoma"/>
                <w:color w:val="000000"/>
                <w:kern w:val="0"/>
                <w:sz w:val="22"/>
                <w:szCs w:val="22"/>
              </w:rPr>
              <w:br w:type="textWrapping"/>
            </w:r>
            <w:r>
              <w:rPr>
                <w:rFonts w:hint="eastAsia" w:ascii="Tahoma" w:hAnsi="Tahoma" w:cs="Tahoma"/>
                <w:color w:val="000000"/>
                <w:kern w:val="0"/>
                <w:sz w:val="22"/>
                <w:szCs w:val="22"/>
              </w:rPr>
              <w:t>3.数据在提供订阅方时，会把数据包加密，确保数据不会泄露。</w:t>
            </w:r>
          </w:p>
        </w:tc>
      </w:tr>
      <w:tr w14:paraId="48F5A5B4">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0BBC21DF">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4B6C0CF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统计一套表网报管理系统项目（升级改造）</w:t>
            </w:r>
          </w:p>
        </w:tc>
        <w:tc>
          <w:tcPr>
            <w:tcW w:w="1599" w:type="pct"/>
            <w:tcBorders>
              <w:top w:val="single" w:color="000000" w:sz="4" w:space="0"/>
              <w:left w:val="single" w:color="000000" w:sz="4" w:space="0"/>
              <w:bottom w:val="single" w:color="000000" w:sz="4" w:space="0"/>
              <w:right w:val="single" w:color="000000" w:sz="4" w:space="0"/>
            </w:tcBorders>
            <w:vAlign w:val="center"/>
          </w:tcPr>
          <w:p w14:paraId="0B39B52D">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统计云工程上海联网直报节点子系统（升级改造）-上海市统计局数据共享子系统（新建）-数据一致性保障能力</w:t>
            </w:r>
          </w:p>
        </w:tc>
        <w:tc>
          <w:tcPr>
            <w:tcW w:w="2111" w:type="pct"/>
            <w:tcBorders>
              <w:top w:val="single" w:color="000000" w:sz="4" w:space="0"/>
              <w:left w:val="single" w:color="000000" w:sz="4" w:space="0"/>
              <w:bottom w:val="single" w:color="000000" w:sz="4" w:space="0"/>
              <w:right w:val="single" w:color="000000" w:sz="4" w:space="0"/>
            </w:tcBorders>
            <w:vAlign w:val="center"/>
          </w:tcPr>
          <w:p w14:paraId="3FE82C3B">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数据一致性保障是数据共享子系统的核心能力，通过多层技术手段确保上下级数据在传输、存储和使用过程中的完整性与准确性。</w:t>
            </w:r>
          </w:p>
        </w:tc>
      </w:tr>
      <w:tr w14:paraId="4F486168">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12E2D52B">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23187FE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统计一套表网报管理系统项目（升级改造）</w:t>
            </w:r>
          </w:p>
        </w:tc>
        <w:tc>
          <w:tcPr>
            <w:tcW w:w="1599" w:type="pct"/>
            <w:tcBorders>
              <w:top w:val="single" w:color="000000" w:sz="4" w:space="0"/>
              <w:left w:val="single" w:color="000000" w:sz="4" w:space="0"/>
              <w:bottom w:val="single" w:color="000000" w:sz="4" w:space="0"/>
              <w:right w:val="single" w:color="000000" w:sz="4" w:space="0"/>
            </w:tcBorders>
            <w:vAlign w:val="center"/>
          </w:tcPr>
          <w:p w14:paraId="7DEEA97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统计云工程上海联网直报节点子系统（升级改造）-上海市统计局数据共享子系统（新建）-数据同步记录、查询与分析</w:t>
            </w:r>
          </w:p>
        </w:tc>
        <w:tc>
          <w:tcPr>
            <w:tcW w:w="2111" w:type="pct"/>
            <w:tcBorders>
              <w:top w:val="single" w:color="000000" w:sz="4" w:space="0"/>
              <w:left w:val="single" w:color="000000" w:sz="4" w:space="0"/>
              <w:bottom w:val="single" w:color="000000" w:sz="4" w:space="0"/>
              <w:right w:val="single" w:color="000000" w:sz="4" w:space="0"/>
            </w:tcBorders>
            <w:vAlign w:val="center"/>
          </w:tcPr>
          <w:p w14:paraId="47E8F694">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系统记录完整的同步过程信息、支持按条件查询同步记录、支持导出详细同步报告、提供同步趋势分析图表，展示同步成功率、耗时等指标</w:t>
            </w:r>
          </w:p>
        </w:tc>
      </w:tr>
      <w:tr w14:paraId="01FB36BF">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26CDC439">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3EED98B2">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统计一套表网报管理系统项目（升级改造）</w:t>
            </w:r>
          </w:p>
        </w:tc>
        <w:tc>
          <w:tcPr>
            <w:tcW w:w="1599" w:type="pct"/>
            <w:tcBorders>
              <w:top w:val="single" w:color="000000" w:sz="4" w:space="0"/>
              <w:left w:val="single" w:color="000000" w:sz="4" w:space="0"/>
              <w:bottom w:val="single" w:color="000000" w:sz="4" w:space="0"/>
              <w:right w:val="single" w:color="000000" w:sz="4" w:space="0"/>
            </w:tcBorders>
            <w:vAlign w:val="center"/>
          </w:tcPr>
          <w:p w14:paraId="3C07C44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统计云工程上海联网直报节点子系统（升级改造）-上海市统计数据移动采集子系统（新建）-移动端数据采集模块</w:t>
            </w:r>
          </w:p>
        </w:tc>
        <w:tc>
          <w:tcPr>
            <w:tcW w:w="2111" w:type="pct"/>
            <w:tcBorders>
              <w:top w:val="single" w:color="000000" w:sz="4" w:space="0"/>
              <w:left w:val="single" w:color="000000" w:sz="4" w:space="0"/>
              <w:bottom w:val="single" w:color="000000" w:sz="4" w:space="0"/>
              <w:right w:val="single" w:color="000000" w:sz="4" w:space="0"/>
            </w:tcBorders>
            <w:vAlign w:val="center"/>
          </w:tcPr>
          <w:p w14:paraId="11018295">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区分调查员与直报用户，强化登录安全与便捷性。</w:t>
            </w:r>
            <w:r>
              <w:rPr>
                <w:rFonts w:hint="eastAsia" w:ascii="Tahoma" w:hAnsi="Tahoma" w:cs="Tahoma"/>
                <w:color w:val="000000"/>
                <w:kern w:val="0"/>
                <w:sz w:val="22"/>
                <w:szCs w:val="22"/>
              </w:rPr>
              <w:br w:type="textWrapping"/>
            </w:r>
            <w:r>
              <w:rPr>
                <w:rFonts w:hint="eastAsia" w:ascii="Tahoma" w:hAnsi="Tahoma" w:cs="Tahoma"/>
                <w:color w:val="000000"/>
                <w:kern w:val="0"/>
                <w:sz w:val="22"/>
                <w:szCs w:val="22"/>
              </w:rPr>
              <w:t>用户进入报表填写页面，完成各项指标数据填写。</w:t>
            </w:r>
          </w:p>
        </w:tc>
      </w:tr>
      <w:tr w14:paraId="66049C80">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1D6FDBBC">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674D846D">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统计一套表网报管理系统项目（升级改造）</w:t>
            </w:r>
          </w:p>
        </w:tc>
        <w:tc>
          <w:tcPr>
            <w:tcW w:w="1599" w:type="pct"/>
            <w:tcBorders>
              <w:top w:val="single" w:color="000000" w:sz="4" w:space="0"/>
              <w:left w:val="single" w:color="000000" w:sz="4" w:space="0"/>
              <w:bottom w:val="single" w:color="000000" w:sz="4" w:space="0"/>
              <w:right w:val="single" w:color="000000" w:sz="4" w:space="0"/>
            </w:tcBorders>
            <w:vAlign w:val="center"/>
          </w:tcPr>
          <w:p w14:paraId="23DE453B">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统计云工程上海联网直报节点子系统（升级改造）-上海市统计数据移动采集子系统（新建）-多端报表协同设计</w:t>
            </w:r>
          </w:p>
        </w:tc>
        <w:tc>
          <w:tcPr>
            <w:tcW w:w="2111" w:type="pct"/>
            <w:tcBorders>
              <w:top w:val="single" w:color="000000" w:sz="4" w:space="0"/>
              <w:left w:val="single" w:color="000000" w:sz="4" w:space="0"/>
              <w:bottom w:val="single" w:color="000000" w:sz="4" w:space="0"/>
              <w:right w:val="single" w:color="000000" w:sz="4" w:space="0"/>
            </w:tcBorders>
            <w:vAlign w:val="center"/>
          </w:tcPr>
          <w:p w14:paraId="2112B709">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报表管理、页签分类与指标布局管理、设计成果保存与跨端同步</w:t>
            </w:r>
          </w:p>
        </w:tc>
      </w:tr>
      <w:tr w14:paraId="3CB649EA">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59F4B83C">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1C4CB88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统计一套表网报管理系统项目（升级改造）</w:t>
            </w:r>
          </w:p>
        </w:tc>
        <w:tc>
          <w:tcPr>
            <w:tcW w:w="1599" w:type="pct"/>
            <w:tcBorders>
              <w:top w:val="single" w:color="000000" w:sz="4" w:space="0"/>
              <w:left w:val="single" w:color="000000" w:sz="4" w:space="0"/>
              <w:bottom w:val="single" w:color="000000" w:sz="4" w:space="0"/>
              <w:right w:val="single" w:color="000000" w:sz="4" w:space="0"/>
            </w:tcBorders>
            <w:vAlign w:val="center"/>
          </w:tcPr>
          <w:p w14:paraId="4650E27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统计云工程上海联网直报节点子系统（升级改造）-上海市统计数据移动采集子系统（新建）-移动端配置管理</w:t>
            </w:r>
          </w:p>
        </w:tc>
        <w:tc>
          <w:tcPr>
            <w:tcW w:w="2111" w:type="pct"/>
            <w:tcBorders>
              <w:top w:val="single" w:color="000000" w:sz="4" w:space="0"/>
              <w:left w:val="single" w:color="000000" w:sz="4" w:space="0"/>
              <w:bottom w:val="single" w:color="000000" w:sz="4" w:space="0"/>
              <w:right w:val="single" w:color="000000" w:sz="4" w:space="0"/>
            </w:tcBorders>
            <w:vAlign w:val="center"/>
          </w:tcPr>
          <w:p w14:paraId="280E03D8">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调查员管理、移动版本管理、移动数据更新</w:t>
            </w:r>
          </w:p>
        </w:tc>
      </w:tr>
      <w:tr w14:paraId="0E5093E2">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383E64AF">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4CA95CC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上海市统计局政府“电子统计”系统（升级改造）</w:t>
            </w:r>
          </w:p>
        </w:tc>
        <w:tc>
          <w:tcPr>
            <w:tcW w:w="1599" w:type="pct"/>
            <w:tcBorders>
              <w:top w:val="single" w:color="000000" w:sz="4" w:space="0"/>
              <w:left w:val="single" w:color="000000" w:sz="4" w:space="0"/>
              <w:bottom w:val="single" w:color="000000" w:sz="4" w:space="0"/>
              <w:right w:val="single" w:color="000000" w:sz="4" w:space="0"/>
            </w:tcBorders>
            <w:vAlign w:val="center"/>
          </w:tcPr>
          <w:p w14:paraId="1858F18C">
            <w:pPr>
              <w:widowControl/>
              <w:spacing w:line="240" w:lineRule="auto"/>
              <w:ind w:firstLine="0" w:firstLineChars="0"/>
              <w:jc w:val="center"/>
              <w:rPr>
                <w:rFonts w:ascii="Tahoma" w:hAnsi="Tahoma" w:cs="Tahoma"/>
                <w:color w:val="000000"/>
                <w:kern w:val="0"/>
                <w:sz w:val="22"/>
                <w:szCs w:val="22"/>
              </w:rPr>
            </w:pPr>
            <w:bookmarkStart w:id="17" w:name="OLE_LINK1"/>
            <w:bookmarkStart w:id="18" w:name="OLE_LINK2"/>
            <w:r>
              <w:rPr>
                <w:rFonts w:hint="eastAsia" w:ascii="Tahoma" w:hAnsi="Tahoma" w:cs="Tahoma"/>
                <w:color w:val="000000"/>
                <w:kern w:val="0"/>
                <w:sz w:val="22"/>
                <w:szCs w:val="22"/>
              </w:rPr>
              <w:t>上海市统计局政府“电子统计”系统</w:t>
            </w:r>
            <w:bookmarkEnd w:id="17"/>
            <w:bookmarkEnd w:id="18"/>
            <w:r>
              <w:rPr>
                <w:rFonts w:hint="eastAsia" w:ascii="Tahoma" w:hAnsi="Tahoma" w:cs="Tahoma"/>
                <w:color w:val="000000"/>
                <w:kern w:val="0"/>
                <w:sz w:val="22"/>
                <w:szCs w:val="22"/>
              </w:rPr>
              <w:t>（升级改造）-月度库功能升级-月度库报表管理</w:t>
            </w:r>
          </w:p>
        </w:tc>
        <w:tc>
          <w:tcPr>
            <w:tcW w:w="2111" w:type="pct"/>
            <w:tcBorders>
              <w:top w:val="single" w:color="000000" w:sz="4" w:space="0"/>
              <w:left w:val="single" w:color="000000" w:sz="4" w:space="0"/>
              <w:bottom w:val="single" w:color="000000" w:sz="4" w:space="0"/>
              <w:right w:val="single" w:color="000000" w:sz="4" w:space="0"/>
            </w:tcBorders>
            <w:vAlign w:val="center"/>
          </w:tcPr>
          <w:p w14:paraId="273744A1">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目录新增、目录修改、目录移动、目录删除、目录授权、目录资源关联</w:t>
            </w:r>
            <w:r>
              <w:rPr>
                <w:rFonts w:hint="eastAsia" w:ascii="Tahoma" w:hAnsi="Tahoma" w:cs="Tahoma"/>
                <w:color w:val="000000"/>
                <w:kern w:val="0"/>
                <w:sz w:val="22"/>
                <w:szCs w:val="22"/>
              </w:rPr>
              <w:br w:type="textWrapping"/>
            </w:r>
            <w:r>
              <w:rPr>
                <w:rFonts w:hint="eastAsia" w:ascii="Tahoma" w:hAnsi="Tahoma" w:cs="Tahoma"/>
                <w:color w:val="000000"/>
                <w:kern w:val="0"/>
                <w:sz w:val="22"/>
                <w:szCs w:val="22"/>
              </w:rPr>
              <w:t>文件上传、文件查询、文件预览、文件下载、文件入库、文件删除、文件授权</w:t>
            </w:r>
            <w:r>
              <w:rPr>
                <w:rFonts w:hint="eastAsia" w:ascii="Tahoma" w:hAnsi="Tahoma" w:cs="Tahoma"/>
                <w:color w:val="000000"/>
                <w:kern w:val="0"/>
                <w:sz w:val="22"/>
                <w:szCs w:val="22"/>
              </w:rPr>
              <w:br w:type="textWrapping"/>
            </w:r>
            <w:r>
              <w:rPr>
                <w:rFonts w:hint="eastAsia" w:ascii="Tahoma" w:hAnsi="Tahoma" w:cs="Tahoma"/>
                <w:color w:val="000000"/>
                <w:kern w:val="0"/>
                <w:sz w:val="22"/>
                <w:szCs w:val="22"/>
              </w:rPr>
              <w:t>报表管理、指标管理、分组管理、时间框架管理、时间框架授权、计量单位管理</w:t>
            </w:r>
          </w:p>
        </w:tc>
      </w:tr>
      <w:tr w14:paraId="5A28C6CC">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4445EBD7">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49756D6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上海市统计局政府“电子统计”系统（升级改造）</w:t>
            </w:r>
          </w:p>
        </w:tc>
        <w:tc>
          <w:tcPr>
            <w:tcW w:w="1599" w:type="pct"/>
            <w:tcBorders>
              <w:top w:val="single" w:color="000000" w:sz="4" w:space="0"/>
              <w:left w:val="single" w:color="000000" w:sz="4" w:space="0"/>
              <w:bottom w:val="single" w:color="000000" w:sz="4" w:space="0"/>
              <w:right w:val="single" w:color="000000" w:sz="4" w:space="0"/>
            </w:tcBorders>
            <w:vAlign w:val="center"/>
          </w:tcPr>
          <w:p w14:paraId="38F3ABAA">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上海市统计局政府“电子统计”系统（升级改造）-月度库功能升级-月度库数据管理</w:t>
            </w:r>
          </w:p>
        </w:tc>
        <w:tc>
          <w:tcPr>
            <w:tcW w:w="2111" w:type="pct"/>
            <w:tcBorders>
              <w:top w:val="single" w:color="000000" w:sz="4" w:space="0"/>
              <w:left w:val="single" w:color="000000" w:sz="4" w:space="0"/>
              <w:bottom w:val="single" w:color="000000" w:sz="4" w:space="0"/>
              <w:right w:val="single" w:color="000000" w:sz="4" w:space="0"/>
            </w:tcBorders>
            <w:vAlign w:val="center"/>
          </w:tcPr>
          <w:p w14:paraId="770D7404">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月度库报表数据维护、月度库历史数据查询</w:t>
            </w:r>
          </w:p>
        </w:tc>
      </w:tr>
      <w:tr w14:paraId="57E7A37D">
        <w:tblPrEx>
          <w:tblCellMar>
            <w:top w:w="0" w:type="dxa"/>
            <w:left w:w="108" w:type="dxa"/>
            <w:bottom w:w="0" w:type="dxa"/>
            <w:right w:w="108" w:type="dxa"/>
          </w:tblCellMar>
        </w:tblPrEx>
        <w:trPr>
          <w:trHeight w:val="5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695F5800">
            <w:pPr>
              <w:pStyle w:val="61"/>
              <w:widowControl/>
              <w:numPr>
                <w:ilvl w:val="0"/>
                <w:numId w:val="9"/>
              </w:numPr>
              <w:spacing w:line="240" w:lineRule="auto"/>
              <w:ind w:firstLineChars="0"/>
              <w:jc w:val="center"/>
              <w:rPr>
                <w:rFonts w:ascii="Tahoma" w:hAnsi="Tahoma" w:cs="Tahoma"/>
                <w:color w:val="000000"/>
                <w:kern w:val="0"/>
                <w:sz w:val="24"/>
              </w:rPr>
            </w:pPr>
          </w:p>
        </w:tc>
        <w:tc>
          <w:tcPr>
            <w:tcW w:w="904" w:type="pct"/>
            <w:tcBorders>
              <w:top w:val="single" w:color="auto" w:sz="4" w:space="0"/>
              <w:left w:val="nil"/>
              <w:bottom w:val="single" w:color="auto" w:sz="4" w:space="0"/>
              <w:right w:val="single" w:color="auto" w:sz="4" w:space="0"/>
            </w:tcBorders>
            <w:shd w:val="clear" w:color="auto" w:fill="FFFFFF"/>
            <w:vAlign w:val="center"/>
          </w:tcPr>
          <w:p w14:paraId="09BFD45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上海市统计局政府“电子统计”系统（升级改造）</w:t>
            </w:r>
          </w:p>
        </w:tc>
        <w:tc>
          <w:tcPr>
            <w:tcW w:w="1599" w:type="pct"/>
            <w:tcBorders>
              <w:top w:val="single" w:color="000000" w:sz="4" w:space="0"/>
              <w:left w:val="single" w:color="000000" w:sz="4" w:space="0"/>
              <w:bottom w:val="single" w:color="000000" w:sz="4" w:space="0"/>
              <w:right w:val="single" w:color="000000" w:sz="4" w:space="0"/>
            </w:tcBorders>
            <w:vAlign w:val="center"/>
          </w:tcPr>
          <w:p w14:paraId="1F40D28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上海市统计局政府“电子统计”系统（升级改造）-月度库功能升级-月度库数据共享</w:t>
            </w:r>
          </w:p>
        </w:tc>
        <w:tc>
          <w:tcPr>
            <w:tcW w:w="2111" w:type="pct"/>
            <w:tcBorders>
              <w:top w:val="single" w:color="000000" w:sz="4" w:space="0"/>
              <w:left w:val="single" w:color="000000" w:sz="4" w:space="0"/>
              <w:bottom w:val="single" w:color="000000" w:sz="4" w:space="0"/>
              <w:right w:val="single" w:color="000000" w:sz="4" w:space="0"/>
            </w:tcBorders>
            <w:vAlign w:val="center"/>
          </w:tcPr>
          <w:p w14:paraId="14D8B014">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实现月度库共享数据接口的开发。</w:t>
            </w:r>
            <w:r>
              <w:rPr>
                <w:rFonts w:hint="eastAsia" w:ascii="Tahoma" w:hAnsi="Tahoma" w:cs="Tahoma"/>
                <w:color w:val="000000"/>
                <w:kern w:val="0"/>
                <w:sz w:val="22"/>
                <w:szCs w:val="22"/>
              </w:rPr>
              <w:br w:type="textWrapping"/>
            </w:r>
            <w:r>
              <w:rPr>
                <w:rFonts w:hint="eastAsia" w:ascii="Tahoma" w:hAnsi="Tahoma" w:cs="Tahoma"/>
                <w:color w:val="000000"/>
                <w:kern w:val="0"/>
                <w:sz w:val="22"/>
                <w:szCs w:val="22"/>
              </w:rPr>
              <w:t>实现月度库共享数据接口的第三方授权配置。</w:t>
            </w:r>
            <w:r>
              <w:rPr>
                <w:rFonts w:hint="eastAsia" w:ascii="Tahoma" w:hAnsi="Tahoma" w:cs="Tahoma"/>
                <w:color w:val="000000"/>
                <w:kern w:val="0"/>
                <w:sz w:val="22"/>
                <w:szCs w:val="22"/>
              </w:rPr>
              <w:br w:type="textWrapping"/>
            </w:r>
            <w:r>
              <w:rPr>
                <w:rFonts w:hint="eastAsia" w:ascii="Tahoma" w:hAnsi="Tahoma" w:cs="Tahoma"/>
                <w:color w:val="000000"/>
                <w:kern w:val="0"/>
                <w:sz w:val="22"/>
                <w:szCs w:val="22"/>
              </w:rPr>
              <w:t>实现月度库共享数据接口的状态更新、编辑删除</w:t>
            </w:r>
          </w:p>
        </w:tc>
      </w:tr>
    </w:tbl>
    <w:p w14:paraId="2FDB0959">
      <w:pPr>
        <w:pStyle w:val="3"/>
      </w:pPr>
      <w:r>
        <w:rPr>
          <w:rFonts w:hint="eastAsia"/>
        </w:rPr>
        <w:t>硬件购置清单</w:t>
      </w:r>
    </w:p>
    <w:tbl>
      <w:tblPr>
        <w:tblStyle w:val="35"/>
        <w:tblW w:w="5003" w:type="pct"/>
        <w:tblInd w:w="0" w:type="dxa"/>
        <w:tblLayout w:type="autofit"/>
        <w:tblCellMar>
          <w:top w:w="0" w:type="dxa"/>
          <w:left w:w="0" w:type="dxa"/>
          <w:bottom w:w="0" w:type="dxa"/>
          <w:right w:w="0" w:type="dxa"/>
        </w:tblCellMar>
      </w:tblPr>
      <w:tblGrid>
        <w:gridCol w:w="475"/>
        <w:gridCol w:w="990"/>
        <w:gridCol w:w="805"/>
        <w:gridCol w:w="3273"/>
        <w:gridCol w:w="709"/>
        <w:gridCol w:w="709"/>
        <w:gridCol w:w="1376"/>
      </w:tblGrid>
      <w:tr w14:paraId="015CA7BF">
        <w:tblPrEx>
          <w:tblCellMar>
            <w:top w:w="0" w:type="dxa"/>
            <w:left w:w="0" w:type="dxa"/>
            <w:bottom w:w="0" w:type="dxa"/>
            <w:right w:w="0" w:type="dxa"/>
          </w:tblCellMar>
        </w:tblPrEx>
        <w:trPr>
          <w:trHeight w:val="270" w:hRule="atLeast"/>
        </w:trPr>
        <w:tc>
          <w:tcPr>
            <w:tcW w:w="285" w:type="pct"/>
            <w:tcBorders>
              <w:top w:val="single" w:color="auto" w:sz="4" w:space="0"/>
              <w:left w:val="single" w:color="auto" w:sz="4" w:space="0"/>
              <w:bottom w:val="single" w:color="000000" w:sz="4" w:space="0"/>
              <w:right w:val="single" w:color="000000" w:sz="4" w:space="0"/>
            </w:tcBorders>
            <w:noWrap/>
            <w:tcMar>
              <w:top w:w="15" w:type="dxa"/>
              <w:left w:w="15" w:type="dxa"/>
              <w:right w:w="15" w:type="dxa"/>
            </w:tcMar>
            <w:vAlign w:val="center"/>
          </w:tcPr>
          <w:p w14:paraId="6BE6BB15">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序号</w:t>
            </w:r>
          </w:p>
        </w:tc>
        <w:tc>
          <w:tcPr>
            <w:tcW w:w="594" w:type="pct"/>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0DA3F909">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名称</w:t>
            </w:r>
          </w:p>
        </w:tc>
        <w:tc>
          <w:tcPr>
            <w:tcW w:w="483" w:type="pct"/>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66959107">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类别</w:t>
            </w:r>
          </w:p>
        </w:tc>
        <w:tc>
          <w:tcPr>
            <w:tcW w:w="1963" w:type="pct"/>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12E9B3AE">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功能说明/配置要求</w:t>
            </w:r>
          </w:p>
        </w:tc>
        <w:tc>
          <w:tcPr>
            <w:tcW w:w="425" w:type="pct"/>
            <w:tcBorders>
              <w:top w:val="single" w:color="auto" w:sz="4" w:space="0"/>
              <w:left w:val="single" w:color="000000" w:sz="4" w:space="0"/>
              <w:bottom w:val="single" w:color="000000" w:sz="4" w:space="0"/>
              <w:right w:val="single" w:color="auto" w:sz="4" w:space="0"/>
            </w:tcBorders>
            <w:noWrap/>
            <w:tcMar>
              <w:top w:w="15" w:type="dxa"/>
              <w:left w:w="15" w:type="dxa"/>
              <w:right w:w="15" w:type="dxa"/>
            </w:tcMar>
            <w:vAlign w:val="center"/>
          </w:tcPr>
          <w:p w14:paraId="2A9ED089">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数量</w:t>
            </w:r>
          </w:p>
        </w:tc>
        <w:tc>
          <w:tcPr>
            <w:tcW w:w="425" w:type="pct"/>
            <w:tcBorders>
              <w:top w:val="single" w:color="auto" w:sz="4" w:space="0"/>
              <w:left w:val="single" w:color="000000" w:sz="4" w:space="0"/>
              <w:bottom w:val="single" w:color="000000" w:sz="4" w:space="0"/>
              <w:right w:val="single" w:color="auto" w:sz="4" w:space="0"/>
            </w:tcBorders>
            <w:vAlign w:val="center"/>
          </w:tcPr>
          <w:p w14:paraId="29B2E5B2">
            <w:pPr>
              <w:widowControl/>
              <w:spacing w:line="240" w:lineRule="auto"/>
              <w:ind w:firstLine="0" w:firstLineChars="0"/>
              <w:jc w:val="center"/>
              <w:textAlignment w:val="center"/>
              <w:rPr>
                <w:rFonts w:cs="宋体"/>
                <w:b/>
                <w:bCs/>
                <w:color w:val="000000"/>
                <w:kern w:val="0"/>
                <w:sz w:val="22"/>
                <w:szCs w:val="22"/>
              </w:rPr>
            </w:pPr>
            <w:r>
              <w:rPr>
                <w:rFonts w:hint="eastAsia" w:cs="宋体"/>
                <w:b/>
                <w:bCs/>
                <w:color w:val="000000"/>
                <w:kern w:val="0"/>
                <w:sz w:val="22"/>
                <w:szCs w:val="22"/>
              </w:rPr>
              <w:t>单位</w:t>
            </w:r>
          </w:p>
        </w:tc>
        <w:tc>
          <w:tcPr>
            <w:tcW w:w="825" w:type="pct"/>
            <w:tcBorders>
              <w:top w:val="single" w:color="auto" w:sz="4" w:space="0"/>
              <w:bottom w:val="single" w:color="auto" w:sz="4" w:space="0"/>
              <w:right w:val="single" w:color="auto" w:sz="4" w:space="0"/>
            </w:tcBorders>
          </w:tcPr>
          <w:p w14:paraId="4F22B3E8">
            <w:pPr>
              <w:widowControl/>
              <w:spacing w:line="240" w:lineRule="auto"/>
              <w:ind w:firstLine="0" w:firstLineChars="0"/>
              <w:jc w:val="center"/>
              <w:textAlignment w:val="center"/>
              <w:rPr>
                <w:rFonts w:cs="宋体"/>
                <w:b/>
                <w:bCs/>
                <w:color w:val="000000"/>
                <w:kern w:val="0"/>
                <w:sz w:val="22"/>
                <w:szCs w:val="22"/>
              </w:rPr>
            </w:pPr>
            <w:r>
              <w:rPr>
                <w:rFonts w:hint="eastAsia" w:cs="宋体"/>
                <w:b/>
                <w:bCs/>
                <w:color w:val="000000"/>
                <w:kern w:val="0"/>
                <w:sz w:val="22"/>
                <w:szCs w:val="22"/>
              </w:rPr>
              <w:t>所属模块</w:t>
            </w:r>
          </w:p>
        </w:tc>
      </w:tr>
      <w:tr w14:paraId="482AF600">
        <w:tblPrEx>
          <w:tblCellMar>
            <w:top w:w="0" w:type="dxa"/>
            <w:left w:w="0" w:type="dxa"/>
            <w:bottom w:w="0" w:type="dxa"/>
            <w:right w:w="0" w:type="dxa"/>
          </w:tblCellMar>
        </w:tblPrEx>
        <w:trPr>
          <w:trHeight w:val="825" w:hRule="atLeast"/>
        </w:trPr>
        <w:tc>
          <w:tcPr>
            <w:tcW w:w="285"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5A9C0368">
            <w:pPr>
              <w:widowControl/>
              <w:spacing w:line="240" w:lineRule="auto"/>
              <w:ind w:firstLine="0" w:firstLineChars="0"/>
              <w:jc w:val="center"/>
              <w:textAlignment w:val="center"/>
              <w:rPr>
                <w:rFonts w:ascii="Times New Roman" w:hAnsi="Times New Roman"/>
                <w:color w:val="000000"/>
              </w:rPr>
            </w:pPr>
            <w:r>
              <w:rPr>
                <w:rFonts w:ascii="Times New Roman" w:hAnsi="Times New Roman"/>
                <w:color w:val="000000"/>
                <w:kern w:val="0"/>
              </w:rPr>
              <w:t>1</w:t>
            </w:r>
          </w:p>
        </w:tc>
        <w:tc>
          <w:tcPr>
            <w:tcW w:w="59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B8F64">
            <w:pPr>
              <w:ind w:firstLine="0" w:firstLineChars="0"/>
              <w:jc w:val="center"/>
            </w:pPr>
            <w:r>
              <w:rPr>
                <w:rFonts w:ascii="Tahoma" w:hAnsi="Tahoma" w:cs="Tahoma"/>
                <w:color w:val="000000"/>
                <w:kern w:val="0"/>
                <w:sz w:val="22"/>
                <w:szCs w:val="22"/>
              </w:rPr>
              <w:t>网络设备</w:t>
            </w:r>
          </w:p>
        </w:tc>
        <w:tc>
          <w:tcPr>
            <w:tcW w:w="4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F8AFC4">
            <w:pPr>
              <w:ind w:firstLine="0" w:firstLineChars="0"/>
              <w:jc w:val="center"/>
            </w:pPr>
            <w:r>
              <w:rPr>
                <w:rFonts w:hint="eastAsia" w:ascii="Tahoma" w:hAnsi="Tahoma" w:cs="Tahoma"/>
                <w:color w:val="000000"/>
                <w:kern w:val="0"/>
                <w:sz w:val="22"/>
                <w:szCs w:val="22"/>
              </w:rPr>
              <w:t>交换机</w:t>
            </w:r>
          </w:p>
        </w:tc>
        <w:tc>
          <w:tcPr>
            <w:tcW w:w="19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00A355">
            <w:pPr>
              <w:spacing w:line="240" w:lineRule="auto"/>
              <w:ind w:firstLine="0" w:firstLineChars="0"/>
            </w:pPr>
            <w:r>
              <w:rPr>
                <w:rFonts w:hint="eastAsia" w:cs="宋体"/>
                <w:color w:val="000000"/>
                <w:kern w:val="0"/>
                <w:sz w:val="22"/>
                <w:szCs w:val="22"/>
              </w:rPr>
              <w:t>以太网交换机主机*1；主控制引擎模块,B类*2；24端口千兆以太网电接口(RJ45)+8端口千兆以太网光接口模块(SFP,LC)(SC)*2；光模块-SFP-GE-单模模块-(1310nm,10km,LC)*16；交流电源模块,300W*2。</w:t>
            </w:r>
          </w:p>
          <w:p w14:paraId="5D958CB3">
            <w:pPr>
              <w:spacing w:line="240" w:lineRule="auto"/>
              <w:ind w:firstLine="0" w:firstLineChars="0"/>
              <w:rPr>
                <w:rFonts w:cs="宋体"/>
                <w:color w:val="000000"/>
                <w:sz w:val="22"/>
                <w:szCs w:val="22"/>
              </w:rPr>
            </w:pPr>
            <w:r>
              <w:rPr>
                <w:rFonts w:hint="eastAsia" w:cs="宋体"/>
                <w:color w:val="000000"/>
                <w:kern w:val="0"/>
                <w:sz w:val="22"/>
                <w:szCs w:val="22"/>
              </w:rPr>
              <w:t>三年质保期、应急服务和7x24小时技术支持服务。</w:t>
            </w:r>
          </w:p>
        </w:tc>
        <w:tc>
          <w:tcPr>
            <w:tcW w:w="425" w:type="pct"/>
            <w:tcBorders>
              <w:top w:val="single" w:color="000000" w:sz="4" w:space="0"/>
              <w:left w:val="single" w:color="000000" w:sz="4" w:space="0"/>
              <w:bottom w:val="single" w:color="000000" w:sz="4" w:space="0"/>
              <w:right w:val="single" w:color="auto" w:sz="4" w:space="0"/>
            </w:tcBorders>
            <w:tcMar>
              <w:top w:w="15" w:type="dxa"/>
              <w:left w:w="15" w:type="dxa"/>
              <w:right w:w="15" w:type="dxa"/>
            </w:tcMar>
          </w:tcPr>
          <w:p w14:paraId="4D43A5B7">
            <w:pPr>
              <w:widowControl/>
              <w:spacing w:line="240" w:lineRule="auto"/>
              <w:ind w:firstLine="0" w:firstLineChars="0"/>
              <w:jc w:val="center"/>
              <w:textAlignment w:val="center"/>
              <w:rPr>
                <w:rFonts w:cs="宋体"/>
                <w:color w:val="000000"/>
                <w:sz w:val="22"/>
                <w:szCs w:val="22"/>
              </w:rPr>
            </w:pPr>
          </w:p>
        </w:tc>
        <w:tc>
          <w:tcPr>
            <w:tcW w:w="425" w:type="pct"/>
            <w:tcBorders>
              <w:top w:val="single" w:color="000000" w:sz="4" w:space="0"/>
              <w:left w:val="single" w:color="000000" w:sz="4" w:space="0"/>
              <w:bottom w:val="single" w:color="000000" w:sz="4" w:space="0"/>
              <w:right w:val="single" w:color="auto" w:sz="4" w:space="0"/>
            </w:tcBorders>
            <w:vAlign w:val="center"/>
          </w:tcPr>
          <w:p w14:paraId="37392C88">
            <w:pPr>
              <w:widowControl/>
              <w:spacing w:line="240" w:lineRule="auto"/>
              <w:ind w:firstLine="0" w:firstLineChars="0"/>
              <w:jc w:val="center"/>
              <w:textAlignment w:val="center"/>
              <w:rPr>
                <w:rFonts w:cs="宋体"/>
                <w:color w:val="000000"/>
                <w:kern w:val="0"/>
                <w:sz w:val="22"/>
                <w:szCs w:val="22"/>
              </w:rPr>
            </w:pPr>
            <w:r>
              <w:rPr>
                <w:rFonts w:ascii="Times New Roman" w:hAnsi="Times New Roman"/>
                <w:color w:val="000000"/>
                <w:kern w:val="0"/>
              </w:rPr>
              <w:t>1</w:t>
            </w:r>
          </w:p>
        </w:tc>
        <w:tc>
          <w:tcPr>
            <w:tcW w:w="825" w:type="pct"/>
            <w:tcBorders>
              <w:top w:val="single" w:color="auto" w:sz="4" w:space="0"/>
              <w:bottom w:val="single" w:color="auto" w:sz="4" w:space="0"/>
              <w:right w:val="single" w:color="auto" w:sz="4" w:space="0"/>
            </w:tcBorders>
            <w:vAlign w:val="center"/>
          </w:tcPr>
          <w:p w14:paraId="276E2916">
            <w:pPr>
              <w:widowControl/>
              <w:spacing w:line="240" w:lineRule="auto"/>
              <w:ind w:firstLine="0" w:firstLineChars="0"/>
              <w:jc w:val="center"/>
              <w:textAlignment w:val="center"/>
              <w:rPr>
                <w:rFonts w:cs="宋体"/>
                <w:color w:val="000000"/>
                <w:kern w:val="0"/>
                <w:sz w:val="22"/>
                <w:szCs w:val="22"/>
              </w:rPr>
            </w:pPr>
            <w:r>
              <w:rPr>
                <w:rFonts w:ascii="Tahoma" w:hAnsi="Tahoma" w:cs="Tahoma"/>
                <w:color w:val="000000"/>
                <w:kern w:val="0"/>
                <w:sz w:val="22"/>
                <w:szCs w:val="22"/>
              </w:rPr>
              <w:t>台</w:t>
            </w:r>
          </w:p>
        </w:tc>
      </w:tr>
      <w:tr w14:paraId="414EAA7B">
        <w:tblPrEx>
          <w:tblCellMar>
            <w:top w:w="0" w:type="dxa"/>
            <w:left w:w="0" w:type="dxa"/>
            <w:bottom w:w="0" w:type="dxa"/>
            <w:right w:w="0" w:type="dxa"/>
          </w:tblCellMar>
        </w:tblPrEx>
        <w:trPr>
          <w:trHeight w:val="825" w:hRule="atLeast"/>
        </w:trPr>
        <w:tc>
          <w:tcPr>
            <w:tcW w:w="285"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3C6BC096">
            <w:pPr>
              <w:widowControl/>
              <w:spacing w:line="240" w:lineRule="auto"/>
              <w:ind w:firstLine="0" w:firstLineChars="0"/>
              <w:jc w:val="center"/>
              <w:textAlignment w:val="center"/>
              <w:rPr>
                <w:rFonts w:ascii="Times New Roman" w:hAnsi="Times New Roman"/>
                <w:color w:val="000000"/>
                <w:kern w:val="0"/>
              </w:rPr>
            </w:pPr>
            <w:r>
              <w:rPr>
                <w:rFonts w:hint="eastAsia" w:ascii="Times New Roman" w:hAnsi="Times New Roman"/>
                <w:color w:val="000000"/>
                <w:kern w:val="0"/>
              </w:rPr>
              <w:t>2</w:t>
            </w:r>
          </w:p>
        </w:tc>
        <w:tc>
          <w:tcPr>
            <w:tcW w:w="59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C80A85">
            <w:pPr>
              <w:ind w:firstLine="0" w:firstLineChars="0"/>
              <w:jc w:val="center"/>
            </w:pPr>
            <w:r>
              <w:rPr>
                <w:rFonts w:ascii="Tahoma" w:hAnsi="Tahoma" w:cs="Tahoma"/>
                <w:color w:val="000000"/>
                <w:kern w:val="0"/>
                <w:sz w:val="22"/>
                <w:szCs w:val="22"/>
              </w:rPr>
              <w:t>网络设备</w:t>
            </w:r>
          </w:p>
        </w:tc>
        <w:tc>
          <w:tcPr>
            <w:tcW w:w="4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8437D">
            <w:pPr>
              <w:ind w:firstLine="0" w:firstLineChars="0"/>
              <w:jc w:val="center"/>
            </w:pPr>
            <w:r>
              <w:rPr>
                <w:rFonts w:hint="eastAsia" w:ascii="Tahoma" w:hAnsi="Tahoma" w:cs="Tahoma"/>
                <w:color w:val="000000"/>
                <w:kern w:val="0"/>
                <w:sz w:val="22"/>
                <w:szCs w:val="22"/>
              </w:rPr>
              <w:t>交换机</w:t>
            </w:r>
          </w:p>
        </w:tc>
        <w:tc>
          <w:tcPr>
            <w:tcW w:w="19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9232C2">
            <w:pPr>
              <w:spacing w:line="240" w:lineRule="auto"/>
              <w:ind w:firstLine="0" w:firstLineChars="0"/>
              <w:rPr>
                <w:rFonts w:cs="宋体"/>
                <w:color w:val="000000"/>
                <w:kern w:val="0"/>
                <w:sz w:val="22"/>
                <w:szCs w:val="22"/>
              </w:rPr>
            </w:pPr>
            <w:r>
              <w:rPr>
                <w:rFonts w:hint="eastAsia" w:cs="宋体"/>
                <w:color w:val="000000"/>
                <w:kern w:val="0"/>
                <w:sz w:val="22"/>
                <w:szCs w:val="22"/>
              </w:rPr>
              <w:t>以太网交换机主机*1；主控制引擎模块,B类*2；48端口千兆以太网电接口模块(RJ45)(SC)*1；24端口千兆以太网电接口(RJ45)+8端口千兆以太网光接口模块(SFP,LC)(SC)*2；光模块-SFP-GE-单模模块-(1310nm,10km,LC)*16；交流电源模块,300W*2。</w:t>
            </w:r>
          </w:p>
          <w:p w14:paraId="7C5214EF">
            <w:pPr>
              <w:spacing w:line="240" w:lineRule="auto"/>
              <w:ind w:firstLine="0" w:firstLineChars="0"/>
              <w:rPr>
                <w:rFonts w:cs="宋体"/>
                <w:color w:val="000000"/>
                <w:kern w:val="0"/>
                <w:sz w:val="22"/>
                <w:szCs w:val="22"/>
              </w:rPr>
            </w:pPr>
            <w:r>
              <w:rPr>
                <w:rFonts w:hint="eastAsia" w:cs="宋体"/>
                <w:color w:val="000000"/>
                <w:kern w:val="0"/>
                <w:sz w:val="22"/>
                <w:szCs w:val="22"/>
              </w:rPr>
              <w:t>三年质保期、应急服务和7x24小时技术支持服务。</w:t>
            </w:r>
          </w:p>
        </w:tc>
        <w:tc>
          <w:tcPr>
            <w:tcW w:w="425" w:type="pct"/>
            <w:tcBorders>
              <w:top w:val="single" w:color="000000" w:sz="4" w:space="0"/>
              <w:left w:val="single" w:color="000000" w:sz="4" w:space="0"/>
              <w:bottom w:val="single" w:color="000000" w:sz="4" w:space="0"/>
              <w:right w:val="single" w:color="auto" w:sz="4" w:space="0"/>
            </w:tcBorders>
            <w:tcMar>
              <w:top w:w="15" w:type="dxa"/>
              <w:left w:w="15" w:type="dxa"/>
              <w:right w:w="15" w:type="dxa"/>
            </w:tcMar>
          </w:tcPr>
          <w:p w14:paraId="73F9FED8">
            <w:pPr>
              <w:widowControl/>
              <w:spacing w:line="240" w:lineRule="auto"/>
              <w:ind w:firstLine="0" w:firstLineChars="0"/>
              <w:jc w:val="center"/>
              <w:textAlignment w:val="center"/>
              <w:rPr>
                <w:rFonts w:cs="宋体"/>
                <w:color w:val="000000"/>
                <w:kern w:val="0"/>
                <w:sz w:val="22"/>
                <w:szCs w:val="22"/>
              </w:rPr>
            </w:pPr>
          </w:p>
        </w:tc>
        <w:tc>
          <w:tcPr>
            <w:tcW w:w="425" w:type="pct"/>
            <w:tcBorders>
              <w:top w:val="single" w:color="000000" w:sz="4" w:space="0"/>
              <w:left w:val="single" w:color="000000" w:sz="4" w:space="0"/>
              <w:bottom w:val="single" w:color="000000" w:sz="4" w:space="0"/>
              <w:right w:val="single" w:color="auto" w:sz="4" w:space="0"/>
            </w:tcBorders>
            <w:vAlign w:val="center"/>
          </w:tcPr>
          <w:p w14:paraId="58B2A592">
            <w:pPr>
              <w:widowControl/>
              <w:spacing w:line="240" w:lineRule="auto"/>
              <w:ind w:firstLine="0" w:firstLineChars="0"/>
              <w:jc w:val="center"/>
              <w:textAlignment w:val="center"/>
              <w:rPr>
                <w:rFonts w:cs="宋体"/>
                <w:color w:val="000000"/>
                <w:kern w:val="0"/>
                <w:sz w:val="22"/>
                <w:szCs w:val="22"/>
              </w:rPr>
            </w:pPr>
            <w:r>
              <w:rPr>
                <w:rFonts w:ascii="Times New Roman" w:hAnsi="Times New Roman"/>
                <w:color w:val="000000"/>
                <w:kern w:val="0"/>
              </w:rPr>
              <w:t>1</w:t>
            </w:r>
          </w:p>
        </w:tc>
        <w:tc>
          <w:tcPr>
            <w:tcW w:w="825" w:type="pct"/>
            <w:tcBorders>
              <w:top w:val="single" w:color="auto" w:sz="4" w:space="0"/>
              <w:bottom w:val="single" w:color="auto" w:sz="4" w:space="0"/>
              <w:right w:val="single" w:color="auto" w:sz="4" w:space="0"/>
            </w:tcBorders>
            <w:vAlign w:val="center"/>
          </w:tcPr>
          <w:p w14:paraId="5886AAAE">
            <w:pPr>
              <w:widowControl/>
              <w:spacing w:line="240" w:lineRule="auto"/>
              <w:ind w:firstLine="0" w:firstLineChars="0"/>
              <w:jc w:val="center"/>
              <w:textAlignment w:val="center"/>
              <w:rPr>
                <w:rFonts w:cs="宋体"/>
                <w:color w:val="000000"/>
                <w:kern w:val="0"/>
                <w:sz w:val="22"/>
                <w:szCs w:val="22"/>
              </w:rPr>
            </w:pPr>
            <w:r>
              <w:rPr>
                <w:rFonts w:hint="eastAsia" w:ascii="Tahoma" w:hAnsi="Tahoma" w:cs="Tahoma"/>
                <w:color w:val="000000"/>
                <w:kern w:val="0"/>
                <w:sz w:val="22"/>
                <w:szCs w:val="22"/>
              </w:rPr>
              <w:t>台</w:t>
            </w:r>
          </w:p>
        </w:tc>
      </w:tr>
    </w:tbl>
    <w:p w14:paraId="48AE43C3">
      <w:pPr>
        <w:ind w:firstLine="0" w:firstLineChars="0"/>
      </w:pPr>
    </w:p>
    <w:p w14:paraId="3CAAEE0C">
      <w:pPr>
        <w:pStyle w:val="3"/>
      </w:pPr>
      <w:r>
        <w:rPr>
          <w:rFonts w:hint="eastAsia"/>
        </w:rPr>
        <w:t>安全产品购置清单</w:t>
      </w:r>
    </w:p>
    <w:tbl>
      <w:tblPr>
        <w:tblStyle w:val="35"/>
        <w:tblW w:w="5003" w:type="pct"/>
        <w:tblInd w:w="0" w:type="dxa"/>
        <w:tblLayout w:type="autofit"/>
        <w:tblCellMar>
          <w:top w:w="0" w:type="dxa"/>
          <w:left w:w="0" w:type="dxa"/>
          <w:bottom w:w="0" w:type="dxa"/>
          <w:right w:w="0" w:type="dxa"/>
        </w:tblCellMar>
      </w:tblPr>
      <w:tblGrid>
        <w:gridCol w:w="473"/>
        <w:gridCol w:w="990"/>
        <w:gridCol w:w="719"/>
        <w:gridCol w:w="3361"/>
        <w:gridCol w:w="709"/>
        <w:gridCol w:w="709"/>
        <w:gridCol w:w="1376"/>
      </w:tblGrid>
      <w:tr w14:paraId="3AC6813F">
        <w:tblPrEx>
          <w:tblCellMar>
            <w:top w:w="0" w:type="dxa"/>
            <w:left w:w="0" w:type="dxa"/>
            <w:bottom w:w="0" w:type="dxa"/>
            <w:right w:w="0" w:type="dxa"/>
          </w:tblCellMar>
        </w:tblPrEx>
        <w:trPr>
          <w:trHeight w:val="270" w:hRule="atLeast"/>
        </w:trPr>
        <w:tc>
          <w:tcPr>
            <w:tcW w:w="284" w:type="pct"/>
            <w:tcBorders>
              <w:top w:val="single" w:color="auto" w:sz="4" w:space="0"/>
              <w:left w:val="single" w:color="auto" w:sz="4" w:space="0"/>
              <w:bottom w:val="single" w:color="000000" w:sz="4" w:space="0"/>
              <w:right w:val="single" w:color="000000" w:sz="4" w:space="0"/>
            </w:tcBorders>
            <w:noWrap/>
            <w:tcMar>
              <w:top w:w="15" w:type="dxa"/>
              <w:left w:w="15" w:type="dxa"/>
              <w:right w:w="15" w:type="dxa"/>
            </w:tcMar>
            <w:vAlign w:val="center"/>
          </w:tcPr>
          <w:p w14:paraId="047B21D2">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序号</w:t>
            </w:r>
          </w:p>
        </w:tc>
        <w:tc>
          <w:tcPr>
            <w:tcW w:w="594" w:type="pct"/>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02CD3881">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名称</w:t>
            </w:r>
          </w:p>
        </w:tc>
        <w:tc>
          <w:tcPr>
            <w:tcW w:w="431" w:type="pct"/>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15FD5DB8">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类别</w:t>
            </w:r>
          </w:p>
        </w:tc>
        <w:tc>
          <w:tcPr>
            <w:tcW w:w="2015" w:type="pct"/>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34011FCF">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功能说明/配置要求</w:t>
            </w:r>
          </w:p>
        </w:tc>
        <w:tc>
          <w:tcPr>
            <w:tcW w:w="425" w:type="pct"/>
            <w:tcBorders>
              <w:top w:val="single" w:color="auto" w:sz="4" w:space="0"/>
              <w:left w:val="single" w:color="000000" w:sz="4" w:space="0"/>
              <w:bottom w:val="single" w:color="000000" w:sz="4" w:space="0"/>
              <w:right w:val="single" w:color="auto" w:sz="4" w:space="0"/>
            </w:tcBorders>
            <w:noWrap/>
            <w:tcMar>
              <w:top w:w="15" w:type="dxa"/>
              <w:left w:w="15" w:type="dxa"/>
              <w:right w:w="15" w:type="dxa"/>
            </w:tcMar>
            <w:vAlign w:val="center"/>
          </w:tcPr>
          <w:p w14:paraId="2A2E0904">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数量</w:t>
            </w:r>
          </w:p>
        </w:tc>
        <w:tc>
          <w:tcPr>
            <w:tcW w:w="425" w:type="pct"/>
            <w:tcBorders>
              <w:top w:val="single" w:color="auto" w:sz="4" w:space="0"/>
              <w:left w:val="single" w:color="000000" w:sz="4" w:space="0"/>
              <w:bottom w:val="single" w:color="000000" w:sz="4" w:space="0"/>
              <w:right w:val="single" w:color="auto" w:sz="4" w:space="0"/>
            </w:tcBorders>
            <w:vAlign w:val="center"/>
          </w:tcPr>
          <w:p w14:paraId="431C9680">
            <w:pPr>
              <w:widowControl/>
              <w:spacing w:line="240" w:lineRule="auto"/>
              <w:ind w:firstLine="0" w:firstLineChars="0"/>
              <w:jc w:val="center"/>
              <w:textAlignment w:val="center"/>
              <w:rPr>
                <w:rFonts w:cs="宋体"/>
                <w:b/>
                <w:bCs/>
                <w:color w:val="000000"/>
                <w:kern w:val="0"/>
                <w:sz w:val="22"/>
                <w:szCs w:val="22"/>
              </w:rPr>
            </w:pPr>
            <w:r>
              <w:rPr>
                <w:rFonts w:hint="eastAsia" w:cs="宋体"/>
                <w:b/>
                <w:bCs/>
                <w:color w:val="000000"/>
                <w:kern w:val="0"/>
                <w:sz w:val="22"/>
                <w:szCs w:val="22"/>
              </w:rPr>
              <w:t>单位</w:t>
            </w:r>
          </w:p>
        </w:tc>
        <w:tc>
          <w:tcPr>
            <w:tcW w:w="825" w:type="pct"/>
            <w:tcBorders>
              <w:top w:val="single" w:color="auto" w:sz="4" w:space="0"/>
              <w:bottom w:val="single" w:color="auto" w:sz="4" w:space="0"/>
              <w:right w:val="single" w:color="auto" w:sz="4" w:space="0"/>
            </w:tcBorders>
          </w:tcPr>
          <w:p w14:paraId="0D7CC6B4">
            <w:pPr>
              <w:widowControl/>
              <w:spacing w:line="240" w:lineRule="auto"/>
              <w:ind w:firstLine="0" w:firstLineChars="0"/>
              <w:jc w:val="center"/>
              <w:textAlignment w:val="center"/>
              <w:rPr>
                <w:rFonts w:cs="宋体"/>
                <w:b/>
                <w:bCs/>
                <w:color w:val="000000"/>
                <w:kern w:val="0"/>
                <w:sz w:val="22"/>
                <w:szCs w:val="22"/>
              </w:rPr>
            </w:pPr>
            <w:r>
              <w:rPr>
                <w:rFonts w:hint="eastAsia" w:cs="宋体"/>
                <w:b/>
                <w:bCs/>
                <w:color w:val="000000"/>
                <w:kern w:val="0"/>
                <w:sz w:val="22"/>
                <w:szCs w:val="22"/>
              </w:rPr>
              <w:t>所属模块</w:t>
            </w:r>
          </w:p>
        </w:tc>
      </w:tr>
      <w:tr w14:paraId="24176C71">
        <w:tblPrEx>
          <w:tblCellMar>
            <w:top w:w="0" w:type="dxa"/>
            <w:left w:w="0" w:type="dxa"/>
            <w:bottom w:w="0" w:type="dxa"/>
            <w:right w:w="0" w:type="dxa"/>
          </w:tblCellMar>
        </w:tblPrEx>
        <w:trPr>
          <w:trHeight w:val="825" w:hRule="atLeast"/>
        </w:trPr>
        <w:tc>
          <w:tcPr>
            <w:tcW w:w="284"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6C591212">
            <w:pPr>
              <w:widowControl/>
              <w:spacing w:line="240" w:lineRule="auto"/>
              <w:ind w:firstLine="0" w:firstLineChars="0"/>
              <w:jc w:val="center"/>
              <w:textAlignment w:val="center"/>
              <w:rPr>
                <w:rFonts w:ascii="Times New Roman" w:hAnsi="Times New Roman"/>
                <w:color w:val="000000"/>
              </w:rPr>
            </w:pPr>
            <w:r>
              <w:rPr>
                <w:rFonts w:ascii="Times New Roman" w:hAnsi="Times New Roman"/>
                <w:color w:val="000000"/>
                <w:kern w:val="0"/>
              </w:rPr>
              <w:t>1</w:t>
            </w:r>
          </w:p>
        </w:tc>
        <w:tc>
          <w:tcPr>
            <w:tcW w:w="59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7219E">
            <w:pPr>
              <w:ind w:firstLine="0" w:firstLineChars="0"/>
              <w:jc w:val="center"/>
            </w:pPr>
            <w:r>
              <w:rPr>
                <w:rFonts w:hint="eastAsia"/>
              </w:rPr>
              <w:t>数据安全</w:t>
            </w:r>
          </w:p>
        </w:tc>
        <w:tc>
          <w:tcPr>
            <w:tcW w:w="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18597">
            <w:pPr>
              <w:ind w:firstLine="0" w:firstLineChars="0"/>
              <w:jc w:val="center"/>
            </w:pPr>
            <w:r>
              <w:rPr>
                <w:rFonts w:hint="eastAsia"/>
              </w:rPr>
              <w:t>VPN</w:t>
            </w:r>
          </w:p>
        </w:tc>
        <w:tc>
          <w:tcPr>
            <w:tcW w:w="201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AFCBD1">
            <w:pPr>
              <w:spacing w:line="240" w:lineRule="auto"/>
              <w:ind w:firstLine="0" w:firstLineChars="0"/>
              <w:rPr>
                <w:rFonts w:cs="宋体"/>
                <w:color w:val="000000"/>
                <w:kern w:val="0"/>
                <w:sz w:val="22"/>
                <w:szCs w:val="22"/>
              </w:rPr>
            </w:pPr>
            <w:r>
              <w:rPr>
                <w:rFonts w:hint="eastAsia" w:cs="宋体"/>
                <w:color w:val="000000"/>
                <w:kern w:val="0"/>
                <w:sz w:val="22"/>
                <w:szCs w:val="22"/>
              </w:rPr>
              <w:t>参数：</w:t>
            </w:r>
            <w:bookmarkStart w:id="19" w:name="OLE_LINK11"/>
            <w:bookmarkStart w:id="20" w:name="OLE_LINK12"/>
            <w:r>
              <w:rPr>
                <w:rFonts w:hint="eastAsia" w:cs="宋体"/>
                <w:color w:val="000000"/>
                <w:kern w:val="0"/>
                <w:sz w:val="22"/>
                <w:szCs w:val="22"/>
              </w:rPr>
              <w:t>最大理论加密流量（Mbps）：600Mbps，配置</w:t>
            </w:r>
            <w:r>
              <w:t>1200 点 SSL Vpn 授权</w:t>
            </w:r>
            <w:r>
              <w:rPr>
                <w:rFonts w:hint="eastAsia" w:cs="宋体"/>
                <w:color w:val="000000"/>
                <w:kern w:val="0"/>
                <w:sz w:val="22"/>
                <w:szCs w:val="22"/>
              </w:rPr>
              <w:t>。内存大小：16G，接口：6千兆电口+4千兆光口SFP，1T硬盘</w:t>
            </w:r>
            <w:bookmarkEnd w:id="19"/>
            <w:bookmarkEnd w:id="20"/>
            <w:r>
              <w:rPr>
                <w:rFonts w:hint="eastAsia" w:cs="宋体"/>
                <w:color w:val="000000"/>
                <w:kern w:val="0"/>
                <w:sz w:val="22"/>
                <w:szCs w:val="22"/>
              </w:rPr>
              <w:t>。</w:t>
            </w:r>
          </w:p>
          <w:p w14:paraId="581EA781">
            <w:pPr>
              <w:spacing w:line="240" w:lineRule="auto"/>
              <w:ind w:firstLine="0" w:firstLineChars="0"/>
              <w:rPr>
                <w:rFonts w:cs="宋体"/>
                <w:color w:val="000000"/>
                <w:sz w:val="22"/>
                <w:szCs w:val="22"/>
              </w:rPr>
            </w:pPr>
            <w:r>
              <w:rPr>
                <w:rFonts w:hint="eastAsia" w:cs="宋体"/>
                <w:color w:val="000000"/>
                <w:kern w:val="0"/>
                <w:sz w:val="22"/>
                <w:szCs w:val="22"/>
              </w:rPr>
              <w:t>三年质保期、应急服务和7x24小时技术支持服务。</w:t>
            </w:r>
          </w:p>
        </w:tc>
        <w:tc>
          <w:tcPr>
            <w:tcW w:w="425" w:type="pct"/>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2B0CDBCE">
            <w:pPr>
              <w:widowControl/>
              <w:spacing w:line="240" w:lineRule="auto"/>
              <w:ind w:firstLine="0" w:firstLineChars="0"/>
              <w:jc w:val="center"/>
              <w:textAlignment w:val="center"/>
              <w:rPr>
                <w:rFonts w:cs="宋体"/>
                <w:color w:val="000000"/>
                <w:sz w:val="22"/>
                <w:szCs w:val="22"/>
              </w:rPr>
            </w:pPr>
            <w:r>
              <w:rPr>
                <w:rFonts w:hint="eastAsia" w:cs="宋体"/>
                <w:color w:val="000000"/>
                <w:kern w:val="0"/>
                <w:sz w:val="22"/>
                <w:szCs w:val="22"/>
              </w:rPr>
              <w:t>1</w:t>
            </w:r>
          </w:p>
        </w:tc>
        <w:tc>
          <w:tcPr>
            <w:tcW w:w="425" w:type="pct"/>
            <w:tcBorders>
              <w:top w:val="single" w:color="000000" w:sz="4" w:space="0"/>
              <w:left w:val="single" w:color="000000" w:sz="4" w:space="0"/>
              <w:bottom w:val="single" w:color="000000" w:sz="4" w:space="0"/>
              <w:right w:val="single" w:color="auto" w:sz="4" w:space="0"/>
            </w:tcBorders>
            <w:vAlign w:val="center"/>
          </w:tcPr>
          <w:p w14:paraId="27593372">
            <w:pPr>
              <w:widowControl/>
              <w:spacing w:line="240" w:lineRule="auto"/>
              <w:ind w:firstLine="0" w:firstLineChars="0"/>
              <w:jc w:val="center"/>
              <w:textAlignment w:val="center"/>
              <w:rPr>
                <w:rFonts w:cs="宋体"/>
                <w:color w:val="000000"/>
                <w:kern w:val="0"/>
                <w:sz w:val="22"/>
                <w:szCs w:val="22"/>
              </w:rPr>
            </w:pPr>
            <w:r>
              <w:rPr>
                <w:rFonts w:hint="eastAsia" w:cs="宋体"/>
                <w:color w:val="000000"/>
                <w:kern w:val="0"/>
                <w:sz w:val="22"/>
                <w:szCs w:val="22"/>
              </w:rPr>
              <w:t>套</w:t>
            </w:r>
          </w:p>
        </w:tc>
        <w:tc>
          <w:tcPr>
            <w:tcW w:w="825" w:type="pct"/>
            <w:tcBorders>
              <w:top w:val="single" w:color="auto" w:sz="4" w:space="0"/>
              <w:bottom w:val="single" w:color="auto" w:sz="4" w:space="0"/>
              <w:right w:val="single" w:color="auto" w:sz="4" w:space="0"/>
            </w:tcBorders>
            <w:vAlign w:val="center"/>
          </w:tcPr>
          <w:p w14:paraId="4C9DF8CD">
            <w:pPr>
              <w:widowControl/>
              <w:spacing w:line="240" w:lineRule="auto"/>
              <w:ind w:firstLine="0" w:firstLineChars="0"/>
              <w:jc w:val="center"/>
              <w:textAlignment w:val="center"/>
              <w:rPr>
                <w:rFonts w:cs="宋体"/>
                <w:color w:val="000000"/>
                <w:kern w:val="0"/>
                <w:sz w:val="22"/>
                <w:szCs w:val="22"/>
              </w:rPr>
            </w:pPr>
            <w:r>
              <w:rPr>
                <w:rFonts w:hint="eastAsia" w:cs="宋体"/>
                <w:color w:val="000000"/>
                <w:kern w:val="0"/>
                <w:sz w:val="22"/>
                <w:szCs w:val="22"/>
              </w:rPr>
              <w:t>上海市第四次全国农业普查数据处理子系统</w:t>
            </w:r>
          </w:p>
        </w:tc>
      </w:tr>
    </w:tbl>
    <w:p w14:paraId="31A7DE3A"/>
    <w:p w14:paraId="56C5EE70">
      <w:pPr>
        <w:pStyle w:val="2"/>
      </w:pPr>
      <w:bookmarkStart w:id="21" w:name="_Toc63785503"/>
      <w:r>
        <w:rPr>
          <w:rFonts w:hint="eastAsia"/>
        </w:rPr>
        <w:t>其他工作要求</w:t>
      </w:r>
      <w:bookmarkEnd w:id="21"/>
    </w:p>
    <w:p w14:paraId="20DB1F24">
      <w:pPr>
        <w:keepNext/>
        <w:keepLines/>
        <w:numPr>
          <w:ilvl w:val="1"/>
          <w:numId w:val="10"/>
        </w:numPr>
        <w:tabs>
          <w:tab w:val="left" w:pos="360"/>
        </w:tabs>
        <w:spacing w:before="120" w:line="240" w:lineRule="auto"/>
        <w:ind w:left="0" w:firstLine="0" w:firstLineChars="0"/>
        <w:outlineLvl w:val="1"/>
        <w:rPr>
          <w:rFonts w:ascii="仿宋" w:hAnsi="仿宋" w:eastAsia="仿宋"/>
          <w:b/>
          <w:vanish/>
          <w:color w:val="000000"/>
          <w:sz w:val="28"/>
          <w:szCs w:val="20"/>
        </w:rPr>
      </w:pPr>
      <w:bookmarkStart w:id="22" w:name="_Toc63762370"/>
      <w:bookmarkEnd w:id="22"/>
      <w:bookmarkStart w:id="23" w:name="_Toc63785439"/>
      <w:bookmarkEnd w:id="23"/>
      <w:bookmarkStart w:id="24" w:name="_Toc61968111"/>
      <w:bookmarkEnd w:id="24"/>
      <w:bookmarkStart w:id="25" w:name="_Toc63151871"/>
      <w:bookmarkEnd w:id="25"/>
      <w:bookmarkStart w:id="26" w:name="_Toc63585480"/>
      <w:bookmarkEnd w:id="26"/>
      <w:bookmarkStart w:id="27" w:name="_Toc63785504"/>
      <w:bookmarkEnd w:id="27"/>
      <w:bookmarkStart w:id="28" w:name="_Toc62209488"/>
      <w:bookmarkEnd w:id="28"/>
      <w:bookmarkStart w:id="29" w:name="_Toc62219358"/>
      <w:bookmarkEnd w:id="29"/>
    </w:p>
    <w:p w14:paraId="11466B24">
      <w:pPr>
        <w:pStyle w:val="3"/>
      </w:pPr>
      <w:bookmarkStart w:id="30" w:name="_Toc63785505"/>
      <w:r>
        <w:rPr>
          <w:rFonts w:hint="eastAsia"/>
        </w:rPr>
        <w:t>售后服务要求</w:t>
      </w:r>
      <w:bookmarkEnd w:id="30"/>
    </w:p>
    <w:p w14:paraId="55890D5B">
      <w:r>
        <w:rPr>
          <w:rFonts w:hint="eastAsia"/>
        </w:rPr>
        <w:t>本项目从系统验收通过之日起1年内提供</w:t>
      </w:r>
      <w:r>
        <w:t>7*24小时免费技术支持</w:t>
      </w:r>
      <w:r>
        <w:rPr>
          <w:rFonts w:hint="eastAsia"/>
        </w:rPr>
        <w:t>和售后服务，1年后进入有偿维护期。</w:t>
      </w:r>
    </w:p>
    <w:p w14:paraId="05D24EA1">
      <w:r>
        <w:rPr>
          <w:rFonts w:hint="eastAsia"/>
        </w:rPr>
        <w:t>在质量保证期内，供应商将按照售后服务的承诺提供保修和运行维护服务，如果厂商对信息系统中软、硬件设备等产品中的部分保修期超过上述期限的，则按照厂商的规定进行免费保修。</w:t>
      </w:r>
    </w:p>
    <w:p w14:paraId="701F1F8C">
      <w:r>
        <w:rPr>
          <w:rFonts w:hint="eastAsia"/>
        </w:rPr>
        <w:t>在质量保证期内，供应商负责信息系统的运行维护工作，确保信息系统安全、稳定、可靠地运行。本项目涉及的运行维护工作范围为：负责项目相关软硬件的安装、调试、软硬件集成、日常巡查、故障修复以及日常运维管理工作，协助对接完成云资源租赁服务。项目运维团队按照服务质量保证的标准要求提供各种售后服务，负责对其提供的系统进行维护或升级。</w:t>
      </w:r>
    </w:p>
    <w:p w14:paraId="750A2C60">
      <w:pPr>
        <w:pStyle w:val="3"/>
      </w:pPr>
      <w:bookmarkStart w:id="31" w:name="_Toc63785506"/>
      <w:r>
        <w:rPr>
          <w:rFonts w:hint="eastAsia"/>
        </w:rPr>
        <w:t>应急响应要求</w:t>
      </w:r>
      <w:bookmarkEnd w:id="31"/>
    </w:p>
    <w:p w14:paraId="22555C15">
      <w:r>
        <w:rPr>
          <w:rFonts w:hint="eastAsia"/>
        </w:rPr>
        <w:t>供应商对系统故障应能够实时响应，若系统发生故障，接到通知后30分钟之内响应，专业工程师2小时内到达现场。特殊故障与采购人沟通协商后，按照协商的方式制定解决方案并进行处理。</w:t>
      </w:r>
    </w:p>
    <w:p w14:paraId="3FBA5930">
      <w:r>
        <w:rPr>
          <w:rFonts w:hint="eastAsia"/>
        </w:rPr>
        <w:t>具体故障级别及对应的应急响应要求如下：</w:t>
      </w:r>
    </w:p>
    <w:p w14:paraId="6AFC4BD2">
      <w:r>
        <w:rPr>
          <w:rFonts w:hint="eastAsia"/>
        </w:rPr>
        <w:t>一级故障：在1小时内确诊，总故障解决时间不超过4小时。</w:t>
      </w:r>
    </w:p>
    <w:p w14:paraId="6BF598C5">
      <w:r>
        <w:rPr>
          <w:rFonts w:hint="eastAsia"/>
        </w:rPr>
        <w:t>二级故障：在2小时内确诊，并在4小时内由专家到达现场确诊并解决，总故障解决时间不超过8小时；</w:t>
      </w:r>
    </w:p>
    <w:p w14:paraId="47F2A38B">
      <w:r>
        <w:rPr>
          <w:rFonts w:hint="eastAsia"/>
        </w:rPr>
        <w:t>三、四级故障：在4小时内确诊故障，总故障解决时间不超过16小时。</w:t>
      </w:r>
    </w:p>
    <w:p w14:paraId="4278ED94">
      <w:r>
        <w:rPr>
          <w:rFonts w:hint="eastAsia"/>
        </w:rPr>
        <w:t>依据故障时间及故障范围划分故障级别，故障级别分为四级，依次为Ⅰ级（紧急）、Ⅱ级（严重）、Ⅲ级（较大）和Ⅳ级（一般），分别定义如下：</w:t>
      </w:r>
    </w:p>
    <w:p w14:paraId="343F17B0">
      <w:r>
        <w:rPr>
          <w:rFonts w:hint="eastAsia"/>
        </w:rPr>
        <w:t>Ⅰ级（紧急）故障为工作时间段（8:30——17:30）内大范围故障；</w:t>
      </w:r>
    </w:p>
    <w:p w14:paraId="737C9B5E">
      <w:r>
        <w:rPr>
          <w:rFonts w:hint="eastAsia"/>
        </w:rPr>
        <w:t>Ⅱ级（严重）故障为非工作时间段（17:30——次日8:30）内大范围故障；</w:t>
      </w:r>
    </w:p>
    <w:p w14:paraId="0E615C96">
      <w:r>
        <w:rPr>
          <w:rFonts w:hint="eastAsia"/>
        </w:rPr>
        <w:t>Ⅲ级（较大）故障为工作时间段（8:30——17:30）内小范围故障；</w:t>
      </w:r>
    </w:p>
    <w:p w14:paraId="4829AEA6">
      <w:r>
        <w:rPr>
          <w:rFonts w:hint="eastAsia"/>
        </w:rPr>
        <w:t>Ⅳ级（一般）故障为非工作时间段（17:30——次日8:30）内小范围故障；</w:t>
      </w:r>
    </w:p>
    <w:p w14:paraId="021DED13">
      <w:pPr>
        <w:pStyle w:val="3"/>
      </w:pPr>
      <w:r>
        <w:rPr>
          <w:rFonts w:hint="eastAsia"/>
        </w:rPr>
        <w:t>网络与数据安全</w:t>
      </w:r>
    </w:p>
    <w:p w14:paraId="511CB26A">
      <w:r>
        <w:rPr>
          <w:rFonts w:hint="eastAsia"/>
        </w:rPr>
        <w:t>(1)供应商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14:paraId="54F57569">
      <w:r>
        <w:rPr>
          <w:rFonts w:hint="eastAsia"/>
        </w:rPr>
        <w:t>(2)供应商应配合采购人开展相关安全制度和规范的制定，并根据项目实际，制定项目实施过程安全管理方案。</w:t>
      </w:r>
    </w:p>
    <w:p w14:paraId="67A61303">
      <w:r>
        <w:rPr>
          <w:rFonts w:hint="eastAsia"/>
        </w:rPr>
        <w:t>(3)供应商应确保所提供的软件产品和定制开发内容所涉及的供应链满足采购人的管理要求，提供供应链物料清单，落实供应链安全控制措施，包括代码安全检测和质量评估、漏洞扫描、第三方组件评估等工作，并于系统上线前，完成信息化资产的梳理。</w:t>
      </w:r>
    </w:p>
    <w:p w14:paraId="69343A12">
      <w:r>
        <w:rPr>
          <w:rFonts w:hint="eastAsia"/>
        </w:rPr>
        <w:t>(4)供应商应在项目实施过程中，推动安全开发控制工作的实施，按照安全设计方案和采购人安全开发要求，落实安全开发规范，确保代码质量和安全性。供应商应确保系统开发及生产环境安全，落实安全管理策略及安全配置。</w:t>
      </w:r>
    </w:p>
    <w:p w14:paraId="13A4B888">
      <w:r>
        <w:rPr>
          <w:rFonts w:hint="eastAsia"/>
        </w:rPr>
        <w:t>(5)供应商应在项目实施过程中，按照数据差异化安全防护策略，根据系统需要采取数据加密、数据访问控制、日志记录、流转监测等防护能力及相关管理流程，切实保障数据安全。</w:t>
      </w:r>
    </w:p>
    <w:p w14:paraId="3147F3C7">
      <w:r>
        <w:rPr>
          <w:rFonts w:hint="eastAsia"/>
        </w:rPr>
        <w:t>(6)供应商应按照采购人场地及人员安全管理制度，加强人员管理，配合采购人落实人员背调、入离场、终端管理、网络限制、数据权限最小化等管控措施。</w:t>
      </w:r>
    </w:p>
    <w:p w14:paraId="76720862">
      <w:r>
        <w:rPr>
          <w:rFonts w:hint="eastAsia"/>
        </w:rPr>
        <w:t>（7）供应商应配合采购人开展系统安全事件（含业务故障）级别划分，制定应急预案，并落实应急预案中规定的应急响应要求。</w:t>
      </w:r>
    </w:p>
    <w:p w14:paraId="305FDFE0">
      <w:r>
        <w:rPr>
          <w:rFonts w:hint="eastAsia"/>
        </w:rPr>
        <w:t>（8）供应商应于系统上线部署前对系统运行环境、应用软件等开展安全自查，并于项目初验及系统试运行阶段，配合采购人开展安测、密测、等保、密评、数据安全风险评估等系列安全测试、评估工作，针对发现的问题及时完成整改，确保系统上线安全。</w:t>
      </w:r>
    </w:p>
    <w:p w14:paraId="691C7242">
      <w:r>
        <w:rPr>
          <w:rFonts w:hint="eastAsia"/>
        </w:rPr>
        <w:t>(</w:t>
      </w:r>
      <w:r>
        <w:t>9</w:t>
      </w:r>
      <w:r>
        <w:rPr>
          <w:rFonts w:hint="eastAsia"/>
        </w:rPr>
        <w:t>)供应商应在系统免维期内承担系统安全运维管理责任，落实安全管理保障措施，包括但不限于制度修订、风险排查、应急响应、漏洞修复、重保等工作。</w:t>
      </w:r>
    </w:p>
    <w:p w14:paraId="03583EAC">
      <w:pPr>
        <w:pStyle w:val="3"/>
      </w:pPr>
      <w:bookmarkStart w:id="32" w:name="_Toc63785507"/>
      <w:r>
        <w:rPr>
          <w:rFonts w:hint="eastAsia"/>
        </w:rPr>
        <w:t>培训要求</w:t>
      </w:r>
      <w:bookmarkEnd w:id="32"/>
    </w:p>
    <w:p w14:paraId="6B690727">
      <w:r>
        <w:rPr>
          <w:rFonts w:hint="eastAsia"/>
        </w:rPr>
        <w:t>对系统使用单位提供业务操作培训，应提供详细培训方案。</w:t>
      </w:r>
    </w:p>
    <w:p w14:paraId="374445A0">
      <w:r>
        <w:rPr>
          <w:rFonts w:hint="eastAsia"/>
        </w:rPr>
        <w:t>(1)在12个月的质量保证期内，提供2次与项目相关的必要培训。</w:t>
      </w:r>
    </w:p>
    <w:p w14:paraId="512FD8AD">
      <w:r>
        <w:rPr>
          <w:rFonts w:hint="eastAsia"/>
        </w:rPr>
        <w:t>(2)供应商需要开展分层次的人员培训工作，每次培训后应对参加培训人员进行测试，评估培训成果。培训应具有培训教材、培训环境和高水平的培训讲师。</w:t>
      </w:r>
    </w:p>
    <w:p w14:paraId="33983E9D">
      <w:r>
        <w:rPr>
          <w:rFonts w:hint="eastAsia"/>
        </w:rPr>
        <w:t>(3)供应商应提供一般用户的基础操作培训和部门信息管理员的日常应用维护的培训，确保用户对象能够掌握对应的操作技能。</w:t>
      </w:r>
    </w:p>
    <w:p w14:paraId="72A6D7BC">
      <w:pPr>
        <w:pStyle w:val="3"/>
      </w:pPr>
      <w:bookmarkStart w:id="33" w:name="_Toc63785508"/>
      <w:r>
        <w:rPr>
          <w:rFonts w:hint="eastAsia"/>
        </w:rPr>
        <w:t>验收要求</w:t>
      </w:r>
      <w:bookmarkEnd w:id="33"/>
    </w:p>
    <w:p w14:paraId="05AF4B2D">
      <w:r>
        <w:rPr>
          <w:rFonts w:hint="eastAsia"/>
        </w:rPr>
        <w:t>本项目按下述方式开展验收。</w:t>
      </w:r>
    </w:p>
    <w:p w14:paraId="30E3A4D6">
      <w:r>
        <w:rPr>
          <w:rFonts w:hint="eastAsia"/>
        </w:rPr>
        <w:t>（</w:t>
      </w:r>
      <w:r>
        <w:t>1）验收分初验和终验。</w:t>
      </w:r>
    </w:p>
    <w:p w14:paraId="28377505">
      <w:r>
        <w:rPr>
          <w:rFonts w:hint="eastAsia"/>
        </w:rPr>
        <w:t>（</w:t>
      </w:r>
      <w:r>
        <w:t>2）初验前，供应商须完成软件开发、软硬件安装和信息系统的调试等，并对本项目进行功能和运行检测，确保所有信息系统功能模块能够正常运行且已达到本项目约定的各类标准要求。供应商应以书面形式向</w:t>
      </w:r>
      <w:r>
        <w:rPr>
          <w:rFonts w:hint="eastAsia"/>
          <w:lang w:eastAsia="zh-CN"/>
        </w:rPr>
        <w:t>采购人</w:t>
      </w:r>
      <w:r>
        <w:t>递交初验通知书。</w:t>
      </w:r>
      <w:r>
        <w:rPr>
          <w:rFonts w:hint="eastAsia"/>
          <w:lang w:eastAsia="zh-CN"/>
        </w:rPr>
        <w:t>采购人</w:t>
      </w:r>
      <w:r>
        <w:t>应当在接到通知后的5个工作日内确定初验的具体日期，由双方按照本项目的约定完成本项目的初验。</w:t>
      </w:r>
      <w:r>
        <w:rPr>
          <w:rFonts w:hint="eastAsia"/>
          <w:lang w:eastAsia="zh-CN"/>
        </w:rPr>
        <w:t>采购人</w:t>
      </w:r>
      <w:r>
        <w:t>有权委托第三方检测机构进行验收，对此供应商应当配合。</w:t>
      </w:r>
    </w:p>
    <w:p w14:paraId="7290FB08">
      <w:r>
        <w:rPr>
          <w:rFonts w:hint="eastAsia"/>
        </w:rPr>
        <w:t>（</w:t>
      </w:r>
      <w:r>
        <w:t>3）初验时，供应商须提供软件文档包括《用户需求说明书》、《系统概要设计说明书》、《系统详细设计说明书》、</w:t>
      </w:r>
      <w:r>
        <w:rPr>
          <w:rFonts w:hint="eastAsia"/>
        </w:rPr>
        <w:t>《三方功能需求确认单》、</w:t>
      </w:r>
      <w:r>
        <w:t>《测试报告》、《用户使用手册》、《系统部署文档》等）及可安装的程序运行文件。所交付的文档与文件应当是可供自然人阅读的书面和电子文档。软件文档及可安装的程序运行文件验收通过后，视为初验通过。如有缺陷，</w:t>
      </w:r>
      <w:r>
        <w:rPr>
          <w:rFonts w:hint="eastAsia"/>
          <w:lang w:eastAsia="zh-CN"/>
        </w:rPr>
        <w:t>采购人</w:t>
      </w:r>
      <w:r>
        <w:t>应向供应商出具书面报告，陈述需要改进的缺陷。供应商应立即严格依照</w:t>
      </w:r>
      <w:r>
        <w:rPr>
          <w:rFonts w:hint="eastAsia"/>
          <w:lang w:eastAsia="zh-CN"/>
        </w:rPr>
        <w:t>采购人</w:t>
      </w:r>
      <w:r>
        <w:t>的书面报告中的要求改进缺陷，并再次进行初验。</w:t>
      </w:r>
    </w:p>
    <w:p w14:paraId="3EFB6747">
      <w:r>
        <w:rPr>
          <w:rFonts w:hint="eastAsia"/>
        </w:rPr>
        <w:t>（</w:t>
      </w:r>
      <w:r>
        <w:t>4）自初验通过之日起，</w:t>
      </w:r>
      <w:r>
        <w:rPr>
          <w:rFonts w:hint="eastAsia"/>
          <w:lang w:eastAsia="zh-CN"/>
        </w:rPr>
        <w:t>采购人</w:t>
      </w:r>
      <w:r>
        <w:t>享有供应商免费提供的</w:t>
      </w:r>
      <w:r>
        <w:rPr>
          <w:rFonts w:hint="eastAsia"/>
        </w:rPr>
        <w:t>30</w:t>
      </w:r>
      <w:r>
        <w:t>天的信息系统试运行现场驻场服务期。该期间内，供应商应当按照</w:t>
      </w:r>
      <w:r>
        <w:rPr>
          <w:rFonts w:hint="eastAsia"/>
          <w:lang w:eastAsia="zh-CN"/>
        </w:rPr>
        <w:t>采购人</w:t>
      </w:r>
      <w:r>
        <w:t>的要求提供现场技术支持服务，解决信息系统试运行期间可能出现的各类问题，或进一步提高与完善信息系统运行水平。</w:t>
      </w:r>
    </w:p>
    <w:p w14:paraId="4DB5F4EB">
      <w:r>
        <w:rPr>
          <w:rFonts w:hint="eastAsia"/>
        </w:rPr>
        <w:t>（</w:t>
      </w:r>
      <w:r>
        <w:t>5）初验通过且信息系统试运行期已经达到本项目约定的时间，经供应商确认信息系统具备正常运行条件，且信息系统通过运行测试，供应商应以书面形式通知</w:t>
      </w:r>
      <w:r>
        <w:rPr>
          <w:rFonts w:hint="eastAsia"/>
          <w:lang w:eastAsia="zh-CN"/>
        </w:rPr>
        <w:t>采购人</w:t>
      </w:r>
      <w:r>
        <w:t>信息系统已准备就绪等待终验。</w:t>
      </w:r>
      <w:r>
        <w:rPr>
          <w:rFonts w:hint="eastAsia"/>
          <w:lang w:eastAsia="zh-CN"/>
        </w:rPr>
        <w:t>采购人</w:t>
      </w:r>
      <w:r>
        <w:t>在收到终验通知后的</w:t>
      </w:r>
      <w:r>
        <w:rPr>
          <w:rFonts w:hint="eastAsia"/>
        </w:rPr>
        <w:t>30</w:t>
      </w:r>
      <w:r>
        <w:t>个工作日内发起组织专家验收会。</w:t>
      </w:r>
    </w:p>
    <w:p w14:paraId="5881CB50">
      <w:r>
        <w:rPr>
          <w:rFonts w:hint="eastAsia"/>
        </w:rPr>
        <w:t>（6</w:t>
      </w:r>
      <w:r>
        <w:t>）如果属于供应商原因致使本项目未能通过终验，供应商应当排除缺陷，直至本项目完全符合验收标准，由上述情形而产生的相关费用应由供应商自行承担。</w:t>
      </w:r>
    </w:p>
    <w:p w14:paraId="0661A424">
      <w:r>
        <w:rPr>
          <w:rFonts w:hint="eastAsia"/>
        </w:rPr>
        <w:t>（7</w:t>
      </w:r>
      <w:r>
        <w:t>）如果由于</w:t>
      </w:r>
      <w:r>
        <w:rPr>
          <w:rFonts w:hint="eastAsia"/>
          <w:lang w:eastAsia="zh-CN"/>
        </w:rPr>
        <w:t>采购人</w:t>
      </w:r>
      <w:r>
        <w:t>原因导致本项目在终验通过前出现故障或问题，供应商应及时配合排除该方面的故障或问题。</w:t>
      </w:r>
    </w:p>
    <w:p w14:paraId="6AE2B804">
      <w:r>
        <w:rPr>
          <w:rFonts w:hint="eastAsia"/>
        </w:rPr>
        <w:t>（8</w:t>
      </w:r>
      <w:r>
        <w:t>）如本项目连续3次验收未通过（含初验未通过或终验未通过），</w:t>
      </w:r>
      <w:r>
        <w:rPr>
          <w:rFonts w:hint="eastAsia"/>
          <w:lang w:eastAsia="zh-CN"/>
        </w:rPr>
        <w:t>采购人</w:t>
      </w:r>
      <w:r>
        <w:t>有权解除项目，并有权依照本项目约定的违约条款追究供应商的违约责任。</w:t>
      </w:r>
    </w:p>
    <w:p w14:paraId="16BA6179">
      <w:pPr>
        <w:pStyle w:val="3"/>
      </w:pPr>
      <w:bookmarkStart w:id="34" w:name="_Toc63785509"/>
      <w:r>
        <w:rPr>
          <w:rFonts w:hint="eastAsia"/>
        </w:rPr>
        <w:t>进度要求</w:t>
      </w:r>
      <w:bookmarkEnd w:id="34"/>
    </w:p>
    <w:p w14:paraId="073A27B7">
      <w:r>
        <w:rPr>
          <w:rFonts w:hint="eastAsia"/>
          <w:lang w:eastAsia="zh-CN"/>
        </w:rPr>
        <w:t>响应供应商</w:t>
      </w:r>
      <w:r>
        <w:rPr>
          <w:rFonts w:hint="eastAsia"/>
        </w:rPr>
        <w:t>应根据建设内容，分阶段制定合理的时间进度，并且应根据</w:t>
      </w:r>
      <w:r>
        <w:rPr>
          <w:rFonts w:hint="eastAsia"/>
          <w:lang w:eastAsia="zh-CN"/>
        </w:rPr>
        <w:t>采购人</w:t>
      </w:r>
      <w:r>
        <w:rPr>
          <w:rFonts w:hint="eastAsia"/>
        </w:rPr>
        <w:t>要求进行调整和细化。</w:t>
      </w:r>
    </w:p>
    <w:p w14:paraId="5D125944">
      <w:r>
        <w:rPr>
          <w:rFonts w:hint="eastAsia"/>
        </w:rPr>
        <w:t>总建设周期为</w:t>
      </w:r>
      <w:r>
        <w:t>14</w:t>
      </w:r>
      <w:r>
        <w:rPr>
          <w:rFonts w:hint="eastAsia"/>
        </w:rPr>
        <w:t>个月，分为</w:t>
      </w:r>
      <w:r>
        <w:t>5</w:t>
      </w:r>
      <w:r>
        <w:rPr>
          <w:rFonts w:hint="eastAsia"/>
        </w:rPr>
        <w:t>个阶段。</w:t>
      </w:r>
    </w:p>
    <w:p w14:paraId="23F771FA">
      <w:r>
        <w:rPr>
          <w:rFonts w:hint="eastAsia"/>
        </w:rPr>
        <w:t>第一阶段为1个月，完成需求调研。</w:t>
      </w:r>
    </w:p>
    <w:p w14:paraId="66DC495A">
      <w:r>
        <w:rPr>
          <w:rFonts w:hint="eastAsia"/>
        </w:rPr>
        <w:t>第二阶段为1个月，完成系统设计。</w:t>
      </w:r>
    </w:p>
    <w:p w14:paraId="11B73D89">
      <w:r>
        <w:rPr>
          <w:rFonts w:hint="eastAsia"/>
        </w:rPr>
        <w:t>第三阶段为</w:t>
      </w:r>
      <w:r>
        <w:t>10</w:t>
      </w:r>
      <w:r>
        <w:rPr>
          <w:rFonts w:hint="eastAsia"/>
        </w:rPr>
        <w:t>个月，完成所有项目内容建设。</w:t>
      </w:r>
    </w:p>
    <w:p w14:paraId="3F18132D">
      <w:r>
        <w:rPr>
          <w:rFonts w:hint="eastAsia"/>
        </w:rPr>
        <w:t>第四阶段为1个月，完成系统试运行。</w:t>
      </w:r>
    </w:p>
    <w:p w14:paraId="47356B1B">
      <w:r>
        <w:rPr>
          <w:rFonts w:hint="eastAsia"/>
        </w:rPr>
        <w:t>第五阶段为1个月，完成系统验收上线。</w:t>
      </w:r>
    </w:p>
    <w:p w14:paraId="2BF6F11D">
      <w:pPr>
        <w:pStyle w:val="3"/>
      </w:pPr>
      <w:bookmarkStart w:id="35" w:name="_Toc63785510"/>
      <w:r>
        <w:rPr>
          <w:rFonts w:hint="eastAsia"/>
        </w:rPr>
        <w:t>项目团队及驻场人员要求</w:t>
      </w:r>
      <w:bookmarkEnd w:id="35"/>
    </w:p>
    <w:p w14:paraId="3B8CC332">
      <w:r>
        <w:t>1）</w:t>
      </w:r>
      <w:r>
        <w:rPr>
          <w:rFonts w:hint="eastAsia"/>
          <w:lang w:eastAsia="zh-CN"/>
        </w:rPr>
        <w:t>响应供应商</w:t>
      </w:r>
      <w:r>
        <w:t>须具有稳定的在职技术保障力量，能够提供及时的技术支援或服务，应针对本项目提供不少于</w:t>
      </w:r>
      <w:r>
        <w:rPr>
          <w:rFonts w:hint="eastAsia"/>
        </w:rPr>
        <w:t>1</w:t>
      </w:r>
      <w:r>
        <w:t>0人的项目服务团队（包括项目经理、产品经理、</w:t>
      </w:r>
      <w:r>
        <w:rPr>
          <w:rFonts w:hint="eastAsia"/>
        </w:rPr>
        <w:t>技术</w:t>
      </w:r>
      <w:r>
        <w:t>人员等），</w:t>
      </w:r>
      <w:r>
        <w:rPr>
          <w:rFonts w:hint="eastAsia"/>
          <w:lang w:eastAsia="zh-CN"/>
        </w:rPr>
        <w:t>响应供应商</w:t>
      </w:r>
      <w:r>
        <w:t>的相关服务人员需具备相应的服务能力。</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1938"/>
        <w:gridCol w:w="1276"/>
        <w:gridCol w:w="2492"/>
        <w:gridCol w:w="1180"/>
      </w:tblGrid>
      <w:tr w14:paraId="4A12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222930F4">
            <w:pPr>
              <w:widowControl/>
              <w:spacing w:line="240" w:lineRule="auto"/>
              <w:ind w:firstLine="0" w:firstLineChars="0"/>
              <w:jc w:val="center"/>
              <w:rPr>
                <w:b/>
              </w:rPr>
            </w:pPr>
            <w:r>
              <w:rPr>
                <w:rFonts w:hint="eastAsia"/>
                <w:b/>
              </w:rPr>
              <w:t>角色</w:t>
            </w:r>
          </w:p>
        </w:tc>
        <w:tc>
          <w:tcPr>
            <w:tcW w:w="1938" w:type="dxa"/>
            <w:noWrap/>
            <w:vAlign w:val="center"/>
          </w:tcPr>
          <w:p w14:paraId="2147C7AD">
            <w:pPr>
              <w:widowControl/>
              <w:spacing w:line="240" w:lineRule="auto"/>
              <w:ind w:firstLine="0" w:firstLineChars="0"/>
              <w:jc w:val="center"/>
              <w:rPr>
                <w:b/>
              </w:rPr>
            </w:pPr>
            <w:r>
              <w:rPr>
                <w:rFonts w:hint="eastAsia"/>
                <w:b/>
              </w:rPr>
              <w:t>主要职责</w:t>
            </w:r>
          </w:p>
        </w:tc>
        <w:tc>
          <w:tcPr>
            <w:tcW w:w="1276" w:type="dxa"/>
            <w:noWrap/>
            <w:vAlign w:val="center"/>
          </w:tcPr>
          <w:p w14:paraId="59C3F2D1">
            <w:pPr>
              <w:widowControl/>
              <w:spacing w:line="240" w:lineRule="auto"/>
              <w:ind w:firstLine="0" w:firstLineChars="0"/>
              <w:jc w:val="center"/>
              <w:rPr>
                <w:b/>
              </w:rPr>
            </w:pPr>
            <w:r>
              <w:rPr>
                <w:rFonts w:hint="eastAsia"/>
                <w:b/>
              </w:rPr>
              <w:t>人员数量</w:t>
            </w:r>
          </w:p>
        </w:tc>
        <w:tc>
          <w:tcPr>
            <w:tcW w:w="2492" w:type="dxa"/>
            <w:vAlign w:val="center"/>
          </w:tcPr>
          <w:p w14:paraId="4D4713E4">
            <w:pPr>
              <w:widowControl/>
              <w:spacing w:line="240" w:lineRule="auto"/>
              <w:ind w:firstLine="0" w:firstLineChars="0"/>
              <w:jc w:val="center"/>
              <w:rPr>
                <w:b/>
              </w:rPr>
            </w:pPr>
            <w:r>
              <w:rPr>
                <w:rFonts w:hint="eastAsia"/>
                <w:b/>
              </w:rPr>
              <w:t>人员要求</w:t>
            </w:r>
          </w:p>
        </w:tc>
        <w:tc>
          <w:tcPr>
            <w:tcW w:w="0" w:type="auto"/>
            <w:noWrap/>
            <w:vAlign w:val="center"/>
          </w:tcPr>
          <w:p w14:paraId="3AD2F51C">
            <w:pPr>
              <w:widowControl/>
              <w:spacing w:line="240" w:lineRule="auto"/>
              <w:ind w:firstLine="0" w:firstLineChars="0"/>
              <w:jc w:val="center"/>
              <w:rPr>
                <w:b/>
              </w:rPr>
            </w:pPr>
            <w:r>
              <w:rPr>
                <w:rFonts w:hint="eastAsia"/>
                <w:b/>
              </w:rPr>
              <w:t>驻场要求</w:t>
            </w:r>
          </w:p>
        </w:tc>
      </w:tr>
      <w:tr w14:paraId="6E2E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2FA9F35C">
            <w:pPr>
              <w:widowControl/>
              <w:spacing w:line="240" w:lineRule="auto"/>
              <w:ind w:firstLine="0" w:firstLineChars="0"/>
              <w:jc w:val="center"/>
            </w:pPr>
            <w:r>
              <w:rPr>
                <w:rFonts w:hint="eastAsia"/>
              </w:rPr>
              <w:t>项目经理</w:t>
            </w:r>
          </w:p>
        </w:tc>
        <w:tc>
          <w:tcPr>
            <w:tcW w:w="1938" w:type="dxa"/>
            <w:vAlign w:val="center"/>
          </w:tcPr>
          <w:p w14:paraId="25E9E77E">
            <w:pPr>
              <w:widowControl/>
              <w:spacing w:line="240" w:lineRule="auto"/>
              <w:ind w:firstLine="0" w:firstLineChars="0"/>
              <w:jc w:val="center"/>
            </w:pPr>
            <w:r>
              <w:rPr>
                <w:rFonts w:hint="eastAsia"/>
              </w:rPr>
              <w:t>负责项目质量和进度控制</w:t>
            </w:r>
          </w:p>
        </w:tc>
        <w:tc>
          <w:tcPr>
            <w:tcW w:w="1276" w:type="dxa"/>
            <w:noWrap/>
            <w:vAlign w:val="center"/>
          </w:tcPr>
          <w:p w14:paraId="196282CD">
            <w:pPr>
              <w:widowControl/>
              <w:spacing w:line="240" w:lineRule="auto"/>
              <w:ind w:firstLine="0" w:firstLineChars="0"/>
              <w:jc w:val="center"/>
            </w:pPr>
            <w:r>
              <w:rPr>
                <w:rFonts w:hint="eastAsia"/>
              </w:rPr>
              <w:t>1人</w:t>
            </w:r>
          </w:p>
        </w:tc>
        <w:tc>
          <w:tcPr>
            <w:tcW w:w="2492" w:type="dxa"/>
            <w:vAlign w:val="center"/>
          </w:tcPr>
          <w:p w14:paraId="7340A486">
            <w:pPr>
              <w:widowControl/>
              <w:spacing w:line="240" w:lineRule="auto"/>
              <w:ind w:firstLine="0" w:firstLineChars="0"/>
              <w:jc w:val="center"/>
              <w:rPr>
                <w:rFonts w:hint="eastAsia" w:eastAsia="宋体"/>
                <w:lang w:eastAsia="zh-CN"/>
              </w:rPr>
            </w:pPr>
            <w:r>
              <w:rPr>
                <w:rFonts w:hint="eastAsia"/>
              </w:rPr>
              <w:t>大学本科及以上学历，五年</w:t>
            </w:r>
            <w:r>
              <w:rPr>
                <w:rFonts w:hint="eastAsia"/>
                <w:lang w:eastAsia="zh-CN"/>
              </w:rPr>
              <w:t>及</w:t>
            </w:r>
            <w:r>
              <w:rPr>
                <w:rFonts w:hint="eastAsia"/>
              </w:rPr>
              <w:t>以上项目管理经验；信息系统项目管理师（高级）证书</w:t>
            </w:r>
            <w:r>
              <w:rPr>
                <w:rFonts w:hint="eastAsia"/>
                <w:lang w:eastAsia="zh-CN"/>
              </w:rPr>
              <w:t>的优先考虑</w:t>
            </w:r>
          </w:p>
        </w:tc>
        <w:tc>
          <w:tcPr>
            <w:tcW w:w="0" w:type="auto"/>
            <w:noWrap/>
            <w:vAlign w:val="center"/>
          </w:tcPr>
          <w:p w14:paraId="11F48F69">
            <w:pPr>
              <w:widowControl/>
              <w:spacing w:line="240" w:lineRule="auto"/>
              <w:ind w:firstLine="0" w:firstLineChars="0"/>
              <w:jc w:val="center"/>
            </w:pPr>
            <w:r>
              <w:rPr>
                <w:rFonts w:hint="eastAsia"/>
              </w:rPr>
              <w:t>不驻场</w:t>
            </w:r>
          </w:p>
        </w:tc>
      </w:tr>
      <w:tr w14:paraId="4DA4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04B83D5E">
            <w:pPr>
              <w:widowControl/>
              <w:spacing w:line="240" w:lineRule="auto"/>
              <w:ind w:firstLine="0" w:firstLineChars="0"/>
              <w:jc w:val="center"/>
            </w:pPr>
            <w:r>
              <w:rPr>
                <w:rFonts w:hint="eastAsia"/>
              </w:rPr>
              <w:t>产品经理</w:t>
            </w:r>
          </w:p>
        </w:tc>
        <w:tc>
          <w:tcPr>
            <w:tcW w:w="1938" w:type="dxa"/>
            <w:vAlign w:val="center"/>
          </w:tcPr>
          <w:p w14:paraId="2B16FD1E">
            <w:pPr>
              <w:widowControl/>
              <w:spacing w:line="240" w:lineRule="auto"/>
              <w:ind w:firstLine="0" w:firstLineChars="0"/>
              <w:jc w:val="center"/>
            </w:pPr>
            <w:r>
              <w:rPr>
                <w:rFonts w:hint="eastAsia"/>
              </w:rPr>
              <w:t>负责项目需求评估与产品设计</w:t>
            </w:r>
          </w:p>
        </w:tc>
        <w:tc>
          <w:tcPr>
            <w:tcW w:w="1276" w:type="dxa"/>
            <w:noWrap/>
            <w:vAlign w:val="center"/>
          </w:tcPr>
          <w:p w14:paraId="2BF923B1">
            <w:pPr>
              <w:widowControl/>
              <w:spacing w:line="240" w:lineRule="auto"/>
              <w:ind w:firstLine="0" w:firstLineChars="0"/>
              <w:jc w:val="center"/>
            </w:pPr>
            <w:r>
              <w:rPr>
                <w:rFonts w:hint="eastAsia"/>
              </w:rPr>
              <w:t>1人</w:t>
            </w:r>
          </w:p>
        </w:tc>
        <w:tc>
          <w:tcPr>
            <w:tcW w:w="2492" w:type="dxa"/>
            <w:vAlign w:val="center"/>
          </w:tcPr>
          <w:p w14:paraId="0FDB1532">
            <w:pPr>
              <w:widowControl/>
              <w:spacing w:line="240" w:lineRule="auto"/>
              <w:ind w:firstLine="0" w:firstLineChars="0"/>
              <w:jc w:val="center"/>
            </w:pPr>
            <w:r>
              <w:rPr>
                <w:rFonts w:hint="eastAsia"/>
              </w:rPr>
              <w:t>大学本科及以上学历且工作经验不少于3年</w:t>
            </w:r>
          </w:p>
        </w:tc>
        <w:tc>
          <w:tcPr>
            <w:tcW w:w="0" w:type="auto"/>
            <w:noWrap/>
            <w:vAlign w:val="center"/>
          </w:tcPr>
          <w:p w14:paraId="62C8D51C">
            <w:pPr>
              <w:widowControl/>
              <w:spacing w:line="240" w:lineRule="auto"/>
              <w:ind w:firstLine="0" w:firstLineChars="0"/>
              <w:jc w:val="center"/>
            </w:pPr>
            <w:r>
              <w:rPr>
                <w:rFonts w:hint="eastAsia"/>
              </w:rPr>
              <w:t>不驻场</w:t>
            </w:r>
          </w:p>
        </w:tc>
      </w:tr>
      <w:tr w14:paraId="5952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617DE904">
            <w:pPr>
              <w:widowControl/>
              <w:spacing w:line="240" w:lineRule="auto"/>
              <w:ind w:firstLine="0" w:firstLineChars="0"/>
              <w:jc w:val="center"/>
            </w:pPr>
            <w:r>
              <w:rPr>
                <w:rFonts w:hint="eastAsia"/>
              </w:rPr>
              <w:t>软件工程师</w:t>
            </w:r>
          </w:p>
        </w:tc>
        <w:tc>
          <w:tcPr>
            <w:tcW w:w="1938" w:type="dxa"/>
            <w:noWrap/>
            <w:vAlign w:val="center"/>
          </w:tcPr>
          <w:p w14:paraId="3661228F">
            <w:pPr>
              <w:widowControl/>
              <w:spacing w:line="240" w:lineRule="auto"/>
              <w:ind w:firstLine="0" w:firstLineChars="0"/>
              <w:jc w:val="center"/>
            </w:pPr>
            <w:r>
              <w:rPr>
                <w:rFonts w:hint="eastAsia"/>
              </w:rPr>
              <w:t>负责项目具体开发与实施</w:t>
            </w:r>
          </w:p>
        </w:tc>
        <w:tc>
          <w:tcPr>
            <w:tcW w:w="1276" w:type="dxa"/>
            <w:noWrap/>
            <w:vAlign w:val="center"/>
          </w:tcPr>
          <w:p w14:paraId="47779533">
            <w:pPr>
              <w:widowControl/>
              <w:spacing w:line="240" w:lineRule="auto"/>
              <w:ind w:firstLine="0" w:firstLineChars="0"/>
              <w:jc w:val="center"/>
            </w:pPr>
            <w:r>
              <w:t>5</w:t>
            </w:r>
            <w:r>
              <w:rPr>
                <w:rFonts w:hint="eastAsia"/>
              </w:rPr>
              <w:t>人</w:t>
            </w:r>
          </w:p>
        </w:tc>
        <w:tc>
          <w:tcPr>
            <w:tcW w:w="2492" w:type="dxa"/>
            <w:vAlign w:val="center"/>
          </w:tcPr>
          <w:p w14:paraId="51A3A9C8">
            <w:pPr>
              <w:widowControl/>
              <w:spacing w:line="240" w:lineRule="auto"/>
              <w:ind w:firstLine="0" w:firstLineChars="0"/>
              <w:jc w:val="center"/>
            </w:pPr>
            <w:r>
              <w:rPr>
                <w:rFonts w:hint="eastAsia"/>
              </w:rPr>
              <w:t>大学本科及以上学历</w:t>
            </w:r>
          </w:p>
        </w:tc>
        <w:tc>
          <w:tcPr>
            <w:tcW w:w="0" w:type="auto"/>
            <w:noWrap/>
            <w:vAlign w:val="center"/>
          </w:tcPr>
          <w:p w14:paraId="0EB538D9">
            <w:pPr>
              <w:widowControl/>
              <w:spacing w:line="240" w:lineRule="auto"/>
              <w:ind w:firstLine="0" w:firstLineChars="0"/>
              <w:jc w:val="center"/>
            </w:pPr>
            <w:r>
              <w:rPr>
                <w:rFonts w:hint="eastAsia"/>
              </w:rPr>
              <w:t>不驻场</w:t>
            </w:r>
          </w:p>
        </w:tc>
      </w:tr>
      <w:tr w14:paraId="4D69C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4D15ED0B">
            <w:pPr>
              <w:widowControl/>
              <w:spacing w:line="240" w:lineRule="auto"/>
              <w:ind w:firstLine="0" w:firstLineChars="0"/>
              <w:jc w:val="center"/>
            </w:pPr>
            <w:r>
              <w:rPr>
                <w:rFonts w:hint="eastAsia"/>
              </w:rPr>
              <w:t>网络工程师</w:t>
            </w:r>
          </w:p>
        </w:tc>
        <w:tc>
          <w:tcPr>
            <w:tcW w:w="1938" w:type="dxa"/>
            <w:noWrap/>
            <w:vAlign w:val="center"/>
          </w:tcPr>
          <w:p w14:paraId="5D339816">
            <w:pPr>
              <w:widowControl/>
              <w:spacing w:line="240" w:lineRule="auto"/>
              <w:ind w:firstLine="0" w:firstLineChars="0"/>
              <w:jc w:val="center"/>
            </w:pPr>
            <w:r>
              <w:rPr>
                <w:rFonts w:hint="eastAsia"/>
              </w:rPr>
              <w:t>负责硬件设备上架与调试</w:t>
            </w:r>
          </w:p>
        </w:tc>
        <w:tc>
          <w:tcPr>
            <w:tcW w:w="1276" w:type="dxa"/>
            <w:noWrap/>
            <w:vAlign w:val="center"/>
          </w:tcPr>
          <w:p w14:paraId="1F5E5CB6">
            <w:pPr>
              <w:widowControl/>
              <w:spacing w:line="240" w:lineRule="auto"/>
              <w:ind w:firstLine="0" w:firstLineChars="0"/>
              <w:jc w:val="center"/>
            </w:pPr>
            <w:r>
              <w:rPr>
                <w:rFonts w:hint="eastAsia"/>
              </w:rPr>
              <w:t>1人</w:t>
            </w:r>
          </w:p>
        </w:tc>
        <w:tc>
          <w:tcPr>
            <w:tcW w:w="2492" w:type="dxa"/>
            <w:vAlign w:val="center"/>
          </w:tcPr>
          <w:p w14:paraId="021767FF">
            <w:pPr>
              <w:widowControl/>
              <w:spacing w:line="240" w:lineRule="auto"/>
              <w:ind w:firstLine="0" w:firstLineChars="0"/>
              <w:jc w:val="center"/>
            </w:pPr>
            <w:bookmarkStart w:id="36" w:name="OLE_LINK5"/>
            <w:bookmarkStart w:id="37" w:name="OLE_LINK6"/>
            <w:r>
              <w:rPr>
                <w:rFonts w:hint="eastAsia"/>
              </w:rPr>
              <w:t>大学本科及以上学历</w:t>
            </w:r>
            <w:bookmarkEnd w:id="36"/>
            <w:bookmarkEnd w:id="37"/>
          </w:p>
        </w:tc>
        <w:tc>
          <w:tcPr>
            <w:tcW w:w="0" w:type="auto"/>
            <w:noWrap/>
            <w:vAlign w:val="center"/>
          </w:tcPr>
          <w:p w14:paraId="56FD45C0">
            <w:pPr>
              <w:widowControl/>
              <w:spacing w:line="240" w:lineRule="auto"/>
              <w:ind w:firstLine="0" w:firstLineChars="0"/>
              <w:jc w:val="center"/>
            </w:pPr>
            <w:r>
              <w:rPr>
                <w:rFonts w:hint="eastAsia"/>
              </w:rPr>
              <w:t>不驻场</w:t>
            </w:r>
          </w:p>
        </w:tc>
      </w:tr>
      <w:tr w14:paraId="32EC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59830676">
            <w:pPr>
              <w:widowControl/>
              <w:spacing w:line="240" w:lineRule="auto"/>
              <w:ind w:firstLine="0" w:firstLineChars="0"/>
              <w:jc w:val="center"/>
            </w:pPr>
            <w:r>
              <w:t>研发及实施</w:t>
            </w:r>
          </w:p>
        </w:tc>
        <w:tc>
          <w:tcPr>
            <w:tcW w:w="1938" w:type="dxa"/>
            <w:noWrap/>
            <w:vAlign w:val="center"/>
          </w:tcPr>
          <w:p w14:paraId="129BB85C">
            <w:pPr>
              <w:widowControl/>
              <w:spacing w:line="240" w:lineRule="auto"/>
              <w:ind w:firstLine="0" w:firstLineChars="0"/>
              <w:jc w:val="center"/>
            </w:pPr>
            <w:r>
              <w:rPr>
                <w:rFonts w:hint="eastAsia"/>
              </w:rPr>
              <w:t>负责项目具体开发与实施</w:t>
            </w:r>
          </w:p>
        </w:tc>
        <w:tc>
          <w:tcPr>
            <w:tcW w:w="1276" w:type="dxa"/>
            <w:noWrap/>
            <w:vAlign w:val="center"/>
          </w:tcPr>
          <w:p w14:paraId="7AFC4C94">
            <w:pPr>
              <w:widowControl/>
              <w:spacing w:line="240" w:lineRule="auto"/>
              <w:ind w:firstLine="0" w:firstLineChars="0"/>
              <w:jc w:val="center"/>
            </w:pPr>
            <w:r>
              <w:t>2</w:t>
            </w:r>
            <w:r>
              <w:rPr>
                <w:rFonts w:hint="eastAsia"/>
              </w:rPr>
              <w:t>人</w:t>
            </w:r>
          </w:p>
        </w:tc>
        <w:tc>
          <w:tcPr>
            <w:tcW w:w="2492" w:type="dxa"/>
            <w:vAlign w:val="center"/>
          </w:tcPr>
          <w:p w14:paraId="3C12BB95">
            <w:pPr>
              <w:widowControl/>
              <w:spacing w:line="240" w:lineRule="auto"/>
              <w:ind w:firstLine="0" w:firstLineChars="0"/>
              <w:jc w:val="center"/>
            </w:pPr>
            <w:r>
              <w:rPr>
                <w:rFonts w:hint="eastAsia"/>
              </w:rPr>
              <w:t>大学本科及以上学历</w:t>
            </w:r>
          </w:p>
        </w:tc>
        <w:tc>
          <w:tcPr>
            <w:tcW w:w="0" w:type="auto"/>
            <w:noWrap/>
            <w:vAlign w:val="center"/>
          </w:tcPr>
          <w:p w14:paraId="35B319AC">
            <w:pPr>
              <w:widowControl/>
              <w:spacing w:line="240" w:lineRule="auto"/>
              <w:ind w:firstLine="0" w:firstLineChars="0"/>
              <w:jc w:val="center"/>
            </w:pPr>
            <w:r>
              <w:rPr>
                <w:rFonts w:hint="eastAsia"/>
              </w:rPr>
              <w:t>驻场</w:t>
            </w:r>
          </w:p>
        </w:tc>
      </w:tr>
    </w:tbl>
    <w:p w14:paraId="295886BB">
      <w:r>
        <w:t>2）</w:t>
      </w:r>
      <w:r>
        <w:rPr>
          <w:rFonts w:hint="eastAsia"/>
          <w:lang w:eastAsia="zh-CN"/>
        </w:rPr>
        <w:t>响应供应商</w:t>
      </w:r>
      <w:r>
        <w:t>应针对本项目提供不少于3人的质保期间支撑团队（其中技术经理</w:t>
      </w:r>
      <w:r>
        <w:rPr>
          <w:rFonts w:hint="eastAsia"/>
        </w:rPr>
        <w:t>1</w:t>
      </w:r>
      <w:r>
        <w:t>人，技术工程师不少于2人）；</w:t>
      </w:r>
      <w:r>
        <w:rPr>
          <w:rFonts w:hint="eastAsia"/>
          <w:lang w:eastAsia="zh-CN"/>
        </w:rPr>
        <w:t>响应供应商</w:t>
      </w:r>
      <w:r>
        <w:t>的相关服务人员需具备相应的服务能力。</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725"/>
        <w:gridCol w:w="1180"/>
        <w:gridCol w:w="2027"/>
        <w:gridCol w:w="1180"/>
      </w:tblGrid>
      <w:tr w14:paraId="1FB2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44358468">
            <w:pPr>
              <w:widowControl/>
              <w:spacing w:line="240" w:lineRule="auto"/>
              <w:ind w:firstLine="0" w:firstLineChars="0"/>
              <w:jc w:val="center"/>
              <w:rPr>
                <w:b/>
              </w:rPr>
            </w:pPr>
            <w:r>
              <w:rPr>
                <w:rFonts w:hint="eastAsia"/>
                <w:b/>
              </w:rPr>
              <w:t>角色</w:t>
            </w:r>
          </w:p>
        </w:tc>
        <w:tc>
          <w:tcPr>
            <w:tcW w:w="0" w:type="auto"/>
            <w:noWrap/>
            <w:vAlign w:val="center"/>
          </w:tcPr>
          <w:p w14:paraId="542566C4">
            <w:pPr>
              <w:widowControl/>
              <w:spacing w:line="240" w:lineRule="auto"/>
              <w:ind w:firstLine="0" w:firstLineChars="0"/>
              <w:jc w:val="center"/>
              <w:rPr>
                <w:b/>
              </w:rPr>
            </w:pPr>
            <w:r>
              <w:rPr>
                <w:rFonts w:hint="eastAsia"/>
                <w:b/>
              </w:rPr>
              <w:t>主要职责</w:t>
            </w:r>
          </w:p>
        </w:tc>
        <w:tc>
          <w:tcPr>
            <w:tcW w:w="0" w:type="auto"/>
            <w:noWrap/>
            <w:vAlign w:val="center"/>
          </w:tcPr>
          <w:p w14:paraId="39E45701">
            <w:pPr>
              <w:widowControl/>
              <w:spacing w:line="240" w:lineRule="auto"/>
              <w:ind w:firstLine="0" w:firstLineChars="0"/>
              <w:jc w:val="center"/>
              <w:rPr>
                <w:b/>
              </w:rPr>
            </w:pPr>
            <w:r>
              <w:rPr>
                <w:rFonts w:hint="eastAsia"/>
                <w:b/>
              </w:rPr>
              <w:t>人员数量</w:t>
            </w:r>
          </w:p>
        </w:tc>
        <w:tc>
          <w:tcPr>
            <w:tcW w:w="0" w:type="auto"/>
            <w:vAlign w:val="center"/>
          </w:tcPr>
          <w:p w14:paraId="07EA8720">
            <w:pPr>
              <w:widowControl/>
              <w:spacing w:line="240" w:lineRule="auto"/>
              <w:ind w:firstLine="0" w:firstLineChars="0"/>
              <w:jc w:val="center"/>
              <w:rPr>
                <w:b/>
              </w:rPr>
            </w:pPr>
            <w:r>
              <w:rPr>
                <w:rFonts w:hint="eastAsia"/>
                <w:b/>
              </w:rPr>
              <w:t>人员要求</w:t>
            </w:r>
          </w:p>
        </w:tc>
        <w:tc>
          <w:tcPr>
            <w:tcW w:w="0" w:type="auto"/>
            <w:noWrap/>
            <w:vAlign w:val="center"/>
          </w:tcPr>
          <w:p w14:paraId="4B4E8E39">
            <w:pPr>
              <w:widowControl/>
              <w:spacing w:line="240" w:lineRule="auto"/>
              <w:ind w:firstLine="0" w:firstLineChars="0"/>
              <w:jc w:val="center"/>
              <w:rPr>
                <w:b/>
              </w:rPr>
            </w:pPr>
            <w:r>
              <w:rPr>
                <w:rFonts w:hint="eastAsia"/>
                <w:b/>
              </w:rPr>
              <w:t>驻场要求</w:t>
            </w:r>
          </w:p>
        </w:tc>
      </w:tr>
      <w:tr w14:paraId="77EA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2EFAED47">
            <w:pPr>
              <w:widowControl/>
              <w:spacing w:line="240" w:lineRule="auto"/>
              <w:ind w:firstLine="0" w:firstLineChars="0"/>
              <w:jc w:val="center"/>
            </w:pPr>
            <w:r>
              <w:rPr>
                <w:rFonts w:hint="eastAsia"/>
              </w:rPr>
              <w:t>项目经理</w:t>
            </w:r>
          </w:p>
        </w:tc>
        <w:tc>
          <w:tcPr>
            <w:tcW w:w="0" w:type="auto"/>
            <w:vAlign w:val="center"/>
          </w:tcPr>
          <w:p w14:paraId="6B6D7942">
            <w:pPr>
              <w:widowControl/>
              <w:spacing w:line="240" w:lineRule="auto"/>
              <w:ind w:firstLine="0" w:firstLineChars="0"/>
              <w:jc w:val="center"/>
            </w:pPr>
            <w:r>
              <w:rPr>
                <w:rFonts w:hint="eastAsia"/>
              </w:rPr>
              <w:t>负责项目质量和进度控制</w:t>
            </w:r>
          </w:p>
        </w:tc>
        <w:tc>
          <w:tcPr>
            <w:tcW w:w="0" w:type="auto"/>
            <w:noWrap/>
            <w:vAlign w:val="center"/>
          </w:tcPr>
          <w:p w14:paraId="61D1C938">
            <w:pPr>
              <w:widowControl/>
              <w:spacing w:line="240" w:lineRule="auto"/>
              <w:ind w:firstLine="0" w:firstLineChars="0"/>
              <w:jc w:val="center"/>
            </w:pPr>
            <w:r>
              <w:rPr>
                <w:rFonts w:hint="eastAsia"/>
              </w:rPr>
              <w:t>1人</w:t>
            </w:r>
          </w:p>
        </w:tc>
        <w:tc>
          <w:tcPr>
            <w:tcW w:w="0" w:type="auto"/>
            <w:vAlign w:val="center"/>
          </w:tcPr>
          <w:p w14:paraId="48214714">
            <w:pPr>
              <w:widowControl/>
              <w:spacing w:line="240" w:lineRule="auto"/>
              <w:ind w:firstLine="0" w:firstLineChars="0"/>
              <w:jc w:val="left"/>
            </w:pPr>
            <w:r>
              <w:rPr>
                <w:rFonts w:hint="eastAsia"/>
              </w:rPr>
              <w:t>大学本科及以上学历</w:t>
            </w:r>
          </w:p>
        </w:tc>
        <w:tc>
          <w:tcPr>
            <w:tcW w:w="0" w:type="auto"/>
            <w:noWrap/>
            <w:vAlign w:val="center"/>
          </w:tcPr>
          <w:p w14:paraId="3FB0AD05">
            <w:pPr>
              <w:widowControl/>
              <w:spacing w:line="240" w:lineRule="auto"/>
              <w:ind w:firstLine="0" w:firstLineChars="0"/>
              <w:jc w:val="center"/>
            </w:pPr>
            <w:r>
              <w:rPr>
                <w:rFonts w:hint="eastAsia"/>
              </w:rPr>
              <w:t>不驻场</w:t>
            </w:r>
          </w:p>
        </w:tc>
      </w:tr>
      <w:tr w14:paraId="5402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32CB6AB7">
            <w:pPr>
              <w:widowControl/>
              <w:spacing w:line="240" w:lineRule="auto"/>
              <w:ind w:firstLine="0" w:firstLineChars="0"/>
              <w:jc w:val="center"/>
            </w:pPr>
            <w:r>
              <w:rPr>
                <w:rFonts w:hint="eastAsia"/>
              </w:rPr>
              <w:t>技术工程师</w:t>
            </w:r>
          </w:p>
        </w:tc>
        <w:tc>
          <w:tcPr>
            <w:tcW w:w="0" w:type="auto"/>
            <w:noWrap/>
            <w:vAlign w:val="center"/>
          </w:tcPr>
          <w:p w14:paraId="40C9CD57">
            <w:pPr>
              <w:widowControl/>
              <w:spacing w:line="240" w:lineRule="auto"/>
              <w:ind w:firstLine="0" w:firstLineChars="0"/>
              <w:jc w:val="center"/>
            </w:pPr>
            <w:r>
              <w:rPr>
                <w:rFonts w:hint="eastAsia"/>
              </w:rPr>
              <w:t>负责项目运行维护</w:t>
            </w:r>
          </w:p>
        </w:tc>
        <w:tc>
          <w:tcPr>
            <w:tcW w:w="0" w:type="auto"/>
            <w:noWrap/>
            <w:vAlign w:val="center"/>
          </w:tcPr>
          <w:p w14:paraId="18D75ACC">
            <w:pPr>
              <w:widowControl/>
              <w:spacing w:line="240" w:lineRule="auto"/>
              <w:ind w:firstLine="0" w:firstLineChars="0"/>
              <w:jc w:val="center"/>
            </w:pPr>
            <w:r>
              <w:t>2</w:t>
            </w:r>
            <w:r>
              <w:rPr>
                <w:rFonts w:hint="eastAsia"/>
              </w:rPr>
              <w:t>人</w:t>
            </w:r>
          </w:p>
        </w:tc>
        <w:tc>
          <w:tcPr>
            <w:tcW w:w="0" w:type="auto"/>
            <w:vAlign w:val="center"/>
          </w:tcPr>
          <w:p w14:paraId="18C315EF">
            <w:pPr>
              <w:widowControl/>
              <w:spacing w:line="240" w:lineRule="auto"/>
              <w:ind w:firstLine="0" w:firstLineChars="0"/>
              <w:jc w:val="left"/>
            </w:pPr>
            <w:r>
              <w:rPr>
                <w:rFonts w:hint="eastAsia"/>
              </w:rPr>
              <w:t>大学本科及以上学历</w:t>
            </w:r>
          </w:p>
        </w:tc>
        <w:tc>
          <w:tcPr>
            <w:tcW w:w="0" w:type="auto"/>
            <w:noWrap/>
            <w:vAlign w:val="center"/>
          </w:tcPr>
          <w:p w14:paraId="0F2D32CA">
            <w:pPr>
              <w:widowControl/>
              <w:spacing w:line="240" w:lineRule="auto"/>
              <w:ind w:firstLine="0" w:firstLineChars="0"/>
              <w:jc w:val="center"/>
            </w:pPr>
            <w:r>
              <w:rPr>
                <w:rFonts w:hint="eastAsia"/>
              </w:rPr>
              <w:t>不驻场</w:t>
            </w:r>
          </w:p>
        </w:tc>
      </w:tr>
    </w:tbl>
    <w:p w14:paraId="73C623A6">
      <w:pPr>
        <w:pStyle w:val="3"/>
      </w:pPr>
      <w:bookmarkStart w:id="38" w:name="_Toc63785511"/>
      <w:r>
        <w:t>等级保护要求</w:t>
      </w:r>
      <w:bookmarkEnd w:id="38"/>
    </w:p>
    <w:p w14:paraId="1352829B">
      <w:r>
        <w:rPr>
          <w:rFonts w:hint="eastAsia"/>
        </w:rPr>
        <w:t>本项目等级保护要求：参照等保三级要求建设。</w:t>
      </w:r>
    </w:p>
    <w:p w14:paraId="60C91473">
      <w:pPr>
        <w:pStyle w:val="3"/>
      </w:pPr>
      <w:r>
        <w:rPr>
          <w:rFonts w:hint="eastAsia"/>
        </w:rPr>
        <w:t>商用密码应用需求</w:t>
      </w:r>
    </w:p>
    <w:p w14:paraId="1D225892">
      <w:r>
        <w:rPr>
          <w:rFonts w:hint="eastAsia"/>
        </w:rPr>
        <w:t>满足商业密码应用建设要求，并通过商业密码应用安全测评。</w:t>
      </w:r>
    </w:p>
    <w:p w14:paraId="0DE217C3">
      <w:pPr>
        <w:widowControl/>
        <w:tabs>
          <w:tab w:val="center" w:pos="4201"/>
          <w:tab w:val="right" w:leader="dot" w:pos="9298"/>
        </w:tabs>
        <w:autoSpaceDE w:val="0"/>
        <w:autoSpaceDN w:val="0"/>
        <w:rPr>
          <w:rFonts w:hint="eastAsia" w:ascii="仿宋" w:hAnsi="仿宋"/>
          <w:kern w:val="0"/>
          <w:sz w:val="28"/>
          <w:szCs w:val="28"/>
        </w:rPr>
      </w:pPr>
      <w:r>
        <w:rPr>
          <w:rFonts w:hint="eastAsia" w:ascii="仿宋" w:hAnsi="仿宋"/>
          <w:kern w:val="0"/>
          <w:szCs w:val="28"/>
        </w:rPr>
        <w:t>梳理出本系统密码应用需求清单如下表：</w:t>
      </w:r>
    </w:p>
    <w:tbl>
      <w:tblPr>
        <w:tblStyle w:val="3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6"/>
        <w:gridCol w:w="858"/>
        <w:gridCol w:w="2286"/>
        <w:gridCol w:w="3715"/>
        <w:gridCol w:w="1573"/>
      </w:tblGrid>
      <w:tr w14:paraId="445F5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tblHeader/>
          <w:jc w:val="center"/>
        </w:trPr>
        <w:tc>
          <w:tcPr>
            <w:tcW w:w="1714" w:type="dxa"/>
            <w:gridSpan w:val="2"/>
            <w:tcBorders>
              <w:top w:val="single" w:color="000000" w:sz="6" w:space="0"/>
              <w:left w:val="single" w:color="000000" w:sz="6" w:space="0"/>
              <w:bottom w:val="single" w:color="000000" w:sz="6" w:space="0"/>
              <w:right w:val="single" w:color="000000" w:sz="6" w:space="0"/>
            </w:tcBorders>
            <w:vAlign w:val="center"/>
          </w:tcPr>
          <w:p w14:paraId="35B64824">
            <w:pPr>
              <w:pStyle w:val="16"/>
              <w:ind w:firstLine="422"/>
              <w:jc w:val="center"/>
              <w:rPr>
                <w:rFonts w:ascii="仿宋" w:hAnsi="仿宋" w:cs="仿宋"/>
                <w:b/>
                <w:bCs/>
                <w:szCs w:val="28"/>
              </w:rPr>
            </w:pPr>
            <w:r>
              <w:rPr>
                <w:rFonts w:hint="eastAsia"/>
                <w:b/>
                <w:bCs/>
              </w:rPr>
              <w:t>安全层面</w:t>
            </w:r>
          </w:p>
        </w:tc>
        <w:tc>
          <w:tcPr>
            <w:tcW w:w="2286" w:type="dxa"/>
            <w:tcBorders>
              <w:top w:val="single" w:color="000000" w:sz="6" w:space="0"/>
              <w:left w:val="single" w:color="000000" w:sz="6" w:space="0"/>
              <w:bottom w:val="single" w:color="000000" w:sz="6" w:space="0"/>
              <w:right w:val="single" w:color="000000" w:sz="6" w:space="0"/>
            </w:tcBorders>
            <w:vAlign w:val="center"/>
          </w:tcPr>
          <w:p w14:paraId="2CFA5EAD">
            <w:pPr>
              <w:pStyle w:val="16"/>
              <w:ind w:firstLine="422"/>
              <w:jc w:val="center"/>
              <w:rPr>
                <w:b/>
                <w:bCs/>
              </w:rPr>
            </w:pPr>
            <w:r>
              <w:rPr>
                <w:rFonts w:hint="eastAsia"/>
                <w:b/>
                <w:bCs/>
              </w:rPr>
              <w:t>指标要求</w:t>
            </w:r>
          </w:p>
        </w:tc>
        <w:tc>
          <w:tcPr>
            <w:tcW w:w="3715" w:type="dxa"/>
            <w:tcBorders>
              <w:top w:val="single" w:color="000000" w:sz="6" w:space="0"/>
              <w:left w:val="single" w:color="000000" w:sz="6" w:space="0"/>
              <w:bottom w:val="single" w:color="000000" w:sz="6" w:space="0"/>
              <w:right w:val="single" w:color="000000" w:sz="6" w:space="0"/>
            </w:tcBorders>
            <w:vAlign w:val="center"/>
          </w:tcPr>
          <w:p w14:paraId="1C0EE545">
            <w:pPr>
              <w:pStyle w:val="16"/>
              <w:ind w:firstLine="422"/>
              <w:jc w:val="center"/>
              <w:rPr>
                <w:b/>
                <w:bCs/>
              </w:rPr>
            </w:pPr>
            <w:r>
              <w:rPr>
                <w:rFonts w:hint="eastAsia"/>
                <w:b/>
                <w:bCs/>
              </w:rPr>
              <w:t>系统密码应用需求</w:t>
            </w:r>
          </w:p>
        </w:tc>
        <w:tc>
          <w:tcPr>
            <w:tcW w:w="1573" w:type="dxa"/>
            <w:tcBorders>
              <w:top w:val="single" w:color="000000" w:sz="6" w:space="0"/>
              <w:left w:val="single" w:color="000000" w:sz="6" w:space="0"/>
              <w:bottom w:val="single" w:color="000000" w:sz="6" w:space="0"/>
              <w:right w:val="single" w:color="000000" w:sz="6" w:space="0"/>
            </w:tcBorders>
            <w:vAlign w:val="center"/>
          </w:tcPr>
          <w:p w14:paraId="027E5A6B">
            <w:pPr>
              <w:pStyle w:val="16"/>
              <w:ind w:firstLine="422"/>
              <w:jc w:val="center"/>
              <w:rPr>
                <w:b/>
                <w:bCs/>
              </w:rPr>
            </w:pPr>
            <w:r>
              <w:rPr>
                <w:rFonts w:hint="eastAsia"/>
                <w:b/>
                <w:bCs/>
              </w:rPr>
              <w:t>不适用说明</w:t>
            </w:r>
          </w:p>
        </w:tc>
      </w:tr>
      <w:tr w14:paraId="4B478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restart"/>
            <w:tcBorders>
              <w:top w:val="single" w:color="000000" w:sz="6" w:space="0"/>
              <w:left w:val="single" w:color="000000" w:sz="6" w:space="0"/>
              <w:bottom w:val="single" w:color="000000" w:sz="6" w:space="0"/>
              <w:right w:val="single" w:color="000000" w:sz="6" w:space="0"/>
            </w:tcBorders>
            <w:vAlign w:val="center"/>
          </w:tcPr>
          <w:p w14:paraId="19EE56F8">
            <w:pPr>
              <w:pStyle w:val="16"/>
            </w:pPr>
            <w:r>
              <w:rPr>
                <w:rFonts w:hint="eastAsia"/>
              </w:rPr>
              <w:t>计算平台安全</w:t>
            </w:r>
          </w:p>
        </w:tc>
        <w:tc>
          <w:tcPr>
            <w:tcW w:w="858" w:type="dxa"/>
            <w:vMerge w:val="restart"/>
            <w:tcBorders>
              <w:top w:val="single" w:color="000000" w:sz="6" w:space="0"/>
              <w:left w:val="single" w:color="000000" w:sz="6" w:space="0"/>
              <w:bottom w:val="single" w:color="000000" w:sz="6" w:space="0"/>
              <w:right w:val="single" w:color="000000" w:sz="6" w:space="0"/>
            </w:tcBorders>
            <w:vAlign w:val="center"/>
          </w:tcPr>
          <w:p w14:paraId="678B27DB">
            <w:pPr>
              <w:pStyle w:val="16"/>
            </w:pPr>
            <w:r>
              <w:rPr>
                <w:rFonts w:hint="eastAsia"/>
              </w:rPr>
              <w:t>物理和环境安全</w:t>
            </w:r>
          </w:p>
        </w:tc>
        <w:tc>
          <w:tcPr>
            <w:tcW w:w="2286" w:type="dxa"/>
            <w:tcBorders>
              <w:top w:val="single" w:color="000000" w:sz="6" w:space="0"/>
              <w:left w:val="single" w:color="000000" w:sz="6" w:space="0"/>
              <w:bottom w:val="single" w:color="000000" w:sz="6" w:space="0"/>
              <w:right w:val="single" w:color="000000" w:sz="6" w:space="0"/>
            </w:tcBorders>
            <w:vAlign w:val="center"/>
          </w:tcPr>
          <w:p w14:paraId="6084EC80">
            <w:pPr>
              <w:pStyle w:val="16"/>
            </w:pPr>
            <w:r>
              <w:rPr>
                <w:rFonts w:hint="eastAsia"/>
              </w:rPr>
              <w:t>身份鉴别</w:t>
            </w:r>
          </w:p>
        </w:tc>
        <w:tc>
          <w:tcPr>
            <w:tcW w:w="3715" w:type="dxa"/>
            <w:tcBorders>
              <w:top w:val="single" w:color="000000" w:sz="6" w:space="0"/>
              <w:left w:val="single" w:color="000000" w:sz="6" w:space="0"/>
              <w:bottom w:val="single" w:color="000000" w:sz="6" w:space="0"/>
              <w:right w:val="single" w:color="000000" w:sz="6" w:space="0"/>
            </w:tcBorders>
            <w:vAlign w:val="center"/>
          </w:tcPr>
          <w:p w14:paraId="6671D293">
            <w:pPr>
              <w:pStyle w:val="16"/>
            </w:pPr>
            <w:r>
              <w:rPr>
                <w:rFonts w:hint="eastAsia"/>
              </w:rPr>
              <w:t>已符合密码应用要求。</w:t>
            </w:r>
          </w:p>
        </w:tc>
        <w:tc>
          <w:tcPr>
            <w:tcW w:w="1573" w:type="dxa"/>
            <w:tcBorders>
              <w:top w:val="single" w:color="000000" w:sz="6" w:space="0"/>
              <w:left w:val="single" w:color="000000" w:sz="6" w:space="0"/>
              <w:bottom w:val="single" w:color="000000" w:sz="6" w:space="0"/>
              <w:right w:val="single" w:color="000000" w:sz="6" w:space="0"/>
            </w:tcBorders>
            <w:vAlign w:val="center"/>
          </w:tcPr>
          <w:p w14:paraId="37A836B5">
            <w:pPr>
              <w:pStyle w:val="16"/>
            </w:pPr>
            <w:r>
              <w:rPr>
                <w:rFonts w:hint="eastAsia"/>
              </w:rPr>
              <w:t>无</w:t>
            </w:r>
          </w:p>
        </w:tc>
      </w:tr>
      <w:tr w14:paraId="39723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12228FD4">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52F472D5">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06E645C6">
            <w:pPr>
              <w:pStyle w:val="16"/>
            </w:pPr>
            <w:r>
              <w:rPr>
                <w:rFonts w:hint="eastAsia"/>
              </w:rPr>
              <w:t>电子门禁记录数据完整性</w:t>
            </w:r>
          </w:p>
        </w:tc>
        <w:tc>
          <w:tcPr>
            <w:tcW w:w="3715" w:type="dxa"/>
            <w:vMerge w:val="restart"/>
            <w:tcBorders>
              <w:top w:val="single" w:color="000000" w:sz="6" w:space="0"/>
              <w:left w:val="single" w:color="000000" w:sz="6" w:space="0"/>
              <w:bottom w:val="single" w:color="000000" w:sz="6" w:space="0"/>
              <w:right w:val="single" w:color="000000" w:sz="6" w:space="0"/>
            </w:tcBorders>
            <w:vAlign w:val="center"/>
          </w:tcPr>
          <w:p w14:paraId="4B0F8217">
            <w:pPr>
              <w:pStyle w:val="16"/>
            </w:pPr>
            <w:r>
              <w:rPr>
                <w:rFonts w:hint="eastAsia"/>
              </w:rPr>
              <w:t>已符合密码应用要求。</w:t>
            </w:r>
          </w:p>
        </w:tc>
        <w:tc>
          <w:tcPr>
            <w:tcW w:w="1573" w:type="dxa"/>
            <w:vMerge w:val="restart"/>
            <w:tcBorders>
              <w:top w:val="single" w:color="000000" w:sz="6" w:space="0"/>
              <w:left w:val="single" w:color="000000" w:sz="6" w:space="0"/>
              <w:bottom w:val="single" w:color="000000" w:sz="6" w:space="0"/>
              <w:right w:val="single" w:color="000000" w:sz="6" w:space="0"/>
            </w:tcBorders>
            <w:vAlign w:val="center"/>
          </w:tcPr>
          <w:p w14:paraId="2CFE78EF">
            <w:pPr>
              <w:pStyle w:val="16"/>
            </w:pPr>
            <w:r>
              <w:rPr>
                <w:rFonts w:hint="eastAsia"/>
              </w:rPr>
              <w:t>无</w:t>
            </w:r>
          </w:p>
        </w:tc>
      </w:tr>
      <w:tr w14:paraId="4EB05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6D5D9D7B">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3B6F76B0">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3E291348">
            <w:pPr>
              <w:pStyle w:val="16"/>
            </w:pPr>
            <w:r>
              <w:rPr>
                <w:rFonts w:hint="eastAsia"/>
              </w:rPr>
              <w:t>视频监控记录数据完整性</w:t>
            </w:r>
          </w:p>
        </w:tc>
        <w:tc>
          <w:tcPr>
            <w:tcW w:w="3715" w:type="dxa"/>
            <w:vMerge w:val="continue"/>
            <w:tcBorders>
              <w:top w:val="single" w:color="000000" w:sz="6" w:space="0"/>
              <w:left w:val="single" w:color="000000" w:sz="6" w:space="0"/>
              <w:bottom w:val="single" w:color="000000" w:sz="6" w:space="0"/>
              <w:right w:val="single" w:color="000000" w:sz="6" w:space="0"/>
            </w:tcBorders>
            <w:vAlign w:val="center"/>
          </w:tcPr>
          <w:p w14:paraId="48D586B9">
            <w:pPr>
              <w:widowControl/>
              <w:spacing w:line="240" w:lineRule="auto"/>
              <w:ind w:firstLine="0" w:firstLineChars="0"/>
              <w:jc w:val="left"/>
              <w:rPr>
                <w:rFonts w:ascii="仿宋" w:hAnsi="仿宋" w:eastAsia="仿宋" w:cs="仿宋"/>
                <w:szCs w:val="28"/>
                <w:lang w:val="zh-CN" w:bidi="zh-CN"/>
              </w:rPr>
            </w:pPr>
          </w:p>
        </w:tc>
        <w:tc>
          <w:tcPr>
            <w:tcW w:w="1573" w:type="dxa"/>
            <w:vMerge w:val="continue"/>
            <w:tcBorders>
              <w:top w:val="single" w:color="000000" w:sz="6" w:space="0"/>
              <w:left w:val="single" w:color="000000" w:sz="6" w:space="0"/>
              <w:bottom w:val="single" w:color="000000" w:sz="6" w:space="0"/>
              <w:right w:val="single" w:color="000000" w:sz="6" w:space="0"/>
            </w:tcBorders>
            <w:vAlign w:val="center"/>
          </w:tcPr>
          <w:p w14:paraId="429E51AE">
            <w:pPr>
              <w:widowControl/>
              <w:spacing w:line="240" w:lineRule="auto"/>
              <w:ind w:firstLine="0" w:firstLineChars="0"/>
              <w:jc w:val="left"/>
              <w:rPr>
                <w:rFonts w:ascii="仿宋" w:hAnsi="仿宋" w:eastAsia="仿宋" w:cs="仿宋"/>
                <w:szCs w:val="28"/>
                <w:lang w:val="zh-CN" w:bidi="zh-CN"/>
              </w:rPr>
            </w:pPr>
          </w:p>
        </w:tc>
      </w:tr>
      <w:tr w14:paraId="30962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5F1F4F05">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4F276DD9">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36AE016A">
            <w:pPr>
              <w:pStyle w:val="16"/>
            </w:pPr>
            <w:r>
              <w:rPr>
                <w:rFonts w:hint="eastAsia"/>
              </w:rPr>
              <w:t>密码服务</w:t>
            </w:r>
          </w:p>
        </w:tc>
        <w:tc>
          <w:tcPr>
            <w:tcW w:w="3715" w:type="dxa"/>
            <w:tcBorders>
              <w:top w:val="single" w:color="000000" w:sz="6" w:space="0"/>
              <w:left w:val="single" w:color="000000" w:sz="6" w:space="0"/>
              <w:bottom w:val="single" w:color="000000" w:sz="6" w:space="0"/>
              <w:right w:val="single" w:color="000000" w:sz="6" w:space="0"/>
            </w:tcBorders>
            <w:vAlign w:val="center"/>
          </w:tcPr>
          <w:p w14:paraId="4C790258">
            <w:pPr>
              <w:pStyle w:val="16"/>
            </w:pPr>
            <w:r>
              <w:rPr>
                <w:rFonts w:hint="eastAsia"/>
              </w:rPr>
              <w:t>不适用。</w:t>
            </w:r>
          </w:p>
        </w:tc>
        <w:tc>
          <w:tcPr>
            <w:tcW w:w="1573" w:type="dxa"/>
            <w:tcBorders>
              <w:top w:val="single" w:color="000000" w:sz="6" w:space="0"/>
              <w:left w:val="single" w:color="000000" w:sz="6" w:space="0"/>
              <w:bottom w:val="single" w:color="000000" w:sz="6" w:space="0"/>
              <w:right w:val="single" w:color="000000" w:sz="6" w:space="0"/>
            </w:tcBorders>
            <w:vAlign w:val="center"/>
          </w:tcPr>
          <w:p w14:paraId="595BC4B5">
            <w:pPr>
              <w:pStyle w:val="16"/>
            </w:pPr>
            <w:r>
              <w:rPr>
                <w:rFonts w:hint="eastAsia"/>
              </w:rPr>
              <w:t>无密码服务需求</w:t>
            </w:r>
          </w:p>
        </w:tc>
      </w:tr>
      <w:tr w14:paraId="13203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0C2F1418">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05228915">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18F18C20">
            <w:pPr>
              <w:pStyle w:val="16"/>
            </w:pPr>
            <w:r>
              <w:rPr>
                <w:rFonts w:hint="eastAsia"/>
              </w:rPr>
              <w:t>密码产品</w:t>
            </w:r>
          </w:p>
        </w:tc>
        <w:tc>
          <w:tcPr>
            <w:tcW w:w="3715" w:type="dxa"/>
            <w:tcBorders>
              <w:top w:val="single" w:color="000000" w:sz="6" w:space="0"/>
              <w:left w:val="single" w:color="000000" w:sz="6" w:space="0"/>
              <w:bottom w:val="single" w:color="000000" w:sz="6" w:space="0"/>
              <w:right w:val="single" w:color="000000" w:sz="6" w:space="0"/>
            </w:tcBorders>
            <w:vAlign w:val="center"/>
          </w:tcPr>
          <w:p w14:paraId="05996286">
            <w:pPr>
              <w:pStyle w:val="16"/>
            </w:pPr>
            <w:r>
              <w:rPr>
                <w:rFonts w:hint="eastAsia"/>
              </w:rPr>
              <w:t>采用的密码产品应达到GB/T 37092-2018《信息安全技术—密码模块安全要求》二级及以上安全要求。</w:t>
            </w:r>
          </w:p>
        </w:tc>
        <w:tc>
          <w:tcPr>
            <w:tcW w:w="1573" w:type="dxa"/>
            <w:tcBorders>
              <w:top w:val="single" w:color="000000" w:sz="6" w:space="0"/>
              <w:left w:val="single" w:color="000000" w:sz="6" w:space="0"/>
              <w:bottom w:val="single" w:color="000000" w:sz="6" w:space="0"/>
              <w:right w:val="single" w:color="000000" w:sz="6" w:space="0"/>
            </w:tcBorders>
            <w:vAlign w:val="center"/>
          </w:tcPr>
          <w:p w14:paraId="68655950">
            <w:pPr>
              <w:pStyle w:val="16"/>
            </w:pPr>
            <w:r>
              <w:rPr>
                <w:rFonts w:hint="eastAsia"/>
              </w:rPr>
              <w:t>无</w:t>
            </w:r>
          </w:p>
        </w:tc>
      </w:tr>
      <w:tr w14:paraId="1651D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5649572E">
            <w:pPr>
              <w:widowControl/>
              <w:spacing w:line="240" w:lineRule="auto"/>
              <w:ind w:firstLine="0" w:firstLineChars="0"/>
              <w:jc w:val="left"/>
              <w:rPr>
                <w:rFonts w:ascii="仿宋" w:hAnsi="仿宋" w:eastAsia="仿宋" w:cs="仿宋"/>
                <w:szCs w:val="28"/>
                <w:lang w:val="zh-CN" w:bidi="zh-CN"/>
              </w:rPr>
            </w:pPr>
          </w:p>
        </w:tc>
        <w:tc>
          <w:tcPr>
            <w:tcW w:w="858" w:type="dxa"/>
            <w:vMerge w:val="restart"/>
            <w:tcBorders>
              <w:top w:val="single" w:color="000000" w:sz="6" w:space="0"/>
              <w:left w:val="single" w:color="000000" w:sz="6" w:space="0"/>
              <w:bottom w:val="single" w:color="000000" w:sz="6" w:space="0"/>
              <w:right w:val="single" w:color="000000" w:sz="6" w:space="0"/>
            </w:tcBorders>
            <w:vAlign w:val="center"/>
          </w:tcPr>
          <w:p w14:paraId="56A26E74">
            <w:pPr>
              <w:pStyle w:val="16"/>
            </w:pPr>
            <w:r>
              <w:rPr>
                <w:rFonts w:hint="eastAsia"/>
              </w:rPr>
              <w:t>网络和通信安全</w:t>
            </w:r>
          </w:p>
        </w:tc>
        <w:tc>
          <w:tcPr>
            <w:tcW w:w="2286" w:type="dxa"/>
            <w:tcBorders>
              <w:top w:val="single" w:color="000000" w:sz="6" w:space="0"/>
              <w:left w:val="single" w:color="000000" w:sz="6" w:space="0"/>
              <w:bottom w:val="single" w:color="000000" w:sz="6" w:space="0"/>
              <w:right w:val="single" w:color="000000" w:sz="6" w:space="0"/>
            </w:tcBorders>
            <w:vAlign w:val="center"/>
          </w:tcPr>
          <w:p w14:paraId="307443D0">
            <w:pPr>
              <w:pStyle w:val="16"/>
            </w:pPr>
            <w:r>
              <w:rPr>
                <w:rFonts w:hint="eastAsia"/>
              </w:rPr>
              <w:t>身份鉴别</w:t>
            </w:r>
          </w:p>
        </w:tc>
        <w:tc>
          <w:tcPr>
            <w:tcW w:w="3715" w:type="dxa"/>
            <w:tcBorders>
              <w:top w:val="single" w:color="000000" w:sz="6" w:space="0"/>
              <w:left w:val="single" w:color="000000" w:sz="6" w:space="0"/>
              <w:bottom w:val="single" w:color="000000" w:sz="6" w:space="0"/>
              <w:right w:val="single" w:color="000000" w:sz="6" w:space="0"/>
            </w:tcBorders>
            <w:vAlign w:val="center"/>
          </w:tcPr>
          <w:p w14:paraId="775A5D13">
            <w:pPr>
              <w:pStyle w:val="16"/>
            </w:pPr>
            <w:r>
              <w:rPr>
                <w:rFonts w:hint="eastAsia"/>
              </w:rPr>
              <w:t>已符合密码应用要求。</w:t>
            </w:r>
          </w:p>
        </w:tc>
        <w:tc>
          <w:tcPr>
            <w:tcW w:w="1573" w:type="dxa"/>
            <w:tcBorders>
              <w:top w:val="single" w:color="000000" w:sz="6" w:space="0"/>
              <w:left w:val="single" w:color="000000" w:sz="6" w:space="0"/>
              <w:bottom w:val="single" w:color="000000" w:sz="6" w:space="0"/>
              <w:right w:val="single" w:color="000000" w:sz="6" w:space="0"/>
            </w:tcBorders>
            <w:vAlign w:val="center"/>
          </w:tcPr>
          <w:p w14:paraId="60B18BED">
            <w:pPr>
              <w:pStyle w:val="16"/>
            </w:pPr>
            <w:r>
              <w:rPr>
                <w:rFonts w:hint="eastAsia"/>
              </w:rPr>
              <w:t>无</w:t>
            </w:r>
          </w:p>
        </w:tc>
      </w:tr>
      <w:tr w14:paraId="2AFD9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5DB8334E">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7E952BFF">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3BC5CEB9">
            <w:pPr>
              <w:pStyle w:val="16"/>
            </w:pPr>
            <w:r>
              <w:rPr>
                <w:rFonts w:hint="eastAsia"/>
              </w:rPr>
              <w:t>通信数据完整性</w:t>
            </w:r>
          </w:p>
        </w:tc>
        <w:tc>
          <w:tcPr>
            <w:tcW w:w="3715" w:type="dxa"/>
            <w:vMerge w:val="restart"/>
            <w:tcBorders>
              <w:top w:val="single" w:color="000000" w:sz="6" w:space="0"/>
              <w:left w:val="single" w:color="000000" w:sz="6" w:space="0"/>
              <w:bottom w:val="single" w:color="000000" w:sz="6" w:space="0"/>
              <w:right w:val="single" w:color="000000" w:sz="6" w:space="0"/>
            </w:tcBorders>
            <w:vAlign w:val="center"/>
          </w:tcPr>
          <w:p w14:paraId="2E985711">
            <w:pPr>
              <w:pStyle w:val="16"/>
            </w:pPr>
            <w:r>
              <w:rPr>
                <w:rFonts w:hint="eastAsia"/>
              </w:rPr>
              <w:t>保护通信过程中重要业务数据的完整性和机密性，防止数据被非授权篡改，防止重要数据泄露。</w:t>
            </w:r>
          </w:p>
        </w:tc>
        <w:tc>
          <w:tcPr>
            <w:tcW w:w="1573" w:type="dxa"/>
            <w:tcBorders>
              <w:top w:val="single" w:color="000000" w:sz="6" w:space="0"/>
              <w:left w:val="single" w:color="000000" w:sz="6" w:space="0"/>
              <w:bottom w:val="single" w:color="000000" w:sz="6" w:space="0"/>
              <w:right w:val="single" w:color="000000" w:sz="6" w:space="0"/>
            </w:tcBorders>
            <w:vAlign w:val="center"/>
          </w:tcPr>
          <w:p w14:paraId="2550E212">
            <w:pPr>
              <w:pStyle w:val="16"/>
            </w:pPr>
            <w:r>
              <w:rPr>
                <w:rFonts w:hint="eastAsia"/>
              </w:rPr>
              <w:t>无</w:t>
            </w:r>
          </w:p>
        </w:tc>
      </w:tr>
      <w:tr w14:paraId="769E6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5E91782B">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0DBBFCF0">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7FE34B91">
            <w:pPr>
              <w:pStyle w:val="16"/>
            </w:pPr>
            <w:r>
              <w:rPr>
                <w:rFonts w:hint="eastAsia"/>
              </w:rPr>
              <w:t>通信过程中重要数据的机密性</w:t>
            </w:r>
          </w:p>
        </w:tc>
        <w:tc>
          <w:tcPr>
            <w:tcW w:w="3715" w:type="dxa"/>
            <w:vMerge w:val="continue"/>
            <w:tcBorders>
              <w:top w:val="single" w:color="000000" w:sz="6" w:space="0"/>
              <w:left w:val="single" w:color="000000" w:sz="6" w:space="0"/>
              <w:bottom w:val="single" w:color="000000" w:sz="6" w:space="0"/>
              <w:right w:val="single" w:color="000000" w:sz="6" w:space="0"/>
            </w:tcBorders>
            <w:vAlign w:val="center"/>
          </w:tcPr>
          <w:p w14:paraId="4DD6E559">
            <w:pPr>
              <w:widowControl/>
              <w:spacing w:line="240" w:lineRule="auto"/>
              <w:ind w:firstLine="0" w:firstLineChars="0"/>
              <w:jc w:val="left"/>
              <w:rPr>
                <w:rFonts w:ascii="仿宋" w:hAnsi="仿宋" w:eastAsia="仿宋" w:cs="仿宋"/>
                <w:szCs w:val="28"/>
                <w:lang w:val="zh-CN" w:bidi="zh-CN"/>
              </w:rPr>
            </w:pPr>
          </w:p>
        </w:tc>
        <w:tc>
          <w:tcPr>
            <w:tcW w:w="1573" w:type="dxa"/>
            <w:tcBorders>
              <w:top w:val="single" w:color="000000" w:sz="6" w:space="0"/>
              <w:left w:val="single" w:color="000000" w:sz="6" w:space="0"/>
              <w:bottom w:val="single" w:color="000000" w:sz="6" w:space="0"/>
              <w:right w:val="single" w:color="000000" w:sz="6" w:space="0"/>
            </w:tcBorders>
            <w:vAlign w:val="center"/>
          </w:tcPr>
          <w:p w14:paraId="482961EC">
            <w:pPr>
              <w:pStyle w:val="16"/>
            </w:pPr>
            <w:r>
              <w:rPr>
                <w:rFonts w:hint="eastAsia"/>
              </w:rPr>
              <w:t>无</w:t>
            </w:r>
          </w:p>
        </w:tc>
      </w:tr>
      <w:tr w14:paraId="218F5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35A37754">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5B25A390">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4E00A12E">
            <w:pPr>
              <w:pStyle w:val="16"/>
            </w:pPr>
            <w:r>
              <w:rPr>
                <w:rFonts w:hint="eastAsia"/>
              </w:rPr>
              <w:t xml:space="preserve">网络边界访问控制信息的完整性 </w:t>
            </w:r>
          </w:p>
        </w:tc>
        <w:tc>
          <w:tcPr>
            <w:tcW w:w="3715" w:type="dxa"/>
            <w:tcBorders>
              <w:top w:val="single" w:color="000000" w:sz="6" w:space="0"/>
              <w:left w:val="single" w:color="000000" w:sz="6" w:space="0"/>
              <w:bottom w:val="single" w:color="000000" w:sz="6" w:space="0"/>
              <w:right w:val="single" w:color="000000" w:sz="6" w:space="0"/>
            </w:tcBorders>
            <w:vAlign w:val="center"/>
          </w:tcPr>
          <w:p w14:paraId="093441B3">
            <w:pPr>
              <w:pStyle w:val="16"/>
            </w:pPr>
            <w:r>
              <w:rPr>
                <w:rFonts w:hint="eastAsia"/>
              </w:rPr>
              <w:t>保护政务外网、互联网用户访问应用系统的网络边界访问控制信息的完整性，防止被非授权篡改。</w:t>
            </w:r>
          </w:p>
        </w:tc>
        <w:tc>
          <w:tcPr>
            <w:tcW w:w="1573" w:type="dxa"/>
            <w:tcBorders>
              <w:top w:val="single" w:color="000000" w:sz="6" w:space="0"/>
              <w:left w:val="single" w:color="000000" w:sz="6" w:space="0"/>
              <w:bottom w:val="single" w:color="000000" w:sz="6" w:space="0"/>
              <w:right w:val="single" w:color="000000" w:sz="6" w:space="0"/>
            </w:tcBorders>
            <w:vAlign w:val="center"/>
          </w:tcPr>
          <w:p w14:paraId="34C9174A">
            <w:pPr>
              <w:pStyle w:val="16"/>
            </w:pPr>
            <w:r>
              <w:rPr>
                <w:rFonts w:hint="eastAsia"/>
              </w:rPr>
              <w:t>无</w:t>
            </w:r>
          </w:p>
        </w:tc>
      </w:tr>
      <w:tr w14:paraId="5EE9C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12613DFC">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3793A412">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360A10DE">
            <w:pPr>
              <w:pStyle w:val="16"/>
            </w:pPr>
            <w:r>
              <w:rPr>
                <w:rFonts w:hint="eastAsia"/>
              </w:rPr>
              <w:t>安全接入认证</w:t>
            </w:r>
          </w:p>
        </w:tc>
        <w:tc>
          <w:tcPr>
            <w:tcW w:w="3715" w:type="dxa"/>
            <w:tcBorders>
              <w:top w:val="single" w:color="000000" w:sz="6" w:space="0"/>
              <w:left w:val="single" w:color="000000" w:sz="6" w:space="0"/>
              <w:bottom w:val="single" w:color="000000" w:sz="6" w:space="0"/>
              <w:right w:val="single" w:color="000000" w:sz="6" w:space="0"/>
            </w:tcBorders>
            <w:vAlign w:val="center"/>
          </w:tcPr>
          <w:p w14:paraId="3B35F5AE">
            <w:pPr>
              <w:pStyle w:val="16"/>
            </w:pPr>
            <w:r>
              <w:rPr>
                <w:rFonts w:hint="eastAsia"/>
              </w:rPr>
              <w:t>不适用。</w:t>
            </w:r>
          </w:p>
        </w:tc>
        <w:tc>
          <w:tcPr>
            <w:tcW w:w="1573" w:type="dxa"/>
            <w:tcBorders>
              <w:top w:val="single" w:color="000000" w:sz="6" w:space="0"/>
              <w:left w:val="single" w:color="000000" w:sz="6" w:space="0"/>
              <w:bottom w:val="single" w:color="000000" w:sz="6" w:space="0"/>
              <w:right w:val="single" w:color="000000" w:sz="6" w:space="0"/>
            </w:tcBorders>
            <w:vAlign w:val="center"/>
          </w:tcPr>
          <w:p w14:paraId="201EF6AB">
            <w:pPr>
              <w:pStyle w:val="16"/>
            </w:pPr>
            <w:r>
              <w:rPr>
                <w:rFonts w:hint="eastAsia"/>
              </w:rPr>
              <w:t>无外部设备接入本系统的需求</w:t>
            </w:r>
          </w:p>
        </w:tc>
      </w:tr>
      <w:tr w14:paraId="38073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4A319F82">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6CC1112B">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45BCA1BF">
            <w:pPr>
              <w:pStyle w:val="16"/>
            </w:pPr>
            <w:r>
              <w:rPr>
                <w:rFonts w:hint="eastAsia"/>
              </w:rPr>
              <w:t>密码服务</w:t>
            </w:r>
          </w:p>
        </w:tc>
        <w:tc>
          <w:tcPr>
            <w:tcW w:w="3715" w:type="dxa"/>
            <w:tcBorders>
              <w:top w:val="single" w:color="000000" w:sz="6" w:space="0"/>
              <w:left w:val="single" w:color="000000" w:sz="6" w:space="0"/>
              <w:bottom w:val="single" w:color="000000" w:sz="6" w:space="0"/>
              <w:right w:val="single" w:color="000000" w:sz="6" w:space="0"/>
            </w:tcBorders>
            <w:vAlign w:val="center"/>
          </w:tcPr>
          <w:p w14:paraId="7095F16D">
            <w:pPr>
              <w:pStyle w:val="16"/>
            </w:pPr>
            <w:r>
              <w:rPr>
                <w:rFonts w:hint="eastAsia"/>
              </w:rPr>
              <w:t>采用的数字证书由具有电子认证服务资质的机构签发。</w:t>
            </w:r>
          </w:p>
        </w:tc>
        <w:tc>
          <w:tcPr>
            <w:tcW w:w="1573" w:type="dxa"/>
            <w:tcBorders>
              <w:top w:val="single" w:color="000000" w:sz="6" w:space="0"/>
              <w:left w:val="single" w:color="000000" w:sz="6" w:space="0"/>
              <w:bottom w:val="single" w:color="000000" w:sz="6" w:space="0"/>
              <w:right w:val="single" w:color="000000" w:sz="6" w:space="0"/>
            </w:tcBorders>
            <w:vAlign w:val="center"/>
          </w:tcPr>
          <w:p w14:paraId="435BE905">
            <w:pPr>
              <w:pStyle w:val="16"/>
            </w:pPr>
            <w:r>
              <w:rPr>
                <w:rFonts w:hint="eastAsia"/>
              </w:rPr>
              <w:t>无</w:t>
            </w:r>
          </w:p>
        </w:tc>
      </w:tr>
      <w:tr w14:paraId="43359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08380D80">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696AA636">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3B776718">
            <w:pPr>
              <w:pStyle w:val="16"/>
            </w:pPr>
            <w:r>
              <w:rPr>
                <w:rFonts w:hint="eastAsia"/>
              </w:rPr>
              <w:t>密码产品</w:t>
            </w:r>
          </w:p>
        </w:tc>
        <w:tc>
          <w:tcPr>
            <w:tcW w:w="3715" w:type="dxa"/>
            <w:tcBorders>
              <w:top w:val="single" w:color="000000" w:sz="6" w:space="0"/>
              <w:left w:val="single" w:color="000000" w:sz="6" w:space="0"/>
              <w:bottom w:val="single" w:color="000000" w:sz="6" w:space="0"/>
              <w:right w:val="single" w:color="000000" w:sz="6" w:space="0"/>
            </w:tcBorders>
            <w:vAlign w:val="center"/>
          </w:tcPr>
          <w:p w14:paraId="6EBAD8C3">
            <w:pPr>
              <w:pStyle w:val="16"/>
            </w:pPr>
            <w:r>
              <w:rPr>
                <w:rFonts w:hint="eastAsia"/>
              </w:rPr>
              <w:t>采用的密码产品应达到GB/T 37092-2018《信息安全技术—密码模块安全要求》二级及以上安全要求。</w:t>
            </w:r>
          </w:p>
        </w:tc>
        <w:tc>
          <w:tcPr>
            <w:tcW w:w="1573" w:type="dxa"/>
            <w:tcBorders>
              <w:top w:val="single" w:color="000000" w:sz="6" w:space="0"/>
              <w:left w:val="single" w:color="000000" w:sz="6" w:space="0"/>
              <w:bottom w:val="single" w:color="000000" w:sz="6" w:space="0"/>
              <w:right w:val="single" w:color="000000" w:sz="6" w:space="0"/>
            </w:tcBorders>
            <w:vAlign w:val="center"/>
          </w:tcPr>
          <w:p w14:paraId="111A90E7">
            <w:pPr>
              <w:pStyle w:val="16"/>
            </w:pPr>
            <w:r>
              <w:rPr>
                <w:rFonts w:hint="eastAsia"/>
              </w:rPr>
              <w:t>无</w:t>
            </w:r>
          </w:p>
        </w:tc>
      </w:tr>
      <w:tr w14:paraId="76742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7AB9FA27">
            <w:pPr>
              <w:widowControl/>
              <w:spacing w:line="240" w:lineRule="auto"/>
              <w:ind w:firstLine="0" w:firstLineChars="0"/>
              <w:jc w:val="left"/>
              <w:rPr>
                <w:rFonts w:ascii="仿宋" w:hAnsi="仿宋" w:eastAsia="仿宋" w:cs="仿宋"/>
                <w:szCs w:val="28"/>
                <w:lang w:val="zh-CN" w:bidi="zh-CN"/>
              </w:rPr>
            </w:pPr>
          </w:p>
        </w:tc>
        <w:tc>
          <w:tcPr>
            <w:tcW w:w="858" w:type="dxa"/>
            <w:vMerge w:val="restart"/>
            <w:tcBorders>
              <w:top w:val="single" w:color="000000" w:sz="6" w:space="0"/>
              <w:left w:val="single" w:color="000000" w:sz="6" w:space="0"/>
              <w:bottom w:val="single" w:color="000000" w:sz="6" w:space="0"/>
              <w:right w:val="single" w:color="000000" w:sz="6" w:space="0"/>
            </w:tcBorders>
            <w:vAlign w:val="center"/>
          </w:tcPr>
          <w:p w14:paraId="4BBEB59C">
            <w:pPr>
              <w:pStyle w:val="16"/>
            </w:pPr>
            <w:r>
              <w:rPr>
                <w:rFonts w:hint="eastAsia"/>
              </w:rPr>
              <w:t>设备和计算安全</w:t>
            </w:r>
          </w:p>
        </w:tc>
        <w:tc>
          <w:tcPr>
            <w:tcW w:w="2286" w:type="dxa"/>
            <w:tcBorders>
              <w:top w:val="single" w:color="000000" w:sz="6" w:space="0"/>
              <w:left w:val="single" w:color="000000" w:sz="6" w:space="0"/>
              <w:bottom w:val="single" w:color="000000" w:sz="6" w:space="0"/>
              <w:right w:val="single" w:color="000000" w:sz="6" w:space="0"/>
            </w:tcBorders>
            <w:vAlign w:val="center"/>
          </w:tcPr>
          <w:p w14:paraId="6E49FCDB">
            <w:pPr>
              <w:pStyle w:val="16"/>
            </w:pPr>
            <w:r>
              <w:rPr>
                <w:rFonts w:hint="eastAsia"/>
              </w:rPr>
              <w:t>身份鉴别</w:t>
            </w:r>
          </w:p>
        </w:tc>
        <w:tc>
          <w:tcPr>
            <w:tcW w:w="3715" w:type="dxa"/>
            <w:tcBorders>
              <w:top w:val="single" w:color="000000" w:sz="6" w:space="0"/>
              <w:left w:val="single" w:color="000000" w:sz="6" w:space="0"/>
              <w:bottom w:val="single" w:color="000000" w:sz="6" w:space="0"/>
              <w:right w:val="single" w:color="000000" w:sz="6" w:space="0"/>
            </w:tcBorders>
            <w:vAlign w:val="center"/>
          </w:tcPr>
          <w:p w14:paraId="27765FF0">
            <w:pPr>
              <w:pStyle w:val="16"/>
            </w:pPr>
            <w:r>
              <w:rPr>
                <w:rFonts w:hint="eastAsia"/>
              </w:rPr>
              <w:t>管理员通过远程运维管理终端访问堡垒机、服务器虚拟机、数据库、密码服务时，对其身份真实性进行识别和确认，防止假冒人员登录。</w:t>
            </w:r>
          </w:p>
        </w:tc>
        <w:tc>
          <w:tcPr>
            <w:tcW w:w="1573" w:type="dxa"/>
            <w:tcBorders>
              <w:top w:val="single" w:color="000000" w:sz="6" w:space="0"/>
              <w:left w:val="single" w:color="000000" w:sz="6" w:space="0"/>
              <w:bottom w:val="single" w:color="000000" w:sz="6" w:space="0"/>
              <w:right w:val="single" w:color="000000" w:sz="6" w:space="0"/>
            </w:tcBorders>
            <w:vAlign w:val="center"/>
          </w:tcPr>
          <w:p w14:paraId="034B2FC4">
            <w:pPr>
              <w:pStyle w:val="16"/>
            </w:pPr>
            <w:r>
              <w:rPr>
                <w:rFonts w:hint="eastAsia"/>
              </w:rPr>
              <w:t>无</w:t>
            </w:r>
          </w:p>
        </w:tc>
      </w:tr>
      <w:tr w14:paraId="09CB9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601B7E4A">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19C8CC9B">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475E031E">
            <w:pPr>
              <w:pStyle w:val="16"/>
            </w:pPr>
            <w:r>
              <w:rPr>
                <w:rFonts w:hint="eastAsia"/>
              </w:rPr>
              <w:t>远程管理通道安全</w:t>
            </w:r>
          </w:p>
        </w:tc>
        <w:tc>
          <w:tcPr>
            <w:tcW w:w="3715" w:type="dxa"/>
            <w:tcBorders>
              <w:top w:val="single" w:color="000000" w:sz="6" w:space="0"/>
              <w:left w:val="single" w:color="000000" w:sz="6" w:space="0"/>
              <w:bottom w:val="single" w:color="000000" w:sz="6" w:space="0"/>
              <w:right w:val="single" w:color="000000" w:sz="6" w:space="0"/>
            </w:tcBorders>
            <w:vAlign w:val="center"/>
          </w:tcPr>
          <w:p w14:paraId="7CAA6133">
            <w:pPr>
              <w:pStyle w:val="16"/>
            </w:pPr>
            <w:r>
              <w:rPr>
                <w:rFonts w:hint="eastAsia"/>
              </w:rPr>
              <w:t>在设备实施远程运维管理时，对设备的运维管理通道进行保护，防止运维管理数据泄漏。</w:t>
            </w:r>
          </w:p>
        </w:tc>
        <w:tc>
          <w:tcPr>
            <w:tcW w:w="1573" w:type="dxa"/>
            <w:tcBorders>
              <w:top w:val="single" w:color="000000" w:sz="6" w:space="0"/>
              <w:left w:val="single" w:color="000000" w:sz="6" w:space="0"/>
              <w:bottom w:val="single" w:color="000000" w:sz="6" w:space="0"/>
              <w:right w:val="single" w:color="000000" w:sz="6" w:space="0"/>
            </w:tcBorders>
            <w:vAlign w:val="center"/>
          </w:tcPr>
          <w:p w14:paraId="2F5FD06C">
            <w:pPr>
              <w:pStyle w:val="16"/>
            </w:pPr>
            <w:r>
              <w:rPr>
                <w:rFonts w:hint="eastAsia"/>
              </w:rPr>
              <w:t>无</w:t>
            </w:r>
          </w:p>
        </w:tc>
      </w:tr>
      <w:tr w14:paraId="6C43A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61BF4AF4">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02AB5D6B">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032B7F22">
            <w:pPr>
              <w:pStyle w:val="16"/>
            </w:pPr>
            <w:r>
              <w:rPr>
                <w:rFonts w:hint="eastAsia"/>
              </w:rPr>
              <w:t>系统资源访问控制信息完整性</w:t>
            </w:r>
          </w:p>
        </w:tc>
        <w:tc>
          <w:tcPr>
            <w:tcW w:w="3715" w:type="dxa"/>
            <w:tcBorders>
              <w:top w:val="single" w:color="000000" w:sz="6" w:space="0"/>
              <w:left w:val="single" w:color="000000" w:sz="6" w:space="0"/>
              <w:bottom w:val="single" w:color="000000" w:sz="6" w:space="0"/>
              <w:right w:val="single" w:color="000000" w:sz="6" w:space="0"/>
            </w:tcBorders>
            <w:vAlign w:val="center"/>
          </w:tcPr>
          <w:p w14:paraId="36B8E3BE">
            <w:pPr>
              <w:pStyle w:val="16"/>
            </w:pPr>
            <w:r>
              <w:rPr>
                <w:rFonts w:hint="eastAsia"/>
              </w:rPr>
              <w:t>保护系统中服务器虚拟机、数据库、密码服务的访问控制信息的完整性，防止被非授权篡改。</w:t>
            </w:r>
          </w:p>
        </w:tc>
        <w:tc>
          <w:tcPr>
            <w:tcW w:w="1573" w:type="dxa"/>
            <w:tcBorders>
              <w:top w:val="single" w:color="000000" w:sz="6" w:space="0"/>
              <w:left w:val="single" w:color="000000" w:sz="6" w:space="0"/>
              <w:bottom w:val="single" w:color="000000" w:sz="6" w:space="0"/>
              <w:right w:val="single" w:color="000000" w:sz="6" w:space="0"/>
            </w:tcBorders>
            <w:vAlign w:val="center"/>
          </w:tcPr>
          <w:p w14:paraId="6E05B6D3">
            <w:pPr>
              <w:pStyle w:val="16"/>
            </w:pPr>
            <w:r>
              <w:rPr>
                <w:rFonts w:hint="eastAsia"/>
              </w:rPr>
              <w:t>无</w:t>
            </w:r>
          </w:p>
        </w:tc>
      </w:tr>
      <w:tr w14:paraId="58E29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7A8933B8">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7C92085C">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0957AEA1">
            <w:pPr>
              <w:pStyle w:val="16"/>
            </w:pPr>
            <w:r>
              <w:rPr>
                <w:rFonts w:hint="eastAsia"/>
              </w:rPr>
              <w:t>重要信息资源安全标记完整性</w:t>
            </w:r>
          </w:p>
        </w:tc>
        <w:tc>
          <w:tcPr>
            <w:tcW w:w="3715" w:type="dxa"/>
            <w:tcBorders>
              <w:top w:val="single" w:color="000000" w:sz="6" w:space="0"/>
              <w:left w:val="single" w:color="000000" w:sz="6" w:space="0"/>
              <w:bottom w:val="single" w:color="000000" w:sz="6" w:space="0"/>
              <w:right w:val="single" w:color="000000" w:sz="6" w:space="0"/>
            </w:tcBorders>
            <w:vAlign w:val="center"/>
          </w:tcPr>
          <w:p w14:paraId="03D31E0C">
            <w:pPr>
              <w:pStyle w:val="16"/>
            </w:pPr>
            <w:r>
              <w:rPr>
                <w:rFonts w:hint="eastAsia"/>
              </w:rPr>
              <w:t>不适用。</w:t>
            </w:r>
          </w:p>
        </w:tc>
        <w:tc>
          <w:tcPr>
            <w:tcW w:w="1573" w:type="dxa"/>
            <w:tcBorders>
              <w:top w:val="single" w:color="000000" w:sz="6" w:space="0"/>
              <w:left w:val="single" w:color="000000" w:sz="6" w:space="0"/>
              <w:bottom w:val="single" w:color="000000" w:sz="6" w:space="0"/>
              <w:right w:val="single" w:color="000000" w:sz="6" w:space="0"/>
            </w:tcBorders>
            <w:vAlign w:val="center"/>
          </w:tcPr>
          <w:p w14:paraId="553477BE">
            <w:pPr>
              <w:pStyle w:val="16"/>
            </w:pPr>
            <w:r>
              <w:rPr>
                <w:rFonts w:hint="eastAsia"/>
              </w:rPr>
              <w:t>设备没有安全标记</w:t>
            </w:r>
          </w:p>
        </w:tc>
      </w:tr>
      <w:tr w14:paraId="23D8D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078E5BC5">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7B63493D">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2AFD9D9A">
            <w:pPr>
              <w:pStyle w:val="16"/>
            </w:pPr>
            <w:r>
              <w:rPr>
                <w:rFonts w:hint="eastAsia"/>
              </w:rPr>
              <w:t>日志记录完整性</w:t>
            </w:r>
          </w:p>
        </w:tc>
        <w:tc>
          <w:tcPr>
            <w:tcW w:w="3715" w:type="dxa"/>
            <w:tcBorders>
              <w:top w:val="single" w:color="000000" w:sz="6" w:space="0"/>
              <w:left w:val="single" w:color="000000" w:sz="6" w:space="0"/>
              <w:bottom w:val="single" w:color="000000" w:sz="6" w:space="0"/>
              <w:right w:val="single" w:color="000000" w:sz="6" w:space="0"/>
            </w:tcBorders>
            <w:vAlign w:val="center"/>
          </w:tcPr>
          <w:p w14:paraId="5E93DAE9">
            <w:pPr>
              <w:pStyle w:val="16"/>
            </w:pPr>
            <w:r>
              <w:rPr>
                <w:rFonts w:hint="eastAsia"/>
              </w:rPr>
              <w:t>保护系统中服务器虚拟机、数据库、密码服务的日志记录的完整性，防止被非授权篡改。</w:t>
            </w:r>
          </w:p>
        </w:tc>
        <w:tc>
          <w:tcPr>
            <w:tcW w:w="1573" w:type="dxa"/>
            <w:tcBorders>
              <w:top w:val="single" w:color="000000" w:sz="6" w:space="0"/>
              <w:left w:val="single" w:color="000000" w:sz="6" w:space="0"/>
              <w:bottom w:val="single" w:color="000000" w:sz="6" w:space="0"/>
              <w:right w:val="single" w:color="000000" w:sz="6" w:space="0"/>
            </w:tcBorders>
            <w:vAlign w:val="center"/>
          </w:tcPr>
          <w:p w14:paraId="6941FECC">
            <w:pPr>
              <w:pStyle w:val="16"/>
            </w:pPr>
            <w:r>
              <w:rPr>
                <w:rFonts w:hint="eastAsia"/>
              </w:rPr>
              <w:t>无</w:t>
            </w:r>
          </w:p>
        </w:tc>
      </w:tr>
      <w:tr w14:paraId="0DE30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50A48A19">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5352B287">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2697CFE5">
            <w:pPr>
              <w:pStyle w:val="16"/>
            </w:pPr>
            <w:r>
              <w:rPr>
                <w:rFonts w:hint="eastAsia"/>
              </w:rPr>
              <w:t>重要可执行程序完整性、</w:t>
            </w:r>
          </w:p>
          <w:p w14:paraId="290F386B">
            <w:pPr>
              <w:pStyle w:val="16"/>
            </w:pPr>
            <w:r>
              <w:rPr>
                <w:rFonts w:hint="eastAsia"/>
              </w:rPr>
              <w:t>来源真实性</w:t>
            </w:r>
          </w:p>
        </w:tc>
        <w:tc>
          <w:tcPr>
            <w:tcW w:w="3715" w:type="dxa"/>
            <w:tcBorders>
              <w:top w:val="single" w:color="000000" w:sz="6" w:space="0"/>
              <w:left w:val="single" w:color="000000" w:sz="6" w:space="0"/>
              <w:bottom w:val="single" w:color="000000" w:sz="6" w:space="0"/>
              <w:right w:val="single" w:color="000000" w:sz="6" w:space="0"/>
            </w:tcBorders>
            <w:vAlign w:val="center"/>
          </w:tcPr>
          <w:p w14:paraId="47F42B80">
            <w:pPr>
              <w:pStyle w:val="16"/>
            </w:pPr>
            <w:r>
              <w:rPr>
                <w:rFonts w:hint="eastAsia"/>
              </w:rPr>
              <w:t>保护应用服务器等设备中部署的重要可执行程序的完整性和来源真实性，防止被非授权篡改。</w:t>
            </w:r>
          </w:p>
        </w:tc>
        <w:tc>
          <w:tcPr>
            <w:tcW w:w="1573" w:type="dxa"/>
            <w:tcBorders>
              <w:top w:val="single" w:color="000000" w:sz="6" w:space="0"/>
              <w:left w:val="single" w:color="000000" w:sz="6" w:space="0"/>
              <w:bottom w:val="single" w:color="000000" w:sz="6" w:space="0"/>
              <w:right w:val="single" w:color="000000" w:sz="6" w:space="0"/>
            </w:tcBorders>
            <w:vAlign w:val="center"/>
          </w:tcPr>
          <w:p w14:paraId="7D35A40A">
            <w:pPr>
              <w:pStyle w:val="16"/>
            </w:pPr>
            <w:r>
              <w:rPr>
                <w:rFonts w:hint="eastAsia"/>
              </w:rPr>
              <w:t>无</w:t>
            </w:r>
          </w:p>
        </w:tc>
      </w:tr>
      <w:tr w14:paraId="72958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5A4EF824">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22926F1F">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66BDBD45">
            <w:pPr>
              <w:pStyle w:val="16"/>
            </w:pPr>
            <w:r>
              <w:rPr>
                <w:rFonts w:hint="eastAsia"/>
              </w:rPr>
              <w:t>密码服务</w:t>
            </w:r>
          </w:p>
        </w:tc>
        <w:tc>
          <w:tcPr>
            <w:tcW w:w="3715" w:type="dxa"/>
            <w:tcBorders>
              <w:top w:val="single" w:color="000000" w:sz="6" w:space="0"/>
              <w:left w:val="single" w:color="000000" w:sz="6" w:space="0"/>
              <w:bottom w:val="single" w:color="000000" w:sz="6" w:space="0"/>
              <w:right w:val="single" w:color="000000" w:sz="6" w:space="0"/>
            </w:tcBorders>
            <w:vAlign w:val="center"/>
          </w:tcPr>
          <w:p w14:paraId="1812E513">
            <w:pPr>
              <w:pStyle w:val="16"/>
            </w:pPr>
            <w:r>
              <w:rPr>
                <w:rFonts w:hint="eastAsia"/>
              </w:rPr>
              <w:t>不适用。</w:t>
            </w:r>
          </w:p>
        </w:tc>
        <w:tc>
          <w:tcPr>
            <w:tcW w:w="1573" w:type="dxa"/>
            <w:tcBorders>
              <w:top w:val="single" w:color="000000" w:sz="6" w:space="0"/>
              <w:left w:val="single" w:color="000000" w:sz="6" w:space="0"/>
              <w:bottom w:val="single" w:color="000000" w:sz="6" w:space="0"/>
              <w:right w:val="single" w:color="000000" w:sz="6" w:space="0"/>
            </w:tcBorders>
            <w:vAlign w:val="center"/>
          </w:tcPr>
          <w:p w14:paraId="27EAB7AF">
            <w:pPr>
              <w:pStyle w:val="16"/>
            </w:pPr>
            <w:r>
              <w:rPr>
                <w:rFonts w:hint="eastAsia"/>
              </w:rPr>
              <w:t>无密码服务需求</w:t>
            </w:r>
          </w:p>
        </w:tc>
      </w:tr>
      <w:tr w14:paraId="0B687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6E6B6B57">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2A01E729">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260DE1CB">
            <w:pPr>
              <w:pStyle w:val="16"/>
            </w:pPr>
            <w:r>
              <w:rPr>
                <w:rFonts w:hint="eastAsia"/>
              </w:rPr>
              <w:t>密码产品</w:t>
            </w:r>
          </w:p>
        </w:tc>
        <w:tc>
          <w:tcPr>
            <w:tcW w:w="3715" w:type="dxa"/>
            <w:tcBorders>
              <w:top w:val="single" w:color="000000" w:sz="6" w:space="0"/>
              <w:left w:val="single" w:color="000000" w:sz="6" w:space="0"/>
              <w:bottom w:val="single" w:color="000000" w:sz="6" w:space="0"/>
              <w:right w:val="single" w:color="000000" w:sz="6" w:space="0"/>
            </w:tcBorders>
            <w:vAlign w:val="center"/>
          </w:tcPr>
          <w:p w14:paraId="7D9BF0AC">
            <w:pPr>
              <w:pStyle w:val="16"/>
            </w:pPr>
            <w:r>
              <w:rPr>
                <w:rFonts w:hint="eastAsia"/>
              </w:rPr>
              <w:t>采用的密码产品应达到GB/T 37092-2018《信息安全技术—密码模块安全要求》二级及以上安全要求。</w:t>
            </w:r>
          </w:p>
        </w:tc>
        <w:tc>
          <w:tcPr>
            <w:tcW w:w="1573" w:type="dxa"/>
            <w:tcBorders>
              <w:top w:val="single" w:color="000000" w:sz="6" w:space="0"/>
              <w:left w:val="single" w:color="000000" w:sz="6" w:space="0"/>
              <w:bottom w:val="single" w:color="000000" w:sz="6" w:space="0"/>
              <w:right w:val="single" w:color="000000" w:sz="6" w:space="0"/>
            </w:tcBorders>
            <w:vAlign w:val="center"/>
          </w:tcPr>
          <w:p w14:paraId="626D0512">
            <w:pPr>
              <w:pStyle w:val="16"/>
            </w:pPr>
            <w:r>
              <w:rPr>
                <w:rFonts w:hint="eastAsia"/>
              </w:rPr>
              <w:t>无</w:t>
            </w:r>
          </w:p>
        </w:tc>
      </w:tr>
      <w:tr w14:paraId="5BDA0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restart"/>
            <w:tcBorders>
              <w:top w:val="single" w:color="000000" w:sz="6" w:space="0"/>
              <w:left w:val="single" w:color="000000" w:sz="6" w:space="0"/>
              <w:bottom w:val="single" w:color="000000" w:sz="6" w:space="0"/>
              <w:right w:val="single" w:color="000000" w:sz="6" w:space="0"/>
            </w:tcBorders>
            <w:vAlign w:val="center"/>
          </w:tcPr>
          <w:p w14:paraId="41A477F1">
            <w:pPr>
              <w:pStyle w:val="16"/>
            </w:pPr>
            <w:r>
              <w:rPr>
                <w:rFonts w:hint="eastAsia"/>
              </w:rPr>
              <w:t>业务应用安全</w:t>
            </w:r>
          </w:p>
        </w:tc>
        <w:tc>
          <w:tcPr>
            <w:tcW w:w="858" w:type="dxa"/>
            <w:vMerge w:val="restart"/>
            <w:tcBorders>
              <w:top w:val="single" w:color="000000" w:sz="6" w:space="0"/>
              <w:left w:val="single" w:color="000000" w:sz="6" w:space="0"/>
              <w:bottom w:val="single" w:color="000000" w:sz="6" w:space="0"/>
              <w:right w:val="single" w:color="000000" w:sz="6" w:space="0"/>
            </w:tcBorders>
            <w:vAlign w:val="center"/>
          </w:tcPr>
          <w:p w14:paraId="5D9A1DDC">
            <w:pPr>
              <w:pStyle w:val="16"/>
            </w:pPr>
            <w:r>
              <w:rPr>
                <w:rFonts w:hint="eastAsia"/>
              </w:rPr>
              <w:t>应用和数据安全</w:t>
            </w:r>
          </w:p>
        </w:tc>
        <w:tc>
          <w:tcPr>
            <w:tcW w:w="2286" w:type="dxa"/>
            <w:tcBorders>
              <w:top w:val="single" w:color="000000" w:sz="6" w:space="0"/>
              <w:left w:val="single" w:color="000000" w:sz="6" w:space="0"/>
              <w:bottom w:val="single" w:color="000000" w:sz="6" w:space="0"/>
              <w:right w:val="single" w:color="000000" w:sz="6" w:space="0"/>
            </w:tcBorders>
            <w:vAlign w:val="center"/>
          </w:tcPr>
          <w:p w14:paraId="7C785B6F">
            <w:pPr>
              <w:pStyle w:val="16"/>
            </w:pPr>
            <w:r>
              <w:rPr>
                <w:rFonts w:hint="eastAsia"/>
              </w:rPr>
              <w:t>身份鉴别</w:t>
            </w:r>
          </w:p>
        </w:tc>
        <w:tc>
          <w:tcPr>
            <w:tcW w:w="3715" w:type="dxa"/>
            <w:tcBorders>
              <w:top w:val="single" w:color="000000" w:sz="6" w:space="0"/>
              <w:left w:val="single" w:color="000000" w:sz="6" w:space="0"/>
              <w:bottom w:val="single" w:color="000000" w:sz="6" w:space="0"/>
              <w:right w:val="single" w:color="000000" w:sz="6" w:space="0"/>
            </w:tcBorders>
            <w:vAlign w:val="center"/>
          </w:tcPr>
          <w:p w14:paraId="30589B59">
            <w:pPr>
              <w:pStyle w:val="16"/>
            </w:pPr>
            <w:r>
              <w:rPr>
                <w:rFonts w:hint="eastAsia"/>
              </w:rPr>
              <w:t>确认应用系统用户身份的真实性，防止假冒人员登录。</w:t>
            </w:r>
          </w:p>
        </w:tc>
        <w:tc>
          <w:tcPr>
            <w:tcW w:w="1573" w:type="dxa"/>
            <w:tcBorders>
              <w:top w:val="single" w:color="000000" w:sz="6" w:space="0"/>
              <w:left w:val="single" w:color="000000" w:sz="6" w:space="0"/>
              <w:bottom w:val="single" w:color="000000" w:sz="6" w:space="0"/>
              <w:right w:val="single" w:color="000000" w:sz="6" w:space="0"/>
            </w:tcBorders>
            <w:vAlign w:val="center"/>
          </w:tcPr>
          <w:p w14:paraId="524C8012">
            <w:pPr>
              <w:pStyle w:val="16"/>
            </w:pPr>
            <w:r>
              <w:rPr>
                <w:rFonts w:hint="eastAsia"/>
              </w:rPr>
              <w:t>无</w:t>
            </w:r>
          </w:p>
        </w:tc>
      </w:tr>
      <w:tr w14:paraId="5C316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56E8D91C">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3DDDD9E5">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02FCEE0D">
            <w:pPr>
              <w:pStyle w:val="16"/>
            </w:pPr>
            <w:r>
              <w:rPr>
                <w:rFonts w:hint="eastAsia"/>
              </w:rPr>
              <w:t>访问控制信息完整性</w:t>
            </w:r>
          </w:p>
        </w:tc>
        <w:tc>
          <w:tcPr>
            <w:tcW w:w="3715" w:type="dxa"/>
            <w:tcBorders>
              <w:top w:val="single" w:color="000000" w:sz="6" w:space="0"/>
              <w:left w:val="single" w:color="000000" w:sz="6" w:space="0"/>
              <w:bottom w:val="single" w:color="000000" w:sz="6" w:space="0"/>
              <w:right w:val="single" w:color="000000" w:sz="6" w:space="0"/>
            </w:tcBorders>
            <w:vAlign w:val="center"/>
          </w:tcPr>
          <w:p w14:paraId="3C45239E">
            <w:pPr>
              <w:pStyle w:val="16"/>
            </w:pPr>
            <w:r>
              <w:rPr>
                <w:rFonts w:hint="eastAsia"/>
              </w:rPr>
              <w:t>对应用系统的访问权限控制列表进行完整性保护，防止被非授权篡改。</w:t>
            </w:r>
          </w:p>
        </w:tc>
        <w:tc>
          <w:tcPr>
            <w:tcW w:w="1573" w:type="dxa"/>
            <w:tcBorders>
              <w:top w:val="single" w:color="000000" w:sz="6" w:space="0"/>
              <w:left w:val="single" w:color="000000" w:sz="6" w:space="0"/>
              <w:bottom w:val="single" w:color="000000" w:sz="6" w:space="0"/>
              <w:right w:val="single" w:color="000000" w:sz="6" w:space="0"/>
            </w:tcBorders>
            <w:vAlign w:val="center"/>
          </w:tcPr>
          <w:p w14:paraId="43743566">
            <w:pPr>
              <w:pStyle w:val="16"/>
            </w:pPr>
            <w:r>
              <w:rPr>
                <w:rFonts w:hint="eastAsia"/>
              </w:rPr>
              <w:t>无</w:t>
            </w:r>
          </w:p>
        </w:tc>
      </w:tr>
      <w:tr w14:paraId="29232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6D8D1CF7">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599D1F4C">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7BC69247">
            <w:pPr>
              <w:pStyle w:val="16"/>
            </w:pPr>
            <w:r>
              <w:rPr>
                <w:rFonts w:hint="eastAsia"/>
              </w:rPr>
              <w:t>重要信息资源安全标记完整性</w:t>
            </w:r>
          </w:p>
        </w:tc>
        <w:tc>
          <w:tcPr>
            <w:tcW w:w="3715" w:type="dxa"/>
            <w:tcBorders>
              <w:top w:val="single" w:color="000000" w:sz="6" w:space="0"/>
              <w:left w:val="single" w:color="000000" w:sz="6" w:space="0"/>
              <w:bottom w:val="single" w:color="000000" w:sz="6" w:space="0"/>
              <w:right w:val="single" w:color="000000" w:sz="6" w:space="0"/>
            </w:tcBorders>
            <w:vAlign w:val="center"/>
          </w:tcPr>
          <w:p w14:paraId="0BE6AEAC">
            <w:pPr>
              <w:pStyle w:val="16"/>
            </w:pPr>
            <w:r>
              <w:rPr>
                <w:rFonts w:hint="eastAsia"/>
              </w:rPr>
              <w:t>不适用。</w:t>
            </w:r>
          </w:p>
        </w:tc>
        <w:tc>
          <w:tcPr>
            <w:tcW w:w="1573" w:type="dxa"/>
            <w:tcBorders>
              <w:top w:val="single" w:color="000000" w:sz="6" w:space="0"/>
              <w:left w:val="single" w:color="000000" w:sz="6" w:space="0"/>
              <w:bottom w:val="single" w:color="000000" w:sz="6" w:space="0"/>
              <w:right w:val="single" w:color="000000" w:sz="6" w:space="0"/>
            </w:tcBorders>
            <w:vAlign w:val="center"/>
          </w:tcPr>
          <w:p w14:paraId="2BC7C025">
            <w:pPr>
              <w:pStyle w:val="16"/>
            </w:pPr>
            <w:r>
              <w:rPr>
                <w:rFonts w:hint="eastAsia"/>
              </w:rPr>
              <w:t>应用没有安全标记。</w:t>
            </w:r>
          </w:p>
        </w:tc>
      </w:tr>
      <w:tr w14:paraId="46D86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4479AB68">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0AB18735">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579CA83C">
            <w:pPr>
              <w:pStyle w:val="16"/>
            </w:pPr>
            <w:r>
              <w:rPr>
                <w:rFonts w:hint="eastAsia"/>
              </w:rPr>
              <w:t>数据传输机密性</w:t>
            </w:r>
          </w:p>
        </w:tc>
        <w:tc>
          <w:tcPr>
            <w:tcW w:w="3715" w:type="dxa"/>
            <w:vMerge w:val="restart"/>
            <w:tcBorders>
              <w:top w:val="single" w:color="000000" w:sz="6" w:space="0"/>
              <w:left w:val="single" w:color="000000" w:sz="6" w:space="0"/>
              <w:bottom w:val="single" w:color="000000" w:sz="6" w:space="0"/>
              <w:right w:val="single" w:color="000000" w:sz="6" w:space="0"/>
            </w:tcBorders>
            <w:vAlign w:val="center"/>
          </w:tcPr>
          <w:p w14:paraId="2FEEF78A">
            <w:pPr>
              <w:pStyle w:val="16"/>
            </w:pPr>
            <w:r>
              <w:rPr>
                <w:rFonts w:hint="eastAsia"/>
              </w:rPr>
              <w:t>保护</w:t>
            </w:r>
            <w:r>
              <w:rPr>
                <w:rFonts w:hint="eastAsia"/>
                <w:color w:val="000000"/>
              </w:rPr>
              <w:t>终端</w:t>
            </w:r>
            <w:r>
              <w:rPr>
                <w:rFonts w:hint="eastAsia"/>
              </w:rPr>
              <w:t>与服务端之间传输和存储的重要数据的机密性和完整性，防止数据泄露给非授权的个人、进程等。保护系统业务日志数据的完整性，防止该数据被非授权篡改。</w:t>
            </w:r>
          </w:p>
        </w:tc>
        <w:tc>
          <w:tcPr>
            <w:tcW w:w="1573" w:type="dxa"/>
            <w:vMerge w:val="restart"/>
            <w:tcBorders>
              <w:top w:val="single" w:color="000000" w:sz="6" w:space="0"/>
              <w:left w:val="single" w:color="000000" w:sz="6" w:space="0"/>
              <w:bottom w:val="single" w:color="000000" w:sz="6" w:space="0"/>
              <w:right w:val="single" w:color="000000" w:sz="6" w:space="0"/>
            </w:tcBorders>
            <w:vAlign w:val="center"/>
          </w:tcPr>
          <w:p w14:paraId="7D9B38A1">
            <w:pPr>
              <w:pStyle w:val="16"/>
            </w:pPr>
            <w:r>
              <w:rPr>
                <w:rFonts w:hint="eastAsia"/>
              </w:rPr>
              <w:t>无</w:t>
            </w:r>
          </w:p>
        </w:tc>
      </w:tr>
      <w:tr w14:paraId="7EFCE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77FFE277">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2E9FD67C">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44F41236">
            <w:pPr>
              <w:pStyle w:val="16"/>
            </w:pPr>
            <w:r>
              <w:rPr>
                <w:rFonts w:hint="eastAsia"/>
              </w:rPr>
              <w:t>数据存储机密性</w:t>
            </w:r>
          </w:p>
        </w:tc>
        <w:tc>
          <w:tcPr>
            <w:tcW w:w="3715" w:type="dxa"/>
            <w:vMerge w:val="continue"/>
            <w:tcBorders>
              <w:top w:val="single" w:color="000000" w:sz="6" w:space="0"/>
              <w:left w:val="single" w:color="000000" w:sz="6" w:space="0"/>
              <w:bottom w:val="single" w:color="000000" w:sz="6" w:space="0"/>
              <w:right w:val="single" w:color="000000" w:sz="6" w:space="0"/>
            </w:tcBorders>
            <w:vAlign w:val="center"/>
          </w:tcPr>
          <w:p w14:paraId="626B802D">
            <w:pPr>
              <w:widowControl/>
              <w:spacing w:line="240" w:lineRule="auto"/>
              <w:ind w:firstLine="0" w:firstLineChars="0"/>
              <w:jc w:val="left"/>
              <w:rPr>
                <w:rFonts w:ascii="仿宋" w:hAnsi="仿宋" w:eastAsia="仿宋" w:cs="仿宋"/>
                <w:szCs w:val="28"/>
                <w:lang w:val="zh-CN" w:bidi="zh-CN"/>
              </w:rPr>
            </w:pPr>
          </w:p>
        </w:tc>
        <w:tc>
          <w:tcPr>
            <w:tcW w:w="1573" w:type="dxa"/>
            <w:vMerge w:val="continue"/>
            <w:tcBorders>
              <w:top w:val="single" w:color="000000" w:sz="6" w:space="0"/>
              <w:left w:val="single" w:color="000000" w:sz="6" w:space="0"/>
              <w:bottom w:val="single" w:color="000000" w:sz="6" w:space="0"/>
              <w:right w:val="single" w:color="000000" w:sz="6" w:space="0"/>
            </w:tcBorders>
            <w:vAlign w:val="center"/>
          </w:tcPr>
          <w:p w14:paraId="51212107">
            <w:pPr>
              <w:widowControl/>
              <w:spacing w:line="240" w:lineRule="auto"/>
              <w:ind w:firstLine="0" w:firstLineChars="0"/>
              <w:jc w:val="left"/>
              <w:rPr>
                <w:rFonts w:ascii="仿宋" w:hAnsi="仿宋" w:eastAsia="仿宋" w:cs="仿宋"/>
                <w:szCs w:val="28"/>
                <w:lang w:val="zh-CN" w:bidi="zh-CN"/>
              </w:rPr>
            </w:pPr>
          </w:p>
        </w:tc>
      </w:tr>
      <w:tr w14:paraId="7C855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47F0C9A9">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7B752C89">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593A834C">
            <w:pPr>
              <w:pStyle w:val="16"/>
            </w:pPr>
            <w:r>
              <w:rPr>
                <w:rFonts w:hint="eastAsia"/>
              </w:rPr>
              <w:t>数据传输完整性</w:t>
            </w:r>
          </w:p>
        </w:tc>
        <w:tc>
          <w:tcPr>
            <w:tcW w:w="3715" w:type="dxa"/>
            <w:vMerge w:val="continue"/>
            <w:tcBorders>
              <w:top w:val="single" w:color="000000" w:sz="6" w:space="0"/>
              <w:left w:val="single" w:color="000000" w:sz="6" w:space="0"/>
              <w:bottom w:val="single" w:color="000000" w:sz="6" w:space="0"/>
              <w:right w:val="single" w:color="000000" w:sz="6" w:space="0"/>
            </w:tcBorders>
            <w:vAlign w:val="center"/>
          </w:tcPr>
          <w:p w14:paraId="34CBDA72">
            <w:pPr>
              <w:widowControl/>
              <w:spacing w:line="240" w:lineRule="auto"/>
              <w:ind w:firstLine="0" w:firstLineChars="0"/>
              <w:jc w:val="left"/>
              <w:rPr>
                <w:rFonts w:ascii="仿宋" w:hAnsi="仿宋" w:eastAsia="仿宋" w:cs="仿宋"/>
                <w:szCs w:val="28"/>
                <w:lang w:val="zh-CN" w:bidi="zh-CN"/>
              </w:rPr>
            </w:pPr>
          </w:p>
        </w:tc>
        <w:tc>
          <w:tcPr>
            <w:tcW w:w="1573" w:type="dxa"/>
            <w:vMerge w:val="continue"/>
            <w:tcBorders>
              <w:top w:val="single" w:color="000000" w:sz="6" w:space="0"/>
              <w:left w:val="single" w:color="000000" w:sz="6" w:space="0"/>
              <w:bottom w:val="single" w:color="000000" w:sz="6" w:space="0"/>
              <w:right w:val="single" w:color="000000" w:sz="6" w:space="0"/>
            </w:tcBorders>
            <w:vAlign w:val="center"/>
          </w:tcPr>
          <w:p w14:paraId="0B88071B">
            <w:pPr>
              <w:widowControl/>
              <w:spacing w:line="240" w:lineRule="auto"/>
              <w:ind w:firstLine="0" w:firstLineChars="0"/>
              <w:jc w:val="left"/>
              <w:rPr>
                <w:rFonts w:ascii="仿宋" w:hAnsi="仿宋" w:eastAsia="仿宋" w:cs="仿宋"/>
                <w:szCs w:val="28"/>
                <w:lang w:val="zh-CN" w:bidi="zh-CN"/>
              </w:rPr>
            </w:pPr>
          </w:p>
        </w:tc>
      </w:tr>
      <w:tr w14:paraId="037F3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22C44A12">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5F5A531A">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2732FFFD">
            <w:pPr>
              <w:pStyle w:val="16"/>
            </w:pPr>
            <w:r>
              <w:rPr>
                <w:rFonts w:hint="eastAsia"/>
              </w:rPr>
              <w:t>数据存储完整性</w:t>
            </w:r>
          </w:p>
        </w:tc>
        <w:tc>
          <w:tcPr>
            <w:tcW w:w="3715" w:type="dxa"/>
            <w:vMerge w:val="continue"/>
            <w:tcBorders>
              <w:top w:val="single" w:color="000000" w:sz="6" w:space="0"/>
              <w:left w:val="single" w:color="000000" w:sz="6" w:space="0"/>
              <w:bottom w:val="single" w:color="000000" w:sz="6" w:space="0"/>
              <w:right w:val="single" w:color="000000" w:sz="6" w:space="0"/>
            </w:tcBorders>
            <w:vAlign w:val="center"/>
          </w:tcPr>
          <w:p w14:paraId="6A9343D5">
            <w:pPr>
              <w:widowControl/>
              <w:spacing w:line="240" w:lineRule="auto"/>
              <w:ind w:firstLine="0" w:firstLineChars="0"/>
              <w:jc w:val="left"/>
              <w:rPr>
                <w:rFonts w:ascii="仿宋" w:hAnsi="仿宋" w:eastAsia="仿宋" w:cs="仿宋"/>
                <w:szCs w:val="28"/>
                <w:lang w:val="zh-CN" w:bidi="zh-CN"/>
              </w:rPr>
            </w:pPr>
          </w:p>
        </w:tc>
        <w:tc>
          <w:tcPr>
            <w:tcW w:w="1573" w:type="dxa"/>
            <w:vMerge w:val="continue"/>
            <w:tcBorders>
              <w:top w:val="single" w:color="000000" w:sz="6" w:space="0"/>
              <w:left w:val="single" w:color="000000" w:sz="6" w:space="0"/>
              <w:bottom w:val="single" w:color="000000" w:sz="6" w:space="0"/>
              <w:right w:val="single" w:color="000000" w:sz="6" w:space="0"/>
            </w:tcBorders>
            <w:vAlign w:val="center"/>
          </w:tcPr>
          <w:p w14:paraId="2E9E21B0">
            <w:pPr>
              <w:widowControl/>
              <w:spacing w:line="240" w:lineRule="auto"/>
              <w:ind w:firstLine="0" w:firstLineChars="0"/>
              <w:jc w:val="left"/>
              <w:rPr>
                <w:rFonts w:ascii="仿宋" w:hAnsi="仿宋" w:eastAsia="仿宋" w:cs="仿宋"/>
                <w:szCs w:val="28"/>
                <w:lang w:val="zh-CN" w:bidi="zh-CN"/>
              </w:rPr>
            </w:pPr>
          </w:p>
        </w:tc>
      </w:tr>
      <w:tr w14:paraId="73161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42AA3EDC">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183A6780">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13A14A5B">
            <w:pPr>
              <w:pStyle w:val="16"/>
            </w:pPr>
            <w:r>
              <w:rPr>
                <w:rFonts w:hint="eastAsia"/>
              </w:rPr>
              <w:t>不可否认性</w:t>
            </w:r>
          </w:p>
        </w:tc>
        <w:tc>
          <w:tcPr>
            <w:tcW w:w="3715" w:type="dxa"/>
            <w:tcBorders>
              <w:top w:val="single" w:color="000000" w:sz="6" w:space="0"/>
              <w:left w:val="single" w:color="000000" w:sz="6" w:space="0"/>
              <w:bottom w:val="single" w:color="000000" w:sz="6" w:space="0"/>
              <w:right w:val="single" w:color="000000" w:sz="6" w:space="0"/>
            </w:tcBorders>
            <w:vAlign w:val="center"/>
          </w:tcPr>
          <w:p w14:paraId="2DAE4905">
            <w:pPr>
              <w:pStyle w:val="16"/>
            </w:pPr>
            <w:r>
              <w:rPr>
                <w:rFonts w:hint="eastAsia"/>
              </w:rPr>
              <w:t>不适用</w:t>
            </w:r>
          </w:p>
        </w:tc>
        <w:tc>
          <w:tcPr>
            <w:tcW w:w="1573" w:type="dxa"/>
            <w:tcBorders>
              <w:top w:val="single" w:color="000000" w:sz="6" w:space="0"/>
              <w:left w:val="single" w:color="000000" w:sz="6" w:space="0"/>
              <w:bottom w:val="single" w:color="000000" w:sz="6" w:space="0"/>
              <w:right w:val="single" w:color="000000" w:sz="6" w:space="0"/>
            </w:tcBorders>
            <w:vAlign w:val="center"/>
          </w:tcPr>
          <w:p w14:paraId="123414FE">
            <w:pPr>
              <w:pStyle w:val="16"/>
            </w:pPr>
            <w:r>
              <w:rPr>
                <w:rFonts w:hint="eastAsia"/>
              </w:rPr>
              <w:t>本系统无不可否认性需求</w:t>
            </w:r>
          </w:p>
        </w:tc>
      </w:tr>
      <w:tr w14:paraId="56C66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313F4AE3">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6428AAB9">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072A6742">
            <w:pPr>
              <w:pStyle w:val="16"/>
            </w:pPr>
            <w:r>
              <w:rPr>
                <w:rFonts w:hint="eastAsia"/>
              </w:rPr>
              <w:t>密码服务</w:t>
            </w:r>
          </w:p>
        </w:tc>
        <w:tc>
          <w:tcPr>
            <w:tcW w:w="3715" w:type="dxa"/>
            <w:tcBorders>
              <w:top w:val="single" w:color="000000" w:sz="6" w:space="0"/>
              <w:left w:val="single" w:color="000000" w:sz="6" w:space="0"/>
              <w:bottom w:val="single" w:color="000000" w:sz="6" w:space="0"/>
              <w:right w:val="single" w:color="000000" w:sz="6" w:space="0"/>
            </w:tcBorders>
            <w:vAlign w:val="center"/>
          </w:tcPr>
          <w:p w14:paraId="00C7FF9C">
            <w:pPr>
              <w:pStyle w:val="16"/>
            </w:pPr>
            <w:r>
              <w:rPr>
                <w:rFonts w:hint="eastAsia"/>
              </w:rPr>
              <w:t>采用的数字证书由具有电子认证服务资质的机构签发。</w:t>
            </w:r>
          </w:p>
        </w:tc>
        <w:tc>
          <w:tcPr>
            <w:tcW w:w="1573" w:type="dxa"/>
            <w:tcBorders>
              <w:top w:val="single" w:color="000000" w:sz="6" w:space="0"/>
              <w:left w:val="single" w:color="000000" w:sz="6" w:space="0"/>
              <w:bottom w:val="single" w:color="000000" w:sz="6" w:space="0"/>
              <w:right w:val="single" w:color="000000" w:sz="6" w:space="0"/>
            </w:tcBorders>
            <w:vAlign w:val="center"/>
          </w:tcPr>
          <w:p w14:paraId="13A5B2BB">
            <w:pPr>
              <w:pStyle w:val="16"/>
            </w:pPr>
            <w:r>
              <w:rPr>
                <w:rFonts w:hint="eastAsia"/>
              </w:rPr>
              <w:t>无</w:t>
            </w:r>
          </w:p>
        </w:tc>
      </w:tr>
      <w:tr w14:paraId="5C768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1714" w:type="dxa"/>
            <w:vMerge w:val="continue"/>
            <w:tcBorders>
              <w:top w:val="single" w:color="000000" w:sz="6" w:space="0"/>
              <w:left w:val="single" w:color="000000" w:sz="6" w:space="0"/>
              <w:bottom w:val="single" w:color="000000" w:sz="6" w:space="0"/>
              <w:right w:val="single" w:color="000000" w:sz="6" w:space="0"/>
            </w:tcBorders>
            <w:vAlign w:val="center"/>
          </w:tcPr>
          <w:p w14:paraId="14480BAA">
            <w:pPr>
              <w:widowControl/>
              <w:spacing w:line="240" w:lineRule="auto"/>
              <w:ind w:firstLine="0" w:firstLineChars="0"/>
              <w:jc w:val="left"/>
              <w:rPr>
                <w:rFonts w:ascii="仿宋" w:hAnsi="仿宋" w:eastAsia="仿宋" w:cs="仿宋"/>
                <w:szCs w:val="28"/>
                <w:lang w:val="zh-CN" w:bidi="zh-CN"/>
              </w:rPr>
            </w:pPr>
          </w:p>
        </w:tc>
        <w:tc>
          <w:tcPr>
            <w:tcW w:w="858" w:type="dxa"/>
            <w:vMerge w:val="continue"/>
            <w:tcBorders>
              <w:top w:val="single" w:color="000000" w:sz="6" w:space="0"/>
              <w:left w:val="single" w:color="000000" w:sz="6" w:space="0"/>
              <w:bottom w:val="single" w:color="000000" w:sz="6" w:space="0"/>
              <w:right w:val="single" w:color="000000" w:sz="6" w:space="0"/>
            </w:tcBorders>
            <w:vAlign w:val="center"/>
          </w:tcPr>
          <w:p w14:paraId="2AF43F7E">
            <w:pPr>
              <w:widowControl/>
              <w:spacing w:line="240" w:lineRule="auto"/>
              <w:ind w:firstLine="0" w:firstLineChars="0"/>
              <w:jc w:val="left"/>
              <w:rPr>
                <w:rFonts w:ascii="仿宋" w:hAnsi="仿宋" w:eastAsia="仿宋" w:cs="仿宋"/>
                <w:szCs w:val="28"/>
                <w:lang w:val="zh-CN" w:bidi="zh-CN"/>
              </w:rPr>
            </w:pPr>
          </w:p>
        </w:tc>
        <w:tc>
          <w:tcPr>
            <w:tcW w:w="2286" w:type="dxa"/>
            <w:tcBorders>
              <w:top w:val="single" w:color="000000" w:sz="6" w:space="0"/>
              <w:left w:val="single" w:color="000000" w:sz="6" w:space="0"/>
              <w:bottom w:val="single" w:color="000000" w:sz="6" w:space="0"/>
              <w:right w:val="single" w:color="000000" w:sz="6" w:space="0"/>
            </w:tcBorders>
            <w:vAlign w:val="center"/>
          </w:tcPr>
          <w:p w14:paraId="77348A3B">
            <w:pPr>
              <w:pStyle w:val="16"/>
            </w:pPr>
            <w:r>
              <w:rPr>
                <w:rFonts w:hint="eastAsia"/>
              </w:rPr>
              <w:t>密码产品</w:t>
            </w:r>
          </w:p>
        </w:tc>
        <w:tc>
          <w:tcPr>
            <w:tcW w:w="3715" w:type="dxa"/>
            <w:tcBorders>
              <w:top w:val="single" w:color="000000" w:sz="6" w:space="0"/>
              <w:left w:val="single" w:color="000000" w:sz="6" w:space="0"/>
              <w:bottom w:val="single" w:color="000000" w:sz="6" w:space="0"/>
              <w:right w:val="single" w:color="000000" w:sz="6" w:space="0"/>
            </w:tcBorders>
            <w:vAlign w:val="center"/>
          </w:tcPr>
          <w:p w14:paraId="35A7E1E2">
            <w:pPr>
              <w:pStyle w:val="16"/>
            </w:pPr>
            <w:r>
              <w:rPr>
                <w:rFonts w:hint="eastAsia"/>
              </w:rPr>
              <w:t>采用的密码产品，应达到GB/T 37092-2018《信息安全技术—密码模块安全要求》二级及以上安全要求。</w:t>
            </w:r>
          </w:p>
        </w:tc>
        <w:tc>
          <w:tcPr>
            <w:tcW w:w="1573" w:type="dxa"/>
            <w:tcBorders>
              <w:top w:val="single" w:color="000000" w:sz="6" w:space="0"/>
              <w:left w:val="single" w:color="000000" w:sz="6" w:space="0"/>
              <w:bottom w:val="single" w:color="000000" w:sz="6" w:space="0"/>
              <w:right w:val="single" w:color="000000" w:sz="6" w:space="0"/>
            </w:tcBorders>
            <w:vAlign w:val="center"/>
          </w:tcPr>
          <w:p w14:paraId="04917D09">
            <w:pPr>
              <w:pStyle w:val="16"/>
            </w:pPr>
            <w:r>
              <w:rPr>
                <w:rFonts w:hint="eastAsia"/>
              </w:rPr>
              <w:t>无</w:t>
            </w:r>
          </w:p>
        </w:tc>
      </w:tr>
    </w:tbl>
    <w:p w14:paraId="49AC95E1">
      <w:pPr>
        <w:pStyle w:val="3"/>
      </w:pPr>
      <w:bookmarkStart w:id="39" w:name="_Toc63785512"/>
      <w:r>
        <w:rPr>
          <w:rFonts w:hint="eastAsia"/>
        </w:rPr>
        <w:t>技术文件要求</w:t>
      </w:r>
    </w:p>
    <w:p w14:paraId="7CFEC575">
      <w:r>
        <w:rPr>
          <w:rFonts w:hint="eastAsia"/>
          <w:lang w:eastAsia="zh-CN"/>
        </w:rPr>
        <w:t>响应供应商</w:t>
      </w:r>
      <w:r>
        <w:rPr>
          <w:rFonts w:hint="eastAsia"/>
        </w:rPr>
        <w:t>提供的书面技术资料应能确保系统正常运行所需的管理、运营及维护有关的全套文件。技术文件应该全面、完整、详细。</w:t>
      </w:r>
      <w:r>
        <w:rPr>
          <w:rFonts w:hint="eastAsia"/>
          <w:lang w:eastAsia="zh-CN"/>
        </w:rPr>
        <w:t>响应供应商</w:t>
      </w:r>
      <w:r>
        <w:rPr>
          <w:rFonts w:hint="eastAsia"/>
        </w:rPr>
        <w:t>提供的技术文件至少应包括：</w:t>
      </w:r>
    </w:p>
    <w:p w14:paraId="54EA08D9">
      <w:r>
        <w:rPr>
          <w:rFonts w:hint="eastAsia"/>
        </w:rPr>
        <w:t>－</w:t>
      </w:r>
      <w:r>
        <w:t xml:space="preserve"> 系统说明文件； </w:t>
      </w:r>
    </w:p>
    <w:p w14:paraId="316243AD">
      <w:r>
        <w:rPr>
          <w:rFonts w:hint="eastAsia"/>
        </w:rPr>
        <w:t>－</w:t>
      </w:r>
      <w:r>
        <w:t xml:space="preserve"> 技术手册(安装、测试、操作、维护、故障排除等)； </w:t>
      </w:r>
    </w:p>
    <w:p w14:paraId="21CB0B55">
      <w:r>
        <w:rPr>
          <w:rFonts w:hint="eastAsia"/>
        </w:rPr>
        <w:t>－</w:t>
      </w:r>
      <w:r>
        <w:t xml:space="preserve"> 项目文档，应该包括：</w:t>
      </w:r>
    </w:p>
    <w:p w14:paraId="057E7A4C">
      <w:r>
        <w:t>(1)软件需求说明书</w:t>
      </w:r>
    </w:p>
    <w:p w14:paraId="602674D9">
      <w:r>
        <w:t>(2)系统总体设计说明书</w:t>
      </w:r>
    </w:p>
    <w:p w14:paraId="3E5D8E5C">
      <w:r>
        <w:t>(3)应用软件功能清单</w:t>
      </w:r>
    </w:p>
    <w:p w14:paraId="262B3DFC">
      <w:r>
        <w:rPr>
          <w:rFonts w:hint="eastAsia"/>
        </w:rPr>
        <w:t>提供全套技术文件纸介质</w:t>
      </w:r>
      <w:r>
        <w:t>3套以及电子文件1套。</w:t>
      </w:r>
    </w:p>
    <w:p w14:paraId="63F5A8DD">
      <w:pPr>
        <w:pStyle w:val="2"/>
      </w:pPr>
      <w:r>
        <w:rPr>
          <w:rFonts w:hint="eastAsia"/>
        </w:rPr>
        <w:t>供应商资质要求</w:t>
      </w:r>
    </w:p>
    <w:p w14:paraId="611D03A4">
      <w:r>
        <w:t>1、符合《中华人民共和国政府采购法》第二十二条规定的供应商。</w:t>
      </w:r>
    </w:p>
    <w:p w14:paraId="3121A34A">
      <w:r>
        <w:t>2、根据《上海市政府采购供应商登记及诚信管理办法》已登记入库的供应商。</w:t>
      </w:r>
    </w:p>
    <w:p w14:paraId="72821942">
      <w:r>
        <w:t>3、其他资格要求：</w:t>
      </w:r>
    </w:p>
    <w:p w14:paraId="040FEED8">
      <w:r>
        <w:t>3.</w:t>
      </w:r>
      <w:r>
        <w:rPr>
          <w:rFonts w:hint="eastAsia"/>
        </w:rPr>
        <w:t>1</w:t>
      </w:r>
      <w:r>
        <w:t>本项目面向中、小、微型等各类供应商采购。</w:t>
      </w:r>
    </w:p>
    <w:p w14:paraId="724A7D4D">
      <w:r>
        <w:t>3.</w:t>
      </w:r>
      <w:r>
        <w:rPr>
          <w:rFonts w:hint="eastAsia"/>
        </w:rPr>
        <w:t>2</w:t>
      </w:r>
      <w:r>
        <w:t>未被列入“信用中国”网站(www.creditchina.gov.cn)失信被执行人名单、重大税收违法案件当事人名单和中国政府采购网(www.ccgp.gov.cn)政府采购严重违法失信行为记录名单。</w:t>
      </w:r>
    </w:p>
    <w:p w14:paraId="2EB5F2F4">
      <w:pPr>
        <w:pStyle w:val="2"/>
      </w:pPr>
      <w:r>
        <w:rPr>
          <w:rFonts w:hint="eastAsia"/>
        </w:rPr>
        <w:t>供应商管理要求</w:t>
      </w:r>
      <w:bookmarkEnd w:id="39"/>
    </w:p>
    <w:p w14:paraId="65E832DE">
      <w:r>
        <w:rPr>
          <w:rFonts w:hint="eastAsia"/>
        </w:rPr>
        <w:t>1、在项目实施期间，</w:t>
      </w:r>
      <w:r>
        <w:rPr>
          <w:rFonts w:hint="eastAsia"/>
          <w:lang w:eastAsia="zh-CN"/>
        </w:rPr>
        <w:t>成交供应商</w:t>
      </w:r>
      <w:r>
        <w:rPr>
          <w:rFonts w:hint="eastAsia"/>
        </w:rPr>
        <w:t>应严格执行国家、地方、行业有关本项目业务管理和安全作业的法律、法规和制度并按规定承担相应的费用。</w:t>
      </w:r>
      <w:r>
        <w:rPr>
          <w:rFonts w:hint="eastAsia"/>
          <w:lang w:eastAsia="zh-CN"/>
        </w:rPr>
        <w:t>成交供应商</w:t>
      </w:r>
      <w:r>
        <w:rPr>
          <w:rFonts w:hint="eastAsia"/>
        </w:rPr>
        <w:t>因违反规定等原因造成的一切损失和责任由</w:t>
      </w:r>
      <w:r>
        <w:rPr>
          <w:rFonts w:hint="eastAsia"/>
          <w:lang w:eastAsia="zh-CN"/>
        </w:rPr>
        <w:t>成交供应商</w:t>
      </w:r>
      <w:r>
        <w:rPr>
          <w:rFonts w:hint="eastAsia"/>
        </w:rPr>
        <w:t>自行承担。</w:t>
      </w:r>
    </w:p>
    <w:p w14:paraId="17F46B55">
      <w:r>
        <w:rPr>
          <w:rFonts w:hint="eastAsia"/>
        </w:rPr>
        <w:t>2、</w:t>
      </w:r>
      <w:r>
        <w:rPr>
          <w:rFonts w:hint="eastAsia"/>
          <w:lang w:eastAsia="zh-CN"/>
        </w:rPr>
        <w:t>成交供应商</w:t>
      </w:r>
      <w:r>
        <w:rPr>
          <w:rFonts w:hint="eastAsia"/>
        </w:rPr>
        <w:t>在</w:t>
      </w:r>
      <w:r>
        <w:rPr>
          <w:rFonts w:hint="eastAsia"/>
          <w:lang w:eastAsia="zh-CN"/>
        </w:rPr>
        <w:t>响应文件</w:t>
      </w:r>
      <w:r>
        <w:rPr>
          <w:rFonts w:hint="eastAsia"/>
        </w:rPr>
        <w:t>中承诺并经</w:t>
      </w:r>
      <w:r>
        <w:rPr>
          <w:rFonts w:hint="eastAsia"/>
          <w:lang w:eastAsia="zh-CN"/>
        </w:rPr>
        <w:t>采购人</w:t>
      </w:r>
      <w:r>
        <w:rPr>
          <w:rFonts w:hint="eastAsia"/>
        </w:rPr>
        <w:t>认定的</w:t>
      </w:r>
      <w:r>
        <w:rPr>
          <w:rFonts w:hint="eastAsia"/>
          <w:lang w:eastAsia="zh-CN"/>
        </w:rPr>
        <w:t>项目经理</w:t>
      </w:r>
      <w:r>
        <w:rPr>
          <w:rFonts w:hint="eastAsia"/>
        </w:rPr>
        <w:t>及专业技术人员必须是本单位职工（在本单位缴纳社会保障金）和该项目实施现场的实际操作者，应具有类似本项目的实施经验，并应在软件应用调研、安装、试运行等期间常驻项目现场。未经采购人同意，</w:t>
      </w:r>
      <w:r>
        <w:rPr>
          <w:rFonts w:hint="eastAsia"/>
          <w:lang w:eastAsia="zh-CN"/>
        </w:rPr>
        <w:t>成交供应商</w:t>
      </w:r>
      <w:r>
        <w:rPr>
          <w:rFonts w:hint="eastAsia"/>
        </w:rPr>
        <w:t>不得调换或撤离上述人员。如采购人认为有必要，可要求</w:t>
      </w:r>
      <w:r>
        <w:rPr>
          <w:rFonts w:hint="eastAsia"/>
          <w:lang w:eastAsia="zh-CN"/>
        </w:rPr>
        <w:t>成交供应商</w:t>
      </w:r>
      <w:r>
        <w:rPr>
          <w:rFonts w:hint="eastAsia"/>
        </w:rPr>
        <w:t>对上述人员中的部分人员作出更好的调整。</w:t>
      </w:r>
    </w:p>
    <w:p w14:paraId="16C658F3">
      <w:r>
        <w:rPr>
          <w:rFonts w:hint="eastAsia"/>
        </w:rPr>
        <w:t>3、</w:t>
      </w:r>
      <w:r>
        <w:rPr>
          <w:rFonts w:hint="eastAsia"/>
          <w:lang w:eastAsia="zh-CN"/>
        </w:rPr>
        <w:t>成交供应商</w:t>
      </w:r>
      <w:r>
        <w:rPr>
          <w:rFonts w:hint="eastAsia"/>
        </w:rPr>
        <w:t>在项目实施期间，应按项目实际进度与环节落实所对应项目整体及各环节管理工作，按照规范做好项目实施期间相关管理与实施记录。</w:t>
      </w:r>
    </w:p>
    <w:p w14:paraId="524F172D">
      <w:r>
        <w:rPr>
          <w:rFonts w:hint="eastAsia"/>
        </w:rPr>
        <w:t>4、参与本项目的工作人员应严格遵循采购人的安全制度，保障采购人资料和设备的安全。</w:t>
      </w:r>
      <w:r>
        <w:rPr>
          <w:rFonts w:hint="eastAsia"/>
          <w:lang w:eastAsia="zh-CN"/>
        </w:rPr>
        <w:t>成交供应商</w:t>
      </w:r>
      <w:r>
        <w:rPr>
          <w:rFonts w:hint="eastAsia"/>
        </w:rPr>
        <w:t>如需进入采购人机房工作，只能在采购人规定的工作区域内对项目涉及的设备进行操作，严禁触动与项目无关的任何设备（包括任何操作行为），如需跨区操作必须得到采购人项目联系人确认。</w:t>
      </w:r>
    </w:p>
    <w:p w14:paraId="3F38FC54">
      <w:r>
        <w:rPr>
          <w:rFonts w:hint="eastAsia"/>
        </w:rPr>
        <w:t>5、</w:t>
      </w:r>
      <w:r>
        <w:rPr>
          <w:rFonts w:hint="eastAsia"/>
          <w:lang w:eastAsia="zh-CN"/>
        </w:rPr>
        <w:t>成交供应商</w:t>
      </w:r>
      <w:r>
        <w:rPr>
          <w:rFonts w:hint="eastAsia"/>
        </w:rPr>
        <w:t>在项目实施期间必须遵守采购人的规章制度并提供实施人员名单。</w:t>
      </w:r>
    </w:p>
    <w:p w14:paraId="0834FA56">
      <w:r>
        <w:rPr>
          <w:rFonts w:hint="eastAsia"/>
        </w:rPr>
        <w:t>6、各</w:t>
      </w:r>
      <w:r>
        <w:rPr>
          <w:rFonts w:hint="eastAsia"/>
          <w:lang w:eastAsia="zh-CN"/>
        </w:rPr>
        <w:t>响应供应商</w:t>
      </w:r>
      <w:r>
        <w:rPr>
          <w:rFonts w:hint="eastAsia"/>
        </w:rPr>
        <w:t>在</w:t>
      </w:r>
      <w:r>
        <w:rPr>
          <w:rFonts w:hint="eastAsia"/>
          <w:lang w:eastAsia="zh-CN"/>
        </w:rPr>
        <w:t>响应文件</w:t>
      </w:r>
      <w:r>
        <w:rPr>
          <w:rFonts w:hint="eastAsia"/>
        </w:rPr>
        <w:t>中要结合本项目的特点和采购人上述的具体要求制定相应的管理措施，并在报价中列支相应的费用清单，</w:t>
      </w:r>
      <w:r>
        <w:rPr>
          <w:rFonts w:hint="eastAsia"/>
          <w:lang w:eastAsia="zh-CN"/>
        </w:rPr>
        <w:t>响应供应商</w:t>
      </w:r>
      <w:r>
        <w:rPr>
          <w:rFonts w:hint="eastAsia"/>
        </w:rPr>
        <w:t>报价中未列支上述费用清单的，上述费用视为已包含在</w:t>
      </w:r>
      <w:r>
        <w:rPr>
          <w:rFonts w:hint="eastAsia"/>
          <w:lang w:eastAsia="zh-CN"/>
        </w:rPr>
        <w:t>响应供应商</w:t>
      </w:r>
      <w:r>
        <w:rPr>
          <w:rFonts w:hint="eastAsia"/>
        </w:rPr>
        <w:t>的</w:t>
      </w:r>
      <w:r>
        <w:rPr>
          <w:rFonts w:hint="eastAsia"/>
          <w:lang w:eastAsia="zh-CN"/>
        </w:rPr>
        <w:t>响应</w:t>
      </w:r>
      <w:r>
        <w:rPr>
          <w:rFonts w:hint="eastAsia"/>
        </w:rPr>
        <w:t>总报价中。</w:t>
      </w:r>
    </w:p>
    <w:p w14:paraId="73746438">
      <w:r>
        <w:rPr>
          <w:rFonts w:hint="eastAsia"/>
        </w:rPr>
        <w:t>7、本项目软件开发及调试将纳入采购人的管理范围，</w:t>
      </w:r>
      <w:r>
        <w:rPr>
          <w:rFonts w:hint="eastAsia"/>
          <w:lang w:eastAsia="zh-CN"/>
        </w:rPr>
        <w:t>成交供应商</w:t>
      </w:r>
      <w:r>
        <w:rPr>
          <w:rFonts w:hint="eastAsia"/>
        </w:rPr>
        <w:t>在此过程中须服从上述单位的管理协调。</w:t>
      </w:r>
    </w:p>
    <w:p w14:paraId="5335B446"/>
    <w:p w14:paraId="4E51CC0D">
      <w:pPr>
        <w:pStyle w:val="2"/>
      </w:pPr>
      <w:bookmarkStart w:id="40" w:name="_Toc63785513"/>
      <w:r>
        <w:rPr>
          <w:rFonts w:hint="eastAsia"/>
        </w:rPr>
        <w:t>关于转让和分包的规定</w:t>
      </w:r>
    </w:p>
    <w:p w14:paraId="434367AF">
      <w:r>
        <w:rPr>
          <w:rFonts w:hint="eastAsia"/>
        </w:rPr>
        <w:t>本项目不得转让不得分包。</w:t>
      </w:r>
    </w:p>
    <w:p w14:paraId="0BED8AEE">
      <w:pPr>
        <w:pStyle w:val="2"/>
      </w:pPr>
      <w:r>
        <w:rPr>
          <w:rFonts w:hint="eastAsia"/>
        </w:rPr>
        <w:t>知识产权及保密要求</w:t>
      </w:r>
      <w:bookmarkEnd w:id="40"/>
    </w:p>
    <w:p w14:paraId="6CB9D588">
      <w:pPr>
        <w:ind w:firstLine="482"/>
        <w:rPr>
          <w:b/>
        </w:rPr>
      </w:pPr>
      <w:r>
        <w:rPr>
          <w:b/>
        </w:rPr>
        <w:t>1、</w:t>
      </w:r>
      <w:r>
        <w:rPr>
          <w:rFonts w:hint="eastAsia"/>
          <w:b/>
          <w:lang w:eastAsia="zh-CN"/>
        </w:rPr>
        <w:t>成交供应商</w:t>
      </w:r>
      <w:r>
        <w:rPr>
          <w:b/>
        </w:rPr>
        <w:t>数据、文件、资料知识产权</w:t>
      </w:r>
    </w:p>
    <w:p w14:paraId="3041A7DC">
      <w:r>
        <w:rPr>
          <w:rFonts w:hint="eastAsia"/>
          <w:lang w:eastAsia="zh-CN"/>
        </w:rPr>
        <w:t>成交供应商</w:t>
      </w:r>
      <w:r>
        <w:rPr>
          <w:rFonts w:hint="eastAsia"/>
        </w:rPr>
        <w:t>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w:t>
      </w:r>
      <w:r>
        <w:rPr>
          <w:rFonts w:hint="eastAsia"/>
          <w:lang w:eastAsia="zh-CN"/>
        </w:rPr>
        <w:t>成交供应商</w:t>
      </w:r>
      <w:r>
        <w:rPr>
          <w:rFonts w:hint="eastAsia"/>
        </w:rPr>
        <w:t>应负责与第三方解决纠纷，若因此导致采购人损失的，采购人有权要求</w:t>
      </w:r>
      <w:r>
        <w:rPr>
          <w:rFonts w:hint="eastAsia"/>
          <w:lang w:eastAsia="zh-CN"/>
        </w:rPr>
        <w:t>成交供应商</w:t>
      </w:r>
      <w:r>
        <w:rPr>
          <w:rFonts w:hint="eastAsia"/>
        </w:rPr>
        <w:t>赔偿采购人因此遭受的全部损失，包括但不限于直接损失、间接损失、诉讼费／仲裁费、律师费、公证费、鉴定费等。</w:t>
      </w:r>
    </w:p>
    <w:p w14:paraId="61D17AA9">
      <w:r>
        <w:rPr>
          <w:rFonts w:hint="eastAsia"/>
          <w:lang w:eastAsia="zh-CN"/>
        </w:rPr>
        <w:t>成交供应商</w:t>
      </w:r>
      <w:r>
        <w:rPr>
          <w:rFonts w:hint="eastAsia"/>
        </w:rPr>
        <w:t>因履行本项目而产生的所有成果的知识产权等权利均归采购人所有，</w:t>
      </w:r>
      <w:r>
        <w:rPr>
          <w:rFonts w:hint="eastAsia"/>
          <w:lang w:eastAsia="zh-CN"/>
        </w:rPr>
        <w:t>成交供应商</w:t>
      </w:r>
      <w:r>
        <w:rPr>
          <w:rFonts w:hint="eastAsia"/>
        </w:rPr>
        <w:t>应配合采购人进行相关权利登记或申请。未经采购人书面同意，</w:t>
      </w:r>
      <w:r>
        <w:rPr>
          <w:rFonts w:hint="eastAsia"/>
          <w:lang w:eastAsia="zh-CN"/>
        </w:rPr>
        <w:t>成交供应商</w:t>
      </w:r>
      <w:r>
        <w:rPr>
          <w:rFonts w:hint="eastAsia"/>
        </w:rPr>
        <w:t>不得以任何形式使用或许可他人使用本项目成果的相关内容，不得擅自对外公开发表或向任何第三方透露。</w:t>
      </w:r>
    </w:p>
    <w:p w14:paraId="3C5B9A22">
      <w:r>
        <w:rPr>
          <w:rFonts w:hint="eastAsia"/>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2134E40B">
      <w:pPr>
        <w:ind w:firstLine="482"/>
        <w:rPr>
          <w:b/>
        </w:rPr>
      </w:pPr>
      <w:r>
        <w:rPr>
          <w:b/>
        </w:rPr>
        <w:t>2、项目保密要求</w:t>
      </w:r>
    </w:p>
    <w:p w14:paraId="051D3DBC">
      <w:r>
        <w:rPr>
          <w:rFonts w:hint="eastAsia"/>
          <w:lang w:eastAsia="zh-CN"/>
        </w:rPr>
        <w:t>成交供应商</w:t>
      </w:r>
      <w:r>
        <w:rPr>
          <w:rFonts w:hint="eastAsia"/>
        </w:rPr>
        <w:t>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w:t>
      </w:r>
      <w:r>
        <w:rPr>
          <w:rFonts w:hint="eastAsia"/>
          <w:lang w:eastAsia="zh-CN"/>
        </w:rPr>
        <w:t>成交供应商</w:t>
      </w:r>
      <w:r>
        <w:rPr>
          <w:rFonts w:hint="eastAsia"/>
        </w:rPr>
        <w:t>不得对外泄露采购人要求保密的信息，不得用于其他用途，否则</w:t>
      </w:r>
      <w:r>
        <w:rPr>
          <w:rFonts w:hint="eastAsia"/>
          <w:lang w:eastAsia="zh-CN"/>
        </w:rPr>
        <w:t>成交供应商</w:t>
      </w:r>
      <w:r>
        <w:rPr>
          <w:rFonts w:hint="eastAsia"/>
        </w:rPr>
        <w:t>需承担由此引起的法律责任和经济责任，包括但不限于直接损失、间接损失、律师费、诉讼费/仲裁费、调查费、公证费等。</w:t>
      </w:r>
    </w:p>
    <w:p w14:paraId="4DD61091">
      <w:r>
        <w:rPr>
          <w:rFonts w:hint="eastAsia"/>
          <w:lang w:eastAsia="zh-CN"/>
        </w:rPr>
        <w:t>成交供应商</w:t>
      </w:r>
      <w:r>
        <w:rPr>
          <w:rFonts w:hint="eastAsia"/>
        </w:rPr>
        <w:t>应采取必要的有效措施保证其参与本项目的人员（包括</w:t>
      </w:r>
      <w:r>
        <w:rPr>
          <w:rFonts w:hint="eastAsia"/>
          <w:lang w:eastAsia="zh-CN"/>
        </w:rPr>
        <w:t>成交供应商</w:t>
      </w:r>
      <w:r>
        <w:rPr>
          <w:rFonts w:hint="eastAsia"/>
        </w:rPr>
        <w:t>聘用的人员、借调的人员、实习的人员）无论是在职或离职后，以及</w:t>
      </w:r>
      <w:r>
        <w:rPr>
          <w:rFonts w:hint="eastAsia"/>
          <w:lang w:eastAsia="zh-CN"/>
        </w:rPr>
        <w:t>成交供应商</w:t>
      </w:r>
      <w:r>
        <w:rPr>
          <w:rFonts w:hint="eastAsia"/>
        </w:rPr>
        <w:t>的合作方无论是合作中或合作终止后，都能够履行本项目约定的保密义务。若</w:t>
      </w:r>
      <w:r>
        <w:rPr>
          <w:rFonts w:hint="eastAsia"/>
          <w:lang w:eastAsia="zh-CN"/>
        </w:rPr>
        <w:t>成交供应商</w:t>
      </w:r>
      <w:r>
        <w:rPr>
          <w:rFonts w:hint="eastAsia"/>
        </w:rPr>
        <w:t>人员或</w:t>
      </w:r>
      <w:r>
        <w:rPr>
          <w:rFonts w:hint="eastAsia"/>
          <w:lang w:eastAsia="zh-CN"/>
        </w:rPr>
        <w:t>成交供应商</w:t>
      </w:r>
      <w:r>
        <w:rPr>
          <w:rFonts w:hint="eastAsia"/>
        </w:rPr>
        <w:t>合作方违反保密规定，</w:t>
      </w:r>
      <w:r>
        <w:rPr>
          <w:rFonts w:hint="eastAsia"/>
          <w:lang w:eastAsia="zh-CN"/>
        </w:rPr>
        <w:t>成交供应商</w:t>
      </w:r>
      <w:r>
        <w:rPr>
          <w:rFonts w:hint="eastAsia"/>
        </w:rPr>
        <w:t>应承担连带责任。</w:t>
      </w:r>
    </w:p>
    <w:p w14:paraId="28465827">
      <w:r>
        <w:rPr>
          <w:rFonts w:hint="eastAsia"/>
          <w:lang w:eastAsia="zh-CN"/>
        </w:rPr>
        <w:t>成交供应商</w:t>
      </w:r>
      <w:r>
        <w:rPr>
          <w:rFonts w:hint="eastAsia"/>
        </w:rPr>
        <w:t>（含</w:t>
      </w:r>
      <w:r>
        <w:rPr>
          <w:rFonts w:hint="eastAsia"/>
          <w:lang w:eastAsia="zh-CN"/>
        </w:rPr>
        <w:t>成交供应商</w:t>
      </w:r>
      <w:r>
        <w:rPr>
          <w:rFonts w:hint="eastAsia"/>
        </w:rPr>
        <w:t>参与本项目的人员以及其合作方）未经采购人书面许可，不得以任何形式自行使用或以任何方式向第三方披露、转让、授权、出售与本项目有关的技术成果、计算机软件、源代码、策划文档、技术诀窍、秘密信息、技术资料和其他文件。</w:t>
      </w:r>
    </w:p>
    <w:p w14:paraId="2DB0A2F7">
      <w:r>
        <w:rPr>
          <w:rFonts w:hint="eastAsia"/>
        </w:rPr>
        <w:t>以上内容的保密期限自</w:t>
      </w:r>
      <w:r>
        <w:rPr>
          <w:rFonts w:hint="eastAsia"/>
          <w:lang w:eastAsia="zh-CN"/>
        </w:rPr>
        <w:t>成交供应商</w:t>
      </w:r>
      <w:r>
        <w:rPr>
          <w:rFonts w:hint="eastAsia"/>
        </w:rPr>
        <w:t>知悉保密信息起始至保密信息被合法公开之日止。</w:t>
      </w:r>
    </w:p>
    <w:p w14:paraId="6C68AC8D">
      <w:pPr>
        <w:ind w:firstLine="482"/>
        <w:rPr>
          <w:b/>
        </w:rPr>
      </w:pPr>
      <w:r>
        <w:rPr>
          <w:b/>
        </w:rPr>
        <w:t>3、临时账号等使用要求</w:t>
      </w:r>
    </w:p>
    <w:p w14:paraId="06B0A0BA">
      <w:r>
        <w:rPr>
          <w:rFonts w:hint="eastAsia"/>
          <w:lang w:eastAsia="zh-CN"/>
        </w:rPr>
        <w:t>成交供应商</w:t>
      </w:r>
      <w:r>
        <w:rPr>
          <w:rFonts w:hint="eastAsia"/>
        </w:rPr>
        <w:t>对采购人提拱的临时使用账号要保密，不得公开，对组件开发的账号密码需进行加密，避免信息安全的泄露。未经采购人的同意不得利用采购人的网络及平台进行短信、彩信、微信发送</w:t>
      </w:r>
      <w:r>
        <w:t>,造成的一切后果由</w:t>
      </w:r>
      <w:r>
        <w:rPr>
          <w:rFonts w:hint="eastAsia"/>
          <w:lang w:eastAsia="zh-CN"/>
        </w:rPr>
        <w:t>成交供应商</w:t>
      </w:r>
      <w:r>
        <w:t>负责。</w:t>
      </w:r>
    </w:p>
    <w:p w14:paraId="4112AAA8">
      <w:pPr>
        <w:pStyle w:val="2"/>
      </w:pPr>
      <w:bookmarkStart w:id="41" w:name="_Toc65170093"/>
      <w:r>
        <w:t>项目的变更、解除和终止</w:t>
      </w:r>
    </w:p>
    <w:p w14:paraId="68ED041F">
      <w:r>
        <w:rPr>
          <w:rFonts w:hint="eastAsia"/>
        </w:rPr>
        <w:t>如果</w:t>
      </w:r>
      <w:r>
        <w:rPr>
          <w:rFonts w:hint="eastAsia"/>
          <w:lang w:eastAsia="zh-CN"/>
        </w:rPr>
        <w:t>成交供应商</w:t>
      </w:r>
      <w:r>
        <w:rPr>
          <w:rFonts w:hint="eastAsia"/>
        </w:rPr>
        <w:t>丧失履约能力、发生资不抵债或进入破产程序，采购人可在任何时候以书面形式通知</w:t>
      </w:r>
      <w:r>
        <w:rPr>
          <w:rFonts w:hint="eastAsia"/>
          <w:lang w:eastAsia="zh-CN"/>
        </w:rPr>
        <w:t>成交供应商</w:t>
      </w:r>
      <w:r>
        <w:rPr>
          <w:rFonts w:hint="eastAsia"/>
        </w:rPr>
        <w:t>终止本项目的执行而不给予</w:t>
      </w:r>
      <w:r>
        <w:rPr>
          <w:rFonts w:hint="eastAsia"/>
          <w:lang w:eastAsia="zh-CN"/>
        </w:rPr>
        <w:t>成交供应商</w:t>
      </w:r>
      <w:r>
        <w:rPr>
          <w:rFonts w:hint="eastAsia"/>
        </w:rPr>
        <w:t>补偿。该终止本项目将不损害或影响采购人已经采取或将要采取任何行动或补救措施的权利。</w:t>
      </w:r>
    </w:p>
    <w:p w14:paraId="67C4162A">
      <w:r>
        <w:rPr>
          <w:rFonts w:hint="eastAsia"/>
        </w:rPr>
        <w:t>如遇国家、行业管理部门等机构的有关标准和规定调整的，导致本项目内容须做相应调整时，双方应按照公平、合理的原则共同协商修改本项目对应的合同的相关条款。</w:t>
      </w:r>
    </w:p>
    <w:p w14:paraId="68934197">
      <w:pPr>
        <w:pStyle w:val="2"/>
      </w:pPr>
      <w:r>
        <w:rPr>
          <w:rFonts w:hint="eastAsia"/>
        </w:rPr>
        <w:t>违约责任</w:t>
      </w:r>
      <w:bookmarkEnd w:id="41"/>
    </w:p>
    <w:p w14:paraId="2C66F59E">
      <w:r>
        <w:t>1、如</w:t>
      </w:r>
      <w:r>
        <w:rPr>
          <w:rFonts w:hint="eastAsia"/>
          <w:lang w:eastAsia="zh-CN"/>
        </w:rPr>
        <w:t>成交供应商</w:t>
      </w:r>
      <w:r>
        <w:t>未按约定的时间或服务标准完成建设工作，采购人可要求</w:t>
      </w:r>
      <w:r>
        <w:rPr>
          <w:rFonts w:hint="eastAsia"/>
          <w:lang w:eastAsia="zh-CN"/>
        </w:rPr>
        <w:t>成交供应商</w:t>
      </w:r>
      <w:r>
        <w:t>在规定的时间内采取补救措施。</w:t>
      </w:r>
      <w:r>
        <w:rPr>
          <w:rFonts w:hint="eastAsia"/>
          <w:lang w:eastAsia="zh-CN"/>
        </w:rPr>
        <w:t>成交供应商</w:t>
      </w:r>
      <w:r>
        <w:t>还应向采购人支付本项目费用总额30%的违约金，违约金不足以弥补采购人损失的，采购人有权要求</w:t>
      </w:r>
      <w:r>
        <w:rPr>
          <w:rFonts w:hint="eastAsia"/>
          <w:lang w:eastAsia="zh-CN"/>
        </w:rPr>
        <w:t>成交供应商</w:t>
      </w:r>
      <w:r>
        <w:t>赔偿超过部分。</w:t>
      </w:r>
    </w:p>
    <w:p w14:paraId="04E96C4B">
      <w:r>
        <w:t>2、因</w:t>
      </w:r>
      <w:r>
        <w:rPr>
          <w:rFonts w:hint="eastAsia"/>
          <w:lang w:eastAsia="zh-CN"/>
        </w:rPr>
        <w:t>成交供应商</w:t>
      </w:r>
      <w:r>
        <w:t>违反保密义务或知识产权约定的，采购人有权要求</w:t>
      </w:r>
      <w:r>
        <w:rPr>
          <w:rFonts w:hint="eastAsia"/>
          <w:lang w:eastAsia="zh-CN"/>
        </w:rPr>
        <w:t>成交供应商</w:t>
      </w:r>
      <w:r>
        <w:t>支付本项目费用总额30%的违约金，违约金不足以弥补采购人损失的，采购人有权要求</w:t>
      </w:r>
      <w:r>
        <w:rPr>
          <w:rFonts w:hint="eastAsia"/>
          <w:lang w:eastAsia="zh-CN"/>
        </w:rPr>
        <w:t>成交供应商</w:t>
      </w:r>
      <w:r>
        <w:t>赔偿超过部分。若</w:t>
      </w:r>
      <w:r>
        <w:rPr>
          <w:rFonts w:hint="eastAsia"/>
          <w:lang w:eastAsia="zh-CN"/>
        </w:rPr>
        <w:t>成交供应商</w:t>
      </w:r>
      <w:r>
        <w:t>违反保密义务，采购人还有权立即单方解除合同而不承担任何违约责任。</w:t>
      </w:r>
    </w:p>
    <w:p w14:paraId="09EC2E13">
      <w:r>
        <w:t>3、</w:t>
      </w:r>
      <w:r>
        <w:rPr>
          <w:rFonts w:hint="eastAsia"/>
          <w:lang w:eastAsia="zh-CN"/>
        </w:rPr>
        <w:t>成交供应商</w:t>
      </w:r>
      <w:r>
        <w:t>有其他违反本项目合同约定的行为，</w:t>
      </w:r>
      <w:r>
        <w:rPr>
          <w:rFonts w:hint="eastAsia"/>
          <w:lang w:eastAsia="zh-CN"/>
        </w:rPr>
        <w:t>成交供应商</w:t>
      </w:r>
      <w:r>
        <w:t>应当支付本项目总价款金额的20%作为违约金，违约金不足以弥补采购人损失的，采购人有权要求</w:t>
      </w:r>
      <w:r>
        <w:rPr>
          <w:rFonts w:hint="eastAsia"/>
          <w:lang w:eastAsia="zh-CN"/>
        </w:rPr>
        <w:t>成交供应商</w:t>
      </w:r>
      <w:r>
        <w:t>赔偿超过部分。</w:t>
      </w:r>
    </w:p>
    <w:p w14:paraId="44B0448D">
      <w:r>
        <w:t>4、</w:t>
      </w:r>
      <w:r>
        <w:rPr>
          <w:rFonts w:hint="eastAsia"/>
          <w:lang w:eastAsia="zh-CN"/>
        </w:rPr>
        <w:t>成交供应商</w:t>
      </w:r>
      <w:r>
        <w:t>有下列情形之一，采购人有权解除合同：</w:t>
      </w:r>
    </w:p>
    <w:p w14:paraId="3942B129">
      <w:r>
        <w:rPr>
          <w:rFonts w:hint="eastAsia"/>
        </w:rPr>
        <w:t>（1</w:t>
      </w:r>
      <w:r>
        <w:t>）因</w:t>
      </w:r>
      <w:r>
        <w:rPr>
          <w:rFonts w:hint="eastAsia"/>
          <w:lang w:eastAsia="zh-CN"/>
        </w:rPr>
        <w:t>成交供应商</w:t>
      </w:r>
      <w:r>
        <w:t>服务质量问题导致采购人无法实现目的；</w:t>
      </w:r>
    </w:p>
    <w:p w14:paraId="4E9346DD">
      <w:r>
        <w:rPr>
          <w:rFonts w:hint="eastAsia"/>
        </w:rPr>
        <w:t>（2</w:t>
      </w:r>
      <w:r>
        <w:t>）擅自转让或者分包其应履行的义务的；</w:t>
      </w:r>
    </w:p>
    <w:p w14:paraId="03126561">
      <w:r>
        <w:rPr>
          <w:rFonts w:hint="eastAsia"/>
        </w:rPr>
        <w:t>（3</w:t>
      </w:r>
      <w:r>
        <w:t>）违反或者未履行本项目合同约定的其他相关义务，且在采购人要求的合理时间内未能纠正的。</w:t>
      </w:r>
    </w:p>
    <w:p w14:paraId="73C7EC96">
      <w:pPr>
        <w:pStyle w:val="2"/>
      </w:pPr>
      <w:bookmarkStart w:id="42" w:name="_Toc63785514"/>
      <w:r>
        <w:rPr>
          <w:rFonts w:hint="eastAsia"/>
        </w:rPr>
        <w:t>付款</w:t>
      </w:r>
      <w:bookmarkEnd w:id="42"/>
      <w:r>
        <w:rPr>
          <w:rFonts w:hint="eastAsia"/>
        </w:rPr>
        <w:t>方式</w:t>
      </w:r>
    </w:p>
    <w:p w14:paraId="2F63CA58">
      <w:bookmarkStart w:id="43" w:name="_Toc63785516"/>
      <w:r>
        <w:rPr>
          <w:rFonts w:hint="eastAsia"/>
        </w:rPr>
        <w:t>本项目采用以下方式付款：</w:t>
      </w:r>
    </w:p>
    <w:p w14:paraId="22566DAF">
      <w:r>
        <w:rPr>
          <w:rFonts w:hint="eastAsia"/>
        </w:rPr>
        <w:t>A.如果</w:t>
      </w:r>
      <w:r>
        <w:rPr>
          <w:rFonts w:hint="eastAsia"/>
          <w:lang w:eastAsia="zh-CN"/>
        </w:rPr>
        <w:t>成交</w:t>
      </w:r>
      <w:r>
        <w:rPr>
          <w:rFonts w:hint="eastAsia"/>
        </w:rPr>
        <w:t xml:space="preserve">金额大于1,631,200元 </w:t>
      </w:r>
    </w:p>
    <w:p w14:paraId="68BA92A3">
      <w:r>
        <w:rPr>
          <w:rFonts w:hint="eastAsia"/>
        </w:rPr>
        <w:t>①按</w:t>
      </w:r>
      <w:r>
        <w:rPr>
          <w:rFonts w:hint="eastAsia"/>
          <w:lang w:eastAsia="zh-CN"/>
        </w:rPr>
        <w:t>成交</w:t>
      </w:r>
      <w:r>
        <w:rPr>
          <w:rFonts w:hint="eastAsia"/>
        </w:rPr>
        <w:t>金额签订合同，合同生效</w:t>
      </w:r>
      <w:r>
        <w:rPr>
          <w:rFonts w:hint="eastAsia"/>
          <w:lang w:eastAsia="zh-CN"/>
        </w:rPr>
        <w:t>且收到有效发票</w:t>
      </w:r>
      <w:r>
        <w:rPr>
          <w:rFonts w:hint="eastAsia"/>
        </w:rPr>
        <w:t>后</w:t>
      </w:r>
      <w:r>
        <w:rPr>
          <w:rFonts w:hint="eastAsia"/>
          <w:lang w:val="en-US" w:eastAsia="zh-CN"/>
        </w:rPr>
        <w:t>10个工作日内</w:t>
      </w:r>
      <w:r>
        <w:rPr>
          <w:rFonts w:hint="eastAsia"/>
        </w:rPr>
        <w:t>支付1,631,200元；</w:t>
      </w:r>
    </w:p>
    <w:p w14:paraId="58985CAB">
      <w:r>
        <w:rPr>
          <w:rFonts w:hint="eastAsia"/>
        </w:rPr>
        <w:t>②本项目通过最终验收且收到约定的项目工作成果</w:t>
      </w:r>
      <w:r>
        <w:rPr>
          <w:rFonts w:hint="eastAsia"/>
          <w:lang w:eastAsia="zh-CN"/>
        </w:rPr>
        <w:t>及有效发票后</w:t>
      </w:r>
      <w:r>
        <w:rPr>
          <w:rFonts w:hint="eastAsia"/>
          <w:lang w:val="en-US" w:eastAsia="zh-CN"/>
        </w:rPr>
        <w:t>10个工作日内</w:t>
      </w:r>
      <w:r>
        <w:rPr>
          <w:rFonts w:hint="eastAsia"/>
        </w:rPr>
        <w:t>，支付合同剩余尾款。</w:t>
      </w:r>
    </w:p>
    <w:p w14:paraId="6827E3B6">
      <w:r>
        <w:rPr>
          <w:rFonts w:hint="eastAsia"/>
        </w:rPr>
        <w:t>B.如果</w:t>
      </w:r>
      <w:r>
        <w:rPr>
          <w:rFonts w:hint="eastAsia"/>
          <w:lang w:eastAsia="zh-CN"/>
        </w:rPr>
        <w:t>成交</w:t>
      </w:r>
      <w:r>
        <w:rPr>
          <w:rFonts w:hint="eastAsia"/>
        </w:rPr>
        <w:t xml:space="preserve">金额小于或者等于1,631,200元 </w:t>
      </w:r>
    </w:p>
    <w:p w14:paraId="5D57A3EB">
      <w:r>
        <w:rPr>
          <w:rFonts w:hint="eastAsia"/>
        </w:rPr>
        <w:t>①按</w:t>
      </w:r>
      <w:r>
        <w:rPr>
          <w:rFonts w:hint="eastAsia"/>
          <w:lang w:eastAsia="zh-CN"/>
        </w:rPr>
        <w:t>成交</w:t>
      </w:r>
      <w:r>
        <w:rPr>
          <w:rFonts w:hint="eastAsia"/>
        </w:rPr>
        <w:t>金额签订合同，合同生效</w:t>
      </w:r>
      <w:r>
        <w:rPr>
          <w:rFonts w:hint="eastAsia"/>
          <w:lang w:eastAsia="zh-CN"/>
        </w:rPr>
        <w:t>且收到有效发票</w:t>
      </w:r>
      <w:r>
        <w:rPr>
          <w:rFonts w:hint="eastAsia"/>
        </w:rPr>
        <w:t>后</w:t>
      </w:r>
      <w:r>
        <w:rPr>
          <w:rFonts w:hint="eastAsia"/>
          <w:lang w:val="en-US" w:eastAsia="zh-CN"/>
        </w:rPr>
        <w:t>10个工作日内</w:t>
      </w:r>
      <w:r>
        <w:rPr>
          <w:rFonts w:hint="eastAsia"/>
        </w:rPr>
        <w:t>支付合同金额的70%；</w:t>
      </w:r>
    </w:p>
    <w:p w14:paraId="0638504E">
      <w:pPr>
        <w:rPr>
          <w:rFonts w:hint="eastAsia" w:eastAsia="宋体"/>
          <w:lang w:eastAsia="zh-CN"/>
        </w:rPr>
      </w:pPr>
      <w:r>
        <w:rPr>
          <w:rFonts w:hint="eastAsia"/>
        </w:rPr>
        <w:t>②本项目通过最终验收后且收到约定的项目工作成果</w:t>
      </w:r>
      <w:r>
        <w:rPr>
          <w:rFonts w:hint="eastAsia"/>
          <w:lang w:eastAsia="zh-CN"/>
        </w:rPr>
        <w:t>及有效发票后</w:t>
      </w:r>
      <w:r>
        <w:rPr>
          <w:rFonts w:hint="eastAsia"/>
          <w:lang w:val="en-US" w:eastAsia="zh-CN"/>
        </w:rPr>
        <w:t>10个工作日内</w:t>
      </w:r>
      <w:r>
        <w:rPr>
          <w:rFonts w:hint="eastAsia"/>
        </w:rPr>
        <w:t>，支付合同剩余尾款</w:t>
      </w:r>
      <w:r>
        <w:rPr>
          <w:rFonts w:hint="eastAsia"/>
          <w:lang w:eastAsia="zh-CN"/>
        </w:rPr>
        <w:t>。</w:t>
      </w:r>
    </w:p>
    <w:p w14:paraId="4C3C04A3"/>
    <w:bookmarkEnd w:id="43"/>
    <w:p w14:paraId="60C13A2E">
      <w:pPr>
        <w:pStyle w:val="2"/>
      </w:pPr>
      <w:bookmarkStart w:id="44" w:name="_Toc68798863"/>
      <w:r>
        <w:rPr>
          <w:rFonts w:hint="eastAsia"/>
        </w:rPr>
        <w:t>附录</w:t>
      </w:r>
      <w:bookmarkEnd w:id="44"/>
    </w:p>
    <w:p w14:paraId="6FE1F137">
      <w:pPr>
        <w:ind w:firstLine="482"/>
        <w:rPr>
          <w:b/>
        </w:rPr>
      </w:pPr>
      <w:r>
        <w:rPr>
          <w:rFonts w:hint="eastAsia"/>
          <w:b/>
        </w:rPr>
        <w:t>若项目建设过程中需符合相关技术标准或规范文件的要求，请将相关文件作为附件列出。</w:t>
      </w:r>
    </w:p>
    <w:p w14:paraId="49EFCA82">
      <w:pPr>
        <w:ind w:firstLine="482"/>
      </w:pPr>
      <w:r>
        <w:rPr>
          <w:rFonts w:hint="eastAsia"/>
          <w:b/>
        </w:rPr>
        <w:t>参考如下：</w:t>
      </w:r>
    </w:p>
    <w:p w14:paraId="0F38BD10">
      <w:pPr>
        <w:ind w:firstLine="0" w:firstLineChars="0"/>
      </w:pPr>
      <w:r>
        <w:rPr>
          <w:rFonts w:hint="eastAsia"/>
        </w:rPr>
        <w:t>1、</w:t>
      </w:r>
      <w:r>
        <w:t>《政务网络安全监测平台总体技术要求》</w:t>
      </w:r>
    </w:p>
    <w:p w14:paraId="0EB9CE81">
      <w:pPr>
        <w:ind w:firstLine="0" w:firstLineChars="0"/>
      </w:pPr>
      <w:r>
        <w:object>
          <v:shape id="_x0000_i1025" o:spt="75" type="#_x0000_t75" style="height:55pt;width:77.45pt;" o:ole="t" filled="f" o:preferrelative="t" stroked="f" coordsize="21600,21600">
            <v:path/>
            <v:fill on="f" focussize="0,0"/>
            <v:stroke on="f" joinstyle="miter"/>
            <v:imagedata r:id="rId18" o:title=""/>
            <o:lock v:ext="edit" aspectratio="t"/>
            <w10:wrap type="none"/>
            <w10:anchorlock/>
          </v:shape>
          <o:OLEObject Type="Embed" ProgID="Package" ShapeID="_x0000_i1025" DrawAspect="Icon" ObjectID="_1468075725" r:id="rId17">
            <o:LockedField>false</o:LockedField>
          </o:OLEObject>
        </w:object>
      </w:r>
    </w:p>
    <w:p w14:paraId="0933ED7A">
      <w:pPr>
        <w:ind w:firstLine="0" w:firstLineChars="0"/>
      </w:pPr>
    </w:p>
    <w:p w14:paraId="282A2728">
      <w:pPr>
        <w:ind w:firstLine="0" w:firstLineChars="0"/>
        <w:jc w:val="left"/>
      </w:pPr>
      <w:r>
        <w:rPr>
          <w:rFonts w:hint="eastAsia"/>
        </w:rPr>
        <w:t>2、《上海市电子政务外网建设和运行管理指南（试行）》</w:t>
      </w:r>
    </w:p>
    <w:p w14:paraId="50813A77">
      <w:pPr>
        <w:ind w:firstLine="0" w:firstLineChars="0"/>
        <w:jc w:val="left"/>
      </w:pPr>
      <w:r>
        <w:object>
          <v:shape id="_x0000_i1026" o:spt="75" type="#_x0000_t75" style="height:55pt;width:77.45pt;" o:ole="t" filled="f" o:preferrelative="t" stroked="f" coordsize="21600,21600">
            <v:path/>
            <v:fill on="f" focussize="0,0"/>
            <v:stroke on="f" joinstyle="miter"/>
            <v:imagedata r:id="rId20" o:title=""/>
            <o:lock v:ext="edit" aspectratio="t"/>
            <w10:wrap type="none"/>
            <w10:anchorlock/>
          </v:shape>
          <o:OLEObject Type="Embed" ProgID="Package" ShapeID="_x0000_i1026" DrawAspect="Icon" ObjectID="_1468075726" r:id="rId19">
            <o:LockedField>false</o:LockedField>
          </o:OLEObject>
        </w:objec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国标宋体"/>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国标宋体">
    <w:panose1 w:val="02000500000000000000"/>
    <w:charset w:val="86"/>
    <w:family w:val="auto"/>
    <w:pitch w:val="default"/>
    <w:sig w:usb0="00000001" w:usb1="28000000" w:usb2="00000000" w:usb3="00000000" w:csb0="00060007"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Arial Unicode MS">
    <w:altName w:val="Times New Roman"/>
    <w:panose1 w:val="020B0604020202020204"/>
    <w:charset w:val="86"/>
    <w:family w:val="swiss"/>
    <w:pitch w:val="default"/>
    <w:sig w:usb0="00000000" w:usb1="00000000" w:usb2="0000003F" w:usb3="00000000" w:csb0="003F01FF" w:csb1="0000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Droid Sans Fallback"/>
    <w:panose1 w:val="020B0503020204020204"/>
    <w:charset w:val="86"/>
    <w:family w:val="swiss"/>
    <w:pitch w:val="default"/>
    <w:sig w:usb0="00000000" w:usb1="00000000" w:usb2="00000016" w:usb3="00000000" w:csb0="0004001F" w:csb1="00000000"/>
  </w:font>
  <w:font w:name="Droid Sans Fallback">
    <w:panose1 w:val="020B0502000000000001"/>
    <w:charset w:val="86"/>
    <w:family w:val="auto"/>
    <w:pitch w:val="default"/>
    <w:sig w:usb0="910002FF" w:usb1="2BDFFCFB" w:usb2="00000036" w:usb3="00000000" w:csb0="203F01FF" w:csb1="D7FF0000"/>
  </w:font>
  <w:font w:name="Microsoft Sans Serif">
    <w:altName w:val="Liberation Sans"/>
    <w:panose1 w:val="020B0604020202020204"/>
    <w:charset w:val="00"/>
    <w:family w:val="swiss"/>
    <w:pitch w:val="default"/>
    <w:sig w:usb0="00000000" w:usb1="00000000" w:usb2="00000029" w:usb3="00000000" w:csb0="000101FF" w:csb1="0000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Tahoma">
    <w:altName w:val="DejaVu Sans"/>
    <w:panose1 w:val="020B0604030504040204"/>
    <w:charset w:val="00"/>
    <w:family w:val="swiss"/>
    <w:pitch w:val="default"/>
    <w:sig w:usb0="00000000" w:usb1="00000000"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15B46">
    <w:pPr>
      <w:ind w:firstLine="0" w:firstLineChars="0"/>
      <w:jc w:val="center"/>
    </w:pPr>
    <w:r>
      <w:fldChar w:fldCharType="begin"/>
    </w:r>
    <w:r>
      <w:instrText xml:space="preserve">PAGE   \* MERGEFORMAT</w:instrText>
    </w:r>
    <w:r>
      <w:fldChar w:fldCharType="separate"/>
    </w:r>
    <w:r>
      <w:rPr>
        <w:lang w:val="zh-CN"/>
      </w:rPr>
      <w:t>18</w:t>
    </w:r>
    <w:r>
      <w:rPr>
        <w:lang w:val="zh-CN"/>
      </w:rPr>
      <w:fldChar w:fldCharType="end"/>
    </w:r>
  </w:p>
  <w:p w14:paraId="357782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7A068"/>
  <w:p w14:paraId="27918FE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1BA24">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E2BA6">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7F8D5F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A77B7">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C801C"/>
  <w:p w14:paraId="4CDBA21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1BAD5">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9D083D99"/>
    <w:multiLevelType w:val="singleLevel"/>
    <w:tmpl w:val="9D083D99"/>
    <w:lvl w:ilvl="0" w:tentative="0">
      <w:start w:val="1"/>
      <w:numFmt w:val="bullet"/>
      <w:lvlText w:val=""/>
      <w:lvlJc w:val="left"/>
      <w:pPr>
        <w:tabs>
          <w:tab w:val="left" w:pos="420"/>
        </w:tabs>
        <w:ind w:left="840" w:hanging="420"/>
      </w:pPr>
      <w:rPr>
        <w:rFonts w:hint="default" w:ascii="Wingdings" w:hAnsi="Wingdings"/>
      </w:rPr>
    </w:lvl>
  </w:abstractNum>
  <w:abstractNum w:abstractNumId="2">
    <w:nsid w:val="121C6B76"/>
    <w:multiLevelType w:val="multilevel"/>
    <w:tmpl w:val="121C6B76"/>
    <w:lvl w:ilvl="0" w:tentative="0">
      <w:start w:val="3"/>
      <w:numFmt w:val="decimal"/>
      <w:lvlText w:val="%1"/>
      <w:lvlJc w:val="left"/>
      <w:pPr>
        <w:ind w:left="728" w:hanging="728"/>
      </w:pPr>
      <w:rPr>
        <w:rFonts w:hint="default"/>
      </w:rPr>
    </w:lvl>
    <w:lvl w:ilvl="1" w:tentative="0">
      <w:start w:val="2"/>
      <w:numFmt w:val="decimal"/>
      <w:lvlText w:val="%1.%2"/>
      <w:lvlJc w:val="left"/>
      <w:pPr>
        <w:ind w:left="968" w:hanging="728"/>
      </w:pPr>
      <w:rPr>
        <w:rFonts w:hint="default"/>
      </w:rPr>
    </w:lvl>
    <w:lvl w:ilvl="2" w:tentative="0">
      <w:start w:val="1"/>
      <w:numFmt w:val="decimal"/>
      <w:lvlText w:val="%1.%2.%3"/>
      <w:lvlJc w:val="left"/>
      <w:pPr>
        <w:ind w:left="1208" w:hanging="728"/>
      </w:pPr>
      <w:rPr>
        <w:rFonts w:hint="default" w:asciiTheme="minorEastAsia" w:hAnsiTheme="minorEastAsia" w:eastAsiaTheme="minorEastAsia"/>
      </w:rPr>
    </w:lvl>
    <w:lvl w:ilvl="3" w:tentative="0">
      <w:start w:val="1"/>
      <w:numFmt w:val="decimal"/>
      <w:lvlText w:val="%1.%2.%3.%4"/>
      <w:lvlJc w:val="left"/>
      <w:pPr>
        <w:ind w:left="1800" w:hanging="1080"/>
      </w:pPr>
      <w:rPr>
        <w:rFonts w:hint="default"/>
      </w:rPr>
    </w:lvl>
    <w:lvl w:ilvl="4" w:tentative="0">
      <w:start w:val="1"/>
      <w:numFmt w:val="decimal"/>
      <w:lvlText w:val="%1.%2.%3.%4.%5"/>
      <w:lvlJc w:val="left"/>
      <w:pPr>
        <w:ind w:left="2400" w:hanging="1440"/>
      </w:pPr>
      <w:rPr>
        <w:rFonts w:hint="default"/>
      </w:rPr>
    </w:lvl>
    <w:lvl w:ilvl="5" w:tentative="0">
      <w:start w:val="1"/>
      <w:numFmt w:val="decimal"/>
      <w:lvlText w:val="%1.%2.%3.%4.%5.%6"/>
      <w:lvlJc w:val="left"/>
      <w:pPr>
        <w:ind w:left="3000" w:hanging="1800"/>
      </w:pPr>
      <w:rPr>
        <w:rFonts w:hint="default"/>
      </w:rPr>
    </w:lvl>
    <w:lvl w:ilvl="6" w:tentative="0">
      <w:start w:val="1"/>
      <w:numFmt w:val="decimal"/>
      <w:lvlText w:val="%1.%2.%3.%4.%5.%6.%7"/>
      <w:lvlJc w:val="left"/>
      <w:pPr>
        <w:ind w:left="3600" w:hanging="2160"/>
      </w:pPr>
      <w:rPr>
        <w:rFonts w:hint="default"/>
      </w:rPr>
    </w:lvl>
    <w:lvl w:ilvl="7" w:tentative="0">
      <w:start w:val="1"/>
      <w:numFmt w:val="decimal"/>
      <w:lvlText w:val="%1.%2.%3.%4.%5.%6.%7.%8"/>
      <w:lvlJc w:val="left"/>
      <w:pPr>
        <w:ind w:left="3840" w:hanging="2160"/>
      </w:pPr>
      <w:rPr>
        <w:rFonts w:hint="default"/>
      </w:rPr>
    </w:lvl>
    <w:lvl w:ilvl="8" w:tentative="0">
      <w:start w:val="1"/>
      <w:numFmt w:val="decimal"/>
      <w:lvlText w:val="%1.%2.%3.%4.%5.%6.%7.%8.%9"/>
      <w:lvlJc w:val="left"/>
      <w:pPr>
        <w:ind w:left="4440" w:hanging="2520"/>
      </w:pPr>
      <w:rPr>
        <w:rFonts w:hint="default"/>
      </w:rPr>
    </w:lvl>
  </w:abstractNum>
  <w:abstractNum w:abstractNumId="3">
    <w:nsid w:val="16027AC1"/>
    <w:multiLevelType w:val="multilevel"/>
    <w:tmpl w:val="16027AC1"/>
    <w:lvl w:ilvl="0" w:tentative="0">
      <w:start w:val="1"/>
      <w:numFmt w:val="decimal"/>
      <w:lvlText w:val="%1"/>
      <w:lvlJc w:val="center"/>
      <w:pPr>
        <w:ind w:left="440" w:hanging="152"/>
      </w:pPr>
      <w:rPr>
        <w:rFonts w:hint="default" w:ascii="Times New Roman" w:hAnsi="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190C1213"/>
    <w:multiLevelType w:val="multilevel"/>
    <w:tmpl w:val="190C1213"/>
    <w:lvl w:ilvl="0" w:tentative="0">
      <w:start w:val="3"/>
      <w:numFmt w:val="decimal"/>
      <w:lvlText w:val="%1"/>
      <w:lvlJc w:val="left"/>
      <w:pPr>
        <w:ind w:left="728" w:hanging="728"/>
      </w:pPr>
      <w:rPr>
        <w:rFonts w:hint="default"/>
      </w:rPr>
    </w:lvl>
    <w:lvl w:ilvl="1" w:tentative="0">
      <w:start w:val="5"/>
      <w:numFmt w:val="decimal"/>
      <w:lvlText w:val="%1.%2"/>
      <w:lvlJc w:val="left"/>
      <w:pPr>
        <w:ind w:left="968" w:hanging="728"/>
      </w:pPr>
      <w:rPr>
        <w:rFonts w:hint="default"/>
      </w:rPr>
    </w:lvl>
    <w:lvl w:ilvl="2" w:tentative="0">
      <w:start w:val="1"/>
      <w:numFmt w:val="decimal"/>
      <w:lvlText w:val="%1.%2.%3"/>
      <w:lvlJc w:val="left"/>
      <w:pPr>
        <w:ind w:left="1208" w:hanging="728"/>
      </w:pPr>
      <w:rPr>
        <w:rFonts w:hint="default" w:asciiTheme="minorEastAsia" w:hAnsiTheme="minorEastAsia" w:eastAsiaTheme="minorEastAsia"/>
      </w:rPr>
    </w:lvl>
    <w:lvl w:ilvl="3" w:tentative="0">
      <w:start w:val="1"/>
      <w:numFmt w:val="decimal"/>
      <w:lvlText w:val="%1.%2.%3.%4"/>
      <w:lvlJc w:val="left"/>
      <w:pPr>
        <w:ind w:left="1800" w:hanging="1080"/>
      </w:pPr>
      <w:rPr>
        <w:rFonts w:hint="default" w:asciiTheme="minorEastAsia" w:hAnsiTheme="minorEastAsia" w:eastAsiaTheme="minorEastAsia"/>
      </w:rPr>
    </w:lvl>
    <w:lvl w:ilvl="4" w:tentative="0">
      <w:start w:val="1"/>
      <w:numFmt w:val="decimal"/>
      <w:lvlText w:val="%1.%2.%3.%4.%5"/>
      <w:lvlJc w:val="left"/>
      <w:pPr>
        <w:ind w:left="2400" w:hanging="1440"/>
      </w:pPr>
      <w:rPr>
        <w:rFonts w:hint="default" w:asciiTheme="minorEastAsia" w:hAnsiTheme="minorEastAsia" w:eastAsiaTheme="minorEastAsia"/>
      </w:rPr>
    </w:lvl>
    <w:lvl w:ilvl="5" w:tentative="0">
      <w:start w:val="1"/>
      <w:numFmt w:val="decimal"/>
      <w:lvlText w:val="%1.%2.%3.%4.%5.%6"/>
      <w:lvlJc w:val="left"/>
      <w:pPr>
        <w:ind w:left="3000" w:hanging="1800"/>
      </w:pPr>
      <w:rPr>
        <w:rFonts w:hint="default"/>
      </w:rPr>
    </w:lvl>
    <w:lvl w:ilvl="6" w:tentative="0">
      <w:start w:val="1"/>
      <w:numFmt w:val="decimal"/>
      <w:lvlText w:val="%1.%2.%3.%4.%5.%6.%7"/>
      <w:lvlJc w:val="left"/>
      <w:pPr>
        <w:ind w:left="3600" w:hanging="2160"/>
      </w:pPr>
      <w:rPr>
        <w:rFonts w:hint="default"/>
      </w:rPr>
    </w:lvl>
    <w:lvl w:ilvl="7" w:tentative="0">
      <w:start w:val="1"/>
      <w:numFmt w:val="decimal"/>
      <w:lvlText w:val="%1.%2.%3.%4.%5.%6.%7.%8"/>
      <w:lvlJc w:val="left"/>
      <w:pPr>
        <w:ind w:left="3840" w:hanging="2160"/>
      </w:pPr>
      <w:rPr>
        <w:rFonts w:hint="default"/>
      </w:rPr>
    </w:lvl>
    <w:lvl w:ilvl="8" w:tentative="0">
      <w:start w:val="1"/>
      <w:numFmt w:val="decimal"/>
      <w:lvlText w:val="%1.%2.%3.%4.%5.%6.%7.%8.%9"/>
      <w:lvlJc w:val="left"/>
      <w:pPr>
        <w:ind w:left="4440" w:hanging="2520"/>
      </w:pPr>
      <w:rPr>
        <w:rFonts w:hint="default"/>
      </w:rPr>
    </w:lvl>
  </w:abstractNum>
  <w:abstractNum w:abstractNumId="5">
    <w:nsid w:val="26EE2AA9"/>
    <w:multiLevelType w:val="multilevel"/>
    <w:tmpl w:val="26EE2AA9"/>
    <w:lvl w:ilvl="0" w:tentative="0">
      <w:start w:val="1"/>
      <w:numFmt w:val="decimal"/>
      <w:lvlText w:val="%1"/>
      <w:lvlJc w:val="left"/>
      <w:pPr>
        <w:ind w:left="600" w:hanging="600"/>
      </w:pPr>
      <w:rPr>
        <w:rFonts w:hint="default"/>
      </w:rPr>
    </w:lvl>
    <w:lvl w:ilvl="1" w:tentative="0">
      <w:start w:val="1"/>
      <w:numFmt w:val="decimal"/>
      <w:lvlText w:val="%1.%2"/>
      <w:lvlJc w:val="left"/>
      <w:pPr>
        <w:ind w:left="840" w:hanging="600"/>
      </w:pPr>
      <w:rPr>
        <w:rFonts w:hint="default"/>
      </w:rPr>
    </w:lvl>
    <w:lvl w:ilvl="2" w:tentative="0">
      <w:start w:val="1"/>
      <w:numFmt w:val="decimal"/>
      <w:lvlText w:val="%1.%2.%3"/>
      <w:lvlJc w:val="left"/>
      <w:pPr>
        <w:ind w:left="1200" w:hanging="720"/>
      </w:pPr>
      <w:rPr>
        <w:rFonts w:hint="default"/>
      </w:rPr>
    </w:lvl>
    <w:lvl w:ilvl="3" w:tentative="0">
      <w:start w:val="1"/>
      <w:numFmt w:val="decimal"/>
      <w:lvlText w:val="%1.%2.%3.%4"/>
      <w:lvlJc w:val="left"/>
      <w:pPr>
        <w:ind w:left="1800" w:hanging="1080"/>
      </w:pPr>
      <w:rPr>
        <w:rFonts w:hint="default"/>
      </w:rPr>
    </w:lvl>
    <w:lvl w:ilvl="4" w:tentative="0">
      <w:start w:val="1"/>
      <w:numFmt w:val="decimal"/>
      <w:lvlText w:val="%1.%2.%3.%4.%5"/>
      <w:lvlJc w:val="left"/>
      <w:pPr>
        <w:ind w:left="2040" w:hanging="1080"/>
      </w:pPr>
      <w:rPr>
        <w:rFonts w:hint="default" w:asciiTheme="minorEastAsia" w:hAnsiTheme="minorEastAsia" w:eastAsiaTheme="minorEastAsia"/>
      </w:rPr>
    </w:lvl>
    <w:lvl w:ilvl="5" w:tentative="0">
      <w:start w:val="1"/>
      <w:numFmt w:val="decimal"/>
      <w:lvlText w:val="%1.%2.%3.%4.%5.%6"/>
      <w:lvlJc w:val="left"/>
      <w:pPr>
        <w:ind w:left="2640" w:hanging="1440"/>
      </w:pPr>
      <w:rPr>
        <w:rFonts w:hint="default"/>
      </w:rPr>
    </w:lvl>
    <w:lvl w:ilvl="6" w:tentative="0">
      <w:start w:val="1"/>
      <w:numFmt w:val="decimal"/>
      <w:lvlText w:val="%1.%2.%3.%4.%5.%6.%7"/>
      <w:lvlJc w:val="left"/>
      <w:pPr>
        <w:ind w:left="3240" w:hanging="1800"/>
      </w:pPr>
      <w:rPr>
        <w:rFonts w:hint="default"/>
      </w:rPr>
    </w:lvl>
    <w:lvl w:ilvl="7" w:tentative="0">
      <w:start w:val="1"/>
      <w:numFmt w:val="decimal"/>
      <w:lvlText w:val="%1.%2.%3.%4.%5.%6.%7.%8"/>
      <w:lvlJc w:val="left"/>
      <w:pPr>
        <w:ind w:left="3480" w:hanging="1800"/>
      </w:pPr>
      <w:rPr>
        <w:rFonts w:hint="default"/>
      </w:rPr>
    </w:lvl>
    <w:lvl w:ilvl="8" w:tentative="0">
      <w:start w:val="1"/>
      <w:numFmt w:val="decimal"/>
      <w:lvlText w:val="%1.%2.%3.%4.%5.%6.%7.%8.%9"/>
      <w:lvlJc w:val="left"/>
      <w:pPr>
        <w:ind w:left="4080" w:hanging="2160"/>
      </w:pPr>
      <w:rPr>
        <w:rFonts w:hint="default"/>
      </w:rPr>
    </w:lvl>
  </w:abstractNum>
  <w:abstractNum w:abstractNumId="6">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8">
    <w:nsid w:val="7362383D"/>
    <w:multiLevelType w:val="multilevel"/>
    <w:tmpl w:val="7362383D"/>
    <w:lvl w:ilvl="0" w:tentative="0">
      <w:start w:val="3"/>
      <w:numFmt w:val="decimal"/>
      <w:lvlText w:val="%1"/>
      <w:lvlJc w:val="left"/>
      <w:pPr>
        <w:ind w:left="728" w:hanging="728"/>
      </w:pPr>
      <w:rPr>
        <w:rFonts w:hint="default"/>
      </w:rPr>
    </w:lvl>
    <w:lvl w:ilvl="1" w:tentative="0">
      <w:start w:val="6"/>
      <w:numFmt w:val="decimal"/>
      <w:lvlText w:val="%1.%2"/>
      <w:lvlJc w:val="left"/>
      <w:pPr>
        <w:ind w:left="968" w:hanging="728"/>
      </w:pPr>
      <w:rPr>
        <w:rFonts w:hint="default"/>
      </w:rPr>
    </w:lvl>
    <w:lvl w:ilvl="2" w:tentative="0">
      <w:start w:val="1"/>
      <w:numFmt w:val="decimal"/>
      <w:lvlText w:val="%1.%2.%3"/>
      <w:lvlJc w:val="left"/>
      <w:pPr>
        <w:ind w:left="1208" w:hanging="728"/>
      </w:pPr>
      <w:rPr>
        <w:rFonts w:hint="default" w:asciiTheme="minorEastAsia" w:hAnsiTheme="minorEastAsia" w:eastAsiaTheme="minorEastAsia"/>
      </w:rPr>
    </w:lvl>
    <w:lvl w:ilvl="3" w:tentative="0">
      <w:start w:val="1"/>
      <w:numFmt w:val="decimal"/>
      <w:lvlText w:val="%1.%2.%3.%4"/>
      <w:lvlJc w:val="left"/>
      <w:pPr>
        <w:ind w:left="1800" w:hanging="1080"/>
      </w:pPr>
      <w:rPr>
        <w:rFonts w:hint="default"/>
      </w:rPr>
    </w:lvl>
    <w:lvl w:ilvl="4" w:tentative="0">
      <w:start w:val="1"/>
      <w:numFmt w:val="decimal"/>
      <w:lvlText w:val="%1.%2.%3.%4.%5"/>
      <w:lvlJc w:val="left"/>
      <w:pPr>
        <w:ind w:left="2400" w:hanging="1440"/>
      </w:pPr>
      <w:rPr>
        <w:rFonts w:hint="default" w:asciiTheme="minorEastAsia" w:hAnsiTheme="minorEastAsia" w:eastAsiaTheme="minorEastAsia"/>
      </w:rPr>
    </w:lvl>
    <w:lvl w:ilvl="5" w:tentative="0">
      <w:start w:val="1"/>
      <w:numFmt w:val="decimal"/>
      <w:lvlText w:val="%1.%2.%3.%4.%5.%6"/>
      <w:lvlJc w:val="left"/>
      <w:pPr>
        <w:ind w:left="3000" w:hanging="1800"/>
      </w:pPr>
      <w:rPr>
        <w:rFonts w:hint="default"/>
      </w:rPr>
    </w:lvl>
    <w:lvl w:ilvl="6" w:tentative="0">
      <w:start w:val="1"/>
      <w:numFmt w:val="decimal"/>
      <w:lvlText w:val="%1.%2.%3.%4.%5.%6.%7"/>
      <w:lvlJc w:val="left"/>
      <w:pPr>
        <w:ind w:left="3600" w:hanging="2160"/>
      </w:pPr>
      <w:rPr>
        <w:rFonts w:hint="default"/>
      </w:rPr>
    </w:lvl>
    <w:lvl w:ilvl="7" w:tentative="0">
      <w:start w:val="1"/>
      <w:numFmt w:val="decimal"/>
      <w:lvlText w:val="%1.%2.%3.%4.%5.%6.%7.%8"/>
      <w:lvlJc w:val="left"/>
      <w:pPr>
        <w:ind w:left="3840" w:hanging="2160"/>
      </w:pPr>
      <w:rPr>
        <w:rFonts w:hint="default"/>
      </w:rPr>
    </w:lvl>
    <w:lvl w:ilvl="8" w:tentative="0">
      <w:start w:val="1"/>
      <w:numFmt w:val="decimal"/>
      <w:lvlText w:val="%1.%2.%3.%4.%5.%6.%7.%8.%9"/>
      <w:lvlJc w:val="left"/>
      <w:pPr>
        <w:ind w:left="4440" w:hanging="2520"/>
      </w:pPr>
      <w:rPr>
        <w:rFonts w:hint="default"/>
      </w:rPr>
    </w:lvl>
  </w:abstractNum>
  <w:abstractNum w:abstractNumId="9">
    <w:nsid w:val="760744DF"/>
    <w:multiLevelType w:val="multilevel"/>
    <w:tmpl w:val="760744DF"/>
    <w:lvl w:ilvl="0" w:tentative="0">
      <w:start w:val="2"/>
      <w:numFmt w:val="decimal"/>
      <w:lvlText w:val="%1"/>
      <w:lvlJc w:val="left"/>
      <w:pPr>
        <w:ind w:left="600" w:hanging="600"/>
      </w:pPr>
      <w:rPr>
        <w:rFonts w:hint="default"/>
      </w:rPr>
    </w:lvl>
    <w:lvl w:ilvl="1" w:tentative="0">
      <w:start w:val="2"/>
      <w:numFmt w:val="decimal"/>
      <w:lvlText w:val="%1.%2"/>
      <w:lvlJc w:val="left"/>
      <w:pPr>
        <w:ind w:left="840" w:hanging="600"/>
      </w:pPr>
      <w:rPr>
        <w:rFonts w:hint="default"/>
      </w:rPr>
    </w:lvl>
    <w:lvl w:ilvl="2" w:tentative="0">
      <w:start w:val="1"/>
      <w:numFmt w:val="decimal"/>
      <w:pStyle w:val="135"/>
      <w:lvlText w:val="%1.%2.%3"/>
      <w:lvlJc w:val="left"/>
      <w:pPr>
        <w:ind w:left="1200" w:hanging="72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lvlText w:val="%1.%2.%3.%4"/>
      <w:lvlJc w:val="left"/>
      <w:pPr>
        <w:ind w:left="1800" w:hanging="1080"/>
      </w:pPr>
      <w:rPr>
        <w:rFonts w:hint="default" w:ascii="宋体" w:hAnsi="宋体" w:eastAsia="宋体"/>
      </w:rPr>
    </w:lvl>
    <w:lvl w:ilvl="4" w:tentative="0">
      <w:start w:val="1"/>
      <w:numFmt w:val="decimal"/>
      <w:lvlText w:val="%1.%2.%3.%4.%5"/>
      <w:lvlJc w:val="left"/>
      <w:pPr>
        <w:ind w:left="2040" w:hanging="1080"/>
      </w:pPr>
      <w:rPr>
        <w:rFonts w:hint="default"/>
      </w:rPr>
    </w:lvl>
    <w:lvl w:ilvl="5" w:tentative="0">
      <w:start w:val="1"/>
      <w:numFmt w:val="decimal"/>
      <w:lvlText w:val="%1.%2.%3.%4.%5.%6"/>
      <w:lvlJc w:val="left"/>
      <w:pPr>
        <w:ind w:left="2640" w:hanging="1440"/>
      </w:pPr>
      <w:rPr>
        <w:rFonts w:hint="default"/>
      </w:rPr>
    </w:lvl>
    <w:lvl w:ilvl="6" w:tentative="0">
      <w:start w:val="1"/>
      <w:numFmt w:val="decimal"/>
      <w:lvlText w:val="%1.%2.%3.%4.%5.%6.%7"/>
      <w:lvlJc w:val="left"/>
      <w:pPr>
        <w:ind w:left="3240" w:hanging="1800"/>
      </w:pPr>
      <w:rPr>
        <w:rFonts w:hint="default"/>
      </w:rPr>
    </w:lvl>
    <w:lvl w:ilvl="7" w:tentative="0">
      <w:start w:val="1"/>
      <w:numFmt w:val="decimal"/>
      <w:lvlText w:val="%1.%2.%3.%4.%5.%6.%7.%8"/>
      <w:lvlJc w:val="left"/>
      <w:pPr>
        <w:ind w:left="3480" w:hanging="1800"/>
      </w:pPr>
      <w:rPr>
        <w:rFonts w:hint="default"/>
      </w:rPr>
    </w:lvl>
    <w:lvl w:ilvl="8" w:tentative="0">
      <w:start w:val="1"/>
      <w:numFmt w:val="decimal"/>
      <w:lvlText w:val="%1.%2.%3.%4.%5.%6.%7.%8.%9"/>
      <w:lvlJc w:val="left"/>
      <w:pPr>
        <w:ind w:left="4080" w:hanging="2160"/>
      </w:pPr>
      <w:rPr>
        <w:rFonts w:hint="default"/>
      </w:rPr>
    </w:lvl>
  </w:abstractNum>
  <w:num w:numId="1">
    <w:abstractNumId w:val="7"/>
  </w:num>
  <w:num w:numId="2">
    <w:abstractNumId w:val="6"/>
  </w:num>
  <w:num w:numId="3">
    <w:abstractNumId w:val="9"/>
  </w:num>
  <w:num w:numId="4">
    <w:abstractNumId w:val="5"/>
  </w:num>
  <w:num w:numId="5">
    <w:abstractNumId w:val="1"/>
  </w:num>
  <w:num w:numId="6">
    <w:abstractNumId w:val="2"/>
  </w:num>
  <w:num w:numId="7">
    <w:abstractNumId w:val="4"/>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0C0"/>
    <w:rsid w:val="0000005A"/>
    <w:rsid w:val="00000AED"/>
    <w:rsid w:val="00002DBA"/>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0F66"/>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1DB2"/>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21B"/>
    <w:rsid w:val="000842FC"/>
    <w:rsid w:val="0008452F"/>
    <w:rsid w:val="00084E8E"/>
    <w:rsid w:val="00085A68"/>
    <w:rsid w:val="00090625"/>
    <w:rsid w:val="00090948"/>
    <w:rsid w:val="00090CE0"/>
    <w:rsid w:val="00091CD1"/>
    <w:rsid w:val="00094581"/>
    <w:rsid w:val="0009460E"/>
    <w:rsid w:val="000951D4"/>
    <w:rsid w:val="000A1740"/>
    <w:rsid w:val="000A2146"/>
    <w:rsid w:val="000A2930"/>
    <w:rsid w:val="000A3276"/>
    <w:rsid w:val="000A3C35"/>
    <w:rsid w:val="000A3E30"/>
    <w:rsid w:val="000A492D"/>
    <w:rsid w:val="000A5876"/>
    <w:rsid w:val="000A61D0"/>
    <w:rsid w:val="000A6C67"/>
    <w:rsid w:val="000A6DB8"/>
    <w:rsid w:val="000A7596"/>
    <w:rsid w:val="000B11A8"/>
    <w:rsid w:val="000B1959"/>
    <w:rsid w:val="000B1DDA"/>
    <w:rsid w:val="000B2E1C"/>
    <w:rsid w:val="000B3C3C"/>
    <w:rsid w:val="000B4459"/>
    <w:rsid w:val="000B4B46"/>
    <w:rsid w:val="000B5363"/>
    <w:rsid w:val="000B53BA"/>
    <w:rsid w:val="000B642F"/>
    <w:rsid w:val="000B6C99"/>
    <w:rsid w:val="000C3F3C"/>
    <w:rsid w:val="000C5A75"/>
    <w:rsid w:val="000C75E9"/>
    <w:rsid w:val="000C75F7"/>
    <w:rsid w:val="000D0AB2"/>
    <w:rsid w:val="000D225C"/>
    <w:rsid w:val="000D36F2"/>
    <w:rsid w:val="000D4B26"/>
    <w:rsid w:val="000D63D1"/>
    <w:rsid w:val="000D74DB"/>
    <w:rsid w:val="000E16A1"/>
    <w:rsid w:val="000E20D5"/>
    <w:rsid w:val="000E24D6"/>
    <w:rsid w:val="000E6072"/>
    <w:rsid w:val="000E6D61"/>
    <w:rsid w:val="000E7A23"/>
    <w:rsid w:val="000F1C29"/>
    <w:rsid w:val="000F1E9E"/>
    <w:rsid w:val="000F2B10"/>
    <w:rsid w:val="000F3F72"/>
    <w:rsid w:val="0010139A"/>
    <w:rsid w:val="00101F10"/>
    <w:rsid w:val="00104B26"/>
    <w:rsid w:val="001055B2"/>
    <w:rsid w:val="001068F0"/>
    <w:rsid w:val="00106AB8"/>
    <w:rsid w:val="00106C9E"/>
    <w:rsid w:val="00106E16"/>
    <w:rsid w:val="0010768B"/>
    <w:rsid w:val="00111701"/>
    <w:rsid w:val="001118EC"/>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989"/>
    <w:rsid w:val="00137AC6"/>
    <w:rsid w:val="001402D8"/>
    <w:rsid w:val="0014069F"/>
    <w:rsid w:val="00145512"/>
    <w:rsid w:val="001465BD"/>
    <w:rsid w:val="00147B45"/>
    <w:rsid w:val="00150803"/>
    <w:rsid w:val="00151D83"/>
    <w:rsid w:val="001546C9"/>
    <w:rsid w:val="00154FAE"/>
    <w:rsid w:val="00155E77"/>
    <w:rsid w:val="00156A70"/>
    <w:rsid w:val="00160A61"/>
    <w:rsid w:val="00160FC0"/>
    <w:rsid w:val="00162410"/>
    <w:rsid w:val="0016429B"/>
    <w:rsid w:val="00164525"/>
    <w:rsid w:val="00164C50"/>
    <w:rsid w:val="00165CB2"/>
    <w:rsid w:val="00166203"/>
    <w:rsid w:val="00166767"/>
    <w:rsid w:val="001707CB"/>
    <w:rsid w:val="00170C54"/>
    <w:rsid w:val="00171477"/>
    <w:rsid w:val="00172A1A"/>
    <w:rsid w:val="00173251"/>
    <w:rsid w:val="00176BED"/>
    <w:rsid w:val="00176E89"/>
    <w:rsid w:val="0017759D"/>
    <w:rsid w:val="001804A5"/>
    <w:rsid w:val="00181C94"/>
    <w:rsid w:val="00182C84"/>
    <w:rsid w:val="00187031"/>
    <w:rsid w:val="0018750F"/>
    <w:rsid w:val="00187F53"/>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1FA"/>
    <w:rsid w:val="001B4907"/>
    <w:rsid w:val="001B4DC5"/>
    <w:rsid w:val="001B5505"/>
    <w:rsid w:val="001C2180"/>
    <w:rsid w:val="001C29CC"/>
    <w:rsid w:val="001C3217"/>
    <w:rsid w:val="001C3B98"/>
    <w:rsid w:val="001C3F6A"/>
    <w:rsid w:val="001C6028"/>
    <w:rsid w:val="001C6365"/>
    <w:rsid w:val="001C7F57"/>
    <w:rsid w:val="001D0E79"/>
    <w:rsid w:val="001D52A3"/>
    <w:rsid w:val="001D6049"/>
    <w:rsid w:val="001D7339"/>
    <w:rsid w:val="001E0F9E"/>
    <w:rsid w:val="001E1BE1"/>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33A5"/>
    <w:rsid w:val="002163C8"/>
    <w:rsid w:val="002179FE"/>
    <w:rsid w:val="00220CC0"/>
    <w:rsid w:val="00220F23"/>
    <w:rsid w:val="00221A36"/>
    <w:rsid w:val="00223296"/>
    <w:rsid w:val="0022329B"/>
    <w:rsid w:val="002240F7"/>
    <w:rsid w:val="0022486F"/>
    <w:rsid w:val="00225314"/>
    <w:rsid w:val="00225DF4"/>
    <w:rsid w:val="00226C70"/>
    <w:rsid w:val="00227BFC"/>
    <w:rsid w:val="00230C8A"/>
    <w:rsid w:val="00231F98"/>
    <w:rsid w:val="002324F8"/>
    <w:rsid w:val="00232E68"/>
    <w:rsid w:val="0023364E"/>
    <w:rsid w:val="002348B0"/>
    <w:rsid w:val="00235CDC"/>
    <w:rsid w:val="00237E76"/>
    <w:rsid w:val="00240BBE"/>
    <w:rsid w:val="00241525"/>
    <w:rsid w:val="00241D87"/>
    <w:rsid w:val="00243058"/>
    <w:rsid w:val="00243C55"/>
    <w:rsid w:val="00243D5E"/>
    <w:rsid w:val="002451EC"/>
    <w:rsid w:val="00245ED4"/>
    <w:rsid w:val="00246B41"/>
    <w:rsid w:val="0025002B"/>
    <w:rsid w:val="002500DE"/>
    <w:rsid w:val="00252457"/>
    <w:rsid w:val="00252581"/>
    <w:rsid w:val="002535B5"/>
    <w:rsid w:val="002538CB"/>
    <w:rsid w:val="002542BD"/>
    <w:rsid w:val="00256349"/>
    <w:rsid w:val="002571D4"/>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B6D9E"/>
    <w:rsid w:val="002C1839"/>
    <w:rsid w:val="002C214A"/>
    <w:rsid w:val="002C28E8"/>
    <w:rsid w:val="002C3027"/>
    <w:rsid w:val="002C403E"/>
    <w:rsid w:val="002C674D"/>
    <w:rsid w:val="002C7648"/>
    <w:rsid w:val="002C7DC4"/>
    <w:rsid w:val="002D0821"/>
    <w:rsid w:val="002D1929"/>
    <w:rsid w:val="002D1B73"/>
    <w:rsid w:val="002D3CB0"/>
    <w:rsid w:val="002D4800"/>
    <w:rsid w:val="002D56C4"/>
    <w:rsid w:val="002D5B21"/>
    <w:rsid w:val="002D6F6D"/>
    <w:rsid w:val="002E1FE6"/>
    <w:rsid w:val="002E2EA7"/>
    <w:rsid w:val="002E36D2"/>
    <w:rsid w:val="002E748B"/>
    <w:rsid w:val="002F2002"/>
    <w:rsid w:val="002F335D"/>
    <w:rsid w:val="002F4E32"/>
    <w:rsid w:val="002F503F"/>
    <w:rsid w:val="002F51DD"/>
    <w:rsid w:val="002F5ABA"/>
    <w:rsid w:val="002F5D08"/>
    <w:rsid w:val="002F6895"/>
    <w:rsid w:val="002F6D13"/>
    <w:rsid w:val="002F7221"/>
    <w:rsid w:val="002F7450"/>
    <w:rsid w:val="003038D3"/>
    <w:rsid w:val="003043C8"/>
    <w:rsid w:val="003049C7"/>
    <w:rsid w:val="003057E4"/>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6C69"/>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BC0"/>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1FF0"/>
    <w:rsid w:val="0038223E"/>
    <w:rsid w:val="00382D92"/>
    <w:rsid w:val="00383DD6"/>
    <w:rsid w:val="00385AEF"/>
    <w:rsid w:val="003860EA"/>
    <w:rsid w:val="0038781A"/>
    <w:rsid w:val="0039080B"/>
    <w:rsid w:val="00391F4A"/>
    <w:rsid w:val="0039326E"/>
    <w:rsid w:val="00393979"/>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AA2"/>
    <w:rsid w:val="00405FAD"/>
    <w:rsid w:val="004117AB"/>
    <w:rsid w:val="00412B2F"/>
    <w:rsid w:val="00415094"/>
    <w:rsid w:val="00415281"/>
    <w:rsid w:val="00415716"/>
    <w:rsid w:val="0041604D"/>
    <w:rsid w:val="00417842"/>
    <w:rsid w:val="00417A6E"/>
    <w:rsid w:val="00420CDF"/>
    <w:rsid w:val="0042285D"/>
    <w:rsid w:val="00427D2B"/>
    <w:rsid w:val="00430B13"/>
    <w:rsid w:val="00430CE5"/>
    <w:rsid w:val="0043153C"/>
    <w:rsid w:val="00431D0F"/>
    <w:rsid w:val="00433151"/>
    <w:rsid w:val="0043481C"/>
    <w:rsid w:val="0043508E"/>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3F3D"/>
    <w:rsid w:val="00474353"/>
    <w:rsid w:val="00474555"/>
    <w:rsid w:val="004750F4"/>
    <w:rsid w:val="00476CB1"/>
    <w:rsid w:val="00480A48"/>
    <w:rsid w:val="00482501"/>
    <w:rsid w:val="00482E7D"/>
    <w:rsid w:val="00484395"/>
    <w:rsid w:val="004865FB"/>
    <w:rsid w:val="00486C03"/>
    <w:rsid w:val="00491AB3"/>
    <w:rsid w:val="0049388B"/>
    <w:rsid w:val="00494EE4"/>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1A8"/>
    <w:rsid w:val="004D29F7"/>
    <w:rsid w:val="004D36D8"/>
    <w:rsid w:val="004D4C5C"/>
    <w:rsid w:val="004D5AB0"/>
    <w:rsid w:val="004D5EAE"/>
    <w:rsid w:val="004D7A0E"/>
    <w:rsid w:val="004E06E7"/>
    <w:rsid w:val="004E0AE3"/>
    <w:rsid w:val="004E1B66"/>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369F"/>
    <w:rsid w:val="005042B3"/>
    <w:rsid w:val="005045AB"/>
    <w:rsid w:val="00507D43"/>
    <w:rsid w:val="005103F2"/>
    <w:rsid w:val="00510E2C"/>
    <w:rsid w:val="00511FDC"/>
    <w:rsid w:val="005124C6"/>
    <w:rsid w:val="00513EBC"/>
    <w:rsid w:val="00514CE1"/>
    <w:rsid w:val="005159DB"/>
    <w:rsid w:val="00517155"/>
    <w:rsid w:val="00517DB3"/>
    <w:rsid w:val="005200DC"/>
    <w:rsid w:val="005200F2"/>
    <w:rsid w:val="0052369D"/>
    <w:rsid w:val="00525706"/>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611"/>
    <w:rsid w:val="00564B9A"/>
    <w:rsid w:val="00565694"/>
    <w:rsid w:val="00566DD6"/>
    <w:rsid w:val="005714EF"/>
    <w:rsid w:val="005717D9"/>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0F3F"/>
    <w:rsid w:val="00592DCF"/>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4307"/>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6C31"/>
    <w:rsid w:val="005E7075"/>
    <w:rsid w:val="005E75A7"/>
    <w:rsid w:val="005F38E2"/>
    <w:rsid w:val="005F3EE6"/>
    <w:rsid w:val="005F6736"/>
    <w:rsid w:val="00602C10"/>
    <w:rsid w:val="00602EBD"/>
    <w:rsid w:val="00604CF2"/>
    <w:rsid w:val="0060659B"/>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0529"/>
    <w:rsid w:val="00622F8E"/>
    <w:rsid w:val="00626AC8"/>
    <w:rsid w:val="00627912"/>
    <w:rsid w:val="006309A7"/>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30B1"/>
    <w:rsid w:val="00664B26"/>
    <w:rsid w:val="0066596B"/>
    <w:rsid w:val="00665A11"/>
    <w:rsid w:val="00670295"/>
    <w:rsid w:val="006704F5"/>
    <w:rsid w:val="00672894"/>
    <w:rsid w:val="00674B47"/>
    <w:rsid w:val="0067609E"/>
    <w:rsid w:val="00676BE1"/>
    <w:rsid w:val="00677749"/>
    <w:rsid w:val="00680E07"/>
    <w:rsid w:val="00682B9D"/>
    <w:rsid w:val="00682FC7"/>
    <w:rsid w:val="00683806"/>
    <w:rsid w:val="00686AF9"/>
    <w:rsid w:val="00690088"/>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3196"/>
    <w:rsid w:val="006C5760"/>
    <w:rsid w:val="006C6D6F"/>
    <w:rsid w:val="006D0D78"/>
    <w:rsid w:val="006D1128"/>
    <w:rsid w:val="006D2848"/>
    <w:rsid w:val="006D30E0"/>
    <w:rsid w:val="006D5521"/>
    <w:rsid w:val="006D5FE9"/>
    <w:rsid w:val="006D6CBB"/>
    <w:rsid w:val="006D76A9"/>
    <w:rsid w:val="006D77F4"/>
    <w:rsid w:val="006E0069"/>
    <w:rsid w:val="006E0898"/>
    <w:rsid w:val="006E2343"/>
    <w:rsid w:val="006E41CD"/>
    <w:rsid w:val="006F16B1"/>
    <w:rsid w:val="006F3BEC"/>
    <w:rsid w:val="006F5D7B"/>
    <w:rsid w:val="007012BD"/>
    <w:rsid w:val="00703C00"/>
    <w:rsid w:val="00704CD2"/>
    <w:rsid w:val="007057CC"/>
    <w:rsid w:val="007066F2"/>
    <w:rsid w:val="00706AE5"/>
    <w:rsid w:val="0070740A"/>
    <w:rsid w:val="007107ED"/>
    <w:rsid w:val="007109A3"/>
    <w:rsid w:val="00711F93"/>
    <w:rsid w:val="00712940"/>
    <w:rsid w:val="0071428C"/>
    <w:rsid w:val="00715719"/>
    <w:rsid w:val="00715A16"/>
    <w:rsid w:val="007164B0"/>
    <w:rsid w:val="007166FF"/>
    <w:rsid w:val="00725B87"/>
    <w:rsid w:val="007260CC"/>
    <w:rsid w:val="00726543"/>
    <w:rsid w:val="007276E5"/>
    <w:rsid w:val="0073353E"/>
    <w:rsid w:val="00736633"/>
    <w:rsid w:val="00741EE7"/>
    <w:rsid w:val="00743A79"/>
    <w:rsid w:val="00743D9D"/>
    <w:rsid w:val="007444D4"/>
    <w:rsid w:val="0074594D"/>
    <w:rsid w:val="007459F3"/>
    <w:rsid w:val="00746E35"/>
    <w:rsid w:val="007470E2"/>
    <w:rsid w:val="0075232F"/>
    <w:rsid w:val="00753132"/>
    <w:rsid w:val="0075421B"/>
    <w:rsid w:val="007550B3"/>
    <w:rsid w:val="00760451"/>
    <w:rsid w:val="0077182A"/>
    <w:rsid w:val="00771913"/>
    <w:rsid w:val="00772718"/>
    <w:rsid w:val="00775486"/>
    <w:rsid w:val="00775BCF"/>
    <w:rsid w:val="007818AA"/>
    <w:rsid w:val="00783140"/>
    <w:rsid w:val="007838B6"/>
    <w:rsid w:val="00783E77"/>
    <w:rsid w:val="007906F1"/>
    <w:rsid w:val="00790BD3"/>
    <w:rsid w:val="00790D68"/>
    <w:rsid w:val="0079243D"/>
    <w:rsid w:val="00792E39"/>
    <w:rsid w:val="00794A9B"/>
    <w:rsid w:val="0079583B"/>
    <w:rsid w:val="00796602"/>
    <w:rsid w:val="00797185"/>
    <w:rsid w:val="007976B7"/>
    <w:rsid w:val="00797A7E"/>
    <w:rsid w:val="00797D6F"/>
    <w:rsid w:val="007A14BD"/>
    <w:rsid w:val="007B014B"/>
    <w:rsid w:val="007B0D88"/>
    <w:rsid w:val="007B306F"/>
    <w:rsid w:val="007B4714"/>
    <w:rsid w:val="007B4E82"/>
    <w:rsid w:val="007C1996"/>
    <w:rsid w:val="007C3773"/>
    <w:rsid w:val="007C3F1F"/>
    <w:rsid w:val="007C533F"/>
    <w:rsid w:val="007D2D0D"/>
    <w:rsid w:val="007D3325"/>
    <w:rsid w:val="007D3818"/>
    <w:rsid w:val="007D581D"/>
    <w:rsid w:val="007D6DC5"/>
    <w:rsid w:val="007D73AD"/>
    <w:rsid w:val="007D7425"/>
    <w:rsid w:val="007E1A34"/>
    <w:rsid w:val="007E320E"/>
    <w:rsid w:val="007E3280"/>
    <w:rsid w:val="007E4A02"/>
    <w:rsid w:val="007E595C"/>
    <w:rsid w:val="007E59A5"/>
    <w:rsid w:val="007F3B8C"/>
    <w:rsid w:val="007F41D0"/>
    <w:rsid w:val="007F4B8B"/>
    <w:rsid w:val="007F5957"/>
    <w:rsid w:val="007F5A6C"/>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6A5"/>
    <w:rsid w:val="00832DD6"/>
    <w:rsid w:val="00832F0C"/>
    <w:rsid w:val="008336F2"/>
    <w:rsid w:val="008345D9"/>
    <w:rsid w:val="008347CB"/>
    <w:rsid w:val="00835647"/>
    <w:rsid w:val="00837A2E"/>
    <w:rsid w:val="00841558"/>
    <w:rsid w:val="0084261C"/>
    <w:rsid w:val="00842A68"/>
    <w:rsid w:val="008435BA"/>
    <w:rsid w:val="0084558B"/>
    <w:rsid w:val="0084654A"/>
    <w:rsid w:val="00847654"/>
    <w:rsid w:val="00850231"/>
    <w:rsid w:val="00851064"/>
    <w:rsid w:val="00855543"/>
    <w:rsid w:val="008566B3"/>
    <w:rsid w:val="008576B7"/>
    <w:rsid w:val="00857F7B"/>
    <w:rsid w:val="00863DA1"/>
    <w:rsid w:val="008654A6"/>
    <w:rsid w:val="00865D86"/>
    <w:rsid w:val="00870495"/>
    <w:rsid w:val="00870EA1"/>
    <w:rsid w:val="008710C5"/>
    <w:rsid w:val="008728D6"/>
    <w:rsid w:val="00872C9C"/>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9607E"/>
    <w:rsid w:val="008A01EE"/>
    <w:rsid w:val="008A0DAC"/>
    <w:rsid w:val="008A3B78"/>
    <w:rsid w:val="008A4166"/>
    <w:rsid w:val="008A7DBF"/>
    <w:rsid w:val="008B136C"/>
    <w:rsid w:val="008B55EF"/>
    <w:rsid w:val="008B6910"/>
    <w:rsid w:val="008C0B5C"/>
    <w:rsid w:val="008C12BC"/>
    <w:rsid w:val="008C1343"/>
    <w:rsid w:val="008C3912"/>
    <w:rsid w:val="008C5598"/>
    <w:rsid w:val="008C69EA"/>
    <w:rsid w:val="008C6F8B"/>
    <w:rsid w:val="008C7AB7"/>
    <w:rsid w:val="008C7FB4"/>
    <w:rsid w:val="008D0197"/>
    <w:rsid w:val="008D2C8C"/>
    <w:rsid w:val="008D3040"/>
    <w:rsid w:val="008D3ECD"/>
    <w:rsid w:val="008D4366"/>
    <w:rsid w:val="008D5C03"/>
    <w:rsid w:val="008D7580"/>
    <w:rsid w:val="008D7C35"/>
    <w:rsid w:val="008E5698"/>
    <w:rsid w:val="008E5733"/>
    <w:rsid w:val="008E6FBA"/>
    <w:rsid w:val="008E77D2"/>
    <w:rsid w:val="008E78FD"/>
    <w:rsid w:val="008F199D"/>
    <w:rsid w:val="008F38A0"/>
    <w:rsid w:val="008F39C9"/>
    <w:rsid w:val="008F5EB5"/>
    <w:rsid w:val="008F678C"/>
    <w:rsid w:val="008F75A7"/>
    <w:rsid w:val="008F7E5A"/>
    <w:rsid w:val="00900A7F"/>
    <w:rsid w:val="00902264"/>
    <w:rsid w:val="009036EE"/>
    <w:rsid w:val="00905815"/>
    <w:rsid w:val="00905D1D"/>
    <w:rsid w:val="0091016D"/>
    <w:rsid w:val="009108A7"/>
    <w:rsid w:val="00910C98"/>
    <w:rsid w:val="00911910"/>
    <w:rsid w:val="00912A58"/>
    <w:rsid w:val="00913908"/>
    <w:rsid w:val="00913D26"/>
    <w:rsid w:val="0091402A"/>
    <w:rsid w:val="0091438B"/>
    <w:rsid w:val="009147E3"/>
    <w:rsid w:val="00920FD2"/>
    <w:rsid w:val="00923A43"/>
    <w:rsid w:val="0092439C"/>
    <w:rsid w:val="0092498E"/>
    <w:rsid w:val="00925B91"/>
    <w:rsid w:val="00934461"/>
    <w:rsid w:val="00934F7E"/>
    <w:rsid w:val="00936A1C"/>
    <w:rsid w:val="0094104F"/>
    <w:rsid w:val="00943E35"/>
    <w:rsid w:val="00945278"/>
    <w:rsid w:val="0094658D"/>
    <w:rsid w:val="00947678"/>
    <w:rsid w:val="00947878"/>
    <w:rsid w:val="009504C2"/>
    <w:rsid w:val="009509A9"/>
    <w:rsid w:val="0095254A"/>
    <w:rsid w:val="0095273B"/>
    <w:rsid w:val="009533A3"/>
    <w:rsid w:val="009559E1"/>
    <w:rsid w:val="009568D5"/>
    <w:rsid w:val="00957CD3"/>
    <w:rsid w:val="0096269B"/>
    <w:rsid w:val="00963FB0"/>
    <w:rsid w:val="00964C86"/>
    <w:rsid w:val="00965E82"/>
    <w:rsid w:val="009664BB"/>
    <w:rsid w:val="009669F8"/>
    <w:rsid w:val="00966F89"/>
    <w:rsid w:val="00973B5D"/>
    <w:rsid w:val="00976EBF"/>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E72B9"/>
    <w:rsid w:val="009F110B"/>
    <w:rsid w:val="009F1498"/>
    <w:rsid w:val="009F1E9F"/>
    <w:rsid w:val="009F3793"/>
    <w:rsid w:val="009F54F2"/>
    <w:rsid w:val="00A0056B"/>
    <w:rsid w:val="00A01657"/>
    <w:rsid w:val="00A01C65"/>
    <w:rsid w:val="00A0213D"/>
    <w:rsid w:val="00A04C73"/>
    <w:rsid w:val="00A0679A"/>
    <w:rsid w:val="00A07A2B"/>
    <w:rsid w:val="00A122F3"/>
    <w:rsid w:val="00A12375"/>
    <w:rsid w:val="00A125B8"/>
    <w:rsid w:val="00A13124"/>
    <w:rsid w:val="00A15370"/>
    <w:rsid w:val="00A156AB"/>
    <w:rsid w:val="00A16B8D"/>
    <w:rsid w:val="00A21293"/>
    <w:rsid w:val="00A2134B"/>
    <w:rsid w:val="00A21623"/>
    <w:rsid w:val="00A220EB"/>
    <w:rsid w:val="00A22302"/>
    <w:rsid w:val="00A24789"/>
    <w:rsid w:val="00A253E4"/>
    <w:rsid w:val="00A25F1B"/>
    <w:rsid w:val="00A325F3"/>
    <w:rsid w:val="00A33103"/>
    <w:rsid w:val="00A33294"/>
    <w:rsid w:val="00A35DCB"/>
    <w:rsid w:val="00A3690E"/>
    <w:rsid w:val="00A37751"/>
    <w:rsid w:val="00A406B1"/>
    <w:rsid w:val="00A4113E"/>
    <w:rsid w:val="00A41268"/>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26DE"/>
    <w:rsid w:val="00A755B6"/>
    <w:rsid w:val="00A75B1A"/>
    <w:rsid w:val="00A80ED4"/>
    <w:rsid w:val="00A816C4"/>
    <w:rsid w:val="00A81756"/>
    <w:rsid w:val="00A82519"/>
    <w:rsid w:val="00A82981"/>
    <w:rsid w:val="00A8385F"/>
    <w:rsid w:val="00A86F10"/>
    <w:rsid w:val="00A87515"/>
    <w:rsid w:val="00A87AF2"/>
    <w:rsid w:val="00A90B23"/>
    <w:rsid w:val="00A93193"/>
    <w:rsid w:val="00A93C2B"/>
    <w:rsid w:val="00A94556"/>
    <w:rsid w:val="00A974CB"/>
    <w:rsid w:val="00AA1EAC"/>
    <w:rsid w:val="00AA352A"/>
    <w:rsid w:val="00AA45E2"/>
    <w:rsid w:val="00AA6E02"/>
    <w:rsid w:val="00AA7AC1"/>
    <w:rsid w:val="00AB6327"/>
    <w:rsid w:val="00AB6B8F"/>
    <w:rsid w:val="00AC0C65"/>
    <w:rsid w:val="00AC0FB2"/>
    <w:rsid w:val="00AC3721"/>
    <w:rsid w:val="00AC41C6"/>
    <w:rsid w:val="00AC70C7"/>
    <w:rsid w:val="00AC76B7"/>
    <w:rsid w:val="00AD0223"/>
    <w:rsid w:val="00AD123A"/>
    <w:rsid w:val="00AD1416"/>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00A"/>
    <w:rsid w:val="00AF1345"/>
    <w:rsid w:val="00AF38A8"/>
    <w:rsid w:val="00AF63EB"/>
    <w:rsid w:val="00AF7BB7"/>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0622"/>
    <w:rsid w:val="00B615F2"/>
    <w:rsid w:val="00B61A28"/>
    <w:rsid w:val="00B64954"/>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81F0C"/>
    <w:rsid w:val="00B900FE"/>
    <w:rsid w:val="00B9064C"/>
    <w:rsid w:val="00BA0A14"/>
    <w:rsid w:val="00BA228D"/>
    <w:rsid w:val="00BA398D"/>
    <w:rsid w:val="00BA39D3"/>
    <w:rsid w:val="00BA5C56"/>
    <w:rsid w:val="00BA71CB"/>
    <w:rsid w:val="00BA776F"/>
    <w:rsid w:val="00BB0C0D"/>
    <w:rsid w:val="00BB0D29"/>
    <w:rsid w:val="00BB0D69"/>
    <w:rsid w:val="00BB1A0B"/>
    <w:rsid w:val="00BB366E"/>
    <w:rsid w:val="00BB3AF0"/>
    <w:rsid w:val="00BB4F70"/>
    <w:rsid w:val="00BB67FF"/>
    <w:rsid w:val="00BC11B9"/>
    <w:rsid w:val="00BC138C"/>
    <w:rsid w:val="00BC14CF"/>
    <w:rsid w:val="00BC1659"/>
    <w:rsid w:val="00BC1F02"/>
    <w:rsid w:val="00BC2C91"/>
    <w:rsid w:val="00BC3A9C"/>
    <w:rsid w:val="00BC5288"/>
    <w:rsid w:val="00BC6A71"/>
    <w:rsid w:val="00BC6B2F"/>
    <w:rsid w:val="00BD0637"/>
    <w:rsid w:val="00BD08A8"/>
    <w:rsid w:val="00BD1BAC"/>
    <w:rsid w:val="00BD1E49"/>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43A"/>
    <w:rsid w:val="00C26A54"/>
    <w:rsid w:val="00C3055F"/>
    <w:rsid w:val="00C3261C"/>
    <w:rsid w:val="00C3318B"/>
    <w:rsid w:val="00C33C20"/>
    <w:rsid w:val="00C35362"/>
    <w:rsid w:val="00C357EA"/>
    <w:rsid w:val="00C379F8"/>
    <w:rsid w:val="00C37A1C"/>
    <w:rsid w:val="00C42323"/>
    <w:rsid w:val="00C4242C"/>
    <w:rsid w:val="00C42B38"/>
    <w:rsid w:val="00C4316E"/>
    <w:rsid w:val="00C43629"/>
    <w:rsid w:val="00C453A9"/>
    <w:rsid w:val="00C465D5"/>
    <w:rsid w:val="00C47433"/>
    <w:rsid w:val="00C4756A"/>
    <w:rsid w:val="00C47C39"/>
    <w:rsid w:val="00C50649"/>
    <w:rsid w:val="00C50E1F"/>
    <w:rsid w:val="00C51C09"/>
    <w:rsid w:val="00C52BB6"/>
    <w:rsid w:val="00C53471"/>
    <w:rsid w:val="00C55143"/>
    <w:rsid w:val="00C5611B"/>
    <w:rsid w:val="00C5695E"/>
    <w:rsid w:val="00C56CB6"/>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3927"/>
    <w:rsid w:val="00C85144"/>
    <w:rsid w:val="00C86738"/>
    <w:rsid w:val="00C86A27"/>
    <w:rsid w:val="00C91517"/>
    <w:rsid w:val="00C929BD"/>
    <w:rsid w:val="00C931A2"/>
    <w:rsid w:val="00CA02E1"/>
    <w:rsid w:val="00CA15DA"/>
    <w:rsid w:val="00CA224E"/>
    <w:rsid w:val="00CA41C5"/>
    <w:rsid w:val="00CA42B7"/>
    <w:rsid w:val="00CA4A53"/>
    <w:rsid w:val="00CA51F5"/>
    <w:rsid w:val="00CA7BDD"/>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04E9"/>
    <w:rsid w:val="00D00A5F"/>
    <w:rsid w:val="00D015AA"/>
    <w:rsid w:val="00D021B8"/>
    <w:rsid w:val="00D024A7"/>
    <w:rsid w:val="00D03D90"/>
    <w:rsid w:val="00D04024"/>
    <w:rsid w:val="00D043EB"/>
    <w:rsid w:val="00D05BF2"/>
    <w:rsid w:val="00D06705"/>
    <w:rsid w:val="00D06A9B"/>
    <w:rsid w:val="00D0750D"/>
    <w:rsid w:val="00D07DD8"/>
    <w:rsid w:val="00D1038F"/>
    <w:rsid w:val="00D10BF7"/>
    <w:rsid w:val="00D10FEB"/>
    <w:rsid w:val="00D140A0"/>
    <w:rsid w:val="00D14FC6"/>
    <w:rsid w:val="00D203D1"/>
    <w:rsid w:val="00D2057A"/>
    <w:rsid w:val="00D21D98"/>
    <w:rsid w:val="00D2317F"/>
    <w:rsid w:val="00D231A9"/>
    <w:rsid w:val="00D24391"/>
    <w:rsid w:val="00D2472B"/>
    <w:rsid w:val="00D24B91"/>
    <w:rsid w:val="00D253DD"/>
    <w:rsid w:val="00D26FFA"/>
    <w:rsid w:val="00D30E7F"/>
    <w:rsid w:val="00D3215D"/>
    <w:rsid w:val="00D33352"/>
    <w:rsid w:val="00D347D9"/>
    <w:rsid w:val="00D35565"/>
    <w:rsid w:val="00D36A19"/>
    <w:rsid w:val="00D40DCF"/>
    <w:rsid w:val="00D41075"/>
    <w:rsid w:val="00D41A5D"/>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7"/>
    <w:rsid w:val="00D5235F"/>
    <w:rsid w:val="00D52F50"/>
    <w:rsid w:val="00D55A98"/>
    <w:rsid w:val="00D56B49"/>
    <w:rsid w:val="00D6053F"/>
    <w:rsid w:val="00D6073D"/>
    <w:rsid w:val="00D618D6"/>
    <w:rsid w:val="00D62426"/>
    <w:rsid w:val="00D62804"/>
    <w:rsid w:val="00D6732F"/>
    <w:rsid w:val="00D70F55"/>
    <w:rsid w:val="00D70FA5"/>
    <w:rsid w:val="00D74171"/>
    <w:rsid w:val="00D7474C"/>
    <w:rsid w:val="00D8032C"/>
    <w:rsid w:val="00D80CE2"/>
    <w:rsid w:val="00D83080"/>
    <w:rsid w:val="00D83E66"/>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0DA"/>
    <w:rsid w:val="00DD62BE"/>
    <w:rsid w:val="00DD6F55"/>
    <w:rsid w:val="00DD77D9"/>
    <w:rsid w:val="00DD7CA4"/>
    <w:rsid w:val="00DE167C"/>
    <w:rsid w:val="00DE3B70"/>
    <w:rsid w:val="00DE5813"/>
    <w:rsid w:val="00DF10B1"/>
    <w:rsid w:val="00DF1FDA"/>
    <w:rsid w:val="00DF3DD0"/>
    <w:rsid w:val="00DF4D50"/>
    <w:rsid w:val="00DF538C"/>
    <w:rsid w:val="00DF7E5A"/>
    <w:rsid w:val="00E01785"/>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2708"/>
    <w:rsid w:val="00E43D48"/>
    <w:rsid w:val="00E4542D"/>
    <w:rsid w:val="00E45BE0"/>
    <w:rsid w:val="00E46CAD"/>
    <w:rsid w:val="00E47521"/>
    <w:rsid w:val="00E4760C"/>
    <w:rsid w:val="00E507A6"/>
    <w:rsid w:val="00E5183C"/>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5D9"/>
    <w:rsid w:val="00E84C91"/>
    <w:rsid w:val="00E84E60"/>
    <w:rsid w:val="00E8556E"/>
    <w:rsid w:val="00E86217"/>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055"/>
    <w:rsid w:val="00EC462E"/>
    <w:rsid w:val="00EC6C23"/>
    <w:rsid w:val="00EC6CD8"/>
    <w:rsid w:val="00EC786F"/>
    <w:rsid w:val="00ED1866"/>
    <w:rsid w:val="00ED24EF"/>
    <w:rsid w:val="00ED3134"/>
    <w:rsid w:val="00ED38E2"/>
    <w:rsid w:val="00ED40C7"/>
    <w:rsid w:val="00ED5C44"/>
    <w:rsid w:val="00ED635B"/>
    <w:rsid w:val="00EE36F3"/>
    <w:rsid w:val="00EE742D"/>
    <w:rsid w:val="00EF0A22"/>
    <w:rsid w:val="00EF1267"/>
    <w:rsid w:val="00EF180C"/>
    <w:rsid w:val="00EF3B6B"/>
    <w:rsid w:val="00EF4B43"/>
    <w:rsid w:val="00EF6750"/>
    <w:rsid w:val="00EF770B"/>
    <w:rsid w:val="00F00E75"/>
    <w:rsid w:val="00F02836"/>
    <w:rsid w:val="00F02FB5"/>
    <w:rsid w:val="00F0534E"/>
    <w:rsid w:val="00F05C30"/>
    <w:rsid w:val="00F10F1B"/>
    <w:rsid w:val="00F14179"/>
    <w:rsid w:val="00F15786"/>
    <w:rsid w:val="00F167C5"/>
    <w:rsid w:val="00F1734D"/>
    <w:rsid w:val="00F20B5A"/>
    <w:rsid w:val="00F20E3A"/>
    <w:rsid w:val="00F21F0B"/>
    <w:rsid w:val="00F236AB"/>
    <w:rsid w:val="00F24EA4"/>
    <w:rsid w:val="00F25198"/>
    <w:rsid w:val="00F27087"/>
    <w:rsid w:val="00F2773C"/>
    <w:rsid w:val="00F300B3"/>
    <w:rsid w:val="00F30DB9"/>
    <w:rsid w:val="00F30FB8"/>
    <w:rsid w:val="00F31A2B"/>
    <w:rsid w:val="00F31D68"/>
    <w:rsid w:val="00F33152"/>
    <w:rsid w:val="00F338F2"/>
    <w:rsid w:val="00F33ED3"/>
    <w:rsid w:val="00F349D3"/>
    <w:rsid w:val="00F349DF"/>
    <w:rsid w:val="00F3533E"/>
    <w:rsid w:val="00F35B84"/>
    <w:rsid w:val="00F402B5"/>
    <w:rsid w:val="00F4072F"/>
    <w:rsid w:val="00F408DE"/>
    <w:rsid w:val="00F42839"/>
    <w:rsid w:val="00F44CC0"/>
    <w:rsid w:val="00F450BA"/>
    <w:rsid w:val="00F4684B"/>
    <w:rsid w:val="00F46BE9"/>
    <w:rsid w:val="00F47C3B"/>
    <w:rsid w:val="00F506CA"/>
    <w:rsid w:val="00F520A5"/>
    <w:rsid w:val="00F53A7A"/>
    <w:rsid w:val="00F54FCD"/>
    <w:rsid w:val="00F5785C"/>
    <w:rsid w:val="00F65E3C"/>
    <w:rsid w:val="00F67076"/>
    <w:rsid w:val="00F677FA"/>
    <w:rsid w:val="00F7115A"/>
    <w:rsid w:val="00F717AA"/>
    <w:rsid w:val="00F723F3"/>
    <w:rsid w:val="00F72714"/>
    <w:rsid w:val="00F744C3"/>
    <w:rsid w:val="00F75EE2"/>
    <w:rsid w:val="00F75F69"/>
    <w:rsid w:val="00F76014"/>
    <w:rsid w:val="00F802D3"/>
    <w:rsid w:val="00F80F94"/>
    <w:rsid w:val="00F81BA2"/>
    <w:rsid w:val="00F823A4"/>
    <w:rsid w:val="00F8412F"/>
    <w:rsid w:val="00F84791"/>
    <w:rsid w:val="00F85995"/>
    <w:rsid w:val="00F85FC5"/>
    <w:rsid w:val="00F869ED"/>
    <w:rsid w:val="00F86C22"/>
    <w:rsid w:val="00F90CB3"/>
    <w:rsid w:val="00F912A2"/>
    <w:rsid w:val="00F913A3"/>
    <w:rsid w:val="00F925C3"/>
    <w:rsid w:val="00FA0109"/>
    <w:rsid w:val="00FA458B"/>
    <w:rsid w:val="00FA5EC5"/>
    <w:rsid w:val="00FA7016"/>
    <w:rsid w:val="00FA7174"/>
    <w:rsid w:val="00FA793D"/>
    <w:rsid w:val="00FB020E"/>
    <w:rsid w:val="00FB0F17"/>
    <w:rsid w:val="00FB49B0"/>
    <w:rsid w:val="00FB4B9D"/>
    <w:rsid w:val="00FB50ED"/>
    <w:rsid w:val="00FB5E34"/>
    <w:rsid w:val="00FB6E18"/>
    <w:rsid w:val="00FC144B"/>
    <w:rsid w:val="00FC2169"/>
    <w:rsid w:val="00FC28E2"/>
    <w:rsid w:val="00FC3BF6"/>
    <w:rsid w:val="00FC3D22"/>
    <w:rsid w:val="00FC4222"/>
    <w:rsid w:val="00FC6FE1"/>
    <w:rsid w:val="00FD0C3D"/>
    <w:rsid w:val="00FD2F6B"/>
    <w:rsid w:val="00FD4C6F"/>
    <w:rsid w:val="00FD70D5"/>
    <w:rsid w:val="00FE064A"/>
    <w:rsid w:val="00FE0B55"/>
    <w:rsid w:val="00FE1E98"/>
    <w:rsid w:val="00FE2452"/>
    <w:rsid w:val="00FE5469"/>
    <w:rsid w:val="00FE66C2"/>
    <w:rsid w:val="00FE684A"/>
    <w:rsid w:val="00FE6F23"/>
    <w:rsid w:val="00FF079B"/>
    <w:rsid w:val="00FF0F8C"/>
    <w:rsid w:val="00FF1595"/>
    <w:rsid w:val="00FF408B"/>
    <w:rsid w:val="00FF43E1"/>
    <w:rsid w:val="00FF74F5"/>
    <w:rsid w:val="03430854"/>
    <w:rsid w:val="039F5FA6"/>
    <w:rsid w:val="09305ADA"/>
    <w:rsid w:val="0E8013B7"/>
    <w:rsid w:val="0FDFD819"/>
    <w:rsid w:val="10D604C6"/>
    <w:rsid w:val="11B515E0"/>
    <w:rsid w:val="13A53267"/>
    <w:rsid w:val="13F970D2"/>
    <w:rsid w:val="14AA4136"/>
    <w:rsid w:val="1572463D"/>
    <w:rsid w:val="163A420B"/>
    <w:rsid w:val="19413B26"/>
    <w:rsid w:val="1C6D3688"/>
    <w:rsid w:val="1C974DF7"/>
    <w:rsid w:val="1CC63D0A"/>
    <w:rsid w:val="1DC2081A"/>
    <w:rsid w:val="1DD94266"/>
    <w:rsid w:val="1F9D0947"/>
    <w:rsid w:val="1FFB29C6"/>
    <w:rsid w:val="22AF3620"/>
    <w:rsid w:val="22E70AD4"/>
    <w:rsid w:val="24F1508D"/>
    <w:rsid w:val="266F634F"/>
    <w:rsid w:val="291059EA"/>
    <w:rsid w:val="2BBF12EC"/>
    <w:rsid w:val="2BC649D9"/>
    <w:rsid w:val="2DF17226"/>
    <w:rsid w:val="3515160D"/>
    <w:rsid w:val="3B7807FE"/>
    <w:rsid w:val="3C7D00D8"/>
    <w:rsid w:val="3CA06C0C"/>
    <w:rsid w:val="3EA25851"/>
    <w:rsid w:val="3F6C3757"/>
    <w:rsid w:val="405D6A10"/>
    <w:rsid w:val="41DA6594"/>
    <w:rsid w:val="444C1A75"/>
    <w:rsid w:val="44A3526F"/>
    <w:rsid w:val="44B032F4"/>
    <w:rsid w:val="457D25F7"/>
    <w:rsid w:val="468341CD"/>
    <w:rsid w:val="472C2589"/>
    <w:rsid w:val="4A760AEB"/>
    <w:rsid w:val="4F3162CA"/>
    <w:rsid w:val="50D95873"/>
    <w:rsid w:val="526102AF"/>
    <w:rsid w:val="528444DA"/>
    <w:rsid w:val="537745D5"/>
    <w:rsid w:val="552306F6"/>
    <w:rsid w:val="56E352D5"/>
    <w:rsid w:val="57E435FE"/>
    <w:rsid w:val="582D0655"/>
    <w:rsid w:val="5951205C"/>
    <w:rsid w:val="59D079E8"/>
    <w:rsid w:val="59D40847"/>
    <w:rsid w:val="5AE37F25"/>
    <w:rsid w:val="5CB23D47"/>
    <w:rsid w:val="5FAF09C4"/>
    <w:rsid w:val="608C4642"/>
    <w:rsid w:val="62795572"/>
    <w:rsid w:val="64DD6417"/>
    <w:rsid w:val="66004745"/>
    <w:rsid w:val="6A567F20"/>
    <w:rsid w:val="6CD97953"/>
    <w:rsid w:val="6ED30FD7"/>
    <w:rsid w:val="6EFEA63E"/>
    <w:rsid w:val="6FFF7BD7"/>
    <w:rsid w:val="727D78FD"/>
    <w:rsid w:val="73CC655F"/>
    <w:rsid w:val="73FA8648"/>
    <w:rsid w:val="75957445"/>
    <w:rsid w:val="75D01AE1"/>
    <w:rsid w:val="77524363"/>
    <w:rsid w:val="77B917B5"/>
    <w:rsid w:val="77F75380"/>
    <w:rsid w:val="78703975"/>
    <w:rsid w:val="7BDC08A0"/>
    <w:rsid w:val="7BE420FD"/>
    <w:rsid w:val="7BE74452"/>
    <w:rsid w:val="7D0D296B"/>
    <w:rsid w:val="7D4E0B54"/>
    <w:rsid w:val="7D503E78"/>
    <w:rsid w:val="7E0160D4"/>
    <w:rsid w:val="B79A69B2"/>
    <w:rsid w:val="CFEBEF21"/>
    <w:rsid w:val="CFEBFD04"/>
    <w:rsid w:val="E7EFC103"/>
    <w:rsid w:val="ECF70A99"/>
    <w:rsid w:val="EF7FBFAF"/>
    <w:rsid w:val="F7E793DA"/>
    <w:rsid w:val="F9ACC1C6"/>
    <w:rsid w:val="FDF70D8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0"/>
    <w:pPr>
      <w:keepNext/>
      <w:keepLines/>
      <w:numPr>
        <w:ilvl w:val="3"/>
        <w:numId w:val="1"/>
      </w:numPr>
      <w:spacing w:before="120" w:after="120"/>
      <w:ind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Char"/>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Char"/>
    <w:link w:val="22"/>
    <w:qFormat/>
    <w:uiPriority w:val="0"/>
    <w:rPr>
      <w:kern w:val="2"/>
      <w:sz w:val="21"/>
      <w:szCs w:val="24"/>
    </w:rPr>
  </w:style>
  <w:style w:type="character" w:customStyle="1" w:styleId="48">
    <w:name w:val="标题 9 Char"/>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Char"/>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Char"/>
    <w:link w:val="5"/>
    <w:qFormat/>
    <w:uiPriority w:val="0"/>
    <w:rPr>
      <w:rFonts w:ascii="宋体" w:hAnsi="宋体"/>
      <w:b/>
      <w:bCs/>
      <w:kern w:val="2"/>
      <w:sz w:val="30"/>
      <w:szCs w:val="30"/>
    </w:rPr>
  </w:style>
  <w:style w:type="character" w:customStyle="1" w:styleId="59">
    <w:name w:val="正文文本 Char"/>
    <w:link w:val="16"/>
    <w:qFormat/>
    <w:uiPriority w:val="0"/>
    <w:rPr>
      <w:kern w:val="2"/>
      <w:sz w:val="21"/>
      <w:szCs w:val="24"/>
    </w:rPr>
  </w:style>
  <w:style w:type="character" w:customStyle="1" w:styleId="60">
    <w:name w:val="列出段落 Char"/>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Char"/>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Char"/>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Char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Char"/>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Char"/>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Char"/>
    <w:link w:val="17"/>
    <w:qFormat/>
    <w:uiPriority w:val="0"/>
    <w:rPr>
      <w:kern w:val="2"/>
      <w:sz w:val="21"/>
    </w:rPr>
  </w:style>
  <w:style w:type="character" w:customStyle="1" w:styleId="86">
    <w:name w:val="标题 5 Char"/>
    <w:link w:val="6"/>
    <w:qFormat/>
    <w:uiPriority w:val="0"/>
    <w:rPr>
      <w:rFonts w:ascii="宋体" w:hAnsi="宋体"/>
      <w:b/>
      <w:bCs/>
      <w:kern w:val="2"/>
      <w:sz w:val="24"/>
      <w:szCs w:val="28"/>
    </w:rPr>
  </w:style>
  <w:style w:type="character" w:customStyle="1" w:styleId="87">
    <w:name w:val="副标题 Char"/>
    <w:link w:val="28"/>
    <w:qFormat/>
    <w:uiPriority w:val="0"/>
    <w:rPr>
      <w:rFonts w:ascii="Calibri Light" w:hAnsi="Calibri Light"/>
      <w:b/>
      <w:bCs/>
      <w:kern w:val="28"/>
      <w:sz w:val="32"/>
      <w:szCs w:val="32"/>
    </w:rPr>
  </w:style>
  <w:style w:type="character" w:customStyle="1" w:styleId="88">
    <w:name w:val="标题 2 Char"/>
    <w:link w:val="3"/>
    <w:qFormat/>
    <w:uiPriority w:val="9"/>
    <w:rPr>
      <w:rFonts w:ascii="宋体" w:hAnsi="宋体"/>
      <w:b/>
      <w:bCs/>
      <w:kern w:val="2"/>
      <w:sz w:val="30"/>
      <w:szCs w:val="32"/>
    </w:rPr>
  </w:style>
  <w:style w:type="character" w:customStyle="1" w:styleId="89">
    <w:name w:val="页脚 Char"/>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Char"/>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Char"/>
    <w:link w:val="33"/>
    <w:qFormat/>
    <w:uiPriority w:val="0"/>
    <w:rPr>
      <w:rFonts w:ascii="Cambria" w:hAnsi="Cambria" w:eastAsia="黑体"/>
      <w:b/>
      <w:bCs/>
      <w:kern w:val="2"/>
      <w:sz w:val="52"/>
      <w:szCs w:val="32"/>
    </w:rPr>
  </w:style>
  <w:style w:type="character" w:customStyle="1" w:styleId="96">
    <w:name w:val="批注框文本 Char"/>
    <w:link w:val="23"/>
    <w:qFormat/>
    <w:uiPriority w:val="0"/>
    <w:rPr>
      <w:kern w:val="2"/>
      <w:sz w:val="18"/>
      <w:szCs w:val="18"/>
    </w:rPr>
  </w:style>
  <w:style w:type="character" w:customStyle="1" w:styleId="97">
    <w:name w:val="页眉 Char"/>
    <w:link w:val="25"/>
    <w:qFormat/>
    <w:uiPriority w:val="99"/>
    <w:rPr>
      <w:kern w:val="2"/>
      <w:sz w:val="18"/>
      <w:szCs w:val="18"/>
    </w:rPr>
  </w:style>
  <w:style w:type="character" w:customStyle="1" w:styleId="98">
    <w:name w:val="标题 8 Char"/>
    <w:link w:val="9"/>
    <w:qFormat/>
    <w:uiPriority w:val="9"/>
    <w:rPr>
      <w:rFonts w:ascii="Cambria" w:hAnsi="Cambria"/>
      <w:kern w:val="2"/>
      <w:sz w:val="21"/>
      <w:szCs w:val="24"/>
    </w:rPr>
  </w:style>
  <w:style w:type="character" w:customStyle="1" w:styleId="99">
    <w:name w:val="标题 6 Char"/>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列出段落1"/>
    <w:basedOn w:val="1"/>
    <w:qFormat/>
    <w:uiPriority w:val="34"/>
    <w:pPr>
      <w:spacing w:line="240" w:lineRule="auto"/>
      <w:ind w:firstLine="420"/>
    </w:pPr>
    <w:rPr>
      <w:rFonts w:ascii="Calibri" w:hAnsi="Calibri"/>
      <w:sz w:val="21"/>
      <w:szCs w:val="22"/>
    </w:rPr>
  </w:style>
  <w:style w:type="paragraph" w:customStyle="1" w:styleId="135">
    <w:name w:val="第三级"/>
    <w:basedOn w:val="61"/>
    <w:qFormat/>
    <w:uiPriority w:val="0"/>
    <w:pPr>
      <w:numPr>
        <w:ilvl w:val="2"/>
        <w:numId w:val="3"/>
      </w:numPr>
      <w:spacing w:line="560" w:lineRule="exact"/>
      <w:ind w:firstLine="0" w:firstLineChars="0"/>
    </w:pPr>
    <w:rPr>
      <w:rFonts w:ascii="宋体" w:hAnsi="宋体"/>
      <w:b/>
      <w:bCs/>
      <w:sz w:val="28"/>
      <w:szCs w:val="28"/>
    </w:rPr>
  </w:style>
  <w:style w:type="paragraph" w:customStyle="1" w:styleId="136">
    <w:name w:val="可研正文"/>
    <w:basedOn w:val="1"/>
    <w:autoRedefine/>
    <w:qFormat/>
    <w:uiPriority w:val="0"/>
    <w:pPr>
      <w:ind w:firstLine="200"/>
      <w:textAlignment w:val="center"/>
    </w:pPr>
    <w:rPr>
      <w:rFonts w:ascii="仿宋" w:hAnsi="仿宋" w:eastAsia="仿宋" w:cstheme="minorBidi"/>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5.emf"/><Relationship Id="rId17" Type="http://schemas.openxmlformats.org/officeDocument/2006/relationships/oleObject" Target="embeddings/oleObject1.bin"/><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DB334FCE-D8B9-41A6-A750-4BCE7D956FC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10945</Words>
  <Characters>11713</Characters>
  <Lines>585</Lines>
  <Paragraphs>730</Paragraphs>
  <TotalTime>0</TotalTime>
  <ScaleCrop>false</ScaleCrop>
  <LinksUpToDate>false</LinksUpToDate>
  <CharactersWithSpaces>21928</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2026-05-23T23:39:00Z</dcterms:created>
  <dc:creator>gtig_tzb</dc:creator>
  <cp:lastModifiedBy>王婉婷</cp:lastModifiedBy>
  <cp:lastPrinted>2020-08-09T12:08:00Z</cp:lastPrinted>
  <dcterms:modified xsi:type="dcterms:W3CDTF">2026-06-09T15:36:18Z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CE823D6637CF479F91579735857D0696_13</vt:lpwstr>
  </property>
  <property fmtid="{D5CDD505-2E9C-101B-9397-08002B2CF9AE}" pid="4" name="KSOTemplateDocerSaveRecord">
    <vt:lpwstr>eyJoZGlkIjoiZjU3YjFhMTllZDYyOTYzN2E2M2MzZTJiNTViZmZmMzIiLCJ1c2VySWQiOiI0MzU0MTYwNjcifQ==</vt:lpwstr>
  </property>
</Properties>
</file>