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133FF">
      <w:pPr>
        <w:spacing w:line="600" w:lineRule="auto"/>
        <w:jc w:val="center"/>
        <w:rPr>
          <w:rFonts w:hint="eastAsia" w:ascii="仿宋" w:hAnsi="仿宋" w:eastAsia="仿宋" w:cs="仿宋"/>
          <w:b/>
          <w:sz w:val="36"/>
          <w:szCs w:val="36"/>
        </w:rPr>
      </w:pPr>
    </w:p>
    <w:p w14:paraId="5384AC9B">
      <w:pPr>
        <w:spacing w:line="600" w:lineRule="auto"/>
        <w:jc w:val="center"/>
        <w:rPr>
          <w:rFonts w:hint="eastAsia" w:ascii="仿宋" w:hAnsi="仿宋" w:eastAsia="仿宋" w:cs="仿宋"/>
          <w:b/>
          <w:sz w:val="36"/>
          <w:szCs w:val="36"/>
        </w:rPr>
      </w:pPr>
    </w:p>
    <w:p w14:paraId="23DE9099">
      <w:pPr>
        <w:spacing w:line="600" w:lineRule="auto"/>
        <w:jc w:val="center"/>
        <w:rPr>
          <w:rFonts w:hint="eastAsia" w:ascii="仿宋" w:hAnsi="仿宋" w:eastAsia="仿宋" w:cs="仿宋"/>
          <w:b/>
          <w:sz w:val="36"/>
          <w:szCs w:val="36"/>
        </w:rPr>
      </w:pPr>
    </w:p>
    <w:p w14:paraId="2C5E12B4">
      <w:pPr>
        <w:tabs>
          <w:tab w:val="left" w:pos="7030"/>
        </w:tabs>
        <w:spacing w:line="600" w:lineRule="auto"/>
        <w:jc w:val="left"/>
        <w:rPr>
          <w:rFonts w:hint="eastAsia" w:ascii="仿宋" w:hAnsi="仿宋" w:eastAsia="仿宋" w:cs="仿宋"/>
          <w:b/>
          <w:sz w:val="36"/>
          <w:szCs w:val="36"/>
        </w:rPr>
      </w:pPr>
      <w:r>
        <w:rPr>
          <w:rFonts w:ascii="仿宋" w:hAnsi="仿宋" w:eastAsia="仿宋" w:cs="仿宋"/>
          <w:b/>
          <w:sz w:val="36"/>
          <w:szCs w:val="36"/>
        </w:rPr>
        <w:tab/>
      </w:r>
    </w:p>
    <w:p w14:paraId="153F9D90">
      <w:pPr>
        <w:spacing w:line="360" w:lineRule="auto"/>
        <w:jc w:val="center"/>
        <w:rPr>
          <w:rFonts w:hint="eastAsia" w:ascii="方正小标宋_GBK" w:hAnsi="仿宋" w:eastAsia="方正小标宋_GBK" w:cs="仿宋"/>
          <w:sz w:val="44"/>
          <w:szCs w:val="44"/>
        </w:rPr>
      </w:pPr>
      <w:r>
        <w:rPr>
          <w:rFonts w:hint="eastAsia" w:ascii="方正小标宋_GBK" w:hAnsi="仿宋" w:eastAsia="方正小标宋_GBK" w:cs="仿宋"/>
          <w:sz w:val="44"/>
          <w:szCs w:val="44"/>
        </w:rPr>
        <w:t>市政务云创新区域政务移动端服务（2025-2026年）项目采购需求</w:t>
      </w:r>
    </w:p>
    <w:p w14:paraId="448C53EF">
      <w:pPr>
        <w:spacing w:line="600" w:lineRule="auto"/>
        <w:jc w:val="center"/>
        <w:rPr>
          <w:rFonts w:hint="eastAsia" w:ascii="仿宋" w:hAnsi="仿宋" w:eastAsia="仿宋" w:cs="仿宋"/>
          <w:b/>
          <w:sz w:val="36"/>
          <w:szCs w:val="36"/>
        </w:rPr>
      </w:pPr>
    </w:p>
    <w:p w14:paraId="567CE19F">
      <w:pPr>
        <w:spacing w:line="600" w:lineRule="auto"/>
        <w:jc w:val="center"/>
        <w:rPr>
          <w:rFonts w:hint="eastAsia" w:ascii="仿宋" w:hAnsi="仿宋" w:eastAsia="仿宋" w:cs="仿宋"/>
          <w:b/>
          <w:sz w:val="36"/>
          <w:szCs w:val="36"/>
        </w:rPr>
      </w:pPr>
    </w:p>
    <w:p w14:paraId="0FE87CE3">
      <w:pPr>
        <w:spacing w:line="600" w:lineRule="auto"/>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650BC80F">
      <w:pPr>
        <w:pStyle w:val="2"/>
        <w:spacing w:before="240" w:after="240" w:line="360" w:lineRule="auto"/>
        <w:ind w:left="0"/>
        <w:rPr>
          <w:rFonts w:hint="eastAsia" w:ascii="仿宋" w:hAnsi="仿宋" w:eastAsia="仿宋" w:cs="仿宋"/>
        </w:rPr>
      </w:pPr>
      <w:bookmarkStart w:id="0" w:name="_Toc69194644"/>
      <w:r>
        <w:rPr>
          <w:rFonts w:hint="eastAsia" w:ascii="仿宋" w:hAnsi="仿宋" w:eastAsia="仿宋" w:cs="仿宋"/>
        </w:rPr>
        <w:t>项目概述</w:t>
      </w:r>
      <w:bookmarkEnd w:id="0"/>
    </w:p>
    <w:p w14:paraId="0D1D916F">
      <w:pPr>
        <w:ind w:firstLine="560" w:firstLineChars="200"/>
        <w:rPr>
          <w:rFonts w:hint="eastAsia" w:ascii="仿宋" w:hAnsi="仿宋" w:eastAsia="仿宋" w:cs="仿宋"/>
          <w:sz w:val="28"/>
          <w:szCs w:val="28"/>
        </w:rPr>
      </w:pPr>
      <w:r>
        <w:rPr>
          <w:rFonts w:hint="eastAsia" w:ascii="仿宋" w:hAnsi="仿宋" w:eastAsia="仿宋" w:cs="仿宋"/>
          <w:sz w:val="28"/>
          <w:szCs w:val="28"/>
        </w:rPr>
        <w:t>项目背景：拟通过统筹集约购买市政务云PaaS服务的方式，采购一年周期的市政务云创新区域政务移动端服务（目前为“随申办政务云”），有力支撑全市公务人员即时通讯和政务一体化办公等工作安全、稳定、便捷和高效地开展，数字赋能一网通办、一网统管、值班值守、防汛防台、应急指挥和行业监管等重点工作。不断完善创新区域政务移动端PaaS服务的长效运营机制，持续提升市级政务云综合服务支撑能力。项目要求支持不少30万用户账号开通</w:t>
      </w:r>
      <w:r>
        <w:rPr>
          <w:rFonts w:hint="eastAsia" w:ascii="仿宋" w:hAnsi="仿宋" w:eastAsia="仿宋"/>
          <w:sz w:val="28"/>
          <w:szCs w:val="28"/>
        </w:rPr>
        <w:t>的能力（据初步估算2026年度用户可能会达到40万），</w:t>
      </w:r>
      <w:r>
        <w:rPr>
          <w:rFonts w:hint="eastAsia" w:ascii="仿宋" w:hAnsi="仿宋" w:eastAsia="仿宋" w:cs="仿宋"/>
          <w:sz w:val="28"/>
          <w:szCs w:val="28"/>
        </w:rPr>
        <w:t>信创化私有化部署，通过相关测试测评，做好服务期内的运营服务、更新迭代和安全保障等工作。本项目属于市政务云Paa</w:t>
      </w:r>
      <w:r>
        <w:rPr>
          <w:rFonts w:ascii="仿宋" w:hAnsi="仿宋" w:eastAsia="仿宋" w:cs="仿宋"/>
          <w:sz w:val="28"/>
          <w:szCs w:val="28"/>
        </w:rPr>
        <w:t>S</w:t>
      </w:r>
      <w:r>
        <w:rPr>
          <w:rFonts w:hint="eastAsia" w:ascii="仿宋" w:hAnsi="仿宋" w:eastAsia="仿宋" w:cs="仿宋"/>
          <w:sz w:val="28"/>
          <w:szCs w:val="28"/>
        </w:rPr>
        <w:t>服务，</w:t>
      </w:r>
      <w:r>
        <w:rPr>
          <w:rFonts w:ascii="仿宋" w:hAnsi="仿宋" w:eastAsia="仿宋" w:cs="宋体"/>
          <w:kern w:val="0"/>
          <w:sz w:val="28"/>
          <w:szCs w:val="28"/>
        </w:rPr>
        <w:t>服务</w:t>
      </w:r>
      <w:r>
        <w:rPr>
          <w:rFonts w:hint="eastAsia" w:ascii="仿宋" w:hAnsi="仿宋" w:eastAsia="仿宋" w:cs="宋体"/>
          <w:kern w:val="0"/>
          <w:sz w:val="28"/>
          <w:szCs w:val="28"/>
        </w:rPr>
        <w:t>类别为</w:t>
      </w:r>
      <w:r>
        <w:rPr>
          <w:rFonts w:ascii="仿宋" w:hAnsi="仿宋" w:eastAsia="仿宋" w:cs="宋体"/>
          <w:kern w:val="0"/>
          <w:sz w:val="28"/>
          <w:szCs w:val="28"/>
        </w:rPr>
        <w:t>平台软件服务</w:t>
      </w:r>
      <w:r>
        <w:rPr>
          <w:rFonts w:hint="eastAsia" w:ascii="仿宋" w:hAnsi="仿宋" w:eastAsia="仿宋" w:cs="宋体"/>
          <w:kern w:val="0"/>
          <w:sz w:val="28"/>
          <w:szCs w:val="28"/>
        </w:rPr>
        <w:t>，服务子类为政务移动端。</w:t>
      </w:r>
    </w:p>
    <w:p w14:paraId="7FE0CA8C">
      <w:pPr>
        <w:ind w:firstLine="560" w:firstLineChars="200"/>
        <w:rPr>
          <w:rFonts w:hint="eastAsia" w:ascii="仿宋" w:hAnsi="仿宋" w:eastAsia="仿宋" w:cs="仿宋"/>
          <w:sz w:val="28"/>
          <w:szCs w:val="28"/>
        </w:rPr>
      </w:pPr>
      <w:r>
        <w:rPr>
          <w:rFonts w:hint="eastAsia" w:ascii="仿宋" w:hAnsi="仿宋" w:eastAsia="仿宋" w:cs="仿宋"/>
          <w:sz w:val="28"/>
          <w:szCs w:val="28"/>
        </w:rPr>
        <w:t>服务期限：自签订合同生效之日起一年</w:t>
      </w:r>
    </w:p>
    <w:p w14:paraId="01849277">
      <w:pPr>
        <w:ind w:firstLine="560" w:firstLineChars="200"/>
        <w:rPr>
          <w:rFonts w:hint="eastAsia" w:ascii="仿宋" w:hAnsi="仿宋" w:eastAsia="仿宋" w:cs="仿宋"/>
          <w:sz w:val="28"/>
          <w:szCs w:val="28"/>
        </w:rPr>
      </w:pPr>
      <w:r>
        <w:rPr>
          <w:rFonts w:hint="eastAsia" w:ascii="仿宋" w:hAnsi="仿宋" w:eastAsia="仿宋" w:cs="仿宋"/>
          <w:sz w:val="28"/>
          <w:szCs w:val="28"/>
        </w:rPr>
        <w:t>服务地点：上海市静安区</w:t>
      </w:r>
    </w:p>
    <w:p w14:paraId="55F382D2">
      <w:pPr>
        <w:ind w:firstLine="560" w:firstLineChars="200"/>
        <w:rPr>
          <w:rFonts w:hint="eastAsia" w:ascii="仿宋" w:hAnsi="仿宋" w:eastAsia="仿宋" w:cs="仿宋"/>
          <w:sz w:val="28"/>
          <w:szCs w:val="28"/>
        </w:rPr>
      </w:pPr>
      <w:r>
        <w:rPr>
          <w:rFonts w:hint="eastAsia" w:ascii="仿宋" w:hAnsi="仿宋" w:eastAsia="仿宋" w:cs="仿宋"/>
          <w:sz w:val="28"/>
          <w:szCs w:val="28"/>
        </w:rPr>
        <w:t>预算金额：</w:t>
      </w:r>
      <w:r>
        <w:rPr>
          <w:rFonts w:ascii="仿宋" w:hAnsi="仿宋" w:eastAsia="仿宋" w:cs="仿宋"/>
          <w:sz w:val="28"/>
          <w:szCs w:val="28"/>
        </w:rPr>
        <w:t>10000000</w:t>
      </w:r>
      <w:r>
        <w:rPr>
          <w:rFonts w:hint="eastAsia" w:ascii="仿宋" w:hAnsi="仿宋" w:eastAsia="仿宋" w:cs="仿宋"/>
          <w:sz w:val="28"/>
          <w:szCs w:val="28"/>
        </w:rPr>
        <w:t>元</w:t>
      </w:r>
    </w:p>
    <w:p w14:paraId="79EE96D7">
      <w:pPr>
        <w:ind w:firstLine="560" w:firstLineChars="200"/>
        <w:rPr>
          <w:rFonts w:hint="eastAsia" w:ascii="仿宋" w:hAnsi="仿宋" w:eastAsia="仿宋" w:cs="仿宋"/>
          <w:color w:val="FF0000"/>
          <w:sz w:val="28"/>
        </w:rPr>
      </w:pPr>
      <w:r>
        <w:rPr>
          <w:rFonts w:hint="eastAsia" w:ascii="仿宋" w:hAnsi="仿宋" w:eastAsia="仿宋" w:cs="仿宋"/>
          <w:sz w:val="28"/>
          <w:szCs w:val="28"/>
        </w:rPr>
        <w:t>采购金额（最高限价）：</w:t>
      </w:r>
      <w:r>
        <w:rPr>
          <w:rFonts w:ascii="仿宋" w:hAnsi="仿宋" w:eastAsia="仿宋" w:cs="仿宋"/>
          <w:sz w:val="28"/>
          <w:szCs w:val="28"/>
        </w:rPr>
        <w:t>10000000</w:t>
      </w:r>
      <w:r>
        <w:rPr>
          <w:rFonts w:hint="eastAsia" w:ascii="仿宋" w:hAnsi="仿宋" w:eastAsia="仿宋" w:cs="仿宋"/>
          <w:sz w:val="28"/>
          <w:szCs w:val="28"/>
        </w:rPr>
        <w:t>元</w:t>
      </w:r>
    </w:p>
    <w:p w14:paraId="03EC5823">
      <w:pPr>
        <w:ind w:firstLine="560" w:firstLineChars="200"/>
        <w:rPr>
          <w:rFonts w:hint="eastAsia" w:ascii="仿宋" w:hAnsi="仿宋" w:eastAsia="仿宋" w:cs="仿宋"/>
          <w:sz w:val="28"/>
          <w:szCs w:val="28"/>
        </w:rPr>
      </w:pPr>
      <w:r>
        <w:rPr>
          <w:rFonts w:hint="eastAsia" w:ascii="仿宋" w:hAnsi="仿宋" w:eastAsia="仿宋" w:cs="仿宋"/>
          <w:sz w:val="28"/>
          <w:szCs w:val="28"/>
        </w:rPr>
        <w:t>采购方式：公开招标</w:t>
      </w:r>
    </w:p>
    <w:p w14:paraId="7C40E282">
      <w:pPr>
        <w:ind w:firstLine="560" w:firstLineChars="200"/>
        <w:rPr>
          <w:rFonts w:hint="eastAsia" w:ascii="仿宋" w:hAnsi="仿宋" w:eastAsia="仿宋" w:cs="仿宋"/>
          <w:sz w:val="28"/>
          <w:szCs w:val="28"/>
        </w:rPr>
      </w:pPr>
      <w:r>
        <w:rPr>
          <w:rFonts w:hint="eastAsia" w:ascii="仿宋" w:hAnsi="仿宋" w:eastAsia="仿宋" w:cs="仿宋"/>
          <w:sz w:val="28"/>
          <w:szCs w:val="28"/>
        </w:rPr>
        <w:t>面向企业类型：大中小微</w:t>
      </w:r>
    </w:p>
    <w:p w14:paraId="603E9640">
      <w:pPr>
        <w:ind w:firstLine="560" w:firstLineChars="200"/>
        <w:rPr>
          <w:rFonts w:hint="eastAsia" w:ascii="仿宋" w:hAnsi="仿宋" w:eastAsia="仿宋" w:cs="仿宋"/>
          <w:sz w:val="28"/>
          <w:szCs w:val="28"/>
        </w:rPr>
      </w:pPr>
      <w:r>
        <w:rPr>
          <w:rFonts w:hint="eastAsia" w:ascii="仿宋" w:hAnsi="仿宋" w:eastAsia="仿宋" w:cs="仿宋"/>
          <w:sz w:val="28"/>
          <w:szCs w:val="28"/>
        </w:rPr>
        <w:t>是否接受联合体投标：否</w:t>
      </w:r>
    </w:p>
    <w:p w14:paraId="5C170D5C">
      <w:pPr>
        <w:pStyle w:val="2"/>
        <w:spacing w:before="240" w:after="240" w:line="360" w:lineRule="auto"/>
        <w:ind w:left="0"/>
        <w:rPr>
          <w:rFonts w:hint="eastAsia" w:ascii="仿宋" w:hAnsi="仿宋" w:eastAsia="仿宋" w:cs="仿宋"/>
        </w:rPr>
      </w:pPr>
      <w:bookmarkStart w:id="1" w:name="_Toc69194645"/>
      <w:r>
        <w:rPr>
          <w:rFonts w:hint="eastAsia" w:ascii="仿宋" w:hAnsi="仿宋" w:eastAsia="仿宋" w:cs="仿宋"/>
        </w:rPr>
        <w:t>服务范围</w:t>
      </w:r>
      <w:bookmarkEnd w:id="1"/>
    </w:p>
    <w:p w14:paraId="7B6862C7">
      <w:pPr>
        <w:pStyle w:val="3"/>
        <w:spacing w:before="240" w:after="240" w:line="360" w:lineRule="auto"/>
        <w:ind w:left="0"/>
        <w:jc w:val="left"/>
        <w:rPr>
          <w:rFonts w:hint="eastAsia" w:ascii="仿宋" w:hAnsi="仿宋" w:cs="仿宋"/>
        </w:rPr>
      </w:pPr>
      <w:r>
        <w:rPr>
          <w:rFonts w:hint="eastAsia" w:ascii="仿宋" w:hAnsi="仿宋" w:cs="仿宋"/>
        </w:rPr>
        <w:t>系统重要等级</w:t>
      </w:r>
    </w:p>
    <w:p w14:paraId="6EA25CC2">
      <w:pPr>
        <w:ind w:firstLine="560" w:firstLineChars="200"/>
        <w:rPr>
          <w:rFonts w:hint="eastAsia" w:ascii="仿宋" w:hAnsi="仿宋" w:eastAsia="仿宋" w:cs="仿宋"/>
          <w:iCs/>
          <w:sz w:val="28"/>
          <w:szCs w:val="28"/>
          <w:highlight w:val="yellow"/>
        </w:rPr>
      </w:pPr>
      <w:r>
        <w:rPr>
          <w:rFonts w:hint="eastAsia" w:ascii="仿宋" w:hAnsi="仿宋" w:eastAsia="仿宋" w:cs="仿宋"/>
          <w:iCs/>
          <w:sz w:val="28"/>
          <w:szCs w:val="28"/>
        </w:rPr>
        <w:t>本项目为市大数据中心重要信息系统</w:t>
      </w:r>
    </w:p>
    <w:p w14:paraId="1576827F">
      <w:pPr>
        <w:pStyle w:val="3"/>
        <w:spacing w:before="240" w:after="240" w:line="360" w:lineRule="auto"/>
        <w:ind w:left="0"/>
        <w:jc w:val="left"/>
        <w:rPr>
          <w:rFonts w:hint="eastAsia" w:ascii="仿宋" w:hAnsi="仿宋" w:cs="仿宋"/>
        </w:rPr>
      </w:pPr>
      <w:r>
        <w:rPr>
          <w:rFonts w:hint="eastAsia" w:ascii="仿宋" w:hAnsi="仿宋" w:cs="仿宋"/>
        </w:rPr>
        <w:t>维护清单</w:t>
      </w:r>
    </w:p>
    <w:tbl>
      <w:tblPr>
        <w:tblStyle w:val="24"/>
        <w:tblW w:w="6805" w:type="dxa"/>
        <w:jc w:val="center"/>
        <w:tblLayout w:type="autofit"/>
        <w:tblCellMar>
          <w:top w:w="0" w:type="dxa"/>
          <w:left w:w="108" w:type="dxa"/>
          <w:bottom w:w="0" w:type="dxa"/>
          <w:right w:w="108" w:type="dxa"/>
        </w:tblCellMar>
      </w:tblPr>
      <w:tblGrid>
        <w:gridCol w:w="851"/>
        <w:gridCol w:w="5954"/>
      </w:tblGrid>
      <w:tr w14:paraId="34C3EFE0">
        <w:tblPrEx>
          <w:tblCellMar>
            <w:top w:w="0" w:type="dxa"/>
            <w:left w:w="108" w:type="dxa"/>
            <w:bottom w:w="0" w:type="dxa"/>
            <w:right w:w="108" w:type="dxa"/>
          </w:tblCellMar>
        </w:tblPrEx>
        <w:trPr>
          <w:trHeight w:val="511" w:hRule="atLeast"/>
          <w:jc w:val="center"/>
        </w:trPr>
        <w:tc>
          <w:tcPr>
            <w:tcW w:w="851" w:type="dxa"/>
            <w:tcBorders>
              <w:top w:val="single" w:color="808080" w:sz="4" w:space="0"/>
              <w:left w:val="single" w:color="808080" w:sz="4" w:space="0"/>
              <w:bottom w:val="single" w:color="808080" w:sz="4" w:space="0"/>
              <w:right w:val="single" w:color="808080" w:sz="4" w:space="0"/>
            </w:tcBorders>
            <w:vAlign w:val="center"/>
          </w:tcPr>
          <w:p w14:paraId="7E791142">
            <w:pPr>
              <w:widowControl/>
              <w:spacing w:line="36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序号</w:t>
            </w:r>
          </w:p>
        </w:tc>
        <w:tc>
          <w:tcPr>
            <w:tcW w:w="5954" w:type="dxa"/>
            <w:tcBorders>
              <w:top w:val="single" w:color="808080" w:sz="4" w:space="0"/>
              <w:left w:val="single" w:color="808080" w:sz="4" w:space="0"/>
              <w:bottom w:val="single" w:color="808080" w:sz="4" w:space="0"/>
              <w:right w:val="single" w:color="808080" w:sz="4" w:space="0"/>
            </w:tcBorders>
            <w:vAlign w:val="center"/>
          </w:tcPr>
          <w:p w14:paraId="059809FD">
            <w:pPr>
              <w:widowControl/>
              <w:spacing w:line="360" w:lineRule="auto"/>
              <w:jc w:val="center"/>
              <w:rPr>
                <w:rFonts w:hint="eastAsia" w:ascii="仿宋" w:hAnsi="仿宋" w:eastAsia="仿宋" w:cs="仿宋"/>
                <w:b/>
                <w:kern w:val="0"/>
                <w:sz w:val="24"/>
                <w:szCs w:val="24"/>
              </w:rPr>
            </w:pPr>
            <w:r>
              <w:rPr>
                <w:rFonts w:hint="eastAsia" w:ascii="仿宋" w:hAnsi="仿宋" w:eastAsia="仿宋" w:cs="仿宋"/>
                <w:b/>
                <w:kern w:val="0"/>
                <w:sz w:val="24"/>
                <w:szCs w:val="24"/>
              </w:rPr>
              <w:t>模块名称</w:t>
            </w:r>
          </w:p>
        </w:tc>
      </w:tr>
      <w:tr w14:paraId="741F6407">
        <w:tblPrEx>
          <w:tblCellMar>
            <w:top w:w="0" w:type="dxa"/>
            <w:left w:w="108" w:type="dxa"/>
            <w:bottom w:w="0" w:type="dxa"/>
            <w:right w:w="108" w:type="dxa"/>
          </w:tblCellMar>
        </w:tblPrEx>
        <w:trPr>
          <w:trHeight w:val="397" w:hRule="atLeast"/>
          <w:jc w:val="center"/>
        </w:trPr>
        <w:tc>
          <w:tcPr>
            <w:tcW w:w="851" w:type="dxa"/>
            <w:tcBorders>
              <w:top w:val="single" w:color="808080" w:sz="4" w:space="0"/>
              <w:left w:val="single" w:color="808080" w:sz="4" w:space="0"/>
              <w:bottom w:val="single" w:color="808080" w:sz="4" w:space="0"/>
              <w:right w:val="single" w:color="808080" w:sz="4" w:space="0"/>
            </w:tcBorders>
            <w:vAlign w:val="center"/>
          </w:tcPr>
          <w:p w14:paraId="5BD62A5B">
            <w:pPr>
              <w:widowControl/>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5954" w:type="dxa"/>
            <w:tcBorders>
              <w:top w:val="single" w:color="808080" w:sz="4" w:space="0"/>
              <w:left w:val="single" w:color="808080" w:sz="4" w:space="0"/>
              <w:bottom w:val="single" w:color="808080" w:sz="4" w:space="0"/>
              <w:right w:val="single" w:color="808080" w:sz="4" w:space="0"/>
            </w:tcBorders>
            <w:vAlign w:val="center"/>
          </w:tcPr>
          <w:p w14:paraId="4223D7ED">
            <w:pPr>
              <w:widowControl/>
              <w:spacing w:line="360" w:lineRule="auto"/>
              <w:rPr>
                <w:rFonts w:hint="eastAsia" w:ascii="仿宋" w:hAnsi="仿宋" w:eastAsia="仿宋" w:cs="仿宋"/>
                <w:sz w:val="24"/>
                <w:szCs w:val="24"/>
              </w:rPr>
            </w:pPr>
            <w:r>
              <w:rPr>
                <w:rFonts w:hint="eastAsia" w:ascii="仿宋" w:hAnsi="仿宋" w:eastAsia="仿宋" w:cs="仿宋"/>
                <w:sz w:val="24"/>
                <w:szCs w:val="24"/>
              </w:rPr>
              <w:t>创新区域政务移动端</w:t>
            </w:r>
          </w:p>
        </w:tc>
      </w:tr>
    </w:tbl>
    <w:p w14:paraId="142FF40B">
      <w:pPr>
        <w:pStyle w:val="3"/>
        <w:spacing w:before="240" w:after="240" w:line="360" w:lineRule="auto"/>
        <w:ind w:left="0"/>
        <w:jc w:val="left"/>
        <w:rPr>
          <w:rFonts w:hint="eastAsia" w:ascii="仿宋" w:hAnsi="仿宋" w:cs="仿宋"/>
        </w:rPr>
      </w:pPr>
      <w:bookmarkStart w:id="2" w:name="_Toc69194646"/>
      <w:r>
        <w:rPr>
          <w:rFonts w:hint="eastAsia" w:ascii="仿宋" w:hAnsi="仿宋" w:cs="仿宋"/>
        </w:rPr>
        <w:t>服务范围</w:t>
      </w:r>
    </w:p>
    <w:p w14:paraId="65C26345">
      <w:pPr>
        <w:ind w:firstLine="560" w:firstLineChars="200"/>
        <w:rPr>
          <w:rFonts w:hint="eastAsia" w:ascii="仿宋" w:hAnsi="仿宋" w:eastAsia="仿宋" w:cs="仿宋"/>
          <w:sz w:val="28"/>
          <w:szCs w:val="28"/>
        </w:rPr>
      </w:pPr>
      <w:r>
        <w:rPr>
          <w:rFonts w:hint="eastAsia" w:ascii="仿宋" w:hAnsi="仿宋" w:eastAsia="仿宋" w:cs="仿宋"/>
          <w:sz w:val="28"/>
          <w:szCs w:val="28"/>
        </w:rPr>
        <w:t>本项目的服务范围为市级政务云使用单位。目标用户为</w:t>
      </w:r>
      <w:r>
        <w:rPr>
          <w:rFonts w:ascii="仿宋" w:hAnsi="仿宋" w:eastAsia="仿宋" w:cs="仿宋"/>
          <w:sz w:val="28"/>
          <w:szCs w:val="28"/>
        </w:rPr>
        <w:t>全市各级党委、人大、政府、政协、法院、检察院、人民团体、民主党派、中央驻沪</w:t>
      </w:r>
      <w:r>
        <w:rPr>
          <w:rFonts w:hint="eastAsia" w:ascii="仿宋" w:hAnsi="仿宋" w:eastAsia="仿宋" w:cs="仿宋"/>
          <w:sz w:val="28"/>
          <w:szCs w:val="28"/>
        </w:rPr>
        <w:t>单位</w:t>
      </w:r>
      <w:r>
        <w:rPr>
          <w:rFonts w:ascii="仿宋" w:hAnsi="仿宋" w:eastAsia="仿宋" w:cs="仿宋"/>
          <w:sz w:val="28"/>
          <w:szCs w:val="28"/>
        </w:rPr>
        <w:t>等系统以及其他相关单位通过一体化办公平台开展政务办公和业务处理的工作人员。</w:t>
      </w:r>
    </w:p>
    <w:p w14:paraId="2A399DB1">
      <w:pPr>
        <w:ind w:firstLine="560" w:firstLineChars="200"/>
        <w:rPr>
          <w:rFonts w:hint="eastAsia" w:ascii="仿宋" w:hAnsi="仿宋" w:eastAsia="仿宋" w:cs="仿宋"/>
          <w:sz w:val="28"/>
          <w:szCs w:val="28"/>
        </w:rPr>
      </w:pPr>
      <w:r>
        <w:rPr>
          <w:rFonts w:hint="eastAsia" w:ascii="仿宋" w:hAnsi="仿宋" w:eastAsia="仿宋" w:cs="仿宋"/>
          <w:sz w:val="28"/>
          <w:szCs w:val="28"/>
        </w:rPr>
        <w:t>服务要求全信创本地化部署，通过相关测试测评，做好服务期内的运营服务、更新迭代和安全保障等工作。</w:t>
      </w:r>
    </w:p>
    <w:p w14:paraId="476112CE">
      <w:pPr>
        <w:pStyle w:val="2"/>
        <w:spacing w:before="240" w:after="240" w:line="360" w:lineRule="auto"/>
        <w:ind w:left="0"/>
        <w:rPr>
          <w:rFonts w:hint="eastAsia" w:ascii="仿宋" w:hAnsi="仿宋" w:eastAsia="仿宋" w:cs="仿宋"/>
        </w:rPr>
      </w:pPr>
      <w:r>
        <w:rPr>
          <w:rFonts w:hint="eastAsia" w:ascii="仿宋" w:hAnsi="仿宋" w:eastAsia="仿宋" w:cs="仿宋"/>
        </w:rPr>
        <w:t>项目整体要求</w:t>
      </w:r>
    </w:p>
    <w:p w14:paraId="4A484291">
      <w:pPr>
        <w:pStyle w:val="3"/>
        <w:spacing w:before="240" w:after="240" w:line="360" w:lineRule="auto"/>
        <w:ind w:left="0"/>
        <w:jc w:val="left"/>
        <w:rPr>
          <w:rFonts w:hint="eastAsia" w:ascii="仿宋" w:hAnsi="仿宋" w:cs="仿宋"/>
        </w:rPr>
      </w:pPr>
      <w:bookmarkStart w:id="3" w:name="_Toc23569"/>
      <w:r>
        <w:rPr>
          <w:rFonts w:hint="eastAsia" w:ascii="仿宋" w:hAnsi="仿宋" w:cs="仿宋"/>
        </w:rPr>
        <w:t>技术要求</w:t>
      </w:r>
    </w:p>
    <w:bookmarkEnd w:id="3"/>
    <w:p w14:paraId="512E83CD">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系统部署资源要求：投标人提供的服务应当具备为本项目服务范围提供服务的能力，其中涉及基础资源使用的（包括但不限于计算、存储、备份、网络等）应当使用市级政务云基础设施服务资源，部署方式需要得到采购人的确认。</w:t>
      </w:r>
    </w:p>
    <w:p w14:paraId="0083221F">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接口服务要求：投标人应当提供包括但不限于API发布、管理、流量控制、用户管理功能的API网关，投标人提供的能力中涉及API方式提供的应当具备通过API网关服务的能力。各委办局及业务单位自主开发的应用程序接口由一体化办公平台统一对接。要求移动端适配安卓、原生鸿蒙版操作系统，PC客户端适配主流操作系统及国产芯片。</w:t>
      </w:r>
    </w:p>
    <w:p w14:paraId="41C0C026">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安全隔离要求：投标人提供的服务涉及集中部署的应该符合网络安全等级保护三级的要求并通过安全测评，开展安全加固工作，包括但不限于安全策略配置、安全扫描和系统漏洞的加固，配合使用单位完成应用的等级保护工作。提供软件介质部署在使用单位资源上的，应当提供安全漏洞修复补丁并提供技术支持，配合使用单位完成应用的等级保护工作。</w:t>
      </w:r>
    </w:p>
    <w:p w14:paraId="1A985730">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密码服务要求：所提供的服务及提供服务所需的软/硬件设备符合《中华人民共和国密码法》及国家和本市密码管理部门的相关要求。</w:t>
      </w:r>
    </w:p>
    <w:p w14:paraId="61558229">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服务交付要求：投标人提供的</w:t>
      </w:r>
      <w:r>
        <w:rPr>
          <w:rFonts w:hint="eastAsia" w:ascii="仿宋" w:hAnsi="仿宋" w:eastAsia="仿宋" w:cs="仿宋"/>
          <w:sz w:val="28"/>
          <w:szCs w:val="28"/>
        </w:rPr>
        <w:t>市</w:t>
      </w:r>
      <w:r>
        <w:rPr>
          <w:rFonts w:ascii="仿宋" w:hAnsi="仿宋" w:eastAsia="仿宋" w:cs="仿宋"/>
          <w:sz w:val="28"/>
          <w:szCs w:val="28"/>
        </w:rPr>
        <w:t>政务云PaaS服务，应当面向使用单位提供每个服务项的服务接入方式，包括但不限于界面、API接口、文件等。</w:t>
      </w:r>
    </w:p>
    <w:p w14:paraId="5196F141">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投标人提供的产品和服务应满足国家和本市有关工作秘密信息技术防护的要求，即时通讯应满足承载工作MM文件的能力。</w:t>
      </w:r>
    </w:p>
    <w:p w14:paraId="26B21FCF">
      <w:pPr>
        <w:widowControl/>
        <w:numPr>
          <w:ilvl w:val="0"/>
          <w:numId w:val="3"/>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投标人在中标后应当配合采购人完成服务考核评估工作，并负责对已经出现的服务问题进行整改。</w:t>
      </w:r>
    </w:p>
    <w:p w14:paraId="5384812D">
      <w:pPr>
        <w:pStyle w:val="3"/>
        <w:spacing w:before="240" w:after="240" w:line="360" w:lineRule="auto"/>
        <w:ind w:left="0"/>
        <w:jc w:val="left"/>
        <w:rPr>
          <w:rFonts w:hint="eastAsia" w:ascii="仿宋" w:hAnsi="仿宋" w:cs="仿宋"/>
        </w:rPr>
      </w:pPr>
      <w:bookmarkStart w:id="4" w:name="_Toc3814"/>
      <w:r>
        <w:rPr>
          <w:rFonts w:hint="eastAsia" w:ascii="仿宋" w:hAnsi="仿宋" w:cs="仿宋"/>
        </w:rPr>
        <w:t>服务采购要求</w:t>
      </w:r>
    </w:p>
    <w:p w14:paraId="11F45D3C">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服务描述</w:t>
      </w:r>
      <w:r>
        <w:rPr>
          <w:rFonts w:hint="eastAsia" w:ascii="仿宋" w:hAnsi="仿宋" w:eastAsia="仿宋" w:cs="仿宋"/>
          <w:sz w:val="28"/>
          <w:szCs w:val="28"/>
        </w:rPr>
        <w:t>：</w:t>
      </w:r>
      <w:r>
        <w:rPr>
          <w:rFonts w:ascii="仿宋" w:hAnsi="仿宋" w:eastAsia="仿宋" w:cs="仿宋"/>
          <w:sz w:val="28"/>
          <w:szCs w:val="28"/>
        </w:rPr>
        <w:t>提供</w:t>
      </w:r>
      <w:r>
        <w:rPr>
          <w:rFonts w:hint="eastAsia" w:ascii="仿宋" w:hAnsi="仿宋" w:eastAsia="仿宋" w:cs="仿宋"/>
          <w:sz w:val="28"/>
          <w:szCs w:val="28"/>
        </w:rPr>
        <w:t>移动平台统一底座和</w:t>
      </w:r>
      <w:r>
        <w:rPr>
          <w:rFonts w:ascii="仿宋" w:hAnsi="仿宋" w:eastAsia="仿宋" w:cs="仿宋"/>
          <w:sz w:val="28"/>
          <w:szCs w:val="28"/>
        </w:rPr>
        <w:t>移动端</w:t>
      </w:r>
      <w:r>
        <w:rPr>
          <w:rFonts w:hint="eastAsia" w:ascii="仿宋" w:hAnsi="仿宋" w:eastAsia="仿宋" w:cs="仿宋"/>
          <w:sz w:val="28"/>
          <w:szCs w:val="28"/>
        </w:rPr>
        <w:t>统一</w:t>
      </w:r>
      <w:r>
        <w:rPr>
          <w:rFonts w:ascii="仿宋" w:hAnsi="仿宋" w:eastAsia="仿宋" w:cs="仿宋"/>
          <w:sz w:val="28"/>
          <w:szCs w:val="28"/>
        </w:rPr>
        <w:t>入口，汇聚本市各级组织的政务移动端服务，打造面向政务工作人员的一站式工作平台，通过统一应用管理、工作台、集约化管理中心，实现信息内容的整合和集中展现。</w:t>
      </w:r>
    </w:p>
    <w:p w14:paraId="1BCE6F42">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服务范围：市委部门、市人大部门、市政府部门、市政协部门、法院系统、检察院系统、人民团体、民主党派、相关中央在沪单位等系统以及其他相关单位通过一体化办公平台开展政务办公和业务处理的工作人员。</w:t>
      </w:r>
    </w:p>
    <w:p w14:paraId="49E17238">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投标产品数量及授权要求</w:t>
      </w:r>
      <w:r>
        <w:rPr>
          <w:rFonts w:hint="eastAsia" w:ascii="仿宋" w:hAnsi="仿宋" w:eastAsia="仿宋" w:cs="仿宋"/>
          <w:sz w:val="28"/>
          <w:szCs w:val="28"/>
        </w:rPr>
        <w:t>：</w:t>
      </w:r>
      <w:r>
        <w:rPr>
          <w:rFonts w:ascii="仿宋" w:hAnsi="仿宋" w:eastAsia="仿宋" w:cs="仿宋"/>
          <w:sz w:val="28"/>
          <w:szCs w:val="28"/>
        </w:rPr>
        <w:t>投标产品数量1个，用于投标的服务产品非投标方自有的情况下，需要提供原产品厂商授权书（每个产品对应一张授权书）。</w:t>
      </w:r>
    </w:p>
    <w:p w14:paraId="53352F1F">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人员要求</w:t>
      </w:r>
      <w:r>
        <w:rPr>
          <w:rFonts w:hint="eastAsia" w:ascii="仿宋" w:hAnsi="仿宋" w:eastAsia="仿宋" w:cs="仿宋"/>
          <w:sz w:val="28"/>
          <w:szCs w:val="28"/>
        </w:rPr>
        <w:t>：</w:t>
      </w:r>
      <w:r>
        <w:rPr>
          <w:rFonts w:ascii="仿宋" w:hAnsi="仿宋" w:eastAsia="仿宋" w:cs="仿宋"/>
          <w:sz w:val="28"/>
          <w:szCs w:val="28"/>
        </w:rPr>
        <w:t>每个服务产品应当提供不少于1人的专职支持人员。</w:t>
      </w:r>
    </w:p>
    <w:p w14:paraId="4ED1EE42">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部署区域</w:t>
      </w:r>
      <w:r>
        <w:rPr>
          <w:rFonts w:hint="eastAsia" w:ascii="仿宋" w:hAnsi="仿宋" w:eastAsia="仿宋" w:cs="仿宋"/>
          <w:sz w:val="28"/>
          <w:szCs w:val="28"/>
        </w:rPr>
        <w:t>：</w:t>
      </w:r>
      <w:r>
        <w:rPr>
          <w:rFonts w:ascii="仿宋" w:hAnsi="仿宋" w:eastAsia="仿宋" w:cs="仿宋"/>
          <w:sz w:val="28"/>
          <w:szCs w:val="28"/>
        </w:rPr>
        <w:t>支持在上海市级电子政务云XC云环境进行部署。</w:t>
      </w:r>
    </w:p>
    <w:p w14:paraId="12CA07CA">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部署模式</w:t>
      </w:r>
      <w:r>
        <w:rPr>
          <w:rFonts w:hint="eastAsia" w:ascii="仿宋" w:hAnsi="仿宋" w:eastAsia="仿宋" w:cs="仿宋"/>
          <w:sz w:val="28"/>
          <w:szCs w:val="28"/>
        </w:rPr>
        <w:t>：</w:t>
      </w:r>
      <w:r>
        <w:rPr>
          <w:rFonts w:ascii="仿宋" w:hAnsi="仿宋" w:eastAsia="仿宋" w:cs="仿宋"/>
          <w:sz w:val="28"/>
          <w:szCs w:val="28"/>
        </w:rPr>
        <w:t>支持单机和集群部署模式</w:t>
      </w:r>
      <w:r>
        <w:rPr>
          <w:rFonts w:hint="eastAsia" w:ascii="仿宋" w:hAnsi="仿宋" w:eastAsia="仿宋" w:cs="仿宋"/>
          <w:sz w:val="28"/>
          <w:szCs w:val="28"/>
        </w:rPr>
        <w:t>。</w:t>
      </w:r>
    </w:p>
    <w:p w14:paraId="70451B7E">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功能要求</w:t>
      </w:r>
      <w:r>
        <w:rPr>
          <w:rFonts w:hint="eastAsia" w:ascii="仿宋" w:hAnsi="仿宋" w:eastAsia="仿宋" w:cs="仿宋"/>
          <w:sz w:val="28"/>
          <w:szCs w:val="28"/>
        </w:rPr>
        <w:t>：</w:t>
      </w:r>
      <w:r>
        <w:rPr>
          <w:rFonts w:hint="eastAsia" w:ascii="仿宋" w:hAnsi="仿宋" w:eastAsia="仿宋" w:cs="仿宋"/>
          <w:sz w:val="28"/>
          <w:szCs w:val="28"/>
          <w:lang w:eastAsia="zh-CN"/>
        </w:rPr>
        <w:t>（需提供原厂承诺并加盖公章）</w:t>
      </w:r>
    </w:p>
    <w:p w14:paraId="437804A6">
      <w:pPr>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提供使用单位内部和对外的即时沟通、移动办公、音视频会议、一体化集成化办公能力，加速政府内外部信息高速流转，提升政务协同效率，满足新时代政务工作线上化、移动化协同场景的需要。</w:t>
      </w:r>
    </w:p>
    <w:p w14:paraId="182701B3">
      <w:pPr>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平台支持移动APP和PC客户端的终端呈现方式，结合协同开放平台和应用市场实现政务应用的多端统一分发和统一管理，实现用户在多端统一的登录认证和权限控制，保持用户在多端的业务一致性，为用户带来方便、快捷、良好的多端体验。</w:t>
      </w:r>
    </w:p>
    <w:p w14:paraId="78D177A1">
      <w:pPr>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平台内置即时通讯工具，提供内部即时通讯，实现单位内部的信息发送、文件传输、单点登录、在线感知、水印加密、消息提醒、视频通话，即时发送对话、消息、文件等。支持手机客户端，实现手机APP与PC端平台的无缝集成。可以快速查询历史沟通记录。支持文字、表情、图片和附件的发送。也可支持平台内相关流程、文档、人事等信息的直接关联发送。</w:t>
      </w:r>
    </w:p>
    <w:p w14:paraId="01D4D9A5">
      <w:pPr>
        <w:ind w:firstLine="560" w:firstLineChars="200"/>
        <w:rPr>
          <w:rFonts w:hint="eastAsia" w:ascii="仿宋" w:hAnsi="仿宋" w:eastAsia="仿宋"/>
          <w:sz w:val="28"/>
          <w:szCs w:val="28"/>
        </w:rPr>
      </w:pPr>
      <w:r>
        <w:rPr>
          <w:rFonts w:hint="eastAsia" w:ascii="仿宋" w:hAnsi="仿宋" w:eastAsia="仿宋"/>
          <w:sz w:val="28"/>
          <w:szCs w:val="28"/>
        </w:rPr>
        <w:t>（4）</w:t>
      </w:r>
      <w:r>
        <w:rPr>
          <w:rFonts w:ascii="仿宋" w:hAnsi="仿宋" w:eastAsia="仿宋"/>
          <w:sz w:val="28"/>
          <w:szCs w:val="28"/>
        </w:rPr>
        <w:t>针对移动终端、通信网络、移动接入、以及服务端所面临的风险和威胁提供必要的策略和措施，提供安全可信的移动互联网化办公协同能力。包括但不限于：支持禁用成员在客户端“接收”和“拍摄”的图片或视频保存到手机相册；支持禁用聊天记录分享；支持仅在当前app内复制粘贴；支持禁用文件在其他应用打开或保存到手机；支持禁用内置浏览器的复制链接、分享、在外部浏览器打开等；支持禁用通过邮件发送；支持移动端防截屏、防录屏。</w:t>
      </w:r>
    </w:p>
    <w:p w14:paraId="7B95D78B">
      <w:pPr>
        <w:ind w:firstLine="560" w:firstLineChars="200"/>
        <w:rPr>
          <w:rFonts w:hint="eastAsia" w:ascii="仿宋" w:hAnsi="仿宋" w:eastAsia="仿宋"/>
          <w:sz w:val="28"/>
          <w:szCs w:val="28"/>
        </w:rPr>
      </w:pPr>
      <w:r>
        <w:rPr>
          <w:rFonts w:hint="eastAsia" w:ascii="仿宋" w:hAnsi="仿宋" w:eastAsia="仿宋"/>
          <w:sz w:val="28"/>
          <w:szCs w:val="28"/>
        </w:rPr>
        <w:t>（5）</w:t>
      </w:r>
      <w:r>
        <w:rPr>
          <w:rFonts w:ascii="仿宋" w:hAnsi="仿宋" w:eastAsia="仿宋"/>
          <w:sz w:val="28"/>
          <w:szCs w:val="28"/>
        </w:rPr>
        <w:t>敏感词过滤，添加的关键字在聊天消息中被命中后，客户端会提示不可以发送。支持批量导入、手动添加和API接口同步多种方式，保障敏感词的快速更新。支持网址屏蔽，添加网址后，名单内的网址将不可以被访问。</w:t>
      </w:r>
    </w:p>
    <w:p w14:paraId="74FFDE9D">
      <w:pPr>
        <w:ind w:firstLine="560" w:firstLineChars="200"/>
        <w:rPr>
          <w:rFonts w:hint="eastAsia" w:ascii="仿宋" w:hAnsi="仿宋" w:eastAsia="仿宋"/>
          <w:sz w:val="28"/>
          <w:szCs w:val="28"/>
        </w:rPr>
      </w:pPr>
      <w:r>
        <w:rPr>
          <w:rFonts w:hint="eastAsia" w:ascii="仿宋" w:hAnsi="仿宋" w:eastAsia="仿宋"/>
          <w:sz w:val="28"/>
          <w:szCs w:val="28"/>
        </w:rPr>
        <w:t>（6）</w:t>
      </w:r>
      <w:r>
        <w:rPr>
          <w:rFonts w:ascii="仿宋" w:hAnsi="仿宋" w:eastAsia="仿宋"/>
          <w:sz w:val="28"/>
          <w:szCs w:val="28"/>
        </w:rPr>
        <w:t>支持控制用户登录网络环境和终端类型，比如特殊岗位在外网环境下不允许PC端登录。支持设备管理，管理员可以远程查询设备的使用情况，可指定设备下线，禁用、远程擦除数据等。</w:t>
      </w:r>
    </w:p>
    <w:p w14:paraId="08E47C05">
      <w:pPr>
        <w:ind w:firstLine="560" w:firstLineChars="200"/>
        <w:rPr>
          <w:rFonts w:hint="eastAsia" w:ascii="仿宋" w:hAnsi="仿宋" w:eastAsia="仿宋"/>
          <w:sz w:val="28"/>
          <w:szCs w:val="28"/>
        </w:rPr>
      </w:pPr>
      <w:r>
        <w:rPr>
          <w:rFonts w:hint="eastAsia" w:ascii="仿宋" w:hAnsi="仿宋" w:eastAsia="仿宋"/>
          <w:sz w:val="28"/>
          <w:szCs w:val="28"/>
        </w:rPr>
        <w:t>（7）</w:t>
      </w:r>
      <w:r>
        <w:rPr>
          <w:rFonts w:ascii="仿宋" w:hAnsi="仿宋" w:eastAsia="仿宋"/>
          <w:sz w:val="28"/>
          <w:szCs w:val="28"/>
        </w:rPr>
        <w:t>支持采用国密算法加密，实现信息传输全过程的端到端加密，支持分级加密逻辑，针对组织架构采用单位级密钥加密，针对聊天会话根据不同用户采用不同密钥加密，针对每个文件采用不同密钥加密。</w:t>
      </w:r>
    </w:p>
    <w:p w14:paraId="49A1CE5E">
      <w:pPr>
        <w:ind w:firstLine="560" w:firstLineChars="200"/>
        <w:rPr>
          <w:rFonts w:hint="eastAsia" w:ascii="仿宋" w:hAnsi="仿宋" w:eastAsia="仿宋"/>
          <w:sz w:val="28"/>
          <w:szCs w:val="28"/>
        </w:rPr>
      </w:pPr>
      <w:r>
        <w:rPr>
          <w:rFonts w:hint="eastAsia" w:ascii="仿宋" w:hAnsi="仿宋" w:eastAsia="仿宋"/>
          <w:sz w:val="28"/>
          <w:szCs w:val="28"/>
        </w:rPr>
        <w:t>（8）</w:t>
      </w:r>
      <w:r>
        <w:rPr>
          <w:rFonts w:ascii="仿宋" w:hAnsi="仿宋" w:eastAsia="仿宋"/>
          <w:sz w:val="28"/>
          <w:szCs w:val="28"/>
        </w:rPr>
        <w:t>单人音视频通话不受并发限制，支持所有用户同时使用互联网终端并发音视频通话。</w:t>
      </w:r>
    </w:p>
    <w:p w14:paraId="41992EDC">
      <w:pPr>
        <w:ind w:firstLine="560" w:firstLineChars="200"/>
        <w:rPr>
          <w:rFonts w:hint="eastAsia" w:ascii="仿宋" w:hAnsi="仿宋" w:eastAsia="仿宋"/>
          <w:sz w:val="28"/>
          <w:szCs w:val="28"/>
        </w:rPr>
      </w:pPr>
      <w:r>
        <w:rPr>
          <w:rFonts w:hint="eastAsia" w:ascii="仿宋" w:hAnsi="仿宋" w:eastAsia="仿宋"/>
          <w:sz w:val="28"/>
          <w:szCs w:val="28"/>
        </w:rPr>
        <w:t>（9）</w:t>
      </w:r>
      <w:r>
        <w:rPr>
          <w:rFonts w:ascii="仿宋" w:hAnsi="仿宋" w:eastAsia="仿宋"/>
          <w:sz w:val="28"/>
          <w:szCs w:val="28"/>
        </w:rPr>
        <w:t>支持H5形式的应用对接集成，并为</w:t>
      </w:r>
      <w:r>
        <w:rPr>
          <w:rFonts w:hint="eastAsia" w:ascii="仿宋" w:hAnsi="仿宋" w:eastAsia="仿宋"/>
          <w:sz w:val="28"/>
          <w:szCs w:val="28"/>
        </w:rPr>
        <w:t>H5</w:t>
      </w:r>
      <w:r>
        <w:rPr>
          <w:rFonts w:ascii="仿宋" w:hAnsi="仿宋" w:eastAsia="仿宋"/>
          <w:sz w:val="28"/>
          <w:szCs w:val="28"/>
        </w:rPr>
        <w:t>开放界面交互、导航栏、背景、置顶、自定义组件、下载、上传、数据缓存、媒体、视频、音频、录音、相机、富文本、位置、文件、陀螺仪、扫码、振动等接口。</w:t>
      </w:r>
    </w:p>
    <w:p w14:paraId="36952449">
      <w:pPr>
        <w:ind w:firstLine="560" w:firstLineChars="200"/>
        <w:rPr>
          <w:rFonts w:hint="eastAsia" w:ascii="仿宋" w:hAnsi="仿宋" w:eastAsia="仿宋"/>
          <w:sz w:val="28"/>
          <w:szCs w:val="28"/>
        </w:rPr>
      </w:pPr>
      <w:r>
        <w:rPr>
          <w:rFonts w:hint="eastAsia" w:ascii="仿宋" w:hAnsi="仿宋" w:eastAsia="仿宋"/>
          <w:sz w:val="28"/>
          <w:szCs w:val="28"/>
        </w:rPr>
        <w:t>（10）持设备登录限制，如Android、windows、mac、pad、Linux、Web等。支持按部门、标签、成员等设置白名单，白名单成员不受登录客户端平台策略限制。</w:t>
      </w:r>
    </w:p>
    <w:p w14:paraId="14008BF9">
      <w:pPr>
        <w:ind w:firstLine="560" w:firstLineChars="200"/>
        <w:rPr>
          <w:rFonts w:hint="eastAsia" w:ascii="仿宋" w:hAnsi="仿宋" w:eastAsia="仿宋"/>
          <w:sz w:val="28"/>
          <w:szCs w:val="28"/>
        </w:rPr>
      </w:pPr>
      <w:r>
        <w:rPr>
          <w:rFonts w:hint="eastAsia" w:ascii="仿宋" w:hAnsi="仿宋" w:eastAsia="仿宋"/>
          <w:sz w:val="28"/>
          <w:szCs w:val="28"/>
        </w:rPr>
        <w:t>（11）移动端信息防泄漏:支持禁用成员在客户端“接收”和“拍摄”的图片或视频保存到手机相册;支持禁用聊天记录分享;支持仅在当前app内复制粘贴;支持禁用文件在其他应用打开或保存到手机:支持禁用内置浏览器的复制链接、分享、在外部浏览器打开等;支持禁用通过邮件发送;支持移动端防截屏、防录屏。</w:t>
      </w:r>
    </w:p>
    <w:p w14:paraId="1AB04293">
      <w:pPr>
        <w:ind w:firstLine="560" w:firstLineChars="200"/>
        <w:rPr>
          <w:rFonts w:hint="eastAsia" w:ascii="仿宋" w:hAnsi="仿宋" w:eastAsia="仿宋"/>
          <w:sz w:val="28"/>
          <w:szCs w:val="28"/>
        </w:rPr>
      </w:pPr>
      <w:r>
        <w:rPr>
          <w:rFonts w:hint="eastAsia" w:ascii="仿宋" w:hAnsi="仿宋" w:eastAsia="仿宋"/>
          <w:sz w:val="28"/>
          <w:szCs w:val="28"/>
        </w:rPr>
        <w:t>（12）要求服务器端私有化部署到用户的网络环境中，数据存储在用户机房，在与互联网的连接完全断开的情况下(即与互联网物理隔离的环境下)，可以支持纯内部网络环境下的即时通讯、通讯录访问、应用访问等功能。</w:t>
      </w:r>
    </w:p>
    <w:p w14:paraId="6CDB6EA9">
      <w:pPr>
        <w:ind w:firstLine="560" w:firstLineChars="200"/>
        <w:rPr>
          <w:rFonts w:hint="eastAsia" w:ascii="仿宋" w:hAnsi="仿宋" w:eastAsia="仿宋"/>
          <w:sz w:val="28"/>
          <w:szCs w:val="28"/>
          <w:lang w:eastAsia="zh-CN"/>
        </w:rPr>
      </w:pPr>
      <w:r>
        <w:rPr>
          <w:rFonts w:hint="eastAsia" w:ascii="仿宋" w:hAnsi="仿宋" w:eastAsia="仿宋"/>
          <w:sz w:val="28"/>
          <w:szCs w:val="28"/>
        </w:rPr>
        <w:t>（13）服务器端支持在搭载国产芯片和国产操作系统的环境中部署</w:t>
      </w:r>
      <w:r>
        <w:rPr>
          <w:rFonts w:hint="eastAsia" w:ascii="仿宋" w:hAnsi="仿宋" w:eastAsia="仿宋"/>
          <w:sz w:val="28"/>
          <w:szCs w:val="28"/>
          <w:lang w:eastAsia="zh-CN"/>
        </w:rPr>
        <w:t>：</w:t>
      </w:r>
      <w:r>
        <w:rPr>
          <w:rFonts w:hint="eastAsia" w:ascii="仿宋" w:hAnsi="仿宋" w:eastAsia="仿宋"/>
          <w:sz w:val="28"/>
          <w:szCs w:val="28"/>
        </w:rPr>
        <w:t>服务器端支持在搭载国产芯片的环境中部署，针对鲲鹏、海光、飞腾环境部署</w:t>
      </w:r>
      <w:r>
        <w:rPr>
          <w:rFonts w:hint="eastAsia" w:ascii="仿宋" w:hAnsi="仿宋" w:eastAsia="仿宋"/>
          <w:sz w:val="28"/>
          <w:szCs w:val="28"/>
          <w:lang w:eastAsia="zh-CN"/>
        </w:rPr>
        <w:t>；</w:t>
      </w:r>
      <w:r>
        <w:rPr>
          <w:rFonts w:hint="eastAsia" w:ascii="仿宋" w:hAnsi="仿宋" w:eastAsia="仿宋"/>
          <w:sz w:val="28"/>
          <w:szCs w:val="28"/>
        </w:rPr>
        <w:t>服务器端支持国产操作系统上进行部署，针对麒麟和统信UOS部署</w:t>
      </w:r>
      <w:r>
        <w:rPr>
          <w:rFonts w:hint="eastAsia" w:ascii="仿宋" w:hAnsi="仿宋" w:eastAsia="仿宋"/>
          <w:sz w:val="28"/>
          <w:szCs w:val="28"/>
          <w:lang w:eastAsia="zh-CN"/>
        </w:rPr>
        <w:t>。</w:t>
      </w:r>
      <w:bookmarkStart w:id="38" w:name="_GoBack"/>
      <w:bookmarkEnd w:id="38"/>
    </w:p>
    <w:p w14:paraId="39F95F22">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性能要求</w:t>
      </w:r>
      <w:r>
        <w:rPr>
          <w:rFonts w:hint="eastAsia" w:ascii="仿宋" w:hAnsi="仿宋" w:eastAsia="仿宋" w:cs="仿宋"/>
          <w:sz w:val="28"/>
          <w:szCs w:val="28"/>
        </w:rPr>
        <w:t>：</w:t>
      </w:r>
    </w:p>
    <w:p w14:paraId="1ED91704">
      <w:pPr>
        <w:ind w:firstLine="560" w:firstLineChars="200"/>
        <w:rPr>
          <w:rFonts w:hint="eastAsia" w:ascii="仿宋" w:hAnsi="仿宋" w:eastAsia="仿宋"/>
          <w:sz w:val="28"/>
          <w:szCs w:val="28"/>
        </w:rPr>
      </w:pPr>
      <w:r>
        <w:rPr>
          <w:rFonts w:hint="eastAsia" w:ascii="仿宋" w:hAnsi="仿宋" w:eastAsia="仿宋"/>
          <w:sz w:val="28"/>
          <w:szCs w:val="28"/>
        </w:rPr>
        <w:t>（1）具备</w:t>
      </w:r>
      <w:r>
        <w:rPr>
          <w:rFonts w:ascii="仿宋" w:hAnsi="仿宋" w:eastAsia="仿宋"/>
          <w:sz w:val="28"/>
          <w:szCs w:val="28"/>
        </w:rPr>
        <w:t>支持不少于30万用户账号开通</w:t>
      </w:r>
      <w:r>
        <w:rPr>
          <w:rFonts w:hint="eastAsia" w:ascii="仿宋" w:hAnsi="仿宋" w:eastAsia="仿宋"/>
          <w:sz w:val="28"/>
          <w:szCs w:val="28"/>
        </w:rPr>
        <w:t>的能力。具备支持月平均活跃用户不少于6万的能力。</w:t>
      </w:r>
    </w:p>
    <w:p w14:paraId="7482DC2A">
      <w:pPr>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消息业务响应速度（包含各类文本信息、群聊)≤3s。</w:t>
      </w:r>
    </w:p>
    <w:p w14:paraId="33533E4C">
      <w:pPr>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系统平均响应时间≤3s。</w:t>
      </w:r>
    </w:p>
    <w:p w14:paraId="2B916F7A">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兼容性要求</w:t>
      </w:r>
      <w:r>
        <w:rPr>
          <w:rFonts w:hint="eastAsia" w:ascii="仿宋" w:hAnsi="仿宋" w:eastAsia="仿宋" w:cs="仿宋"/>
          <w:sz w:val="28"/>
          <w:szCs w:val="28"/>
        </w:rPr>
        <w:t>：</w:t>
      </w:r>
    </w:p>
    <w:p w14:paraId="78F715C6">
      <w:pPr>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支持工作台集成H5应用。</w:t>
      </w:r>
    </w:p>
    <w:p w14:paraId="7FC0A1B3">
      <w:pPr>
        <w:ind w:firstLine="560" w:firstLineChars="200"/>
        <w:rPr>
          <w:rFonts w:hint="eastAsia"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取得商用密码产品检测认证证书。</w:t>
      </w:r>
    </w:p>
    <w:p w14:paraId="1D51991A">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安全性要求</w:t>
      </w:r>
      <w:r>
        <w:rPr>
          <w:rFonts w:hint="eastAsia" w:ascii="仿宋" w:hAnsi="仿宋" w:eastAsia="仿宋" w:cs="仿宋"/>
          <w:sz w:val="28"/>
          <w:szCs w:val="28"/>
        </w:rPr>
        <w:t>：</w:t>
      </w:r>
    </w:p>
    <w:p w14:paraId="5B068596">
      <w:pPr>
        <w:ind w:firstLine="560" w:firstLineChars="200"/>
        <w:rPr>
          <w:rFonts w:hint="eastAsia" w:ascii="仿宋" w:hAnsi="仿宋" w:eastAsia="仿宋"/>
          <w:sz w:val="28"/>
          <w:szCs w:val="28"/>
        </w:rPr>
      </w:pPr>
      <w:r>
        <w:rPr>
          <w:rFonts w:hint="eastAsia" w:ascii="仿宋" w:hAnsi="仿宋" w:eastAsia="仿宋"/>
          <w:sz w:val="28"/>
          <w:szCs w:val="28"/>
        </w:rPr>
        <w:t>（1）</w:t>
      </w:r>
      <w:r>
        <w:rPr>
          <w:rFonts w:ascii="仿宋" w:hAnsi="仿宋" w:eastAsia="仿宋"/>
          <w:sz w:val="28"/>
          <w:szCs w:val="28"/>
        </w:rPr>
        <w:t>数据安全性要求：依照两副本模式存储，保障数据一致性，防止数据丢失。</w:t>
      </w:r>
    </w:p>
    <w:p w14:paraId="65D5712D">
      <w:pPr>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提供的软件产品通过第三方</w:t>
      </w:r>
      <w:r>
        <w:rPr>
          <w:rFonts w:hint="eastAsia" w:ascii="仿宋" w:hAnsi="仿宋" w:eastAsia="仿宋"/>
          <w:sz w:val="28"/>
          <w:szCs w:val="28"/>
        </w:rPr>
        <w:t>等保测评</w:t>
      </w:r>
      <w:r>
        <w:rPr>
          <w:rFonts w:ascii="仿宋" w:hAnsi="仿宋" w:eastAsia="仿宋"/>
          <w:sz w:val="28"/>
          <w:szCs w:val="28"/>
        </w:rPr>
        <w:t>。</w:t>
      </w:r>
    </w:p>
    <w:p w14:paraId="085215AA">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服务要求</w:t>
      </w:r>
      <w:r>
        <w:rPr>
          <w:rFonts w:hint="eastAsia" w:ascii="仿宋" w:hAnsi="仿宋" w:eastAsia="仿宋" w:cs="仿宋"/>
          <w:sz w:val="28"/>
          <w:szCs w:val="28"/>
        </w:rPr>
        <w:t>：</w:t>
      </w:r>
      <w:r>
        <w:rPr>
          <w:rFonts w:ascii="仿宋" w:hAnsi="仿宋" w:eastAsia="仿宋" w:cs="仿宋"/>
          <w:sz w:val="28"/>
          <w:szCs w:val="28"/>
        </w:rPr>
        <w:t>提供包括不限于该服务的安装使用材料、产品使用介质、版本升级介质、产品API、适配改造、安全问题修复、应急保障、产品文档、培训咨询、巡检服务、性能调优、重要活动和重大节假日现场值守保障等保障服务。</w:t>
      </w:r>
    </w:p>
    <w:p w14:paraId="589332AF">
      <w:pPr>
        <w:widowControl/>
        <w:numPr>
          <w:ilvl w:val="0"/>
          <w:numId w:val="4"/>
        </w:numPr>
        <w:topLinePunct/>
        <w:adjustRightInd w:val="0"/>
        <w:snapToGrid w:val="0"/>
        <w:spacing w:before="120" w:after="120" w:line="360" w:lineRule="auto"/>
        <w:rPr>
          <w:rFonts w:hint="eastAsia" w:ascii="仿宋" w:hAnsi="仿宋" w:eastAsia="仿宋" w:cs="仿宋"/>
          <w:sz w:val="28"/>
          <w:szCs w:val="28"/>
        </w:rPr>
      </w:pPr>
      <w:r>
        <w:rPr>
          <w:rFonts w:ascii="仿宋" w:hAnsi="仿宋" w:eastAsia="仿宋" w:cs="仿宋"/>
          <w:sz w:val="28"/>
          <w:szCs w:val="28"/>
        </w:rPr>
        <w:t>对接要求</w:t>
      </w:r>
      <w:r>
        <w:rPr>
          <w:rFonts w:hint="eastAsia" w:ascii="仿宋" w:hAnsi="仿宋" w:eastAsia="仿宋" w:cs="仿宋"/>
          <w:sz w:val="28"/>
          <w:szCs w:val="28"/>
        </w:rPr>
        <w:t>：</w:t>
      </w:r>
      <w:r>
        <w:rPr>
          <w:rFonts w:ascii="仿宋" w:hAnsi="仿宋" w:eastAsia="仿宋" w:cs="仿宋"/>
          <w:sz w:val="28"/>
          <w:szCs w:val="28"/>
        </w:rPr>
        <w:t>提供服务产品对接的API接口，对接内容包括不限于产品使用情况、计量基础数据、运行监控数据、事件告警等内容。</w:t>
      </w:r>
    </w:p>
    <w:p w14:paraId="02A0A749">
      <w:pPr>
        <w:widowControl/>
        <w:numPr>
          <w:ilvl w:val="0"/>
          <w:numId w:val="4"/>
        </w:numPr>
        <w:topLinePunct/>
        <w:adjustRightInd w:val="0"/>
        <w:snapToGrid w:val="0"/>
        <w:spacing w:before="120" w:after="120" w:line="360" w:lineRule="auto"/>
        <w:rPr>
          <w:rFonts w:hint="eastAsia" w:ascii="仿宋" w:hAnsi="仿宋" w:eastAsia="仿宋"/>
          <w:sz w:val="28"/>
          <w:szCs w:val="28"/>
        </w:rPr>
      </w:pPr>
      <w:r>
        <w:rPr>
          <w:rFonts w:ascii="仿宋" w:hAnsi="仿宋" w:eastAsia="仿宋" w:cs="仿宋"/>
          <w:sz w:val="28"/>
          <w:szCs w:val="28"/>
        </w:rPr>
        <w:t>验收考核要求</w:t>
      </w:r>
      <w:r>
        <w:rPr>
          <w:rFonts w:hint="eastAsia" w:ascii="仿宋" w:hAnsi="仿宋" w:eastAsia="仿宋" w:cs="仿宋"/>
          <w:sz w:val="28"/>
          <w:szCs w:val="28"/>
        </w:rPr>
        <w:t>：</w:t>
      </w:r>
    </w:p>
    <w:p w14:paraId="7C2A8BD8">
      <w:pPr>
        <w:widowControl/>
        <w:topLinePunct/>
        <w:adjustRightInd w:val="0"/>
        <w:snapToGrid w:val="0"/>
        <w:spacing w:before="120" w:after="120" w:line="360" w:lineRule="auto"/>
        <w:ind w:firstLine="560" w:firstLineChars="200"/>
        <w:rPr>
          <w:rFonts w:hint="eastAsia" w:ascii="仿宋" w:hAnsi="仿宋" w:eastAsia="仿宋"/>
          <w:sz w:val="28"/>
          <w:szCs w:val="28"/>
        </w:rPr>
      </w:pPr>
      <w:r>
        <w:rPr>
          <w:rFonts w:hint="eastAsia" w:ascii="仿宋" w:hAnsi="仿宋" w:eastAsia="仿宋" w:cs="仿宋"/>
          <w:sz w:val="28"/>
          <w:szCs w:val="28"/>
        </w:rPr>
        <w:t>（1）</w:t>
      </w:r>
      <w:r>
        <w:rPr>
          <w:rFonts w:ascii="仿宋" w:hAnsi="仿宋" w:eastAsia="仿宋" w:cs="仿宋"/>
          <w:sz w:val="28"/>
          <w:szCs w:val="28"/>
        </w:rPr>
        <w:t>满足以上人员要求、部署要求、功能要求、性能</w:t>
      </w:r>
      <w:r>
        <w:rPr>
          <w:rFonts w:ascii="仿宋" w:hAnsi="仿宋" w:eastAsia="仿宋"/>
          <w:sz w:val="28"/>
          <w:szCs w:val="28"/>
        </w:rPr>
        <w:t>要求、兼容性要求、安全性要求、服务要求、管理要求。</w:t>
      </w:r>
    </w:p>
    <w:p w14:paraId="0743CC71">
      <w:pPr>
        <w:spacing w:before="120" w:after="120"/>
        <w:ind w:firstLine="560" w:firstLineChars="200"/>
        <w:rPr>
          <w:rFonts w:hint="eastAsia" w:ascii="仿宋" w:hAnsi="仿宋" w:eastAsia="仿宋"/>
          <w:sz w:val="28"/>
          <w:szCs w:val="28"/>
        </w:rPr>
      </w:pPr>
      <w:r>
        <w:rPr>
          <w:rFonts w:hint="eastAsia" w:ascii="仿宋" w:hAnsi="仿宋" w:eastAsia="仿宋"/>
          <w:sz w:val="28"/>
          <w:szCs w:val="28"/>
        </w:rPr>
        <w:t>（2）</w:t>
      </w:r>
      <w:r>
        <w:rPr>
          <w:rFonts w:ascii="仿宋" w:hAnsi="仿宋" w:eastAsia="仿宋"/>
          <w:sz w:val="28"/>
          <w:szCs w:val="28"/>
        </w:rPr>
        <w:t>提供服务对应软件产品的使用详情，以及提供用户开通授权的使用详情。</w:t>
      </w:r>
    </w:p>
    <w:p w14:paraId="479722CA">
      <w:pPr>
        <w:ind w:firstLine="560" w:firstLineChars="200"/>
        <w:rPr>
          <w:rFonts w:hint="eastAsia" w:ascii="仿宋" w:hAnsi="仿宋" w:eastAsia="仿宋"/>
          <w:sz w:val="28"/>
          <w:szCs w:val="28"/>
        </w:rPr>
      </w:pPr>
      <w:r>
        <w:rPr>
          <w:rFonts w:hint="eastAsia" w:ascii="仿宋" w:hAnsi="仿宋" w:eastAsia="仿宋"/>
          <w:sz w:val="28"/>
          <w:szCs w:val="28"/>
        </w:rPr>
        <w:t>（3）</w:t>
      </w:r>
      <w:r>
        <w:rPr>
          <w:rFonts w:ascii="仿宋" w:hAnsi="仿宋" w:eastAsia="仿宋"/>
          <w:sz w:val="28"/>
          <w:szCs w:val="28"/>
        </w:rPr>
        <w:t>服务结算按照已开通的用户并且在服务期内实际使用的用户进行结算，服务期内已开通的用户无登录使用记录的，不在结算范围内。</w:t>
      </w:r>
    </w:p>
    <w:bookmarkEnd w:id="4"/>
    <w:p w14:paraId="2B51AC2F">
      <w:pPr>
        <w:pStyle w:val="3"/>
        <w:spacing w:before="240" w:after="240" w:line="360" w:lineRule="auto"/>
        <w:ind w:left="0"/>
        <w:jc w:val="left"/>
        <w:rPr>
          <w:rFonts w:hint="eastAsia" w:ascii="仿宋" w:hAnsi="仿宋" w:cs="仿宋"/>
        </w:rPr>
      </w:pPr>
      <w:r>
        <w:rPr>
          <w:rFonts w:hint="eastAsia" w:ascii="仿宋" w:hAnsi="仿宋" w:cs="仿宋"/>
        </w:rPr>
        <w:t>原厂授权要求</w:t>
      </w:r>
    </w:p>
    <w:tbl>
      <w:tblPr>
        <w:tblStyle w:val="24"/>
        <w:tblW w:w="5000" w:type="pct"/>
        <w:jc w:val="center"/>
        <w:tblLayout w:type="autofit"/>
        <w:tblCellMar>
          <w:top w:w="0" w:type="dxa"/>
          <w:left w:w="0" w:type="dxa"/>
          <w:bottom w:w="0" w:type="dxa"/>
          <w:right w:w="0" w:type="dxa"/>
        </w:tblCellMar>
      </w:tblPr>
      <w:tblGrid>
        <w:gridCol w:w="799"/>
        <w:gridCol w:w="2936"/>
        <w:gridCol w:w="2371"/>
        <w:gridCol w:w="2220"/>
      </w:tblGrid>
      <w:tr w14:paraId="141387AD">
        <w:tblPrEx>
          <w:tblCellMar>
            <w:top w:w="0" w:type="dxa"/>
            <w:left w:w="0" w:type="dxa"/>
            <w:bottom w:w="0" w:type="dxa"/>
            <w:right w:w="0" w:type="dxa"/>
          </w:tblCellMar>
        </w:tblPrEx>
        <w:trPr>
          <w:trHeight w:val="290" w:hRule="atLeast"/>
          <w:jc w:val="center"/>
        </w:trPr>
        <w:tc>
          <w:tcPr>
            <w:tcW w:w="480"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77476076">
            <w:pPr>
              <w:jc w:val="center"/>
              <w:textAlignment w:val="center"/>
              <w:rPr>
                <w:rFonts w:hint="eastAsia" w:ascii="仿宋" w:hAnsi="仿宋" w:eastAsia="仿宋" w:cs="微软雅黑"/>
                <w:b/>
                <w:color w:val="000000"/>
                <w:sz w:val="28"/>
                <w:szCs w:val="28"/>
              </w:rPr>
            </w:pPr>
            <w:r>
              <w:rPr>
                <w:rFonts w:ascii="仿宋" w:hAnsi="仿宋" w:eastAsia="仿宋" w:cs="微软雅黑"/>
                <w:b/>
                <w:color w:val="000000"/>
                <w:kern w:val="0"/>
                <w:sz w:val="28"/>
                <w:szCs w:val="28"/>
              </w:rPr>
              <w:t>序号</w:t>
            </w:r>
          </w:p>
        </w:tc>
        <w:tc>
          <w:tcPr>
            <w:tcW w:w="176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084C8376">
            <w:pPr>
              <w:jc w:val="center"/>
              <w:textAlignment w:val="center"/>
              <w:rPr>
                <w:rFonts w:hint="eastAsia" w:ascii="仿宋" w:hAnsi="仿宋" w:eastAsia="仿宋" w:cs="微软雅黑"/>
                <w:b/>
                <w:color w:val="000000"/>
                <w:sz w:val="28"/>
                <w:szCs w:val="28"/>
              </w:rPr>
            </w:pPr>
            <w:r>
              <w:rPr>
                <w:rFonts w:ascii="仿宋" w:hAnsi="仿宋" w:eastAsia="仿宋" w:cs="微软雅黑"/>
                <w:b/>
                <w:color w:val="000000"/>
                <w:kern w:val="0"/>
                <w:sz w:val="28"/>
                <w:szCs w:val="28"/>
              </w:rPr>
              <w:t>名称</w:t>
            </w:r>
          </w:p>
        </w:tc>
        <w:tc>
          <w:tcPr>
            <w:tcW w:w="1424"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7A5BEB41">
            <w:pPr>
              <w:jc w:val="center"/>
              <w:textAlignment w:val="center"/>
              <w:rPr>
                <w:rFonts w:hint="eastAsia" w:ascii="仿宋" w:hAnsi="仿宋" w:eastAsia="仿宋" w:cs="微软雅黑"/>
                <w:b/>
                <w:color w:val="000000"/>
                <w:sz w:val="28"/>
                <w:szCs w:val="28"/>
              </w:rPr>
            </w:pPr>
            <w:r>
              <w:rPr>
                <w:rFonts w:ascii="仿宋" w:hAnsi="仿宋" w:eastAsia="仿宋" w:cs="微软雅黑"/>
                <w:b/>
                <w:color w:val="000000"/>
                <w:kern w:val="0"/>
                <w:sz w:val="28"/>
                <w:szCs w:val="28"/>
              </w:rPr>
              <w:t>投标产品数量上线</w:t>
            </w:r>
          </w:p>
        </w:tc>
        <w:tc>
          <w:tcPr>
            <w:tcW w:w="13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335D0EF4">
            <w:pPr>
              <w:jc w:val="center"/>
              <w:textAlignment w:val="center"/>
              <w:rPr>
                <w:rFonts w:hint="eastAsia" w:ascii="仿宋" w:hAnsi="仿宋" w:eastAsia="仿宋" w:cs="微软雅黑"/>
                <w:b/>
                <w:color w:val="000000"/>
                <w:sz w:val="28"/>
                <w:szCs w:val="28"/>
              </w:rPr>
            </w:pPr>
            <w:r>
              <w:rPr>
                <w:rFonts w:ascii="仿宋" w:hAnsi="仿宋" w:eastAsia="仿宋" w:cs="微软雅黑"/>
                <w:b/>
                <w:color w:val="000000"/>
                <w:kern w:val="0"/>
                <w:sz w:val="28"/>
                <w:szCs w:val="28"/>
              </w:rPr>
              <w:t>原厂授权</w:t>
            </w:r>
            <w:r>
              <w:rPr>
                <w:rFonts w:ascii="仿宋" w:hAnsi="仿宋" w:eastAsia="仿宋" w:cs="微软雅黑"/>
                <w:b/>
                <w:color w:val="000000"/>
                <w:sz w:val="28"/>
                <w:szCs w:val="28"/>
                <w:vertAlign w:val="superscript"/>
              </w:rPr>
              <w:t>*</w:t>
            </w:r>
          </w:p>
        </w:tc>
      </w:tr>
      <w:tr w14:paraId="7AB751E4">
        <w:tblPrEx>
          <w:tblCellMar>
            <w:top w:w="0" w:type="dxa"/>
            <w:left w:w="0" w:type="dxa"/>
            <w:bottom w:w="0" w:type="dxa"/>
            <w:right w:w="0" w:type="dxa"/>
          </w:tblCellMar>
        </w:tblPrEx>
        <w:trPr>
          <w:trHeight w:val="290" w:hRule="atLeast"/>
          <w:jc w:val="center"/>
        </w:trPr>
        <w:tc>
          <w:tcPr>
            <w:tcW w:w="480"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C48B3F1">
            <w:pPr>
              <w:spacing w:before="62" w:beforeLines="20" w:after="62" w:afterLines="20"/>
              <w:jc w:val="center"/>
              <w:textAlignment w:val="center"/>
              <w:rPr>
                <w:rFonts w:hint="eastAsia" w:ascii="仿宋" w:hAnsi="仿宋" w:eastAsia="仿宋" w:cs="微软雅黑"/>
                <w:color w:val="000000"/>
                <w:sz w:val="28"/>
                <w:szCs w:val="28"/>
              </w:rPr>
            </w:pPr>
            <w:r>
              <w:rPr>
                <w:rFonts w:ascii="仿宋" w:hAnsi="仿宋" w:eastAsia="仿宋" w:cs="微软雅黑"/>
                <w:color w:val="000000"/>
                <w:kern w:val="0"/>
                <w:sz w:val="28"/>
                <w:szCs w:val="28"/>
              </w:rPr>
              <w:t>1</w:t>
            </w:r>
          </w:p>
        </w:tc>
        <w:tc>
          <w:tcPr>
            <w:tcW w:w="176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1C2BF1F4">
            <w:pPr>
              <w:spacing w:before="62" w:beforeLines="20" w:after="62" w:afterLines="20"/>
              <w:jc w:val="center"/>
              <w:textAlignment w:val="center"/>
              <w:rPr>
                <w:rFonts w:hint="eastAsia" w:ascii="仿宋" w:hAnsi="仿宋" w:eastAsia="仿宋" w:cs="微软雅黑"/>
                <w:color w:val="000000"/>
                <w:sz w:val="28"/>
                <w:szCs w:val="28"/>
              </w:rPr>
            </w:pPr>
            <w:r>
              <w:rPr>
                <w:rFonts w:ascii="仿宋" w:hAnsi="仿宋" w:eastAsia="仿宋" w:cs="微软雅黑"/>
                <w:color w:val="000000"/>
                <w:kern w:val="0"/>
                <w:sz w:val="28"/>
                <w:szCs w:val="28"/>
              </w:rPr>
              <w:t>创新区域政务移动端</w:t>
            </w:r>
          </w:p>
        </w:tc>
        <w:tc>
          <w:tcPr>
            <w:tcW w:w="1424"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5CEDE977">
            <w:pPr>
              <w:spacing w:before="62" w:beforeLines="20" w:after="62" w:afterLines="20"/>
              <w:jc w:val="center"/>
              <w:textAlignment w:val="center"/>
              <w:rPr>
                <w:rFonts w:hint="eastAsia" w:ascii="仿宋" w:hAnsi="仿宋" w:eastAsia="仿宋" w:cs="微软雅黑"/>
                <w:color w:val="000000"/>
                <w:sz w:val="28"/>
                <w:szCs w:val="28"/>
              </w:rPr>
            </w:pPr>
            <w:r>
              <w:rPr>
                <w:rFonts w:ascii="仿宋" w:hAnsi="仿宋" w:eastAsia="仿宋" w:cs="微软雅黑"/>
                <w:color w:val="000000"/>
                <w:kern w:val="0"/>
                <w:sz w:val="28"/>
                <w:szCs w:val="28"/>
              </w:rPr>
              <w:t>1</w:t>
            </w:r>
          </w:p>
        </w:tc>
        <w:tc>
          <w:tcPr>
            <w:tcW w:w="1333"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2E22738A">
            <w:pPr>
              <w:spacing w:before="62" w:beforeLines="20" w:after="62" w:afterLines="20"/>
              <w:jc w:val="center"/>
              <w:textAlignment w:val="center"/>
              <w:rPr>
                <w:rFonts w:hint="eastAsia" w:ascii="仿宋" w:hAnsi="仿宋" w:eastAsia="仿宋" w:cs="微软雅黑"/>
                <w:color w:val="000000"/>
                <w:sz w:val="28"/>
                <w:szCs w:val="28"/>
              </w:rPr>
            </w:pPr>
            <w:r>
              <w:rPr>
                <w:rFonts w:ascii="仿宋" w:hAnsi="仿宋" w:eastAsia="仿宋" w:cs="微软雅黑"/>
                <w:color w:val="000000"/>
                <w:kern w:val="0"/>
                <w:sz w:val="28"/>
                <w:szCs w:val="28"/>
              </w:rPr>
              <w:t>需要</w:t>
            </w:r>
          </w:p>
        </w:tc>
      </w:tr>
    </w:tbl>
    <w:p w14:paraId="65CD9315">
      <w:pPr>
        <w:rPr>
          <w:rFonts w:hint="eastAsia" w:ascii="仿宋" w:hAnsi="仿宋" w:eastAsia="仿宋"/>
          <w:sz w:val="28"/>
          <w:szCs w:val="28"/>
        </w:rPr>
      </w:pPr>
      <w:r>
        <w:rPr>
          <w:rFonts w:ascii="仿宋" w:hAnsi="仿宋" w:eastAsia="仿宋"/>
          <w:sz w:val="28"/>
          <w:szCs w:val="28"/>
        </w:rPr>
        <w:t>1.如为投标人自有产品，需提供承诺函。</w:t>
      </w:r>
    </w:p>
    <w:p w14:paraId="1A908531">
      <w:pPr>
        <w:rPr>
          <w:rFonts w:hint="eastAsia" w:ascii="仿宋" w:hAnsi="仿宋" w:eastAsia="仿宋"/>
          <w:sz w:val="28"/>
          <w:szCs w:val="28"/>
        </w:rPr>
      </w:pPr>
      <w:r>
        <w:rPr>
          <w:rFonts w:ascii="仿宋" w:hAnsi="仿宋" w:eastAsia="仿宋"/>
          <w:sz w:val="28"/>
          <w:szCs w:val="28"/>
        </w:rPr>
        <w:t>2.如非投标人自有产品，需提供原厂授权，每个产品对应一张授权书。</w:t>
      </w:r>
    </w:p>
    <w:p w14:paraId="734D64F0">
      <w:pPr>
        <w:pStyle w:val="2"/>
        <w:spacing w:before="240" w:after="240" w:line="360" w:lineRule="auto"/>
        <w:ind w:left="0"/>
        <w:rPr>
          <w:rFonts w:hint="eastAsia" w:ascii="仿宋" w:hAnsi="仿宋" w:eastAsia="仿宋" w:cs="仿宋"/>
        </w:rPr>
      </w:pPr>
      <w:r>
        <w:rPr>
          <w:rFonts w:hint="eastAsia" w:ascii="仿宋" w:hAnsi="仿宋" w:eastAsia="仿宋" w:cs="仿宋"/>
        </w:rPr>
        <w:t>软件系统运维需求</w:t>
      </w:r>
      <w:bookmarkEnd w:id="2"/>
    </w:p>
    <w:p w14:paraId="7B2649E3">
      <w:pPr>
        <w:ind w:firstLine="420"/>
        <w:rPr>
          <w:rFonts w:hint="eastAsia" w:ascii="仿宋" w:hAnsi="仿宋" w:eastAsia="仿宋" w:cs="仿宋"/>
          <w:sz w:val="28"/>
          <w:szCs w:val="28"/>
        </w:rPr>
      </w:pPr>
      <w:r>
        <w:rPr>
          <w:rFonts w:hint="eastAsia" w:ascii="仿宋" w:hAnsi="仿宋" w:eastAsia="仿宋" w:cs="仿宋"/>
          <w:sz w:val="28"/>
          <w:szCs w:val="28"/>
        </w:rPr>
        <w:t>在中标后应当对提供的服务内容提供培训服务、运维保障、迭代升级、安全保障等服务。包括但不限于政务云服务的环境搭建、软件安装、运维支持、业务场景接入、服务使用培训等内容，以及按照承诺的服务标准提供各类售后服务和服务的升级维护。</w:t>
      </w:r>
    </w:p>
    <w:p w14:paraId="06ED8FAA">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投标人在中标后提供热线电话、电子邮件和在线网站等技术支持方式，提供</w:t>
      </w:r>
      <w:r>
        <w:rPr>
          <w:rFonts w:ascii="仿宋" w:hAnsi="仿宋" w:eastAsia="仿宋" w:cs="仿宋"/>
          <w:sz w:val="28"/>
          <w:szCs w:val="28"/>
        </w:rPr>
        <w:t xml:space="preserve"> 7*24 </w:t>
      </w:r>
      <w:r>
        <w:rPr>
          <w:rFonts w:hint="eastAsia" w:ascii="仿宋" w:hAnsi="仿宋" w:eastAsia="仿宋" w:cs="仿宋"/>
          <w:sz w:val="28"/>
          <w:szCs w:val="28"/>
        </w:rPr>
        <w:t>小时电话响应服务，以及</w:t>
      </w:r>
      <w:r>
        <w:rPr>
          <w:rFonts w:ascii="仿宋" w:hAnsi="仿宋" w:eastAsia="仿宋" w:cs="仿宋"/>
          <w:sz w:val="28"/>
          <w:szCs w:val="28"/>
        </w:rPr>
        <w:t>5*8</w:t>
      </w:r>
      <w:r>
        <w:rPr>
          <w:rFonts w:hint="eastAsia" w:ascii="仿宋" w:hAnsi="仿宋" w:eastAsia="仿宋" w:cs="仿宋"/>
          <w:sz w:val="28"/>
          <w:szCs w:val="28"/>
        </w:rPr>
        <w:t>小时的现场运维服务。重大节点强化保障，确保服务可用性不低于</w:t>
      </w:r>
      <w:r>
        <w:rPr>
          <w:rFonts w:ascii="仿宋" w:hAnsi="仿宋" w:eastAsia="仿宋" w:cs="仿宋"/>
          <w:sz w:val="28"/>
          <w:szCs w:val="28"/>
        </w:rPr>
        <w:t>99.99%</w:t>
      </w:r>
      <w:r>
        <w:rPr>
          <w:rFonts w:hint="eastAsia" w:ascii="仿宋" w:hAnsi="仿宋" w:eastAsia="仿宋" w:cs="仿宋"/>
          <w:sz w:val="28"/>
          <w:szCs w:val="28"/>
        </w:rPr>
        <w:t>。</w:t>
      </w:r>
    </w:p>
    <w:p w14:paraId="62AD2C85">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投标人在中标后应当建立健全服务运维安全管理制度，提供服务安全保障和监控预警工作。</w:t>
      </w:r>
    </w:p>
    <w:p w14:paraId="2891DA43">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系统扩容：投标人应承诺，在日常运维过程中，当服务资源使用率超出限定额度或服务数量、功能、性能等方面不满足最终用户使用要求时，投标人需对现有服务能力进行扩容。在采购人发起扩容需求后，投标方需在</w:t>
      </w:r>
      <w:r>
        <w:rPr>
          <w:rFonts w:ascii="仿宋" w:hAnsi="仿宋" w:eastAsia="仿宋" w:cs="仿宋"/>
          <w:sz w:val="28"/>
          <w:szCs w:val="28"/>
        </w:rPr>
        <w:t>1</w:t>
      </w:r>
      <w:r>
        <w:rPr>
          <w:rFonts w:hint="eastAsia" w:ascii="仿宋" w:hAnsi="仿宋" w:eastAsia="仿宋" w:cs="仿宋"/>
          <w:sz w:val="28"/>
          <w:szCs w:val="28"/>
        </w:rPr>
        <w:t>个工作日内响应，在</w:t>
      </w:r>
      <w:r>
        <w:rPr>
          <w:rFonts w:ascii="仿宋" w:hAnsi="仿宋" w:eastAsia="仿宋" w:cs="仿宋"/>
          <w:sz w:val="28"/>
          <w:szCs w:val="28"/>
        </w:rPr>
        <w:t>2</w:t>
      </w:r>
      <w:r>
        <w:rPr>
          <w:rFonts w:hint="eastAsia" w:ascii="仿宋" w:hAnsi="仿宋" w:eastAsia="仿宋" w:cs="仿宋"/>
          <w:sz w:val="28"/>
          <w:szCs w:val="28"/>
        </w:rPr>
        <w:t>个工作日内完成扩容申请提交，同时向采购人提交扩容后服务的资源情况报告。</w:t>
      </w:r>
    </w:p>
    <w:p w14:paraId="7E6EFE0C">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日常监控、巡检：投标人在中标后应当对提供的服务进行日常监控、巡检，包括监控告警的处理，巡检异常的处理等；投标人在中标后需制定维护管理规定，并按照规定中要求维护项目以及制定详细的作业计划并执行。</w:t>
      </w:r>
    </w:p>
    <w:p w14:paraId="03151E08">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迁移及升级割接：开展业务系统迁移割接和政务云平台软硬件升级割接；中标人在升级前制定完善的操作实施方案，在方案中尽量降低对上层业务系统的影响；对于可能影响上层业务系统的各类操作，应全面评估操作影响，并提前通知采购人具体操作计划安排，在采购人的相关业务部门同意后方可执行操作。</w:t>
      </w:r>
    </w:p>
    <w:p w14:paraId="5C2DBC32">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服务升级：投标人在中标后应当承诺，在日常运维过程中提供的服务功能、性能等方面需要升级更新时，投标人在中标后应当在</w:t>
      </w:r>
      <w:r>
        <w:rPr>
          <w:rFonts w:ascii="仿宋" w:hAnsi="仿宋" w:eastAsia="仿宋" w:cs="仿宋"/>
          <w:sz w:val="28"/>
          <w:szCs w:val="28"/>
        </w:rPr>
        <w:t>2</w:t>
      </w:r>
      <w:r>
        <w:rPr>
          <w:rFonts w:hint="eastAsia" w:ascii="仿宋" w:hAnsi="仿宋" w:eastAsia="仿宋" w:cs="仿宋"/>
          <w:sz w:val="28"/>
          <w:szCs w:val="28"/>
        </w:rPr>
        <w:t>工作日内响应，经采购人确认升级方案后，按照计划完成升级任务。</w:t>
      </w:r>
    </w:p>
    <w:p w14:paraId="6199B935">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系统中断：由于服务维护等原因需要中断系统进行升级操作时，提前至少</w:t>
      </w:r>
      <w:r>
        <w:rPr>
          <w:rFonts w:ascii="仿宋" w:hAnsi="仿宋" w:eastAsia="仿宋" w:cs="仿宋"/>
          <w:sz w:val="28"/>
          <w:szCs w:val="28"/>
        </w:rPr>
        <w:t>72</w:t>
      </w:r>
      <w:r>
        <w:rPr>
          <w:rFonts w:hint="eastAsia" w:ascii="仿宋" w:hAnsi="仿宋" w:eastAsia="仿宋" w:cs="仿宋"/>
          <w:sz w:val="28"/>
          <w:szCs w:val="28"/>
        </w:rPr>
        <w:t>小时（重大自然灾害除外）通知采购人做好相关准备工作，同意后方可实施。</w:t>
      </w:r>
    </w:p>
    <w:p w14:paraId="61631E70">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配置实施及管理：进行服务各软硬件设备的基础配置、</w:t>
      </w:r>
      <w:r>
        <w:rPr>
          <w:rFonts w:ascii="仿宋" w:hAnsi="仿宋" w:eastAsia="仿宋" w:cs="仿宋"/>
          <w:sz w:val="28"/>
          <w:szCs w:val="28"/>
        </w:rPr>
        <w:t>IP</w:t>
      </w:r>
      <w:r>
        <w:rPr>
          <w:rFonts w:hint="eastAsia" w:ascii="仿宋" w:hAnsi="仿宋" w:eastAsia="仿宋" w:cs="仿宋"/>
          <w:sz w:val="28"/>
          <w:szCs w:val="28"/>
        </w:rPr>
        <w:t>配置、角色用途、账号密码等的统一配置实施及配置管理。</w:t>
      </w:r>
    </w:p>
    <w:p w14:paraId="32939604">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bookmarkStart w:id="5" w:name="OLE_LINK1"/>
      <w:bookmarkStart w:id="6" w:name="OLE_LINK2"/>
      <w:r>
        <w:rPr>
          <w:rFonts w:hint="eastAsia" w:ascii="仿宋" w:hAnsi="仿宋" w:eastAsia="仿宋" w:cs="仿宋"/>
          <w:sz w:val="28"/>
          <w:szCs w:val="28"/>
        </w:rPr>
        <w:t>应急处理和响应：投标人在中标后应当建立完善的应急管理体系，管理体系涵盖应急处理的应急等级、响应时效、职责分工和处理界面，每个处理流程留有电子化记录并在每个处理环节中落实到投标人在中标后的部门和相应的处理接口人。按照故障等级不同，需要有不同的处理时长和故障恢复时限。</w:t>
      </w:r>
    </w:p>
    <w:bookmarkEnd w:id="5"/>
    <w:bookmarkEnd w:id="6"/>
    <w:p w14:paraId="62EEDD6F">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投标人提供的服务应当包含整体平台涉及的操作系统及相关软件，以及对应的软件安装服务、软件支撑服务、软件开通服务、软件维护服务、业务场景接入服务、软件升级管理以及服务使用培训等服务。</w:t>
      </w:r>
    </w:p>
    <w:p w14:paraId="00B1DE32">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重点工作保障：节假日和重大活动等期间需配合甲方进行平台运行和信息安全的重点保障。</w:t>
      </w:r>
    </w:p>
    <w:p w14:paraId="42A5C2BC">
      <w:pPr>
        <w:widowControl/>
        <w:numPr>
          <w:ilvl w:val="0"/>
          <w:numId w:val="5"/>
        </w:numPr>
        <w:topLinePunct/>
        <w:adjustRightInd w:val="0"/>
        <w:snapToGrid w:val="0"/>
        <w:spacing w:before="120" w:after="120" w:line="360" w:lineRule="auto"/>
        <w:rPr>
          <w:rFonts w:hint="eastAsia" w:ascii="仿宋" w:hAnsi="仿宋" w:eastAsia="仿宋" w:cs="仿宋"/>
          <w:sz w:val="28"/>
          <w:szCs w:val="28"/>
        </w:rPr>
      </w:pPr>
      <w:r>
        <w:rPr>
          <w:rFonts w:hint="eastAsia" w:ascii="仿宋" w:hAnsi="仿宋" w:eastAsia="仿宋" w:cs="仿宋"/>
          <w:sz w:val="28"/>
          <w:szCs w:val="28"/>
        </w:rPr>
        <w:t>投标人应当提供服务相关的应急演练与应急响应服务，根据采购人的要求提供针对性演练，制订应急预案，每年组织至少</w:t>
      </w:r>
      <w:r>
        <w:rPr>
          <w:rFonts w:ascii="仿宋" w:hAnsi="仿宋" w:eastAsia="仿宋" w:cs="仿宋"/>
          <w:sz w:val="28"/>
          <w:szCs w:val="28"/>
        </w:rPr>
        <w:t>2</w:t>
      </w:r>
      <w:r>
        <w:rPr>
          <w:rFonts w:hint="eastAsia" w:ascii="仿宋" w:hAnsi="仿宋" w:eastAsia="仿宋" w:cs="仿宋"/>
          <w:sz w:val="28"/>
          <w:szCs w:val="28"/>
        </w:rPr>
        <w:t>次应急演练。当发生重大应急事件时，需在负责单位牵头下实施应急响应操作，并在事后制定重大事件报告。</w:t>
      </w:r>
    </w:p>
    <w:p w14:paraId="6C2C8455">
      <w:pPr>
        <w:pStyle w:val="3"/>
        <w:spacing w:line="415" w:lineRule="auto"/>
        <w:ind w:left="0"/>
        <w:jc w:val="left"/>
        <w:rPr>
          <w:rFonts w:hint="eastAsia" w:ascii="仿宋" w:hAnsi="仿宋" w:cs="仿宋"/>
        </w:rPr>
      </w:pPr>
      <w:bookmarkStart w:id="7" w:name="_Toc416277417"/>
      <w:bookmarkStart w:id="8" w:name="_Toc69194647"/>
      <w:r>
        <w:rPr>
          <w:rFonts w:hint="eastAsia" w:ascii="仿宋" w:hAnsi="仿宋" w:cs="仿宋"/>
        </w:rPr>
        <w:t>日常维护业务需求</w:t>
      </w:r>
      <w:bookmarkEnd w:id="7"/>
      <w:bookmarkEnd w:id="8"/>
      <w:bookmarkStart w:id="9" w:name="_Toc416277418"/>
    </w:p>
    <w:p w14:paraId="02DD949D">
      <w:pPr>
        <w:pStyle w:val="3"/>
        <w:spacing w:before="240" w:after="240" w:line="360" w:lineRule="auto"/>
        <w:ind w:left="0"/>
        <w:jc w:val="left"/>
        <w:rPr>
          <w:rFonts w:hint="eastAsia" w:ascii="仿宋" w:hAnsi="仿宋" w:cs="仿宋"/>
        </w:rPr>
      </w:pPr>
      <w:bookmarkStart w:id="10" w:name="_Toc69194648"/>
      <w:r>
        <w:rPr>
          <w:rFonts w:hint="eastAsia" w:ascii="仿宋" w:hAnsi="仿宋" w:cs="仿宋"/>
        </w:rPr>
        <w:t>现场值班工作需求</w:t>
      </w:r>
      <w:bookmarkEnd w:id="9"/>
      <w:bookmarkEnd w:id="10"/>
    </w:p>
    <w:p w14:paraId="099AF586">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服务提供方需建立有《系统应急预案》等相应管理制度。</w:t>
      </w:r>
    </w:p>
    <w:p w14:paraId="18C9C8C9">
      <w:pPr>
        <w:ind w:firstLine="560" w:firstLineChars="200"/>
        <w:rPr>
          <w:rFonts w:hint="eastAsia" w:ascii="仿宋" w:hAnsi="仿宋" w:eastAsia="仿宋" w:cs="仿宋"/>
          <w:sz w:val="28"/>
          <w:szCs w:val="28"/>
        </w:rPr>
      </w:pPr>
      <w:r>
        <w:rPr>
          <w:rFonts w:hint="eastAsia" w:ascii="仿宋" w:hAnsi="仿宋" w:eastAsia="仿宋" w:cs="仿宋"/>
          <w:sz w:val="28"/>
          <w:szCs w:val="28"/>
        </w:rPr>
        <w:t>现场维护人员工作日</w:t>
      </w:r>
      <w:r>
        <w:rPr>
          <w:rFonts w:ascii="仿宋" w:hAnsi="仿宋" w:eastAsia="仿宋" w:cs="仿宋"/>
          <w:sz w:val="28"/>
          <w:szCs w:val="28"/>
        </w:rPr>
        <w:t>5*8</w:t>
      </w:r>
      <w:r>
        <w:rPr>
          <w:rFonts w:hint="eastAsia" w:ascii="仿宋" w:hAnsi="仿宋" w:eastAsia="仿宋" w:cs="仿宋"/>
          <w:sz w:val="28"/>
          <w:szCs w:val="28"/>
        </w:rPr>
        <w:t>小时的现场值班工作,特殊时期内，根据要求执行值班安排。对值班情况有记录文档。遇到应急突发事件时能按照应急流程制度处理相关问题。</w:t>
      </w:r>
    </w:p>
    <w:p w14:paraId="10288CD9">
      <w:pPr>
        <w:pStyle w:val="3"/>
        <w:spacing w:before="240" w:after="240" w:line="360" w:lineRule="auto"/>
        <w:ind w:left="0"/>
        <w:jc w:val="left"/>
        <w:rPr>
          <w:rFonts w:hint="eastAsia" w:ascii="仿宋" w:hAnsi="仿宋" w:cs="仿宋"/>
        </w:rPr>
      </w:pPr>
      <w:bookmarkStart w:id="11" w:name="_Toc69194649"/>
      <w:bookmarkStart w:id="12" w:name="_Toc416277419"/>
      <w:r>
        <w:rPr>
          <w:rFonts w:hint="eastAsia" w:ascii="仿宋" w:hAnsi="仿宋" w:cs="仿宋"/>
        </w:rPr>
        <w:t>应用监控需求</w:t>
      </w:r>
      <w:bookmarkEnd w:id="11"/>
      <w:bookmarkEnd w:id="12"/>
    </w:p>
    <w:p w14:paraId="7EB01025">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服务提供方需对该系统进行日常应用监控、网页监控、服务器状态监控、应用数据同步工作，以书面或电子方式记录相关监控结果。</w:t>
      </w:r>
    </w:p>
    <w:p w14:paraId="4368638C">
      <w:pPr>
        <w:ind w:firstLine="560" w:firstLineChars="200"/>
        <w:rPr>
          <w:rFonts w:hint="eastAsia" w:ascii="仿宋" w:hAnsi="仿宋" w:eastAsia="仿宋" w:cs="仿宋"/>
          <w:sz w:val="28"/>
          <w:szCs w:val="28"/>
        </w:rPr>
      </w:pPr>
      <w:r>
        <w:rPr>
          <w:rFonts w:hint="eastAsia" w:ascii="仿宋" w:hAnsi="仿宋" w:eastAsia="仿宋" w:cs="仿宋"/>
          <w:sz w:val="28"/>
          <w:szCs w:val="28"/>
        </w:rPr>
        <w:t>对重要的应用服务器能提供实时状态监控手段和发生突发故障时的应急保障支持。</w:t>
      </w:r>
    </w:p>
    <w:p w14:paraId="16BFDD16">
      <w:pPr>
        <w:pStyle w:val="4"/>
        <w:spacing w:before="120" w:after="120" w:line="360" w:lineRule="auto"/>
        <w:ind w:left="0"/>
        <w:rPr>
          <w:rFonts w:hint="eastAsia" w:ascii="仿宋" w:hAnsi="仿宋" w:cs="仿宋"/>
        </w:rPr>
      </w:pPr>
      <w:bookmarkStart w:id="13" w:name="_Toc69194650"/>
      <w:bookmarkStart w:id="14" w:name="_Toc416277420"/>
      <w:r>
        <w:rPr>
          <w:rFonts w:hint="eastAsia" w:ascii="仿宋" w:hAnsi="仿宋" w:cs="仿宋"/>
        </w:rPr>
        <w:t>客户端维护需求</w:t>
      </w:r>
      <w:bookmarkEnd w:id="13"/>
      <w:bookmarkEnd w:id="14"/>
    </w:p>
    <w:p w14:paraId="599145B2">
      <w:pPr>
        <w:ind w:firstLine="560" w:firstLineChars="200"/>
        <w:rPr>
          <w:rFonts w:hint="eastAsia" w:ascii="仿宋" w:hAnsi="仿宋" w:eastAsia="仿宋" w:cs="仿宋"/>
          <w:sz w:val="28"/>
          <w:szCs w:val="28"/>
        </w:rPr>
      </w:pPr>
      <w:r>
        <w:rPr>
          <w:rFonts w:hint="eastAsia" w:ascii="仿宋" w:hAnsi="仿宋" w:eastAsia="仿宋" w:cs="仿宋"/>
          <w:sz w:val="28"/>
          <w:szCs w:val="28"/>
        </w:rPr>
        <w:t>现场维护人员能够为客户端提供常用软件的安装配置服务，并且为用户提供一系列的系统优化与调整。</w:t>
      </w:r>
    </w:p>
    <w:p w14:paraId="352B9A0D">
      <w:pPr>
        <w:ind w:firstLine="560" w:firstLineChars="200"/>
        <w:rPr>
          <w:rFonts w:hint="eastAsia" w:ascii="仿宋" w:hAnsi="仿宋" w:eastAsia="仿宋" w:cs="仿宋"/>
          <w:sz w:val="28"/>
          <w:szCs w:val="28"/>
        </w:rPr>
      </w:pPr>
      <w:r>
        <w:rPr>
          <w:rFonts w:hint="eastAsia" w:ascii="仿宋" w:hAnsi="仿宋" w:eastAsia="仿宋" w:cs="仿宋"/>
          <w:sz w:val="28"/>
          <w:szCs w:val="28"/>
        </w:rPr>
        <w:t>针对该系统中所需的特定软件及相关设置，需维护人员都能够给予安装调试服务。</w:t>
      </w:r>
    </w:p>
    <w:p w14:paraId="64C1BD23">
      <w:pPr>
        <w:pStyle w:val="4"/>
        <w:spacing w:before="120" w:after="120" w:line="360" w:lineRule="auto"/>
        <w:ind w:left="0"/>
        <w:rPr>
          <w:rFonts w:hint="eastAsia" w:ascii="仿宋" w:hAnsi="仿宋" w:cs="仿宋"/>
        </w:rPr>
      </w:pPr>
      <w:bookmarkStart w:id="15" w:name="_Toc416277421"/>
      <w:bookmarkStart w:id="16" w:name="_Toc69194651"/>
      <w:r>
        <w:rPr>
          <w:rFonts w:hint="eastAsia" w:ascii="仿宋" w:hAnsi="仿宋" w:cs="仿宋"/>
        </w:rPr>
        <w:t>电话/工作群支持需求</w:t>
      </w:r>
      <w:bookmarkEnd w:id="15"/>
      <w:bookmarkEnd w:id="16"/>
    </w:p>
    <w:p w14:paraId="7781CE70">
      <w:pPr>
        <w:ind w:firstLine="560" w:firstLineChars="200"/>
        <w:rPr>
          <w:rFonts w:hint="eastAsia" w:ascii="仿宋" w:hAnsi="仿宋" w:eastAsia="仿宋" w:cs="仿宋"/>
          <w:sz w:val="28"/>
          <w:szCs w:val="28"/>
        </w:rPr>
      </w:pPr>
      <w:r>
        <w:rPr>
          <w:rFonts w:hint="eastAsia" w:ascii="仿宋" w:hAnsi="仿宋" w:eastAsia="仿宋" w:cs="仿宋"/>
          <w:sz w:val="28"/>
          <w:szCs w:val="28"/>
        </w:rPr>
        <w:t>为系统提供电话/工作群（建在创新区域政务移动端）技术支持，解决业务部门在使用中遇到的相关问题，并跟踪直至问题最终解决。</w:t>
      </w:r>
    </w:p>
    <w:p w14:paraId="49D9A003">
      <w:pPr>
        <w:pStyle w:val="4"/>
        <w:spacing w:before="120" w:after="120" w:line="360" w:lineRule="auto"/>
        <w:ind w:left="0"/>
        <w:rPr>
          <w:rFonts w:hint="eastAsia" w:ascii="仿宋" w:hAnsi="仿宋" w:cs="仿宋"/>
        </w:rPr>
      </w:pPr>
      <w:bookmarkStart w:id="17" w:name="_Toc416277422"/>
      <w:bookmarkStart w:id="18" w:name="_Toc69194652"/>
      <w:r>
        <w:rPr>
          <w:rFonts w:hint="eastAsia" w:ascii="仿宋" w:hAnsi="仿宋" w:cs="仿宋"/>
        </w:rPr>
        <w:t>现场技术支持需求</w:t>
      </w:r>
      <w:bookmarkEnd w:id="17"/>
      <w:bookmarkEnd w:id="18"/>
    </w:p>
    <w:p w14:paraId="3CDC80B6">
      <w:pPr>
        <w:ind w:firstLine="560" w:firstLineChars="200"/>
        <w:rPr>
          <w:rFonts w:hint="eastAsia" w:ascii="仿宋" w:hAnsi="仿宋" w:eastAsia="仿宋" w:cs="仿宋"/>
          <w:sz w:val="28"/>
          <w:szCs w:val="28"/>
        </w:rPr>
      </w:pPr>
      <w:r>
        <w:rPr>
          <w:rFonts w:hint="eastAsia" w:ascii="仿宋" w:hAnsi="仿宋" w:eastAsia="仿宋" w:cs="仿宋"/>
          <w:sz w:val="28"/>
          <w:szCs w:val="28"/>
        </w:rPr>
        <w:t>紧急情况下，为用户提供现场技术支持服务。提供</w:t>
      </w:r>
      <w:r>
        <w:rPr>
          <w:rFonts w:hint="eastAsia" w:ascii="仿宋" w:hAnsi="仿宋" w:eastAsia="仿宋" w:cs="仿宋"/>
          <w:sz w:val="28"/>
        </w:rPr>
        <w:t>7*24 小时电话响应服务，以及5*8小时的现场运维服务。</w:t>
      </w:r>
    </w:p>
    <w:p w14:paraId="724295FD">
      <w:pPr>
        <w:ind w:firstLine="560" w:firstLineChars="200"/>
        <w:rPr>
          <w:rFonts w:hint="eastAsia" w:ascii="仿宋" w:hAnsi="仿宋" w:eastAsia="仿宋" w:cs="仿宋"/>
          <w:sz w:val="28"/>
          <w:szCs w:val="28"/>
        </w:rPr>
      </w:pPr>
      <w:r>
        <w:rPr>
          <w:rFonts w:hint="eastAsia" w:ascii="仿宋" w:hAnsi="仿宋" w:eastAsia="仿宋" w:cs="仿宋"/>
          <w:sz w:val="28"/>
          <w:szCs w:val="28"/>
        </w:rPr>
        <w:t>当用户遇到电话支持升级时（即电话支持无法解决），可由维护人员进行现场故障排查，并提供相应技术支持服务。</w:t>
      </w:r>
    </w:p>
    <w:p w14:paraId="7F80FCDF">
      <w:pPr>
        <w:ind w:firstLine="560" w:firstLineChars="200"/>
        <w:rPr>
          <w:rFonts w:hint="eastAsia" w:ascii="仿宋" w:hAnsi="仿宋" w:eastAsia="仿宋" w:cs="仿宋"/>
          <w:sz w:val="28"/>
          <w:szCs w:val="28"/>
        </w:rPr>
      </w:pPr>
      <w:r>
        <w:rPr>
          <w:rFonts w:hint="eastAsia" w:ascii="仿宋" w:hAnsi="仿宋" w:eastAsia="仿宋" w:cs="仿宋"/>
          <w:sz w:val="28"/>
          <w:szCs w:val="28"/>
        </w:rPr>
        <w:t>对部分需要现场安装调试的系统，服务提供方需要在安装前与现场工作人员取得联系，在确认计算机配置、操作系统及网络环境后进行现场安装，并提供技术保障。</w:t>
      </w:r>
    </w:p>
    <w:p w14:paraId="127201DB">
      <w:pPr>
        <w:pStyle w:val="3"/>
        <w:spacing w:before="240" w:after="240" w:line="360" w:lineRule="auto"/>
        <w:ind w:left="0"/>
        <w:jc w:val="left"/>
        <w:rPr>
          <w:rFonts w:hint="eastAsia" w:ascii="仿宋" w:hAnsi="仿宋" w:cs="仿宋"/>
        </w:rPr>
      </w:pPr>
      <w:bookmarkStart w:id="19" w:name="_Toc416277423"/>
      <w:bookmarkStart w:id="20" w:name="_Toc69194653"/>
      <w:r>
        <w:rPr>
          <w:rFonts w:hint="eastAsia" w:ascii="仿宋" w:hAnsi="仿宋" w:cs="仿宋"/>
        </w:rPr>
        <w:t>应用系统优化需求</w:t>
      </w:r>
      <w:bookmarkEnd w:id="19"/>
      <w:bookmarkEnd w:id="20"/>
    </w:p>
    <w:p w14:paraId="3ABDF85D">
      <w:pPr>
        <w:pStyle w:val="4"/>
        <w:spacing w:before="120" w:after="120" w:line="360" w:lineRule="auto"/>
        <w:ind w:left="0"/>
        <w:rPr>
          <w:rFonts w:hint="eastAsia" w:ascii="仿宋" w:hAnsi="仿宋" w:cs="仿宋"/>
        </w:rPr>
      </w:pPr>
      <w:bookmarkStart w:id="21" w:name="_Toc416277424"/>
      <w:bookmarkStart w:id="22" w:name="_Toc69194654"/>
      <w:r>
        <w:rPr>
          <w:rFonts w:hint="eastAsia" w:ascii="仿宋" w:hAnsi="仿宋" w:cs="仿宋"/>
        </w:rPr>
        <w:t>业务需求变更需求</w:t>
      </w:r>
      <w:bookmarkEnd w:id="21"/>
      <w:bookmarkEnd w:id="22"/>
    </w:p>
    <w:p w14:paraId="24EDDE67">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服务提供方需对用户提出的需求变更进行相应处置。</w:t>
      </w:r>
    </w:p>
    <w:p w14:paraId="5479EE5B">
      <w:pPr>
        <w:ind w:firstLine="560" w:firstLineChars="200"/>
        <w:rPr>
          <w:rFonts w:hint="eastAsia" w:ascii="仿宋" w:hAnsi="仿宋" w:eastAsia="仿宋" w:cs="仿宋"/>
          <w:sz w:val="28"/>
          <w:szCs w:val="28"/>
        </w:rPr>
      </w:pPr>
      <w:r>
        <w:rPr>
          <w:rFonts w:hint="eastAsia" w:ascii="仿宋" w:hAnsi="仿宋" w:eastAsia="仿宋" w:cs="仿宋"/>
          <w:sz w:val="28"/>
          <w:szCs w:val="28"/>
        </w:rPr>
        <w:t>（1）服务提供方的设计和开发人员需要保证原系统设计架构不变的情况下，对系统提供业务需求变更服务。</w:t>
      </w:r>
    </w:p>
    <w:p w14:paraId="64BA0A33">
      <w:pPr>
        <w:ind w:firstLine="560" w:firstLineChars="200"/>
        <w:rPr>
          <w:rFonts w:hint="eastAsia" w:ascii="仿宋" w:hAnsi="仿宋" w:eastAsia="仿宋" w:cs="仿宋"/>
          <w:sz w:val="28"/>
          <w:szCs w:val="28"/>
        </w:rPr>
      </w:pPr>
      <w:r>
        <w:rPr>
          <w:rFonts w:hint="eastAsia" w:ascii="仿宋" w:hAnsi="仿宋" w:eastAsia="仿宋" w:cs="仿宋"/>
          <w:sz w:val="28"/>
          <w:szCs w:val="28"/>
        </w:rPr>
        <w:t>（2）当业务部门提出需求变更时，能够安排专人负责进行需求分析，听取用户需求并与用户交换意见，提出变更中存在的问题并提供相应的解决方案。</w:t>
      </w:r>
    </w:p>
    <w:p w14:paraId="50262B01">
      <w:pPr>
        <w:ind w:firstLine="560" w:firstLineChars="200"/>
        <w:rPr>
          <w:rFonts w:hint="eastAsia" w:ascii="仿宋" w:hAnsi="仿宋" w:eastAsia="仿宋" w:cs="仿宋"/>
          <w:sz w:val="28"/>
          <w:szCs w:val="28"/>
        </w:rPr>
      </w:pPr>
      <w:r>
        <w:rPr>
          <w:rFonts w:hint="eastAsia" w:ascii="仿宋" w:hAnsi="仿宋" w:eastAsia="仿宋" w:cs="仿宋"/>
          <w:sz w:val="28"/>
          <w:szCs w:val="28"/>
        </w:rPr>
        <w:t>（3）确认需求分析后填报《需求变更设计文档》，进行业务需求变更跟踪流程，直到变更实施完成。</w:t>
      </w:r>
    </w:p>
    <w:p w14:paraId="634CB574">
      <w:pPr>
        <w:pStyle w:val="4"/>
        <w:spacing w:before="120" w:after="120" w:line="360" w:lineRule="auto"/>
        <w:ind w:left="0"/>
        <w:rPr>
          <w:rFonts w:hint="eastAsia" w:ascii="仿宋" w:hAnsi="仿宋" w:cs="仿宋"/>
        </w:rPr>
      </w:pPr>
      <w:bookmarkStart w:id="23" w:name="_Toc69194655"/>
      <w:bookmarkStart w:id="24" w:name="_Toc416277425"/>
      <w:r>
        <w:rPr>
          <w:rFonts w:hint="eastAsia" w:ascii="仿宋" w:hAnsi="仿宋" w:cs="仿宋"/>
        </w:rPr>
        <w:t>新系统设计与实施需求</w:t>
      </w:r>
      <w:bookmarkEnd w:id="23"/>
      <w:bookmarkEnd w:id="24"/>
    </w:p>
    <w:p w14:paraId="10DA1928">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服务提供方开发人员能够及时发现现有系统中的不足，在不影响现有系统正常运行的情况下不断完善业务功能。</w:t>
      </w:r>
    </w:p>
    <w:p w14:paraId="1A03CA3B">
      <w:pPr>
        <w:ind w:firstLine="560" w:firstLineChars="200"/>
        <w:rPr>
          <w:rFonts w:hint="eastAsia" w:ascii="仿宋" w:hAnsi="仿宋" w:eastAsia="仿宋" w:cs="仿宋"/>
          <w:sz w:val="28"/>
          <w:szCs w:val="28"/>
        </w:rPr>
      </w:pPr>
      <w:r>
        <w:rPr>
          <w:rFonts w:hint="eastAsia" w:ascii="仿宋" w:hAnsi="仿宋" w:eastAsia="仿宋" w:cs="仿宋"/>
          <w:sz w:val="28"/>
          <w:szCs w:val="28"/>
        </w:rPr>
        <w:t>面对重大业务需求，或提供重大活动后方保障工作时，服务提供方能够快速响应，安排相关开发人员进行调研并在第一时间内完成方案设计、系统实施、测试更新以及落实跟踪回访工作。</w:t>
      </w:r>
    </w:p>
    <w:p w14:paraId="1E7203D7">
      <w:pPr>
        <w:pStyle w:val="3"/>
        <w:spacing w:before="240" w:after="240" w:line="360" w:lineRule="auto"/>
        <w:ind w:left="0"/>
        <w:jc w:val="left"/>
        <w:rPr>
          <w:rFonts w:hint="eastAsia" w:ascii="仿宋" w:hAnsi="仿宋" w:cs="仿宋"/>
        </w:rPr>
      </w:pPr>
      <w:bookmarkStart w:id="25" w:name="_Toc69194656"/>
      <w:bookmarkStart w:id="26" w:name="_Toc416277426"/>
      <w:r>
        <w:rPr>
          <w:rFonts w:hint="eastAsia" w:ascii="仿宋" w:hAnsi="仿宋" w:cs="仿宋"/>
        </w:rPr>
        <w:t>数据库维护需求</w:t>
      </w:r>
      <w:bookmarkEnd w:id="25"/>
      <w:bookmarkEnd w:id="26"/>
    </w:p>
    <w:p w14:paraId="170A10BF">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服务提供方需有相关保障制度。能提供以下基本的维护内容项目：</w:t>
      </w:r>
    </w:p>
    <w:p w14:paraId="7831275B">
      <w:pPr>
        <w:ind w:firstLine="560" w:firstLineChars="200"/>
        <w:rPr>
          <w:rFonts w:hint="eastAsia" w:ascii="仿宋" w:hAnsi="仿宋" w:eastAsia="仿宋" w:cs="仿宋"/>
          <w:sz w:val="28"/>
          <w:szCs w:val="28"/>
        </w:rPr>
      </w:pPr>
      <w:r>
        <w:rPr>
          <w:rFonts w:hint="eastAsia" w:ascii="仿宋" w:hAnsi="仿宋" w:eastAsia="仿宋" w:cs="仿宋"/>
          <w:sz w:val="28"/>
          <w:szCs w:val="28"/>
        </w:rPr>
        <w:t>（1）对数据库情况进行每周巡检、月度系统巡检工作，在巡检完成后记录下巡检信息。</w:t>
      </w:r>
    </w:p>
    <w:p w14:paraId="10BFC233">
      <w:pPr>
        <w:ind w:firstLine="560" w:firstLineChars="200"/>
        <w:rPr>
          <w:rFonts w:hint="eastAsia" w:ascii="仿宋" w:hAnsi="仿宋" w:eastAsia="仿宋" w:cs="仿宋"/>
          <w:sz w:val="28"/>
          <w:szCs w:val="28"/>
        </w:rPr>
      </w:pPr>
      <w:r>
        <w:rPr>
          <w:rFonts w:hint="eastAsia" w:ascii="仿宋" w:hAnsi="仿宋" w:eastAsia="仿宋" w:cs="仿宋"/>
          <w:sz w:val="28"/>
          <w:szCs w:val="28"/>
        </w:rPr>
        <w:t>（2）提供两副本的业务数据服务。</w:t>
      </w:r>
    </w:p>
    <w:p w14:paraId="2789E6FC">
      <w:pPr>
        <w:ind w:firstLine="560" w:firstLineChars="200"/>
        <w:rPr>
          <w:rFonts w:hint="eastAsia" w:ascii="仿宋" w:hAnsi="仿宋" w:eastAsia="仿宋" w:cs="仿宋"/>
          <w:sz w:val="28"/>
          <w:szCs w:val="28"/>
        </w:rPr>
      </w:pPr>
      <w:r>
        <w:rPr>
          <w:rFonts w:hint="eastAsia" w:ascii="仿宋" w:hAnsi="仿宋" w:eastAsia="仿宋" w:cs="仿宋"/>
          <w:sz w:val="28"/>
          <w:szCs w:val="28"/>
        </w:rPr>
        <w:t>（3）能对与关键应用相关的数据库服务器进行性能优化以及系统优化工作。</w:t>
      </w:r>
    </w:p>
    <w:p w14:paraId="706F1DD2">
      <w:pPr>
        <w:ind w:firstLine="560" w:firstLineChars="200"/>
        <w:rPr>
          <w:rFonts w:hint="eastAsia" w:ascii="仿宋" w:hAnsi="仿宋" w:eastAsia="仿宋" w:cs="仿宋"/>
          <w:sz w:val="28"/>
          <w:szCs w:val="28"/>
        </w:rPr>
      </w:pPr>
      <w:r>
        <w:rPr>
          <w:rFonts w:hint="eastAsia" w:ascii="仿宋" w:hAnsi="仿宋" w:eastAsia="仿宋" w:cs="仿宋"/>
          <w:sz w:val="28"/>
          <w:szCs w:val="28"/>
        </w:rPr>
        <w:t>（4）当数据库发生故障时按照《应急维护方案》服务提供方相关技术支持人员能够迅速赶到现场处理问题。</w:t>
      </w:r>
    </w:p>
    <w:p w14:paraId="71D7FE0B">
      <w:pPr>
        <w:pStyle w:val="3"/>
        <w:spacing w:before="240" w:after="240" w:line="360" w:lineRule="auto"/>
        <w:ind w:left="0"/>
        <w:jc w:val="left"/>
        <w:rPr>
          <w:rFonts w:hint="eastAsia" w:ascii="仿宋" w:hAnsi="仿宋" w:cs="仿宋"/>
        </w:rPr>
      </w:pPr>
      <w:r>
        <w:rPr>
          <w:rFonts w:hint="eastAsia" w:ascii="仿宋" w:hAnsi="仿宋" w:cs="仿宋"/>
        </w:rPr>
        <w:t xml:space="preserve">信息化资产维护需求 </w:t>
      </w:r>
    </w:p>
    <w:p w14:paraId="0639D679">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需依托上海市大数据中心-一体化运营平台对该系统进行常态化的信息化资产梳理工作。包括但不限于：将系统与在用的服务器等资源进行关联；纠正更新系统基本信息；更新系统应急演练、等保备案情况等信息。</w:t>
      </w:r>
    </w:p>
    <w:p w14:paraId="73E597C7">
      <w:pPr>
        <w:pStyle w:val="2"/>
        <w:spacing w:before="240" w:after="240" w:line="360" w:lineRule="auto"/>
        <w:ind w:left="0"/>
        <w:rPr>
          <w:rFonts w:hint="eastAsia" w:ascii="仿宋" w:hAnsi="仿宋" w:eastAsia="仿宋" w:cs="仿宋"/>
        </w:rPr>
      </w:pPr>
      <w:bookmarkStart w:id="27" w:name="_Toc69194682"/>
      <w:r>
        <w:rPr>
          <w:rFonts w:hint="eastAsia" w:ascii="仿宋" w:hAnsi="仿宋" w:eastAsia="仿宋" w:cs="仿宋"/>
        </w:rPr>
        <w:t>服务质量考核</w:t>
      </w:r>
      <w:bookmarkEnd w:id="27"/>
      <w:r>
        <w:rPr>
          <w:rFonts w:hint="eastAsia" w:ascii="仿宋" w:hAnsi="仿宋" w:eastAsia="仿宋" w:cs="仿宋"/>
        </w:rPr>
        <w:t>要求</w:t>
      </w:r>
    </w:p>
    <w:p w14:paraId="4521F237">
      <w:pPr>
        <w:ind w:firstLine="560" w:firstLineChars="200"/>
        <w:rPr>
          <w:rFonts w:hint="eastAsia" w:ascii="仿宋" w:hAnsi="仿宋" w:eastAsia="仿宋" w:cs="仿宋"/>
          <w:sz w:val="28"/>
          <w:szCs w:val="28"/>
        </w:rPr>
      </w:pPr>
      <w:r>
        <w:rPr>
          <w:rFonts w:hint="eastAsia" w:ascii="仿宋" w:hAnsi="仿宋" w:eastAsia="仿宋" w:cs="仿宋"/>
          <w:sz w:val="28"/>
          <w:szCs w:val="28"/>
        </w:rPr>
        <w:t>服务质量由市大数据中心相关部门和五分中心考核。第三方监管团队应大数据中心要求，基于材料审查、实地检查、数据接口、问卷调查等多种方式，定期按考核指标进行考核。</w:t>
      </w:r>
    </w:p>
    <w:p w14:paraId="6C9F0087">
      <w:pPr>
        <w:pStyle w:val="2"/>
        <w:spacing w:before="240" w:after="240" w:line="360" w:lineRule="auto"/>
        <w:ind w:left="0"/>
        <w:rPr>
          <w:rFonts w:hint="eastAsia" w:ascii="仿宋" w:hAnsi="仿宋" w:eastAsia="仿宋" w:cs="仿宋"/>
        </w:rPr>
      </w:pPr>
      <w:bookmarkStart w:id="28" w:name="_Toc69194684"/>
      <w:r>
        <w:rPr>
          <w:rFonts w:hint="eastAsia" w:ascii="仿宋" w:hAnsi="仿宋" w:eastAsia="仿宋" w:cs="仿宋"/>
        </w:rPr>
        <w:t>验收</w:t>
      </w:r>
      <w:bookmarkEnd w:id="28"/>
      <w:r>
        <w:rPr>
          <w:rFonts w:hint="eastAsia" w:ascii="仿宋" w:hAnsi="仿宋" w:eastAsia="仿宋" w:cs="仿宋"/>
        </w:rPr>
        <w:t>要求</w:t>
      </w:r>
    </w:p>
    <w:p w14:paraId="63DE5B40">
      <w:pPr>
        <w:ind w:firstLine="560" w:firstLineChars="200"/>
        <w:rPr>
          <w:lang w:val="en-GB"/>
        </w:rPr>
      </w:pPr>
      <w:r>
        <w:rPr>
          <w:rFonts w:hint="eastAsia" w:ascii="仿宋" w:hAnsi="仿宋" w:eastAsia="仿宋" w:cs="仿宋"/>
          <w:sz w:val="28"/>
          <w:szCs w:val="28"/>
        </w:rPr>
        <w:t>本项目中</w:t>
      </w:r>
      <w:r>
        <w:rPr>
          <w:rFonts w:ascii="仿宋" w:hAnsi="仿宋" w:eastAsia="仿宋" w:cs="仿宋"/>
          <w:sz w:val="28"/>
          <w:szCs w:val="28"/>
        </w:rPr>
        <w:t>应当根据本市和市大数据中心数字化项目验收要求提供相关材料，并指派专人负责验收。</w:t>
      </w:r>
      <w:r>
        <w:rPr>
          <w:rFonts w:hint="eastAsia" w:ascii="仿宋" w:hAnsi="仿宋" w:eastAsia="仿宋" w:cs="仿宋"/>
          <w:sz w:val="28"/>
          <w:szCs w:val="28"/>
        </w:rPr>
        <w:t>采购人在收到投标人提交材料后的</w:t>
      </w:r>
      <w:r>
        <w:rPr>
          <w:rFonts w:ascii="仿宋" w:hAnsi="仿宋" w:eastAsia="仿宋" w:cs="仿宋"/>
          <w:sz w:val="28"/>
          <w:szCs w:val="28"/>
        </w:rPr>
        <w:t>20</w:t>
      </w:r>
      <w:r>
        <w:rPr>
          <w:rFonts w:hint="eastAsia" w:ascii="仿宋" w:hAnsi="仿宋" w:eastAsia="仿宋" w:cs="仿宋"/>
          <w:sz w:val="28"/>
          <w:szCs w:val="28"/>
        </w:rPr>
        <w:t>个工作日内组织验收。如属于投标人原因致使未能通过验收的，投标人应当在</w:t>
      </w:r>
      <w:r>
        <w:rPr>
          <w:rFonts w:ascii="仿宋" w:hAnsi="仿宋" w:eastAsia="仿宋" w:cs="仿宋"/>
          <w:sz w:val="28"/>
          <w:szCs w:val="28"/>
        </w:rPr>
        <w:t>15</w:t>
      </w:r>
      <w:r>
        <w:rPr>
          <w:rFonts w:hint="eastAsia" w:ascii="仿宋" w:hAnsi="仿宋" w:eastAsia="仿宋" w:cs="仿宋"/>
          <w:sz w:val="28"/>
          <w:szCs w:val="28"/>
        </w:rPr>
        <w:t>个工作日内进行整改，并自行承担相关整改费用，再次接受采购人的验收，直至符合约定要求。采购人有权委托第三方机构进行验收，对此投标人应当配合。如本项目连续</w:t>
      </w:r>
      <w:r>
        <w:rPr>
          <w:rFonts w:ascii="仿宋" w:hAnsi="仿宋" w:eastAsia="仿宋" w:cs="仿宋"/>
          <w:sz w:val="28"/>
          <w:szCs w:val="28"/>
        </w:rPr>
        <w:t>3</w:t>
      </w:r>
      <w:r>
        <w:rPr>
          <w:rFonts w:hint="eastAsia" w:ascii="仿宋" w:hAnsi="仿宋" w:eastAsia="仿宋" w:cs="仿宋"/>
          <w:sz w:val="28"/>
          <w:szCs w:val="28"/>
        </w:rPr>
        <w:t>次验收未通过，采购人有权解除项目并追究投标人的违约责任。</w:t>
      </w:r>
    </w:p>
    <w:p w14:paraId="2AE420DF">
      <w:pPr>
        <w:ind w:firstLine="560" w:firstLineChars="200"/>
        <w:rPr>
          <w:rFonts w:hint="eastAsia" w:ascii="仿宋" w:hAnsi="仿宋" w:eastAsia="仿宋" w:cs="仿宋"/>
          <w:sz w:val="28"/>
          <w:szCs w:val="28"/>
          <w:lang w:val="en-GB"/>
        </w:rPr>
      </w:pPr>
      <w:r>
        <w:rPr>
          <w:rFonts w:ascii="仿宋" w:hAnsi="仿宋" w:eastAsia="仿宋" w:cs="仿宋"/>
          <w:sz w:val="28"/>
          <w:szCs w:val="28"/>
        </w:rPr>
        <w:t>服务期限终止前，投标人应当以书面形式向采购人提交验收材料，包括不限于</w:t>
      </w:r>
      <w:r>
        <w:rPr>
          <w:rFonts w:hint="eastAsia" w:ascii="仿宋" w:hAnsi="仿宋" w:eastAsia="仿宋" w:cs="仿宋"/>
          <w:sz w:val="28"/>
          <w:szCs w:val="28"/>
        </w:rPr>
        <w:t>招标文件、投标文件、合同、用户操作手册、</w:t>
      </w:r>
      <w:r>
        <w:rPr>
          <w:rFonts w:ascii="仿宋" w:hAnsi="仿宋" w:eastAsia="仿宋" w:cs="仿宋"/>
          <w:sz w:val="28"/>
          <w:szCs w:val="28"/>
        </w:rPr>
        <w:t>项目实施方案</w:t>
      </w:r>
      <w:r>
        <w:rPr>
          <w:rFonts w:hint="eastAsia" w:ascii="仿宋" w:hAnsi="仿宋" w:eastAsia="仿宋" w:cs="仿宋"/>
          <w:sz w:val="28"/>
          <w:szCs w:val="28"/>
        </w:rPr>
        <w:t>及</w:t>
      </w:r>
      <w:r>
        <w:rPr>
          <w:rFonts w:ascii="仿宋" w:hAnsi="仿宋" w:eastAsia="仿宋" w:cs="仿宋"/>
          <w:sz w:val="28"/>
          <w:szCs w:val="28"/>
        </w:rPr>
        <w:t>计划、项目运行维护</w:t>
      </w:r>
      <w:r>
        <w:rPr>
          <w:rFonts w:hint="eastAsia" w:ascii="仿宋" w:hAnsi="仿宋" w:eastAsia="仿宋" w:cs="仿宋"/>
          <w:sz w:val="28"/>
          <w:szCs w:val="28"/>
        </w:rPr>
        <w:t>记录</w:t>
      </w:r>
      <w:r>
        <w:rPr>
          <w:rFonts w:ascii="仿宋" w:hAnsi="仿宋" w:eastAsia="仿宋" w:cs="仿宋"/>
          <w:sz w:val="28"/>
          <w:szCs w:val="28"/>
        </w:rPr>
        <w:t>、应急预案、项目完成情况确认表、项目过程性材</w:t>
      </w:r>
      <w:r>
        <w:rPr>
          <w:rFonts w:hint="eastAsia" w:ascii="仿宋" w:hAnsi="仿宋" w:eastAsia="仿宋" w:cs="仿宋"/>
          <w:sz w:val="28"/>
          <w:szCs w:val="28"/>
        </w:rPr>
        <w:t>料（会议纪要、用户培训记录、应急演练记录等）、第三方测试测评报告及本项目总结报告等。</w:t>
      </w:r>
    </w:p>
    <w:p w14:paraId="0CCDDF29">
      <w:pPr>
        <w:pStyle w:val="2"/>
        <w:spacing w:before="240" w:after="240" w:line="360" w:lineRule="auto"/>
        <w:ind w:left="0"/>
        <w:rPr>
          <w:rFonts w:hint="eastAsia" w:ascii="仿宋" w:hAnsi="仿宋" w:eastAsia="仿宋" w:cs="仿宋"/>
        </w:rPr>
      </w:pPr>
      <w:bookmarkStart w:id="29" w:name="_Toc69194683"/>
      <w:r>
        <w:rPr>
          <w:rFonts w:hint="eastAsia" w:ascii="仿宋" w:hAnsi="仿宋" w:eastAsia="仿宋" w:cs="仿宋"/>
        </w:rPr>
        <w:t>付款方式</w:t>
      </w:r>
      <w:bookmarkEnd w:id="29"/>
    </w:p>
    <w:p w14:paraId="50F6DAB2">
      <w:pPr>
        <w:ind w:firstLine="561"/>
        <w:rPr>
          <w:rFonts w:hint="eastAsia" w:ascii="仿宋" w:hAnsi="仿宋" w:eastAsia="仿宋" w:cs="仿宋"/>
          <w:sz w:val="28"/>
          <w:szCs w:val="20"/>
        </w:rPr>
      </w:pPr>
      <w:r>
        <w:rPr>
          <w:rFonts w:hint="eastAsia" w:ascii="仿宋" w:hAnsi="仿宋" w:eastAsia="仿宋" w:cs="仿宋"/>
          <w:sz w:val="28"/>
          <w:szCs w:val="20"/>
        </w:rPr>
        <w:t>1、预付费：合同签订生效且收到发票后10个工作日内甲方向乙方预付服务费用100万元。该预付费用于抵扣将来实际发生的服务费用。</w:t>
      </w:r>
    </w:p>
    <w:p w14:paraId="2A20C537">
      <w:pPr>
        <w:ind w:firstLine="561"/>
        <w:rPr>
          <w:rFonts w:hint="eastAsia" w:ascii="仿宋" w:hAnsi="仿宋" w:eastAsia="仿宋" w:cs="仿宋"/>
          <w:sz w:val="28"/>
          <w:szCs w:val="20"/>
        </w:rPr>
      </w:pPr>
      <w:r>
        <w:rPr>
          <w:rFonts w:hint="eastAsia" w:ascii="仿宋" w:hAnsi="仿宋" w:eastAsia="仿宋" w:cs="仿宋"/>
          <w:sz w:val="28"/>
          <w:szCs w:val="20"/>
        </w:rPr>
        <w:t>2、进度服务费1：合同周期过半、通过甲方组织的本项目周期检查且甲方收到乙方开具的等额发票后10个工作日内，支付至合同金额的50%。</w:t>
      </w:r>
    </w:p>
    <w:p w14:paraId="607D4800">
      <w:pPr>
        <w:ind w:firstLine="561"/>
        <w:rPr>
          <w:rFonts w:hint="eastAsia" w:ascii="仿宋" w:hAnsi="仿宋" w:eastAsia="仿宋" w:cs="仿宋"/>
          <w:sz w:val="28"/>
          <w:szCs w:val="20"/>
        </w:rPr>
      </w:pPr>
      <w:r>
        <w:rPr>
          <w:rFonts w:hint="eastAsia" w:ascii="仿宋" w:hAnsi="仿宋" w:eastAsia="仿宋" w:cs="仿宋"/>
          <w:sz w:val="28"/>
          <w:szCs w:val="20"/>
        </w:rPr>
        <w:t>3、进度服务费2：通过甲方组织的本项目周期验收且甲方收到乙方开具的等额发票后10个工作日内，支付至合同金额的80%。</w:t>
      </w:r>
    </w:p>
    <w:p w14:paraId="4E033472">
      <w:pPr>
        <w:ind w:firstLine="561"/>
        <w:rPr>
          <w:rFonts w:hint="eastAsia" w:ascii="仿宋" w:hAnsi="仿宋" w:eastAsia="仿宋" w:cs="仿宋"/>
          <w:sz w:val="28"/>
          <w:szCs w:val="20"/>
        </w:rPr>
      </w:pPr>
      <w:r>
        <w:rPr>
          <w:rFonts w:hint="eastAsia" w:ascii="仿宋" w:hAnsi="仿宋" w:eastAsia="仿宋" w:cs="仿宋"/>
          <w:sz w:val="28"/>
          <w:szCs w:val="20"/>
        </w:rPr>
        <w:t>4、服务费尾款：最终验收通过后，甲方根据上级主管部门审定的最终合同总价与已支付服务费（即预付费+两次进度服务费）的情况与乙方结算服务费尾款。若已支付服务费＜本项目最终合同总价，甲方在乙方开具等额发票后的10个工作日内支付服务费尾款。若已支付服务费≥本项目最终合同总价，则按财政管理规定做好后续结算处理。乙方在此同意接受上级主管部门审定的最终合同总价。</w:t>
      </w:r>
    </w:p>
    <w:p w14:paraId="0259F706">
      <w:pPr>
        <w:ind w:firstLine="561"/>
        <w:rPr>
          <w:rFonts w:hint="eastAsia" w:ascii="仿宋" w:hAnsi="仿宋" w:eastAsia="仿宋" w:cs="仿宋"/>
          <w:sz w:val="28"/>
          <w:szCs w:val="20"/>
        </w:rPr>
      </w:pPr>
      <w:r>
        <w:rPr>
          <w:rFonts w:hint="eastAsia" w:ascii="仿宋" w:hAnsi="仿宋" w:eastAsia="仿宋" w:cs="仿宋"/>
          <w:sz w:val="28"/>
          <w:szCs w:val="20"/>
        </w:rPr>
        <w:t>5、本项目最终实际结算价格不超过项目预算人民币1000万元。</w:t>
      </w:r>
    </w:p>
    <w:p w14:paraId="77C014F9">
      <w:pPr>
        <w:pStyle w:val="2"/>
        <w:spacing w:before="240" w:after="240" w:line="360" w:lineRule="auto"/>
        <w:ind w:left="0"/>
        <w:rPr>
          <w:rFonts w:hint="eastAsia" w:ascii="仿宋" w:hAnsi="仿宋" w:eastAsia="仿宋" w:cs="仿宋"/>
        </w:rPr>
      </w:pPr>
      <w:bookmarkStart w:id="30" w:name="_Toc212716336"/>
      <w:bookmarkStart w:id="31" w:name="_Toc64623483"/>
      <w:r>
        <w:rPr>
          <w:rFonts w:hint="eastAsia" w:ascii="仿宋" w:hAnsi="仿宋" w:eastAsia="仿宋" w:cs="仿宋"/>
        </w:rPr>
        <w:t>报价一览表</w:t>
      </w:r>
      <w:bookmarkEnd w:id="30"/>
      <w:bookmarkEnd w:id="31"/>
    </w:p>
    <w:p w14:paraId="1EF183F4">
      <w:pPr>
        <w:spacing w:line="360" w:lineRule="auto"/>
        <w:rPr>
          <w:rFonts w:hint="eastAsia" w:ascii="仿宋" w:hAnsi="仿宋" w:eastAsia="仿宋"/>
          <w:sz w:val="28"/>
          <w:szCs w:val="28"/>
        </w:rPr>
      </w:pPr>
      <w:r>
        <w:rPr>
          <w:rFonts w:ascii="仿宋" w:hAnsi="仿宋" w:eastAsia="仿宋"/>
          <w:sz w:val="28"/>
          <w:szCs w:val="28"/>
        </w:rPr>
        <w:t>项目名称：市政务云创新区域政务移动端服务</w:t>
      </w:r>
      <w:r>
        <w:rPr>
          <w:rFonts w:hint="eastAsia" w:ascii="仿宋" w:hAnsi="仿宋" w:eastAsia="仿宋"/>
          <w:sz w:val="28"/>
          <w:szCs w:val="28"/>
        </w:rPr>
        <w:t>（2025-2026年）</w:t>
      </w:r>
    </w:p>
    <w:p w14:paraId="47A65B83">
      <w:pPr>
        <w:spacing w:line="360" w:lineRule="auto"/>
        <w:rPr>
          <w:rFonts w:hint="eastAsia" w:ascii="仿宋" w:hAnsi="仿宋" w:eastAsia="仿宋"/>
          <w:sz w:val="28"/>
          <w:szCs w:val="28"/>
        </w:rPr>
      </w:pP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431"/>
        <w:gridCol w:w="785"/>
        <w:gridCol w:w="696"/>
        <w:gridCol w:w="1052"/>
        <w:gridCol w:w="854"/>
        <w:gridCol w:w="431"/>
        <w:gridCol w:w="1281"/>
        <w:gridCol w:w="1147"/>
        <w:gridCol w:w="1743"/>
      </w:tblGrid>
      <w:tr w14:paraId="00E42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5" w:hRule="atLeast"/>
          <w:jc w:val="center"/>
        </w:trPr>
        <w:tc>
          <w:tcPr>
            <w:tcW w:w="250" w:type="pct"/>
            <w:vMerge w:val="restart"/>
            <w:vAlign w:val="center"/>
          </w:tcPr>
          <w:p w14:paraId="2403CCF3">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序号</w:t>
            </w:r>
          </w:p>
        </w:tc>
        <w:tc>
          <w:tcPr>
            <w:tcW w:w="456" w:type="pct"/>
            <w:vMerge w:val="restart"/>
            <w:vAlign w:val="center"/>
          </w:tcPr>
          <w:p w14:paraId="40DA4DAF">
            <w:pPr>
              <w:jc w:val="center"/>
              <w:rPr>
                <w:rFonts w:hint="eastAsia" w:ascii="仿宋" w:hAnsi="仿宋" w:eastAsia="仿宋"/>
                <w:b/>
                <w:bCs/>
                <w:color w:val="000000"/>
                <w:sz w:val="22"/>
                <w:szCs w:val="28"/>
              </w:rPr>
            </w:pPr>
            <w:r>
              <w:rPr>
                <w:rFonts w:hint="eastAsia" w:ascii="仿宋" w:hAnsi="仿宋" w:eastAsia="仿宋"/>
                <w:b/>
                <w:bCs/>
                <w:color w:val="000000"/>
                <w:sz w:val="22"/>
                <w:szCs w:val="28"/>
              </w:rPr>
              <w:t>服务类别</w:t>
            </w:r>
          </w:p>
        </w:tc>
        <w:tc>
          <w:tcPr>
            <w:tcW w:w="404" w:type="pct"/>
            <w:vMerge w:val="restart"/>
            <w:vAlign w:val="center"/>
          </w:tcPr>
          <w:p w14:paraId="11E31063">
            <w:pPr>
              <w:jc w:val="center"/>
              <w:rPr>
                <w:rFonts w:hint="eastAsia" w:ascii="仿宋" w:hAnsi="仿宋" w:eastAsia="仿宋"/>
                <w:b/>
                <w:bCs/>
                <w:color w:val="000000"/>
                <w:sz w:val="22"/>
                <w:szCs w:val="28"/>
              </w:rPr>
            </w:pPr>
            <w:r>
              <w:rPr>
                <w:rFonts w:hint="eastAsia" w:ascii="仿宋" w:hAnsi="仿宋" w:eastAsia="仿宋"/>
                <w:b/>
                <w:bCs/>
                <w:color w:val="000000"/>
                <w:sz w:val="22"/>
                <w:szCs w:val="28"/>
              </w:rPr>
              <w:t>服务子类</w:t>
            </w:r>
          </w:p>
        </w:tc>
        <w:tc>
          <w:tcPr>
            <w:tcW w:w="611" w:type="pct"/>
            <w:vMerge w:val="restart"/>
            <w:vAlign w:val="center"/>
          </w:tcPr>
          <w:p w14:paraId="4EF86953">
            <w:pPr>
              <w:jc w:val="center"/>
              <w:rPr>
                <w:rFonts w:hint="eastAsia" w:ascii="仿宋" w:hAnsi="仿宋" w:eastAsia="仿宋"/>
                <w:b/>
                <w:bCs/>
                <w:color w:val="000000"/>
                <w:sz w:val="22"/>
                <w:szCs w:val="28"/>
              </w:rPr>
            </w:pPr>
            <w:r>
              <w:rPr>
                <w:rFonts w:hint="eastAsia" w:ascii="仿宋" w:hAnsi="仿宋" w:eastAsia="仿宋"/>
                <w:b/>
                <w:bCs/>
                <w:color w:val="000000"/>
                <w:sz w:val="22"/>
                <w:szCs w:val="28"/>
              </w:rPr>
              <w:t>服务项</w:t>
            </w:r>
          </w:p>
        </w:tc>
        <w:tc>
          <w:tcPr>
            <w:tcW w:w="496" w:type="pct"/>
            <w:vMerge w:val="restart"/>
            <w:vAlign w:val="center"/>
          </w:tcPr>
          <w:p w14:paraId="2AED7A4F">
            <w:pPr>
              <w:jc w:val="center"/>
              <w:rPr>
                <w:rFonts w:hint="eastAsia" w:ascii="仿宋" w:hAnsi="仿宋" w:eastAsia="仿宋"/>
                <w:b/>
                <w:bCs/>
                <w:color w:val="000000"/>
                <w:sz w:val="22"/>
                <w:szCs w:val="28"/>
              </w:rPr>
            </w:pPr>
            <w:r>
              <w:rPr>
                <w:rFonts w:hint="eastAsia" w:ascii="仿宋" w:hAnsi="仿宋" w:eastAsia="仿宋"/>
                <w:b/>
                <w:bCs/>
                <w:color w:val="000000"/>
                <w:sz w:val="22"/>
                <w:szCs w:val="28"/>
              </w:rPr>
              <w:t>服务子项</w:t>
            </w:r>
          </w:p>
        </w:tc>
        <w:tc>
          <w:tcPr>
            <w:tcW w:w="250" w:type="pct"/>
            <w:vMerge w:val="restart"/>
            <w:vAlign w:val="center"/>
          </w:tcPr>
          <w:p w14:paraId="7379E46A">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单位</w:t>
            </w:r>
          </w:p>
        </w:tc>
        <w:tc>
          <w:tcPr>
            <w:tcW w:w="2422" w:type="pct"/>
            <w:gridSpan w:val="3"/>
            <w:vAlign w:val="center"/>
          </w:tcPr>
          <w:p w14:paraId="263CADCC">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创新服务</w:t>
            </w:r>
          </w:p>
        </w:tc>
      </w:tr>
      <w:tr w14:paraId="6E291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250" w:type="pct"/>
            <w:vMerge w:val="continue"/>
            <w:vAlign w:val="center"/>
          </w:tcPr>
          <w:p w14:paraId="4B7326C8">
            <w:pPr>
              <w:rPr>
                <w:rFonts w:hint="eastAsia" w:ascii="仿宋" w:hAnsi="仿宋" w:eastAsia="仿宋"/>
                <w:b/>
                <w:bCs/>
                <w:color w:val="000000"/>
                <w:sz w:val="22"/>
                <w:szCs w:val="28"/>
              </w:rPr>
            </w:pPr>
          </w:p>
        </w:tc>
        <w:tc>
          <w:tcPr>
            <w:tcW w:w="456" w:type="pct"/>
            <w:vMerge w:val="continue"/>
            <w:vAlign w:val="center"/>
          </w:tcPr>
          <w:p w14:paraId="1BA3B508">
            <w:pPr>
              <w:rPr>
                <w:rFonts w:hint="eastAsia" w:ascii="仿宋" w:hAnsi="仿宋" w:eastAsia="仿宋"/>
                <w:b/>
                <w:bCs/>
                <w:color w:val="000000"/>
                <w:sz w:val="22"/>
                <w:szCs w:val="28"/>
              </w:rPr>
            </w:pPr>
          </w:p>
        </w:tc>
        <w:tc>
          <w:tcPr>
            <w:tcW w:w="404" w:type="pct"/>
            <w:vMerge w:val="continue"/>
            <w:vAlign w:val="center"/>
          </w:tcPr>
          <w:p w14:paraId="7264A1D6">
            <w:pPr>
              <w:rPr>
                <w:rFonts w:hint="eastAsia" w:ascii="仿宋" w:hAnsi="仿宋" w:eastAsia="仿宋"/>
                <w:b/>
                <w:bCs/>
                <w:color w:val="000000"/>
                <w:sz w:val="22"/>
                <w:szCs w:val="28"/>
              </w:rPr>
            </w:pPr>
          </w:p>
        </w:tc>
        <w:tc>
          <w:tcPr>
            <w:tcW w:w="611" w:type="pct"/>
            <w:vMerge w:val="continue"/>
            <w:vAlign w:val="center"/>
          </w:tcPr>
          <w:p w14:paraId="19A175D9">
            <w:pPr>
              <w:rPr>
                <w:rFonts w:hint="eastAsia" w:ascii="仿宋" w:hAnsi="仿宋" w:eastAsia="仿宋"/>
                <w:b/>
                <w:bCs/>
                <w:color w:val="000000"/>
                <w:sz w:val="22"/>
                <w:szCs w:val="28"/>
              </w:rPr>
            </w:pPr>
          </w:p>
        </w:tc>
        <w:tc>
          <w:tcPr>
            <w:tcW w:w="496" w:type="pct"/>
            <w:vMerge w:val="continue"/>
            <w:vAlign w:val="center"/>
          </w:tcPr>
          <w:p w14:paraId="6232B6E9">
            <w:pPr>
              <w:rPr>
                <w:rFonts w:hint="eastAsia" w:ascii="仿宋" w:hAnsi="仿宋" w:eastAsia="仿宋"/>
                <w:b/>
                <w:bCs/>
                <w:color w:val="000000"/>
                <w:sz w:val="22"/>
                <w:szCs w:val="28"/>
              </w:rPr>
            </w:pPr>
          </w:p>
        </w:tc>
        <w:tc>
          <w:tcPr>
            <w:tcW w:w="250" w:type="pct"/>
            <w:vMerge w:val="continue"/>
            <w:vAlign w:val="center"/>
          </w:tcPr>
          <w:p w14:paraId="4E9FE182">
            <w:pPr>
              <w:rPr>
                <w:rFonts w:hint="eastAsia" w:ascii="仿宋" w:hAnsi="仿宋" w:eastAsia="仿宋"/>
                <w:b/>
                <w:bCs/>
                <w:color w:val="000000"/>
                <w:sz w:val="22"/>
                <w:szCs w:val="28"/>
              </w:rPr>
            </w:pPr>
          </w:p>
        </w:tc>
        <w:tc>
          <w:tcPr>
            <w:tcW w:w="744" w:type="pct"/>
            <w:vAlign w:val="center"/>
          </w:tcPr>
          <w:p w14:paraId="669B2266">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单价限价（元/年）</w:t>
            </w:r>
          </w:p>
        </w:tc>
        <w:tc>
          <w:tcPr>
            <w:tcW w:w="666" w:type="pct"/>
            <w:vAlign w:val="center"/>
          </w:tcPr>
          <w:p w14:paraId="68838BA7">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单位报价（元/年）</w:t>
            </w:r>
          </w:p>
        </w:tc>
        <w:tc>
          <w:tcPr>
            <w:tcW w:w="1011" w:type="pct"/>
            <w:vAlign w:val="center"/>
          </w:tcPr>
          <w:p w14:paraId="7BD3246B">
            <w:pPr>
              <w:jc w:val="center"/>
              <w:rPr>
                <w:rFonts w:hint="eastAsia" w:ascii="仿宋" w:hAnsi="仿宋" w:eastAsia="仿宋"/>
                <w:b/>
                <w:bCs/>
                <w:color w:val="000000"/>
                <w:sz w:val="22"/>
                <w:szCs w:val="28"/>
              </w:rPr>
            </w:pPr>
            <w:r>
              <w:rPr>
                <w:rFonts w:hint="eastAsia" w:ascii="仿宋" w:hAnsi="仿宋" w:eastAsia="仿宋"/>
                <w:b/>
                <w:bCs/>
                <w:color w:val="000000"/>
                <w:sz w:val="22"/>
                <w:szCs w:val="28"/>
              </w:rPr>
              <w:t>年封顶价*（元）</w:t>
            </w:r>
          </w:p>
        </w:tc>
      </w:tr>
      <w:tr w14:paraId="21D4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0" w:hRule="atLeast"/>
          <w:jc w:val="center"/>
        </w:trPr>
        <w:tc>
          <w:tcPr>
            <w:tcW w:w="250" w:type="pct"/>
            <w:vMerge w:val="restart"/>
            <w:vAlign w:val="center"/>
          </w:tcPr>
          <w:p w14:paraId="3AFD8129">
            <w:pPr>
              <w:jc w:val="center"/>
              <w:rPr>
                <w:rFonts w:hint="eastAsia" w:ascii="仿宋" w:hAnsi="仿宋" w:eastAsia="仿宋"/>
                <w:color w:val="000000"/>
                <w:sz w:val="22"/>
                <w:szCs w:val="28"/>
              </w:rPr>
            </w:pPr>
            <w:r>
              <w:rPr>
                <w:rFonts w:hint="eastAsia" w:ascii="仿宋" w:hAnsi="仿宋" w:eastAsia="仿宋"/>
                <w:color w:val="000000"/>
                <w:sz w:val="22"/>
                <w:szCs w:val="28"/>
              </w:rPr>
              <w:t>1</w:t>
            </w:r>
          </w:p>
        </w:tc>
        <w:tc>
          <w:tcPr>
            <w:tcW w:w="456" w:type="pct"/>
            <w:vMerge w:val="restart"/>
            <w:vAlign w:val="center"/>
          </w:tcPr>
          <w:p w14:paraId="2A50CC4D">
            <w:pPr>
              <w:jc w:val="center"/>
              <w:rPr>
                <w:rFonts w:hint="eastAsia" w:ascii="仿宋" w:hAnsi="仿宋" w:eastAsia="仿宋"/>
                <w:color w:val="000000"/>
                <w:sz w:val="22"/>
                <w:szCs w:val="28"/>
              </w:rPr>
            </w:pPr>
            <w:r>
              <w:rPr>
                <w:rFonts w:hint="eastAsia" w:ascii="仿宋" w:hAnsi="仿宋" w:eastAsia="仿宋"/>
                <w:color w:val="000000"/>
                <w:sz w:val="22"/>
                <w:szCs w:val="28"/>
              </w:rPr>
              <w:t>平台软件服务</w:t>
            </w:r>
          </w:p>
        </w:tc>
        <w:tc>
          <w:tcPr>
            <w:tcW w:w="404" w:type="pct"/>
            <w:vMerge w:val="restart"/>
            <w:vAlign w:val="center"/>
          </w:tcPr>
          <w:p w14:paraId="78BA679B">
            <w:pPr>
              <w:jc w:val="center"/>
              <w:rPr>
                <w:rFonts w:hint="eastAsia" w:ascii="仿宋" w:hAnsi="仿宋" w:eastAsia="仿宋"/>
                <w:color w:val="000000"/>
                <w:sz w:val="22"/>
                <w:szCs w:val="28"/>
              </w:rPr>
            </w:pPr>
            <w:r>
              <w:rPr>
                <w:rFonts w:hint="eastAsia" w:ascii="仿宋" w:hAnsi="仿宋" w:eastAsia="仿宋"/>
                <w:color w:val="000000"/>
                <w:sz w:val="22"/>
                <w:szCs w:val="28"/>
              </w:rPr>
              <w:t>政务移动端</w:t>
            </w:r>
          </w:p>
        </w:tc>
        <w:tc>
          <w:tcPr>
            <w:tcW w:w="611" w:type="pct"/>
            <w:vMerge w:val="restart"/>
            <w:vAlign w:val="center"/>
          </w:tcPr>
          <w:p w14:paraId="2225AA02">
            <w:pPr>
              <w:jc w:val="center"/>
              <w:rPr>
                <w:rFonts w:hint="eastAsia" w:ascii="仿宋" w:hAnsi="仿宋" w:eastAsia="仿宋"/>
                <w:color w:val="000000"/>
                <w:sz w:val="22"/>
                <w:szCs w:val="28"/>
              </w:rPr>
            </w:pPr>
            <w:r>
              <w:rPr>
                <w:rFonts w:hint="eastAsia" w:ascii="仿宋" w:hAnsi="仿宋" w:eastAsia="仿宋"/>
                <w:color w:val="000000"/>
                <w:sz w:val="22"/>
                <w:szCs w:val="28"/>
              </w:rPr>
              <w:t>创新区域政务移动端</w:t>
            </w:r>
          </w:p>
        </w:tc>
        <w:tc>
          <w:tcPr>
            <w:tcW w:w="496" w:type="pct"/>
            <w:vAlign w:val="center"/>
          </w:tcPr>
          <w:p w14:paraId="19F7DC94">
            <w:pPr>
              <w:jc w:val="center"/>
              <w:rPr>
                <w:rFonts w:hint="eastAsia" w:ascii="仿宋" w:hAnsi="仿宋" w:eastAsia="仿宋"/>
                <w:color w:val="000000"/>
                <w:sz w:val="22"/>
                <w:szCs w:val="28"/>
              </w:rPr>
            </w:pPr>
            <w:r>
              <w:rPr>
                <w:rFonts w:hint="eastAsia" w:ascii="仿宋" w:hAnsi="仿宋" w:eastAsia="仿宋"/>
                <w:color w:val="000000"/>
                <w:sz w:val="22"/>
                <w:szCs w:val="28"/>
              </w:rPr>
              <w:t>0-2万用户</w:t>
            </w:r>
          </w:p>
        </w:tc>
        <w:tc>
          <w:tcPr>
            <w:tcW w:w="250" w:type="pct"/>
            <w:vAlign w:val="center"/>
          </w:tcPr>
          <w:p w14:paraId="54D5E90A">
            <w:pPr>
              <w:jc w:val="center"/>
              <w:rPr>
                <w:rFonts w:hint="eastAsia" w:ascii="仿宋" w:hAnsi="仿宋" w:eastAsia="仿宋"/>
                <w:color w:val="000000"/>
                <w:sz w:val="22"/>
                <w:szCs w:val="28"/>
              </w:rPr>
            </w:pPr>
            <w:r>
              <w:rPr>
                <w:rFonts w:hint="eastAsia" w:ascii="仿宋" w:hAnsi="仿宋" w:eastAsia="仿宋"/>
                <w:color w:val="000000"/>
                <w:sz w:val="22"/>
                <w:szCs w:val="28"/>
              </w:rPr>
              <w:t>个</w:t>
            </w:r>
          </w:p>
        </w:tc>
        <w:tc>
          <w:tcPr>
            <w:tcW w:w="744" w:type="pct"/>
            <w:vAlign w:val="center"/>
          </w:tcPr>
          <w:p w14:paraId="2D5A0538">
            <w:pPr>
              <w:jc w:val="center"/>
              <w:rPr>
                <w:rFonts w:hint="eastAsia" w:ascii="仿宋" w:hAnsi="仿宋" w:eastAsia="仿宋"/>
                <w:color w:val="000000"/>
                <w:sz w:val="22"/>
                <w:szCs w:val="28"/>
              </w:rPr>
            </w:pPr>
            <w:r>
              <w:rPr>
                <w:rFonts w:hint="eastAsia" w:ascii="仿宋" w:hAnsi="仿宋" w:eastAsia="仿宋"/>
                <w:color w:val="000000"/>
                <w:sz w:val="22"/>
                <w:szCs w:val="28"/>
              </w:rPr>
              <w:t>2</w:t>
            </w:r>
            <w:r>
              <w:rPr>
                <w:rFonts w:ascii="仿宋" w:hAnsi="仿宋" w:eastAsia="仿宋"/>
                <w:color w:val="000000"/>
                <w:sz w:val="22"/>
                <w:szCs w:val="28"/>
              </w:rPr>
              <w:t>6</w:t>
            </w:r>
            <w:r>
              <w:rPr>
                <w:rFonts w:hint="eastAsia" w:ascii="仿宋" w:hAnsi="仿宋" w:eastAsia="仿宋"/>
                <w:color w:val="000000"/>
                <w:sz w:val="22"/>
                <w:szCs w:val="28"/>
              </w:rPr>
              <w:t>0.00</w:t>
            </w:r>
          </w:p>
        </w:tc>
        <w:tc>
          <w:tcPr>
            <w:tcW w:w="666" w:type="pct"/>
            <w:vAlign w:val="center"/>
          </w:tcPr>
          <w:p w14:paraId="7186EDFD">
            <w:pPr>
              <w:jc w:val="center"/>
              <w:rPr>
                <w:rFonts w:hint="eastAsia" w:ascii="仿宋" w:hAnsi="仿宋" w:eastAsia="仿宋"/>
                <w:color w:val="000000"/>
                <w:sz w:val="22"/>
                <w:szCs w:val="28"/>
              </w:rPr>
            </w:pPr>
          </w:p>
        </w:tc>
        <w:tc>
          <w:tcPr>
            <w:tcW w:w="1011" w:type="pct"/>
            <w:vMerge w:val="restart"/>
            <w:vAlign w:val="center"/>
          </w:tcPr>
          <w:p w14:paraId="3537FE36">
            <w:pPr>
              <w:jc w:val="center"/>
              <w:rPr>
                <w:rFonts w:hint="eastAsia" w:ascii="仿宋" w:hAnsi="仿宋" w:eastAsia="仿宋"/>
                <w:color w:val="000000"/>
                <w:sz w:val="22"/>
                <w:szCs w:val="28"/>
              </w:rPr>
            </w:pPr>
            <w:r>
              <w:rPr>
                <w:rFonts w:hint="eastAsia" w:ascii="仿宋" w:hAnsi="仿宋" w:eastAsia="仿宋"/>
                <w:color w:val="000000"/>
                <w:sz w:val="22"/>
                <w:szCs w:val="28"/>
              </w:rPr>
              <w:t>10,000,000.00</w:t>
            </w:r>
          </w:p>
        </w:tc>
      </w:tr>
      <w:tr w14:paraId="1704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0" w:hRule="atLeast"/>
          <w:jc w:val="center"/>
        </w:trPr>
        <w:tc>
          <w:tcPr>
            <w:tcW w:w="250" w:type="pct"/>
            <w:vMerge w:val="continue"/>
            <w:vAlign w:val="center"/>
          </w:tcPr>
          <w:p w14:paraId="5F7D06C8">
            <w:pPr>
              <w:rPr>
                <w:rFonts w:hint="eastAsia" w:ascii="仿宋" w:hAnsi="仿宋" w:eastAsia="仿宋"/>
                <w:color w:val="000000"/>
                <w:sz w:val="22"/>
                <w:szCs w:val="28"/>
              </w:rPr>
            </w:pPr>
          </w:p>
        </w:tc>
        <w:tc>
          <w:tcPr>
            <w:tcW w:w="456" w:type="pct"/>
            <w:vMerge w:val="continue"/>
            <w:vAlign w:val="center"/>
          </w:tcPr>
          <w:p w14:paraId="5A7A0A3C">
            <w:pPr>
              <w:rPr>
                <w:rFonts w:hint="eastAsia" w:ascii="仿宋" w:hAnsi="仿宋" w:eastAsia="仿宋"/>
                <w:color w:val="000000"/>
                <w:sz w:val="22"/>
                <w:szCs w:val="28"/>
              </w:rPr>
            </w:pPr>
          </w:p>
        </w:tc>
        <w:tc>
          <w:tcPr>
            <w:tcW w:w="404" w:type="pct"/>
            <w:vMerge w:val="continue"/>
            <w:vAlign w:val="center"/>
          </w:tcPr>
          <w:p w14:paraId="16E78900">
            <w:pPr>
              <w:rPr>
                <w:rFonts w:hint="eastAsia" w:ascii="仿宋" w:hAnsi="仿宋" w:eastAsia="仿宋"/>
                <w:color w:val="000000"/>
                <w:sz w:val="22"/>
                <w:szCs w:val="28"/>
              </w:rPr>
            </w:pPr>
          </w:p>
        </w:tc>
        <w:tc>
          <w:tcPr>
            <w:tcW w:w="611" w:type="pct"/>
            <w:vMerge w:val="continue"/>
            <w:vAlign w:val="center"/>
          </w:tcPr>
          <w:p w14:paraId="4B7F7960">
            <w:pPr>
              <w:rPr>
                <w:rFonts w:hint="eastAsia" w:ascii="仿宋" w:hAnsi="仿宋" w:eastAsia="仿宋"/>
                <w:color w:val="000000"/>
                <w:sz w:val="22"/>
                <w:szCs w:val="28"/>
              </w:rPr>
            </w:pPr>
          </w:p>
        </w:tc>
        <w:tc>
          <w:tcPr>
            <w:tcW w:w="496" w:type="pct"/>
            <w:vAlign w:val="center"/>
          </w:tcPr>
          <w:p w14:paraId="74603070">
            <w:pPr>
              <w:jc w:val="center"/>
              <w:rPr>
                <w:rFonts w:hint="eastAsia" w:ascii="仿宋" w:hAnsi="仿宋" w:eastAsia="仿宋"/>
                <w:color w:val="000000"/>
                <w:sz w:val="22"/>
                <w:szCs w:val="28"/>
              </w:rPr>
            </w:pPr>
            <w:r>
              <w:rPr>
                <w:rFonts w:hint="eastAsia" w:ascii="仿宋" w:hAnsi="仿宋" w:eastAsia="仿宋"/>
                <w:color w:val="000000"/>
                <w:sz w:val="22"/>
                <w:szCs w:val="28"/>
              </w:rPr>
              <w:t>2-10万用户</w:t>
            </w:r>
          </w:p>
        </w:tc>
        <w:tc>
          <w:tcPr>
            <w:tcW w:w="250" w:type="pct"/>
            <w:vAlign w:val="center"/>
          </w:tcPr>
          <w:p w14:paraId="292F2D5A">
            <w:pPr>
              <w:jc w:val="center"/>
              <w:rPr>
                <w:rFonts w:hint="eastAsia" w:ascii="仿宋" w:hAnsi="仿宋" w:eastAsia="仿宋"/>
                <w:color w:val="000000"/>
                <w:sz w:val="22"/>
                <w:szCs w:val="28"/>
              </w:rPr>
            </w:pPr>
            <w:r>
              <w:rPr>
                <w:rFonts w:hint="eastAsia" w:ascii="仿宋" w:hAnsi="仿宋" w:eastAsia="仿宋"/>
                <w:color w:val="000000"/>
                <w:sz w:val="22"/>
                <w:szCs w:val="28"/>
              </w:rPr>
              <w:t>个</w:t>
            </w:r>
          </w:p>
        </w:tc>
        <w:tc>
          <w:tcPr>
            <w:tcW w:w="744" w:type="pct"/>
            <w:vAlign w:val="center"/>
          </w:tcPr>
          <w:p w14:paraId="11EBA87F">
            <w:pPr>
              <w:jc w:val="center"/>
              <w:rPr>
                <w:rFonts w:hint="eastAsia" w:ascii="仿宋" w:hAnsi="仿宋" w:eastAsia="仿宋"/>
                <w:color w:val="000000"/>
                <w:sz w:val="22"/>
                <w:szCs w:val="28"/>
              </w:rPr>
            </w:pPr>
            <w:r>
              <w:rPr>
                <w:rFonts w:hint="eastAsia" w:ascii="仿宋" w:hAnsi="仿宋" w:eastAsia="仿宋"/>
                <w:color w:val="000000"/>
                <w:sz w:val="22"/>
                <w:szCs w:val="28"/>
              </w:rPr>
              <w:t>1</w:t>
            </w:r>
            <w:r>
              <w:rPr>
                <w:rFonts w:ascii="仿宋" w:hAnsi="仿宋" w:eastAsia="仿宋"/>
                <w:color w:val="000000"/>
                <w:sz w:val="22"/>
                <w:szCs w:val="28"/>
              </w:rPr>
              <w:t>60</w:t>
            </w:r>
            <w:r>
              <w:rPr>
                <w:rFonts w:hint="eastAsia" w:ascii="仿宋" w:hAnsi="仿宋" w:eastAsia="仿宋"/>
                <w:color w:val="000000"/>
                <w:sz w:val="22"/>
                <w:szCs w:val="28"/>
              </w:rPr>
              <w:t>.00</w:t>
            </w:r>
          </w:p>
        </w:tc>
        <w:tc>
          <w:tcPr>
            <w:tcW w:w="666" w:type="pct"/>
            <w:vAlign w:val="center"/>
          </w:tcPr>
          <w:p w14:paraId="18ABB89A">
            <w:pPr>
              <w:jc w:val="center"/>
              <w:rPr>
                <w:rFonts w:hint="eastAsia" w:ascii="仿宋" w:hAnsi="仿宋" w:eastAsia="仿宋"/>
                <w:color w:val="000000"/>
                <w:sz w:val="22"/>
                <w:szCs w:val="28"/>
              </w:rPr>
            </w:pPr>
          </w:p>
        </w:tc>
        <w:tc>
          <w:tcPr>
            <w:tcW w:w="1011" w:type="pct"/>
            <w:vMerge w:val="continue"/>
            <w:vAlign w:val="center"/>
          </w:tcPr>
          <w:p w14:paraId="0C0781A2">
            <w:pPr>
              <w:jc w:val="center"/>
              <w:rPr>
                <w:rFonts w:hint="eastAsia" w:ascii="仿宋" w:hAnsi="仿宋" w:eastAsia="仿宋"/>
                <w:color w:val="000000"/>
                <w:sz w:val="22"/>
                <w:szCs w:val="28"/>
              </w:rPr>
            </w:pPr>
          </w:p>
        </w:tc>
      </w:tr>
      <w:tr w14:paraId="0E1A2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0" w:hRule="atLeast"/>
          <w:jc w:val="center"/>
        </w:trPr>
        <w:tc>
          <w:tcPr>
            <w:tcW w:w="250" w:type="pct"/>
            <w:vMerge w:val="continue"/>
            <w:vAlign w:val="center"/>
          </w:tcPr>
          <w:p w14:paraId="332F5BE0">
            <w:pPr>
              <w:rPr>
                <w:rFonts w:hint="eastAsia" w:ascii="仿宋" w:hAnsi="仿宋" w:eastAsia="仿宋"/>
                <w:color w:val="000000"/>
                <w:sz w:val="22"/>
                <w:szCs w:val="28"/>
              </w:rPr>
            </w:pPr>
          </w:p>
        </w:tc>
        <w:tc>
          <w:tcPr>
            <w:tcW w:w="456" w:type="pct"/>
            <w:vMerge w:val="continue"/>
            <w:vAlign w:val="center"/>
          </w:tcPr>
          <w:p w14:paraId="3AE46097">
            <w:pPr>
              <w:rPr>
                <w:rFonts w:hint="eastAsia" w:ascii="仿宋" w:hAnsi="仿宋" w:eastAsia="仿宋"/>
                <w:color w:val="000000"/>
                <w:sz w:val="22"/>
                <w:szCs w:val="28"/>
              </w:rPr>
            </w:pPr>
          </w:p>
        </w:tc>
        <w:tc>
          <w:tcPr>
            <w:tcW w:w="404" w:type="pct"/>
            <w:vMerge w:val="continue"/>
            <w:vAlign w:val="center"/>
          </w:tcPr>
          <w:p w14:paraId="665A4DE1">
            <w:pPr>
              <w:rPr>
                <w:rFonts w:hint="eastAsia" w:ascii="仿宋" w:hAnsi="仿宋" w:eastAsia="仿宋"/>
                <w:color w:val="000000"/>
                <w:sz w:val="22"/>
                <w:szCs w:val="28"/>
              </w:rPr>
            </w:pPr>
          </w:p>
        </w:tc>
        <w:tc>
          <w:tcPr>
            <w:tcW w:w="611" w:type="pct"/>
            <w:vMerge w:val="continue"/>
            <w:vAlign w:val="center"/>
          </w:tcPr>
          <w:p w14:paraId="316AA674">
            <w:pPr>
              <w:rPr>
                <w:rFonts w:hint="eastAsia" w:ascii="仿宋" w:hAnsi="仿宋" w:eastAsia="仿宋"/>
                <w:color w:val="000000"/>
                <w:sz w:val="22"/>
                <w:szCs w:val="28"/>
              </w:rPr>
            </w:pPr>
          </w:p>
        </w:tc>
        <w:tc>
          <w:tcPr>
            <w:tcW w:w="496" w:type="pct"/>
            <w:vAlign w:val="center"/>
          </w:tcPr>
          <w:p w14:paraId="63807154">
            <w:pPr>
              <w:jc w:val="center"/>
              <w:rPr>
                <w:rFonts w:hint="eastAsia" w:ascii="仿宋" w:hAnsi="仿宋" w:eastAsia="仿宋"/>
                <w:color w:val="000000"/>
                <w:sz w:val="22"/>
                <w:szCs w:val="28"/>
              </w:rPr>
            </w:pPr>
            <w:r>
              <w:rPr>
                <w:rFonts w:hint="eastAsia" w:ascii="仿宋" w:hAnsi="仿宋" w:eastAsia="仿宋"/>
                <w:color w:val="000000"/>
                <w:sz w:val="22"/>
                <w:szCs w:val="28"/>
              </w:rPr>
              <w:t>&gt;10万用户</w:t>
            </w:r>
          </w:p>
        </w:tc>
        <w:tc>
          <w:tcPr>
            <w:tcW w:w="250" w:type="pct"/>
            <w:vAlign w:val="center"/>
          </w:tcPr>
          <w:p w14:paraId="51887E67">
            <w:pPr>
              <w:jc w:val="center"/>
              <w:rPr>
                <w:rFonts w:hint="eastAsia" w:ascii="仿宋" w:hAnsi="仿宋" w:eastAsia="仿宋"/>
                <w:color w:val="000000"/>
                <w:sz w:val="22"/>
                <w:szCs w:val="28"/>
              </w:rPr>
            </w:pPr>
            <w:r>
              <w:rPr>
                <w:rFonts w:hint="eastAsia" w:ascii="仿宋" w:hAnsi="仿宋" w:eastAsia="仿宋"/>
                <w:color w:val="000000"/>
                <w:sz w:val="22"/>
                <w:szCs w:val="28"/>
              </w:rPr>
              <w:t>个</w:t>
            </w:r>
          </w:p>
        </w:tc>
        <w:tc>
          <w:tcPr>
            <w:tcW w:w="744" w:type="pct"/>
            <w:vAlign w:val="center"/>
          </w:tcPr>
          <w:p w14:paraId="7C661BEB">
            <w:pPr>
              <w:jc w:val="center"/>
              <w:rPr>
                <w:rFonts w:hint="eastAsia" w:ascii="仿宋" w:hAnsi="仿宋" w:eastAsia="仿宋"/>
                <w:color w:val="000000"/>
                <w:sz w:val="22"/>
                <w:szCs w:val="28"/>
              </w:rPr>
            </w:pPr>
            <w:r>
              <w:rPr>
                <w:rFonts w:hint="eastAsia" w:ascii="仿宋" w:hAnsi="仿宋" w:eastAsia="仿宋"/>
                <w:color w:val="000000"/>
                <w:sz w:val="22"/>
                <w:szCs w:val="28"/>
              </w:rPr>
              <w:t>1</w:t>
            </w:r>
            <w:r>
              <w:rPr>
                <w:rFonts w:ascii="仿宋" w:hAnsi="仿宋" w:eastAsia="仿宋"/>
                <w:color w:val="000000"/>
                <w:sz w:val="22"/>
                <w:szCs w:val="28"/>
              </w:rPr>
              <w:t>25</w:t>
            </w:r>
            <w:r>
              <w:rPr>
                <w:rFonts w:hint="eastAsia" w:ascii="仿宋" w:hAnsi="仿宋" w:eastAsia="仿宋"/>
                <w:color w:val="000000"/>
                <w:sz w:val="22"/>
                <w:szCs w:val="28"/>
              </w:rPr>
              <w:t>.00</w:t>
            </w:r>
          </w:p>
        </w:tc>
        <w:tc>
          <w:tcPr>
            <w:tcW w:w="666" w:type="pct"/>
            <w:vAlign w:val="center"/>
          </w:tcPr>
          <w:p w14:paraId="7449F2CA">
            <w:pPr>
              <w:jc w:val="center"/>
              <w:rPr>
                <w:rFonts w:hint="eastAsia" w:ascii="仿宋" w:hAnsi="仿宋" w:eastAsia="仿宋"/>
                <w:color w:val="000000"/>
                <w:sz w:val="22"/>
                <w:szCs w:val="28"/>
              </w:rPr>
            </w:pPr>
          </w:p>
        </w:tc>
        <w:tc>
          <w:tcPr>
            <w:tcW w:w="1011" w:type="pct"/>
            <w:vMerge w:val="continue"/>
            <w:vAlign w:val="center"/>
          </w:tcPr>
          <w:p w14:paraId="58FD7263">
            <w:pPr>
              <w:jc w:val="center"/>
              <w:rPr>
                <w:rFonts w:hint="eastAsia" w:ascii="仿宋" w:hAnsi="仿宋" w:eastAsia="仿宋"/>
                <w:color w:val="000000"/>
                <w:sz w:val="22"/>
                <w:szCs w:val="28"/>
              </w:rPr>
            </w:pPr>
          </w:p>
        </w:tc>
      </w:tr>
    </w:tbl>
    <w:p w14:paraId="3C4C280E">
      <w:pPr>
        <w:pStyle w:val="12"/>
        <w:rPr>
          <w:rFonts w:hint="eastAsia" w:ascii="仿宋" w:hAnsi="仿宋" w:eastAsia="仿宋" w:cs="宋体"/>
          <w:kern w:val="0"/>
          <w:sz w:val="28"/>
          <w:szCs w:val="28"/>
        </w:rPr>
      </w:pPr>
    </w:p>
    <w:p w14:paraId="454F3336">
      <w:pPr>
        <w:pStyle w:val="12"/>
        <w:wordWrap w:val="0"/>
        <w:spacing w:after="0"/>
        <w:jc w:val="right"/>
        <w:rPr>
          <w:rFonts w:hint="eastAsia" w:ascii="仿宋" w:hAnsi="仿宋" w:eastAsia="仿宋" w:cs="宋体"/>
          <w:kern w:val="0"/>
          <w:sz w:val="28"/>
          <w:szCs w:val="28"/>
        </w:rPr>
      </w:pPr>
      <w:r>
        <w:rPr>
          <w:rFonts w:hint="eastAsia" w:ascii="仿宋" w:hAnsi="仿宋" w:eastAsia="仿宋" w:cs="宋体"/>
          <w:kern w:val="0"/>
          <w:sz w:val="28"/>
          <w:szCs w:val="28"/>
        </w:rPr>
        <w:t xml:space="preserve">投标人名称:                      </w:t>
      </w:r>
    </w:p>
    <w:p w14:paraId="0A6C7098">
      <w:pPr>
        <w:pStyle w:val="12"/>
        <w:wordWrap w:val="0"/>
        <w:spacing w:after="0"/>
        <w:jc w:val="right"/>
        <w:rPr>
          <w:rFonts w:hint="eastAsia" w:ascii="仿宋" w:hAnsi="仿宋" w:eastAsia="仿宋" w:cs="宋体"/>
          <w:kern w:val="0"/>
          <w:sz w:val="28"/>
          <w:szCs w:val="28"/>
        </w:rPr>
      </w:pPr>
      <w:r>
        <w:rPr>
          <w:rFonts w:hint="eastAsia" w:ascii="仿宋" w:hAnsi="仿宋" w:eastAsia="仿宋" w:cs="宋体"/>
          <w:kern w:val="0"/>
          <w:sz w:val="28"/>
          <w:szCs w:val="28"/>
        </w:rPr>
        <w:t xml:space="preserve">(盖章)                         </w:t>
      </w:r>
    </w:p>
    <w:p w14:paraId="7D281FC0">
      <w:pPr>
        <w:pStyle w:val="12"/>
        <w:wordWrap w:val="0"/>
        <w:spacing w:after="0"/>
        <w:jc w:val="right"/>
        <w:rPr>
          <w:rFonts w:hint="eastAsia" w:ascii="仿宋" w:hAnsi="仿宋" w:eastAsia="仿宋" w:cs="宋体"/>
          <w:kern w:val="0"/>
          <w:sz w:val="28"/>
          <w:szCs w:val="28"/>
        </w:rPr>
      </w:pPr>
      <w:r>
        <w:rPr>
          <w:rFonts w:hint="eastAsia" w:ascii="仿宋" w:hAnsi="仿宋" w:eastAsia="仿宋" w:cs="宋体"/>
          <w:kern w:val="0"/>
          <w:sz w:val="28"/>
          <w:szCs w:val="28"/>
        </w:rPr>
        <w:t xml:space="preserve">法定代表人或授权代表(签字):             </w:t>
      </w:r>
    </w:p>
    <w:p w14:paraId="07571339">
      <w:pPr>
        <w:pStyle w:val="12"/>
        <w:wordWrap w:val="0"/>
        <w:spacing w:after="0"/>
        <w:jc w:val="right"/>
        <w:rPr>
          <w:rFonts w:hint="eastAsia" w:ascii="仿宋" w:hAnsi="仿宋" w:eastAsia="仿宋" w:cs="宋体"/>
          <w:kern w:val="0"/>
          <w:sz w:val="28"/>
          <w:szCs w:val="28"/>
        </w:rPr>
      </w:pPr>
      <w:r>
        <w:rPr>
          <w:rFonts w:hint="eastAsia" w:ascii="仿宋" w:hAnsi="仿宋" w:eastAsia="仿宋" w:cs="宋体"/>
          <w:kern w:val="0"/>
          <w:sz w:val="28"/>
          <w:szCs w:val="28"/>
        </w:rPr>
        <w:t xml:space="preserve">日期:                     </w:t>
      </w:r>
    </w:p>
    <w:p w14:paraId="32891899">
      <w:pPr>
        <w:pStyle w:val="12"/>
        <w:spacing w:after="0"/>
        <w:rPr>
          <w:rFonts w:hint="eastAsia" w:ascii="仿宋" w:hAnsi="仿宋" w:eastAsia="仿宋" w:cs="宋体"/>
          <w:kern w:val="0"/>
          <w:sz w:val="28"/>
          <w:szCs w:val="28"/>
        </w:rPr>
      </w:pPr>
    </w:p>
    <w:p w14:paraId="50816379">
      <w:pPr>
        <w:pStyle w:val="12"/>
        <w:spacing w:after="0" w:line="336" w:lineRule="auto"/>
        <w:rPr>
          <w:rFonts w:hint="eastAsia" w:ascii="仿宋" w:hAnsi="仿宋" w:eastAsia="仿宋" w:cs="宋体"/>
          <w:kern w:val="0"/>
          <w:sz w:val="24"/>
          <w:szCs w:val="24"/>
        </w:rPr>
      </w:pPr>
      <w:r>
        <w:rPr>
          <w:rFonts w:hint="eastAsia" w:ascii="仿宋" w:hAnsi="仿宋" w:eastAsia="仿宋" w:cs="宋体"/>
          <w:kern w:val="0"/>
          <w:sz w:val="24"/>
          <w:szCs w:val="24"/>
        </w:rPr>
        <w:t>说明:</w:t>
      </w:r>
    </w:p>
    <w:p w14:paraId="0ED1F426">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hint="eastAsia" w:ascii="仿宋" w:hAnsi="仿宋" w:eastAsia="仿宋" w:cs="宋体"/>
          <w:kern w:val="0"/>
          <w:sz w:val="24"/>
          <w:szCs w:val="24"/>
        </w:rPr>
        <w:t>★本项目设置服务单价限价，服务单价不应超出报价表中每项服务单价最高限价。</w:t>
      </w:r>
    </w:p>
    <w:p w14:paraId="4A5F06E6">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hint="eastAsia" w:ascii="仿宋" w:hAnsi="仿宋" w:eastAsia="仿宋" w:cs="宋体"/>
          <w:kern w:val="0"/>
          <w:sz w:val="24"/>
          <w:szCs w:val="24"/>
        </w:rPr>
        <w:t>本项目依照6万个活跃用户作为基准计算投标总价，投标报价总价不得高于最高限价。</w:t>
      </w:r>
    </w:p>
    <w:p w14:paraId="1091791C">
      <w:pPr>
        <w:pStyle w:val="12"/>
        <w:numPr>
          <w:ilvl w:val="0"/>
          <w:numId w:val="6"/>
        </w:numPr>
        <w:tabs>
          <w:tab w:val="left" w:pos="426"/>
        </w:tabs>
        <w:spacing w:after="0" w:line="336" w:lineRule="auto"/>
        <w:rPr>
          <w:rFonts w:hint="eastAsia" w:ascii="仿宋" w:hAnsi="仿宋" w:eastAsia="仿宋"/>
          <w:sz w:val="24"/>
          <w:szCs w:val="24"/>
        </w:rPr>
      </w:pPr>
      <w:r>
        <w:rPr>
          <w:rFonts w:hint="eastAsia" w:ascii="仿宋" w:hAnsi="仿宋" w:eastAsia="仿宋" w:cs="宋体"/>
          <w:kern w:val="0"/>
          <w:sz w:val="24"/>
          <w:szCs w:val="24"/>
        </w:rPr>
        <w:t>初步估算的市级部门和单位用户为10万，初步估算的市级部门和单位月活跃用户约6万。主要包括市级党委、人大、政府、政协、法院、检察院、人民团体、民主党派、长三角示范区（含示范区执委会、青浦区、吴江区、嘉善区相关用户）部分中央驻沪单位等系统</w:t>
      </w:r>
      <w:r>
        <w:rPr>
          <w:rFonts w:ascii="仿宋" w:hAnsi="仿宋" w:eastAsia="仿宋" w:cs="宋体"/>
          <w:kern w:val="0"/>
          <w:sz w:val="24"/>
          <w:szCs w:val="24"/>
        </w:rPr>
        <w:t>以及其他相关单位</w:t>
      </w:r>
      <w:r>
        <w:rPr>
          <w:rFonts w:hint="eastAsia" w:ascii="仿宋" w:hAnsi="仿宋" w:eastAsia="仿宋" w:cs="宋体"/>
          <w:kern w:val="0"/>
          <w:sz w:val="24"/>
          <w:szCs w:val="24"/>
        </w:rPr>
        <w:t>的</w:t>
      </w:r>
      <w:r>
        <w:rPr>
          <w:rFonts w:ascii="仿宋" w:hAnsi="仿宋" w:eastAsia="仿宋" w:cs="宋体"/>
          <w:kern w:val="0"/>
          <w:sz w:val="24"/>
          <w:szCs w:val="24"/>
        </w:rPr>
        <w:t>公务人员</w:t>
      </w:r>
      <w:r>
        <w:rPr>
          <w:rFonts w:hint="eastAsia" w:ascii="仿宋" w:hAnsi="仿宋" w:eastAsia="仿宋" w:cs="宋体"/>
          <w:kern w:val="0"/>
          <w:sz w:val="24"/>
          <w:szCs w:val="24"/>
        </w:rPr>
        <w:t>，应急直播、值班值守、防汛视频调度、防灾减灾、进博保障、统一综合执法、督查码应用、专项行动等相关应用的公务人员。届时以实际使用的部门、单位和用户数为准。</w:t>
      </w:r>
    </w:p>
    <w:p w14:paraId="37DFEF41">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ascii="仿宋" w:hAnsi="仿宋" w:eastAsia="仿宋" w:cs="宋体"/>
          <w:kern w:val="0"/>
          <w:sz w:val="24"/>
          <w:szCs w:val="24"/>
        </w:rPr>
        <w:t>各区</w:t>
      </w:r>
      <w:r>
        <w:rPr>
          <w:rFonts w:hint="eastAsia" w:ascii="仿宋" w:hAnsi="仿宋" w:eastAsia="仿宋" w:cs="宋体"/>
          <w:kern w:val="0"/>
          <w:sz w:val="24"/>
          <w:szCs w:val="24"/>
        </w:rPr>
        <w:t>创新区域政务移动端服务的费用结算，</w:t>
      </w:r>
      <w:r>
        <w:rPr>
          <w:rFonts w:ascii="仿宋" w:hAnsi="仿宋" w:eastAsia="仿宋" w:cs="宋体"/>
          <w:kern w:val="0"/>
          <w:sz w:val="24"/>
          <w:szCs w:val="24"/>
        </w:rPr>
        <w:t>根据本区的实际使用数量</w:t>
      </w:r>
      <w:r>
        <w:rPr>
          <w:rFonts w:hint="eastAsia" w:ascii="仿宋" w:hAnsi="仿宋" w:eastAsia="仿宋" w:cs="宋体"/>
          <w:kern w:val="0"/>
          <w:sz w:val="24"/>
          <w:szCs w:val="24"/>
        </w:rPr>
        <w:t>，参照《</w:t>
      </w:r>
      <w:r>
        <w:rPr>
          <w:rFonts w:ascii="仿宋" w:hAnsi="仿宋" w:eastAsia="仿宋" w:cs="宋体"/>
          <w:kern w:val="0"/>
          <w:sz w:val="24"/>
          <w:szCs w:val="24"/>
        </w:rPr>
        <w:t>关于在市政务云领域试行统采分签制度的意见</w:t>
      </w:r>
      <w:r>
        <w:rPr>
          <w:rFonts w:hint="eastAsia" w:ascii="仿宋" w:hAnsi="仿宋" w:eastAsia="仿宋" w:cs="宋体"/>
          <w:kern w:val="0"/>
          <w:sz w:val="24"/>
          <w:szCs w:val="24"/>
        </w:rPr>
        <w:t>》[</w:t>
      </w:r>
      <w:r>
        <w:rPr>
          <w:rFonts w:ascii="仿宋" w:hAnsi="仿宋" w:eastAsia="仿宋" w:cs="宋体"/>
          <w:kern w:val="0"/>
          <w:sz w:val="24"/>
          <w:szCs w:val="24"/>
        </w:rPr>
        <w:t>沪府办字〔</w:t>
      </w:r>
      <w:r>
        <w:rPr>
          <w:rFonts w:hint="eastAsia" w:ascii="仿宋" w:hAnsi="仿宋" w:eastAsia="仿宋" w:cs="宋体"/>
          <w:kern w:val="0"/>
          <w:sz w:val="24"/>
          <w:szCs w:val="24"/>
        </w:rPr>
        <w:t>2022</w:t>
      </w:r>
      <w:r>
        <w:rPr>
          <w:rFonts w:ascii="仿宋" w:hAnsi="仿宋" w:eastAsia="仿宋" w:cs="宋体"/>
          <w:kern w:val="0"/>
          <w:sz w:val="24"/>
          <w:szCs w:val="24"/>
        </w:rPr>
        <w:t>〕</w:t>
      </w:r>
      <w:r>
        <w:rPr>
          <w:rFonts w:hint="eastAsia" w:ascii="仿宋" w:hAnsi="仿宋" w:eastAsia="仿宋" w:cs="宋体"/>
          <w:kern w:val="0"/>
          <w:sz w:val="24"/>
          <w:szCs w:val="24"/>
        </w:rPr>
        <w:t>10</w:t>
      </w:r>
      <w:r>
        <w:rPr>
          <w:rFonts w:ascii="仿宋" w:hAnsi="仿宋" w:eastAsia="仿宋" w:cs="宋体"/>
          <w:kern w:val="0"/>
          <w:sz w:val="24"/>
          <w:szCs w:val="24"/>
        </w:rPr>
        <w:t>号</w:t>
      </w:r>
      <w:r>
        <w:rPr>
          <w:rFonts w:hint="eastAsia" w:ascii="仿宋" w:hAnsi="仿宋" w:eastAsia="仿宋" w:cs="宋体"/>
          <w:kern w:val="0"/>
          <w:sz w:val="24"/>
          <w:szCs w:val="24"/>
        </w:rPr>
        <w:t>]执行。</w:t>
      </w:r>
    </w:p>
    <w:p w14:paraId="24EA606A">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hint="eastAsia" w:ascii="仿宋" w:hAnsi="仿宋" w:eastAsia="仿宋" w:cs="宋体"/>
          <w:kern w:val="0"/>
          <w:sz w:val="24"/>
          <w:szCs w:val="24"/>
        </w:rPr>
        <w:t>所有价格均系用人民币表示，单位为元，精确到分。</w:t>
      </w:r>
    </w:p>
    <w:p w14:paraId="4E818724">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hint="eastAsia" w:ascii="仿宋" w:hAnsi="仿宋" w:eastAsia="仿宋" w:cs="宋体"/>
          <w:kern w:val="0"/>
          <w:sz w:val="24"/>
          <w:szCs w:val="24"/>
        </w:rPr>
        <w:t>投标人应按照《招标需求》和《投标人须知》的要求报价。</w:t>
      </w:r>
    </w:p>
    <w:p w14:paraId="5A2A589A">
      <w:pPr>
        <w:pStyle w:val="12"/>
        <w:numPr>
          <w:ilvl w:val="0"/>
          <w:numId w:val="6"/>
        </w:numPr>
        <w:tabs>
          <w:tab w:val="left" w:pos="426"/>
        </w:tabs>
        <w:spacing w:after="0" w:line="336" w:lineRule="auto"/>
        <w:ind w:left="426" w:hanging="426"/>
        <w:rPr>
          <w:rFonts w:hint="eastAsia" w:ascii="仿宋" w:hAnsi="仿宋" w:eastAsia="仿宋" w:cs="宋体"/>
          <w:kern w:val="0"/>
          <w:sz w:val="24"/>
          <w:szCs w:val="24"/>
        </w:rPr>
      </w:pPr>
      <w:r>
        <w:rPr>
          <w:rFonts w:hint="eastAsia" w:ascii="仿宋" w:hAnsi="仿宋" w:eastAsia="仿宋" w:cs="宋体"/>
          <w:kern w:val="0"/>
          <w:sz w:val="24"/>
          <w:szCs w:val="24"/>
        </w:rPr>
        <w:t>阶梯价格计算公式：</w:t>
      </w:r>
    </w:p>
    <w:p w14:paraId="2595F4B2">
      <w:pPr>
        <w:pStyle w:val="12"/>
        <w:spacing w:after="0" w:line="336" w:lineRule="auto"/>
        <w:rPr>
          <w:rFonts w:hint="eastAsia" w:ascii="仿宋" w:hAnsi="仿宋" w:eastAsia="仿宋"/>
          <w:sz w:val="24"/>
          <w:szCs w:val="24"/>
        </w:rPr>
      </w:pPr>
      <w:r>
        <w:rPr>
          <w:rFonts w:hint="eastAsia" w:ascii="仿宋" w:hAnsi="仿宋" w:eastAsia="仿宋" w:cs="宋体"/>
          <w:kern w:val="0"/>
          <w:sz w:val="24"/>
          <w:szCs w:val="24"/>
        </w:rPr>
        <w:t>总费用 = 第一阶梯活跃用户数×第一阶梯单价+第二阶梯活跃用户数×第二阶梯单价+第三阶梯活跃用户数×第三阶梯单价。</w:t>
      </w:r>
    </w:p>
    <w:p w14:paraId="04D927F6">
      <w:pPr>
        <w:pStyle w:val="12"/>
        <w:spacing w:after="0" w:line="336" w:lineRule="auto"/>
        <w:rPr>
          <w:rFonts w:hint="eastAsia" w:ascii="仿宋" w:hAnsi="仿宋" w:eastAsia="仿宋"/>
          <w:sz w:val="24"/>
          <w:szCs w:val="24"/>
        </w:rPr>
      </w:pPr>
      <w:r>
        <w:rPr>
          <w:rFonts w:hint="eastAsia" w:ascii="仿宋" w:hAnsi="仿宋" w:eastAsia="仿宋" w:cs="宋体"/>
          <w:kern w:val="0"/>
          <w:sz w:val="24"/>
          <w:szCs w:val="24"/>
        </w:rPr>
        <w:t>其中，各个阶梯活跃用户数的计算方法为：</w:t>
      </w:r>
    </w:p>
    <w:p w14:paraId="19DEACEF">
      <w:pPr>
        <w:pStyle w:val="12"/>
        <w:spacing w:after="0" w:line="336" w:lineRule="auto"/>
        <w:rPr>
          <w:rFonts w:hint="eastAsia" w:ascii="仿宋" w:hAnsi="仿宋" w:eastAsia="仿宋"/>
          <w:sz w:val="24"/>
          <w:szCs w:val="24"/>
        </w:rPr>
      </w:pPr>
      <w:r>
        <w:rPr>
          <w:rFonts w:hint="eastAsia" w:ascii="仿宋" w:hAnsi="仿宋" w:eastAsia="仿宋" w:cs="宋体"/>
          <w:kern w:val="0"/>
          <w:sz w:val="24"/>
          <w:szCs w:val="24"/>
        </w:rPr>
        <w:t>第一阶梯活跃用户数 = min（总活跃用户数，20000）；总活跃用户数∈（0,20000]</w:t>
      </w:r>
    </w:p>
    <w:p w14:paraId="0E9D18E1">
      <w:pPr>
        <w:pStyle w:val="12"/>
        <w:spacing w:after="0" w:line="336" w:lineRule="auto"/>
        <w:rPr>
          <w:rFonts w:hint="eastAsia" w:ascii="仿宋" w:hAnsi="仿宋" w:eastAsia="仿宋"/>
          <w:sz w:val="24"/>
          <w:szCs w:val="24"/>
        </w:rPr>
      </w:pPr>
      <w:r>
        <w:rPr>
          <w:rFonts w:hint="eastAsia" w:ascii="仿宋" w:hAnsi="仿宋" w:eastAsia="仿宋" w:cs="宋体"/>
          <w:kern w:val="0"/>
          <w:sz w:val="24"/>
          <w:szCs w:val="24"/>
        </w:rPr>
        <w:t>第二阶梯活跃用户数 = min( max(0，总活跃用户数 - 20,000)，80000)；总活跃用户数∈（20000,100000]</w:t>
      </w:r>
    </w:p>
    <w:p w14:paraId="3BD0313A">
      <w:pPr>
        <w:pStyle w:val="12"/>
        <w:spacing w:after="0" w:line="336" w:lineRule="auto"/>
        <w:rPr>
          <w:rFonts w:hint="eastAsia" w:ascii="仿宋" w:hAnsi="仿宋" w:eastAsia="仿宋"/>
          <w:sz w:val="28"/>
          <w:szCs w:val="28"/>
        </w:rPr>
      </w:pPr>
      <w:r>
        <w:rPr>
          <w:rFonts w:hint="eastAsia" w:ascii="仿宋" w:hAnsi="仿宋" w:eastAsia="仿宋" w:cs="宋体"/>
          <w:kern w:val="0"/>
          <w:sz w:val="24"/>
          <w:szCs w:val="24"/>
        </w:rPr>
        <w:t>第三阶梯活跃用户数 = max（0，总活跃用户数-100000）；总活跃用户数∈（100000,+∞）</w:t>
      </w:r>
    </w:p>
    <w:p w14:paraId="53D90DEF">
      <w:pPr>
        <w:pStyle w:val="2"/>
        <w:spacing w:before="240" w:after="240" w:line="360" w:lineRule="auto"/>
        <w:ind w:left="0"/>
        <w:rPr>
          <w:rFonts w:hint="eastAsia" w:ascii="仿宋" w:hAnsi="仿宋" w:eastAsia="仿宋" w:cs="仿宋"/>
        </w:rPr>
      </w:pPr>
      <w:bookmarkStart w:id="32" w:name="_Toc69194685"/>
      <w:r>
        <w:rPr>
          <w:rFonts w:hint="eastAsia" w:ascii="仿宋" w:hAnsi="仿宋" w:eastAsia="仿宋" w:cs="仿宋"/>
        </w:rPr>
        <w:t>服务组织和人员</w:t>
      </w:r>
      <w:bookmarkEnd w:id="32"/>
      <w:r>
        <w:rPr>
          <w:rFonts w:hint="eastAsia" w:ascii="仿宋" w:hAnsi="仿宋" w:eastAsia="仿宋" w:cs="仿宋"/>
        </w:rPr>
        <w:t>要求</w:t>
      </w:r>
    </w:p>
    <w:p w14:paraId="48F875F2">
      <w:pPr>
        <w:ind w:firstLine="560" w:firstLineChars="200"/>
        <w:rPr>
          <w:rFonts w:hint="eastAsia" w:ascii="仿宋" w:hAnsi="仿宋" w:eastAsia="仿宋" w:cs="仿宋"/>
          <w:sz w:val="28"/>
          <w:szCs w:val="28"/>
        </w:rPr>
      </w:pPr>
      <w:r>
        <w:rPr>
          <w:rFonts w:ascii="仿宋" w:hAnsi="仿宋" w:eastAsia="仿宋" w:cs="仿宋"/>
          <w:sz w:val="28"/>
          <w:szCs w:val="28"/>
        </w:rPr>
        <w:t>投标人应当为本项目单独建立管理组织，配置相应运营团队。</w:t>
      </w:r>
    </w:p>
    <w:p w14:paraId="7ED1A2DF">
      <w:pPr>
        <w:ind w:firstLine="560" w:firstLineChars="200"/>
        <w:rPr>
          <w:rFonts w:hint="eastAsia" w:ascii="仿宋" w:hAnsi="仿宋" w:eastAsia="仿宋" w:cs="仿宋"/>
          <w:sz w:val="28"/>
          <w:szCs w:val="28"/>
        </w:rPr>
      </w:pPr>
      <w:r>
        <w:rPr>
          <w:rFonts w:ascii="仿宋" w:hAnsi="仿宋" w:eastAsia="仿宋" w:cs="仿宋"/>
          <w:sz w:val="28"/>
          <w:szCs w:val="28"/>
        </w:rPr>
        <w:t>驻场支持：投标人须为本项目提供不少于3人的现场驻场支持。</w:t>
      </w:r>
    </w:p>
    <w:p w14:paraId="4B623CAC">
      <w:pPr>
        <w:ind w:firstLine="560" w:firstLineChars="200"/>
        <w:rPr>
          <w:rFonts w:hint="eastAsia" w:ascii="仿宋" w:hAnsi="仿宋" w:eastAsia="仿宋" w:cs="仿宋"/>
          <w:sz w:val="28"/>
          <w:szCs w:val="28"/>
        </w:rPr>
      </w:pPr>
      <w:r>
        <w:rPr>
          <w:rFonts w:ascii="仿宋" w:hAnsi="仿宋" w:eastAsia="仿宋" w:cs="仿宋"/>
          <w:sz w:val="28"/>
          <w:szCs w:val="28"/>
        </w:rPr>
        <w:t>项目经理：本项目至少配置1名专职项目经理，项目经理具</w:t>
      </w:r>
      <w:r>
        <w:rPr>
          <w:rFonts w:hint="eastAsia" w:ascii="仿宋" w:hAnsi="仿宋" w:eastAsia="仿宋" w:cs="仿宋"/>
          <w:sz w:val="28"/>
          <w:szCs w:val="28"/>
        </w:rPr>
        <w:t>信息化专业领域高级工程师职称、高级信息系统项目管理师、CISP证书优先考虑</w:t>
      </w:r>
      <w:r>
        <w:rPr>
          <w:rFonts w:ascii="仿宋" w:hAnsi="仿宋" w:eastAsia="仿宋" w:cs="仿宋"/>
          <w:sz w:val="28"/>
          <w:szCs w:val="28"/>
        </w:rPr>
        <w:t>，担任过政务云类似项目的项目经理</w:t>
      </w:r>
      <w:r>
        <w:rPr>
          <w:rFonts w:hint="eastAsia" w:ascii="仿宋" w:hAnsi="仿宋" w:eastAsia="仿宋" w:cs="仿宋"/>
          <w:sz w:val="28"/>
          <w:szCs w:val="28"/>
        </w:rPr>
        <w:t>不少于5年的</w:t>
      </w:r>
      <w:r>
        <w:rPr>
          <w:rFonts w:ascii="仿宋" w:hAnsi="仿宋" w:eastAsia="仿宋" w:cs="仿宋"/>
          <w:sz w:val="28"/>
          <w:szCs w:val="28"/>
        </w:rPr>
        <w:t>优先考虑，提供项目经理的参与项目的经验清单（包括项目名称、服务时间、项目方、联系人等内容）。</w:t>
      </w:r>
    </w:p>
    <w:p w14:paraId="6460343D">
      <w:pPr>
        <w:ind w:firstLine="560" w:firstLineChars="200"/>
        <w:rPr>
          <w:rFonts w:hint="eastAsia" w:ascii="仿宋" w:hAnsi="仿宋" w:eastAsia="仿宋" w:cs="仿宋"/>
          <w:sz w:val="28"/>
          <w:szCs w:val="28"/>
        </w:rPr>
      </w:pPr>
      <w:r>
        <w:rPr>
          <w:rFonts w:hint="eastAsia" w:ascii="仿宋" w:hAnsi="仿宋" w:eastAsia="仿宋" w:cs="仿宋"/>
          <w:sz w:val="28"/>
          <w:szCs w:val="28"/>
        </w:rPr>
        <w:t>技术负责人：</w:t>
      </w:r>
      <w:r>
        <w:rPr>
          <w:rFonts w:ascii="仿宋" w:hAnsi="仿宋" w:eastAsia="仿宋" w:cs="仿宋"/>
          <w:sz w:val="28"/>
          <w:szCs w:val="28"/>
        </w:rPr>
        <w:t>本项目至少配置1名</w:t>
      </w:r>
      <w:r>
        <w:rPr>
          <w:rFonts w:hint="eastAsia" w:ascii="仿宋" w:hAnsi="仿宋" w:eastAsia="仿宋" w:cs="仿宋"/>
          <w:sz w:val="28"/>
          <w:szCs w:val="28"/>
        </w:rPr>
        <w:t>技术负责人，技术负责人至少具备CISP和高级信息系统项目管理师资质证书。</w:t>
      </w:r>
    </w:p>
    <w:p w14:paraId="12BE6F79">
      <w:pPr>
        <w:ind w:firstLine="560" w:firstLineChars="200"/>
        <w:rPr>
          <w:rFonts w:hint="eastAsia" w:ascii="仿宋" w:hAnsi="仿宋" w:eastAsia="仿宋" w:cs="仿宋"/>
          <w:sz w:val="28"/>
          <w:szCs w:val="28"/>
        </w:rPr>
      </w:pPr>
      <w:r>
        <w:rPr>
          <w:rFonts w:ascii="仿宋" w:hAnsi="仿宋" w:eastAsia="仿宋" w:cs="仿宋"/>
          <w:sz w:val="28"/>
          <w:szCs w:val="28"/>
        </w:rPr>
        <w:t>团队成员：团队成员不少于8人</w:t>
      </w:r>
      <w:r>
        <w:rPr>
          <w:rFonts w:hint="eastAsia" w:ascii="仿宋" w:hAnsi="仿宋" w:eastAsia="仿宋" w:cs="仿宋"/>
          <w:sz w:val="28"/>
          <w:szCs w:val="28"/>
        </w:rPr>
        <w:t>（含项目经理和技术负责人）</w:t>
      </w:r>
      <w:r>
        <w:rPr>
          <w:rFonts w:ascii="仿宋" w:hAnsi="仿宋" w:eastAsia="仿宋" w:cs="仿宋"/>
          <w:sz w:val="28"/>
          <w:szCs w:val="28"/>
        </w:rPr>
        <w:t>，具有</w:t>
      </w:r>
      <w:r>
        <w:rPr>
          <w:rFonts w:hint="eastAsia" w:ascii="仿宋" w:hAnsi="仿宋" w:eastAsia="仿宋" w:cs="仿宋"/>
          <w:sz w:val="28"/>
          <w:szCs w:val="28"/>
        </w:rPr>
        <w:t>政务行业信息化</w:t>
      </w:r>
      <w:r>
        <w:rPr>
          <w:rFonts w:ascii="仿宋" w:hAnsi="仿宋" w:eastAsia="仿宋" w:cs="仿宋"/>
          <w:sz w:val="28"/>
          <w:szCs w:val="28"/>
        </w:rPr>
        <w:t>相关服务经验，提供团队成员参与过的项目经验清单（包括项目名称、服务时间、项目方、联系人等内容）。</w:t>
      </w:r>
    </w:p>
    <w:p w14:paraId="2BCB4074">
      <w:pPr>
        <w:pStyle w:val="2"/>
        <w:spacing w:before="240" w:after="240" w:line="360" w:lineRule="auto"/>
        <w:ind w:left="0"/>
        <w:rPr>
          <w:rFonts w:hint="eastAsia" w:ascii="仿宋" w:hAnsi="仿宋" w:eastAsia="仿宋" w:cs="仿宋"/>
        </w:rPr>
      </w:pPr>
      <w:bookmarkStart w:id="33" w:name="_Toc69194686"/>
      <w:r>
        <w:rPr>
          <w:rFonts w:hint="eastAsia" w:ascii="仿宋" w:hAnsi="仿宋" w:eastAsia="仿宋" w:cs="仿宋"/>
        </w:rPr>
        <w:t>服务提供方资质</w:t>
      </w:r>
      <w:bookmarkEnd w:id="33"/>
      <w:r>
        <w:rPr>
          <w:rFonts w:hint="eastAsia" w:ascii="仿宋" w:hAnsi="仿宋" w:eastAsia="仿宋" w:cs="仿宋"/>
        </w:rPr>
        <w:t>要求</w:t>
      </w:r>
    </w:p>
    <w:p w14:paraId="2F7459BD">
      <w:pPr>
        <w:ind w:firstLine="560" w:firstLineChars="200"/>
        <w:rPr>
          <w:rFonts w:hint="eastAsia" w:ascii="仿宋" w:hAnsi="仿宋" w:eastAsia="仿宋" w:cs="仿宋"/>
          <w:sz w:val="28"/>
          <w:szCs w:val="28"/>
        </w:rPr>
      </w:pPr>
      <w:r>
        <w:rPr>
          <w:rFonts w:hint="eastAsia" w:ascii="仿宋" w:hAnsi="仿宋" w:eastAsia="仿宋" w:cs="仿宋"/>
          <w:sz w:val="28"/>
          <w:szCs w:val="28"/>
        </w:rPr>
        <w:t>1、符合《中华人民共和国政府采购法》第二十二条规定的服务提供方。</w:t>
      </w:r>
    </w:p>
    <w:p w14:paraId="1DA378F6">
      <w:pPr>
        <w:ind w:firstLine="560" w:firstLineChars="200"/>
        <w:rPr>
          <w:rFonts w:hint="eastAsia" w:ascii="仿宋" w:hAnsi="仿宋" w:eastAsia="仿宋" w:cs="仿宋"/>
          <w:sz w:val="28"/>
          <w:szCs w:val="28"/>
        </w:rPr>
      </w:pPr>
      <w:r>
        <w:rPr>
          <w:rFonts w:hint="eastAsia" w:ascii="仿宋" w:hAnsi="仿宋" w:eastAsia="仿宋" w:cs="仿宋"/>
          <w:sz w:val="28"/>
          <w:szCs w:val="28"/>
        </w:rPr>
        <w:t>2、根据《上海市政府采购供应商登记及诚信管理办法》已登记入库的服务提供方。</w:t>
      </w:r>
    </w:p>
    <w:p w14:paraId="25E38F43">
      <w:pPr>
        <w:ind w:firstLine="560" w:firstLineChars="200"/>
        <w:rPr>
          <w:rFonts w:hint="eastAsia" w:ascii="仿宋" w:hAnsi="仿宋" w:eastAsia="仿宋" w:cs="仿宋"/>
          <w:sz w:val="28"/>
          <w:szCs w:val="28"/>
        </w:rPr>
      </w:pPr>
      <w:r>
        <w:rPr>
          <w:rFonts w:hint="eastAsia" w:ascii="仿宋" w:hAnsi="仿宋" w:eastAsia="仿宋" w:cs="仿宋"/>
          <w:sz w:val="28"/>
          <w:szCs w:val="28"/>
        </w:rPr>
        <w:t>3、具有ISO9001质量管理体系认证证书。</w:t>
      </w:r>
    </w:p>
    <w:p w14:paraId="23642BEB">
      <w:pPr>
        <w:pStyle w:val="2"/>
        <w:spacing w:before="240" w:after="240" w:line="360" w:lineRule="auto"/>
        <w:ind w:left="0"/>
        <w:rPr>
          <w:rFonts w:hint="eastAsia" w:ascii="仿宋" w:hAnsi="仿宋" w:eastAsia="仿宋" w:cs="仿宋"/>
          <w:bCs w:val="0"/>
          <w:szCs w:val="32"/>
        </w:rPr>
      </w:pPr>
      <w:r>
        <w:rPr>
          <w:rFonts w:hint="eastAsia" w:ascii="仿宋" w:hAnsi="仿宋" w:eastAsia="仿宋" w:cs="仿宋"/>
          <w:bCs w:val="0"/>
          <w:szCs w:val="32"/>
        </w:rPr>
        <w:t>安全服务内容</w:t>
      </w:r>
    </w:p>
    <w:p w14:paraId="0A92817C">
      <w:pPr>
        <w:ind w:firstLine="560" w:firstLineChars="200"/>
      </w:pPr>
      <w:r>
        <w:rPr>
          <w:rFonts w:ascii="仿宋" w:hAnsi="仿宋" w:eastAsia="仿宋" w:cs="仿宋"/>
          <w:sz w:val="28"/>
          <w:szCs w:val="28"/>
        </w:rPr>
        <w:t>安全服务</w:t>
      </w:r>
      <w:r>
        <w:rPr>
          <w:rFonts w:hint="eastAsia" w:ascii="仿宋" w:hAnsi="仿宋" w:eastAsia="仿宋" w:cs="仿宋"/>
          <w:sz w:val="28"/>
          <w:szCs w:val="28"/>
        </w:rPr>
        <w:t>包括但不限于以下</w:t>
      </w:r>
      <w:r>
        <w:rPr>
          <w:rFonts w:ascii="仿宋" w:hAnsi="仿宋" w:eastAsia="仿宋" w:cs="仿宋"/>
          <w:sz w:val="28"/>
          <w:szCs w:val="28"/>
        </w:rPr>
        <w:t>内容：</w:t>
      </w:r>
    </w:p>
    <w:p w14:paraId="54F592D6">
      <w:pPr>
        <w:ind w:firstLine="562" w:firstLineChars="200"/>
        <w:rPr>
          <w:rFonts w:hint="eastAsia" w:ascii="仿宋" w:hAnsi="仿宋" w:eastAsia="仿宋" w:cs="仿宋"/>
          <w:sz w:val="28"/>
          <w:szCs w:val="28"/>
        </w:rPr>
      </w:pPr>
      <w:r>
        <w:rPr>
          <w:rFonts w:ascii="仿宋" w:hAnsi="仿宋" w:eastAsia="仿宋" w:cs="仿宋"/>
          <w:b/>
          <w:sz w:val="28"/>
          <w:szCs w:val="28"/>
        </w:rPr>
        <w:t>1、</w:t>
      </w:r>
      <w:r>
        <w:rPr>
          <w:rFonts w:hint="eastAsia" w:ascii="仿宋" w:hAnsi="仿宋" w:eastAsia="仿宋" w:cs="仿宋"/>
          <w:b/>
          <w:sz w:val="28"/>
          <w:szCs w:val="28"/>
        </w:rPr>
        <w:t>等保</w:t>
      </w:r>
      <w:r>
        <w:rPr>
          <w:rFonts w:ascii="仿宋" w:hAnsi="仿宋" w:eastAsia="仿宋" w:cs="仿宋"/>
          <w:b/>
          <w:sz w:val="28"/>
          <w:szCs w:val="28"/>
        </w:rPr>
        <w:t>测评：</w:t>
      </w:r>
      <w:r>
        <w:rPr>
          <w:rFonts w:hint="eastAsia" w:ascii="仿宋" w:hAnsi="仿宋" w:eastAsia="仿宋" w:cs="仿宋"/>
          <w:sz w:val="28"/>
          <w:szCs w:val="28"/>
        </w:rPr>
        <w:t>应在项目验收前通过等保三级测评，并获取等保报告。</w:t>
      </w:r>
    </w:p>
    <w:p w14:paraId="6C0F0BFB">
      <w:pPr>
        <w:ind w:firstLine="562" w:firstLineChars="200"/>
        <w:rPr>
          <w:rFonts w:hint="eastAsia" w:ascii="仿宋" w:hAnsi="仿宋" w:eastAsia="仿宋" w:cs="仿宋"/>
          <w:sz w:val="28"/>
          <w:szCs w:val="28"/>
        </w:rPr>
      </w:pPr>
      <w:r>
        <w:rPr>
          <w:rFonts w:ascii="仿宋" w:hAnsi="仿宋" w:eastAsia="仿宋" w:cs="仿宋"/>
          <w:b/>
          <w:sz w:val="28"/>
          <w:szCs w:val="28"/>
        </w:rPr>
        <w:t>2、密码应用安全性评估：</w:t>
      </w:r>
      <w:r>
        <w:rPr>
          <w:rFonts w:hint="eastAsia" w:ascii="仿宋" w:hAnsi="仿宋" w:eastAsia="仿宋" w:cs="仿宋"/>
          <w:sz w:val="28"/>
          <w:szCs w:val="28"/>
        </w:rPr>
        <w:t>项目中涉及信息系统其安全等级保护在三级及以上且做过密码改造的，应在项目验收前通过密码应用安全性评估，并获取密码应用安全性评估报告。</w:t>
      </w:r>
    </w:p>
    <w:p w14:paraId="184BA023">
      <w:pPr>
        <w:pStyle w:val="2"/>
        <w:spacing w:before="240" w:after="240" w:line="360" w:lineRule="auto"/>
        <w:ind w:left="0"/>
        <w:rPr>
          <w:rFonts w:hint="eastAsia" w:ascii="仿宋" w:hAnsi="仿宋" w:eastAsia="仿宋" w:cs="仿宋"/>
          <w:bCs w:val="0"/>
          <w:szCs w:val="32"/>
        </w:rPr>
      </w:pPr>
      <w:bookmarkStart w:id="34" w:name="_Toc67249662"/>
      <w:bookmarkStart w:id="35" w:name="_Toc38354903"/>
      <w:bookmarkStart w:id="36" w:name="_Toc69194690"/>
      <w:r>
        <w:rPr>
          <w:rFonts w:hint="eastAsia" w:ascii="仿宋" w:hAnsi="仿宋" w:eastAsia="仿宋" w:cs="仿宋"/>
          <w:bCs w:val="0"/>
          <w:szCs w:val="32"/>
        </w:rPr>
        <w:t>应急服务</w:t>
      </w:r>
      <w:bookmarkEnd w:id="34"/>
    </w:p>
    <w:p w14:paraId="284B0D3F">
      <w:pPr>
        <w:pStyle w:val="3"/>
        <w:spacing w:before="240" w:after="240" w:line="360" w:lineRule="auto"/>
        <w:ind w:left="0"/>
        <w:jc w:val="left"/>
        <w:rPr>
          <w:rFonts w:hint="eastAsia" w:ascii="仿宋" w:hAnsi="仿宋" w:cs="仿宋"/>
        </w:rPr>
      </w:pPr>
      <w:r>
        <w:rPr>
          <w:rFonts w:hint="eastAsia" w:ascii="仿宋" w:hAnsi="仿宋" w:cs="仿宋"/>
        </w:rPr>
        <w:t>编制应急预案及开展演练</w:t>
      </w:r>
    </w:p>
    <w:p w14:paraId="7E9BB58F">
      <w:pPr>
        <w:ind w:firstLine="560" w:firstLineChars="200"/>
        <w:rPr>
          <w:rFonts w:hint="eastAsia" w:ascii="仿宋" w:hAnsi="仿宋" w:eastAsia="仿宋" w:cs="仿宋"/>
          <w:sz w:val="28"/>
          <w:szCs w:val="28"/>
        </w:rPr>
      </w:pPr>
      <w:r>
        <w:rPr>
          <w:rFonts w:hint="eastAsia" w:ascii="仿宋" w:hAnsi="仿宋" w:eastAsia="仿宋" w:cs="仿宋"/>
          <w:sz w:val="28"/>
          <w:szCs w:val="28"/>
        </w:rPr>
        <w:t>供应商应坚持主动预防、迅速高效的原则，紧密结合实际情况，在正式启动运维工作前完善应急预案，且在运维期内及时更新。</w:t>
      </w:r>
    </w:p>
    <w:p w14:paraId="3691312D">
      <w:pPr>
        <w:ind w:firstLine="560"/>
        <w:rPr>
          <w:rFonts w:hint="eastAsia" w:ascii="仿宋" w:hAnsi="仿宋" w:eastAsia="仿宋" w:cs="仿宋"/>
          <w:sz w:val="28"/>
          <w:szCs w:val="28"/>
        </w:rPr>
      </w:pPr>
      <w:r>
        <w:rPr>
          <w:rFonts w:hint="eastAsia" w:ascii="仿宋" w:hAnsi="仿宋" w:eastAsia="仿宋" w:cs="仿宋"/>
          <w:sz w:val="28"/>
          <w:szCs w:val="28"/>
        </w:rPr>
        <w:t>应急预案应包括但不限于以下内容：集成商应急处置组织架构；日常检查、隐患排查、风险评估和容灾备份等安全预防工作的时间、人员安排；预警响应方案，包括在不同等级应急响应下，相关责任人、处置人员队伍、外部技术支持、处置策略以及处置时间目标；应急处置方案，包括发现报告机制、集成商责任人职责、处置队伍组建、采取业务缓解、网络封堵、威胁追踪和现场取证等网络安全技术措施,以及阻断信息泄露、完整性检测、抑制影响范围、数据备份和恢复等数据安全技术措施；故障恢复预案；配合调查评估等。重要信息系统预案应增加协助舆 情管控措施等相关内容。</w:t>
      </w:r>
    </w:p>
    <w:p w14:paraId="789726CD">
      <w:pPr>
        <w:ind w:firstLine="560" w:firstLineChars="200"/>
        <w:rPr>
          <w:rFonts w:hint="eastAsia" w:ascii="仿宋_GB2312" w:hAnsi="仿宋" w:eastAsia="仿宋_GB2312" w:cs="仿宋"/>
          <w:sz w:val="28"/>
          <w:szCs w:val="28"/>
        </w:rPr>
      </w:pPr>
      <w:r>
        <w:rPr>
          <w:rFonts w:hint="eastAsia" w:ascii="仿宋" w:hAnsi="仿宋" w:eastAsia="仿宋" w:cs="仿宋"/>
          <w:sz w:val="28"/>
          <w:szCs w:val="28"/>
        </w:rPr>
        <w:t>服务期内完成2次演练，基本要求如下：构建一个典型场景编制演练方案；编制演练脚本；开展演练培训；记录演练过程；形成演练总结报告。</w:t>
      </w:r>
    </w:p>
    <w:p w14:paraId="59B87EF5">
      <w:pPr>
        <w:pStyle w:val="3"/>
        <w:spacing w:before="240" w:after="240" w:line="360" w:lineRule="auto"/>
        <w:ind w:left="0"/>
        <w:jc w:val="left"/>
        <w:rPr>
          <w:rFonts w:hint="eastAsia" w:ascii="仿宋" w:hAnsi="仿宋" w:cs="仿宋"/>
        </w:rPr>
      </w:pPr>
      <w:r>
        <w:rPr>
          <w:rFonts w:hint="eastAsia" w:ascii="仿宋" w:hAnsi="仿宋" w:cs="仿宋"/>
        </w:rPr>
        <w:t>应急响应要求</w:t>
      </w:r>
    </w:p>
    <w:p w14:paraId="15EB59D8">
      <w:pPr>
        <w:spacing w:line="560" w:lineRule="exact"/>
        <w:ind w:firstLine="560" w:firstLineChars="200"/>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rPr>
        <w:t>、服务提供方坚持主动预防、迅速高效的原则，紧密结合实际情况，精心编制并持续完善应急预案。</w:t>
      </w:r>
    </w:p>
    <w:p w14:paraId="00E268F9">
      <w:pPr>
        <w:spacing w:line="560" w:lineRule="exact"/>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、服务提供方必须提供</w:t>
      </w:r>
      <w:r>
        <w:rPr>
          <w:rFonts w:ascii="仿宋" w:hAnsi="仿宋" w:eastAsia="仿宋"/>
          <w:sz w:val="28"/>
          <w:szCs w:val="28"/>
        </w:rPr>
        <w:t>7*24</w:t>
      </w:r>
      <w:r>
        <w:rPr>
          <w:rFonts w:hint="eastAsia" w:ascii="仿宋" w:hAnsi="仿宋" w:eastAsia="仿宋"/>
          <w:sz w:val="28"/>
          <w:szCs w:val="28"/>
        </w:rPr>
        <w:t>小时全天候应急响应服务。</w:t>
      </w:r>
    </w:p>
    <w:p w14:paraId="08E1C019">
      <w:pPr>
        <w:spacing w:line="560" w:lineRule="exact"/>
        <w:ind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、依据故障时间及故障范围划分故障级别，故障级别分为四级，依次为Ⅰ级（紧急）、Ⅱ级（严重）、Ⅲ级（较大）和Ⅳ级（一般），分别定义如下：</w:t>
      </w:r>
    </w:p>
    <w:p w14:paraId="579335EE">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Ⅰ级（紧急）故障为工作时间段（</w:t>
      </w:r>
      <w:r>
        <w:rPr>
          <w:rFonts w:ascii="仿宋" w:hAnsi="仿宋" w:eastAsia="仿宋"/>
          <w:sz w:val="28"/>
          <w:szCs w:val="28"/>
        </w:rPr>
        <w:t>8</w:t>
      </w:r>
      <w:r>
        <w:rPr>
          <w:rFonts w:hint="eastAsia" w:ascii="仿宋" w:hAnsi="仿宋" w:eastAsia="仿宋"/>
          <w:sz w:val="28"/>
          <w:szCs w:val="28"/>
        </w:rPr>
        <w:t>:</w:t>
      </w:r>
      <w:r>
        <w:rPr>
          <w:rFonts w:ascii="仿宋" w:hAnsi="仿宋" w:eastAsia="仿宋"/>
          <w:sz w:val="28"/>
          <w:szCs w:val="28"/>
        </w:rPr>
        <w:t>30——17</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）内大范围故障。</w:t>
      </w:r>
    </w:p>
    <w:p w14:paraId="4588CF4E">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Ⅱ级（严重）故障为非工作时间段（</w:t>
      </w:r>
      <w:r>
        <w:rPr>
          <w:rFonts w:ascii="仿宋" w:hAnsi="仿宋" w:eastAsia="仿宋"/>
          <w:sz w:val="28"/>
          <w:szCs w:val="28"/>
        </w:rPr>
        <w:t>17</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次日</w:t>
      </w:r>
      <w:r>
        <w:rPr>
          <w:rFonts w:ascii="仿宋" w:hAnsi="仿宋" w:eastAsia="仿宋"/>
          <w:sz w:val="28"/>
          <w:szCs w:val="28"/>
        </w:rPr>
        <w:t>8</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）内大范围故障。</w:t>
      </w:r>
    </w:p>
    <w:p w14:paraId="2C85AB6B">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Ⅲ级（较大）故障为工作时间段（</w:t>
      </w:r>
      <w:r>
        <w:rPr>
          <w:rFonts w:ascii="仿宋" w:hAnsi="仿宋" w:eastAsia="仿宋"/>
          <w:sz w:val="28"/>
          <w:szCs w:val="28"/>
        </w:rPr>
        <w:t>8</w:t>
      </w:r>
      <w:r>
        <w:rPr>
          <w:rFonts w:hint="eastAsia" w:ascii="仿宋" w:hAnsi="仿宋" w:eastAsia="仿宋"/>
          <w:sz w:val="28"/>
          <w:szCs w:val="28"/>
        </w:rPr>
        <w:t>:</w:t>
      </w:r>
      <w:r>
        <w:rPr>
          <w:rFonts w:ascii="仿宋" w:hAnsi="仿宋" w:eastAsia="仿宋"/>
          <w:sz w:val="28"/>
          <w:szCs w:val="28"/>
        </w:rPr>
        <w:t>30——17</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）内小范围故障。</w:t>
      </w:r>
    </w:p>
    <w:p w14:paraId="1F0DF7AC">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Ⅳ级（一般）故障为非工作时间段（</w:t>
      </w:r>
      <w:r>
        <w:rPr>
          <w:rFonts w:ascii="仿宋" w:hAnsi="仿宋" w:eastAsia="仿宋"/>
          <w:sz w:val="28"/>
          <w:szCs w:val="28"/>
        </w:rPr>
        <w:t>17</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次日</w:t>
      </w:r>
      <w:r>
        <w:rPr>
          <w:rFonts w:ascii="仿宋" w:hAnsi="仿宋" w:eastAsia="仿宋"/>
          <w:sz w:val="28"/>
          <w:szCs w:val="28"/>
        </w:rPr>
        <w:t>8</w:t>
      </w:r>
      <w:r>
        <w:rPr>
          <w:rFonts w:hint="eastAsia" w:ascii="仿宋" w:hAnsi="仿宋" w:eastAsia="仿宋"/>
          <w:sz w:val="28"/>
          <w:szCs w:val="28"/>
        </w:rPr>
        <w:t>:</w:t>
      </w:r>
      <w:r>
        <w:rPr>
          <w:rFonts w:ascii="仿宋" w:hAnsi="仿宋" w:eastAsia="仿宋"/>
          <w:sz w:val="28"/>
          <w:szCs w:val="28"/>
        </w:rPr>
        <w:t>30</w:t>
      </w:r>
      <w:r>
        <w:rPr>
          <w:rFonts w:hint="eastAsia" w:ascii="仿宋" w:hAnsi="仿宋" w:eastAsia="仿宋"/>
          <w:sz w:val="28"/>
          <w:szCs w:val="28"/>
        </w:rPr>
        <w:t>）内小范围故障。</w:t>
      </w:r>
    </w:p>
    <w:p w14:paraId="75E3461E">
      <w:pPr>
        <w:spacing w:line="560" w:lineRule="exact"/>
        <w:ind w:firstLine="560" w:firstLineChars="200"/>
        <w:rPr>
          <w:rFonts w:hint="eastAsia" w:ascii="仿宋" w:hAnsi="仿宋" w:eastAsia="仿宋"/>
          <w:sz w:val="28"/>
          <w:szCs w:val="28"/>
        </w:rPr>
      </w:pPr>
      <w:r>
        <w:rPr>
          <w:rFonts w:hint="eastAsia" w:ascii="仿宋" w:hAnsi="仿宋" w:eastAsia="仿宋"/>
          <w:sz w:val="28"/>
          <w:szCs w:val="28"/>
        </w:rPr>
        <w:t>当：</w:t>
      </w:r>
    </w:p>
    <w:p w14:paraId="2B05D56D">
      <w:pPr>
        <w:spacing w:line="560" w:lineRule="exact"/>
        <w:ind w:firstLine="560" w:firstLineChars="200"/>
        <w:rPr>
          <w:rFonts w:hint="eastAsia" w:ascii="仿宋" w:hAnsi="仿宋" w:eastAsia="仿宋"/>
          <w:sz w:val="28"/>
          <w:szCs w:val="28"/>
        </w:rPr>
      </w:pPr>
      <w:r>
        <w:rPr>
          <w:rFonts w:ascii="仿宋" w:hAnsi="仿宋" w:eastAsia="仿宋"/>
          <w:sz w:val="28"/>
          <w:szCs w:val="28"/>
        </w:rPr>
        <w:t>a</w:t>
      </w:r>
      <w:r>
        <w:rPr>
          <w:rFonts w:hint="eastAsia" w:ascii="仿宋" w:hAnsi="仿宋" w:eastAsia="仿宋"/>
          <w:sz w:val="28"/>
          <w:szCs w:val="28"/>
        </w:rPr>
        <w:t>、发生Ⅰ级（紧急）故障后</w:t>
      </w:r>
      <w:r>
        <w:rPr>
          <w:rFonts w:ascii="仿宋" w:hAnsi="仿宋" w:eastAsia="仿宋"/>
          <w:sz w:val="28"/>
          <w:szCs w:val="28"/>
        </w:rPr>
        <w:t>0.5</w:t>
      </w:r>
      <w:r>
        <w:rPr>
          <w:rFonts w:hint="eastAsia" w:ascii="仿宋" w:hAnsi="仿宋" w:eastAsia="仿宋"/>
          <w:sz w:val="28"/>
          <w:szCs w:val="28"/>
        </w:rPr>
        <w:t>小时内无法通过电话或远程支持服务排除故障，如采购人要求提供现场支持，服务提供方应</w:t>
      </w:r>
      <w:r>
        <w:rPr>
          <w:rFonts w:ascii="仿宋" w:hAnsi="仿宋" w:eastAsia="仿宋"/>
          <w:sz w:val="28"/>
          <w:szCs w:val="28"/>
        </w:rPr>
        <w:t>2</w:t>
      </w:r>
      <w:r>
        <w:rPr>
          <w:rFonts w:hint="eastAsia" w:ascii="仿宋" w:hAnsi="仿宋" w:eastAsia="仿宋"/>
          <w:sz w:val="28"/>
          <w:szCs w:val="28"/>
        </w:rPr>
        <w:t>小时内到达用户现场。</w:t>
      </w:r>
    </w:p>
    <w:p w14:paraId="19D97910">
      <w:pPr>
        <w:spacing w:line="560" w:lineRule="exact"/>
        <w:ind w:firstLine="560" w:firstLineChars="200"/>
        <w:rPr>
          <w:rFonts w:hint="eastAsia" w:ascii="仿宋" w:hAnsi="仿宋" w:eastAsia="仿宋"/>
          <w:sz w:val="28"/>
          <w:szCs w:val="28"/>
        </w:rPr>
      </w:pPr>
      <w:r>
        <w:rPr>
          <w:rFonts w:ascii="仿宋" w:hAnsi="仿宋" w:eastAsia="仿宋"/>
          <w:sz w:val="28"/>
          <w:szCs w:val="28"/>
        </w:rPr>
        <w:t>b</w:t>
      </w:r>
      <w:r>
        <w:rPr>
          <w:rFonts w:hint="eastAsia" w:ascii="仿宋" w:hAnsi="仿宋" w:eastAsia="仿宋"/>
          <w:sz w:val="28"/>
          <w:szCs w:val="28"/>
        </w:rPr>
        <w:t>、发生Ⅱ级（严重）故障后</w:t>
      </w:r>
      <w:r>
        <w:rPr>
          <w:rFonts w:ascii="仿宋" w:hAnsi="仿宋" w:eastAsia="仿宋"/>
          <w:sz w:val="28"/>
          <w:szCs w:val="28"/>
        </w:rPr>
        <w:t>0.5</w:t>
      </w:r>
      <w:r>
        <w:rPr>
          <w:rFonts w:hint="eastAsia" w:ascii="仿宋" w:hAnsi="仿宋" w:eastAsia="仿宋"/>
          <w:sz w:val="28"/>
          <w:szCs w:val="28"/>
        </w:rPr>
        <w:t>小时内无法通过电话或远程支持服务排除故障，如采购人要求提供现场支持，服务提供方应</w:t>
      </w:r>
      <w:r>
        <w:rPr>
          <w:rFonts w:ascii="仿宋" w:hAnsi="仿宋" w:eastAsia="仿宋"/>
          <w:sz w:val="28"/>
          <w:szCs w:val="28"/>
        </w:rPr>
        <w:t>3</w:t>
      </w:r>
      <w:r>
        <w:rPr>
          <w:rFonts w:hint="eastAsia" w:ascii="仿宋" w:hAnsi="仿宋" w:eastAsia="仿宋"/>
          <w:sz w:val="28"/>
          <w:szCs w:val="28"/>
        </w:rPr>
        <w:t>小时内到达用户现场。</w:t>
      </w:r>
    </w:p>
    <w:p w14:paraId="470612B5">
      <w:pPr>
        <w:spacing w:line="560" w:lineRule="exact"/>
        <w:ind w:firstLine="560" w:firstLineChars="200"/>
        <w:rPr>
          <w:rFonts w:hint="eastAsia" w:ascii="仿宋" w:hAnsi="仿宋" w:eastAsia="仿宋"/>
          <w:sz w:val="28"/>
          <w:szCs w:val="28"/>
        </w:rPr>
      </w:pPr>
      <w:r>
        <w:rPr>
          <w:rFonts w:ascii="仿宋" w:hAnsi="仿宋" w:eastAsia="仿宋"/>
          <w:sz w:val="28"/>
          <w:szCs w:val="28"/>
        </w:rPr>
        <w:t>c</w:t>
      </w:r>
      <w:r>
        <w:rPr>
          <w:rFonts w:hint="eastAsia" w:ascii="仿宋" w:hAnsi="仿宋" w:eastAsia="仿宋"/>
          <w:sz w:val="28"/>
          <w:szCs w:val="28"/>
        </w:rPr>
        <w:t>、发生Ⅲ级（较大）故障后</w:t>
      </w:r>
      <w:r>
        <w:rPr>
          <w:rFonts w:ascii="仿宋" w:hAnsi="仿宋" w:eastAsia="仿宋"/>
          <w:sz w:val="28"/>
          <w:szCs w:val="28"/>
        </w:rPr>
        <w:t>1</w:t>
      </w:r>
      <w:r>
        <w:rPr>
          <w:rFonts w:hint="eastAsia" w:ascii="仿宋" w:hAnsi="仿宋" w:eastAsia="仿宋"/>
          <w:sz w:val="28"/>
          <w:szCs w:val="28"/>
        </w:rPr>
        <w:t>小时内无法通过电话或远程支持服务排除故障，如采购人要求提供现场支持，服务提供方应</w:t>
      </w:r>
      <w:r>
        <w:rPr>
          <w:rFonts w:ascii="仿宋" w:hAnsi="仿宋" w:eastAsia="仿宋"/>
          <w:sz w:val="28"/>
          <w:szCs w:val="28"/>
        </w:rPr>
        <w:t>3</w:t>
      </w:r>
      <w:r>
        <w:rPr>
          <w:rFonts w:hint="eastAsia" w:ascii="仿宋" w:hAnsi="仿宋" w:eastAsia="仿宋"/>
          <w:sz w:val="28"/>
          <w:szCs w:val="28"/>
        </w:rPr>
        <w:t>小时内到达用户现场。</w:t>
      </w:r>
    </w:p>
    <w:p w14:paraId="4F0896ED">
      <w:pPr>
        <w:spacing w:line="560" w:lineRule="exact"/>
        <w:ind w:firstLine="560" w:firstLineChars="200"/>
        <w:rPr>
          <w:rFonts w:hint="eastAsia" w:ascii="仿宋" w:hAnsi="仿宋" w:eastAsia="仿宋"/>
          <w:sz w:val="28"/>
          <w:szCs w:val="28"/>
        </w:rPr>
      </w:pPr>
      <w:r>
        <w:rPr>
          <w:rFonts w:ascii="仿宋" w:hAnsi="仿宋" w:eastAsia="仿宋"/>
          <w:sz w:val="28"/>
          <w:szCs w:val="28"/>
        </w:rPr>
        <w:t>d</w:t>
      </w:r>
      <w:r>
        <w:rPr>
          <w:rFonts w:hint="eastAsia" w:ascii="仿宋" w:hAnsi="仿宋" w:eastAsia="仿宋"/>
          <w:sz w:val="28"/>
          <w:szCs w:val="28"/>
        </w:rPr>
        <w:t>、发生Ⅳ级（一般）故障后</w:t>
      </w:r>
      <w:r>
        <w:rPr>
          <w:rFonts w:ascii="仿宋" w:hAnsi="仿宋" w:eastAsia="仿宋"/>
          <w:sz w:val="28"/>
          <w:szCs w:val="28"/>
        </w:rPr>
        <w:t>1</w:t>
      </w:r>
      <w:r>
        <w:rPr>
          <w:rFonts w:hint="eastAsia" w:ascii="仿宋" w:hAnsi="仿宋" w:eastAsia="仿宋"/>
          <w:sz w:val="28"/>
          <w:szCs w:val="28"/>
        </w:rPr>
        <w:t>小时内无法通过电话或远程支持服务排除故障，如采购人要求提供现场支持，服务提供方应</w:t>
      </w:r>
      <w:r>
        <w:rPr>
          <w:rFonts w:ascii="仿宋" w:hAnsi="仿宋" w:eastAsia="仿宋"/>
          <w:sz w:val="28"/>
          <w:szCs w:val="28"/>
        </w:rPr>
        <w:t>4</w:t>
      </w:r>
      <w:r>
        <w:rPr>
          <w:rFonts w:hint="eastAsia" w:ascii="仿宋" w:hAnsi="仿宋" w:eastAsia="仿宋"/>
          <w:sz w:val="28"/>
          <w:szCs w:val="28"/>
        </w:rPr>
        <w:t>小时内到达用户现场。</w:t>
      </w:r>
    </w:p>
    <w:p w14:paraId="1792CE87">
      <w:pPr>
        <w:spacing w:line="560" w:lineRule="exact"/>
        <w:ind w:firstLine="560" w:firstLineChars="200"/>
        <w:rPr>
          <w:rFonts w:hint="eastAsia" w:ascii="仿宋" w:hAnsi="仿宋" w:eastAsia="仿宋"/>
          <w:sz w:val="28"/>
          <w:szCs w:val="28"/>
        </w:rPr>
      </w:pPr>
      <w:r>
        <w:rPr>
          <w:rFonts w:ascii="仿宋" w:hAnsi="仿宋" w:eastAsia="仿宋"/>
          <w:sz w:val="28"/>
          <w:szCs w:val="28"/>
        </w:rPr>
        <w:t>4</w:t>
      </w:r>
      <w:r>
        <w:rPr>
          <w:rFonts w:hint="eastAsia" w:ascii="仿宋" w:hAnsi="仿宋" w:eastAsia="仿宋"/>
          <w:sz w:val="28"/>
          <w:szCs w:val="28"/>
        </w:rPr>
        <w:t>、如发生故障，服务提供方应严格按照制定的应急预案中故障处理流程实施故障排除操作。</w:t>
      </w:r>
    </w:p>
    <w:p w14:paraId="7609CF01">
      <w:pPr>
        <w:spacing w:line="560" w:lineRule="exact"/>
        <w:ind w:firstLine="560" w:firstLineChars="200"/>
        <w:rPr>
          <w:rFonts w:hint="eastAsia" w:ascii="仿宋" w:hAnsi="仿宋" w:eastAsia="仿宋"/>
          <w:sz w:val="28"/>
          <w:szCs w:val="28"/>
        </w:rPr>
      </w:pPr>
      <w:r>
        <w:rPr>
          <w:rFonts w:ascii="仿宋" w:hAnsi="仿宋" w:eastAsia="仿宋"/>
          <w:sz w:val="28"/>
          <w:szCs w:val="28"/>
        </w:rPr>
        <w:t>5</w:t>
      </w:r>
      <w:r>
        <w:rPr>
          <w:rFonts w:hint="eastAsia" w:ascii="仿宋" w:hAnsi="仿宋" w:eastAsia="仿宋"/>
          <w:sz w:val="28"/>
          <w:szCs w:val="28"/>
        </w:rPr>
        <w:t>、当故障排除操作全部完成后，服务提供方应向采购人提交运维故障报告，经采购单位验证通过后签字确认并归档保存，同时组织更新相关文档。</w:t>
      </w:r>
    </w:p>
    <w:p w14:paraId="715761E1">
      <w:pPr>
        <w:spacing w:line="560" w:lineRule="exact"/>
        <w:ind w:firstLine="560" w:firstLineChars="200"/>
        <w:rPr>
          <w:rFonts w:hint="eastAsia" w:ascii="Times New Roman" w:hAnsi="仿宋" w:eastAsia="仿宋_GB2312"/>
          <w:sz w:val="28"/>
          <w:szCs w:val="28"/>
        </w:rPr>
      </w:pPr>
      <w:r>
        <w:rPr>
          <w:rFonts w:ascii="仿宋" w:hAnsi="仿宋" w:eastAsia="仿宋"/>
          <w:sz w:val="28"/>
          <w:szCs w:val="28"/>
        </w:rPr>
        <w:t>6</w:t>
      </w:r>
      <w:r>
        <w:rPr>
          <w:rFonts w:hint="eastAsia" w:ascii="仿宋" w:hAnsi="仿宋" w:eastAsia="仿宋"/>
          <w:sz w:val="28"/>
          <w:szCs w:val="28"/>
        </w:rPr>
        <w:t>、如遇有重大事件（包括汛期、节假日、政治军事活动等），服务提供方应科学编制安全保障方案，并根据采购人需要提供现场保障服务。</w:t>
      </w:r>
    </w:p>
    <w:bookmarkEnd w:id="35"/>
    <w:p w14:paraId="4052F325">
      <w:pPr>
        <w:pStyle w:val="2"/>
        <w:spacing w:before="240" w:after="240" w:line="360" w:lineRule="auto"/>
        <w:ind w:left="0"/>
        <w:rPr>
          <w:rFonts w:hint="eastAsia" w:ascii="仿宋" w:hAnsi="仿宋" w:eastAsia="仿宋" w:cs="仿宋"/>
          <w:bCs w:val="0"/>
          <w:szCs w:val="32"/>
        </w:rPr>
      </w:pPr>
      <w:r>
        <w:rPr>
          <w:rFonts w:hint="eastAsia" w:ascii="仿宋" w:hAnsi="仿宋" w:eastAsia="仿宋" w:cs="仿宋"/>
          <w:bCs w:val="0"/>
          <w:szCs w:val="32"/>
        </w:rPr>
        <w:t>网络和数据安全管理要求</w:t>
      </w:r>
    </w:p>
    <w:p w14:paraId="49469667">
      <w:pPr>
        <w:ind w:firstLine="560" w:firstLineChars="200"/>
        <w:rPr>
          <w:rFonts w:hint="eastAsia" w:ascii="仿宋" w:hAnsi="仿宋" w:eastAsia="仿宋" w:cs="仿宋"/>
          <w:sz w:val="28"/>
          <w:szCs w:val="28"/>
        </w:rPr>
      </w:pPr>
      <w:r>
        <w:rPr>
          <w:rFonts w:hint="eastAsia" w:ascii="仿宋" w:hAnsi="仿宋" w:eastAsia="仿宋" w:cs="仿宋"/>
          <w:sz w:val="28"/>
          <w:szCs w:val="28"/>
        </w:rPr>
        <w:t>服务提供方在提供运维（运营）服务过程中应严格按照“同步规划、同步建设、同步使用”原则落实项目安全技术措施，将系统安全运营相关监控措施纳入方案。</w:t>
      </w:r>
    </w:p>
    <w:p w14:paraId="3404BD98">
      <w:pPr>
        <w:ind w:firstLine="560" w:firstLineChars="200"/>
        <w:rPr>
          <w:rFonts w:hint="eastAsia" w:ascii="仿宋" w:hAnsi="仿宋" w:eastAsia="仿宋" w:cs="仿宋"/>
          <w:sz w:val="28"/>
          <w:szCs w:val="28"/>
        </w:rPr>
      </w:pPr>
      <w:r>
        <w:rPr>
          <w:rFonts w:hint="eastAsia" w:ascii="仿宋" w:hAnsi="仿宋" w:eastAsia="仿宋" w:cs="仿宋"/>
          <w:sz w:val="28"/>
          <w:szCs w:val="28"/>
        </w:rPr>
        <w:t>若运维项目为涉密项目，服务提供方还须参考市保密部门管理要求，严格按照国家《中华人民共和国保守国家秘密法》等相关保密法律法规进行管理，并接受中心保密延伸检查。</w:t>
      </w:r>
    </w:p>
    <w:p w14:paraId="34EA3155">
      <w:pPr>
        <w:ind w:firstLine="560" w:firstLineChars="200"/>
        <w:rPr>
          <w:rFonts w:hint="eastAsia" w:ascii="仿宋" w:hAnsi="仿宋" w:eastAsia="仿宋" w:cs="仿宋"/>
          <w:sz w:val="28"/>
          <w:szCs w:val="28"/>
        </w:rPr>
      </w:pPr>
      <w:r>
        <w:rPr>
          <w:rFonts w:hint="eastAsia" w:ascii="仿宋" w:hAnsi="仿宋" w:eastAsia="仿宋" w:cs="仿宋"/>
          <w:sz w:val="28"/>
          <w:szCs w:val="28"/>
        </w:rPr>
        <w:t>1、在提供运维（运营）服务过程中，服务提供方应在中心限定的办公区域内、访问或使用中心限定的信息资产（包括但不限于场地办公设施、计算机、服务器等），并在规定的安全环境中进行数据处理、开发测试、运维监控等活动，遵守环境安全监控的要求，在开发测试工作中，不得使用真实生产数据、不得越级操作。</w:t>
      </w:r>
    </w:p>
    <w:p w14:paraId="17735DCD">
      <w:pPr>
        <w:ind w:firstLine="560" w:firstLineChars="200"/>
        <w:rPr>
          <w:rFonts w:hint="eastAsia" w:ascii="仿宋" w:hAnsi="仿宋" w:eastAsia="仿宋" w:cs="仿宋"/>
          <w:sz w:val="28"/>
          <w:szCs w:val="28"/>
        </w:rPr>
      </w:pPr>
      <w:r>
        <w:rPr>
          <w:rFonts w:hint="eastAsia" w:ascii="仿宋" w:hAnsi="仿宋" w:eastAsia="仿宋" w:cs="仿宋"/>
          <w:sz w:val="28"/>
          <w:szCs w:val="28"/>
        </w:rPr>
        <w:t>2、提供运维（运营）服务过程中若涉及开源软件、组件等产品的使用，服务提供方应在使用前向中心提供项目涉及产品的完整清单，并附相应产品的漏洞扫描报告、安全评估报告等证明材料，审核通过后方可使用。</w:t>
      </w:r>
    </w:p>
    <w:p w14:paraId="3FE245BC">
      <w:pPr>
        <w:ind w:firstLine="560" w:firstLineChars="200"/>
        <w:rPr>
          <w:rFonts w:hint="eastAsia" w:ascii="仿宋" w:hAnsi="仿宋" w:eastAsia="仿宋" w:cs="仿宋"/>
          <w:sz w:val="28"/>
          <w:szCs w:val="28"/>
        </w:rPr>
      </w:pPr>
      <w:r>
        <w:rPr>
          <w:rFonts w:hint="eastAsia" w:ascii="仿宋" w:hAnsi="仿宋" w:eastAsia="仿宋" w:cs="仿宋"/>
          <w:sz w:val="28"/>
          <w:szCs w:val="28"/>
        </w:rPr>
        <w:t>3、服务提供方提供运维（运营）服务过程中须保障现有系统的网络通畅、系统可用和数据安全。严格落实网络和数据安全防护能力、密码应用、信创应用等运维、运营工作要求，配合开展系统等级保护定级、密码应用安全性评估等工作。</w:t>
      </w:r>
    </w:p>
    <w:p w14:paraId="669A02FA">
      <w:pPr>
        <w:ind w:firstLine="560" w:firstLineChars="200"/>
        <w:rPr>
          <w:rFonts w:hint="eastAsia" w:ascii="仿宋" w:hAnsi="仿宋" w:eastAsia="仿宋" w:cs="仿宋"/>
          <w:sz w:val="28"/>
          <w:szCs w:val="28"/>
        </w:rPr>
      </w:pPr>
      <w:r>
        <w:rPr>
          <w:rFonts w:hint="eastAsia" w:ascii="仿宋" w:hAnsi="仿宋" w:eastAsia="仿宋" w:cs="仿宋"/>
          <w:sz w:val="28"/>
          <w:szCs w:val="28"/>
        </w:rPr>
        <w:t>4、服务提供方在提供运维（运营）服务过程中，被中心或第三方测评机构检测出安全漏洞、等保/密评测评未通过，服务提供方须在规定时限内完成整改并提供复测报告，逾期未整改到位的有权按中心相关管理规定作出处罚。</w:t>
      </w:r>
    </w:p>
    <w:p w14:paraId="3D712E2D">
      <w:pPr>
        <w:ind w:firstLine="560" w:firstLineChars="200"/>
        <w:rPr>
          <w:rFonts w:hint="eastAsia" w:ascii="仿宋" w:hAnsi="仿宋" w:eastAsia="仿宋" w:cs="仿宋"/>
          <w:sz w:val="28"/>
          <w:szCs w:val="28"/>
        </w:rPr>
      </w:pPr>
      <w:r>
        <w:rPr>
          <w:rFonts w:hint="eastAsia" w:ascii="仿宋" w:hAnsi="仿宋" w:eastAsia="仿宋" w:cs="仿宋"/>
          <w:sz w:val="28"/>
          <w:szCs w:val="28"/>
        </w:rPr>
        <w:t>5、服务提供方须提供自身的网络与数据安全管理制度、保密管理制度，并在中标后提供人员、财务及安全管理情况报告，发生造成中心及项目受影响的变动，应及时向中心报告。</w:t>
      </w:r>
    </w:p>
    <w:p w14:paraId="3A0549C4">
      <w:pPr>
        <w:ind w:firstLine="560" w:firstLineChars="200"/>
        <w:rPr>
          <w:rFonts w:hint="eastAsia" w:ascii="仿宋" w:hAnsi="仿宋" w:eastAsia="仿宋" w:cs="仿宋"/>
          <w:sz w:val="28"/>
          <w:szCs w:val="28"/>
        </w:rPr>
      </w:pPr>
      <w:r>
        <w:rPr>
          <w:rFonts w:hint="eastAsia" w:ascii="仿宋" w:hAnsi="仿宋" w:eastAsia="仿宋" w:cs="仿宋"/>
          <w:sz w:val="28"/>
          <w:szCs w:val="28"/>
        </w:rPr>
        <w:t>6、服务提供方中标后与中心签订保密协议，同时服务提供方应对项目相关人员开展安全培训，并与该项目人员的签订保密协议，且保证用于项目实施工作的相关终端安装正版杀毒软件及防火墙。</w:t>
      </w:r>
    </w:p>
    <w:p w14:paraId="77EBC0BD">
      <w:pPr>
        <w:ind w:firstLine="560" w:firstLineChars="200"/>
        <w:rPr>
          <w:rFonts w:hint="eastAsia" w:ascii="仿宋" w:hAnsi="仿宋" w:eastAsia="仿宋" w:cs="仿宋"/>
          <w:sz w:val="28"/>
          <w:szCs w:val="28"/>
        </w:rPr>
      </w:pPr>
      <w:r>
        <w:rPr>
          <w:rFonts w:hint="eastAsia" w:ascii="仿宋" w:hAnsi="仿宋" w:eastAsia="仿宋" w:cs="仿宋"/>
          <w:sz w:val="28"/>
          <w:szCs w:val="28"/>
        </w:rPr>
        <w:t>7、提供运维（运营）服务过程中，服务提供方需要对收集到的所有信息严格管理，严禁在网络上传播、散布和出售，牟取商业利益；服务提供方人员不得以任何方式泄露、公开或传播项目涉及的内容及成果；不得非法篡改数据、非法入侵中心网络，不得影响数据的完整性及可用性；不得留存任何安全风险隐患；参与项目建设与质保、维修的个人，不得私自拷贝和留存上述信息副本。</w:t>
      </w:r>
    </w:p>
    <w:p w14:paraId="2A4DF904">
      <w:pPr>
        <w:ind w:firstLine="560" w:firstLineChars="200"/>
        <w:rPr>
          <w:rFonts w:hint="eastAsia" w:ascii="仿宋" w:hAnsi="仿宋" w:eastAsia="仿宋" w:cs="仿宋"/>
          <w:sz w:val="28"/>
          <w:szCs w:val="28"/>
        </w:rPr>
      </w:pPr>
      <w:r>
        <w:rPr>
          <w:rFonts w:hint="eastAsia" w:ascii="仿宋" w:hAnsi="仿宋" w:eastAsia="仿宋" w:cs="仿宋"/>
          <w:sz w:val="28"/>
          <w:szCs w:val="28"/>
        </w:rPr>
        <w:t>8、指定专人负责项目实施过程中的安全工作，接受中心数据安全部门的直接管理和考核，协助开展安全检查等工作。</w:t>
      </w:r>
    </w:p>
    <w:p w14:paraId="0C56C6BA">
      <w:pPr>
        <w:ind w:firstLine="560" w:firstLineChars="200"/>
        <w:rPr>
          <w:rFonts w:hint="eastAsia" w:ascii="仿宋" w:hAnsi="仿宋" w:eastAsia="仿宋" w:cs="仿宋"/>
          <w:sz w:val="28"/>
          <w:szCs w:val="28"/>
        </w:rPr>
      </w:pPr>
      <w:r>
        <w:rPr>
          <w:rFonts w:hint="eastAsia" w:ascii="仿宋" w:hAnsi="仿宋" w:eastAsia="仿宋" w:cs="仿宋"/>
          <w:sz w:val="28"/>
          <w:szCs w:val="28"/>
        </w:rPr>
        <w:t>9、服务提供方若需互联网端功能测试，应经中心批准同意，结束后应及时关闭测试系统，删除测试数据，并将结果及时报备中心。</w:t>
      </w:r>
    </w:p>
    <w:p w14:paraId="781290DA">
      <w:pPr>
        <w:ind w:firstLine="560" w:firstLineChars="200"/>
        <w:rPr>
          <w:rFonts w:hint="eastAsia" w:ascii="仿宋" w:hAnsi="仿宋" w:eastAsia="仿宋" w:cs="仿宋"/>
          <w:sz w:val="28"/>
          <w:szCs w:val="28"/>
        </w:rPr>
      </w:pPr>
      <w:r>
        <w:rPr>
          <w:rFonts w:hint="eastAsia" w:ascii="仿宋" w:hAnsi="仿宋" w:eastAsia="仿宋" w:cs="仿宋"/>
          <w:sz w:val="28"/>
          <w:szCs w:val="28"/>
        </w:rPr>
        <w:t>10、服务提供方通过项目获取到的中心数据禁止超过合同限定范围使用，以及违规转发第三方。</w:t>
      </w:r>
    </w:p>
    <w:p w14:paraId="7B4BFFBD">
      <w:pPr>
        <w:ind w:firstLine="560" w:firstLineChars="200"/>
        <w:rPr>
          <w:rFonts w:hint="eastAsia" w:ascii="仿宋" w:hAnsi="仿宋" w:eastAsia="仿宋" w:cs="仿宋"/>
          <w:sz w:val="28"/>
          <w:szCs w:val="28"/>
        </w:rPr>
      </w:pPr>
      <w:r>
        <w:rPr>
          <w:rFonts w:hint="eastAsia" w:ascii="仿宋" w:hAnsi="仿宋" w:eastAsia="仿宋" w:cs="仿宋"/>
          <w:sz w:val="28"/>
          <w:szCs w:val="28"/>
        </w:rPr>
        <w:t>11、服务提供方应按中心规定申请数据服务接口，加强认证和鉴权防护，保护中心敏感数据不被泄露。</w:t>
      </w:r>
    </w:p>
    <w:p w14:paraId="2D9F024D">
      <w:pPr>
        <w:ind w:firstLine="560" w:firstLineChars="200"/>
        <w:rPr>
          <w:rFonts w:hint="eastAsia" w:ascii="仿宋" w:hAnsi="仿宋" w:eastAsia="仿宋" w:cs="仿宋"/>
          <w:sz w:val="28"/>
          <w:szCs w:val="28"/>
        </w:rPr>
      </w:pPr>
      <w:r>
        <w:rPr>
          <w:rFonts w:hint="eastAsia" w:ascii="仿宋" w:hAnsi="仿宋" w:eastAsia="仿宋" w:cs="仿宋"/>
          <w:sz w:val="28"/>
          <w:szCs w:val="28"/>
        </w:rPr>
        <w:t>12、服务提供方禁止将管理后台、数据库服务端口暴露在互联网。</w:t>
      </w:r>
    </w:p>
    <w:p w14:paraId="48281B90">
      <w:pPr>
        <w:ind w:firstLine="560" w:firstLineChars="200"/>
        <w:rPr>
          <w:rFonts w:hint="eastAsia" w:ascii="仿宋" w:hAnsi="仿宋" w:eastAsia="仿宋" w:cs="仿宋"/>
          <w:sz w:val="28"/>
          <w:szCs w:val="28"/>
        </w:rPr>
      </w:pPr>
      <w:r>
        <w:rPr>
          <w:rFonts w:hint="eastAsia" w:ascii="仿宋" w:hAnsi="仿宋" w:eastAsia="仿宋" w:cs="仿宋"/>
          <w:sz w:val="28"/>
          <w:szCs w:val="28"/>
        </w:rPr>
        <w:t>13、加强对项目人员的安全管理。进入项目前，项目人员应参加安全培训并通过考核，接受背景调查，提供本人无犯罪记录证明，与中心签订保密协议。入场前，项目人员应填写入场申请，按需申请系统账号、云桌面账号和工位。入场后，项目人员应在中心规定的安全环境中进行数据处理、开发测试、运维监控等活动，遵守环境安全监控的要求，禁止共用账号、拍照等。在开发测试工作中，依据要求将生产数据脱敏使用，禁止将生产数据导入个人电脑、将中心代码或敏感数据泄露或公开。禁止个人私自搭服务端和共享网络、终端跨互联网和政务外网。禁止在互联网传输中心敏感文件。非驻场人员，按需提出入网申请，并安装终端管理工具。禁止将中心数据在个人电脑上留存使用，因需求调研或设计获取数据的，禁止将中心敏感数据外发，或存储在共有云上，数据使用后应进行销毁。</w:t>
      </w:r>
    </w:p>
    <w:p w14:paraId="45B64A1D">
      <w:pPr>
        <w:pStyle w:val="2"/>
        <w:spacing w:before="240" w:after="240" w:line="360" w:lineRule="auto"/>
        <w:ind w:left="0"/>
        <w:rPr>
          <w:rFonts w:hint="eastAsia" w:ascii="仿宋" w:hAnsi="仿宋" w:eastAsia="仿宋" w:cs="仿宋"/>
        </w:rPr>
      </w:pPr>
      <w:r>
        <w:rPr>
          <w:rFonts w:ascii="仿宋" w:hAnsi="仿宋" w:eastAsia="仿宋" w:cs="仿宋"/>
        </w:rPr>
        <w:t>网络和数据安全处罚措施</w:t>
      </w:r>
    </w:p>
    <w:p w14:paraId="7D461C77">
      <w:pPr>
        <w:ind w:firstLine="560" w:firstLineChars="200"/>
        <w:rPr>
          <w:rFonts w:hint="eastAsia" w:ascii="仿宋" w:hAnsi="仿宋" w:eastAsia="仿宋" w:cs="仿宋"/>
          <w:sz w:val="28"/>
          <w:szCs w:val="28"/>
        </w:rPr>
      </w:pPr>
      <w:r>
        <w:rPr>
          <w:rFonts w:hint="eastAsia" w:ascii="仿宋" w:hAnsi="仿宋" w:eastAsia="仿宋" w:cs="仿宋"/>
          <w:sz w:val="28"/>
          <w:szCs w:val="28"/>
        </w:rPr>
        <w:t>如供应商在服务周期内发生网络和数据安全工作违约情况，对中心系统造成网络安全或数据安全影响的，按照引发的安全事件等级和次数，中心将采取以下处罚措施，具体处罚措施由中心安全管理部门确定：</w:t>
      </w:r>
    </w:p>
    <w:p w14:paraId="05BEEA95">
      <w:pPr>
        <w:ind w:firstLine="560" w:firstLineChars="200"/>
        <w:rPr>
          <w:rFonts w:hint="eastAsia" w:ascii="仿宋" w:hAnsi="仿宋" w:eastAsia="仿宋" w:cs="仿宋"/>
          <w:sz w:val="28"/>
          <w:szCs w:val="28"/>
        </w:rPr>
      </w:pPr>
      <w:r>
        <w:rPr>
          <w:rFonts w:hint="eastAsia" w:ascii="仿宋" w:hAnsi="仿宋" w:eastAsia="仿宋" w:cs="仿宋"/>
          <w:sz w:val="28"/>
          <w:szCs w:val="28"/>
        </w:rPr>
        <w:t>（1）限期整改。</w:t>
      </w:r>
    </w:p>
    <w:p w14:paraId="083A1898">
      <w:pPr>
        <w:ind w:firstLine="560" w:firstLineChars="200"/>
        <w:rPr>
          <w:rFonts w:hint="eastAsia" w:ascii="仿宋" w:hAnsi="仿宋" w:eastAsia="仿宋" w:cs="仿宋"/>
          <w:sz w:val="28"/>
          <w:szCs w:val="28"/>
        </w:rPr>
      </w:pPr>
      <w:r>
        <w:rPr>
          <w:rFonts w:hint="eastAsia" w:ascii="仿宋" w:hAnsi="仿宋" w:eastAsia="仿宋" w:cs="仿宋"/>
          <w:sz w:val="28"/>
          <w:szCs w:val="28"/>
        </w:rPr>
        <w:t>（2）约谈企业负责人。</w:t>
      </w:r>
    </w:p>
    <w:p w14:paraId="761393D8">
      <w:pPr>
        <w:ind w:firstLine="560" w:firstLineChars="200"/>
        <w:rPr>
          <w:rFonts w:hint="eastAsia" w:ascii="仿宋" w:hAnsi="仿宋" w:eastAsia="仿宋" w:cs="仿宋"/>
          <w:sz w:val="28"/>
          <w:szCs w:val="28"/>
        </w:rPr>
      </w:pPr>
      <w:r>
        <w:rPr>
          <w:rFonts w:hint="eastAsia" w:ascii="仿宋" w:hAnsi="仿宋" w:eastAsia="仿宋" w:cs="仿宋"/>
          <w:sz w:val="28"/>
          <w:szCs w:val="28"/>
        </w:rPr>
        <w:t>（3）扣除项目运维费用的1%-3%。</w:t>
      </w:r>
    </w:p>
    <w:p w14:paraId="7D2540B4">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rPr>
        <w:t>4</w:t>
      </w:r>
      <w:r>
        <w:rPr>
          <w:rFonts w:hint="eastAsia" w:ascii="仿宋" w:hAnsi="仿宋" w:eastAsia="仿宋" w:cs="仿宋"/>
          <w:sz w:val="28"/>
          <w:szCs w:val="28"/>
        </w:rPr>
        <w:t>）上报主管部门，必要时终止项目合同并追究相关刑事责任。</w:t>
      </w:r>
    </w:p>
    <w:p w14:paraId="19302C2F">
      <w:pPr>
        <w:ind w:firstLine="560" w:firstLineChars="200"/>
        <w:rPr>
          <w:rFonts w:hint="eastAsia" w:ascii="仿宋" w:hAnsi="仿宋" w:eastAsia="仿宋" w:cs="仿宋"/>
          <w:sz w:val="28"/>
          <w:szCs w:val="28"/>
        </w:rPr>
      </w:pPr>
      <w:r>
        <w:rPr>
          <w:rFonts w:hint="eastAsia" w:ascii="仿宋" w:hAnsi="仿宋" w:eastAsia="仿宋" w:cs="仿宋"/>
          <w:sz w:val="28"/>
          <w:szCs w:val="28"/>
        </w:rPr>
        <w:t>供应商应</w:t>
      </w:r>
      <w:r>
        <w:rPr>
          <w:rFonts w:ascii="仿宋" w:hAnsi="仿宋" w:eastAsia="仿宋" w:cs="仿宋"/>
          <w:sz w:val="28"/>
          <w:szCs w:val="28"/>
        </w:rPr>
        <w:t>承担服务过程中出现赔偿责任（包括但不限于直接损失、间接损失、律师费、诉讼费/仲裁费、调查费、公证费、保全保险费/担保费）。</w:t>
      </w:r>
    </w:p>
    <w:p w14:paraId="681BC50A">
      <w:pPr>
        <w:ind w:firstLine="560" w:firstLineChars="200"/>
        <w:rPr>
          <w:rFonts w:hint="eastAsia" w:ascii="仿宋" w:hAnsi="仿宋" w:eastAsia="仿宋" w:cs="仿宋"/>
          <w:sz w:val="28"/>
          <w:szCs w:val="28"/>
        </w:rPr>
      </w:pPr>
      <w:r>
        <w:rPr>
          <w:rFonts w:hint="eastAsia" w:ascii="仿宋" w:hAnsi="仿宋" w:eastAsia="仿宋" w:cs="仿宋"/>
          <w:sz w:val="28"/>
          <w:szCs w:val="28"/>
        </w:rPr>
        <w:t>实施分包服务的项目，由分包商产生的安全责任问题，供应商应与分包商承担连带责任。</w:t>
      </w:r>
    </w:p>
    <w:p w14:paraId="0C62F2CB">
      <w:pPr>
        <w:ind w:firstLine="560" w:firstLineChars="200"/>
        <w:rPr>
          <w:rFonts w:hint="eastAsia" w:ascii="仿宋" w:hAnsi="仿宋" w:eastAsia="仿宋" w:cs="仿宋"/>
          <w:sz w:val="28"/>
          <w:szCs w:val="28"/>
        </w:rPr>
      </w:pPr>
      <w:r>
        <w:rPr>
          <w:rFonts w:hint="eastAsia" w:ascii="仿宋" w:hAnsi="仿宋" w:eastAsia="仿宋" w:cs="仿宋"/>
          <w:sz w:val="28"/>
          <w:szCs w:val="28"/>
        </w:rPr>
        <w:t>事件类型与等级及与之相应的处罚措施详见附表。</w:t>
      </w:r>
    </w:p>
    <w:p w14:paraId="4B090746">
      <w:pPr>
        <w:pStyle w:val="2"/>
        <w:spacing w:before="240" w:after="240" w:line="360" w:lineRule="auto"/>
        <w:ind w:left="0"/>
        <w:rPr>
          <w:rFonts w:hint="eastAsia" w:ascii="仿宋" w:hAnsi="仿宋" w:eastAsia="仿宋" w:cs="仿宋"/>
          <w:bCs w:val="0"/>
          <w:szCs w:val="32"/>
        </w:rPr>
      </w:pPr>
      <w:r>
        <w:rPr>
          <w:rFonts w:hint="eastAsia" w:ascii="仿宋" w:hAnsi="仿宋" w:eastAsia="仿宋" w:cs="仿宋"/>
          <w:bCs w:val="0"/>
          <w:szCs w:val="32"/>
        </w:rPr>
        <w:t>备份与恢复</w:t>
      </w:r>
    </w:p>
    <w:p w14:paraId="3468E4BE">
      <w:pPr>
        <w:ind w:firstLine="560" w:firstLineChars="200"/>
        <w:rPr>
          <w:rFonts w:hint="eastAsia" w:ascii="仿宋" w:hAnsi="仿宋" w:eastAsia="仿宋" w:cs="仿宋"/>
          <w:sz w:val="28"/>
          <w:szCs w:val="28"/>
        </w:rPr>
      </w:pPr>
      <w:r>
        <w:rPr>
          <w:rFonts w:hint="eastAsia" w:ascii="仿宋" w:hAnsi="仿宋" w:eastAsia="仿宋" w:cs="仿宋"/>
          <w:sz w:val="28"/>
          <w:szCs w:val="28"/>
        </w:rPr>
        <w:t>1、服务提供方须制定数据备份策略，定期备份关键数据。</w:t>
      </w:r>
    </w:p>
    <w:p w14:paraId="371C1E79">
      <w:pPr>
        <w:ind w:firstLine="560" w:firstLineChars="200"/>
        <w:rPr>
          <w:rFonts w:hint="eastAsia" w:ascii="仿宋" w:hAnsi="仿宋" w:eastAsia="仿宋" w:cs="仿宋"/>
          <w:sz w:val="28"/>
          <w:szCs w:val="28"/>
        </w:rPr>
      </w:pPr>
      <w:r>
        <w:rPr>
          <w:rFonts w:hint="eastAsia" w:ascii="仿宋" w:hAnsi="仿宋" w:eastAsia="仿宋" w:cs="仿宋"/>
          <w:sz w:val="28"/>
          <w:szCs w:val="28"/>
        </w:rPr>
        <w:t>2、服务提供方须制定数据恢复策略，以便发生故障时快速恢复。</w:t>
      </w:r>
    </w:p>
    <w:p w14:paraId="4CC9CC71">
      <w:pPr>
        <w:ind w:firstLine="560" w:firstLineChars="200"/>
        <w:rPr>
          <w:rFonts w:hint="eastAsia" w:ascii="仿宋" w:hAnsi="仿宋" w:eastAsia="仿宋" w:cs="仿宋"/>
          <w:sz w:val="28"/>
          <w:szCs w:val="28"/>
        </w:rPr>
      </w:pPr>
      <w:r>
        <w:rPr>
          <w:rFonts w:hint="eastAsia" w:ascii="仿宋" w:hAnsi="仿宋" w:eastAsia="仿宋" w:cs="仿宋"/>
          <w:sz w:val="28"/>
          <w:szCs w:val="28"/>
        </w:rPr>
        <w:t>3、服务提供方须根据实际情况制定相应灾难恢复策略，以便发生灾难时快速恢复。</w:t>
      </w:r>
    </w:p>
    <w:p w14:paraId="74B4E5A3">
      <w:pPr>
        <w:pStyle w:val="2"/>
        <w:spacing w:before="240" w:after="240" w:line="360" w:lineRule="auto"/>
        <w:ind w:left="0"/>
        <w:rPr>
          <w:rFonts w:hint="eastAsia" w:ascii="仿宋" w:hAnsi="仿宋" w:eastAsia="仿宋" w:cs="仿宋"/>
          <w:bCs w:val="0"/>
          <w:szCs w:val="32"/>
        </w:rPr>
      </w:pPr>
      <w:r>
        <w:rPr>
          <w:rFonts w:hint="eastAsia" w:ascii="仿宋" w:hAnsi="仿宋" w:eastAsia="仿宋" w:cs="仿宋"/>
          <w:bCs w:val="0"/>
          <w:szCs w:val="32"/>
        </w:rPr>
        <w:t>项目的变更、解除和终止</w:t>
      </w:r>
    </w:p>
    <w:p w14:paraId="5ADA8F35">
      <w:pPr>
        <w:ind w:firstLine="480"/>
        <w:rPr>
          <w:rFonts w:hint="eastAsia" w:ascii="仿宋" w:hAnsi="仿宋" w:eastAsia="仿宋" w:cs="仿宋"/>
          <w:sz w:val="28"/>
          <w:szCs w:val="28"/>
        </w:rPr>
      </w:pPr>
      <w:r>
        <w:rPr>
          <w:rFonts w:hint="eastAsia" w:ascii="仿宋" w:hAnsi="仿宋" w:eastAsia="仿宋" w:cs="仿宋"/>
          <w:sz w:val="28"/>
          <w:szCs w:val="28"/>
        </w:rPr>
        <w:t>如果服务提供方丧失履约能力、发生资不抵债或进入破产程序，招标单位可在任何时候以书面形式通知服务提供方终止本项目的执行而不给予服务提供方补偿。该终止本项目将不损害或影响招标单位已经采取或将要采取任何行动或补救措施的权利。</w:t>
      </w:r>
    </w:p>
    <w:p w14:paraId="0DB4BACD">
      <w:pPr>
        <w:ind w:firstLine="560" w:firstLineChars="200"/>
        <w:rPr>
          <w:rFonts w:hint="eastAsia" w:ascii="仿宋" w:hAnsi="仿宋" w:eastAsia="仿宋" w:cs="仿宋"/>
          <w:sz w:val="28"/>
          <w:szCs w:val="28"/>
        </w:rPr>
      </w:pPr>
      <w:r>
        <w:rPr>
          <w:rFonts w:hint="eastAsia" w:ascii="仿宋" w:hAnsi="仿宋" w:eastAsia="仿宋" w:cs="仿宋"/>
          <w:sz w:val="28"/>
          <w:szCs w:val="28"/>
        </w:rPr>
        <w:t>如遇国家、行业管理部门等机构的有关标准和规定调整的，导致本项目内容须做相应调整时，双方应按照公平、合理的原则共同协商修改本项目对应的合同的相关条款。</w:t>
      </w:r>
    </w:p>
    <w:p w14:paraId="696EF614">
      <w:pPr>
        <w:pStyle w:val="2"/>
        <w:spacing w:before="240" w:after="240" w:line="360" w:lineRule="auto"/>
        <w:ind w:left="0"/>
        <w:rPr>
          <w:rFonts w:hint="eastAsia" w:ascii="仿宋" w:hAnsi="仿宋" w:eastAsia="仿宋" w:cs="仿宋"/>
        </w:rPr>
      </w:pPr>
      <w:r>
        <w:rPr>
          <w:rFonts w:hint="eastAsia" w:ascii="仿宋" w:hAnsi="仿宋" w:eastAsia="仿宋" w:cs="仿宋"/>
        </w:rPr>
        <w:t>保密责任</w:t>
      </w:r>
    </w:p>
    <w:p w14:paraId="79EF9946">
      <w:pPr>
        <w:ind w:firstLine="560" w:firstLineChars="200"/>
        <w:rPr>
          <w:rFonts w:hint="eastAsia" w:ascii="仿宋" w:hAnsi="仿宋" w:eastAsia="仿宋" w:cs="仿宋"/>
          <w:sz w:val="28"/>
          <w:szCs w:val="28"/>
        </w:rPr>
      </w:pPr>
      <w:bookmarkStart w:id="37" w:name="_Toc69194689"/>
      <w:r>
        <w:rPr>
          <w:rFonts w:hint="eastAsia" w:ascii="仿宋" w:hAnsi="仿宋" w:eastAsia="仿宋" w:cs="仿宋"/>
          <w:sz w:val="28"/>
          <w:szCs w:val="28"/>
        </w:rPr>
        <w:t>1、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14:paraId="77D81879">
      <w:pPr>
        <w:ind w:firstLine="560" w:firstLineChars="200"/>
        <w:rPr>
          <w:rFonts w:hint="eastAsia" w:ascii="仿宋" w:hAnsi="仿宋" w:eastAsia="仿宋" w:cs="仿宋"/>
          <w:sz w:val="28"/>
          <w:szCs w:val="28"/>
        </w:rPr>
      </w:pPr>
      <w:r>
        <w:rPr>
          <w:rFonts w:hint="eastAsia" w:ascii="仿宋" w:hAnsi="仿宋" w:eastAsia="仿宋" w:cs="仿宋"/>
          <w:sz w:val="28"/>
          <w:szCs w:val="28"/>
        </w:rPr>
        <w:t>2、中标人应采取必要的有效措施保证其参与本项目的人员（包括中标人聘用的人员、借调的人员、实习的人员）无论是在职或离职后，以及中标人的合作方无论是合作中或合作终止后，都能够履行本项目约定的保密义务。若中标人人员或中标人合作方违反保密规定，中标人应承担连带责任。</w:t>
      </w:r>
    </w:p>
    <w:p w14:paraId="382FD883">
      <w:pPr>
        <w:ind w:firstLine="560" w:firstLineChars="200"/>
        <w:rPr>
          <w:rFonts w:hint="eastAsia" w:ascii="仿宋" w:hAnsi="仿宋" w:eastAsia="仿宋" w:cs="仿宋"/>
          <w:sz w:val="28"/>
          <w:szCs w:val="28"/>
        </w:rPr>
      </w:pPr>
      <w:r>
        <w:rPr>
          <w:rFonts w:hint="eastAsia" w:ascii="仿宋" w:hAnsi="仿宋" w:eastAsia="仿宋" w:cs="仿宋"/>
          <w:sz w:val="28"/>
          <w:szCs w:val="28"/>
        </w:rPr>
        <w:t>3、中标人（含中标人参与本项目的人员以及其合作方）未经采购人书面许可，不得以任何形式自行使用或以任何方式向第三方披露、转让、授权、出售与本项目有关的技术成果、计算机软件、源代码、策划文档、技术诀窍、秘密信息、技术资料和其他文件。</w:t>
      </w:r>
    </w:p>
    <w:p w14:paraId="1E91EB7D">
      <w:pPr>
        <w:ind w:firstLine="560" w:firstLineChars="200"/>
        <w:rPr>
          <w:rFonts w:hint="eastAsia" w:ascii="仿宋" w:hAnsi="仿宋" w:eastAsia="仿宋" w:cs="仿宋"/>
          <w:sz w:val="28"/>
          <w:szCs w:val="28"/>
        </w:rPr>
      </w:pPr>
      <w:r>
        <w:rPr>
          <w:rFonts w:hint="eastAsia" w:ascii="仿宋" w:hAnsi="仿宋" w:eastAsia="仿宋" w:cs="仿宋"/>
          <w:sz w:val="28"/>
          <w:szCs w:val="28"/>
        </w:rPr>
        <w:t>4、以上内容的保密期限自中标人知悉保密信息起始至保密信息被合法公开之日止。</w:t>
      </w:r>
    </w:p>
    <w:p w14:paraId="5F03E257">
      <w:pPr>
        <w:ind w:firstLine="560" w:firstLineChars="200"/>
        <w:rPr>
          <w:rFonts w:hint="eastAsia" w:ascii="仿宋" w:hAnsi="仿宋" w:eastAsia="仿宋" w:cs="仿宋"/>
          <w:sz w:val="28"/>
          <w:szCs w:val="28"/>
        </w:rPr>
      </w:pPr>
      <w:r>
        <w:rPr>
          <w:rFonts w:hint="eastAsia" w:ascii="仿宋" w:hAnsi="仿宋" w:eastAsia="仿宋" w:cs="仿宋"/>
          <w:sz w:val="28"/>
          <w:szCs w:val="28"/>
        </w:rPr>
        <w:t>5、中标人对采购人提供的临时使用账号要保密，不得公开，对组件开发的账号密码需进行加密，避免信息安全的泄露。未经采购人的同意不得利用采购人的网络及平台进行短信、彩信、微信、邮件等发送,造成的一切后果由中标人负责。</w:t>
      </w:r>
    </w:p>
    <w:p w14:paraId="5B597004">
      <w:pPr>
        <w:ind w:firstLine="560" w:firstLineChars="200"/>
        <w:rPr>
          <w:rFonts w:hint="eastAsia" w:ascii="仿宋" w:hAnsi="仿宋" w:eastAsia="仿宋" w:cs="仿宋"/>
          <w:sz w:val="28"/>
          <w:szCs w:val="28"/>
        </w:rPr>
      </w:pPr>
      <w:r>
        <w:rPr>
          <w:rFonts w:hint="eastAsia" w:ascii="仿宋" w:hAnsi="仿宋" w:eastAsia="仿宋" w:cs="仿宋"/>
          <w:sz w:val="28"/>
          <w:szCs w:val="28"/>
        </w:rPr>
        <w:t>运维过程中标人如出现失、窃密事情，参照网络和数据安全事件处罚措施同等处置，具体处罚措施由中心保密管理部门确定。</w:t>
      </w:r>
    </w:p>
    <w:p w14:paraId="3807E632">
      <w:pPr>
        <w:pStyle w:val="2"/>
        <w:spacing w:before="240" w:after="240" w:line="360" w:lineRule="auto"/>
        <w:ind w:left="0"/>
        <w:rPr>
          <w:rFonts w:hint="eastAsia" w:ascii="仿宋" w:hAnsi="仿宋" w:eastAsia="仿宋" w:cs="仿宋"/>
        </w:rPr>
      </w:pPr>
      <w:r>
        <w:rPr>
          <w:rFonts w:hint="eastAsia" w:ascii="仿宋" w:hAnsi="仿宋" w:eastAsia="仿宋" w:cs="仿宋"/>
        </w:rPr>
        <w:t>违约责任</w:t>
      </w:r>
      <w:bookmarkEnd w:id="37"/>
    </w:p>
    <w:p w14:paraId="2C00D677">
      <w:pPr>
        <w:ind w:firstLine="560" w:firstLineChars="200"/>
        <w:rPr>
          <w:rFonts w:hint="eastAsia" w:ascii="仿宋" w:hAnsi="仿宋" w:eastAsia="仿宋" w:cs="仿宋"/>
          <w:sz w:val="28"/>
          <w:szCs w:val="28"/>
        </w:rPr>
      </w:pPr>
      <w:r>
        <w:rPr>
          <w:rFonts w:hint="eastAsia" w:ascii="仿宋" w:hAnsi="仿宋" w:eastAsia="仿宋" w:cs="仿宋"/>
          <w:sz w:val="28"/>
          <w:szCs w:val="28"/>
        </w:rPr>
        <w:t>1、因服务提供方违反保密义务或知识产权约定的，采购人有权要求服务提供方支付本项目费用总额不超过30%的违约金，违约金不足以弥补采购人损失的，采购人有权要求服务提供方赔偿超过部分。若服务提供方违反保密义务，采购人还有权立即单方解除维护服务合同而不承担任何违约责任。</w:t>
      </w:r>
    </w:p>
    <w:p w14:paraId="0D139486">
      <w:pPr>
        <w:ind w:firstLine="560" w:firstLineChars="200"/>
        <w:rPr>
          <w:rFonts w:hint="eastAsia" w:ascii="仿宋" w:hAnsi="仿宋" w:eastAsia="仿宋" w:cs="仿宋"/>
          <w:sz w:val="28"/>
          <w:szCs w:val="28"/>
        </w:rPr>
      </w:pPr>
      <w:r>
        <w:rPr>
          <w:rFonts w:hint="eastAsia" w:ascii="仿宋" w:hAnsi="仿宋" w:eastAsia="仿宋" w:cs="仿宋"/>
          <w:sz w:val="28"/>
          <w:szCs w:val="28"/>
        </w:rPr>
        <w:t>2、服务提供方有下列情形之一，采购人有权解除维护服务合同：</w:t>
      </w:r>
    </w:p>
    <w:p w14:paraId="433599B8">
      <w:pPr>
        <w:ind w:firstLine="560" w:firstLineChars="200"/>
        <w:rPr>
          <w:rFonts w:hint="eastAsia" w:ascii="仿宋" w:hAnsi="仿宋" w:eastAsia="仿宋" w:cs="仿宋"/>
          <w:sz w:val="28"/>
          <w:szCs w:val="28"/>
        </w:rPr>
      </w:pPr>
      <w:r>
        <w:rPr>
          <w:rFonts w:hint="eastAsia" w:ascii="仿宋" w:hAnsi="仿宋" w:eastAsia="仿宋" w:cs="仿宋"/>
          <w:sz w:val="28"/>
          <w:szCs w:val="28"/>
        </w:rPr>
        <w:t>（1）服务提供方在服务周期内出现重大网络与信息安全事故。</w:t>
      </w:r>
    </w:p>
    <w:p w14:paraId="7A56F4CB">
      <w:pPr>
        <w:ind w:firstLine="560" w:firstLineChars="200"/>
        <w:rPr>
          <w:rFonts w:hint="eastAsia" w:ascii="仿宋" w:hAnsi="仿宋" w:eastAsia="仿宋" w:cs="仿宋"/>
          <w:sz w:val="28"/>
          <w:szCs w:val="28"/>
        </w:rPr>
      </w:pPr>
      <w:r>
        <w:rPr>
          <w:rFonts w:hint="eastAsia" w:ascii="仿宋" w:hAnsi="仿宋" w:eastAsia="仿宋" w:cs="仿宋"/>
          <w:sz w:val="28"/>
          <w:szCs w:val="28"/>
        </w:rPr>
        <w:t>（2）因服务提供方服务质量问题导致采购人无法实现目的。</w:t>
      </w:r>
    </w:p>
    <w:p w14:paraId="74F9FE7D">
      <w:pPr>
        <w:ind w:firstLine="560" w:firstLineChars="200"/>
        <w:rPr>
          <w:rFonts w:hint="eastAsia" w:ascii="仿宋" w:hAnsi="仿宋" w:eastAsia="仿宋" w:cs="仿宋"/>
          <w:sz w:val="28"/>
          <w:szCs w:val="28"/>
        </w:rPr>
      </w:pPr>
      <w:r>
        <w:rPr>
          <w:rFonts w:hint="eastAsia" w:ascii="仿宋" w:hAnsi="仿宋" w:eastAsia="仿宋" w:cs="仿宋"/>
          <w:sz w:val="28"/>
          <w:szCs w:val="28"/>
        </w:rPr>
        <w:t>（3）擅自转让或者分包其应履行的义务的。</w:t>
      </w:r>
    </w:p>
    <w:p w14:paraId="35A4ED3C">
      <w:pPr>
        <w:ind w:firstLine="560" w:firstLineChars="200"/>
        <w:rPr>
          <w:rFonts w:hint="eastAsia" w:ascii="仿宋" w:hAnsi="仿宋" w:eastAsia="仿宋" w:cs="仿宋"/>
          <w:sz w:val="28"/>
          <w:szCs w:val="28"/>
        </w:rPr>
      </w:pPr>
      <w:r>
        <w:rPr>
          <w:rFonts w:hint="eastAsia" w:ascii="仿宋" w:hAnsi="仿宋" w:eastAsia="仿宋" w:cs="仿宋"/>
          <w:sz w:val="28"/>
          <w:szCs w:val="28"/>
        </w:rPr>
        <w:t>（4）违反或者未履行维护服务合同约定的其他相关义务，且在采购人要求的合理时间内未能纠正的。</w:t>
      </w:r>
    </w:p>
    <w:p w14:paraId="4605417A">
      <w:pPr>
        <w:pStyle w:val="2"/>
        <w:spacing w:before="240" w:after="240" w:line="360" w:lineRule="auto"/>
        <w:ind w:left="0"/>
        <w:rPr>
          <w:rFonts w:hint="eastAsia" w:ascii="仿宋" w:hAnsi="仿宋" w:eastAsia="仿宋" w:cs="仿宋"/>
        </w:rPr>
      </w:pPr>
      <w:r>
        <w:rPr>
          <w:rFonts w:hint="eastAsia" w:ascii="仿宋" w:hAnsi="仿宋" w:eastAsia="仿宋" w:cs="仿宋"/>
        </w:rPr>
        <w:t>关于转让和分包的规定</w:t>
      </w:r>
    </w:p>
    <w:p w14:paraId="52ADB21F">
      <w:pPr>
        <w:ind w:firstLine="562"/>
        <w:rPr>
          <w:rFonts w:hint="eastAsia" w:ascii="仿宋" w:hAnsi="仿宋" w:eastAsia="仿宋" w:cs="仿宋"/>
          <w:sz w:val="28"/>
          <w:szCs w:val="28"/>
        </w:rPr>
      </w:pPr>
      <w:r>
        <w:rPr>
          <w:rFonts w:hint="eastAsia" w:ascii="仿宋" w:hAnsi="仿宋" w:eastAsia="仿宋" w:cs="仿宋"/>
          <w:sz w:val="28"/>
          <w:szCs w:val="28"/>
        </w:rPr>
        <w:t>合同不得转让、分包。</w:t>
      </w:r>
    </w:p>
    <w:p w14:paraId="5A44937A">
      <w:pPr>
        <w:pStyle w:val="2"/>
        <w:spacing w:before="240" w:after="240" w:line="360" w:lineRule="auto"/>
        <w:ind w:left="0"/>
        <w:rPr>
          <w:rFonts w:hint="eastAsia" w:ascii="仿宋" w:hAnsi="仿宋" w:eastAsia="仿宋" w:cs="仿宋"/>
          <w:sz w:val="32"/>
          <w:szCs w:val="44"/>
        </w:rPr>
      </w:pPr>
      <w:r>
        <w:rPr>
          <w:rFonts w:hint="eastAsia" w:ascii="仿宋" w:hAnsi="仿宋" w:eastAsia="仿宋" w:cs="仿宋"/>
          <w:sz w:val="32"/>
          <w:szCs w:val="44"/>
        </w:rPr>
        <w:t>网络和数据安全事件处罚措施</w:t>
      </w:r>
    </w:p>
    <w:bookmarkEnd w:id="36"/>
    <w:p w14:paraId="36080052">
      <w:pPr>
        <w:spacing w:line="560" w:lineRule="exact"/>
        <w:ind w:firstLine="0" w:firstLineChars="0"/>
        <w:jc w:val="center"/>
        <w:rPr>
          <w:rFonts w:hint="eastAsia" w:ascii="仿宋" w:hAnsi="仿宋" w:eastAsia="仿宋" w:cs="仿宋"/>
          <w:sz w:val="28"/>
          <w:szCs w:val="28"/>
        </w:rPr>
      </w:pPr>
      <w:r>
        <w:rPr>
          <w:rFonts w:hint="eastAsia" w:ascii="仿宋_GB2312" w:hAnsi="仿宋" w:eastAsia="仿宋_GB2312" w:cs="仿宋"/>
          <w:b/>
          <w:sz w:val="28"/>
          <w:szCs w:val="28"/>
        </w:rPr>
        <w:t>网络和数据安全事件处罚措施</w:t>
      </w:r>
    </w:p>
    <w:tbl>
      <w:tblPr>
        <w:tblStyle w:val="24"/>
        <w:tblW w:w="8933" w:type="dxa"/>
        <w:jc w:val="center"/>
        <w:tblLayout w:type="autofit"/>
        <w:tblCellMar>
          <w:top w:w="0" w:type="dxa"/>
          <w:left w:w="108" w:type="dxa"/>
          <w:bottom w:w="0" w:type="dxa"/>
          <w:right w:w="108" w:type="dxa"/>
        </w:tblCellMar>
      </w:tblPr>
      <w:tblGrid>
        <w:gridCol w:w="812"/>
        <w:gridCol w:w="1203"/>
        <w:gridCol w:w="2835"/>
        <w:gridCol w:w="4083"/>
      </w:tblGrid>
      <w:tr w14:paraId="5901927D">
        <w:tblPrEx>
          <w:tblCellMar>
            <w:top w:w="0" w:type="dxa"/>
            <w:left w:w="108" w:type="dxa"/>
            <w:bottom w:w="0" w:type="dxa"/>
            <w:right w:w="108" w:type="dxa"/>
          </w:tblCellMar>
        </w:tblPrEx>
        <w:trPr>
          <w:trHeight w:val="280" w:hRule="atLeast"/>
          <w:jc w:val="center"/>
        </w:trPr>
        <w:tc>
          <w:tcPr>
            <w:tcW w:w="812" w:type="dxa"/>
            <w:tcBorders>
              <w:top w:val="single" w:color="auto" w:sz="4" w:space="0"/>
              <w:left w:val="single" w:color="auto" w:sz="4" w:space="0"/>
              <w:bottom w:val="single" w:color="auto" w:sz="4" w:space="0"/>
              <w:right w:val="single" w:color="auto" w:sz="4" w:space="0"/>
            </w:tcBorders>
            <w:vAlign w:val="center"/>
          </w:tcPr>
          <w:p w14:paraId="6C012905">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序号</w:t>
            </w:r>
          </w:p>
        </w:tc>
        <w:tc>
          <w:tcPr>
            <w:tcW w:w="1203" w:type="dxa"/>
            <w:tcBorders>
              <w:top w:val="single" w:color="auto" w:sz="4" w:space="0"/>
              <w:left w:val="nil"/>
              <w:bottom w:val="single" w:color="auto" w:sz="4" w:space="0"/>
              <w:right w:val="single" w:color="auto" w:sz="4" w:space="0"/>
            </w:tcBorders>
            <w:vAlign w:val="center"/>
          </w:tcPr>
          <w:p w14:paraId="038F9FDA">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类型</w:t>
            </w:r>
          </w:p>
        </w:tc>
        <w:tc>
          <w:tcPr>
            <w:tcW w:w="2835" w:type="dxa"/>
            <w:tcBorders>
              <w:top w:val="single" w:color="auto" w:sz="4" w:space="0"/>
              <w:left w:val="nil"/>
              <w:bottom w:val="single" w:color="auto" w:sz="4" w:space="0"/>
              <w:right w:val="single" w:color="auto" w:sz="4" w:space="0"/>
            </w:tcBorders>
            <w:vAlign w:val="center"/>
          </w:tcPr>
          <w:p w14:paraId="37F42B90">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负面行为分级情况</w:t>
            </w:r>
          </w:p>
        </w:tc>
        <w:tc>
          <w:tcPr>
            <w:tcW w:w="4083" w:type="dxa"/>
            <w:tcBorders>
              <w:top w:val="single" w:color="auto" w:sz="4" w:space="0"/>
              <w:left w:val="nil"/>
              <w:bottom w:val="single" w:color="auto" w:sz="4" w:space="0"/>
              <w:right w:val="single" w:color="auto" w:sz="4" w:space="0"/>
            </w:tcBorders>
            <w:vAlign w:val="center"/>
          </w:tcPr>
          <w:p w14:paraId="2D380416">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追究措施</w:t>
            </w:r>
          </w:p>
        </w:tc>
      </w:tr>
      <w:tr w14:paraId="5D702E5D">
        <w:tblPrEx>
          <w:tblCellMar>
            <w:top w:w="0" w:type="dxa"/>
            <w:left w:w="108" w:type="dxa"/>
            <w:bottom w:w="0" w:type="dxa"/>
            <w:right w:w="108" w:type="dxa"/>
          </w:tblCellMar>
        </w:tblPrEx>
        <w:trPr>
          <w:trHeight w:val="1293" w:hRule="atLeast"/>
          <w:jc w:val="center"/>
        </w:trPr>
        <w:tc>
          <w:tcPr>
            <w:tcW w:w="812" w:type="dxa"/>
            <w:tcBorders>
              <w:top w:val="nil"/>
              <w:left w:val="single" w:color="auto" w:sz="4" w:space="0"/>
              <w:bottom w:val="single" w:color="auto" w:sz="4" w:space="0"/>
              <w:right w:val="single" w:color="auto" w:sz="4" w:space="0"/>
            </w:tcBorders>
            <w:vAlign w:val="center"/>
          </w:tcPr>
          <w:p w14:paraId="2C5D9EBA">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w:t>
            </w:r>
          </w:p>
        </w:tc>
        <w:tc>
          <w:tcPr>
            <w:tcW w:w="1203" w:type="dxa"/>
            <w:vMerge w:val="restart"/>
            <w:tcBorders>
              <w:top w:val="nil"/>
              <w:left w:val="single" w:color="auto" w:sz="4" w:space="0"/>
              <w:bottom w:val="single" w:color="auto" w:sz="4" w:space="0"/>
              <w:right w:val="single" w:color="auto" w:sz="4" w:space="0"/>
            </w:tcBorders>
            <w:vAlign w:val="center"/>
          </w:tcPr>
          <w:p w14:paraId="1E9F0CD4">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安全事件</w:t>
            </w:r>
          </w:p>
        </w:tc>
        <w:tc>
          <w:tcPr>
            <w:tcW w:w="2835" w:type="dxa"/>
            <w:tcBorders>
              <w:top w:val="nil"/>
              <w:left w:val="nil"/>
              <w:bottom w:val="single" w:color="auto" w:sz="4" w:space="0"/>
              <w:right w:val="single" w:color="auto" w:sz="4" w:space="0"/>
            </w:tcBorders>
            <w:vAlign w:val="center"/>
          </w:tcPr>
          <w:p w14:paraId="56BBF0E3">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1、发生网络安全事件或数据泄露事件，每发生一起，按不同级别进行追究。</w:t>
            </w:r>
          </w:p>
        </w:tc>
        <w:tc>
          <w:tcPr>
            <w:tcW w:w="4083" w:type="dxa"/>
            <w:tcBorders>
              <w:top w:val="nil"/>
              <w:left w:val="nil"/>
              <w:bottom w:val="single" w:color="auto" w:sz="4" w:space="0"/>
              <w:right w:val="single" w:color="auto" w:sz="4" w:space="0"/>
            </w:tcBorders>
            <w:noWrap/>
          </w:tcPr>
          <w:p w14:paraId="0315266F">
            <w:pPr>
              <w:widowControl/>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　见下</w:t>
            </w:r>
          </w:p>
        </w:tc>
      </w:tr>
      <w:tr w14:paraId="6FA4ADD8">
        <w:tblPrEx>
          <w:tblCellMar>
            <w:top w:w="0" w:type="dxa"/>
            <w:left w:w="108" w:type="dxa"/>
            <w:bottom w:w="0" w:type="dxa"/>
            <w:right w:w="108" w:type="dxa"/>
          </w:tblCellMar>
        </w:tblPrEx>
        <w:trPr>
          <w:trHeight w:val="1580" w:hRule="atLeast"/>
          <w:jc w:val="center"/>
        </w:trPr>
        <w:tc>
          <w:tcPr>
            <w:tcW w:w="812" w:type="dxa"/>
            <w:tcBorders>
              <w:top w:val="nil"/>
              <w:left w:val="single" w:color="auto" w:sz="4" w:space="0"/>
              <w:bottom w:val="single" w:color="auto" w:sz="4" w:space="0"/>
              <w:right w:val="single" w:color="auto" w:sz="4" w:space="0"/>
            </w:tcBorders>
            <w:vAlign w:val="center"/>
          </w:tcPr>
          <w:p w14:paraId="33AF8EEA">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w:t>
            </w:r>
          </w:p>
        </w:tc>
        <w:tc>
          <w:tcPr>
            <w:tcW w:w="1203" w:type="dxa"/>
            <w:vMerge w:val="continue"/>
            <w:tcBorders>
              <w:top w:val="nil"/>
              <w:left w:val="single" w:color="auto" w:sz="4" w:space="0"/>
              <w:bottom w:val="single" w:color="auto" w:sz="4" w:space="0"/>
              <w:right w:val="single" w:color="auto" w:sz="4" w:space="0"/>
            </w:tcBorders>
            <w:vAlign w:val="center"/>
          </w:tcPr>
          <w:p w14:paraId="710A6B6A">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7C7BB7E">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（1）发生重大（Ⅱ级）及以上网络和数据安全事件的；</w:t>
            </w:r>
          </w:p>
        </w:tc>
        <w:tc>
          <w:tcPr>
            <w:tcW w:w="4083" w:type="dxa"/>
            <w:tcBorders>
              <w:top w:val="nil"/>
              <w:left w:val="nil"/>
              <w:bottom w:val="single" w:color="auto" w:sz="4" w:space="0"/>
              <w:right w:val="single" w:color="auto" w:sz="4" w:space="0"/>
            </w:tcBorders>
            <w:vAlign w:val="center"/>
          </w:tcPr>
          <w:p w14:paraId="04709F87">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3、扣除项目运维费用的3%；</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4、上报主管部门，必要时终止项目合同并追究相关刑事责任。</w:t>
            </w:r>
          </w:p>
        </w:tc>
      </w:tr>
      <w:tr w14:paraId="40517AEC">
        <w:tblPrEx>
          <w:tblCellMar>
            <w:top w:w="0" w:type="dxa"/>
            <w:left w:w="108" w:type="dxa"/>
            <w:bottom w:w="0" w:type="dxa"/>
            <w:right w:w="108" w:type="dxa"/>
          </w:tblCellMar>
        </w:tblPrEx>
        <w:trPr>
          <w:trHeight w:val="1120" w:hRule="atLeast"/>
          <w:jc w:val="center"/>
        </w:trPr>
        <w:tc>
          <w:tcPr>
            <w:tcW w:w="812" w:type="dxa"/>
            <w:tcBorders>
              <w:top w:val="nil"/>
              <w:left w:val="single" w:color="auto" w:sz="4" w:space="0"/>
              <w:bottom w:val="single" w:color="auto" w:sz="4" w:space="0"/>
              <w:right w:val="single" w:color="auto" w:sz="4" w:space="0"/>
            </w:tcBorders>
            <w:vAlign w:val="center"/>
          </w:tcPr>
          <w:p w14:paraId="1BAE3354">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3</w:t>
            </w:r>
          </w:p>
        </w:tc>
        <w:tc>
          <w:tcPr>
            <w:tcW w:w="1203" w:type="dxa"/>
            <w:vMerge w:val="continue"/>
            <w:tcBorders>
              <w:top w:val="nil"/>
              <w:left w:val="single" w:color="auto" w:sz="4" w:space="0"/>
              <w:bottom w:val="single" w:color="auto" w:sz="4" w:space="0"/>
              <w:right w:val="single" w:color="auto" w:sz="4" w:space="0"/>
            </w:tcBorders>
            <w:vAlign w:val="center"/>
          </w:tcPr>
          <w:p w14:paraId="04F3DABC">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1A1B2123">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（2）发生较大网络安全和数据事件（Ⅲ级）的；</w:t>
            </w:r>
          </w:p>
        </w:tc>
        <w:tc>
          <w:tcPr>
            <w:tcW w:w="4083" w:type="dxa"/>
            <w:tcBorders>
              <w:top w:val="nil"/>
              <w:left w:val="nil"/>
              <w:bottom w:val="single" w:color="auto" w:sz="4" w:space="0"/>
              <w:right w:val="single" w:color="auto" w:sz="4" w:space="0"/>
            </w:tcBorders>
            <w:vAlign w:val="center"/>
          </w:tcPr>
          <w:p w14:paraId="1DD2F018">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3、扣除项目运维费用的2%</w:t>
            </w:r>
          </w:p>
        </w:tc>
      </w:tr>
      <w:tr w14:paraId="0D3235E3">
        <w:tblPrEx>
          <w:tblCellMar>
            <w:top w:w="0" w:type="dxa"/>
            <w:left w:w="108" w:type="dxa"/>
            <w:bottom w:w="0" w:type="dxa"/>
            <w:right w:w="108" w:type="dxa"/>
          </w:tblCellMar>
        </w:tblPrEx>
        <w:trPr>
          <w:trHeight w:val="1190" w:hRule="atLeast"/>
          <w:jc w:val="center"/>
        </w:trPr>
        <w:tc>
          <w:tcPr>
            <w:tcW w:w="812" w:type="dxa"/>
            <w:tcBorders>
              <w:top w:val="nil"/>
              <w:left w:val="single" w:color="auto" w:sz="4" w:space="0"/>
              <w:bottom w:val="single" w:color="auto" w:sz="4" w:space="0"/>
              <w:right w:val="single" w:color="auto" w:sz="4" w:space="0"/>
            </w:tcBorders>
            <w:vAlign w:val="center"/>
          </w:tcPr>
          <w:p w14:paraId="10E57E0A">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4</w:t>
            </w:r>
          </w:p>
        </w:tc>
        <w:tc>
          <w:tcPr>
            <w:tcW w:w="1203" w:type="dxa"/>
            <w:vMerge w:val="continue"/>
            <w:tcBorders>
              <w:top w:val="nil"/>
              <w:left w:val="single" w:color="auto" w:sz="4" w:space="0"/>
              <w:bottom w:val="single" w:color="auto" w:sz="4" w:space="0"/>
              <w:right w:val="single" w:color="auto" w:sz="4" w:space="0"/>
            </w:tcBorders>
            <w:vAlign w:val="center"/>
          </w:tcPr>
          <w:p w14:paraId="4F20F1FD">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DF06521">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（3）发生一般网络和数据安全事件（Ⅳ级）的。</w:t>
            </w:r>
          </w:p>
        </w:tc>
        <w:tc>
          <w:tcPr>
            <w:tcW w:w="4083" w:type="dxa"/>
            <w:tcBorders>
              <w:top w:val="nil"/>
              <w:left w:val="nil"/>
              <w:bottom w:val="single" w:color="auto" w:sz="4" w:space="0"/>
              <w:right w:val="single" w:color="auto" w:sz="4" w:space="0"/>
            </w:tcBorders>
            <w:vAlign w:val="center"/>
          </w:tcPr>
          <w:p w14:paraId="4A64843F">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3、扣除项目运维费用的1%</w:t>
            </w:r>
          </w:p>
        </w:tc>
      </w:tr>
      <w:tr w14:paraId="7839C83D">
        <w:tblPrEx>
          <w:tblCellMar>
            <w:top w:w="0" w:type="dxa"/>
            <w:left w:w="108" w:type="dxa"/>
            <w:bottom w:w="0" w:type="dxa"/>
            <w:right w:w="108" w:type="dxa"/>
          </w:tblCellMar>
        </w:tblPrEx>
        <w:trPr>
          <w:trHeight w:val="680" w:hRule="atLeast"/>
          <w:jc w:val="center"/>
        </w:trPr>
        <w:tc>
          <w:tcPr>
            <w:tcW w:w="812" w:type="dxa"/>
            <w:tcBorders>
              <w:top w:val="nil"/>
              <w:left w:val="single" w:color="auto" w:sz="4" w:space="0"/>
              <w:bottom w:val="single" w:color="auto" w:sz="4" w:space="0"/>
              <w:right w:val="single" w:color="auto" w:sz="4" w:space="0"/>
            </w:tcBorders>
            <w:vAlign w:val="center"/>
          </w:tcPr>
          <w:p w14:paraId="5A4A0680">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5</w:t>
            </w:r>
          </w:p>
        </w:tc>
        <w:tc>
          <w:tcPr>
            <w:tcW w:w="1203" w:type="dxa"/>
            <w:vMerge w:val="continue"/>
            <w:tcBorders>
              <w:top w:val="nil"/>
              <w:left w:val="single" w:color="auto" w:sz="4" w:space="0"/>
              <w:bottom w:val="single" w:color="auto" w:sz="4" w:space="0"/>
              <w:right w:val="single" w:color="auto" w:sz="4" w:space="0"/>
            </w:tcBorders>
            <w:vAlign w:val="center"/>
          </w:tcPr>
          <w:p w14:paraId="64E84FD0">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F4ACD4F">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2、被主管部门通报安全事件，每发生一起，按不同级别进行追究。</w:t>
            </w:r>
          </w:p>
        </w:tc>
        <w:tc>
          <w:tcPr>
            <w:tcW w:w="4083" w:type="dxa"/>
            <w:tcBorders>
              <w:top w:val="nil"/>
              <w:left w:val="nil"/>
              <w:bottom w:val="single" w:color="auto" w:sz="4" w:space="0"/>
              <w:right w:val="single" w:color="auto" w:sz="4" w:space="0"/>
            </w:tcBorders>
            <w:noWrap/>
          </w:tcPr>
          <w:p w14:paraId="33B31502">
            <w:pPr>
              <w:widowControl/>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　见下</w:t>
            </w:r>
          </w:p>
        </w:tc>
      </w:tr>
      <w:tr w14:paraId="1DE09C59">
        <w:tblPrEx>
          <w:tblCellMar>
            <w:top w:w="0" w:type="dxa"/>
            <w:left w:w="108" w:type="dxa"/>
            <w:bottom w:w="0" w:type="dxa"/>
            <w:right w:w="108" w:type="dxa"/>
          </w:tblCellMar>
        </w:tblPrEx>
        <w:trPr>
          <w:trHeight w:val="1112" w:hRule="atLeast"/>
          <w:jc w:val="center"/>
        </w:trPr>
        <w:tc>
          <w:tcPr>
            <w:tcW w:w="812" w:type="dxa"/>
            <w:tcBorders>
              <w:top w:val="nil"/>
              <w:left w:val="single" w:color="auto" w:sz="4" w:space="0"/>
              <w:bottom w:val="single" w:color="auto" w:sz="4" w:space="0"/>
              <w:right w:val="single" w:color="auto" w:sz="4" w:space="0"/>
            </w:tcBorders>
            <w:vAlign w:val="center"/>
          </w:tcPr>
          <w:p w14:paraId="5BC3B62F">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6</w:t>
            </w:r>
          </w:p>
        </w:tc>
        <w:tc>
          <w:tcPr>
            <w:tcW w:w="1203" w:type="dxa"/>
            <w:vMerge w:val="continue"/>
            <w:tcBorders>
              <w:top w:val="nil"/>
              <w:left w:val="single" w:color="auto" w:sz="4" w:space="0"/>
              <w:bottom w:val="single" w:color="auto" w:sz="4" w:space="0"/>
              <w:right w:val="single" w:color="auto" w:sz="4" w:space="0"/>
            </w:tcBorders>
            <w:vAlign w:val="center"/>
          </w:tcPr>
          <w:p w14:paraId="7E3103CF">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96C1B21">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（1）被中央有关部门通报，并核实的。</w:t>
            </w:r>
          </w:p>
        </w:tc>
        <w:tc>
          <w:tcPr>
            <w:tcW w:w="4083" w:type="dxa"/>
            <w:tcBorders>
              <w:top w:val="nil"/>
              <w:left w:val="nil"/>
              <w:bottom w:val="single" w:color="auto" w:sz="4" w:space="0"/>
              <w:right w:val="single" w:color="auto" w:sz="4" w:space="0"/>
            </w:tcBorders>
            <w:vAlign w:val="center"/>
          </w:tcPr>
          <w:p w14:paraId="03598F71">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3、扣除项目运维费用的3%</w:t>
            </w:r>
          </w:p>
        </w:tc>
      </w:tr>
      <w:tr w14:paraId="19342F58">
        <w:tblPrEx>
          <w:tblCellMar>
            <w:top w:w="0" w:type="dxa"/>
            <w:left w:w="108" w:type="dxa"/>
            <w:bottom w:w="0" w:type="dxa"/>
            <w:right w:w="108" w:type="dxa"/>
          </w:tblCellMar>
        </w:tblPrEx>
        <w:trPr>
          <w:trHeight w:val="1161" w:hRule="atLeast"/>
          <w:jc w:val="center"/>
        </w:trPr>
        <w:tc>
          <w:tcPr>
            <w:tcW w:w="812" w:type="dxa"/>
            <w:tcBorders>
              <w:top w:val="nil"/>
              <w:left w:val="single" w:color="auto" w:sz="4" w:space="0"/>
              <w:bottom w:val="single" w:color="auto" w:sz="4" w:space="0"/>
              <w:right w:val="single" w:color="auto" w:sz="4" w:space="0"/>
            </w:tcBorders>
            <w:vAlign w:val="center"/>
          </w:tcPr>
          <w:p w14:paraId="4CDAC1F2">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7</w:t>
            </w:r>
          </w:p>
        </w:tc>
        <w:tc>
          <w:tcPr>
            <w:tcW w:w="1203" w:type="dxa"/>
            <w:vMerge w:val="continue"/>
            <w:tcBorders>
              <w:top w:val="nil"/>
              <w:left w:val="single" w:color="auto" w:sz="4" w:space="0"/>
              <w:bottom w:val="single" w:color="auto" w:sz="4" w:space="0"/>
              <w:right w:val="single" w:color="auto" w:sz="4" w:space="0"/>
            </w:tcBorders>
            <w:vAlign w:val="center"/>
          </w:tcPr>
          <w:p w14:paraId="7F4F42EB">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1EC721B1">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（2）被本市有关部门通报，并核实的。</w:t>
            </w:r>
          </w:p>
        </w:tc>
        <w:tc>
          <w:tcPr>
            <w:tcW w:w="4083" w:type="dxa"/>
            <w:tcBorders>
              <w:top w:val="nil"/>
              <w:left w:val="nil"/>
              <w:bottom w:val="single" w:color="auto" w:sz="4" w:space="0"/>
              <w:right w:val="single" w:color="auto" w:sz="4" w:space="0"/>
            </w:tcBorders>
            <w:vAlign w:val="center"/>
          </w:tcPr>
          <w:p w14:paraId="58644191">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3、扣除项目运维费用的2%</w:t>
            </w:r>
          </w:p>
        </w:tc>
      </w:tr>
      <w:tr w14:paraId="029FA039">
        <w:tblPrEx>
          <w:tblCellMar>
            <w:top w:w="0" w:type="dxa"/>
            <w:left w:w="108" w:type="dxa"/>
            <w:bottom w:w="0" w:type="dxa"/>
            <w:right w:w="108" w:type="dxa"/>
          </w:tblCellMar>
        </w:tblPrEx>
        <w:trPr>
          <w:trHeight w:val="1140" w:hRule="atLeast"/>
          <w:jc w:val="center"/>
        </w:trPr>
        <w:tc>
          <w:tcPr>
            <w:tcW w:w="812" w:type="dxa"/>
            <w:tcBorders>
              <w:top w:val="nil"/>
              <w:left w:val="single" w:color="auto" w:sz="4" w:space="0"/>
              <w:bottom w:val="single" w:color="auto" w:sz="4" w:space="0"/>
              <w:right w:val="single" w:color="auto" w:sz="4" w:space="0"/>
            </w:tcBorders>
            <w:vAlign w:val="center"/>
          </w:tcPr>
          <w:p w14:paraId="02090A61">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8</w:t>
            </w:r>
          </w:p>
        </w:tc>
        <w:tc>
          <w:tcPr>
            <w:tcW w:w="1203" w:type="dxa"/>
            <w:vMerge w:val="continue"/>
            <w:tcBorders>
              <w:top w:val="nil"/>
              <w:left w:val="single" w:color="auto" w:sz="4" w:space="0"/>
              <w:bottom w:val="single" w:color="auto" w:sz="4" w:space="0"/>
              <w:right w:val="single" w:color="auto" w:sz="4" w:space="0"/>
            </w:tcBorders>
            <w:vAlign w:val="center"/>
          </w:tcPr>
          <w:p w14:paraId="2FDFE2B0">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B083D4D">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（3）被中心通报，对业务造成影响。</w:t>
            </w:r>
          </w:p>
        </w:tc>
        <w:tc>
          <w:tcPr>
            <w:tcW w:w="4083" w:type="dxa"/>
            <w:tcBorders>
              <w:top w:val="nil"/>
              <w:left w:val="nil"/>
              <w:bottom w:val="single" w:color="auto" w:sz="4" w:space="0"/>
              <w:right w:val="single" w:color="auto" w:sz="4" w:space="0"/>
            </w:tcBorders>
            <w:vAlign w:val="center"/>
          </w:tcPr>
          <w:p w14:paraId="462488C4">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3、一个服务周期内累计发生3次及以上的，扣除项目运维费用的1%</w:t>
            </w:r>
          </w:p>
        </w:tc>
      </w:tr>
      <w:tr w14:paraId="67EE3CA6">
        <w:tblPrEx>
          <w:tblCellMar>
            <w:top w:w="0" w:type="dxa"/>
            <w:left w:w="108" w:type="dxa"/>
            <w:bottom w:w="0" w:type="dxa"/>
            <w:right w:w="108" w:type="dxa"/>
          </w:tblCellMar>
        </w:tblPrEx>
        <w:trPr>
          <w:trHeight w:val="1270" w:hRule="atLeast"/>
          <w:jc w:val="center"/>
        </w:trPr>
        <w:tc>
          <w:tcPr>
            <w:tcW w:w="812" w:type="dxa"/>
            <w:tcBorders>
              <w:top w:val="nil"/>
              <w:left w:val="single" w:color="auto" w:sz="4" w:space="0"/>
              <w:bottom w:val="single" w:color="auto" w:sz="4" w:space="0"/>
              <w:right w:val="single" w:color="auto" w:sz="4" w:space="0"/>
            </w:tcBorders>
            <w:vAlign w:val="center"/>
          </w:tcPr>
          <w:p w14:paraId="40D25617">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9</w:t>
            </w:r>
          </w:p>
        </w:tc>
        <w:tc>
          <w:tcPr>
            <w:tcW w:w="1203" w:type="dxa"/>
            <w:vMerge w:val="continue"/>
            <w:tcBorders>
              <w:top w:val="nil"/>
              <w:left w:val="single" w:color="auto" w:sz="4" w:space="0"/>
              <w:bottom w:val="single" w:color="auto" w:sz="4" w:space="0"/>
              <w:right w:val="single" w:color="auto" w:sz="4" w:space="0"/>
            </w:tcBorders>
            <w:vAlign w:val="center"/>
          </w:tcPr>
          <w:p w14:paraId="603D90B7">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4E59D97">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（4）被重要用户投诉，影响中心形象、声誉。</w:t>
            </w:r>
          </w:p>
        </w:tc>
        <w:tc>
          <w:tcPr>
            <w:tcW w:w="4083" w:type="dxa"/>
            <w:tcBorders>
              <w:top w:val="nil"/>
              <w:left w:val="nil"/>
              <w:bottom w:val="single" w:color="auto" w:sz="4" w:space="0"/>
              <w:right w:val="single" w:color="auto" w:sz="4" w:space="0"/>
            </w:tcBorders>
            <w:vAlign w:val="center"/>
          </w:tcPr>
          <w:p w14:paraId="67DB6CEA">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3、一个服务周期内累计发生2次及以上的，扣除项目运维费用的2%</w:t>
            </w:r>
          </w:p>
        </w:tc>
      </w:tr>
      <w:tr w14:paraId="461955AC">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39999EDF">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10</w:t>
            </w:r>
          </w:p>
        </w:tc>
        <w:tc>
          <w:tcPr>
            <w:tcW w:w="1203" w:type="dxa"/>
            <w:vMerge w:val="continue"/>
            <w:tcBorders>
              <w:top w:val="nil"/>
              <w:left w:val="single" w:color="auto" w:sz="4" w:space="0"/>
              <w:bottom w:val="single" w:color="auto" w:sz="4" w:space="0"/>
              <w:right w:val="single" w:color="auto" w:sz="4" w:space="0"/>
            </w:tcBorders>
            <w:vAlign w:val="center"/>
          </w:tcPr>
          <w:p w14:paraId="5570A06F">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5CC7B0D8">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3、在日常安全监控和检查中，发现服务厂商建设、运维的系统被非法登陆、信息泄露或篡改、病毒或黑客攻击等安全事件。</w:t>
            </w:r>
          </w:p>
        </w:tc>
        <w:tc>
          <w:tcPr>
            <w:tcW w:w="4083" w:type="dxa"/>
            <w:tcBorders>
              <w:top w:val="nil"/>
              <w:left w:val="nil"/>
              <w:bottom w:val="single" w:color="auto" w:sz="4" w:space="0"/>
              <w:right w:val="single" w:color="auto" w:sz="4" w:space="0"/>
            </w:tcBorders>
            <w:vAlign w:val="center"/>
          </w:tcPr>
          <w:p w14:paraId="73D8253C">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3、扣除项目运维费用的2%</w:t>
            </w:r>
          </w:p>
        </w:tc>
      </w:tr>
      <w:tr w14:paraId="520838FF">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54F89075">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11</w:t>
            </w:r>
          </w:p>
        </w:tc>
        <w:tc>
          <w:tcPr>
            <w:tcW w:w="1203" w:type="dxa"/>
            <w:vMerge w:val="continue"/>
            <w:tcBorders>
              <w:top w:val="nil"/>
              <w:left w:val="single" w:color="auto" w:sz="4" w:space="0"/>
              <w:bottom w:val="single" w:color="auto" w:sz="4" w:space="0"/>
              <w:right w:val="single" w:color="auto" w:sz="4" w:space="0"/>
            </w:tcBorders>
            <w:vAlign w:val="center"/>
          </w:tcPr>
          <w:p w14:paraId="5ECAC4B3">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23E8EBF5">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4、在上级主管单位对中心进行安全检查中，发现问题的。</w:t>
            </w:r>
          </w:p>
        </w:tc>
        <w:tc>
          <w:tcPr>
            <w:tcW w:w="4083" w:type="dxa"/>
            <w:tcBorders>
              <w:top w:val="nil"/>
              <w:left w:val="nil"/>
              <w:bottom w:val="single" w:color="auto" w:sz="4" w:space="0"/>
              <w:right w:val="single" w:color="auto" w:sz="4" w:space="0"/>
            </w:tcBorders>
            <w:vAlign w:val="center"/>
          </w:tcPr>
          <w:p w14:paraId="39B0E32E">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3、在一次检查中发现2个及以上高危问题的，扣除项目运维费用的2%</w:t>
            </w:r>
          </w:p>
        </w:tc>
      </w:tr>
      <w:tr w14:paraId="0B7F1A3D">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207F6DF3">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12</w:t>
            </w:r>
          </w:p>
        </w:tc>
        <w:tc>
          <w:tcPr>
            <w:tcW w:w="1203" w:type="dxa"/>
            <w:vMerge w:val="continue"/>
            <w:tcBorders>
              <w:top w:val="nil"/>
              <w:left w:val="single" w:color="auto" w:sz="4" w:space="0"/>
              <w:bottom w:val="single" w:color="auto" w:sz="4" w:space="0"/>
              <w:right w:val="single" w:color="auto" w:sz="4" w:space="0"/>
            </w:tcBorders>
            <w:vAlign w:val="center"/>
          </w:tcPr>
          <w:p w14:paraId="53A9B88D">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3119D8AF">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5、未经批准，擅自在各种媒体发表与中心有关的评论或言论。</w:t>
            </w:r>
          </w:p>
        </w:tc>
        <w:tc>
          <w:tcPr>
            <w:tcW w:w="4083" w:type="dxa"/>
            <w:tcBorders>
              <w:top w:val="nil"/>
              <w:left w:val="nil"/>
              <w:bottom w:val="single" w:color="auto" w:sz="4" w:space="0"/>
              <w:right w:val="single" w:color="auto" w:sz="4" w:space="0"/>
            </w:tcBorders>
            <w:vAlign w:val="center"/>
          </w:tcPr>
          <w:p w14:paraId="479A74C9">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3、扣除项目运维费用的2%</w:t>
            </w:r>
          </w:p>
        </w:tc>
      </w:tr>
      <w:tr w14:paraId="6ECAF6D2">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261E5A1F">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13</w:t>
            </w:r>
          </w:p>
        </w:tc>
        <w:tc>
          <w:tcPr>
            <w:tcW w:w="1203" w:type="dxa"/>
            <w:vMerge w:val="restart"/>
            <w:tcBorders>
              <w:top w:val="nil"/>
              <w:left w:val="single" w:color="auto" w:sz="4" w:space="0"/>
              <w:bottom w:val="single" w:color="000000" w:sz="4" w:space="0"/>
              <w:right w:val="single" w:color="auto" w:sz="4" w:space="0"/>
            </w:tcBorders>
            <w:vAlign w:val="center"/>
          </w:tcPr>
          <w:p w14:paraId="7574276F">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故障</w:t>
            </w:r>
          </w:p>
        </w:tc>
        <w:tc>
          <w:tcPr>
            <w:tcW w:w="2835" w:type="dxa"/>
            <w:tcBorders>
              <w:top w:val="nil"/>
              <w:left w:val="nil"/>
              <w:bottom w:val="single" w:color="auto" w:sz="4" w:space="0"/>
              <w:right w:val="single" w:color="auto" w:sz="4" w:space="0"/>
            </w:tcBorders>
            <w:vAlign w:val="center"/>
          </w:tcPr>
          <w:p w14:paraId="0419B4CE">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1、发生A1、A2级故障。</w:t>
            </w:r>
          </w:p>
        </w:tc>
        <w:tc>
          <w:tcPr>
            <w:tcW w:w="4083" w:type="dxa"/>
            <w:tcBorders>
              <w:top w:val="nil"/>
              <w:left w:val="nil"/>
              <w:bottom w:val="single" w:color="auto" w:sz="4" w:space="0"/>
              <w:right w:val="single" w:color="auto" w:sz="4" w:space="0"/>
            </w:tcBorders>
            <w:vAlign w:val="center"/>
          </w:tcPr>
          <w:p w14:paraId="6939F077">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3、扣除项目运维费用的3%</w:t>
            </w:r>
          </w:p>
        </w:tc>
      </w:tr>
      <w:tr w14:paraId="337023FA">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7B6BBE36">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14</w:t>
            </w:r>
          </w:p>
        </w:tc>
        <w:tc>
          <w:tcPr>
            <w:tcW w:w="1203" w:type="dxa"/>
            <w:vMerge w:val="continue"/>
            <w:tcBorders>
              <w:top w:val="nil"/>
              <w:left w:val="single" w:color="auto" w:sz="4" w:space="0"/>
              <w:bottom w:val="single" w:color="000000" w:sz="4" w:space="0"/>
              <w:right w:val="single" w:color="auto" w:sz="4" w:space="0"/>
            </w:tcBorders>
            <w:vAlign w:val="center"/>
          </w:tcPr>
          <w:p w14:paraId="6F6D1B6B">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47C1D72D">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2、发生B1、B2级故障。</w:t>
            </w:r>
          </w:p>
        </w:tc>
        <w:tc>
          <w:tcPr>
            <w:tcW w:w="4083" w:type="dxa"/>
            <w:tcBorders>
              <w:top w:val="nil"/>
              <w:left w:val="nil"/>
              <w:bottom w:val="single" w:color="auto" w:sz="4" w:space="0"/>
              <w:right w:val="single" w:color="auto" w:sz="4" w:space="0"/>
            </w:tcBorders>
            <w:vAlign w:val="center"/>
          </w:tcPr>
          <w:p w14:paraId="7268A433">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3、一个服务周期内累计2次及以上的，扣除项目运维费用的2%</w:t>
            </w:r>
          </w:p>
        </w:tc>
      </w:tr>
      <w:tr w14:paraId="032BEB91">
        <w:tblPrEx>
          <w:tblCellMar>
            <w:top w:w="0" w:type="dxa"/>
            <w:left w:w="108" w:type="dxa"/>
            <w:bottom w:w="0" w:type="dxa"/>
            <w:right w:w="108" w:type="dxa"/>
          </w:tblCellMar>
        </w:tblPrEx>
        <w:trPr>
          <w:trHeight w:val="840" w:hRule="atLeast"/>
          <w:jc w:val="center"/>
        </w:trPr>
        <w:tc>
          <w:tcPr>
            <w:tcW w:w="812" w:type="dxa"/>
            <w:tcBorders>
              <w:top w:val="nil"/>
              <w:left w:val="single" w:color="auto" w:sz="4" w:space="0"/>
              <w:bottom w:val="single" w:color="auto" w:sz="4" w:space="0"/>
              <w:right w:val="single" w:color="auto" w:sz="4" w:space="0"/>
            </w:tcBorders>
            <w:vAlign w:val="center"/>
          </w:tcPr>
          <w:p w14:paraId="7020F393">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15</w:t>
            </w:r>
          </w:p>
        </w:tc>
        <w:tc>
          <w:tcPr>
            <w:tcW w:w="1203" w:type="dxa"/>
            <w:vMerge w:val="continue"/>
            <w:tcBorders>
              <w:top w:val="nil"/>
              <w:left w:val="single" w:color="auto" w:sz="4" w:space="0"/>
              <w:bottom w:val="single" w:color="000000" w:sz="4" w:space="0"/>
              <w:right w:val="single" w:color="auto" w:sz="4" w:space="0"/>
            </w:tcBorders>
            <w:vAlign w:val="center"/>
          </w:tcPr>
          <w:p w14:paraId="3B2D52BA">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54CB7B04">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3、发生C+级故障。</w:t>
            </w:r>
          </w:p>
        </w:tc>
        <w:tc>
          <w:tcPr>
            <w:tcW w:w="4083" w:type="dxa"/>
            <w:tcBorders>
              <w:top w:val="nil"/>
              <w:left w:val="nil"/>
              <w:bottom w:val="single" w:color="auto" w:sz="4" w:space="0"/>
              <w:right w:val="single" w:color="auto" w:sz="4" w:space="0"/>
            </w:tcBorders>
            <w:vAlign w:val="center"/>
          </w:tcPr>
          <w:p w14:paraId="1D3B334E">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3、一个服务周期内累计3次及以上的，扣除项目运维费用的1%</w:t>
            </w:r>
          </w:p>
        </w:tc>
      </w:tr>
      <w:tr w14:paraId="0944B112">
        <w:tblPrEx>
          <w:tblCellMar>
            <w:top w:w="0" w:type="dxa"/>
            <w:left w:w="108" w:type="dxa"/>
            <w:bottom w:w="0" w:type="dxa"/>
            <w:right w:w="108" w:type="dxa"/>
          </w:tblCellMar>
        </w:tblPrEx>
        <w:trPr>
          <w:trHeight w:val="1120" w:hRule="atLeast"/>
          <w:jc w:val="center"/>
        </w:trPr>
        <w:tc>
          <w:tcPr>
            <w:tcW w:w="812" w:type="dxa"/>
            <w:tcBorders>
              <w:top w:val="nil"/>
              <w:left w:val="single" w:color="auto" w:sz="4" w:space="0"/>
              <w:bottom w:val="single" w:color="auto" w:sz="4" w:space="0"/>
              <w:right w:val="single" w:color="auto" w:sz="4" w:space="0"/>
            </w:tcBorders>
            <w:vAlign w:val="center"/>
          </w:tcPr>
          <w:p w14:paraId="46F8BDF1">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16</w:t>
            </w:r>
          </w:p>
        </w:tc>
        <w:tc>
          <w:tcPr>
            <w:tcW w:w="1203" w:type="dxa"/>
            <w:vMerge w:val="restart"/>
            <w:tcBorders>
              <w:top w:val="nil"/>
              <w:left w:val="single" w:color="auto" w:sz="4" w:space="0"/>
              <w:bottom w:val="single" w:color="auto" w:sz="4" w:space="0"/>
              <w:right w:val="single" w:color="auto" w:sz="4" w:space="0"/>
            </w:tcBorders>
            <w:noWrap/>
            <w:vAlign w:val="center"/>
          </w:tcPr>
          <w:p w14:paraId="4F9B9D18">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漏洞</w:t>
            </w:r>
          </w:p>
        </w:tc>
        <w:tc>
          <w:tcPr>
            <w:tcW w:w="2835" w:type="dxa"/>
            <w:tcBorders>
              <w:top w:val="nil"/>
              <w:left w:val="nil"/>
              <w:bottom w:val="single" w:color="auto" w:sz="4" w:space="0"/>
              <w:right w:val="single" w:color="auto" w:sz="4" w:space="0"/>
            </w:tcBorders>
            <w:vAlign w:val="center"/>
          </w:tcPr>
          <w:p w14:paraId="1FE68AB2">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1、运维项目，未按要求上报产品漏洞情况，未及时更新版本</w:t>
            </w:r>
          </w:p>
        </w:tc>
        <w:tc>
          <w:tcPr>
            <w:tcW w:w="4083" w:type="dxa"/>
            <w:tcBorders>
              <w:top w:val="nil"/>
              <w:left w:val="nil"/>
              <w:bottom w:val="single" w:color="auto" w:sz="4" w:space="0"/>
              <w:right w:val="single" w:color="auto" w:sz="4" w:space="0"/>
            </w:tcBorders>
            <w:vAlign w:val="center"/>
          </w:tcPr>
          <w:p w14:paraId="6A63947F">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3、每发现一次未上报或未及时更新且存在漏洞发生安全事件的，按事件等级进行项目金额扣除。</w:t>
            </w:r>
          </w:p>
        </w:tc>
      </w:tr>
      <w:tr w14:paraId="00D7E39B">
        <w:tblPrEx>
          <w:tblCellMar>
            <w:top w:w="0" w:type="dxa"/>
            <w:left w:w="108" w:type="dxa"/>
            <w:bottom w:w="0" w:type="dxa"/>
            <w:right w:w="108" w:type="dxa"/>
          </w:tblCellMar>
        </w:tblPrEx>
        <w:trPr>
          <w:trHeight w:val="1680" w:hRule="atLeast"/>
          <w:jc w:val="center"/>
        </w:trPr>
        <w:tc>
          <w:tcPr>
            <w:tcW w:w="812" w:type="dxa"/>
            <w:tcBorders>
              <w:top w:val="nil"/>
              <w:left w:val="single" w:color="auto" w:sz="4" w:space="0"/>
              <w:bottom w:val="single" w:color="auto" w:sz="4" w:space="0"/>
              <w:right w:val="single" w:color="auto" w:sz="4" w:space="0"/>
            </w:tcBorders>
            <w:vAlign w:val="center"/>
          </w:tcPr>
          <w:p w14:paraId="2B49A65A">
            <w:pPr>
              <w:widowControl/>
              <w:jc w:val="center"/>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17</w:t>
            </w:r>
          </w:p>
        </w:tc>
        <w:tc>
          <w:tcPr>
            <w:tcW w:w="1203" w:type="dxa"/>
            <w:vMerge w:val="continue"/>
            <w:tcBorders>
              <w:top w:val="nil"/>
              <w:left w:val="single" w:color="auto" w:sz="4" w:space="0"/>
              <w:bottom w:val="single" w:color="auto" w:sz="4" w:space="0"/>
              <w:right w:val="single" w:color="auto" w:sz="4" w:space="0"/>
            </w:tcBorders>
            <w:vAlign w:val="center"/>
          </w:tcPr>
          <w:p w14:paraId="437FA7FB">
            <w:pPr>
              <w:widowControl/>
              <w:jc w:val="left"/>
              <w:rPr>
                <w:rFonts w:hint="eastAsia" w:ascii="仿宋_GB2312" w:hAnsi="等线" w:eastAsia="仿宋_GB2312" w:cs="宋体"/>
                <w:color w:val="000000"/>
                <w:kern w:val="0"/>
                <w:sz w:val="22"/>
              </w:rPr>
            </w:pPr>
          </w:p>
        </w:tc>
        <w:tc>
          <w:tcPr>
            <w:tcW w:w="2835" w:type="dxa"/>
            <w:tcBorders>
              <w:top w:val="nil"/>
              <w:left w:val="nil"/>
              <w:bottom w:val="single" w:color="auto" w:sz="4" w:space="0"/>
              <w:right w:val="single" w:color="auto" w:sz="4" w:space="0"/>
            </w:tcBorders>
            <w:vAlign w:val="center"/>
          </w:tcPr>
          <w:p w14:paraId="135C277F">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2、存在漏洞风险，未按要求及时修复漏洞或采取防护措施</w:t>
            </w:r>
          </w:p>
        </w:tc>
        <w:tc>
          <w:tcPr>
            <w:tcW w:w="4083" w:type="dxa"/>
            <w:tcBorders>
              <w:top w:val="nil"/>
              <w:left w:val="nil"/>
              <w:bottom w:val="single" w:color="auto" w:sz="4" w:space="0"/>
              <w:right w:val="single" w:color="auto" w:sz="4" w:space="0"/>
            </w:tcBorders>
            <w:vAlign w:val="center"/>
          </w:tcPr>
          <w:p w14:paraId="5163E869">
            <w:pPr>
              <w:widowControl/>
              <w:jc w:val="left"/>
              <w:rPr>
                <w:rFonts w:hint="eastAsia" w:ascii="仿宋_GB2312" w:hAnsi="等线" w:eastAsia="仿宋_GB2312" w:cs="宋体"/>
                <w:color w:val="000000"/>
                <w:kern w:val="0"/>
                <w:sz w:val="22"/>
              </w:rPr>
            </w:pPr>
            <w:r>
              <w:rPr>
                <w:rFonts w:hint="eastAsia" w:ascii="仿宋_GB2312" w:hAnsi="等线" w:eastAsia="仿宋_GB2312" w:cs="宋体"/>
                <w:color w:val="000000"/>
                <w:kern w:val="0"/>
                <w:sz w:val="22"/>
              </w:rPr>
              <w:t>1、限期整改；</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2、约谈企业负责人；</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3、一个服务周期内累计3次及以上的中高危漏洞未按期整改的，扣除项目运维费用的2%；</w:t>
            </w:r>
            <w:r>
              <w:rPr>
                <w:rFonts w:hint="eastAsia" w:ascii="仿宋_GB2312" w:hAnsi="等线" w:eastAsia="仿宋_GB2312" w:cs="宋体"/>
                <w:color w:val="000000"/>
                <w:kern w:val="0"/>
                <w:sz w:val="22"/>
              </w:rPr>
              <w:br w:type="textWrapping"/>
            </w:r>
            <w:r>
              <w:rPr>
                <w:rFonts w:hint="eastAsia" w:ascii="仿宋_GB2312" w:hAnsi="等线" w:eastAsia="仿宋_GB2312" w:cs="宋体"/>
                <w:color w:val="000000"/>
                <w:kern w:val="0"/>
                <w:sz w:val="22"/>
              </w:rPr>
              <w:t>4、每发现一次未按时修复且发生安全事件的，按事件等级进行项目金额扣除。</w:t>
            </w:r>
          </w:p>
        </w:tc>
      </w:tr>
    </w:tbl>
    <w:p w14:paraId="37D9E989">
      <w:pPr>
        <w:spacing w:line="560" w:lineRule="exact"/>
        <w:ind w:firstLine="560" w:firstLineChars="200"/>
        <w:rPr>
          <w:rFonts w:hint="eastAsia" w:ascii="仿宋" w:hAnsi="仿宋" w:eastAsia="仿宋" w:cs="仿宋"/>
          <w:sz w:val="28"/>
          <w:szCs w:val="28"/>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time">
    <w:altName w:val="思源宋体"/>
    <w:panose1 w:val="00000000000000000000"/>
    <w:charset w:val="00"/>
    <w:family w:val="roman"/>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Liberation Serif">
    <w:panose1 w:val="02020603050405020304"/>
    <w:charset w:val="00"/>
    <w:family w:val="auto"/>
    <w:pitch w:val="default"/>
    <w:sig w:usb0="A00002AF" w:usb1="500078FB" w:usb2="00000000" w:usb3="00000000" w:csb0="6000009F" w:csb1="DFD70000"/>
  </w:font>
  <w:font w:name="微软雅黑">
    <w:altName w:val="方正黑体_GBK"/>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2945245"/>
    </w:sdtPr>
    <w:sdtContent>
      <w:p w14:paraId="391C6BD5">
        <w:pPr>
          <w:pStyle w:val="16"/>
          <w:jc w:val="center"/>
        </w:pPr>
        <w:r>
          <w:fldChar w:fldCharType="begin"/>
        </w:r>
        <w:r>
          <w:instrText xml:space="preserve">PAGE   \* MERGEFORMAT</w:instrText>
        </w:r>
        <w:r>
          <w:fldChar w:fldCharType="separate"/>
        </w:r>
        <w:r>
          <w:rPr>
            <w:lang w:val="zh-CN"/>
          </w:rPr>
          <w:t>30</w:t>
        </w:r>
        <w:r>
          <w:rPr>
            <w:lang w:val="zh-CN"/>
          </w:rPr>
          <w:fldChar w:fldCharType="end"/>
        </w:r>
      </w:p>
    </w:sdtContent>
  </w:sdt>
  <w:p w14:paraId="1261AA97">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FF75F5"/>
    <w:multiLevelType w:val="singleLevel"/>
    <w:tmpl w:val="F1FF75F5"/>
    <w:lvl w:ilvl="0" w:tentative="0">
      <w:start w:val="1"/>
      <w:numFmt w:val="decimal"/>
      <w:lvlText w:val="%1."/>
      <w:lvlJc w:val="left"/>
      <w:pPr>
        <w:ind w:left="425" w:hanging="425"/>
      </w:pPr>
      <w:rPr>
        <w:rFonts w:hint="default"/>
      </w:rPr>
    </w:lvl>
  </w:abstractNum>
  <w:abstractNum w:abstractNumId="1">
    <w:nsid w:val="0000000A"/>
    <w:multiLevelType w:val="multilevel"/>
    <w:tmpl w:val="0000000A"/>
    <w:lvl w:ilvl="0" w:tentative="0">
      <w:start w:val="1"/>
      <w:numFmt w:val="chineseCountingThousand"/>
      <w:pStyle w:val="58"/>
      <w:suff w:val="space"/>
      <w:lvlText w:val="第%1章"/>
      <w:lvlJc w:val="left"/>
      <w:pPr>
        <w:ind w:left="1559" w:firstLine="0"/>
      </w:pPr>
      <w:rPr>
        <w:rFonts w:hint="eastAsia"/>
      </w:rPr>
    </w:lvl>
    <w:lvl w:ilvl="1" w:tentative="0">
      <w:start w:val="1"/>
      <w:numFmt w:val="decimal"/>
      <w:pStyle w:val="59"/>
      <w:isLgl/>
      <w:suff w:val="space"/>
      <w:lvlText w:val="%1.%2"/>
      <w:lvlJc w:val="left"/>
      <w:pPr>
        <w:ind w:left="0" w:firstLine="0"/>
      </w:pPr>
      <w:rPr>
        <w:rFonts w:hint="eastAsia"/>
      </w:rPr>
    </w:lvl>
    <w:lvl w:ilvl="2" w:tentative="0">
      <w:start w:val="1"/>
      <w:numFmt w:val="decimal"/>
      <w:pStyle w:val="60"/>
      <w:isLgl/>
      <w:suff w:val="space"/>
      <w:lvlText w:val="%1.%2.%3"/>
      <w:lvlJc w:val="left"/>
      <w:pPr>
        <w:ind w:left="425" w:hanging="425"/>
      </w:pPr>
      <w:rPr>
        <w:rFonts w:hint="eastAsia" w:cs="Times New Roman"/>
        <w:b/>
        <w:bCs w:val="0"/>
        <w:i w:val="0"/>
        <w:iCs w:val="0"/>
        <w:caps w:val="0"/>
        <w:smallCaps w:val="0"/>
        <w:vanish w:val="0"/>
        <w:color w:val="000000"/>
        <w:spacing w:val="0"/>
        <w:position w:val="0"/>
        <w:u w:val="none"/>
        <w:vertAlign w:val="baseline"/>
      </w:rPr>
    </w:lvl>
    <w:lvl w:ilvl="3" w:tentative="0">
      <w:start w:val="1"/>
      <w:numFmt w:val="decimal"/>
      <w:pStyle w:val="61"/>
      <w:isLgl/>
      <w:suff w:val="space"/>
      <w:lvlText w:val="%1.%2.%3.%4"/>
      <w:lvlJc w:val="left"/>
      <w:pPr>
        <w:ind w:left="0" w:firstLine="0"/>
      </w:pPr>
      <w:rPr>
        <w:rFonts w:hint="eastAsia"/>
      </w:rPr>
    </w:lvl>
    <w:lvl w:ilvl="4" w:tentative="0">
      <w:start w:val="1"/>
      <w:numFmt w:val="decimal"/>
      <w:pStyle w:val="62"/>
      <w:isLgl/>
      <w:lvlText w:val="%1.%2.%3.%4.%5."/>
      <w:lvlJc w:val="left"/>
      <w:pPr>
        <w:ind w:left="0" w:firstLine="0"/>
      </w:pPr>
      <w:rPr>
        <w:rFonts w:hint="eastAsia"/>
      </w:rPr>
    </w:lvl>
    <w:lvl w:ilvl="5" w:tentative="0">
      <w:start w:val="1"/>
      <w:numFmt w:val="decimal"/>
      <w:lvlText w:val="%1.%2.%3.%4.%5.%6."/>
      <w:lvlJc w:val="left"/>
      <w:pPr>
        <w:ind w:left="425" w:hanging="425"/>
      </w:pPr>
      <w:rPr>
        <w:rFonts w:hint="eastAsia"/>
      </w:rPr>
    </w:lvl>
    <w:lvl w:ilvl="6" w:tentative="0">
      <w:start w:val="1"/>
      <w:numFmt w:val="decimal"/>
      <w:lvlText w:val="%1.%2.%3.%4.%5.%6.%7."/>
      <w:lvlJc w:val="left"/>
      <w:pPr>
        <w:ind w:left="425" w:hanging="425"/>
      </w:pPr>
      <w:rPr>
        <w:rFonts w:hint="eastAsia"/>
      </w:rPr>
    </w:lvl>
    <w:lvl w:ilvl="7" w:tentative="0">
      <w:start w:val="1"/>
      <w:numFmt w:val="decimal"/>
      <w:lvlText w:val="%1.%2.%3.%4.%5.%6.%7.%8."/>
      <w:lvlJc w:val="left"/>
      <w:pPr>
        <w:ind w:left="425" w:hanging="425"/>
      </w:pPr>
      <w:rPr>
        <w:rFonts w:hint="eastAsia"/>
      </w:rPr>
    </w:lvl>
    <w:lvl w:ilvl="8" w:tentative="0">
      <w:start w:val="1"/>
      <w:numFmt w:val="decimal"/>
      <w:lvlText w:val="%1.%2.%3.%4.%5.%6.%7.%8.%9."/>
      <w:lvlJc w:val="left"/>
      <w:pPr>
        <w:ind w:left="425" w:hanging="425"/>
      </w:pPr>
      <w:rPr>
        <w:rFonts w:hint="eastAsia"/>
      </w:rPr>
    </w:lvl>
  </w:abstractNum>
  <w:abstractNum w:abstractNumId="2">
    <w:nsid w:val="4B414E94"/>
    <w:multiLevelType w:val="multilevel"/>
    <w:tmpl w:val="4B414E94"/>
    <w:lvl w:ilvl="0" w:tentative="0">
      <w:start w:val="1"/>
      <w:numFmt w:val="chineseCountingThousand"/>
      <w:pStyle w:val="2"/>
      <w:suff w:val="nothing"/>
      <w:lvlText w:val="%1、"/>
      <w:lvlJc w:val="left"/>
      <w:pPr>
        <w:ind w:left="4536" w:firstLine="0"/>
      </w:pPr>
      <w:rPr>
        <w:rFonts w:hint="eastAsia" w:ascii="仿宋" w:hAnsi="仿宋" w:eastAsia="仿宋" w:cs="仿宋"/>
        <w:b/>
        <w:i w:val="0"/>
        <w:sz w:val="32"/>
        <w:szCs w:val="32"/>
        <w:lang w:val="en-US"/>
      </w:rPr>
    </w:lvl>
    <w:lvl w:ilvl="1" w:tentative="0">
      <w:start w:val="1"/>
      <w:numFmt w:val="decimal"/>
      <w:pStyle w:val="3"/>
      <w:isLgl/>
      <w:suff w:val="nothing"/>
      <w:lvlText w:val="%1.%2 "/>
      <w:lvlJc w:val="left"/>
      <w:pPr>
        <w:ind w:left="851" w:firstLine="0"/>
      </w:pPr>
      <w:rPr>
        <w:rFonts w:hint="default" w:ascii="Times New Roman" w:hAnsi="Times New Roman" w:eastAsia="宋体"/>
        <w:b/>
        <w:i w:val="0"/>
        <w:sz w:val="30"/>
      </w:rPr>
    </w:lvl>
    <w:lvl w:ilvl="2" w:tentative="0">
      <w:start w:val="1"/>
      <w:numFmt w:val="decimal"/>
      <w:pStyle w:val="4"/>
      <w:isLgl/>
      <w:suff w:val="nothing"/>
      <w:lvlText w:val="%1.%2.%3 "/>
      <w:lvlJc w:val="left"/>
      <w:pPr>
        <w:ind w:left="1135" w:firstLine="0"/>
      </w:pPr>
      <w:rPr>
        <w:rFonts w:hint="default" w:ascii="Times New Roman" w:hAnsi="Times New Roman" w:eastAsia="仿宋"/>
        <w:b/>
        <w:i w:val="0"/>
        <w:sz w:val="28"/>
      </w:rPr>
    </w:lvl>
    <w:lvl w:ilvl="3" w:tentative="0">
      <w:start w:val="1"/>
      <w:numFmt w:val="decimal"/>
      <w:pStyle w:val="5"/>
      <w:isLgl/>
      <w:suff w:val="nothing"/>
      <w:lvlText w:val="%1.%2.%3.%4、"/>
      <w:lvlJc w:val="left"/>
      <w:pPr>
        <w:ind w:left="567" w:firstLine="0"/>
      </w:pPr>
      <w:rPr>
        <w:rFonts w:hint="default" w:ascii="Times New Roman" w:hAnsi="Times New Roman" w:eastAsia="宋体"/>
        <w:b/>
        <w:i w:val="0"/>
        <w:sz w:val="24"/>
      </w:rPr>
    </w:lvl>
    <w:lvl w:ilvl="4" w:tentative="0">
      <w:start w:val="1"/>
      <w:numFmt w:val="decimal"/>
      <w:pStyle w:val="6"/>
      <w:isLgl/>
      <w:suff w:val="nothing"/>
      <w:lvlText w:val="%1.%2.%3.%4.%5、"/>
      <w:lvlJc w:val="left"/>
      <w:pPr>
        <w:ind w:left="567" w:firstLine="0"/>
      </w:pPr>
      <w:rPr>
        <w:rFonts w:hint="default" w:ascii="Times New Roman" w:hAnsi="Times New Roman" w:eastAsia="宋体"/>
        <w:b/>
        <w:i w:val="0"/>
        <w:sz w:val="21"/>
      </w:rPr>
    </w:lvl>
    <w:lvl w:ilvl="5" w:tentative="0">
      <w:start w:val="1"/>
      <w:numFmt w:val="decimal"/>
      <w:pStyle w:val="7"/>
      <w:isLgl/>
      <w:suff w:val="nothing"/>
      <w:lvlText w:val="%1.%2.%3.%4.%5.%6、"/>
      <w:lvlJc w:val="left"/>
      <w:pPr>
        <w:ind w:left="567" w:firstLine="0"/>
      </w:pPr>
      <w:rPr>
        <w:rFonts w:hint="default" w:ascii="Times New Roman" w:hAnsi="Times New Roman" w:eastAsia="宋体"/>
        <w:b/>
        <w:i w:val="0"/>
        <w:sz w:val="21"/>
      </w:rPr>
    </w:lvl>
    <w:lvl w:ilvl="6" w:tentative="0">
      <w:start w:val="1"/>
      <w:numFmt w:val="decimal"/>
      <w:pStyle w:val="8"/>
      <w:isLgl/>
      <w:suff w:val="nothing"/>
      <w:lvlText w:val="%1.%2.%3.%4.%5.%6.%7、"/>
      <w:lvlJc w:val="left"/>
      <w:pPr>
        <w:ind w:left="567" w:firstLine="0"/>
      </w:pPr>
      <w:rPr>
        <w:rFonts w:hint="default" w:ascii="Times New Roman" w:hAnsi="Times New Roman" w:eastAsia="宋体"/>
        <w:b/>
        <w:i w:val="0"/>
        <w:sz w:val="21"/>
      </w:rPr>
    </w:lvl>
    <w:lvl w:ilvl="7" w:tentative="0">
      <w:start w:val="1"/>
      <w:numFmt w:val="decimal"/>
      <w:pStyle w:val="9"/>
      <w:isLgl/>
      <w:suff w:val="nothing"/>
      <w:lvlText w:val="%1.%2.%3.%4.%5.%6.%7.%8、"/>
      <w:lvlJc w:val="left"/>
      <w:pPr>
        <w:ind w:left="567" w:firstLine="0"/>
      </w:pPr>
      <w:rPr>
        <w:rFonts w:hint="default" w:ascii="Times New Roman" w:hAnsi="Times New Roman" w:eastAsia="宋体"/>
        <w:b/>
        <w:i w:val="0"/>
        <w:sz w:val="21"/>
      </w:rPr>
    </w:lvl>
    <w:lvl w:ilvl="8" w:tentative="0">
      <w:start w:val="1"/>
      <w:numFmt w:val="decimal"/>
      <w:pStyle w:val="10"/>
      <w:isLgl/>
      <w:suff w:val="nothing"/>
      <w:lvlText w:val="%1.%2.%3.%4.%5.%6.%7.%8.%9、"/>
      <w:lvlJc w:val="left"/>
      <w:pPr>
        <w:ind w:left="567" w:firstLine="0"/>
      </w:pPr>
      <w:rPr>
        <w:rFonts w:hint="default" w:ascii="Times New Roman" w:hAnsi="Times New Roman" w:eastAsia="宋体"/>
        <w:b/>
        <w:i w:val="0"/>
        <w:sz w:val="21"/>
      </w:rPr>
    </w:lvl>
  </w:abstractNum>
  <w:abstractNum w:abstractNumId="3">
    <w:nsid w:val="5E3E414F"/>
    <w:multiLevelType w:val="singleLevel"/>
    <w:tmpl w:val="5E3E414F"/>
    <w:lvl w:ilvl="0" w:tentative="0">
      <w:start w:val="1"/>
      <w:numFmt w:val="decimal"/>
      <w:lvlText w:val="%1."/>
      <w:lvlJc w:val="left"/>
      <w:pPr>
        <w:ind w:left="425" w:hanging="425"/>
      </w:pPr>
      <w:rPr>
        <w:rFonts w:hint="default"/>
      </w:rPr>
    </w:lvl>
  </w:abstractNum>
  <w:abstractNum w:abstractNumId="4">
    <w:nsid w:val="7413419B"/>
    <w:multiLevelType w:val="singleLevel"/>
    <w:tmpl w:val="7413419B"/>
    <w:lvl w:ilvl="0" w:tentative="0">
      <w:start w:val="1"/>
      <w:numFmt w:val="decimal"/>
      <w:lvlText w:val="%1."/>
      <w:lvlJc w:val="left"/>
      <w:pPr>
        <w:ind w:left="425" w:hanging="425"/>
      </w:pPr>
      <w:rPr>
        <w:rFonts w:hint="default"/>
      </w:rPr>
    </w:lvl>
  </w:abstractNum>
  <w:abstractNum w:abstractNumId="5">
    <w:nsid w:val="76EC2077"/>
    <w:multiLevelType w:val="multilevel"/>
    <w:tmpl w:val="76EC207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4MWRlOGM1OTQ3MjU5YWIxNjczZDJkOGNlY2U1MzkifQ=="/>
  </w:docVars>
  <w:rsids>
    <w:rsidRoot w:val="00A65D43"/>
    <w:rsid w:val="0000190C"/>
    <w:rsid w:val="00001BEB"/>
    <w:rsid w:val="00003534"/>
    <w:rsid w:val="00010B05"/>
    <w:rsid w:val="0002058A"/>
    <w:rsid w:val="00023D7A"/>
    <w:rsid w:val="00024DCE"/>
    <w:rsid w:val="00025A0A"/>
    <w:rsid w:val="00025B47"/>
    <w:rsid w:val="00025D33"/>
    <w:rsid w:val="00027942"/>
    <w:rsid w:val="00031146"/>
    <w:rsid w:val="00031E82"/>
    <w:rsid w:val="0003289E"/>
    <w:rsid w:val="000337EC"/>
    <w:rsid w:val="0003480C"/>
    <w:rsid w:val="0004197E"/>
    <w:rsid w:val="00042982"/>
    <w:rsid w:val="000440DD"/>
    <w:rsid w:val="000452BC"/>
    <w:rsid w:val="00047235"/>
    <w:rsid w:val="00047642"/>
    <w:rsid w:val="00055746"/>
    <w:rsid w:val="00061333"/>
    <w:rsid w:val="00061D38"/>
    <w:rsid w:val="00063A7D"/>
    <w:rsid w:val="00065382"/>
    <w:rsid w:val="00065ADA"/>
    <w:rsid w:val="0006753F"/>
    <w:rsid w:val="00067BAE"/>
    <w:rsid w:val="000713A9"/>
    <w:rsid w:val="00072DDE"/>
    <w:rsid w:val="0007524D"/>
    <w:rsid w:val="00077F67"/>
    <w:rsid w:val="00081035"/>
    <w:rsid w:val="00085F33"/>
    <w:rsid w:val="000864B6"/>
    <w:rsid w:val="00086F1A"/>
    <w:rsid w:val="00092749"/>
    <w:rsid w:val="00093E3D"/>
    <w:rsid w:val="000945B3"/>
    <w:rsid w:val="00094779"/>
    <w:rsid w:val="00094EBE"/>
    <w:rsid w:val="000977A7"/>
    <w:rsid w:val="000A0130"/>
    <w:rsid w:val="000A0DA6"/>
    <w:rsid w:val="000A1FA8"/>
    <w:rsid w:val="000A267E"/>
    <w:rsid w:val="000B17AA"/>
    <w:rsid w:val="000B2458"/>
    <w:rsid w:val="000B36E1"/>
    <w:rsid w:val="000B3767"/>
    <w:rsid w:val="000B43E3"/>
    <w:rsid w:val="000B5099"/>
    <w:rsid w:val="000B513D"/>
    <w:rsid w:val="000C0E2D"/>
    <w:rsid w:val="000C11CE"/>
    <w:rsid w:val="000C1C8A"/>
    <w:rsid w:val="000C229F"/>
    <w:rsid w:val="000C39D4"/>
    <w:rsid w:val="000C40E3"/>
    <w:rsid w:val="000C6061"/>
    <w:rsid w:val="000C735E"/>
    <w:rsid w:val="000C745E"/>
    <w:rsid w:val="000D3F43"/>
    <w:rsid w:val="000E0768"/>
    <w:rsid w:val="000E0C83"/>
    <w:rsid w:val="000E2143"/>
    <w:rsid w:val="000E619B"/>
    <w:rsid w:val="000E63B0"/>
    <w:rsid w:val="000F007B"/>
    <w:rsid w:val="000F1D58"/>
    <w:rsid w:val="000F31FD"/>
    <w:rsid w:val="000F57AB"/>
    <w:rsid w:val="00101576"/>
    <w:rsid w:val="0010311A"/>
    <w:rsid w:val="00106243"/>
    <w:rsid w:val="0010692D"/>
    <w:rsid w:val="00107F82"/>
    <w:rsid w:val="0011070E"/>
    <w:rsid w:val="001136B4"/>
    <w:rsid w:val="00120E27"/>
    <w:rsid w:val="00121B5E"/>
    <w:rsid w:val="0012223B"/>
    <w:rsid w:val="0012452D"/>
    <w:rsid w:val="00125811"/>
    <w:rsid w:val="001270CE"/>
    <w:rsid w:val="0012793C"/>
    <w:rsid w:val="00130FCC"/>
    <w:rsid w:val="00137BAC"/>
    <w:rsid w:val="00137FAE"/>
    <w:rsid w:val="001406EF"/>
    <w:rsid w:val="001455AD"/>
    <w:rsid w:val="00160956"/>
    <w:rsid w:val="00161EA9"/>
    <w:rsid w:val="00163401"/>
    <w:rsid w:val="0016607D"/>
    <w:rsid w:val="001660F1"/>
    <w:rsid w:val="00166D53"/>
    <w:rsid w:val="001672AA"/>
    <w:rsid w:val="00167894"/>
    <w:rsid w:val="0017051B"/>
    <w:rsid w:val="00171011"/>
    <w:rsid w:val="00172318"/>
    <w:rsid w:val="00172A39"/>
    <w:rsid w:val="001746C1"/>
    <w:rsid w:val="00175D08"/>
    <w:rsid w:val="001828C7"/>
    <w:rsid w:val="00184C81"/>
    <w:rsid w:val="001851F3"/>
    <w:rsid w:val="00190408"/>
    <w:rsid w:val="001909B8"/>
    <w:rsid w:val="001926A6"/>
    <w:rsid w:val="00193EBA"/>
    <w:rsid w:val="00197692"/>
    <w:rsid w:val="00197F0D"/>
    <w:rsid w:val="001A177B"/>
    <w:rsid w:val="001A1816"/>
    <w:rsid w:val="001A55FD"/>
    <w:rsid w:val="001A7FBD"/>
    <w:rsid w:val="001B1382"/>
    <w:rsid w:val="001B2EE0"/>
    <w:rsid w:val="001B477C"/>
    <w:rsid w:val="001B651B"/>
    <w:rsid w:val="001C0AE6"/>
    <w:rsid w:val="001C16CC"/>
    <w:rsid w:val="001C242D"/>
    <w:rsid w:val="001C3789"/>
    <w:rsid w:val="001C7D33"/>
    <w:rsid w:val="001D3CEF"/>
    <w:rsid w:val="001D618E"/>
    <w:rsid w:val="001E3C47"/>
    <w:rsid w:val="001F0DF5"/>
    <w:rsid w:val="001F50E7"/>
    <w:rsid w:val="001F6740"/>
    <w:rsid w:val="001F686B"/>
    <w:rsid w:val="00201CA3"/>
    <w:rsid w:val="00213AC4"/>
    <w:rsid w:val="00215406"/>
    <w:rsid w:val="002159C0"/>
    <w:rsid w:val="00216D00"/>
    <w:rsid w:val="0022438F"/>
    <w:rsid w:val="00224768"/>
    <w:rsid w:val="002302FD"/>
    <w:rsid w:val="00231537"/>
    <w:rsid w:val="00231A8F"/>
    <w:rsid w:val="00240237"/>
    <w:rsid w:val="00242311"/>
    <w:rsid w:val="0024409D"/>
    <w:rsid w:val="0024445C"/>
    <w:rsid w:val="002516A2"/>
    <w:rsid w:val="002616D4"/>
    <w:rsid w:val="00264483"/>
    <w:rsid w:val="002761E0"/>
    <w:rsid w:val="00282819"/>
    <w:rsid w:val="002833A5"/>
    <w:rsid w:val="00287B81"/>
    <w:rsid w:val="0029154A"/>
    <w:rsid w:val="00291FEB"/>
    <w:rsid w:val="002A0086"/>
    <w:rsid w:val="002A0D8E"/>
    <w:rsid w:val="002A29DD"/>
    <w:rsid w:val="002A3720"/>
    <w:rsid w:val="002A4AD8"/>
    <w:rsid w:val="002A5709"/>
    <w:rsid w:val="002B025C"/>
    <w:rsid w:val="002B4F18"/>
    <w:rsid w:val="002B70F2"/>
    <w:rsid w:val="002C343C"/>
    <w:rsid w:val="002C38D3"/>
    <w:rsid w:val="002C3C59"/>
    <w:rsid w:val="002C47DB"/>
    <w:rsid w:val="002C695B"/>
    <w:rsid w:val="002C69DE"/>
    <w:rsid w:val="002C7CE9"/>
    <w:rsid w:val="002D1F52"/>
    <w:rsid w:val="002D4BEE"/>
    <w:rsid w:val="002D6792"/>
    <w:rsid w:val="002E4A3D"/>
    <w:rsid w:val="002E5367"/>
    <w:rsid w:val="002E54F1"/>
    <w:rsid w:val="002E5DEC"/>
    <w:rsid w:val="002F1EA4"/>
    <w:rsid w:val="002F2502"/>
    <w:rsid w:val="002F7659"/>
    <w:rsid w:val="00300628"/>
    <w:rsid w:val="00300B40"/>
    <w:rsid w:val="00302277"/>
    <w:rsid w:val="003027C1"/>
    <w:rsid w:val="00315DF0"/>
    <w:rsid w:val="0031725F"/>
    <w:rsid w:val="0031738C"/>
    <w:rsid w:val="00321EF2"/>
    <w:rsid w:val="00322118"/>
    <w:rsid w:val="003221B6"/>
    <w:rsid w:val="00326CDD"/>
    <w:rsid w:val="00332FE5"/>
    <w:rsid w:val="00335D02"/>
    <w:rsid w:val="003367F4"/>
    <w:rsid w:val="00341251"/>
    <w:rsid w:val="00341E6E"/>
    <w:rsid w:val="003425D4"/>
    <w:rsid w:val="00343950"/>
    <w:rsid w:val="00343C84"/>
    <w:rsid w:val="00345CCF"/>
    <w:rsid w:val="00352A01"/>
    <w:rsid w:val="00352E81"/>
    <w:rsid w:val="00354770"/>
    <w:rsid w:val="0035514A"/>
    <w:rsid w:val="00355D5B"/>
    <w:rsid w:val="00360FF2"/>
    <w:rsid w:val="003631C4"/>
    <w:rsid w:val="00364DA3"/>
    <w:rsid w:val="0036537E"/>
    <w:rsid w:val="003703AC"/>
    <w:rsid w:val="00371249"/>
    <w:rsid w:val="003716F7"/>
    <w:rsid w:val="0037254F"/>
    <w:rsid w:val="003753E3"/>
    <w:rsid w:val="00377ED4"/>
    <w:rsid w:val="00382966"/>
    <w:rsid w:val="003847F4"/>
    <w:rsid w:val="0038556C"/>
    <w:rsid w:val="00385A19"/>
    <w:rsid w:val="00390500"/>
    <w:rsid w:val="003940D3"/>
    <w:rsid w:val="003941FF"/>
    <w:rsid w:val="00394958"/>
    <w:rsid w:val="00395906"/>
    <w:rsid w:val="00396222"/>
    <w:rsid w:val="00396860"/>
    <w:rsid w:val="003A1769"/>
    <w:rsid w:val="003A1C71"/>
    <w:rsid w:val="003C161F"/>
    <w:rsid w:val="003C76FF"/>
    <w:rsid w:val="003D4AAD"/>
    <w:rsid w:val="003D4FFA"/>
    <w:rsid w:val="003D77C8"/>
    <w:rsid w:val="003E267F"/>
    <w:rsid w:val="003E5CC7"/>
    <w:rsid w:val="003E7705"/>
    <w:rsid w:val="003E7C4E"/>
    <w:rsid w:val="003F0EAC"/>
    <w:rsid w:val="003F1C5F"/>
    <w:rsid w:val="003F2DCE"/>
    <w:rsid w:val="003F58D4"/>
    <w:rsid w:val="003F5A09"/>
    <w:rsid w:val="003F5E92"/>
    <w:rsid w:val="003F709B"/>
    <w:rsid w:val="00400947"/>
    <w:rsid w:val="00406FDA"/>
    <w:rsid w:val="004072C9"/>
    <w:rsid w:val="0041192C"/>
    <w:rsid w:val="00414FD9"/>
    <w:rsid w:val="004167D8"/>
    <w:rsid w:val="00416AC4"/>
    <w:rsid w:val="00417168"/>
    <w:rsid w:val="004218F4"/>
    <w:rsid w:val="00424659"/>
    <w:rsid w:val="00433C77"/>
    <w:rsid w:val="004347FE"/>
    <w:rsid w:val="00434C27"/>
    <w:rsid w:val="004360FA"/>
    <w:rsid w:val="004373E9"/>
    <w:rsid w:val="0043790C"/>
    <w:rsid w:val="00440EC4"/>
    <w:rsid w:val="00441905"/>
    <w:rsid w:val="00442891"/>
    <w:rsid w:val="00445E44"/>
    <w:rsid w:val="00450AD6"/>
    <w:rsid w:val="00460C2E"/>
    <w:rsid w:val="00461275"/>
    <w:rsid w:val="00462413"/>
    <w:rsid w:val="00462784"/>
    <w:rsid w:val="00462DA0"/>
    <w:rsid w:val="00464593"/>
    <w:rsid w:val="00466562"/>
    <w:rsid w:val="00467227"/>
    <w:rsid w:val="0046728E"/>
    <w:rsid w:val="0047122D"/>
    <w:rsid w:val="00474F1F"/>
    <w:rsid w:val="00475369"/>
    <w:rsid w:val="004769AC"/>
    <w:rsid w:val="004778BA"/>
    <w:rsid w:val="00477B6D"/>
    <w:rsid w:val="00483268"/>
    <w:rsid w:val="004842F3"/>
    <w:rsid w:val="00492544"/>
    <w:rsid w:val="00493DB3"/>
    <w:rsid w:val="0049407C"/>
    <w:rsid w:val="00496673"/>
    <w:rsid w:val="004A3D05"/>
    <w:rsid w:val="004A55D8"/>
    <w:rsid w:val="004A65FD"/>
    <w:rsid w:val="004B3662"/>
    <w:rsid w:val="004B493B"/>
    <w:rsid w:val="004B50C3"/>
    <w:rsid w:val="004C15CC"/>
    <w:rsid w:val="004C45D9"/>
    <w:rsid w:val="004C5671"/>
    <w:rsid w:val="004C6629"/>
    <w:rsid w:val="004C7655"/>
    <w:rsid w:val="004D0A39"/>
    <w:rsid w:val="004D0D52"/>
    <w:rsid w:val="004D2172"/>
    <w:rsid w:val="004D3536"/>
    <w:rsid w:val="004D4CF1"/>
    <w:rsid w:val="004D7269"/>
    <w:rsid w:val="004D72EA"/>
    <w:rsid w:val="004E15D4"/>
    <w:rsid w:val="004E7FB8"/>
    <w:rsid w:val="004F1221"/>
    <w:rsid w:val="004F2386"/>
    <w:rsid w:val="004F2E58"/>
    <w:rsid w:val="004F4912"/>
    <w:rsid w:val="004F6B2F"/>
    <w:rsid w:val="00500E99"/>
    <w:rsid w:val="00501A98"/>
    <w:rsid w:val="005036F3"/>
    <w:rsid w:val="00503E91"/>
    <w:rsid w:val="0050699C"/>
    <w:rsid w:val="00510754"/>
    <w:rsid w:val="00515DB7"/>
    <w:rsid w:val="0051604A"/>
    <w:rsid w:val="00517EB2"/>
    <w:rsid w:val="00517F57"/>
    <w:rsid w:val="00522924"/>
    <w:rsid w:val="005234B6"/>
    <w:rsid w:val="00524EE2"/>
    <w:rsid w:val="00527A1F"/>
    <w:rsid w:val="00530ADB"/>
    <w:rsid w:val="00537389"/>
    <w:rsid w:val="00540B5F"/>
    <w:rsid w:val="005441AF"/>
    <w:rsid w:val="00544320"/>
    <w:rsid w:val="00544CB4"/>
    <w:rsid w:val="00545E9C"/>
    <w:rsid w:val="00551059"/>
    <w:rsid w:val="005524F5"/>
    <w:rsid w:val="0055263B"/>
    <w:rsid w:val="00557899"/>
    <w:rsid w:val="005703FC"/>
    <w:rsid w:val="005740FD"/>
    <w:rsid w:val="00581D9F"/>
    <w:rsid w:val="00582CB9"/>
    <w:rsid w:val="005835B1"/>
    <w:rsid w:val="00584094"/>
    <w:rsid w:val="005846CD"/>
    <w:rsid w:val="0059045D"/>
    <w:rsid w:val="00594679"/>
    <w:rsid w:val="005973D9"/>
    <w:rsid w:val="005A1FF7"/>
    <w:rsid w:val="005A43F1"/>
    <w:rsid w:val="005A54B0"/>
    <w:rsid w:val="005A5EDC"/>
    <w:rsid w:val="005A782C"/>
    <w:rsid w:val="005B1543"/>
    <w:rsid w:val="005B22A3"/>
    <w:rsid w:val="005B26E9"/>
    <w:rsid w:val="005B2D3E"/>
    <w:rsid w:val="005B3CCB"/>
    <w:rsid w:val="005B6881"/>
    <w:rsid w:val="005B6DD7"/>
    <w:rsid w:val="005C0222"/>
    <w:rsid w:val="005C1654"/>
    <w:rsid w:val="005C75B6"/>
    <w:rsid w:val="005D42F7"/>
    <w:rsid w:val="005D6DF6"/>
    <w:rsid w:val="005E2AB9"/>
    <w:rsid w:val="005E735A"/>
    <w:rsid w:val="005F2F13"/>
    <w:rsid w:val="005F546D"/>
    <w:rsid w:val="005F76CC"/>
    <w:rsid w:val="006026FE"/>
    <w:rsid w:val="006053F9"/>
    <w:rsid w:val="00610873"/>
    <w:rsid w:val="006113D2"/>
    <w:rsid w:val="006119F0"/>
    <w:rsid w:val="00611E45"/>
    <w:rsid w:val="006122D6"/>
    <w:rsid w:val="00613433"/>
    <w:rsid w:val="00614F12"/>
    <w:rsid w:val="00616540"/>
    <w:rsid w:val="00616CE4"/>
    <w:rsid w:val="00621CEB"/>
    <w:rsid w:val="00630599"/>
    <w:rsid w:val="006315F0"/>
    <w:rsid w:val="00637922"/>
    <w:rsid w:val="00644879"/>
    <w:rsid w:val="00646FC0"/>
    <w:rsid w:val="006505F8"/>
    <w:rsid w:val="00655366"/>
    <w:rsid w:val="006554FA"/>
    <w:rsid w:val="00660575"/>
    <w:rsid w:val="00662ACC"/>
    <w:rsid w:val="0066422E"/>
    <w:rsid w:val="00665245"/>
    <w:rsid w:val="00667272"/>
    <w:rsid w:val="006679D9"/>
    <w:rsid w:val="0067216C"/>
    <w:rsid w:val="00673B08"/>
    <w:rsid w:val="00674617"/>
    <w:rsid w:val="00681AA8"/>
    <w:rsid w:val="00685790"/>
    <w:rsid w:val="0069087D"/>
    <w:rsid w:val="00690C00"/>
    <w:rsid w:val="006930A9"/>
    <w:rsid w:val="00693E9D"/>
    <w:rsid w:val="00695AAA"/>
    <w:rsid w:val="0069674E"/>
    <w:rsid w:val="00697BD6"/>
    <w:rsid w:val="006A54CA"/>
    <w:rsid w:val="006A7076"/>
    <w:rsid w:val="006B4448"/>
    <w:rsid w:val="006B6696"/>
    <w:rsid w:val="006B6AB5"/>
    <w:rsid w:val="006B783F"/>
    <w:rsid w:val="006C04A7"/>
    <w:rsid w:val="006C59DD"/>
    <w:rsid w:val="006C6E24"/>
    <w:rsid w:val="006C6E6C"/>
    <w:rsid w:val="006C7159"/>
    <w:rsid w:val="006D163C"/>
    <w:rsid w:val="006D1C16"/>
    <w:rsid w:val="006D23A7"/>
    <w:rsid w:val="006D6A81"/>
    <w:rsid w:val="006E3342"/>
    <w:rsid w:val="006E77DE"/>
    <w:rsid w:val="006E7DDC"/>
    <w:rsid w:val="006F00FE"/>
    <w:rsid w:val="006F2B4A"/>
    <w:rsid w:val="006F5FBF"/>
    <w:rsid w:val="006F741F"/>
    <w:rsid w:val="006F7EF6"/>
    <w:rsid w:val="00702D65"/>
    <w:rsid w:val="00707F28"/>
    <w:rsid w:val="00712165"/>
    <w:rsid w:val="00714BCA"/>
    <w:rsid w:val="007157BC"/>
    <w:rsid w:val="00716670"/>
    <w:rsid w:val="007211A4"/>
    <w:rsid w:val="007237DF"/>
    <w:rsid w:val="00725ED4"/>
    <w:rsid w:val="00735DA2"/>
    <w:rsid w:val="0073658D"/>
    <w:rsid w:val="00740013"/>
    <w:rsid w:val="00741457"/>
    <w:rsid w:val="00741C36"/>
    <w:rsid w:val="007436A2"/>
    <w:rsid w:val="00746CDC"/>
    <w:rsid w:val="007473C3"/>
    <w:rsid w:val="0075027C"/>
    <w:rsid w:val="00751587"/>
    <w:rsid w:val="007602C8"/>
    <w:rsid w:val="0076132F"/>
    <w:rsid w:val="007613F1"/>
    <w:rsid w:val="00765592"/>
    <w:rsid w:val="007655E8"/>
    <w:rsid w:val="007707E5"/>
    <w:rsid w:val="0077350D"/>
    <w:rsid w:val="00774CF1"/>
    <w:rsid w:val="00781C63"/>
    <w:rsid w:val="00781FC3"/>
    <w:rsid w:val="0078744D"/>
    <w:rsid w:val="007906E3"/>
    <w:rsid w:val="00791991"/>
    <w:rsid w:val="00795BB2"/>
    <w:rsid w:val="007B1FCE"/>
    <w:rsid w:val="007B2078"/>
    <w:rsid w:val="007B35BA"/>
    <w:rsid w:val="007C4B83"/>
    <w:rsid w:val="007C63E1"/>
    <w:rsid w:val="007C7E29"/>
    <w:rsid w:val="007D352C"/>
    <w:rsid w:val="007D5DC5"/>
    <w:rsid w:val="007D6C92"/>
    <w:rsid w:val="007E0FE0"/>
    <w:rsid w:val="007E1F21"/>
    <w:rsid w:val="007E543E"/>
    <w:rsid w:val="007E62E2"/>
    <w:rsid w:val="007E7326"/>
    <w:rsid w:val="007F2F89"/>
    <w:rsid w:val="007F4004"/>
    <w:rsid w:val="007F41A9"/>
    <w:rsid w:val="007F663D"/>
    <w:rsid w:val="007F6F17"/>
    <w:rsid w:val="00803EDB"/>
    <w:rsid w:val="00804993"/>
    <w:rsid w:val="00805A77"/>
    <w:rsid w:val="00805D30"/>
    <w:rsid w:val="0081779E"/>
    <w:rsid w:val="00821EFD"/>
    <w:rsid w:val="00822A84"/>
    <w:rsid w:val="0082757A"/>
    <w:rsid w:val="00831F51"/>
    <w:rsid w:val="00832F81"/>
    <w:rsid w:val="00834AED"/>
    <w:rsid w:val="00836F09"/>
    <w:rsid w:val="008416DB"/>
    <w:rsid w:val="00842346"/>
    <w:rsid w:val="0084319B"/>
    <w:rsid w:val="00843D5A"/>
    <w:rsid w:val="0085046F"/>
    <w:rsid w:val="0085361C"/>
    <w:rsid w:val="00864D04"/>
    <w:rsid w:val="00865925"/>
    <w:rsid w:val="0086794E"/>
    <w:rsid w:val="00870CED"/>
    <w:rsid w:val="008710FA"/>
    <w:rsid w:val="00871C3B"/>
    <w:rsid w:val="0087497F"/>
    <w:rsid w:val="00881BB2"/>
    <w:rsid w:val="0088252B"/>
    <w:rsid w:val="008828CB"/>
    <w:rsid w:val="0088470D"/>
    <w:rsid w:val="0089044D"/>
    <w:rsid w:val="0089135B"/>
    <w:rsid w:val="008A2E57"/>
    <w:rsid w:val="008A72D8"/>
    <w:rsid w:val="008A7DEE"/>
    <w:rsid w:val="008B0544"/>
    <w:rsid w:val="008B17D9"/>
    <w:rsid w:val="008B3309"/>
    <w:rsid w:val="008B3475"/>
    <w:rsid w:val="008B5CC0"/>
    <w:rsid w:val="008C0A77"/>
    <w:rsid w:val="008C0B7F"/>
    <w:rsid w:val="008C4254"/>
    <w:rsid w:val="008C4521"/>
    <w:rsid w:val="008C5A95"/>
    <w:rsid w:val="008E08A9"/>
    <w:rsid w:val="008E51D6"/>
    <w:rsid w:val="008E6A7A"/>
    <w:rsid w:val="008E7F5F"/>
    <w:rsid w:val="008F01BC"/>
    <w:rsid w:val="008F1228"/>
    <w:rsid w:val="008F32A5"/>
    <w:rsid w:val="008F4A83"/>
    <w:rsid w:val="008F6378"/>
    <w:rsid w:val="009000B6"/>
    <w:rsid w:val="0090149E"/>
    <w:rsid w:val="00901765"/>
    <w:rsid w:val="009025B2"/>
    <w:rsid w:val="00906CC4"/>
    <w:rsid w:val="009110E2"/>
    <w:rsid w:val="00913AC8"/>
    <w:rsid w:val="00915569"/>
    <w:rsid w:val="009242EC"/>
    <w:rsid w:val="00924CEF"/>
    <w:rsid w:val="009307EC"/>
    <w:rsid w:val="00933201"/>
    <w:rsid w:val="00934A0D"/>
    <w:rsid w:val="00935C42"/>
    <w:rsid w:val="00944385"/>
    <w:rsid w:val="00944D0C"/>
    <w:rsid w:val="00950749"/>
    <w:rsid w:val="00955BB2"/>
    <w:rsid w:val="009659B1"/>
    <w:rsid w:val="00972B75"/>
    <w:rsid w:val="00975E4C"/>
    <w:rsid w:val="00980447"/>
    <w:rsid w:val="00982D0F"/>
    <w:rsid w:val="00984D40"/>
    <w:rsid w:val="009907DD"/>
    <w:rsid w:val="00990D75"/>
    <w:rsid w:val="00992B22"/>
    <w:rsid w:val="0099399A"/>
    <w:rsid w:val="0099778A"/>
    <w:rsid w:val="00997821"/>
    <w:rsid w:val="009A1E77"/>
    <w:rsid w:val="009A2035"/>
    <w:rsid w:val="009A2FF3"/>
    <w:rsid w:val="009A5620"/>
    <w:rsid w:val="009A7462"/>
    <w:rsid w:val="009B1698"/>
    <w:rsid w:val="009B2FF5"/>
    <w:rsid w:val="009C0394"/>
    <w:rsid w:val="009C38B8"/>
    <w:rsid w:val="009C4119"/>
    <w:rsid w:val="009C7103"/>
    <w:rsid w:val="009D19E4"/>
    <w:rsid w:val="009D1BF1"/>
    <w:rsid w:val="009D3177"/>
    <w:rsid w:val="009D4DA6"/>
    <w:rsid w:val="009D6B00"/>
    <w:rsid w:val="009D7951"/>
    <w:rsid w:val="009D7961"/>
    <w:rsid w:val="009E2B63"/>
    <w:rsid w:val="009E5077"/>
    <w:rsid w:val="009E54B5"/>
    <w:rsid w:val="009E676E"/>
    <w:rsid w:val="009F3060"/>
    <w:rsid w:val="009F7B44"/>
    <w:rsid w:val="009F7DE0"/>
    <w:rsid w:val="00A00603"/>
    <w:rsid w:val="00A013D2"/>
    <w:rsid w:val="00A10245"/>
    <w:rsid w:val="00A1240F"/>
    <w:rsid w:val="00A1346B"/>
    <w:rsid w:val="00A14083"/>
    <w:rsid w:val="00A142AD"/>
    <w:rsid w:val="00A15B60"/>
    <w:rsid w:val="00A243FE"/>
    <w:rsid w:val="00A255A6"/>
    <w:rsid w:val="00A30027"/>
    <w:rsid w:val="00A3391A"/>
    <w:rsid w:val="00A3474A"/>
    <w:rsid w:val="00A36137"/>
    <w:rsid w:val="00A4122D"/>
    <w:rsid w:val="00A43B72"/>
    <w:rsid w:val="00A44AF6"/>
    <w:rsid w:val="00A50045"/>
    <w:rsid w:val="00A53062"/>
    <w:rsid w:val="00A535A0"/>
    <w:rsid w:val="00A54429"/>
    <w:rsid w:val="00A565AD"/>
    <w:rsid w:val="00A608F3"/>
    <w:rsid w:val="00A60B22"/>
    <w:rsid w:val="00A61026"/>
    <w:rsid w:val="00A62837"/>
    <w:rsid w:val="00A65D43"/>
    <w:rsid w:val="00A704DD"/>
    <w:rsid w:val="00A75088"/>
    <w:rsid w:val="00A75B04"/>
    <w:rsid w:val="00A76000"/>
    <w:rsid w:val="00A77AF5"/>
    <w:rsid w:val="00A80FCD"/>
    <w:rsid w:val="00A81956"/>
    <w:rsid w:val="00A86CDC"/>
    <w:rsid w:val="00A90785"/>
    <w:rsid w:val="00A91A81"/>
    <w:rsid w:val="00A920BF"/>
    <w:rsid w:val="00AA0E0A"/>
    <w:rsid w:val="00AA1648"/>
    <w:rsid w:val="00AA1CA8"/>
    <w:rsid w:val="00AA2E74"/>
    <w:rsid w:val="00AA447D"/>
    <w:rsid w:val="00AA6345"/>
    <w:rsid w:val="00AB2369"/>
    <w:rsid w:val="00AB35D7"/>
    <w:rsid w:val="00AB5544"/>
    <w:rsid w:val="00AC06EF"/>
    <w:rsid w:val="00AC32FA"/>
    <w:rsid w:val="00AC671C"/>
    <w:rsid w:val="00AD36B2"/>
    <w:rsid w:val="00AE0A6F"/>
    <w:rsid w:val="00AE200A"/>
    <w:rsid w:val="00AF09E3"/>
    <w:rsid w:val="00AF18B9"/>
    <w:rsid w:val="00AF2BBA"/>
    <w:rsid w:val="00AF3B3F"/>
    <w:rsid w:val="00AF5B4F"/>
    <w:rsid w:val="00B00D01"/>
    <w:rsid w:val="00B00F70"/>
    <w:rsid w:val="00B01867"/>
    <w:rsid w:val="00B01B41"/>
    <w:rsid w:val="00B07259"/>
    <w:rsid w:val="00B10247"/>
    <w:rsid w:val="00B11267"/>
    <w:rsid w:val="00B11610"/>
    <w:rsid w:val="00B11C16"/>
    <w:rsid w:val="00B22300"/>
    <w:rsid w:val="00B27D1C"/>
    <w:rsid w:val="00B30387"/>
    <w:rsid w:val="00B31342"/>
    <w:rsid w:val="00B31503"/>
    <w:rsid w:val="00B32C36"/>
    <w:rsid w:val="00B425B1"/>
    <w:rsid w:val="00B44A5F"/>
    <w:rsid w:val="00B525FA"/>
    <w:rsid w:val="00B53D02"/>
    <w:rsid w:val="00B54582"/>
    <w:rsid w:val="00B553CC"/>
    <w:rsid w:val="00B56CAB"/>
    <w:rsid w:val="00B6035A"/>
    <w:rsid w:val="00B6157C"/>
    <w:rsid w:val="00B641A2"/>
    <w:rsid w:val="00B65B3D"/>
    <w:rsid w:val="00B664AD"/>
    <w:rsid w:val="00B77714"/>
    <w:rsid w:val="00B8303C"/>
    <w:rsid w:val="00B842EF"/>
    <w:rsid w:val="00B9334E"/>
    <w:rsid w:val="00B94B8B"/>
    <w:rsid w:val="00B95536"/>
    <w:rsid w:val="00B95A2E"/>
    <w:rsid w:val="00BB09EE"/>
    <w:rsid w:val="00BB1E2F"/>
    <w:rsid w:val="00BB7FDA"/>
    <w:rsid w:val="00BC190E"/>
    <w:rsid w:val="00BC5363"/>
    <w:rsid w:val="00BD2590"/>
    <w:rsid w:val="00BD74A2"/>
    <w:rsid w:val="00BD77B8"/>
    <w:rsid w:val="00BE2DAC"/>
    <w:rsid w:val="00BE42E4"/>
    <w:rsid w:val="00BE458C"/>
    <w:rsid w:val="00BE5F78"/>
    <w:rsid w:val="00BF2EA5"/>
    <w:rsid w:val="00BF4C46"/>
    <w:rsid w:val="00BF5DF6"/>
    <w:rsid w:val="00BF72CF"/>
    <w:rsid w:val="00C001D2"/>
    <w:rsid w:val="00C03EF1"/>
    <w:rsid w:val="00C04953"/>
    <w:rsid w:val="00C11734"/>
    <w:rsid w:val="00C11CE7"/>
    <w:rsid w:val="00C1459C"/>
    <w:rsid w:val="00C16037"/>
    <w:rsid w:val="00C17C18"/>
    <w:rsid w:val="00C216DB"/>
    <w:rsid w:val="00C23C26"/>
    <w:rsid w:val="00C2498A"/>
    <w:rsid w:val="00C26358"/>
    <w:rsid w:val="00C2752B"/>
    <w:rsid w:val="00C31FE8"/>
    <w:rsid w:val="00C3285A"/>
    <w:rsid w:val="00C32A1D"/>
    <w:rsid w:val="00C34A9F"/>
    <w:rsid w:val="00C356D9"/>
    <w:rsid w:val="00C41415"/>
    <w:rsid w:val="00C41D55"/>
    <w:rsid w:val="00C43BA8"/>
    <w:rsid w:val="00C47F9D"/>
    <w:rsid w:val="00C5181E"/>
    <w:rsid w:val="00C52EBC"/>
    <w:rsid w:val="00C537D7"/>
    <w:rsid w:val="00C54588"/>
    <w:rsid w:val="00C5482F"/>
    <w:rsid w:val="00C5489F"/>
    <w:rsid w:val="00C56A55"/>
    <w:rsid w:val="00C60DBC"/>
    <w:rsid w:val="00C61CDF"/>
    <w:rsid w:val="00C62983"/>
    <w:rsid w:val="00C650AF"/>
    <w:rsid w:val="00C73D84"/>
    <w:rsid w:val="00C7416B"/>
    <w:rsid w:val="00C7561F"/>
    <w:rsid w:val="00C77611"/>
    <w:rsid w:val="00C83A65"/>
    <w:rsid w:val="00C85173"/>
    <w:rsid w:val="00C85DF8"/>
    <w:rsid w:val="00C86993"/>
    <w:rsid w:val="00C870FF"/>
    <w:rsid w:val="00C875A5"/>
    <w:rsid w:val="00C87B0B"/>
    <w:rsid w:val="00C87C2F"/>
    <w:rsid w:val="00C87F09"/>
    <w:rsid w:val="00C926D5"/>
    <w:rsid w:val="00C96D9E"/>
    <w:rsid w:val="00CA1EF7"/>
    <w:rsid w:val="00CA2985"/>
    <w:rsid w:val="00CA49D9"/>
    <w:rsid w:val="00CA6FDE"/>
    <w:rsid w:val="00CA7A9E"/>
    <w:rsid w:val="00CD2E9F"/>
    <w:rsid w:val="00CD310E"/>
    <w:rsid w:val="00CD41FE"/>
    <w:rsid w:val="00CD7C3F"/>
    <w:rsid w:val="00CE1825"/>
    <w:rsid w:val="00CE3282"/>
    <w:rsid w:val="00CE3F8F"/>
    <w:rsid w:val="00CF0FCF"/>
    <w:rsid w:val="00CF1A74"/>
    <w:rsid w:val="00CF5E7B"/>
    <w:rsid w:val="00D003D9"/>
    <w:rsid w:val="00D031E4"/>
    <w:rsid w:val="00D03CF8"/>
    <w:rsid w:val="00D053F2"/>
    <w:rsid w:val="00D110D8"/>
    <w:rsid w:val="00D24559"/>
    <w:rsid w:val="00D35570"/>
    <w:rsid w:val="00D41C60"/>
    <w:rsid w:val="00D41E0D"/>
    <w:rsid w:val="00D44901"/>
    <w:rsid w:val="00D454CF"/>
    <w:rsid w:val="00D5502A"/>
    <w:rsid w:val="00D55D5F"/>
    <w:rsid w:val="00D60716"/>
    <w:rsid w:val="00D638CC"/>
    <w:rsid w:val="00D64E83"/>
    <w:rsid w:val="00D65F0C"/>
    <w:rsid w:val="00D66231"/>
    <w:rsid w:val="00D76457"/>
    <w:rsid w:val="00D7653E"/>
    <w:rsid w:val="00D76EF1"/>
    <w:rsid w:val="00D80D03"/>
    <w:rsid w:val="00D822EC"/>
    <w:rsid w:val="00D82B23"/>
    <w:rsid w:val="00D837B0"/>
    <w:rsid w:val="00D83FD1"/>
    <w:rsid w:val="00D84545"/>
    <w:rsid w:val="00D9333E"/>
    <w:rsid w:val="00D93817"/>
    <w:rsid w:val="00D9540B"/>
    <w:rsid w:val="00D95563"/>
    <w:rsid w:val="00DA0E9D"/>
    <w:rsid w:val="00DA5608"/>
    <w:rsid w:val="00DB350D"/>
    <w:rsid w:val="00DB4FC3"/>
    <w:rsid w:val="00DB67FF"/>
    <w:rsid w:val="00DC2D44"/>
    <w:rsid w:val="00DC7A1E"/>
    <w:rsid w:val="00DC7F53"/>
    <w:rsid w:val="00DD081B"/>
    <w:rsid w:val="00DD584D"/>
    <w:rsid w:val="00DD676C"/>
    <w:rsid w:val="00DD7137"/>
    <w:rsid w:val="00DD77F8"/>
    <w:rsid w:val="00DE3003"/>
    <w:rsid w:val="00DE4FBB"/>
    <w:rsid w:val="00DF088A"/>
    <w:rsid w:val="00DF3899"/>
    <w:rsid w:val="00DF532F"/>
    <w:rsid w:val="00DF6717"/>
    <w:rsid w:val="00DF6B5F"/>
    <w:rsid w:val="00DF7885"/>
    <w:rsid w:val="00E0002D"/>
    <w:rsid w:val="00E011C9"/>
    <w:rsid w:val="00E01283"/>
    <w:rsid w:val="00E02DAD"/>
    <w:rsid w:val="00E03E68"/>
    <w:rsid w:val="00E05823"/>
    <w:rsid w:val="00E11E94"/>
    <w:rsid w:val="00E168BD"/>
    <w:rsid w:val="00E21A00"/>
    <w:rsid w:val="00E21B30"/>
    <w:rsid w:val="00E22A3F"/>
    <w:rsid w:val="00E22BCB"/>
    <w:rsid w:val="00E24FE1"/>
    <w:rsid w:val="00E30766"/>
    <w:rsid w:val="00E30CEE"/>
    <w:rsid w:val="00E34B2F"/>
    <w:rsid w:val="00E34F8C"/>
    <w:rsid w:val="00E44410"/>
    <w:rsid w:val="00E45E6E"/>
    <w:rsid w:val="00E46919"/>
    <w:rsid w:val="00E46E20"/>
    <w:rsid w:val="00E47FEF"/>
    <w:rsid w:val="00E5392E"/>
    <w:rsid w:val="00E5540E"/>
    <w:rsid w:val="00E63625"/>
    <w:rsid w:val="00E641C3"/>
    <w:rsid w:val="00E65682"/>
    <w:rsid w:val="00E67442"/>
    <w:rsid w:val="00E70FE0"/>
    <w:rsid w:val="00E75FF2"/>
    <w:rsid w:val="00E8032D"/>
    <w:rsid w:val="00E82768"/>
    <w:rsid w:val="00E82DB1"/>
    <w:rsid w:val="00E85851"/>
    <w:rsid w:val="00E92152"/>
    <w:rsid w:val="00E92A5A"/>
    <w:rsid w:val="00E94176"/>
    <w:rsid w:val="00E95A78"/>
    <w:rsid w:val="00E96E46"/>
    <w:rsid w:val="00EA1EDC"/>
    <w:rsid w:val="00EA251E"/>
    <w:rsid w:val="00EA5BDF"/>
    <w:rsid w:val="00EA7639"/>
    <w:rsid w:val="00EC03D4"/>
    <w:rsid w:val="00EC0C8B"/>
    <w:rsid w:val="00EC2D2B"/>
    <w:rsid w:val="00EC2E5E"/>
    <w:rsid w:val="00EC7E35"/>
    <w:rsid w:val="00ED27F6"/>
    <w:rsid w:val="00ED5518"/>
    <w:rsid w:val="00ED77AF"/>
    <w:rsid w:val="00EE06C1"/>
    <w:rsid w:val="00EE0CE9"/>
    <w:rsid w:val="00EE4F10"/>
    <w:rsid w:val="00EE5101"/>
    <w:rsid w:val="00EE5FB5"/>
    <w:rsid w:val="00EF2458"/>
    <w:rsid w:val="00EF3DDF"/>
    <w:rsid w:val="00EF540F"/>
    <w:rsid w:val="00F04147"/>
    <w:rsid w:val="00F04B9F"/>
    <w:rsid w:val="00F057EC"/>
    <w:rsid w:val="00F0690F"/>
    <w:rsid w:val="00F06BB0"/>
    <w:rsid w:val="00F06DC8"/>
    <w:rsid w:val="00F0758D"/>
    <w:rsid w:val="00F07F95"/>
    <w:rsid w:val="00F10071"/>
    <w:rsid w:val="00F135C5"/>
    <w:rsid w:val="00F139EA"/>
    <w:rsid w:val="00F14449"/>
    <w:rsid w:val="00F14AF4"/>
    <w:rsid w:val="00F1559C"/>
    <w:rsid w:val="00F1739E"/>
    <w:rsid w:val="00F17F1F"/>
    <w:rsid w:val="00F279D9"/>
    <w:rsid w:val="00F3006E"/>
    <w:rsid w:val="00F3288D"/>
    <w:rsid w:val="00F339C4"/>
    <w:rsid w:val="00F344A6"/>
    <w:rsid w:val="00F40C03"/>
    <w:rsid w:val="00F43A5E"/>
    <w:rsid w:val="00F509E6"/>
    <w:rsid w:val="00F5243C"/>
    <w:rsid w:val="00F53EA1"/>
    <w:rsid w:val="00F5451B"/>
    <w:rsid w:val="00F57ECE"/>
    <w:rsid w:val="00F60086"/>
    <w:rsid w:val="00F62921"/>
    <w:rsid w:val="00F63A16"/>
    <w:rsid w:val="00F63DA3"/>
    <w:rsid w:val="00F64E76"/>
    <w:rsid w:val="00F67C6F"/>
    <w:rsid w:val="00F71BE8"/>
    <w:rsid w:val="00F74DCF"/>
    <w:rsid w:val="00F75192"/>
    <w:rsid w:val="00F75225"/>
    <w:rsid w:val="00F77529"/>
    <w:rsid w:val="00F77854"/>
    <w:rsid w:val="00F80F79"/>
    <w:rsid w:val="00F81557"/>
    <w:rsid w:val="00F8496E"/>
    <w:rsid w:val="00F926AC"/>
    <w:rsid w:val="00F93D69"/>
    <w:rsid w:val="00F93D91"/>
    <w:rsid w:val="00F94CF5"/>
    <w:rsid w:val="00F9625A"/>
    <w:rsid w:val="00FA35D9"/>
    <w:rsid w:val="00FA4B1A"/>
    <w:rsid w:val="00FA68C3"/>
    <w:rsid w:val="00FB71EA"/>
    <w:rsid w:val="00FC0AF1"/>
    <w:rsid w:val="00FC49DA"/>
    <w:rsid w:val="00FC7386"/>
    <w:rsid w:val="00FD0D38"/>
    <w:rsid w:val="00FD3218"/>
    <w:rsid w:val="00FD3A5C"/>
    <w:rsid w:val="00FD57D3"/>
    <w:rsid w:val="00FD6D85"/>
    <w:rsid w:val="00FD71D5"/>
    <w:rsid w:val="00FE30AE"/>
    <w:rsid w:val="00FE45CC"/>
    <w:rsid w:val="00FE62D1"/>
    <w:rsid w:val="00FE6F61"/>
    <w:rsid w:val="00FF0077"/>
    <w:rsid w:val="00FF27A9"/>
    <w:rsid w:val="00FF30D7"/>
    <w:rsid w:val="00FF6A0C"/>
    <w:rsid w:val="00FF78D3"/>
    <w:rsid w:val="073D31FE"/>
    <w:rsid w:val="08436857"/>
    <w:rsid w:val="11856B2E"/>
    <w:rsid w:val="13A46752"/>
    <w:rsid w:val="143F579C"/>
    <w:rsid w:val="14726477"/>
    <w:rsid w:val="1827B2D5"/>
    <w:rsid w:val="1A1E6D69"/>
    <w:rsid w:val="1B3E0655"/>
    <w:rsid w:val="1BA9C687"/>
    <w:rsid w:val="1BD417C5"/>
    <w:rsid w:val="1F8229C3"/>
    <w:rsid w:val="25DA1459"/>
    <w:rsid w:val="2A807095"/>
    <w:rsid w:val="2B563FA5"/>
    <w:rsid w:val="2FE7D7FE"/>
    <w:rsid w:val="31D668B9"/>
    <w:rsid w:val="321366D4"/>
    <w:rsid w:val="39FB24A2"/>
    <w:rsid w:val="3BFC3547"/>
    <w:rsid w:val="3BFFFF64"/>
    <w:rsid w:val="442962A2"/>
    <w:rsid w:val="490557B4"/>
    <w:rsid w:val="4A906ECA"/>
    <w:rsid w:val="4ED70203"/>
    <w:rsid w:val="51EC090F"/>
    <w:rsid w:val="556B1A12"/>
    <w:rsid w:val="55BC81C9"/>
    <w:rsid w:val="5AFB7B3C"/>
    <w:rsid w:val="5EE756D6"/>
    <w:rsid w:val="5FFB4F31"/>
    <w:rsid w:val="62B131DE"/>
    <w:rsid w:val="67C12384"/>
    <w:rsid w:val="67CE0712"/>
    <w:rsid w:val="6B6D613A"/>
    <w:rsid w:val="6EFAAE43"/>
    <w:rsid w:val="6F694A76"/>
    <w:rsid w:val="6FD131C7"/>
    <w:rsid w:val="6FDF26D2"/>
    <w:rsid w:val="708C58FC"/>
    <w:rsid w:val="70B97B74"/>
    <w:rsid w:val="72D8187A"/>
    <w:rsid w:val="77DC57AA"/>
    <w:rsid w:val="77FFFFEA"/>
    <w:rsid w:val="798A3877"/>
    <w:rsid w:val="7AED10D1"/>
    <w:rsid w:val="7B4C77FE"/>
    <w:rsid w:val="7D5E5865"/>
    <w:rsid w:val="7FB314E5"/>
    <w:rsid w:val="7FDE3EB0"/>
    <w:rsid w:val="A7DF1B9A"/>
    <w:rsid w:val="ABF80A4C"/>
    <w:rsid w:val="BA3EE543"/>
    <w:rsid w:val="BAD7AA7E"/>
    <w:rsid w:val="BF3F2D10"/>
    <w:rsid w:val="BFFBD715"/>
    <w:rsid w:val="CEDDA365"/>
    <w:rsid w:val="CFFFD391"/>
    <w:rsid w:val="E5F7319F"/>
    <w:rsid w:val="F9F7C29E"/>
    <w:rsid w:val="FD38922B"/>
    <w:rsid w:val="FDF74CF4"/>
    <w:rsid w:val="FF79EC62"/>
    <w:rsid w:val="FFFE4A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4"/>
    <w:qFormat/>
    <w:uiPriority w:val="9"/>
    <w:pPr>
      <w:keepNext/>
      <w:keepLines/>
      <w:numPr>
        <w:ilvl w:val="0"/>
        <w:numId w:val="1"/>
      </w:numPr>
      <w:spacing w:before="340" w:after="330" w:line="578" w:lineRule="auto"/>
      <w:outlineLvl w:val="0"/>
    </w:pPr>
    <w:rPr>
      <w:rFonts w:eastAsia="方正小标宋_GBK"/>
      <w:b/>
      <w:bCs/>
      <w:kern w:val="44"/>
      <w:sz w:val="32"/>
      <w:szCs w:val="44"/>
    </w:rPr>
  </w:style>
  <w:style w:type="paragraph" w:styleId="3">
    <w:name w:val="heading 2"/>
    <w:basedOn w:val="1"/>
    <w:next w:val="1"/>
    <w:link w:val="32"/>
    <w:unhideWhenUsed/>
    <w:qFormat/>
    <w:uiPriority w:val="9"/>
    <w:pPr>
      <w:keepNext/>
      <w:keepLines/>
      <w:numPr>
        <w:ilvl w:val="1"/>
        <w:numId w:val="1"/>
      </w:numPr>
      <w:spacing w:before="260" w:after="260" w:line="416" w:lineRule="auto"/>
      <w:outlineLvl w:val="1"/>
    </w:pPr>
    <w:rPr>
      <w:rFonts w:eastAsia="仿宋" w:asciiTheme="majorHAnsi" w:hAnsiTheme="majorHAnsi" w:cstheme="majorBidi"/>
      <w:b/>
      <w:bCs/>
      <w:sz w:val="28"/>
      <w:szCs w:val="32"/>
    </w:rPr>
  </w:style>
  <w:style w:type="paragraph" w:styleId="4">
    <w:name w:val="heading 3"/>
    <w:basedOn w:val="1"/>
    <w:next w:val="1"/>
    <w:link w:val="35"/>
    <w:unhideWhenUsed/>
    <w:qFormat/>
    <w:uiPriority w:val="9"/>
    <w:pPr>
      <w:keepNext/>
      <w:keepLines/>
      <w:numPr>
        <w:ilvl w:val="2"/>
        <w:numId w:val="1"/>
      </w:numPr>
      <w:spacing w:before="260" w:after="260" w:line="416" w:lineRule="auto"/>
      <w:outlineLvl w:val="2"/>
    </w:pPr>
    <w:rPr>
      <w:rFonts w:eastAsia="仿宋"/>
      <w:b/>
      <w:bCs/>
      <w:sz w:val="28"/>
      <w:szCs w:val="32"/>
    </w:rPr>
  </w:style>
  <w:style w:type="paragraph" w:styleId="5">
    <w:name w:val="heading 4"/>
    <w:basedOn w:val="1"/>
    <w:next w:val="1"/>
    <w:link w:val="36"/>
    <w:semiHidden/>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7"/>
    <w:semiHidden/>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38"/>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39"/>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0"/>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1"/>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50"/>
    <w:unhideWhenUsed/>
    <w:qFormat/>
    <w:uiPriority w:val="0"/>
    <w:pPr>
      <w:jc w:val="left"/>
    </w:pPr>
  </w:style>
  <w:style w:type="paragraph" w:styleId="12">
    <w:name w:val="Body Text"/>
    <w:basedOn w:val="1"/>
    <w:link w:val="55"/>
    <w:semiHidden/>
    <w:unhideWhenUsed/>
    <w:qFormat/>
    <w:uiPriority w:val="99"/>
    <w:pPr>
      <w:spacing w:after="120"/>
    </w:pPr>
  </w:style>
  <w:style w:type="paragraph" w:styleId="13">
    <w:name w:val="Body Text Indent"/>
    <w:basedOn w:val="1"/>
    <w:link w:val="44"/>
    <w:semiHidden/>
    <w:unhideWhenUsed/>
    <w:qFormat/>
    <w:uiPriority w:val="99"/>
    <w:pPr>
      <w:spacing w:after="120"/>
      <w:ind w:left="420" w:leftChars="200"/>
    </w:pPr>
  </w:style>
  <w:style w:type="paragraph" w:styleId="14">
    <w:name w:val="toc 3"/>
    <w:basedOn w:val="1"/>
    <w:next w:val="1"/>
    <w:unhideWhenUsed/>
    <w:qFormat/>
    <w:uiPriority w:val="39"/>
    <w:pPr>
      <w:ind w:left="840" w:leftChars="400"/>
    </w:pPr>
  </w:style>
  <w:style w:type="paragraph" w:styleId="15">
    <w:name w:val="Balloon Text"/>
    <w:basedOn w:val="1"/>
    <w:link w:val="43"/>
    <w:semiHidden/>
    <w:unhideWhenUsed/>
    <w:qFormat/>
    <w:uiPriority w:val="99"/>
    <w:rPr>
      <w:sz w:val="18"/>
      <w:szCs w:val="18"/>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style>
  <w:style w:type="paragraph" w:styleId="19">
    <w:name w:val="footnote text"/>
    <w:basedOn w:val="1"/>
    <w:link w:val="53"/>
    <w:unhideWhenUsed/>
    <w:qFormat/>
    <w:uiPriority w:val="99"/>
    <w:pPr>
      <w:snapToGrid w:val="0"/>
      <w:jc w:val="left"/>
    </w:pPr>
    <w:rPr>
      <w:rFonts w:ascii="Calibri" w:hAnsi="Calibri" w:eastAsia="宋体" w:cs="Times New Roman"/>
      <w:sz w:val="18"/>
      <w:szCs w:val="18"/>
    </w:rPr>
  </w:style>
  <w:style w:type="paragraph" w:styleId="20">
    <w:name w:val="toc 2"/>
    <w:basedOn w:val="1"/>
    <w:next w:val="1"/>
    <w:unhideWhenUsed/>
    <w:qFormat/>
    <w:uiPriority w:val="39"/>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eastAsia="宋体" w:cs="Times New Roman"/>
      <w:color w:val="000000"/>
      <w:kern w:val="0"/>
      <w:sz w:val="24"/>
      <w:szCs w:val="24"/>
    </w:rPr>
  </w:style>
  <w:style w:type="paragraph" w:styleId="22">
    <w:name w:val="annotation subject"/>
    <w:basedOn w:val="11"/>
    <w:next w:val="11"/>
    <w:link w:val="51"/>
    <w:semiHidden/>
    <w:unhideWhenUsed/>
    <w:qFormat/>
    <w:uiPriority w:val="99"/>
    <w:rPr>
      <w:b/>
      <w:bCs/>
    </w:rPr>
  </w:style>
  <w:style w:type="paragraph" w:styleId="23">
    <w:name w:val="Body Text First Indent 2"/>
    <w:basedOn w:val="13"/>
    <w:link w:val="45"/>
    <w:qFormat/>
    <w:uiPriority w:val="0"/>
    <w:pPr>
      <w:spacing w:line="360" w:lineRule="auto"/>
      <w:ind w:firstLine="420" w:firstLineChars="200"/>
    </w:pPr>
    <w:rPr>
      <w:rFonts w:ascii="Times New Roman" w:hAnsi="Times New Roman" w:eastAsia="宋体" w:cs="Times New Roman"/>
      <w:sz w:val="24"/>
      <w:szCs w:val="24"/>
      <w:lang w:val="zh-CN"/>
    </w:rPr>
  </w:style>
  <w:style w:type="table" w:styleId="25">
    <w:name w:val="Table Grid"/>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Hyperlink"/>
    <w:basedOn w:val="26"/>
    <w:unhideWhenUsed/>
    <w:qFormat/>
    <w:uiPriority w:val="99"/>
    <w:rPr>
      <w:color w:val="0000FF" w:themeColor="hyperlink"/>
      <w:u w:val="single"/>
      <w14:textFill>
        <w14:solidFill>
          <w14:schemeClr w14:val="hlink"/>
        </w14:solidFill>
      </w14:textFill>
    </w:rPr>
  </w:style>
  <w:style w:type="character" w:styleId="28">
    <w:name w:val="annotation reference"/>
    <w:basedOn w:val="26"/>
    <w:unhideWhenUsed/>
    <w:qFormat/>
    <w:uiPriority w:val="0"/>
    <w:rPr>
      <w:sz w:val="21"/>
      <w:szCs w:val="21"/>
    </w:rPr>
  </w:style>
  <w:style w:type="character" w:customStyle="1" w:styleId="29">
    <w:name w:val="页眉 字符"/>
    <w:basedOn w:val="26"/>
    <w:link w:val="17"/>
    <w:qFormat/>
    <w:uiPriority w:val="99"/>
    <w:rPr>
      <w:sz w:val="18"/>
      <w:szCs w:val="18"/>
    </w:rPr>
  </w:style>
  <w:style w:type="character" w:customStyle="1" w:styleId="30">
    <w:name w:val="页脚 字符"/>
    <w:basedOn w:val="26"/>
    <w:link w:val="16"/>
    <w:qFormat/>
    <w:uiPriority w:val="99"/>
    <w:rPr>
      <w:sz w:val="18"/>
      <w:szCs w:val="18"/>
    </w:rPr>
  </w:style>
  <w:style w:type="paragraph" w:styleId="31">
    <w:name w:val="List Paragraph"/>
    <w:basedOn w:val="1"/>
    <w:link w:val="46"/>
    <w:qFormat/>
    <w:uiPriority w:val="34"/>
    <w:pPr>
      <w:ind w:firstLine="420" w:firstLineChars="200"/>
    </w:pPr>
  </w:style>
  <w:style w:type="character" w:customStyle="1" w:styleId="32">
    <w:name w:val="标题 2 字符"/>
    <w:basedOn w:val="26"/>
    <w:link w:val="3"/>
    <w:qFormat/>
    <w:uiPriority w:val="9"/>
    <w:rPr>
      <w:rFonts w:eastAsia="仿宋" w:asciiTheme="majorHAnsi" w:hAnsiTheme="majorHAnsi" w:cstheme="majorBidi"/>
      <w:b/>
      <w:bCs/>
      <w:kern w:val="2"/>
      <w:sz w:val="28"/>
      <w:szCs w:val="32"/>
    </w:rPr>
  </w:style>
  <w:style w:type="paragraph" w:customStyle="1" w:styleId="33">
    <w:name w:val="1册标题3"/>
    <w:basedOn w:val="1"/>
    <w:next w:val="1"/>
    <w:qFormat/>
    <w:uiPriority w:val="0"/>
    <w:pPr>
      <w:spacing w:line="360" w:lineRule="exact"/>
    </w:pPr>
    <w:rPr>
      <w:rFonts w:ascii="宋体" w:hAnsi="宋体" w:eastAsia="宋体" w:cs="Times New Roman"/>
      <w:szCs w:val="21"/>
    </w:rPr>
  </w:style>
  <w:style w:type="character" w:customStyle="1" w:styleId="34">
    <w:name w:val="标题 1 字符"/>
    <w:basedOn w:val="26"/>
    <w:link w:val="2"/>
    <w:qFormat/>
    <w:uiPriority w:val="9"/>
    <w:rPr>
      <w:rFonts w:eastAsia="方正小标宋_GBK"/>
      <w:b/>
      <w:bCs/>
      <w:kern w:val="44"/>
      <w:sz w:val="32"/>
      <w:szCs w:val="44"/>
    </w:rPr>
  </w:style>
  <w:style w:type="character" w:customStyle="1" w:styleId="35">
    <w:name w:val="标题 3 字符"/>
    <w:basedOn w:val="26"/>
    <w:link w:val="4"/>
    <w:qFormat/>
    <w:uiPriority w:val="9"/>
    <w:rPr>
      <w:rFonts w:eastAsia="仿宋"/>
      <w:b/>
      <w:bCs/>
      <w:sz w:val="28"/>
      <w:szCs w:val="32"/>
    </w:rPr>
  </w:style>
  <w:style w:type="character" w:customStyle="1" w:styleId="36">
    <w:name w:val="标题 4 字符"/>
    <w:basedOn w:val="26"/>
    <w:link w:val="5"/>
    <w:semiHidden/>
    <w:qFormat/>
    <w:uiPriority w:val="9"/>
    <w:rPr>
      <w:rFonts w:asciiTheme="majorHAnsi" w:hAnsiTheme="majorHAnsi" w:eastAsiaTheme="majorEastAsia" w:cstheme="majorBidi"/>
      <w:b/>
      <w:bCs/>
      <w:sz w:val="28"/>
      <w:szCs w:val="28"/>
    </w:rPr>
  </w:style>
  <w:style w:type="character" w:customStyle="1" w:styleId="37">
    <w:name w:val="标题 5 字符"/>
    <w:basedOn w:val="26"/>
    <w:link w:val="6"/>
    <w:semiHidden/>
    <w:qFormat/>
    <w:uiPriority w:val="9"/>
    <w:rPr>
      <w:b/>
      <w:bCs/>
      <w:sz w:val="28"/>
      <w:szCs w:val="28"/>
    </w:rPr>
  </w:style>
  <w:style w:type="character" w:customStyle="1" w:styleId="38">
    <w:name w:val="标题 6 字符"/>
    <w:basedOn w:val="26"/>
    <w:link w:val="7"/>
    <w:semiHidden/>
    <w:qFormat/>
    <w:uiPriority w:val="9"/>
    <w:rPr>
      <w:rFonts w:asciiTheme="majorHAnsi" w:hAnsiTheme="majorHAnsi" w:eastAsiaTheme="majorEastAsia" w:cstheme="majorBidi"/>
      <w:b/>
      <w:bCs/>
      <w:sz w:val="24"/>
      <w:szCs w:val="24"/>
    </w:rPr>
  </w:style>
  <w:style w:type="character" w:customStyle="1" w:styleId="39">
    <w:name w:val="标题 7 字符"/>
    <w:basedOn w:val="26"/>
    <w:link w:val="8"/>
    <w:semiHidden/>
    <w:qFormat/>
    <w:uiPriority w:val="9"/>
    <w:rPr>
      <w:b/>
      <w:bCs/>
      <w:sz w:val="24"/>
      <w:szCs w:val="24"/>
    </w:rPr>
  </w:style>
  <w:style w:type="character" w:customStyle="1" w:styleId="40">
    <w:name w:val="标题 8 字符"/>
    <w:basedOn w:val="26"/>
    <w:link w:val="9"/>
    <w:semiHidden/>
    <w:qFormat/>
    <w:uiPriority w:val="9"/>
    <w:rPr>
      <w:rFonts w:asciiTheme="majorHAnsi" w:hAnsiTheme="majorHAnsi" w:eastAsiaTheme="majorEastAsia" w:cstheme="majorBidi"/>
      <w:sz w:val="24"/>
      <w:szCs w:val="24"/>
    </w:rPr>
  </w:style>
  <w:style w:type="character" w:customStyle="1" w:styleId="41">
    <w:name w:val="标题 9 字符"/>
    <w:basedOn w:val="26"/>
    <w:link w:val="10"/>
    <w:semiHidden/>
    <w:qFormat/>
    <w:uiPriority w:val="9"/>
    <w:rPr>
      <w:rFonts w:asciiTheme="majorHAnsi" w:hAnsiTheme="majorHAnsi" w:eastAsiaTheme="majorEastAsia" w:cstheme="majorBidi"/>
      <w:szCs w:val="21"/>
    </w:rPr>
  </w:style>
  <w:style w:type="paragraph" w:customStyle="1" w:styleId="42">
    <w:name w:val="TOC 标题1"/>
    <w:basedOn w:val="2"/>
    <w:next w:val="1"/>
    <w:semiHidden/>
    <w:unhideWhenUsed/>
    <w:qFormat/>
    <w:uiPriority w:val="39"/>
    <w:pPr>
      <w:widowControl/>
      <w:numPr>
        <w:numId w:val="0"/>
      </w:numPr>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3">
    <w:name w:val="批注框文本 字符"/>
    <w:basedOn w:val="26"/>
    <w:link w:val="15"/>
    <w:semiHidden/>
    <w:qFormat/>
    <w:uiPriority w:val="99"/>
    <w:rPr>
      <w:sz w:val="18"/>
      <w:szCs w:val="18"/>
    </w:rPr>
  </w:style>
  <w:style w:type="character" w:customStyle="1" w:styleId="44">
    <w:name w:val="正文文本缩进 字符"/>
    <w:basedOn w:val="26"/>
    <w:link w:val="13"/>
    <w:semiHidden/>
    <w:qFormat/>
    <w:uiPriority w:val="99"/>
  </w:style>
  <w:style w:type="character" w:customStyle="1" w:styleId="45">
    <w:name w:val="正文文本首行缩进 2 字符"/>
    <w:basedOn w:val="44"/>
    <w:link w:val="23"/>
    <w:qFormat/>
    <w:uiPriority w:val="0"/>
    <w:rPr>
      <w:rFonts w:ascii="Times New Roman" w:hAnsi="Times New Roman" w:eastAsia="宋体" w:cs="Times New Roman"/>
      <w:sz w:val="24"/>
      <w:szCs w:val="24"/>
      <w:lang w:val="zh-CN"/>
    </w:rPr>
  </w:style>
  <w:style w:type="character" w:customStyle="1" w:styleId="46">
    <w:name w:val="列表段落 字符"/>
    <w:link w:val="31"/>
    <w:qFormat/>
    <w:uiPriority w:val="34"/>
  </w:style>
  <w:style w:type="paragraph" w:customStyle="1" w:styleId="4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8">
    <w:name w:val="*正文 Char"/>
    <w:link w:val="49"/>
    <w:qFormat/>
    <w:uiPriority w:val="0"/>
    <w:rPr>
      <w:rFonts w:ascii="time" w:hAnsi="time"/>
      <w:sz w:val="24"/>
      <w:szCs w:val="24"/>
      <w:lang w:bidi="en-US"/>
    </w:rPr>
  </w:style>
  <w:style w:type="paragraph" w:customStyle="1" w:styleId="49">
    <w:name w:val="*正文"/>
    <w:basedOn w:val="1"/>
    <w:link w:val="48"/>
    <w:qFormat/>
    <w:uiPriority w:val="0"/>
    <w:pPr>
      <w:widowControl/>
      <w:spacing w:line="360" w:lineRule="auto"/>
      <w:ind w:firstLine="200" w:firstLineChars="200"/>
      <w:contextualSpacing/>
    </w:pPr>
    <w:rPr>
      <w:rFonts w:ascii="time" w:hAnsi="time"/>
      <w:sz w:val="24"/>
      <w:szCs w:val="24"/>
      <w:lang w:bidi="en-US"/>
    </w:rPr>
  </w:style>
  <w:style w:type="character" w:customStyle="1" w:styleId="50">
    <w:name w:val="批注文字 字符"/>
    <w:basedOn w:val="26"/>
    <w:link w:val="11"/>
    <w:qFormat/>
    <w:uiPriority w:val="99"/>
  </w:style>
  <w:style w:type="character" w:customStyle="1" w:styleId="51">
    <w:name w:val="批注主题 字符"/>
    <w:basedOn w:val="50"/>
    <w:link w:val="22"/>
    <w:semiHidden/>
    <w:qFormat/>
    <w:uiPriority w:val="99"/>
    <w:rPr>
      <w:b/>
      <w:bCs/>
    </w:rPr>
  </w:style>
  <w:style w:type="character" w:customStyle="1" w:styleId="52">
    <w:name w:val="批注文字 字符1"/>
    <w:qFormat/>
    <w:uiPriority w:val="99"/>
    <w:rPr>
      <w:rFonts w:eastAsia="仿宋"/>
      <w:kern w:val="2"/>
      <w:sz w:val="28"/>
      <w:szCs w:val="24"/>
    </w:rPr>
  </w:style>
  <w:style w:type="character" w:customStyle="1" w:styleId="53">
    <w:name w:val="脚注文本 字符"/>
    <w:basedOn w:val="26"/>
    <w:link w:val="19"/>
    <w:qFormat/>
    <w:uiPriority w:val="99"/>
    <w:rPr>
      <w:rFonts w:ascii="Calibri" w:hAnsi="Calibri" w:eastAsia="宋体" w:cs="Times New Roman"/>
      <w:sz w:val="18"/>
      <w:szCs w:val="18"/>
    </w:rPr>
  </w:style>
  <w:style w:type="paragraph" w:customStyle="1" w:styleId="54">
    <w:name w:val="正文文字3"/>
    <w:basedOn w:val="12"/>
    <w:qFormat/>
    <w:uiPriority w:val="0"/>
    <w:pPr>
      <w:adjustRightInd w:val="0"/>
      <w:spacing w:after="0" w:line="360" w:lineRule="atLeast"/>
      <w:ind w:left="72" w:leftChars="30" w:right="72" w:rightChars="30"/>
      <w:textAlignment w:val="baseline"/>
    </w:pPr>
    <w:rPr>
      <w:rFonts w:ascii="Times New Roman" w:hAnsi="Times New Roman" w:eastAsia="宋体" w:cs="Times New Roman"/>
      <w:kern w:val="0"/>
      <w:szCs w:val="20"/>
    </w:rPr>
  </w:style>
  <w:style w:type="character" w:customStyle="1" w:styleId="55">
    <w:name w:val="正文文本 字符"/>
    <w:basedOn w:val="26"/>
    <w:link w:val="12"/>
    <w:semiHidden/>
    <w:qFormat/>
    <w:uiPriority w:val="99"/>
  </w:style>
  <w:style w:type="paragraph" w:customStyle="1" w:styleId="56">
    <w:name w:val="正文缩进1"/>
    <w:basedOn w:val="1"/>
    <w:qFormat/>
    <w:uiPriority w:val="0"/>
    <w:pPr>
      <w:ind w:firstLine="420"/>
    </w:pPr>
    <w:rPr>
      <w:rFonts w:ascii="Times New Roman" w:hAnsi="Times New Roman"/>
      <w:szCs w:val="20"/>
    </w:rPr>
  </w:style>
  <w:style w:type="paragraph" w:customStyle="1" w:styleId="57">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58">
    <w:name w:val="N"/>
    <w:basedOn w:val="1"/>
    <w:next w:val="1"/>
    <w:link w:val="63"/>
    <w:qFormat/>
    <w:uiPriority w:val="0"/>
    <w:pPr>
      <w:pageBreakBefore/>
      <w:numPr>
        <w:ilvl w:val="0"/>
        <w:numId w:val="2"/>
      </w:numPr>
      <w:spacing w:beforeLines="100" w:afterLines="100" w:line="720" w:lineRule="auto"/>
      <w:jc w:val="center"/>
      <w:outlineLvl w:val="0"/>
    </w:pPr>
    <w:rPr>
      <w:rFonts w:ascii="黑体" w:hAnsi="微软雅黑" w:eastAsia="微软雅黑" w:cs="Times New Roman"/>
      <w:b/>
      <w:sz w:val="44"/>
      <w:szCs w:val="44"/>
      <w:lang w:val="zh-CN"/>
    </w:rPr>
  </w:style>
  <w:style w:type="paragraph" w:customStyle="1" w:styleId="59">
    <w:name w:val="N.N"/>
    <w:basedOn w:val="1"/>
    <w:next w:val="1"/>
    <w:qFormat/>
    <w:uiPriority w:val="0"/>
    <w:pPr>
      <w:numPr>
        <w:ilvl w:val="1"/>
        <w:numId w:val="2"/>
      </w:numPr>
      <w:spacing w:line="720" w:lineRule="auto"/>
      <w:jc w:val="left"/>
      <w:outlineLvl w:val="1"/>
    </w:pPr>
    <w:rPr>
      <w:rFonts w:ascii="微软雅黑" w:hAnsi="微软雅黑" w:eastAsia="微软雅黑" w:cs="Times New Roman"/>
      <w:b/>
      <w:sz w:val="32"/>
      <w:szCs w:val="32"/>
      <w:lang w:val="zh-CN"/>
    </w:rPr>
  </w:style>
  <w:style w:type="paragraph" w:customStyle="1" w:styleId="60">
    <w:name w:val="N.N.N"/>
    <w:basedOn w:val="1"/>
    <w:next w:val="1"/>
    <w:qFormat/>
    <w:uiPriority w:val="0"/>
    <w:pPr>
      <w:numPr>
        <w:ilvl w:val="2"/>
        <w:numId w:val="2"/>
      </w:numPr>
      <w:spacing w:before="156" w:after="156" w:line="480" w:lineRule="auto"/>
      <w:jc w:val="left"/>
      <w:outlineLvl w:val="2"/>
    </w:pPr>
    <w:rPr>
      <w:rFonts w:ascii="微软雅黑" w:hAnsi="微软雅黑" w:eastAsia="微软雅黑" w:cs="Times New Roman"/>
      <w:b/>
      <w:sz w:val="28"/>
      <w:szCs w:val="28"/>
      <w:lang w:val="zh-CN"/>
    </w:rPr>
  </w:style>
  <w:style w:type="paragraph" w:customStyle="1" w:styleId="61">
    <w:name w:val="N.N.N.N"/>
    <w:basedOn w:val="1"/>
    <w:next w:val="1"/>
    <w:qFormat/>
    <w:uiPriority w:val="0"/>
    <w:pPr>
      <w:numPr>
        <w:ilvl w:val="3"/>
        <w:numId w:val="2"/>
      </w:numPr>
      <w:spacing w:beforeLines="50" w:afterLines="50" w:line="400" w:lineRule="exact"/>
      <w:ind w:right="240" w:rightChars="100"/>
      <w:jc w:val="left"/>
      <w:outlineLvl w:val="3"/>
    </w:pPr>
    <w:rPr>
      <w:rFonts w:ascii="微软雅黑" w:hAnsi="微软雅黑" w:eastAsia="微软雅黑" w:cs="Times New Roman"/>
      <w:b/>
      <w:sz w:val="24"/>
      <w:szCs w:val="28"/>
      <w:lang w:val="zh-CN"/>
    </w:rPr>
  </w:style>
  <w:style w:type="paragraph" w:customStyle="1" w:styleId="62">
    <w:name w:val="N.N.N.N.N"/>
    <w:basedOn w:val="1"/>
    <w:next w:val="1"/>
    <w:qFormat/>
    <w:uiPriority w:val="0"/>
    <w:pPr>
      <w:widowControl/>
      <w:numPr>
        <w:ilvl w:val="4"/>
        <w:numId w:val="2"/>
      </w:numPr>
      <w:spacing w:line="360" w:lineRule="auto"/>
      <w:jc w:val="left"/>
      <w:outlineLvl w:val="4"/>
    </w:pPr>
    <w:rPr>
      <w:rFonts w:ascii="微软雅黑" w:hAnsi="微软雅黑" w:eastAsia="微软雅黑" w:cs="Times New Roman"/>
      <w:b/>
      <w:sz w:val="24"/>
      <w:szCs w:val="21"/>
      <w:lang w:val="zh-CN"/>
    </w:rPr>
  </w:style>
  <w:style w:type="character" w:customStyle="1" w:styleId="63">
    <w:name w:val="N Char"/>
    <w:link w:val="58"/>
    <w:qFormat/>
    <w:uiPriority w:val="0"/>
    <w:rPr>
      <w:rFonts w:ascii="黑体" w:hAnsi="微软雅黑" w:eastAsia="微软雅黑" w:cs="Times New Roman"/>
      <w:b/>
      <w:kern w:val="2"/>
      <w:sz w:val="44"/>
      <w:szCs w:val="44"/>
      <w:lang w:val="zh-CN"/>
    </w:rPr>
  </w:style>
  <w:style w:type="paragraph" w:customStyle="1" w:styleId="64">
    <w:name w:val="修订3"/>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65">
    <w:name w:val="修订4"/>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66">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3943D0E9-2BA3-4E29-8472-5A76DABB3BDD}">
  <ds:schemaRefs/>
</ds:datastoreItem>
</file>

<file path=docProps/app.xml><?xml version="1.0" encoding="utf-8"?>
<Properties xmlns="http://schemas.openxmlformats.org/officeDocument/2006/extended-properties" xmlns:vt="http://schemas.openxmlformats.org/officeDocument/2006/docPropsVTypes">
  <Template>Normal</Template>
  <Pages>29</Pages>
  <Words>2125</Words>
  <Characters>12117</Characters>
  <Lines>100</Lines>
  <Paragraphs>28</Paragraphs>
  <TotalTime>24</TotalTime>
  <ScaleCrop>false</ScaleCrop>
  <LinksUpToDate>false</LinksUpToDate>
  <CharactersWithSpaces>14214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2025-11-30T08:12:00Z</dcterms:created>
  <dc:creator>ntko</dc:creator>
  <cp:lastModifiedBy>郭田恬</cp:lastModifiedBy>
  <cp:lastPrinted>2023-11-30T17:34:00Z</cp:lastPrinted>
  <dcterms:modified xsi:type="dcterms:W3CDTF">2025-12-19T09:35:04Z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830E5A0A10D08DDC46AB446932E7541E_43</vt:lpwstr>
  </property>
  <property fmtid="{D5CDD505-2E9C-101B-9397-08002B2CF9AE}" pid="4" name="KSOTemplateDocerSaveRecord">
    <vt:lpwstr>eyJoZGlkIjoiOGE5MzY2MzViNTJkNTM5NWJkMGYyYmIwMGI3MWY0YTYiLCJ1c2VySWQiOiI5NDg5MDY0MTIifQ==</vt:lpwstr>
  </property>
</Properties>
</file>