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8CC9B">
      <w:pPr>
        <w:jc w:val="center"/>
        <w:rPr>
          <w:rFonts w:ascii="方正小标宋简体" w:hAnsi="方正小标宋简体" w:eastAsia="方正小标宋简体"/>
          <w:i w:val="0"/>
          <w:iCs w:val="0"/>
          <w:sz w:val="36"/>
          <w:szCs w:val="36"/>
          <w:highlight w:val="none"/>
        </w:rPr>
      </w:pPr>
      <w:r>
        <w:rPr>
          <w:rFonts w:hint="eastAsia" w:ascii="方正小标宋简体" w:hAnsi="方正小标宋简体" w:eastAsia="方正小标宋简体"/>
          <w:i w:val="0"/>
          <w:iCs w:val="0"/>
          <w:sz w:val="36"/>
          <w:szCs w:val="36"/>
          <w:highlight w:val="none"/>
        </w:rPr>
        <w:t>世博会博物馆</w:t>
      </w:r>
      <w:r>
        <w:rPr>
          <w:rFonts w:hint="eastAsia" w:ascii="方正小标宋简体" w:hAnsi="方正小标宋简体" w:eastAsia="方正小标宋简体"/>
          <w:i w:val="0"/>
          <w:iCs w:val="0"/>
          <w:sz w:val="36"/>
          <w:szCs w:val="36"/>
          <w:highlight w:val="none"/>
          <w:lang w:val="en-US" w:eastAsia="zh-CN"/>
        </w:rPr>
        <w:t>2号临展厅</w:t>
      </w:r>
      <w:r>
        <w:rPr>
          <w:rFonts w:hint="eastAsia" w:ascii="方正小标宋简体" w:hAnsi="方正小标宋简体" w:eastAsia="方正小标宋简体"/>
          <w:i w:val="0"/>
          <w:iCs w:val="0"/>
          <w:sz w:val="36"/>
          <w:szCs w:val="36"/>
          <w:highlight w:val="none"/>
        </w:rPr>
        <w:t>展柜配置项目需求</w:t>
      </w:r>
    </w:p>
    <w:p w14:paraId="41212B36">
      <w:pPr>
        <w:spacing w:line="360" w:lineRule="auto"/>
        <w:rPr>
          <w:rFonts w:asciiTheme="minorEastAsia" w:hAnsiTheme="minorEastAsia"/>
          <w:i w:val="0"/>
          <w:iCs w:val="0"/>
          <w:sz w:val="24"/>
          <w:highlight w:val="none"/>
        </w:rPr>
      </w:pPr>
    </w:p>
    <w:p w14:paraId="179D22F4">
      <w:pPr>
        <w:spacing w:line="360" w:lineRule="auto"/>
        <w:rPr>
          <w:rFonts w:asciiTheme="minorEastAsia" w:hAnsiTheme="minorEastAsia"/>
          <w:b/>
          <w:bCs/>
          <w:i w:val="0"/>
          <w:iCs w:val="0"/>
          <w:sz w:val="24"/>
          <w:highlight w:val="none"/>
        </w:rPr>
      </w:pPr>
      <w:r>
        <w:rPr>
          <w:rFonts w:asciiTheme="minorEastAsia" w:hAnsiTheme="minorEastAsia"/>
          <w:b/>
          <w:bCs/>
          <w:i w:val="0"/>
          <w:iCs w:val="0"/>
          <w:sz w:val="24"/>
          <w:highlight w:val="none"/>
        </w:rPr>
        <w:t>一、</w:t>
      </w:r>
      <w:r>
        <w:rPr>
          <w:rFonts w:hint="eastAsia" w:asciiTheme="minorEastAsia" w:hAnsiTheme="minorEastAsia"/>
          <w:b/>
          <w:bCs/>
          <w:i w:val="0"/>
          <w:iCs w:val="0"/>
          <w:sz w:val="24"/>
          <w:highlight w:val="none"/>
        </w:rPr>
        <w:t>项目背景</w:t>
      </w:r>
    </w:p>
    <w:p w14:paraId="1003BB66">
      <w:pPr>
        <w:spacing w:line="360" w:lineRule="auto"/>
        <w:ind w:firstLine="480" w:firstLineChars="200"/>
        <w:rPr>
          <w:rFonts w:asciiTheme="minorEastAsia" w:hAnsiTheme="minorEastAsia"/>
          <w:i w:val="0"/>
          <w:iCs w:val="0"/>
          <w:sz w:val="24"/>
          <w:highlight w:val="none"/>
        </w:rPr>
      </w:pPr>
      <w:r>
        <w:rPr>
          <w:rFonts w:asciiTheme="minorEastAsia" w:hAnsiTheme="minorEastAsia"/>
          <w:i w:val="0"/>
          <w:iCs w:val="0"/>
          <w:sz w:val="24"/>
          <w:highlight w:val="none"/>
        </w:rPr>
        <w:t>上海世博会博物馆（以下简称“世博馆”）是上海市政府和国际展览局合作共建的公共文化设施，是上海市文旅局（文物局）主管、上海“十二五”规划的重点文化实施项目之一。自 2017 年建成开放以来，在传播世博精髓、促进国际交流、丰富市民精神文化需求方面发挥了重要作用。</w:t>
      </w:r>
    </w:p>
    <w:p w14:paraId="75525D0E">
      <w:pPr>
        <w:spacing w:line="360" w:lineRule="auto"/>
        <w:ind w:firstLine="480" w:firstLineChars="200"/>
        <w:rPr>
          <w:rFonts w:asciiTheme="minorEastAsia" w:hAnsiTheme="minorEastAsia"/>
          <w:i w:val="0"/>
          <w:iCs w:val="0"/>
          <w:sz w:val="24"/>
          <w:highlight w:val="none"/>
        </w:rPr>
      </w:pPr>
      <w:bookmarkStart w:id="0" w:name="OLE_LINK34"/>
      <w:bookmarkStart w:id="1" w:name="OLE_LINK33"/>
      <w:r>
        <w:rPr>
          <w:rFonts w:asciiTheme="minorEastAsia" w:hAnsiTheme="minorEastAsia"/>
          <w:i w:val="0"/>
          <w:iCs w:val="0"/>
          <w:sz w:val="24"/>
          <w:highlight w:val="none"/>
        </w:rPr>
        <w:t>世博馆</w:t>
      </w:r>
      <w:r>
        <w:rPr>
          <w:rFonts w:hint="eastAsia" w:asciiTheme="minorEastAsia" w:hAnsiTheme="minorEastAsia"/>
          <w:i w:val="0"/>
          <w:iCs w:val="0"/>
          <w:sz w:val="24"/>
          <w:highlight w:val="none"/>
        </w:rPr>
        <w:t>共有</w:t>
      </w:r>
      <w:r>
        <w:rPr>
          <w:rFonts w:asciiTheme="minorEastAsia" w:hAnsiTheme="minorEastAsia"/>
          <w:i w:val="0"/>
          <w:iCs w:val="0"/>
          <w:sz w:val="24"/>
          <w:highlight w:val="none"/>
        </w:rPr>
        <w:t>临展厅两个，</w:t>
      </w:r>
      <w:bookmarkStart w:id="2" w:name="OLE_LINK85"/>
      <w:r>
        <w:rPr>
          <w:rFonts w:asciiTheme="minorEastAsia" w:hAnsiTheme="minorEastAsia"/>
          <w:i w:val="0"/>
          <w:iCs w:val="0"/>
          <w:sz w:val="24"/>
          <w:highlight w:val="none"/>
        </w:rPr>
        <w:t>是举办各类特展、主题展，实现展陈内容更新、吸引公众重复参观、保持场馆活力的关键空间。</w:t>
      </w:r>
      <w:bookmarkEnd w:id="2"/>
      <w:r>
        <w:rPr>
          <w:rFonts w:asciiTheme="minorEastAsia" w:hAnsiTheme="minorEastAsia"/>
          <w:i w:val="0"/>
          <w:iCs w:val="0"/>
          <w:sz w:val="24"/>
          <w:highlight w:val="none"/>
        </w:rPr>
        <w:t>其中，1号临展厅917平方米、2号临展厅1270平方米。</w:t>
      </w:r>
      <w:bookmarkStart w:id="3" w:name="OLE_LINK141"/>
    </w:p>
    <w:p w14:paraId="2A3D0952">
      <w:pPr>
        <w:spacing w:line="360" w:lineRule="auto"/>
        <w:ind w:firstLine="480" w:firstLineChars="200"/>
        <w:rPr>
          <w:rFonts w:asciiTheme="minorEastAsia" w:hAnsiTheme="minorEastAsia"/>
          <w:i w:val="0"/>
          <w:iCs w:val="0"/>
          <w:sz w:val="24"/>
          <w:highlight w:val="none"/>
        </w:rPr>
      </w:pPr>
      <w:r>
        <w:rPr>
          <w:rFonts w:hint="eastAsia" w:asciiTheme="minorEastAsia" w:hAnsiTheme="minorEastAsia"/>
          <w:i w:val="0"/>
          <w:iCs w:val="0"/>
          <w:sz w:val="24"/>
          <w:highlight w:val="none"/>
        </w:rPr>
        <w:t>本项目旨在为2号临展厅</w:t>
      </w:r>
      <w:r>
        <w:rPr>
          <w:rFonts w:asciiTheme="minorEastAsia" w:hAnsiTheme="minorEastAsia"/>
          <w:i w:val="0"/>
          <w:iCs w:val="0"/>
          <w:sz w:val="24"/>
          <w:highlight w:val="none"/>
        </w:rPr>
        <w:t>配置文物展柜</w:t>
      </w:r>
      <w:r>
        <w:rPr>
          <w:rFonts w:hint="eastAsia" w:asciiTheme="minorEastAsia" w:hAnsiTheme="minorEastAsia"/>
          <w:i w:val="0"/>
          <w:iCs w:val="0"/>
          <w:sz w:val="24"/>
          <w:highlight w:val="none"/>
        </w:rPr>
        <w:t>，</w:t>
      </w:r>
      <w:r>
        <w:rPr>
          <w:rFonts w:asciiTheme="minorEastAsia" w:hAnsiTheme="minorEastAsia"/>
          <w:i w:val="0"/>
          <w:iCs w:val="0"/>
          <w:sz w:val="24"/>
          <w:highlight w:val="none"/>
        </w:rPr>
        <w:t>使其达到国家文物局关于文物临时展览安全要求的基础条件，具备独立承办文物展览的综合能力</w:t>
      </w:r>
      <w:r>
        <w:rPr>
          <w:rFonts w:hint="eastAsia" w:asciiTheme="minorEastAsia" w:hAnsiTheme="minorEastAsia"/>
          <w:i w:val="0"/>
          <w:iCs w:val="0"/>
          <w:sz w:val="24"/>
          <w:highlight w:val="none"/>
        </w:rPr>
        <w:t>。</w:t>
      </w:r>
    </w:p>
    <w:p w14:paraId="6E9CD2F6">
      <w:pPr>
        <w:spacing w:line="360" w:lineRule="auto"/>
        <w:ind w:firstLine="480" w:firstLineChars="200"/>
        <w:rPr>
          <w:rFonts w:asciiTheme="minorEastAsia" w:hAnsiTheme="minorEastAsia"/>
          <w:i w:val="0"/>
          <w:iCs w:val="0"/>
          <w:sz w:val="24"/>
          <w:highlight w:val="none"/>
        </w:rPr>
      </w:pPr>
    </w:p>
    <w:p w14:paraId="1E6B64D9">
      <w:pPr>
        <w:numPr>
          <w:ilvl w:val="0"/>
          <w:numId w:val="1"/>
        </w:numPr>
        <w:spacing w:line="360" w:lineRule="auto"/>
        <w:rPr>
          <w:rFonts w:asciiTheme="minorEastAsia" w:hAnsiTheme="minorEastAsia"/>
          <w:b/>
          <w:bCs/>
          <w:i w:val="0"/>
          <w:iCs w:val="0"/>
          <w:sz w:val="24"/>
          <w:highlight w:val="none"/>
        </w:rPr>
      </w:pPr>
      <w:r>
        <w:rPr>
          <w:rFonts w:hint="eastAsia" w:asciiTheme="minorEastAsia" w:hAnsiTheme="minorEastAsia"/>
          <w:b/>
          <w:bCs/>
          <w:i w:val="0"/>
          <w:iCs w:val="0"/>
          <w:sz w:val="24"/>
          <w:highlight w:val="none"/>
        </w:rPr>
        <w:t>项目实施内容</w:t>
      </w:r>
    </w:p>
    <w:p w14:paraId="1FD702CB">
      <w:pPr>
        <w:spacing w:line="360" w:lineRule="auto"/>
        <w:ind w:firstLine="480" w:firstLineChars="200"/>
        <w:rPr>
          <w:rFonts w:asciiTheme="minorEastAsia" w:hAnsiTheme="minorEastAsia"/>
          <w:i w:val="0"/>
          <w:iCs w:val="0"/>
          <w:sz w:val="24"/>
          <w:highlight w:val="none"/>
        </w:rPr>
      </w:pPr>
      <w:r>
        <w:rPr>
          <w:rFonts w:hint="eastAsia" w:asciiTheme="minorEastAsia" w:hAnsiTheme="minorEastAsia"/>
          <w:i w:val="0"/>
          <w:iCs w:val="0"/>
          <w:sz w:val="24"/>
          <w:highlight w:val="none"/>
        </w:rPr>
        <w:t>1、</w:t>
      </w:r>
      <w:r>
        <w:rPr>
          <w:rFonts w:asciiTheme="minorEastAsia" w:hAnsiTheme="minorEastAsia"/>
          <w:i w:val="0"/>
          <w:iCs w:val="0"/>
          <w:sz w:val="24"/>
          <w:highlight w:val="none"/>
        </w:rPr>
        <w:t>拟</w:t>
      </w:r>
      <w:r>
        <w:rPr>
          <w:rFonts w:hint="eastAsia" w:asciiTheme="minorEastAsia" w:hAnsiTheme="minorEastAsia"/>
          <w:i w:val="0"/>
          <w:iCs w:val="0"/>
          <w:sz w:val="24"/>
          <w:highlight w:val="none"/>
          <w:lang w:val="en-US" w:eastAsia="zh-CN"/>
        </w:rPr>
        <w:t>为2号临展厅</w:t>
      </w:r>
      <w:r>
        <w:rPr>
          <w:rFonts w:asciiTheme="minorEastAsia" w:hAnsiTheme="minorEastAsia"/>
          <w:i w:val="0"/>
          <w:iCs w:val="0"/>
          <w:sz w:val="24"/>
          <w:highlight w:val="none"/>
        </w:rPr>
        <w:t>配置</w:t>
      </w:r>
      <w:r>
        <w:rPr>
          <w:rFonts w:hint="eastAsia" w:asciiTheme="minorEastAsia" w:hAnsiTheme="minorEastAsia"/>
          <w:i w:val="0"/>
          <w:iCs w:val="0"/>
          <w:sz w:val="24"/>
          <w:highlight w:val="none"/>
          <w:lang w:val="en-US" w:eastAsia="zh-CN"/>
        </w:rPr>
        <w:t>沿墙通柜和中心独立柜，</w:t>
      </w:r>
      <w:r>
        <w:rPr>
          <w:rFonts w:asciiTheme="minorEastAsia" w:hAnsiTheme="minorEastAsia"/>
          <w:i w:val="0"/>
          <w:iCs w:val="0"/>
          <w:sz w:val="24"/>
          <w:highlight w:val="none"/>
        </w:rPr>
        <w:t>包括沿墙通柜、</w:t>
      </w:r>
      <w:r>
        <w:rPr>
          <w:rFonts w:hint="eastAsia" w:asciiTheme="minorEastAsia" w:hAnsiTheme="minorEastAsia"/>
          <w:i w:val="0"/>
          <w:iCs w:val="0"/>
          <w:sz w:val="24"/>
          <w:highlight w:val="none"/>
          <w:lang w:val="en-US" w:eastAsia="zh-CN"/>
        </w:rPr>
        <w:t>模块化平柜、80型模块化中心独立柜、100型中心独立柜及长形独立柜</w:t>
      </w:r>
      <w:r>
        <w:rPr>
          <w:rFonts w:asciiTheme="minorEastAsia" w:hAnsiTheme="minorEastAsia"/>
          <w:i w:val="0"/>
          <w:iCs w:val="0"/>
          <w:sz w:val="24"/>
          <w:highlight w:val="none"/>
        </w:rPr>
        <w:t>等多种形式，满足不同类型文物的陈列需求。所有展柜均采用低反</w:t>
      </w:r>
      <w:r>
        <w:rPr>
          <w:rFonts w:hint="eastAsia" w:asciiTheme="minorEastAsia" w:hAnsiTheme="minorEastAsia"/>
          <w:i w:val="0"/>
          <w:iCs w:val="0"/>
          <w:sz w:val="24"/>
          <w:highlight w:val="none"/>
          <w:lang w:val="en-US" w:eastAsia="zh-CN"/>
        </w:rPr>
        <w:t>抗弯夹层</w:t>
      </w:r>
      <w:r>
        <w:rPr>
          <w:rFonts w:asciiTheme="minorEastAsia" w:hAnsiTheme="minorEastAsia"/>
          <w:i w:val="0"/>
          <w:iCs w:val="0"/>
          <w:sz w:val="24"/>
          <w:highlight w:val="none"/>
        </w:rPr>
        <w:t>玻璃、</w:t>
      </w:r>
      <w:r>
        <w:rPr>
          <w:rFonts w:hint="eastAsia" w:asciiTheme="minorEastAsia" w:hAnsiTheme="minorEastAsia"/>
          <w:i w:val="0"/>
          <w:iCs w:val="0"/>
          <w:sz w:val="24"/>
          <w:highlight w:val="none"/>
        </w:rPr>
        <w:t>金属</w:t>
      </w:r>
      <w:r>
        <w:rPr>
          <w:rFonts w:asciiTheme="minorEastAsia" w:hAnsiTheme="minorEastAsia"/>
          <w:i w:val="0"/>
          <w:iCs w:val="0"/>
          <w:sz w:val="24"/>
          <w:highlight w:val="none"/>
        </w:rPr>
        <w:t>框架结构，配备柜内文物照明专用灯具，展柜密封性能满足密封展柜的要求（换气率≤0.5d</w:t>
      </w:r>
      <w:r>
        <w:rPr>
          <w:rFonts w:ascii="Cambria Math" w:hAnsi="Cambria Math" w:cs="Cambria Math"/>
          <w:i w:val="0"/>
          <w:iCs w:val="0"/>
          <w:sz w:val="24"/>
          <w:highlight w:val="none"/>
        </w:rPr>
        <w:t>⁻</w:t>
      </w:r>
      <w:r>
        <w:rPr>
          <w:rFonts w:asciiTheme="minorEastAsia" w:hAnsiTheme="minorEastAsia"/>
          <w:i w:val="0"/>
          <w:iCs w:val="0"/>
          <w:sz w:val="24"/>
          <w:highlight w:val="none"/>
        </w:rPr>
        <w:t>¹）。每组展柜预留</w:t>
      </w:r>
      <w:r>
        <w:rPr>
          <w:rFonts w:hint="eastAsia" w:asciiTheme="minorEastAsia" w:hAnsiTheme="minorEastAsia"/>
          <w:i w:val="0"/>
          <w:iCs w:val="0"/>
          <w:sz w:val="24"/>
          <w:highlight w:val="none"/>
        </w:rPr>
        <w:t>环境设备机位和接口</w:t>
      </w:r>
      <w:r>
        <w:rPr>
          <w:rFonts w:hint="eastAsia" w:asciiTheme="minorEastAsia" w:hAnsiTheme="minorEastAsia"/>
          <w:i w:val="0"/>
          <w:iCs w:val="0"/>
          <w:sz w:val="24"/>
          <w:highlight w:val="none"/>
          <w:lang w:val="en-US" w:eastAsia="zh-CN"/>
        </w:rPr>
        <w:t>或设置恒湿剂抽屉</w:t>
      </w:r>
      <w:r>
        <w:rPr>
          <w:rFonts w:asciiTheme="minorEastAsia" w:hAnsiTheme="minorEastAsia"/>
          <w:i w:val="0"/>
          <w:iCs w:val="0"/>
          <w:sz w:val="24"/>
          <w:highlight w:val="none"/>
        </w:rPr>
        <w:t>，</w:t>
      </w:r>
      <w:r>
        <w:rPr>
          <w:rFonts w:hint="eastAsia" w:asciiTheme="minorEastAsia" w:hAnsiTheme="minorEastAsia"/>
          <w:i w:val="0"/>
          <w:iCs w:val="0"/>
          <w:sz w:val="24"/>
          <w:highlight w:val="none"/>
          <w:lang w:val="en-US" w:eastAsia="zh-CN"/>
        </w:rPr>
        <w:t>除投标文件中配置的灯具外，还应</w:t>
      </w:r>
      <w:r>
        <w:rPr>
          <w:rFonts w:hint="eastAsia" w:asciiTheme="minorEastAsia" w:hAnsiTheme="minorEastAsia"/>
          <w:i w:val="0"/>
          <w:iCs w:val="0"/>
          <w:sz w:val="24"/>
          <w:highlight w:val="none"/>
        </w:rPr>
        <w:t>在基台、内部展台、顶部灯位置预留</w:t>
      </w:r>
      <w:r>
        <w:rPr>
          <w:rFonts w:hint="eastAsia" w:asciiTheme="minorEastAsia" w:hAnsiTheme="minorEastAsia"/>
          <w:i w:val="0"/>
          <w:iCs w:val="0"/>
          <w:sz w:val="24"/>
          <w:highlight w:val="none"/>
          <w:lang w:val="en-US" w:eastAsia="zh-CN"/>
        </w:rPr>
        <w:t>相关</w:t>
      </w:r>
      <w:r>
        <w:rPr>
          <w:rFonts w:hint="eastAsia" w:asciiTheme="minorEastAsia" w:hAnsiTheme="minorEastAsia"/>
          <w:i w:val="0"/>
          <w:iCs w:val="0"/>
          <w:sz w:val="24"/>
          <w:highlight w:val="none"/>
        </w:rPr>
        <w:t>接口，保证后续展柜功能提升可能性。展柜应注重功能模块化设计，除有明确要求为模块化的展柜外，其他普通展柜也应注重功能模块化设计，方便后续维修、保养和使用。</w:t>
      </w:r>
    </w:p>
    <w:p w14:paraId="23F39D97">
      <w:pPr>
        <w:spacing w:line="360" w:lineRule="auto"/>
        <w:ind w:firstLine="480" w:firstLineChars="200"/>
        <w:rPr>
          <w:rFonts w:asciiTheme="minorEastAsia" w:hAnsiTheme="minorEastAsia"/>
          <w:i w:val="0"/>
          <w:iCs w:val="0"/>
          <w:sz w:val="24"/>
          <w:highlight w:val="none"/>
        </w:rPr>
      </w:pPr>
      <w:r>
        <w:rPr>
          <w:rFonts w:hint="eastAsia" w:asciiTheme="minorEastAsia" w:hAnsiTheme="minorEastAsia"/>
          <w:i w:val="0"/>
          <w:iCs w:val="0"/>
          <w:sz w:val="24"/>
          <w:highlight w:val="none"/>
        </w:rPr>
        <w:t>2、具体</w:t>
      </w:r>
      <w:r>
        <w:rPr>
          <w:rFonts w:hint="eastAsia" w:asciiTheme="minorEastAsia" w:hAnsiTheme="minorEastAsia"/>
          <w:i w:val="0"/>
          <w:iCs w:val="0"/>
          <w:sz w:val="24"/>
          <w:highlight w:val="none"/>
          <w:lang w:val="en-US" w:eastAsia="zh-CN"/>
        </w:rPr>
        <w:t>采购</w:t>
      </w:r>
      <w:r>
        <w:rPr>
          <w:rFonts w:hint="eastAsia" w:asciiTheme="minorEastAsia" w:hAnsiTheme="minorEastAsia"/>
          <w:i w:val="0"/>
          <w:iCs w:val="0"/>
          <w:sz w:val="24"/>
          <w:highlight w:val="none"/>
        </w:rPr>
        <w:t>清单</w:t>
      </w:r>
    </w:p>
    <w:tbl>
      <w:tblPr>
        <w:tblStyle w:val="11"/>
        <w:tblW w:w="7529"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600"/>
        <w:gridCol w:w="1112"/>
        <w:gridCol w:w="992"/>
        <w:gridCol w:w="804"/>
        <w:gridCol w:w="959"/>
        <w:gridCol w:w="1462"/>
      </w:tblGrid>
      <w:tr w14:paraId="2E1B8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419BB097">
            <w:pPr>
              <w:jc w:val="center"/>
              <w:rPr>
                <w:rFonts w:ascii="宋体" w:hAnsi="宋体" w:eastAsia="宋体"/>
                <w:i w:val="0"/>
                <w:iCs w:val="0"/>
                <w:szCs w:val="21"/>
                <w:highlight w:val="none"/>
              </w:rPr>
            </w:pPr>
            <w:r>
              <w:rPr>
                <w:rFonts w:hint="eastAsia" w:ascii="宋体" w:hAnsi="宋体" w:eastAsia="宋体"/>
                <w:i w:val="0"/>
                <w:iCs w:val="0"/>
                <w:szCs w:val="21"/>
                <w:highlight w:val="none"/>
              </w:rPr>
              <w:t>序号</w:t>
            </w:r>
          </w:p>
        </w:tc>
        <w:tc>
          <w:tcPr>
            <w:tcW w:w="1600" w:type="dxa"/>
            <w:vAlign w:val="center"/>
          </w:tcPr>
          <w:p w14:paraId="1327EA8A">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名称</w:t>
            </w:r>
          </w:p>
        </w:tc>
        <w:tc>
          <w:tcPr>
            <w:tcW w:w="1112" w:type="dxa"/>
            <w:vAlign w:val="center"/>
          </w:tcPr>
          <w:p w14:paraId="4BAAE453">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展柜类型</w:t>
            </w:r>
          </w:p>
        </w:tc>
        <w:tc>
          <w:tcPr>
            <w:tcW w:w="992" w:type="dxa"/>
            <w:vAlign w:val="center"/>
          </w:tcPr>
          <w:p w14:paraId="7D5D6208">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lang w:val="en-US" w:eastAsia="zh-CN"/>
              </w:rPr>
              <w:t>长(cm)</w:t>
            </w:r>
          </w:p>
        </w:tc>
        <w:tc>
          <w:tcPr>
            <w:tcW w:w="804" w:type="dxa"/>
            <w:vAlign w:val="center"/>
          </w:tcPr>
          <w:p w14:paraId="08250A39">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宽、深(cm)</w:t>
            </w:r>
          </w:p>
        </w:tc>
        <w:tc>
          <w:tcPr>
            <w:tcW w:w="959" w:type="dxa"/>
            <w:vAlign w:val="center"/>
          </w:tcPr>
          <w:p w14:paraId="752296A3">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高(cm)</w:t>
            </w:r>
          </w:p>
        </w:tc>
        <w:tc>
          <w:tcPr>
            <w:tcW w:w="1462" w:type="dxa"/>
            <w:vAlign w:val="center"/>
          </w:tcPr>
          <w:p w14:paraId="0286CC10">
            <w:pPr>
              <w:jc w:val="center"/>
              <w:rPr>
                <w:rFonts w:hint="eastAsia" w:ascii="宋体" w:hAnsi="宋体" w:eastAsia="宋体"/>
                <w:i w:val="0"/>
                <w:iCs w:val="0"/>
                <w:szCs w:val="21"/>
                <w:highlight w:val="none"/>
                <w:lang w:eastAsia="zh-CN"/>
              </w:rPr>
            </w:pPr>
            <w:r>
              <w:rPr>
                <w:rFonts w:hint="eastAsia" w:ascii="宋体" w:hAnsi="宋体" w:eastAsia="宋体" w:cs="宋体"/>
                <w:i w:val="0"/>
                <w:iCs w:val="0"/>
                <w:color w:val="000000"/>
                <w:kern w:val="0"/>
                <w:szCs w:val="21"/>
                <w:highlight w:val="none"/>
              </w:rPr>
              <w:t>数量</w:t>
            </w:r>
            <w:r>
              <w:rPr>
                <w:rFonts w:hint="eastAsia" w:ascii="宋体" w:hAnsi="宋体" w:eastAsia="宋体" w:cs="宋体"/>
                <w:i w:val="0"/>
                <w:iCs w:val="0"/>
                <w:color w:val="000000"/>
                <w:kern w:val="0"/>
                <w:szCs w:val="21"/>
                <w:highlight w:val="none"/>
                <w:lang w:eastAsia="zh-CN"/>
              </w:rPr>
              <w:t>（</w:t>
            </w:r>
            <w:r>
              <w:rPr>
                <w:rFonts w:hint="eastAsia" w:ascii="宋体" w:hAnsi="宋体" w:eastAsia="宋体" w:cs="宋体"/>
                <w:i w:val="0"/>
                <w:iCs w:val="0"/>
                <w:color w:val="000000"/>
                <w:kern w:val="0"/>
                <w:szCs w:val="21"/>
                <w:highlight w:val="none"/>
                <w:lang w:val="en-US" w:eastAsia="zh-CN"/>
              </w:rPr>
              <w:t>台</w:t>
            </w:r>
            <w:r>
              <w:rPr>
                <w:rFonts w:hint="eastAsia" w:ascii="宋体" w:hAnsi="宋体" w:eastAsia="宋体" w:cs="宋体"/>
                <w:i w:val="0"/>
                <w:iCs w:val="0"/>
                <w:color w:val="000000"/>
                <w:kern w:val="0"/>
                <w:szCs w:val="21"/>
                <w:highlight w:val="none"/>
                <w:lang w:eastAsia="zh-CN"/>
              </w:rPr>
              <w:t>）</w:t>
            </w:r>
          </w:p>
        </w:tc>
      </w:tr>
      <w:tr w14:paraId="5DD3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7021F6D3">
            <w:pPr>
              <w:jc w:val="center"/>
              <w:rPr>
                <w:rFonts w:ascii="宋体" w:hAnsi="宋体" w:eastAsia="宋体"/>
                <w:i w:val="0"/>
                <w:iCs w:val="0"/>
                <w:szCs w:val="21"/>
                <w:highlight w:val="none"/>
              </w:rPr>
            </w:pPr>
            <w:r>
              <w:rPr>
                <w:rFonts w:hint="eastAsia" w:ascii="宋体" w:hAnsi="宋体" w:eastAsia="宋体"/>
                <w:i w:val="0"/>
                <w:iCs w:val="0"/>
                <w:szCs w:val="21"/>
                <w:highlight w:val="none"/>
              </w:rPr>
              <w:t>1</w:t>
            </w:r>
          </w:p>
        </w:tc>
        <w:tc>
          <w:tcPr>
            <w:tcW w:w="1600" w:type="dxa"/>
            <w:vAlign w:val="center"/>
          </w:tcPr>
          <w:p w14:paraId="63265943">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lang w:val="en-US" w:eastAsia="zh-CN"/>
              </w:rPr>
              <w:t>沿墙</w:t>
            </w:r>
            <w:r>
              <w:rPr>
                <w:rFonts w:hint="eastAsia" w:ascii="宋体" w:hAnsi="宋体" w:eastAsia="宋体" w:cs="宋体"/>
                <w:i w:val="0"/>
                <w:iCs w:val="0"/>
                <w:color w:val="000000"/>
                <w:kern w:val="0"/>
                <w:szCs w:val="21"/>
                <w:highlight w:val="none"/>
              </w:rPr>
              <w:t>通柜</w:t>
            </w:r>
          </w:p>
        </w:tc>
        <w:tc>
          <w:tcPr>
            <w:tcW w:w="1112" w:type="dxa"/>
            <w:vAlign w:val="center"/>
          </w:tcPr>
          <w:p w14:paraId="30B9C1DA">
            <w:pPr>
              <w:jc w:val="both"/>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沿墙通柜</w:t>
            </w:r>
          </w:p>
        </w:tc>
        <w:tc>
          <w:tcPr>
            <w:tcW w:w="992" w:type="dxa"/>
            <w:vAlign w:val="center"/>
          </w:tcPr>
          <w:p w14:paraId="513B3B31">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lang w:val="en-US" w:eastAsia="zh-CN"/>
              </w:rPr>
              <w:t>总长度》5400</w:t>
            </w:r>
          </w:p>
        </w:tc>
        <w:tc>
          <w:tcPr>
            <w:tcW w:w="804" w:type="dxa"/>
            <w:vAlign w:val="center"/>
          </w:tcPr>
          <w:p w14:paraId="606AEA7E">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110</w:t>
            </w:r>
          </w:p>
        </w:tc>
        <w:tc>
          <w:tcPr>
            <w:tcW w:w="959" w:type="dxa"/>
            <w:vAlign w:val="center"/>
          </w:tcPr>
          <w:p w14:paraId="20D82068">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400</w:t>
            </w:r>
          </w:p>
        </w:tc>
        <w:tc>
          <w:tcPr>
            <w:tcW w:w="1462" w:type="dxa"/>
            <w:vAlign w:val="center"/>
          </w:tcPr>
          <w:p w14:paraId="685AABE0">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lang w:val="en-US" w:eastAsia="zh-CN"/>
              </w:rPr>
              <w:t>投标人根据投标方案自行确定</w:t>
            </w:r>
          </w:p>
        </w:tc>
      </w:tr>
      <w:tr w14:paraId="04D9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7E85190F">
            <w:pPr>
              <w:jc w:val="center"/>
              <w:rPr>
                <w:rFonts w:ascii="宋体" w:hAnsi="宋体" w:eastAsia="宋体"/>
                <w:i w:val="0"/>
                <w:iCs w:val="0"/>
                <w:szCs w:val="21"/>
                <w:highlight w:val="none"/>
              </w:rPr>
            </w:pPr>
            <w:r>
              <w:rPr>
                <w:rFonts w:hint="eastAsia" w:ascii="宋体" w:hAnsi="宋体" w:eastAsia="宋体"/>
                <w:i w:val="0"/>
                <w:iCs w:val="0"/>
                <w:szCs w:val="21"/>
                <w:highlight w:val="none"/>
                <w:lang w:val="en-US" w:eastAsia="zh-CN"/>
              </w:rPr>
              <w:t>2</w:t>
            </w:r>
          </w:p>
        </w:tc>
        <w:tc>
          <w:tcPr>
            <w:tcW w:w="1600" w:type="dxa"/>
            <w:vAlign w:val="center"/>
          </w:tcPr>
          <w:p w14:paraId="2F8BC72F">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模块化平柜</w:t>
            </w:r>
          </w:p>
        </w:tc>
        <w:tc>
          <w:tcPr>
            <w:tcW w:w="1112" w:type="dxa"/>
            <w:vAlign w:val="center"/>
          </w:tcPr>
          <w:p w14:paraId="339B87F8">
            <w:pPr>
              <w:jc w:val="center"/>
              <w:rPr>
                <w:rFonts w:hint="eastAsia"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独立柜</w:t>
            </w:r>
          </w:p>
        </w:tc>
        <w:tc>
          <w:tcPr>
            <w:tcW w:w="992" w:type="dxa"/>
            <w:vAlign w:val="center"/>
          </w:tcPr>
          <w:p w14:paraId="20652281">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240</w:t>
            </w:r>
          </w:p>
        </w:tc>
        <w:tc>
          <w:tcPr>
            <w:tcW w:w="804" w:type="dxa"/>
            <w:vAlign w:val="center"/>
          </w:tcPr>
          <w:p w14:paraId="3BF14E8F">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90</w:t>
            </w:r>
          </w:p>
        </w:tc>
        <w:tc>
          <w:tcPr>
            <w:tcW w:w="959" w:type="dxa"/>
            <w:vAlign w:val="center"/>
          </w:tcPr>
          <w:p w14:paraId="01CB22FD">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105</w:t>
            </w:r>
          </w:p>
        </w:tc>
        <w:tc>
          <w:tcPr>
            <w:tcW w:w="1462" w:type="dxa"/>
            <w:vAlign w:val="center"/>
          </w:tcPr>
          <w:p w14:paraId="62E96CD4">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4</w:t>
            </w:r>
          </w:p>
        </w:tc>
      </w:tr>
      <w:tr w14:paraId="521D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14:paraId="399127DE">
            <w:pPr>
              <w:jc w:val="center"/>
              <w:rPr>
                <w:rFonts w:ascii="宋体" w:hAnsi="宋体" w:eastAsia="宋体"/>
                <w:i w:val="0"/>
                <w:iCs w:val="0"/>
                <w:szCs w:val="21"/>
                <w:highlight w:val="none"/>
              </w:rPr>
            </w:pPr>
            <w:r>
              <w:rPr>
                <w:rFonts w:hint="eastAsia" w:ascii="宋体" w:hAnsi="宋体" w:eastAsia="宋体"/>
                <w:i w:val="0"/>
                <w:iCs w:val="0"/>
                <w:szCs w:val="21"/>
                <w:highlight w:val="none"/>
                <w:lang w:val="en-US" w:eastAsia="zh-CN"/>
              </w:rPr>
              <w:t>3</w:t>
            </w:r>
          </w:p>
        </w:tc>
        <w:tc>
          <w:tcPr>
            <w:tcW w:w="1600" w:type="dxa"/>
            <w:vAlign w:val="center"/>
          </w:tcPr>
          <w:p w14:paraId="2D17E6E0">
            <w:pPr>
              <w:jc w:val="center"/>
              <w:rPr>
                <w:rFonts w:hint="eastAsia" w:ascii="宋体" w:hAnsi="宋体" w:eastAsia="宋体"/>
                <w:i w:val="0"/>
                <w:iCs w:val="0"/>
                <w:szCs w:val="21"/>
                <w:highlight w:val="none"/>
                <w:lang w:eastAsia="zh-CN"/>
              </w:rPr>
            </w:pPr>
            <w:r>
              <w:rPr>
                <w:rFonts w:hint="eastAsia" w:ascii="宋体" w:hAnsi="宋体" w:eastAsia="宋体" w:cs="宋体"/>
                <w:i w:val="0"/>
                <w:iCs w:val="0"/>
                <w:color w:val="000000"/>
                <w:kern w:val="0"/>
                <w:szCs w:val="21"/>
                <w:highlight w:val="none"/>
              </w:rPr>
              <w:t>80型模块化中心独立柜</w:t>
            </w:r>
            <w:r>
              <w:rPr>
                <w:rFonts w:hint="eastAsia" w:ascii="宋体" w:hAnsi="宋体" w:eastAsia="宋体" w:cs="宋体"/>
                <w:i w:val="0"/>
                <w:iCs w:val="0"/>
                <w:color w:val="000000"/>
                <w:kern w:val="0"/>
                <w:szCs w:val="21"/>
                <w:highlight w:val="none"/>
                <w:lang w:eastAsia="zh-CN"/>
              </w:rPr>
              <w:t>（核心产品）</w:t>
            </w:r>
          </w:p>
        </w:tc>
        <w:tc>
          <w:tcPr>
            <w:tcW w:w="1112" w:type="dxa"/>
            <w:vAlign w:val="center"/>
          </w:tcPr>
          <w:p w14:paraId="67D6B99A">
            <w:pPr>
              <w:jc w:val="center"/>
              <w:rPr>
                <w:rFonts w:hint="eastAsia"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独立柜</w:t>
            </w:r>
          </w:p>
        </w:tc>
        <w:tc>
          <w:tcPr>
            <w:tcW w:w="992" w:type="dxa"/>
            <w:vAlign w:val="center"/>
          </w:tcPr>
          <w:p w14:paraId="0900FBB1">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80</w:t>
            </w:r>
          </w:p>
        </w:tc>
        <w:tc>
          <w:tcPr>
            <w:tcW w:w="804" w:type="dxa"/>
            <w:vAlign w:val="center"/>
          </w:tcPr>
          <w:p w14:paraId="1B7096BF">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80</w:t>
            </w:r>
          </w:p>
        </w:tc>
        <w:tc>
          <w:tcPr>
            <w:tcW w:w="959" w:type="dxa"/>
            <w:vAlign w:val="center"/>
          </w:tcPr>
          <w:p w14:paraId="25D5E65E">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240</w:t>
            </w:r>
          </w:p>
        </w:tc>
        <w:tc>
          <w:tcPr>
            <w:tcW w:w="1462" w:type="dxa"/>
            <w:vAlign w:val="center"/>
          </w:tcPr>
          <w:p w14:paraId="05C46063">
            <w:pPr>
              <w:jc w:val="center"/>
              <w:rPr>
                <w:rFonts w:ascii="宋体" w:hAnsi="宋体" w:eastAsia="宋体"/>
                <w:i w:val="0"/>
                <w:iCs w:val="0"/>
                <w:szCs w:val="21"/>
                <w:highlight w:val="none"/>
              </w:rPr>
            </w:pPr>
            <w:r>
              <w:rPr>
                <w:rFonts w:hint="eastAsia" w:ascii="宋体" w:hAnsi="宋体" w:eastAsia="宋体" w:cs="宋体"/>
                <w:i w:val="0"/>
                <w:iCs w:val="0"/>
                <w:color w:val="000000"/>
                <w:kern w:val="0"/>
                <w:szCs w:val="21"/>
                <w:highlight w:val="none"/>
              </w:rPr>
              <w:t>3</w:t>
            </w:r>
            <w:r>
              <w:rPr>
                <w:rFonts w:hint="eastAsia" w:ascii="宋体" w:hAnsi="宋体" w:eastAsia="宋体" w:cs="宋体"/>
                <w:i w:val="0"/>
                <w:iCs w:val="0"/>
                <w:color w:val="000000"/>
                <w:kern w:val="0"/>
                <w:szCs w:val="21"/>
                <w:highlight w:val="none"/>
                <w:lang w:val="en-US" w:eastAsia="zh-CN"/>
              </w:rPr>
              <w:t>2</w:t>
            </w:r>
          </w:p>
        </w:tc>
      </w:tr>
      <w:tr w14:paraId="522BD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shd w:val="clear" w:color="auto" w:fill="auto"/>
            <w:vAlign w:val="center"/>
          </w:tcPr>
          <w:p w14:paraId="7BEF6DC0">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i w:val="0"/>
                <w:iCs w:val="0"/>
                <w:szCs w:val="21"/>
                <w:highlight w:val="none"/>
                <w:lang w:val="en-US" w:eastAsia="zh-CN"/>
              </w:rPr>
              <w:t>4</w:t>
            </w:r>
          </w:p>
        </w:tc>
        <w:tc>
          <w:tcPr>
            <w:tcW w:w="1600" w:type="dxa"/>
            <w:shd w:val="clear" w:color="auto" w:fill="auto"/>
            <w:vAlign w:val="center"/>
          </w:tcPr>
          <w:p w14:paraId="057C1423">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cs="宋体"/>
                <w:i w:val="0"/>
                <w:iCs w:val="0"/>
                <w:color w:val="000000"/>
                <w:kern w:val="0"/>
                <w:szCs w:val="21"/>
                <w:highlight w:val="none"/>
              </w:rPr>
              <w:t>100型中心独立柜</w:t>
            </w:r>
          </w:p>
        </w:tc>
        <w:tc>
          <w:tcPr>
            <w:tcW w:w="1112" w:type="dxa"/>
            <w:vAlign w:val="center"/>
          </w:tcPr>
          <w:p w14:paraId="5CDCB86E">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独立柜</w:t>
            </w:r>
          </w:p>
        </w:tc>
        <w:tc>
          <w:tcPr>
            <w:tcW w:w="992" w:type="dxa"/>
            <w:shd w:val="clear" w:color="auto" w:fill="auto"/>
            <w:vAlign w:val="center"/>
          </w:tcPr>
          <w:p w14:paraId="5D187B0B">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100</w:t>
            </w:r>
          </w:p>
        </w:tc>
        <w:tc>
          <w:tcPr>
            <w:tcW w:w="804" w:type="dxa"/>
            <w:shd w:val="clear" w:color="auto" w:fill="auto"/>
            <w:vAlign w:val="center"/>
          </w:tcPr>
          <w:p w14:paraId="119CB986">
            <w:pPr>
              <w:jc w:val="center"/>
              <w:rPr>
                <w:rFonts w:hint="eastAsia" w:ascii="宋体" w:hAnsi="宋体" w:eastAsia="宋体" w:cs="宋体"/>
                <w:i w:val="0"/>
                <w:iCs w:val="0"/>
                <w:color w:val="000000"/>
                <w:kern w:val="0"/>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100</w:t>
            </w:r>
          </w:p>
        </w:tc>
        <w:tc>
          <w:tcPr>
            <w:tcW w:w="959" w:type="dxa"/>
            <w:shd w:val="clear" w:color="auto" w:fill="auto"/>
            <w:vAlign w:val="center"/>
          </w:tcPr>
          <w:p w14:paraId="5CAE040E">
            <w:pPr>
              <w:jc w:val="center"/>
              <w:rPr>
                <w:rFonts w:hint="eastAsia" w:ascii="宋体" w:hAnsi="宋体" w:eastAsia="宋体" w:cs="宋体"/>
                <w:i w:val="0"/>
                <w:iCs w:val="0"/>
                <w:color w:val="000000"/>
                <w:kern w:val="0"/>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240</w:t>
            </w:r>
          </w:p>
        </w:tc>
        <w:tc>
          <w:tcPr>
            <w:tcW w:w="1462" w:type="dxa"/>
            <w:vAlign w:val="center"/>
          </w:tcPr>
          <w:p w14:paraId="14EFF1C2">
            <w:pPr>
              <w:jc w:val="center"/>
              <w:rPr>
                <w:rFonts w:hint="eastAsia"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3</w:t>
            </w:r>
          </w:p>
        </w:tc>
      </w:tr>
      <w:tr w14:paraId="5665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shd w:val="clear" w:color="auto" w:fill="auto"/>
            <w:vAlign w:val="center"/>
          </w:tcPr>
          <w:p w14:paraId="02D8098A">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i w:val="0"/>
                <w:iCs w:val="0"/>
                <w:szCs w:val="21"/>
                <w:highlight w:val="none"/>
                <w:lang w:val="en-US" w:eastAsia="zh-CN"/>
              </w:rPr>
              <w:t>5</w:t>
            </w:r>
          </w:p>
        </w:tc>
        <w:tc>
          <w:tcPr>
            <w:tcW w:w="1600" w:type="dxa"/>
            <w:shd w:val="clear" w:color="auto" w:fill="auto"/>
            <w:vAlign w:val="center"/>
          </w:tcPr>
          <w:p w14:paraId="7E0839F7">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cs="宋体"/>
                <w:i w:val="0"/>
                <w:iCs w:val="0"/>
                <w:color w:val="000000"/>
                <w:kern w:val="0"/>
                <w:szCs w:val="21"/>
                <w:highlight w:val="none"/>
              </w:rPr>
              <w:t>长形独立柜</w:t>
            </w:r>
          </w:p>
        </w:tc>
        <w:tc>
          <w:tcPr>
            <w:tcW w:w="1112" w:type="dxa"/>
            <w:vAlign w:val="center"/>
          </w:tcPr>
          <w:p w14:paraId="60E43497">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独立柜</w:t>
            </w:r>
          </w:p>
        </w:tc>
        <w:tc>
          <w:tcPr>
            <w:tcW w:w="992" w:type="dxa"/>
            <w:shd w:val="clear" w:color="auto" w:fill="auto"/>
            <w:vAlign w:val="center"/>
          </w:tcPr>
          <w:p w14:paraId="32450190">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240</w:t>
            </w:r>
          </w:p>
        </w:tc>
        <w:tc>
          <w:tcPr>
            <w:tcW w:w="804" w:type="dxa"/>
            <w:shd w:val="clear" w:color="auto" w:fill="auto"/>
            <w:vAlign w:val="center"/>
          </w:tcPr>
          <w:p w14:paraId="651493A5">
            <w:pPr>
              <w:jc w:val="center"/>
              <w:rPr>
                <w:rFonts w:hint="eastAsia" w:ascii="宋体" w:hAnsi="宋体" w:eastAsia="宋体" w:cs="宋体"/>
                <w:i w:val="0"/>
                <w:iCs w:val="0"/>
                <w:color w:val="000000"/>
                <w:kern w:val="0"/>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80</w:t>
            </w:r>
          </w:p>
        </w:tc>
        <w:tc>
          <w:tcPr>
            <w:tcW w:w="959" w:type="dxa"/>
            <w:shd w:val="clear" w:color="auto" w:fill="auto"/>
            <w:vAlign w:val="center"/>
          </w:tcPr>
          <w:p w14:paraId="7B52AB53">
            <w:pPr>
              <w:jc w:val="center"/>
              <w:rPr>
                <w:rFonts w:hint="eastAsia" w:ascii="宋体" w:hAnsi="宋体" w:eastAsia="宋体" w:cs="宋体"/>
                <w:i w:val="0"/>
                <w:iCs w:val="0"/>
                <w:color w:val="000000"/>
                <w:kern w:val="0"/>
                <w:sz w:val="21"/>
                <w:szCs w:val="21"/>
                <w:highlight w:val="none"/>
                <w:lang w:val="en-US" w:eastAsia="zh-CN" w:bidi="ar-SA"/>
              </w:rPr>
            </w:pPr>
            <w:r>
              <w:rPr>
                <w:rFonts w:hint="eastAsia" w:ascii="宋体" w:hAnsi="宋体" w:eastAsia="宋体" w:cs="宋体"/>
                <w:i w:val="0"/>
                <w:iCs w:val="0"/>
                <w:color w:val="000000"/>
                <w:kern w:val="0"/>
                <w:szCs w:val="21"/>
                <w:highlight w:val="none"/>
                <w:lang w:val="en-US" w:eastAsia="zh-CN"/>
              </w:rPr>
              <w:t>240</w:t>
            </w:r>
          </w:p>
        </w:tc>
        <w:tc>
          <w:tcPr>
            <w:tcW w:w="1462" w:type="dxa"/>
            <w:vAlign w:val="center"/>
          </w:tcPr>
          <w:p w14:paraId="0428DB7A">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18</w:t>
            </w:r>
          </w:p>
        </w:tc>
      </w:tr>
      <w:tr w14:paraId="69F8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shd w:val="clear" w:color="auto" w:fill="auto"/>
            <w:vAlign w:val="center"/>
          </w:tcPr>
          <w:p w14:paraId="1C92CA4D">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i w:val="0"/>
                <w:iCs w:val="0"/>
                <w:szCs w:val="21"/>
                <w:highlight w:val="none"/>
                <w:lang w:val="en-US" w:eastAsia="zh-CN"/>
              </w:rPr>
              <w:t>6</w:t>
            </w:r>
          </w:p>
        </w:tc>
        <w:tc>
          <w:tcPr>
            <w:tcW w:w="1600" w:type="dxa"/>
            <w:shd w:val="clear" w:color="auto" w:fill="auto"/>
            <w:vAlign w:val="center"/>
          </w:tcPr>
          <w:p w14:paraId="12C917AA">
            <w:pPr>
              <w:jc w:val="center"/>
              <w:rPr>
                <w:rFonts w:hint="eastAsia" w:ascii="宋体" w:hAnsi="宋体" w:eastAsia="宋体" w:cstheme="minorBidi"/>
                <w:i w:val="0"/>
                <w:iCs w:val="0"/>
                <w:kern w:val="2"/>
                <w:sz w:val="21"/>
                <w:szCs w:val="21"/>
                <w:highlight w:val="none"/>
                <w:lang w:val="en-US" w:eastAsia="zh-CN" w:bidi="ar-SA"/>
              </w:rPr>
            </w:pPr>
            <w:r>
              <w:rPr>
                <w:rFonts w:hint="eastAsia" w:ascii="宋体" w:hAnsi="宋体" w:eastAsia="宋体" w:cs="宋体"/>
                <w:i w:val="0"/>
                <w:iCs w:val="0"/>
                <w:color w:val="000000"/>
                <w:kern w:val="0"/>
                <w:szCs w:val="21"/>
                <w:highlight w:val="none"/>
              </w:rPr>
              <w:t>80型模块化展柜三拼一</w:t>
            </w:r>
            <w:r>
              <w:rPr>
                <w:rFonts w:hint="eastAsia" w:ascii="宋体" w:hAnsi="宋体" w:eastAsia="宋体" w:cs="宋体"/>
                <w:i w:val="0"/>
                <w:iCs w:val="0"/>
                <w:color w:val="000000"/>
                <w:kern w:val="0"/>
                <w:szCs w:val="21"/>
                <w:highlight w:val="none"/>
                <w:lang w:eastAsia="zh-CN"/>
              </w:rPr>
              <w:t>（</w:t>
            </w:r>
            <w:r>
              <w:rPr>
                <w:rFonts w:hint="eastAsia" w:ascii="宋体" w:hAnsi="宋体" w:eastAsia="宋体" w:cs="宋体"/>
                <w:i w:val="0"/>
                <w:iCs w:val="0"/>
                <w:color w:val="000000"/>
                <w:kern w:val="0"/>
                <w:szCs w:val="21"/>
                <w:highlight w:val="none"/>
                <w:lang w:val="en-US" w:eastAsia="zh-CN"/>
              </w:rPr>
              <w:t>一字型）</w:t>
            </w:r>
            <w:r>
              <w:rPr>
                <w:rFonts w:hint="eastAsia" w:ascii="宋体" w:hAnsi="宋体" w:eastAsia="宋体" w:cs="宋体"/>
                <w:i w:val="0"/>
                <w:iCs w:val="0"/>
                <w:color w:val="000000"/>
                <w:kern w:val="0"/>
                <w:szCs w:val="21"/>
                <w:highlight w:val="none"/>
              </w:rPr>
              <w:t>后前后无缝大玻璃</w:t>
            </w:r>
            <w:r>
              <w:rPr>
                <w:rFonts w:hint="eastAsia" w:ascii="宋体" w:hAnsi="宋体" w:eastAsia="宋体" w:cs="宋体"/>
                <w:i w:val="0"/>
                <w:iCs w:val="0"/>
                <w:color w:val="000000"/>
                <w:kern w:val="0"/>
                <w:szCs w:val="21"/>
                <w:highlight w:val="none"/>
                <w:lang w:eastAsia="zh-CN"/>
              </w:rPr>
              <w:t>，</w:t>
            </w:r>
            <w:r>
              <w:rPr>
                <w:rFonts w:hint="eastAsia" w:ascii="宋体" w:hAnsi="宋体" w:eastAsia="宋体" w:cs="宋体"/>
                <w:i w:val="0"/>
                <w:iCs w:val="0"/>
                <w:color w:val="000000"/>
                <w:kern w:val="0"/>
                <w:szCs w:val="21"/>
                <w:highlight w:val="none"/>
                <w:lang w:val="en-US" w:eastAsia="zh-CN"/>
              </w:rPr>
              <w:t>根据展柜具体高度进行匹配</w:t>
            </w:r>
          </w:p>
        </w:tc>
        <w:tc>
          <w:tcPr>
            <w:tcW w:w="1112" w:type="dxa"/>
            <w:vAlign w:val="center"/>
          </w:tcPr>
          <w:p w14:paraId="3786E50A">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玻璃</w:t>
            </w:r>
          </w:p>
        </w:tc>
        <w:tc>
          <w:tcPr>
            <w:tcW w:w="2755" w:type="dxa"/>
            <w:gridSpan w:val="3"/>
            <w:shd w:val="clear" w:color="auto" w:fill="auto"/>
            <w:vAlign w:val="center"/>
          </w:tcPr>
          <w:p w14:paraId="2473EEBC">
            <w:pPr>
              <w:jc w:val="center"/>
              <w:rPr>
                <w:rFonts w:hint="eastAsia"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rPr>
              <w:t>1套（2片）</w:t>
            </w:r>
          </w:p>
        </w:tc>
        <w:tc>
          <w:tcPr>
            <w:tcW w:w="1462" w:type="dxa"/>
            <w:vAlign w:val="center"/>
          </w:tcPr>
          <w:p w14:paraId="66A9D276">
            <w:pPr>
              <w:jc w:val="center"/>
              <w:rPr>
                <w:rFonts w:hint="default" w:ascii="宋体" w:hAnsi="宋体" w:eastAsia="宋体" w:cs="宋体"/>
                <w:i w:val="0"/>
                <w:iCs w:val="0"/>
                <w:color w:val="000000"/>
                <w:kern w:val="0"/>
                <w:szCs w:val="21"/>
                <w:highlight w:val="none"/>
                <w:lang w:val="en-US" w:eastAsia="zh-CN"/>
              </w:rPr>
            </w:pPr>
            <w:r>
              <w:rPr>
                <w:rFonts w:hint="eastAsia" w:ascii="宋体" w:hAnsi="宋体" w:eastAsia="宋体" w:cs="宋体"/>
                <w:i w:val="0"/>
                <w:iCs w:val="0"/>
                <w:color w:val="000000"/>
                <w:kern w:val="0"/>
                <w:szCs w:val="21"/>
                <w:highlight w:val="none"/>
                <w:lang w:val="en-US" w:eastAsia="zh-CN"/>
              </w:rPr>
              <w:t>10</w:t>
            </w:r>
          </w:p>
        </w:tc>
      </w:tr>
    </w:tbl>
    <w:p w14:paraId="1E61F4A3">
      <w:pPr>
        <w:ind w:firstLine="420" w:firstLineChars="200"/>
        <w:rPr>
          <w:rFonts w:ascii="宋体" w:hAnsi="宋体" w:eastAsia="宋体"/>
          <w:i w:val="0"/>
          <w:iCs w:val="0"/>
          <w:szCs w:val="21"/>
          <w:highlight w:val="none"/>
        </w:rPr>
      </w:pPr>
    </w:p>
    <w:p w14:paraId="135CDF43">
      <w:pPr>
        <w:rPr>
          <w:rFonts w:ascii="宋体" w:hAnsi="宋体" w:eastAsia="宋体"/>
          <w:i w:val="0"/>
          <w:iCs w:val="0"/>
          <w:szCs w:val="21"/>
          <w:highlight w:val="none"/>
        </w:rPr>
        <w:sectPr>
          <w:footerReference r:id="rId3" w:type="default"/>
          <w:pgSz w:w="11906" w:h="16838"/>
          <w:pgMar w:top="1440" w:right="1800" w:bottom="1440" w:left="1800" w:header="851" w:footer="992" w:gutter="0"/>
          <w:cols w:space="425" w:num="1"/>
          <w:docGrid w:type="lines" w:linePitch="312" w:charSpace="0"/>
        </w:sectPr>
      </w:pPr>
    </w:p>
    <w:p w14:paraId="2051BEBD">
      <w:pPr>
        <w:rPr>
          <w:rFonts w:ascii="宋体" w:hAnsi="宋体" w:eastAsia="宋体"/>
          <w:i w:val="0"/>
          <w:iCs w:val="0"/>
          <w:szCs w:val="21"/>
          <w:highlight w:val="none"/>
        </w:rPr>
      </w:pPr>
    </w:p>
    <w:p w14:paraId="06F41644">
      <w:pPr>
        <w:numPr>
          <w:ilvl w:val="0"/>
          <w:numId w:val="2"/>
        </w:numPr>
        <w:spacing w:line="360" w:lineRule="auto"/>
        <w:ind w:firstLine="566" w:firstLineChars="236"/>
        <w:rPr>
          <w:rFonts w:ascii="宋体" w:hAnsi="宋体" w:eastAsia="宋体"/>
          <w:i w:val="0"/>
          <w:iCs w:val="0"/>
          <w:sz w:val="24"/>
          <w:highlight w:val="none"/>
        </w:rPr>
      </w:pPr>
      <w:r>
        <w:rPr>
          <w:rFonts w:hint="eastAsia" w:ascii="宋体" w:hAnsi="宋体" w:eastAsia="宋体"/>
          <w:i w:val="0"/>
          <w:iCs w:val="0"/>
          <w:sz w:val="24"/>
          <w:highlight w:val="none"/>
        </w:rPr>
        <w:t>展柜配置表</w:t>
      </w:r>
    </w:p>
    <w:tbl>
      <w:tblPr>
        <w:tblStyle w:val="10"/>
        <w:tblW w:w="5076" w:type="pct"/>
        <w:tblInd w:w="0" w:type="dxa"/>
        <w:tblLayout w:type="fixed"/>
        <w:tblCellMar>
          <w:top w:w="0" w:type="dxa"/>
          <w:left w:w="108" w:type="dxa"/>
          <w:bottom w:w="0" w:type="dxa"/>
          <w:right w:w="108" w:type="dxa"/>
        </w:tblCellMar>
      </w:tblPr>
      <w:tblGrid>
        <w:gridCol w:w="570"/>
        <w:gridCol w:w="805"/>
        <w:gridCol w:w="2052"/>
        <w:gridCol w:w="738"/>
        <w:gridCol w:w="1853"/>
        <w:gridCol w:w="1705"/>
        <w:gridCol w:w="1612"/>
        <w:gridCol w:w="1287"/>
        <w:gridCol w:w="2240"/>
        <w:gridCol w:w="1527"/>
      </w:tblGrid>
      <w:tr w14:paraId="6747AC94">
        <w:tblPrEx>
          <w:tblCellMar>
            <w:top w:w="0" w:type="dxa"/>
            <w:left w:w="108" w:type="dxa"/>
            <w:bottom w:w="0" w:type="dxa"/>
            <w:right w:w="108" w:type="dxa"/>
          </w:tblCellMar>
        </w:tblPrEx>
        <w:trPr>
          <w:trHeight w:val="680"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74626B6C">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序号</w:t>
            </w:r>
          </w:p>
        </w:tc>
        <w:tc>
          <w:tcPr>
            <w:tcW w:w="279" w:type="pct"/>
            <w:tcBorders>
              <w:top w:val="single" w:color="000000" w:sz="4" w:space="0"/>
              <w:left w:val="single" w:color="000000" w:sz="4" w:space="0"/>
              <w:bottom w:val="single" w:color="000000" w:sz="4" w:space="0"/>
              <w:right w:val="single" w:color="000000" w:sz="4" w:space="0"/>
            </w:tcBorders>
            <w:vAlign w:val="center"/>
          </w:tcPr>
          <w:p w14:paraId="390D2C68">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名称</w:t>
            </w:r>
          </w:p>
        </w:tc>
        <w:tc>
          <w:tcPr>
            <w:tcW w:w="712" w:type="pct"/>
            <w:tcBorders>
              <w:top w:val="single" w:color="000000" w:sz="4" w:space="0"/>
              <w:left w:val="single" w:color="000000" w:sz="4" w:space="0"/>
              <w:bottom w:val="single" w:color="000000" w:sz="4" w:space="0"/>
              <w:right w:val="single" w:color="000000" w:sz="4" w:space="0"/>
            </w:tcBorders>
            <w:vAlign w:val="center"/>
          </w:tcPr>
          <w:p w14:paraId="64396875">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规格要求（cm）</w:t>
            </w:r>
          </w:p>
        </w:tc>
        <w:tc>
          <w:tcPr>
            <w:tcW w:w="256" w:type="pct"/>
            <w:tcBorders>
              <w:top w:val="single" w:color="000000" w:sz="4" w:space="0"/>
              <w:left w:val="single" w:color="000000" w:sz="4" w:space="0"/>
              <w:bottom w:val="single" w:color="000000" w:sz="4" w:space="0"/>
              <w:right w:val="single" w:color="000000" w:sz="4" w:space="0"/>
            </w:tcBorders>
            <w:vAlign w:val="center"/>
          </w:tcPr>
          <w:p w14:paraId="5AA3CDF3">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数量</w:t>
            </w:r>
          </w:p>
        </w:tc>
        <w:tc>
          <w:tcPr>
            <w:tcW w:w="643" w:type="pct"/>
            <w:tcBorders>
              <w:top w:val="single" w:color="000000" w:sz="4" w:space="0"/>
              <w:left w:val="single" w:color="000000" w:sz="4" w:space="0"/>
              <w:bottom w:val="single" w:color="000000" w:sz="4" w:space="0"/>
              <w:right w:val="single" w:color="000000" w:sz="4" w:space="0"/>
            </w:tcBorders>
            <w:vAlign w:val="center"/>
          </w:tcPr>
          <w:p w14:paraId="41562750">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玻璃</w:t>
            </w:r>
          </w:p>
        </w:tc>
        <w:tc>
          <w:tcPr>
            <w:tcW w:w="592" w:type="pct"/>
            <w:tcBorders>
              <w:top w:val="single" w:color="000000" w:sz="4" w:space="0"/>
              <w:left w:val="single" w:color="000000" w:sz="4" w:space="0"/>
              <w:bottom w:val="single" w:color="000000" w:sz="4" w:space="0"/>
              <w:right w:val="single" w:color="000000" w:sz="4" w:space="0"/>
            </w:tcBorders>
            <w:vAlign w:val="center"/>
          </w:tcPr>
          <w:p w14:paraId="02B80967">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照明</w:t>
            </w:r>
          </w:p>
        </w:tc>
        <w:tc>
          <w:tcPr>
            <w:tcW w:w="559" w:type="pct"/>
            <w:tcBorders>
              <w:top w:val="single" w:color="000000" w:sz="4" w:space="0"/>
              <w:left w:val="single" w:color="000000" w:sz="4" w:space="0"/>
              <w:bottom w:val="single" w:color="000000" w:sz="4" w:space="0"/>
              <w:right w:val="single" w:color="000000" w:sz="4" w:space="0"/>
            </w:tcBorders>
            <w:vAlign w:val="center"/>
          </w:tcPr>
          <w:p w14:paraId="05333DF8">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结构要求</w:t>
            </w:r>
          </w:p>
        </w:tc>
        <w:tc>
          <w:tcPr>
            <w:tcW w:w="447" w:type="pct"/>
            <w:tcBorders>
              <w:top w:val="single" w:color="000000" w:sz="4" w:space="0"/>
              <w:left w:val="single" w:color="000000" w:sz="4" w:space="0"/>
              <w:bottom w:val="single" w:color="000000" w:sz="4" w:space="0"/>
              <w:right w:val="single" w:color="000000" w:sz="4" w:space="0"/>
            </w:tcBorders>
            <w:vAlign w:val="center"/>
          </w:tcPr>
          <w:p w14:paraId="694032DC">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背板及展台</w:t>
            </w:r>
          </w:p>
        </w:tc>
        <w:tc>
          <w:tcPr>
            <w:tcW w:w="778" w:type="pct"/>
            <w:tcBorders>
              <w:top w:val="single" w:color="000000" w:sz="4" w:space="0"/>
              <w:left w:val="single" w:color="000000" w:sz="4" w:space="0"/>
              <w:bottom w:val="single" w:color="000000" w:sz="4" w:space="0"/>
              <w:right w:val="single" w:color="000000" w:sz="4" w:space="0"/>
            </w:tcBorders>
            <w:vAlign w:val="center"/>
          </w:tcPr>
          <w:p w14:paraId="510BD775">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开启装置</w:t>
            </w:r>
          </w:p>
        </w:tc>
        <w:tc>
          <w:tcPr>
            <w:tcW w:w="530" w:type="pct"/>
            <w:tcBorders>
              <w:top w:val="single" w:color="000000" w:sz="4" w:space="0"/>
              <w:left w:val="single" w:color="000000" w:sz="4" w:space="0"/>
              <w:bottom w:val="single" w:color="000000" w:sz="4" w:space="0"/>
              <w:right w:val="single" w:color="000000" w:sz="4" w:space="0"/>
            </w:tcBorders>
            <w:vAlign w:val="center"/>
          </w:tcPr>
          <w:p w14:paraId="0C223595">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恒湿装置</w:t>
            </w:r>
          </w:p>
        </w:tc>
      </w:tr>
      <w:tr w14:paraId="4CE490A6">
        <w:tblPrEx>
          <w:tblCellMar>
            <w:top w:w="0" w:type="dxa"/>
            <w:left w:w="108" w:type="dxa"/>
            <w:bottom w:w="0" w:type="dxa"/>
            <w:right w:w="108" w:type="dxa"/>
          </w:tblCellMar>
        </w:tblPrEx>
        <w:trPr>
          <w:trHeight w:val="1000"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46FF8768">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1</w:t>
            </w:r>
          </w:p>
        </w:tc>
        <w:tc>
          <w:tcPr>
            <w:tcW w:w="279" w:type="pct"/>
            <w:tcBorders>
              <w:top w:val="single" w:color="000000" w:sz="4" w:space="0"/>
              <w:left w:val="single" w:color="000000" w:sz="4" w:space="0"/>
              <w:bottom w:val="single" w:color="000000" w:sz="4" w:space="0"/>
              <w:right w:val="single" w:color="000000" w:sz="4" w:space="0"/>
            </w:tcBorders>
            <w:vAlign w:val="center"/>
          </w:tcPr>
          <w:p w14:paraId="55BA0D39">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沿墙通柜</w:t>
            </w:r>
          </w:p>
        </w:tc>
        <w:tc>
          <w:tcPr>
            <w:tcW w:w="712" w:type="pct"/>
            <w:tcBorders>
              <w:top w:val="single" w:color="000000" w:sz="4" w:space="0"/>
              <w:left w:val="single" w:color="000000" w:sz="4" w:space="0"/>
              <w:bottom w:val="single" w:color="000000" w:sz="4" w:space="0"/>
              <w:right w:val="single" w:color="000000" w:sz="4" w:space="0"/>
            </w:tcBorders>
            <w:noWrap/>
            <w:vAlign w:val="center"/>
          </w:tcPr>
          <w:p w14:paraId="5A6006A0">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柜内深度110、展柜整体高400、下设备层≤40、上设备层≤30,展示高度≥320</w:t>
            </w:r>
          </w:p>
        </w:tc>
        <w:tc>
          <w:tcPr>
            <w:tcW w:w="256" w:type="pct"/>
            <w:tcBorders>
              <w:top w:val="single" w:color="000000" w:sz="4" w:space="0"/>
              <w:left w:val="single" w:color="000000" w:sz="4" w:space="0"/>
              <w:bottom w:val="single" w:color="000000" w:sz="4" w:space="0"/>
              <w:right w:val="single" w:color="000000" w:sz="4" w:space="0"/>
            </w:tcBorders>
            <w:noWrap/>
            <w:vAlign w:val="center"/>
          </w:tcPr>
          <w:p w14:paraId="49B25600">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≥5400cm</w:t>
            </w:r>
          </w:p>
        </w:tc>
        <w:tc>
          <w:tcPr>
            <w:tcW w:w="643" w:type="pct"/>
            <w:tcBorders>
              <w:top w:val="single" w:color="000000" w:sz="4" w:space="0"/>
              <w:left w:val="single" w:color="000000" w:sz="4" w:space="0"/>
              <w:bottom w:val="single" w:color="000000" w:sz="4" w:space="0"/>
              <w:right w:val="single" w:color="000000" w:sz="4" w:space="0"/>
            </w:tcBorders>
            <w:vAlign w:val="center"/>
          </w:tcPr>
          <w:p w14:paraId="42FCD37D">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8+8抗弯低反射夹层玻璃，每片玻璃宽幅不小于2米</w:t>
            </w:r>
          </w:p>
        </w:tc>
        <w:tc>
          <w:tcPr>
            <w:tcW w:w="592" w:type="pct"/>
            <w:tcBorders>
              <w:top w:val="single" w:color="000000" w:sz="4" w:space="0"/>
              <w:left w:val="single" w:color="000000" w:sz="4" w:space="0"/>
              <w:bottom w:val="single" w:color="000000" w:sz="4" w:space="0"/>
              <w:right w:val="single" w:color="000000" w:sz="4" w:space="0"/>
            </w:tcBorders>
            <w:vAlign w:val="center"/>
          </w:tcPr>
          <w:p w14:paraId="54081EB4">
            <w:pPr>
              <w:widowControl/>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低压迷你轨道射灯（用于重点照明）和常压轨道洗射灯（用于洗墙照明），洗墙灯间距《80厘米，重点照明射灯间距≤40厘米</w:t>
            </w:r>
          </w:p>
        </w:tc>
        <w:tc>
          <w:tcPr>
            <w:tcW w:w="559" w:type="pct"/>
            <w:tcBorders>
              <w:top w:val="single" w:color="000000" w:sz="4" w:space="0"/>
              <w:left w:val="single" w:color="000000" w:sz="4" w:space="0"/>
              <w:bottom w:val="single" w:color="000000" w:sz="4" w:space="0"/>
              <w:right w:val="single" w:color="000000" w:sz="4" w:space="0"/>
            </w:tcBorders>
            <w:vAlign w:val="center"/>
          </w:tcPr>
          <w:p w14:paraId="0BB95A8C">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展示空间与设备空间分隔</w:t>
            </w:r>
          </w:p>
        </w:tc>
        <w:tc>
          <w:tcPr>
            <w:tcW w:w="447" w:type="pct"/>
            <w:tcBorders>
              <w:top w:val="single" w:color="000000" w:sz="4" w:space="0"/>
              <w:left w:val="single" w:color="000000" w:sz="4" w:space="0"/>
              <w:bottom w:val="single" w:color="000000" w:sz="4" w:space="0"/>
              <w:right w:val="single" w:color="000000" w:sz="4" w:space="0"/>
            </w:tcBorders>
            <w:vAlign w:val="center"/>
          </w:tcPr>
          <w:p w14:paraId="56A8409F">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电动背板、挂画装置，电动背板宽幅与玻璃宽幅相同</w:t>
            </w:r>
          </w:p>
        </w:tc>
        <w:tc>
          <w:tcPr>
            <w:tcW w:w="778" w:type="pct"/>
            <w:tcBorders>
              <w:top w:val="single" w:color="000000" w:sz="4" w:space="0"/>
              <w:left w:val="single" w:color="000000" w:sz="4" w:space="0"/>
              <w:bottom w:val="single" w:color="000000" w:sz="4" w:space="0"/>
              <w:right w:val="single" w:color="000000" w:sz="4" w:space="0"/>
            </w:tcBorders>
            <w:vAlign w:val="center"/>
          </w:tcPr>
          <w:p w14:paraId="49C713DB">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每片玻璃均设置电动弹出手动两侧平推开启装置、双侧开启度均≥60%</w:t>
            </w:r>
          </w:p>
        </w:tc>
        <w:tc>
          <w:tcPr>
            <w:tcW w:w="530" w:type="pct"/>
            <w:tcBorders>
              <w:top w:val="single" w:color="000000" w:sz="4" w:space="0"/>
              <w:left w:val="single" w:color="000000" w:sz="4" w:space="0"/>
              <w:bottom w:val="single" w:color="000000" w:sz="4" w:space="0"/>
              <w:right w:val="single" w:color="000000" w:sz="4" w:space="0"/>
            </w:tcBorders>
            <w:vAlign w:val="center"/>
          </w:tcPr>
          <w:p w14:paraId="3C8C6DED">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预留</w:t>
            </w:r>
            <w:r>
              <w:rPr>
                <w:rFonts w:hint="eastAsia" w:ascii="宋体" w:hAnsi="宋体" w:eastAsia="宋体" w:cs="仿宋_GB2312"/>
                <w:i w:val="0"/>
                <w:iCs w:val="0"/>
                <w:color w:val="000000"/>
                <w:kern w:val="0"/>
                <w:szCs w:val="21"/>
                <w:highlight w:val="none"/>
                <w:lang w:val="en-US" w:eastAsia="zh-CN" w:bidi="ar"/>
              </w:rPr>
              <w:t>恒湿机</w:t>
            </w:r>
            <w:r>
              <w:rPr>
                <w:rFonts w:hint="eastAsia" w:ascii="宋体" w:hAnsi="宋体" w:eastAsia="宋体" w:cs="仿宋_GB2312"/>
                <w:i w:val="0"/>
                <w:iCs w:val="0"/>
                <w:color w:val="000000"/>
                <w:kern w:val="0"/>
                <w:szCs w:val="21"/>
                <w:highlight w:val="none"/>
                <w:lang w:bidi="ar"/>
              </w:rPr>
              <w:t>接口和机位</w:t>
            </w:r>
          </w:p>
        </w:tc>
      </w:tr>
      <w:tr w14:paraId="0BAC741E">
        <w:tblPrEx>
          <w:tblCellMar>
            <w:top w:w="0" w:type="dxa"/>
            <w:left w:w="108" w:type="dxa"/>
            <w:bottom w:w="0" w:type="dxa"/>
            <w:right w:w="108" w:type="dxa"/>
          </w:tblCellMar>
        </w:tblPrEx>
        <w:trPr>
          <w:trHeight w:val="1200"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044FC32E">
            <w:pPr>
              <w:widowControl/>
              <w:jc w:val="center"/>
              <w:textAlignment w:val="center"/>
              <w:rPr>
                <w:rFonts w:hint="eastAsia" w:ascii="宋体" w:hAnsi="宋体" w:eastAsia="宋体" w:cs="仿宋_GB2312"/>
                <w:i w:val="0"/>
                <w:iCs w:val="0"/>
                <w:color w:val="000000"/>
                <w:szCs w:val="21"/>
                <w:highlight w:val="none"/>
                <w:lang w:eastAsia="zh-CN"/>
              </w:rPr>
            </w:pPr>
            <w:r>
              <w:rPr>
                <w:rFonts w:hint="eastAsia" w:ascii="宋体" w:hAnsi="宋体" w:eastAsia="宋体" w:cs="仿宋_GB2312"/>
                <w:i w:val="0"/>
                <w:iCs w:val="0"/>
                <w:color w:val="000000"/>
                <w:kern w:val="0"/>
                <w:szCs w:val="21"/>
                <w:highlight w:val="none"/>
                <w:lang w:val="en-US" w:eastAsia="zh-CN" w:bidi="ar"/>
              </w:rPr>
              <w:t>2</w:t>
            </w:r>
          </w:p>
        </w:tc>
        <w:tc>
          <w:tcPr>
            <w:tcW w:w="279" w:type="pct"/>
            <w:tcBorders>
              <w:top w:val="single" w:color="000000" w:sz="4" w:space="0"/>
              <w:left w:val="single" w:color="000000" w:sz="4" w:space="0"/>
              <w:bottom w:val="single" w:color="000000" w:sz="4" w:space="0"/>
              <w:right w:val="single" w:color="000000" w:sz="4" w:space="0"/>
            </w:tcBorders>
            <w:vAlign w:val="center"/>
          </w:tcPr>
          <w:p w14:paraId="6BA0BCA2">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模块化平柜</w:t>
            </w:r>
          </w:p>
        </w:tc>
        <w:tc>
          <w:tcPr>
            <w:tcW w:w="712" w:type="pct"/>
            <w:tcBorders>
              <w:top w:val="single" w:color="000000" w:sz="4" w:space="0"/>
              <w:left w:val="single" w:color="000000" w:sz="4" w:space="0"/>
              <w:bottom w:val="single" w:color="000000" w:sz="4" w:space="0"/>
              <w:right w:val="single" w:color="000000" w:sz="4" w:space="0"/>
            </w:tcBorders>
            <w:vAlign w:val="center"/>
          </w:tcPr>
          <w:p w14:paraId="46335C32">
            <w:pPr>
              <w:widowControl/>
              <w:jc w:val="center"/>
              <w:textAlignment w:val="center"/>
              <w:rPr>
                <w:rFonts w:hint="eastAsia" w:ascii="宋体" w:hAnsi="宋体" w:eastAsia="宋体" w:cs="仿宋_GB2312"/>
                <w:i w:val="0"/>
                <w:iCs w:val="0"/>
                <w:color w:val="000000"/>
                <w:szCs w:val="21"/>
                <w:highlight w:val="none"/>
                <w:lang w:eastAsia="zh-CN"/>
              </w:rPr>
            </w:pPr>
            <w:r>
              <w:rPr>
                <w:rFonts w:hint="eastAsia" w:ascii="宋体" w:hAnsi="宋体" w:eastAsia="宋体" w:cs="仿宋_GB2312"/>
                <w:i w:val="0"/>
                <w:iCs w:val="0"/>
                <w:color w:val="000000"/>
                <w:kern w:val="0"/>
                <w:szCs w:val="21"/>
                <w:highlight w:val="none"/>
                <w:lang w:bidi="ar"/>
              </w:rPr>
              <w:t>240*</w:t>
            </w:r>
            <w:r>
              <w:rPr>
                <w:rFonts w:hint="eastAsia" w:ascii="宋体" w:hAnsi="宋体" w:eastAsia="宋体" w:cs="仿宋_GB2312"/>
                <w:i w:val="0"/>
                <w:iCs w:val="0"/>
                <w:color w:val="000000"/>
                <w:kern w:val="0"/>
                <w:szCs w:val="21"/>
                <w:highlight w:val="none"/>
                <w:lang w:val="en-US" w:eastAsia="zh-CN" w:bidi="ar"/>
              </w:rPr>
              <w:t>90</w:t>
            </w:r>
            <w:r>
              <w:rPr>
                <w:rFonts w:hint="eastAsia" w:ascii="宋体" w:hAnsi="宋体" w:eastAsia="宋体" w:cs="仿宋_GB2312"/>
                <w:i w:val="0"/>
                <w:iCs w:val="0"/>
                <w:color w:val="000000"/>
                <w:kern w:val="0"/>
                <w:szCs w:val="21"/>
                <w:highlight w:val="none"/>
                <w:lang w:bidi="ar"/>
              </w:rPr>
              <w:t>*105</w:t>
            </w:r>
          </w:p>
        </w:tc>
        <w:tc>
          <w:tcPr>
            <w:tcW w:w="256" w:type="pct"/>
            <w:tcBorders>
              <w:top w:val="single" w:color="000000" w:sz="4" w:space="0"/>
              <w:left w:val="single" w:color="000000" w:sz="4" w:space="0"/>
              <w:bottom w:val="single" w:color="000000" w:sz="4" w:space="0"/>
              <w:right w:val="single" w:color="000000" w:sz="4" w:space="0"/>
            </w:tcBorders>
            <w:vAlign w:val="center"/>
          </w:tcPr>
          <w:p w14:paraId="64E6D3D3">
            <w:pPr>
              <w:widowControl/>
              <w:jc w:val="both"/>
              <w:textAlignment w:val="center"/>
              <w:rPr>
                <w:rFonts w:hint="eastAsia"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4</w:t>
            </w:r>
            <w:r>
              <w:rPr>
                <w:rFonts w:hint="eastAsia" w:ascii="宋体" w:hAnsi="宋体" w:eastAsia="宋体" w:cs="仿宋_GB2312"/>
                <w:i w:val="0"/>
                <w:iCs w:val="0"/>
                <w:color w:val="000000"/>
                <w:kern w:val="0"/>
                <w:szCs w:val="21"/>
                <w:highlight w:val="none"/>
                <w:lang w:val="en-US" w:eastAsia="zh-CN" w:bidi="ar"/>
              </w:rPr>
              <w:t>台</w:t>
            </w:r>
          </w:p>
        </w:tc>
        <w:tc>
          <w:tcPr>
            <w:tcW w:w="643" w:type="pct"/>
            <w:tcBorders>
              <w:top w:val="single" w:color="000000" w:sz="4" w:space="0"/>
              <w:left w:val="single" w:color="000000" w:sz="4" w:space="0"/>
              <w:bottom w:val="single" w:color="000000" w:sz="4" w:space="0"/>
              <w:right w:val="single" w:color="000000" w:sz="4" w:space="0"/>
            </w:tcBorders>
            <w:vAlign w:val="center"/>
          </w:tcPr>
          <w:p w14:paraId="2CE1C564">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6+6抗弯低反射夹层玻璃</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五面玻璃柜；</w:t>
            </w:r>
            <w:r>
              <w:rPr>
                <w:rFonts w:hint="eastAsia" w:ascii="宋体" w:hAnsi="宋体" w:eastAsia="宋体" w:cs="仿宋_GB2312"/>
                <w:i w:val="0"/>
                <w:iCs w:val="0"/>
                <w:color w:val="000000"/>
                <w:kern w:val="0"/>
                <w:szCs w:val="21"/>
                <w:highlight w:val="none"/>
                <w:lang w:bidi="ar"/>
              </w:rPr>
              <w:t>展示高度30cm</w:t>
            </w:r>
          </w:p>
        </w:tc>
        <w:tc>
          <w:tcPr>
            <w:tcW w:w="592" w:type="pct"/>
            <w:tcBorders>
              <w:top w:val="single" w:color="000000" w:sz="4" w:space="0"/>
              <w:left w:val="single" w:color="000000" w:sz="4" w:space="0"/>
              <w:bottom w:val="single" w:color="000000" w:sz="4" w:space="0"/>
              <w:right w:val="single" w:color="000000" w:sz="4" w:space="0"/>
            </w:tcBorders>
            <w:vAlign w:val="center"/>
          </w:tcPr>
          <w:p w14:paraId="708C663B">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双侧线型灯</w:t>
            </w:r>
          </w:p>
        </w:tc>
        <w:tc>
          <w:tcPr>
            <w:tcW w:w="559" w:type="pct"/>
            <w:tcBorders>
              <w:top w:val="single" w:color="000000" w:sz="4" w:space="0"/>
              <w:left w:val="single" w:color="000000" w:sz="4" w:space="0"/>
              <w:bottom w:val="single" w:color="000000" w:sz="4" w:space="0"/>
              <w:right w:val="single" w:color="000000" w:sz="4" w:space="0"/>
            </w:tcBorders>
            <w:noWrap/>
            <w:vAlign w:val="center"/>
          </w:tcPr>
          <w:p w14:paraId="699CD7A9">
            <w:pPr>
              <w:rPr>
                <w:rFonts w:ascii="宋体" w:hAnsi="宋体" w:eastAsia="宋体" w:cs="宋体"/>
                <w:i w:val="0"/>
                <w:iCs w:val="0"/>
                <w:color w:val="000000"/>
                <w:szCs w:val="21"/>
                <w:highlight w:val="none"/>
              </w:rPr>
            </w:pPr>
          </w:p>
        </w:tc>
        <w:tc>
          <w:tcPr>
            <w:tcW w:w="447" w:type="pct"/>
            <w:tcBorders>
              <w:top w:val="single" w:color="000000" w:sz="4" w:space="0"/>
              <w:left w:val="single" w:color="000000" w:sz="4" w:space="0"/>
              <w:bottom w:val="single" w:color="000000" w:sz="4" w:space="0"/>
              <w:right w:val="single" w:color="000000" w:sz="4" w:space="0"/>
            </w:tcBorders>
            <w:vAlign w:val="center"/>
          </w:tcPr>
          <w:p w14:paraId="1A5E5570">
            <w:pPr>
              <w:rPr>
                <w:rFonts w:ascii="宋体" w:hAnsi="宋体" w:eastAsia="宋体" w:cs="仿宋_GB2312"/>
                <w:i w:val="0"/>
                <w:iCs w:val="0"/>
                <w:color w:val="000000"/>
                <w:szCs w:val="21"/>
                <w:highlight w:val="none"/>
              </w:rPr>
            </w:pPr>
          </w:p>
        </w:tc>
        <w:tc>
          <w:tcPr>
            <w:tcW w:w="778" w:type="pct"/>
            <w:tcBorders>
              <w:top w:val="single" w:color="000000" w:sz="4" w:space="0"/>
              <w:left w:val="single" w:color="000000" w:sz="4" w:space="0"/>
              <w:bottom w:val="single" w:color="000000" w:sz="4" w:space="0"/>
              <w:right w:val="single" w:color="000000" w:sz="4" w:space="0"/>
            </w:tcBorders>
            <w:vAlign w:val="center"/>
          </w:tcPr>
          <w:p w14:paraId="4C48F497">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电动升降开启装置（开启</w:t>
            </w:r>
            <w:r>
              <w:rPr>
                <w:rFonts w:hint="eastAsia" w:ascii="宋体" w:hAnsi="宋体" w:eastAsia="宋体" w:cs="仿宋_GB2312"/>
                <w:i w:val="0"/>
                <w:iCs w:val="0"/>
                <w:color w:val="000000"/>
                <w:kern w:val="0"/>
                <w:szCs w:val="21"/>
                <w:highlight w:val="none"/>
                <w:lang w:val="en-US" w:eastAsia="zh-CN" w:bidi="ar"/>
              </w:rPr>
              <w:t>高度≥</w:t>
            </w:r>
            <w:r>
              <w:rPr>
                <w:rFonts w:hint="eastAsia" w:ascii="宋体" w:hAnsi="宋体" w:eastAsia="宋体" w:cs="仿宋_GB2312"/>
                <w:i w:val="0"/>
                <w:iCs w:val="0"/>
                <w:color w:val="000000"/>
                <w:kern w:val="0"/>
                <w:szCs w:val="21"/>
                <w:highlight w:val="none"/>
                <w:lang w:bidi="ar"/>
              </w:rPr>
              <w:t>40cm)</w:t>
            </w:r>
          </w:p>
        </w:tc>
        <w:tc>
          <w:tcPr>
            <w:tcW w:w="530" w:type="pct"/>
            <w:tcBorders>
              <w:top w:val="single" w:color="000000" w:sz="4" w:space="0"/>
              <w:left w:val="single" w:color="000000" w:sz="4" w:space="0"/>
              <w:bottom w:val="single" w:color="000000" w:sz="4" w:space="0"/>
              <w:right w:val="single" w:color="000000" w:sz="4" w:space="0"/>
            </w:tcBorders>
            <w:vAlign w:val="center"/>
          </w:tcPr>
          <w:p w14:paraId="45A5557D">
            <w:pPr>
              <w:widowControl/>
              <w:jc w:val="center"/>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设置恒湿剂抽屉</w:t>
            </w:r>
          </w:p>
        </w:tc>
      </w:tr>
      <w:tr w14:paraId="2090529E">
        <w:tblPrEx>
          <w:tblCellMar>
            <w:top w:w="0" w:type="dxa"/>
            <w:left w:w="108" w:type="dxa"/>
            <w:bottom w:w="0" w:type="dxa"/>
            <w:right w:w="108" w:type="dxa"/>
          </w:tblCellMar>
        </w:tblPrEx>
        <w:trPr>
          <w:trHeight w:val="1480"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3BFA691F">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3</w:t>
            </w:r>
          </w:p>
        </w:tc>
        <w:tc>
          <w:tcPr>
            <w:tcW w:w="279" w:type="pct"/>
            <w:tcBorders>
              <w:top w:val="single" w:color="000000" w:sz="4" w:space="0"/>
              <w:left w:val="single" w:color="000000" w:sz="4" w:space="0"/>
              <w:bottom w:val="single" w:color="000000" w:sz="4" w:space="0"/>
              <w:right w:val="single" w:color="000000" w:sz="4" w:space="0"/>
            </w:tcBorders>
            <w:vAlign w:val="center"/>
          </w:tcPr>
          <w:p w14:paraId="787668E7">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80型模块化中心独立柜</w:t>
            </w:r>
          </w:p>
        </w:tc>
        <w:tc>
          <w:tcPr>
            <w:tcW w:w="712" w:type="pct"/>
            <w:tcBorders>
              <w:top w:val="single" w:color="000000" w:sz="4" w:space="0"/>
              <w:left w:val="single" w:color="000000" w:sz="4" w:space="0"/>
              <w:bottom w:val="single" w:color="000000" w:sz="4" w:space="0"/>
              <w:right w:val="single" w:color="000000" w:sz="4" w:space="0"/>
            </w:tcBorders>
            <w:vAlign w:val="center"/>
          </w:tcPr>
          <w:p w14:paraId="0CE8B304">
            <w:pPr>
              <w:widowControl/>
              <w:jc w:val="center"/>
              <w:textAlignment w:val="center"/>
              <w:rPr>
                <w:rFonts w:hint="eastAsia" w:ascii="宋体" w:hAnsi="宋体" w:eastAsia="宋体" w:cs="仿宋_GB2312"/>
                <w:i w:val="0"/>
                <w:iCs w:val="0"/>
                <w:color w:val="000000"/>
                <w:szCs w:val="21"/>
                <w:highlight w:val="none"/>
                <w:lang w:eastAsia="zh-CN"/>
              </w:rPr>
            </w:pPr>
            <w:r>
              <w:rPr>
                <w:rFonts w:hint="eastAsia" w:ascii="宋体" w:hAnsi="宋体" w:eastAsia="宋体" w:cs="仿宋_GB2312"/>
                <w:i w:val="0"/>
                <w:iCs w:val="0"/>
                <w:color w:val="000000"/>
                <w:kern w:val="0"/>
                <w:szCs w:val="21"/>
                <w:highlight w:val="none"/>
                <w:lang w:bidi="ar"/>
              </w:rPr>
              <w:t>80*80*240</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预留恒湿机机位的展示高度≥190、配置恒湿剂抽屉的≥200</w:t>
            </w:r>
          </w:p>
        </w:tc>
        <w:tc>
          <w:tcPr>
            <w:tcW w:w="256" w:type="pct"/>
            <w:tcBorders>
              <w:top w:val="single" w:color="000000" w:sz="4" w:space="0"/>
              <w:left w:val="single" w:color="000000" w:sz="4" w:space="0"/>
              <w:bottom w:val="single" w:color="000000" w:sz="4" w:space="0"/>
              <w:right w:val="single" w:color="000000" w:sz="4" w:space="0"/>
            </w:tcBorders>
            <w:vAlign w:val="center"/>
          </w:tcPr>
          <w:p w14:paraId="62462EC8">
            <w:pPr>
              <w:widowControl/>
              <w:jc w:val="center"/>
              <w:textAlignment w:val="center"/>
              <w:rPr>
                <w:rFonts w:hint="eastAsia"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3</w:t>
            </w:r>
            <w:r>
              <w:rPr>
                <w:rFonts w:hint="eastAsia" w:ascii="宋体" w:hAnsi="宋体" w:eastAsia="宋体" w:cs="仿宋_GB2312"/>
                <w:i w:val="0"/>
                <w:iCs w:val="0"/>
                <w:color w:val="000000"/>
                <w:kern w:val="0"/>
                <w:szCs w:val="21"/>
                <w:highlight w:val="none"/>
                <w:lang w:val="en-US" w:eastAsia="zh-CN" w:bidi="ar"/>
              </w:rPr>
              <w:t>2台</w:t>
            </w:r>
          </w:p>
        </w:tc>
        <w:tc>
          <w:tcPr>
            <w:tcW w:w="643" w:type="pct"/>
            <w:tcBorders>
              <w:top w:val="single" w:color="000000" w:sz="4" w:space="0"/>
              <w:left w:val="single" w:color="000000" w:sz="4" w:space="0"/>
              <w:bottom w:val="single" w:color="000000" w:sz="4" w:space="0"/>
              <w:right w:val="single" w:color="000000" w:sz="4" w:space="0"/>
            </w:tcBorders>
            <w:vAlign w:val="center"/>
          </w:tcPr>
          <w:p w14:paraId="60312350">
            <w:pPr>
              <w:widowControl/>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6+6抗弯低反射夹层玻璃、</w:t>
            </w:r>
            <w:r>
              <w:rPr>
                <w:rFonts w:hint="eastAsia" w:ascii="宋体" w:hAnsi="宋体" w:eastAsia="宋体" w:cs="仿宋_GB2312"/>
                <w:i w:val="0"/>
                <w:iCs w:val="0"/>
                <w:color w:val="000000"/>
                <w:kern w:val="0"/>
                <w:szCs w:val="21"/>
                <w:highlight w:val="none"/>
                <w:lang w:val="en-US" w:eastAsia="zh-CN" w:bidi="ar"/>
              </w:rPr>
              <w:t>四面玻璃柜</w:t>
            </w:r>
          </w:p>
        </w:tc>
        <w:tc>
          <w:tcPr>
            <w:tcW w:w="592" w:type="pct"/>
            <w:tcBorders>
              <w:top w:val="single" w:color="000000" w:sz="4" w:space="0"/>
              <w:left w:val="single" w:color="000000" w:sz="4" w:space="0"/>
              <w:bottom w:val="single" w:color="000000" w:sz="4" w:space="0"/>
              <w:right w:val="single" w:color="000000" w:sz="4" w:space="0"/>
            </w:tcBorders>
            <w:vAlign w:val="center"/>
          </w:tcPr>
          <w:p w14:paraId="6B5AA540">
            <w:pPr>
              <w:widowControl/>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低压迷你轨道射灯；数量≥7盏</w:t>
            </w:r>
          </w:p>
        </w:tc>
        <w:tc>
          <w:tcPr>
            <w:tcW w:w="559" w:type="pct"/>
            <w:tcBorders>
              <w:top w:val="single" w:color="000000" w:sz="4" w:space="0"/>
              <w:left w:val="single" w:color="000000" w:sz="4" w:space="0"/>
              <w:bottom w:val="single" w:color="000000" w:sz="4" w:space="0"/>
              <w:right w:val="single" w:color="000000" w:sz="4" w:space="0"/>
            </w:tcBorders>
            <w:vAlign w:val="center"/>
          </w:tcPr>
          <w:p w14:paraId="6FF0CDE0">
            <w:pPr>
              <w:widowControl/>
              <w:textAlignment w:val="center"/>
              <w:rPr>
                <w:rFonts w:hint="eastAsia" w:ascii="宋体" w:hAnsi="宋体" w:eastAsia="宋体" w:cs="仿宋_GB2312"/>
                <w:i w:val="0"/>
                <w:iCs w:val="0"/>
                <w:color w:val="000000"/>
                <w:szCs w:val="21"/>
                <w:highlight w:val="none"/>
                <w:lang w:eastAsia="zh-CN"/>
              </w:rPr>
            </w:pPr>
            <w:r>
              <w:rPr>
                <w:rFonts w:hint="eastAsia" w:ascii="宋体" w:hAnsi="宋体" w:eastAsia="宋体" w:cs="仿宋_GB2312"/>
                <w:i w:val="0"/>
                <w:iCs w:val="0"/>
                <w:color w:val="000000"/>
                <w:kern w:val="0"/>
                <w:szCs w:val="21"/>
                <w:highlight w:val="none"/>
                <w:lang w:bidi="ar"/>
              </w:rPr>
              <w:t>可拆卸模块化泛光顶(含轨道射灯系统）+模块化顶部玻璃</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设备空间</w:t>
            </w:r>
            <w:r>
              <w:rPr>
                <w:rFonts w:hint="eastAsia" w:ascii="宋体" w:hAnsi="宋体" w:eastAsia="宋体" w:cs="仿宋_GB2312"/>
                <w:i w:val="0"/>
                <w:iCs w:val="0"/>
                <w:color w:val="000000"/>
                <w:kern w:val="0"/>
                <w:szCs w:val="21"/>
                <w:highlight w:val="none"/>
                <w:lang w:bidi="ar"/>
              </w:rPr>
              <w:t>与展示</w:t>
            </w:r>
            <w:r>
              <w:rPr>
                <w:rFonts w:hint="eastAsia" w:ascii="宋体" w:hAnsi="宋体" w:eastAsia="宋体" w:cs="仿宋_GB2312"/>
                <w:i w:val="0"/>
                <w:iCs w:val="0"/>
                <w:color w:val="000000"/>
                <w:kern w:val="0"/>
                <w:szCs w:val="21"/>
                <w:highlight w:val="none"/>
                <w:lang w:val="en-US" w:eastAsia="zh-CN" w:bidi="ar"/>
              </w:rPr>
              <w:t>空间分割</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bidi="ar"/>
              </w:rPr>
              <w:t>模块化顶、展柜可进行一字形、田字形、十字形、L形拼接</w:t>
            </w:r>
            <w:r>
              <w:rPr>
                <w:rFonts w:hint="eastAsia" w:ascii="宋体" w:hAnsi="宋体" w:eastAsia="宋体" w:cs="仿宋_GB2312"/>
                <w:i w:val="0"/>
                <w:iCs w:val="0"/>
                <w:color w:val="000000"/>
                <w:kern w:val="0"/>
                <w:szCs w:val="21"/>
                <w:highlight w:val="none"/>
                <w:lang w:eastAsia="zh-CN" w:bidi="ar"/>
              </w:rPr>
              <w:t>；</w:t>
            </w:r>
          </w:p>
        </w:tc>
        <w:tc>
          <w:tcPr>
            <w:tcW w:w="447" w:type="pct"/>
            <w:tcBorders>
              <w:top w:val="single" w:color="000000" w:sz="4" w:space="0"/>
              <w:left w:val="single" w:color="000000" w:sz="4" w:space="0"/>
              <w:bottom w:val="single" w:color="000000" w:sz="4" w:space="0"/>
              <w:right w:val="single" w:color="000000" w:sz="4" w:space="0"/>
            </w:tcBorders>
            <w:vAlign w:val="center"/>
          </w:tcPr>
          <w:p w14:paraId="7B5A0C23">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可拆卸展台，符合人体工学</w:t>
            </w:r>
          </w:p>
        </w:tc>
        <w:tc>
          <w:tcPr>
            <w:tcW w:w="778" w:type="pct"/>
            <w:tcBorders>
              <w:top w:val="single" w:color="000000" w:sz="4" w:space="0"/>
              <w:left w:val="single" w:color="000000" w:sz="4" w:space="0"/>
              <w:bottom w:val="single" w:color="000000" w:sz="4" w:space="0"/>
              <w:right w:val="single" w:color="000000" w:sz="4" w:space="0"/>
            </w:tcBorders>
            <w:vAlign w:val="center"/>
          </w:tcPr>
          <w:p w14:paraId="1925726E">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90°以上侧面开启装置</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bidi="ar"/>
              </w:rPr>
              <w:t>开启后可通过宽度≥7</w:t>
            </w:r>
            <w:r>
              <w:rPr>
                <w:rFonts w:hint="eastAsia" w:ascii="宋体" w:hAnsi="宋体" w:eastAsia="宋体" w:cs="仿宋_GB2312"/>
                <w:i w:val="0"/>
                <w:iCs w:val="0"/>
                <w:color w:val="000000"/>
                <w:kern w:val="0"/>
                <w:szCs w:val="21"/>
                <w:highlight w:val="none"/>
                <w:lang w:val="en-US" w:eastAsia="zh-CN" w:bidi="ar"/>
              </w:rPr>
              <w:t>2</w:t>
            </w:r>
            <w:r>
              <w:rPr>
                <w:rFonts w:hint="eastAsia" w:ascii="宋体" w:hAnsi="宋体" w:eastAsia="宋体" w:cs="仿宋_GB2312"/>
                <w:i w:val="0"/>
                <w:iCs w:val="0"/>
                <w:color w:val="000000"/>
                <w:kern w:val="0"/>
                <w:szCs w:val="21"/>
                <w:highlight w:val="none"/>
                <w:lang w:bidi="ar"/>
              </w:rPr>
              <w:t>cm</w:t>
            </w:r>
          </w:p>
        </w:tc>
        <w:tc>
          <w:tcPr>
            <w:tcW w:w="530" w:type="pct"/>
            <w:tcBorders>
              <w:top w:val="single" w:color="000000" w:sz="4" w:space="0"/>
              <w:left w:val="single" w:color="000000" w:sz="4" w:space="0"/>
              <w:bottom w:val="single" w:color="000000" w:sz="4" w:space="0"/>
              <w:right w:val="single" w:color="000000" w:sz="4" w:space="0"/>
            </w:tcBorders>
            <w:vAlign w:val="center"/>
          </w:tcPr>
          <w:p w14:paraId="4E890F82">
            <w:pPr>
              <w:widowControl/>
              <w:jc w:val="center"/>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23台</w:t>
            </w:r>
            <w:r>
              <w:rPr>
                <w:rFonts w:hint="eastAsia" w:ascii="宋体" w:hAnsi="宋体" w:eastAsia="宋体" w:cs="仿宋_GB2312"/>
                <w:i w:val="0"/>
                <w:iCs w:val="0"/>
                <w:color w:val="000000"/>
                <w:kern w:val="0"/>
                <w:szCs w:val="21"/>
                <w:highlight w:val="none"/>
                <w:lang w:bidi="ar"/>
              </w:rPr>
              <w:t>设置除湿剂抽屉</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9台预留恒</w:t>
            </w:r>
            <w:r>
              <w:rPr>
                <w:rFonts w:hint="eastAsia" w:ascii="宋体" w:hAnsi="宋体" w:eastAsia="宋体" w:cs="仿宋_GB2312"/>
                <w:i w:val="0"/>
                <w:iCs w:val="0"/>
                <w:color w:val="000000"/>
                <w:kern w:val="0"/>
                <w:szCs w:val="21"/>
                <w:highlight w:val="none"/>
                <w:lang w:bidi="ar"/>
              </w:rPr>
              <w:t>湿机接口和机位</w:t>
            </w:r>
          </w:p>
        </w:tc>
      </w:tr>
      <w:tr w14:paraId="58EA9C11">
        <w:tblPrEx>
          <w:tblCellMar>
            <w:top w:w="0" w:type="dxa"/>
            <w:left w:w="108" w:type="dxa"/>
            <w:bottom w:w="0" w:type="dxa"/>
            <w:right w:w="108" w:type="dxa"/>
          </w:tblCellMar>
        </w:tblPrEx>
        <w:trPr>
          <w:trHeight w:val="1125"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3CF42915">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4</w:t>
            </w:r>
          </w:p>
        </w:tc>
        <w:tc>
          <w:tcPr>
            <w:tcW w:w="279" w:type="pct"/>
            <w:tcBorders>
              <w:top w:val="single" w:color="000000" w:sz="4" w:space="0"/>
              <w:left w:val="single" w:color="000000" w:sz="4" w:space="0"/>
              <w:bottom w:val="single" w:color="000000" w:sz="4" w:space="0"/>
              <w:right w:val="single" w:color="000000" w:sz="4" w:space="0"/>
            </w:tcBorders>
            <w:vAlign w:val="center"/>
          </w:tcPr>
          <w:p w14:paraId="6E4F8AA8">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100型中心独立柜</w:t>
            </w:r>
          </w:p>
        </w:tc>
        <w:tc>
          <w:tcPr>
            <w:tcW w:w="712" w:type="pct"/>
            <w:tcBorders>
              <w:top w:val="single" w:color="000000" w:sz="4" w:space="0"/>
              <w:left w:val="single" w:color="000000" w:sz="4" w:space="0"/>
              <w:bottom w:val="single" w:color="000000" w:sz="4" w:space="0"/>
              <w:right w:val="single" w:color="000000" w:sz="4" w:space="0"/>
            </w:tcBorders>
            <w:vAlign w:val="center"/>
          </w:tcPr>
          <w:p w14:paraId="68D5C388">
            <w:pPr>
              <w:widowControl/>
              <w:jc w:val="center"/>
              <w:textAlignment w:val="center"/>
              <w:rPr>
                <w:rFonts w:hint="eastAsia" w:ascii="宋体" w:hAnsi="宋体" w:eastAsia="宋体" w:cs="仿宋_GB2312"/>
                <w:i w:val="0"/>
                <w:iCs w:val="0"/>
                <w:color w:val="000000"/>
                <w:szCs w:val="21"/>
                <w:highlight w:val="none"/>
                <w:lang w:eastAsia="zh-CN"/>
              </w:rPr>
            </w:pPr>
            <w:r>
              <w:rPr>
                <w:rFonts w:hint="eastAsia" w:ascii="宋体" w:hAnsi="宋体" w:eastAsia="宋体" w:cs="仿宋_GB2312"/>
                <w:i w:val="0"/>
                <w:iCs w:val="0"/>
                <w:color w:val="000000"/>
                <w:kern w:val="0"/>
                <w:szCs w:val="21"/>
                <w:highlight w:val="none"/>
                <w:lang w:bidi="ar"/>
              </w:rPr>
              <w:t>100*100*240</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展示高度≥200</w:t>
            </w:r>
          </w:p>
        </w:tc>
        <w:tc>
          <w:tcPr>
            <w:tcW w:w="256" w:type="pct"/>
            <w:tcBorders>
              <w:top w:val="single" w:color="000000" w:sz="4" w:space="0"/>
              <w:left w:val="single" w:color="000000" w:sz="4" w:space="0"/>
              <w:bottom w:val="single" w:color="000000" w:sz="4" w:space="0"/>
              <w:right w:val="single" w:color="000000" w:sz="4" w:space="0"/>
            </w:tcBorders>
            <w:vAlign w:val="center"/>
          </w:tcPr>
          <w:p w14:paraId="130B1D8D">
            <w:pPr>
              <w:widowControl/>
              <w:jc w:val="center"/>
              <w:textAlignment w:val="center"/>
              <w:rPr>
                <w:rFonts w:hint="eastAsia"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3</w:t>
            </w:r>
            <w:r>
              <w:rPr>
                <w:rFonts w:hint="eastAsia" w:ascii="宋体" w:hAnsi="宋体" w:eastAsia="宋体" w:cs="仿宋_GB2312"/>
                <w:i w:val="0"/>
                <w:iCs w:val="0"/>
                <w:color w:val="000000"/>
                <w:kern w:val="0"/>
                <w:szCs w:val="21"/>
                <w:highlight w:val="none"/>
                <w:lang w:val="en-US" w:eastAsia="zh-CN" w:bidi="ar"/>
              </w:rPr>
              <w:t>台</w:t>
            </w:r>
          </w:p>
        </w:tc>
        <w:tc>
          <w:tcPr>
            <w:tcW w:w="643" w:type="pct"/>
            <w:tcBorders>
              <w:top w:val="single" w:color="000000" w:sz="4" w:space="0"/>
              <w:left w:val="single" w:color="000000" w:sz="4" w:space="0"/>
              <w:bottom w:val="single" w:color="000000" w:sz="4" w:space="0"/>
              <w:right w:val="single" w:color="000000" w:sz="4" w:space="0"/>
            </w:tcBorders>
            <w:vAlign w:val="center"/>
          </w:tcPr>
          <w:p w14:paraId="4C17AD0C">
            <w:pPr>
              <w:widowControl/>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6+6抗弯低反射夹层玻璃、</w:t>
            </w:r>
            <w:r>
              <w:rPr>
                <w:rFonts w:hint="eastAsia" w:ascii="宋体" w:hAnsi="宋体" w:eastAsia="宋体" w:cs="仿宋_GB2312"/>
                <w:i w:val="0"/>
                <w:iCs w:val="0"/>
                <w:color w:val="000000"/>
                <w:kern w:val="0"/>
                <w:szCs w:val="21"/>
                <w:highlight w:val="none"/>
                <w:lang w:val="en-US" w:eastAsia="zh-CN" w:bidi="ar"/>
              </w:rPr>
              <w:t>四</w:t>
            </w:r>
            <w:r>
              <w:rPr>
                <w:rFonts w:hint="eastAsia" w:ascii="宋体" w:hAnsi="宋体" w:eastAsia="宋体" w:cs="仿宋_GB2312"/>
                <w:i w:val="0"/>
                <w:iCs w:val="0"/>
                <w:color w:val="000000"/>
                <w:kern w:val="0"/>
                <w:szCs w:val="21"/>
                <w:highlight w:val="none"/>
                <w:lang w:bidi="ar"/>
              </w:rPr>
              <w:t>面玻璃柜</w:t>
            </w:r>
            <w:r>
              <w:rPr>
                <w:rFonts w:hint="eastAsia" w:ascii="宋体" w:hAnsi="宋体" w:eastAsia="宋体" w:cs="仿宋_GB2312"/>
                <w:i w:val="0"/>
                <w:iCs w:val="0"/>
                <w:color w:val="000000"/>
                <w:kern w:val="0"/>
                <w:szCs w:val="21"/>
                <w:highlight w:val="none"/>
                <w:lang w:val="en-US" w:eastAsia="zh-CN" w:bidi="ar"/>
              </w:rPr>
              <w:t>1台；五</w:t>
            </w:r>
            <w:r>
              <w:rPr>
                <w:rFonts w:hint="eastAsia" w:ascii="宋体" w:hAnsi="宋体" w:eastAsia="宋体" w:cs="仿宋_GB2312"/>
                <w:i w:val="0"/>
                <w:iCs w:val="0"/>
                <w:color w:val="000000"/>
                <w:kern w:val="0"/>
                <w:szCs w:val="21"/>
                <w:highlight w:val="none"/>
                <w:lang w:bidi="ar"/>
              </w:rPr>
              <w:t>面玻璃柜</w:t>
            </w:r>
            <w:r>
              <w:rPr>
                <w:rFonts w:hint="eastAsia" w:ascii="宋体" w:hAnsi="宋体" w:eastAsia="宋体" w:cs="仿宋_GB2312"/>
                <w:i w:val="0"/>
                <w:iCs w:val="0"/>
                <w:color w:val="000000"/>
                <w:kern w:val="0"/>
                <w:szCs w:val="21"/>
                <w:highlight w:val="none"/>
                <w:lang w:val="en-US" w:eastAsia="zh-CN" w:bidi="ar"/>
              </w:rPr>
              <w:t>2台</w:t>
            </w:r>
            <w:r>
              <w:rPr>
                <w:rFonts w:hint="eastAsia" w:ascii="宋体" w:hAnsi="宋体" w:eastAsia="宋体" w:cs="仿宋_GB2312"/>
                <w:i w:val="0"/>
                <w:iCs w:val="0"/>
                <w:color w:val="000000"/>
                <w:kern w:val="0"/>
                <w:szCs w:val="21"/>
                <w:highlight w:val="none"/>
                <w:lang w:eastAsia="zh-CN"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2B92840E">
            <w:pPr>
              <w:widowControl/>
              <w:textAlignment w:val="center"/>
              <w:rPr>
                <w:rFonts w:hint="default" w:ascii="宋体" w:hAnsi="宋体" w:eastAsia="宋体" w:cs="仿宋_GB2312"/>
                <w:i w:val="0"/>
                <w:iCs w:val="0"/>
                <w:color w:val="000000"/>
                <w:szCs w:val="21"/>
                <w:highlight w:val="none"/>
                <w:lang w:val="en-US"/>
              </w:rPr>
            </w:pPr>
            <w:r>
              <w:rPr>
                <w:rFonts w:hint="eastAsia" w:ascii="宋体" w:hAnsi="宋体" w:eastAsia="宋体" w:cs="仿宋_GB2312"/>
                <w:i w:val="0"/>
                <w:iCs w:val="0"/>
                <w:color w:val="000000"/>
                <w:kern w:val="0"/>
                <w:szCs w:val="21"/>
                <w:highlight w:val="none"/>
                <w:lang w:val="en-US" w:eastAsia="zh-CN" w:bidi="ar"/>
              </w:rPr>
              <w:t>低压迷你轨道射灯；数量≥8盏</w:t>
            </w:r>
          </w:p>
        </w:tc>
        <w:tc>
          <w:tcPr>
            <w:tcW w:w="559" w:type="pct"/>
            <w:tcBorders>
              <w:top w:val="single" w:color="000000" w:sz="4" w:space="0"/>
              <w:left w:val="single" w:color="000000" w:sz="4" w:space="0"/>
              <w:bottom w:val="single" w:color="000000" w:sz="4" w:space="0"/>
              <w:right w:val="single" w:color="000000" w:sz="4" w:space="0"/>
            </w:tcBorders>
            <w:vAlign w:val="center"/>
          </w:tcPr>
          <w:p w14:paraId="69B0D007">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设备空间</w:t>
            </w:r>
            <w:r>
              <w:rPr>
                <w:rFonts w:hint="eastAsia" w:ascii="宋体" w:hAnsi="宋体" w:eastAsia="宋体" w:cs="仿宋_GB2312"/>
                <w:i w:val="0"/>
                <w:iCs w:val="0"/>
                <w:color w:val="000000"/>
                <w:kern w:val="0"/>
                <w:szCs w:val="21"/>
                <w:highlight w:val="none"/>
                <w:lang w:bidi="ar"/>
              </w:rPr>
              <w:t>与展示</w:t>
            </w:r>
            <w:r>
              <w:rPr>
                <w:rFonts w:hint="eastAsia" w:ascii="宋体" w:hAnsi="宋体" w:eastAsia="宋体" w:cs="仿宋_GB2312"/>
                <w:i w:val="0"/>
                <w:iCs w:val="0"/>
                <w:color w:val="000000"/>
                <w:kern w:val="0"/>
                <w:szCs w:val="21"/>
                <w:highlight w:val="none"/>
                <w:lang w:val="en-US" w:eastAsia="zh-CN" w:bidi="ar"/>
              </w:rPr>
              <w:t>空间分割</w:t>
            </w:r>
          </w:p>
        </w:tc>
        <w:tc>
          <w:tcPr>
            <w:tcW w:w="447" w:type="pct"/>
            <w:tcBorders>
              <w:top w:val="single" w:color="000000" w:sz="4" w:space="0"/>
              <w:left w:val="single" w:color="000000" w:sz="4" w:space="0"/>
              <w:bottom w:val="single" w:color="000000" w:sz="4" w:space="0"/>
              <w:right w:val="single" w:color="000000" w:sz="4" w:space="0"/>
            </w:tcBorders>
            <w:vAlign w:val="center"/>
          </w:tcPr>
          <w:p w14:paraId="2AF525C7">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可拆卸展台，符合人体工学</w:t>
            </w:r>
          </w:p>
        </w:tc>
        <w:tc>
          <w:tcPr>
            <w:tcW w:w="778" w:type="pct"/>
            <w:tcBorders>
              <w:top w:val="single" w:color="000000" w:sz="4" w:space="0"/>
              <w:left w:val="single" w:color="000000" w:sz="4" w:space="0"/>
              <w:bottom w:val="single" w:color="000000" w:sz="4" w:space="0"/>
              <w:right w:val="single" w:color="000000" w:sz="4" w:space="0"/>
            </w:tcBorders>
            <w:vAlign w:val="center"/>
          </w:tcPr>
          <w:p w14:paraId="03131FD4">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90°以上侧面开启装置</w:t>
            </w:r>
            <w:r>
              <w:rPr>
                <w:rFonts w:hint="eastAsia" w:ascii="宋体" w:hAnsi="宋体" w:eastAsia="宋体" w:cs="仿宋_GB2312"/>
                <w:i w:val="0"/>
                <w:iCs w:val="0"/>
                <w:color w:val="000000"/>
                <w:kern w:val="0"/>
                <w:szCs w:val="21"/>
                <w:highlight w:val="none"/>
                <w:lang w:val="en-US" w:eastAsia="zh-CN" w:bidi="ar"/>
              </w:rPr>
              <w:t>:</w:t>
            </w:r>
            <w:r>
              <w:rPr>
                <w:rFonts w:hint="eastAsia" w:ascii="宋体" w:hAnsi="宋体" w:eastAsia="宋体" w:cs="仿宋_GB2312"/>
                <w:i w:val="0"/>
                <w:iCs w:val="0"/>
                <w:color w:val="000000"/>
                <w:kern w:val="0"/>
                <w:szCs w:val="21"/>
                <w:highlight w:val="none"/>
                <w:lang w:bidi="ar"/>
              </w:rPr>
              <w:t>开启后可通过宽度≥9</w:t>
            </w:r>
            <w:r>
              <w:rPr>
                <w:rFonts w:hint="eastAsia" w:ascii="宋体" w:hAnsi="宋体" w:eastAsia="宋体" w:cs="仿宋_GB2312"/>
                <w:i w:val="0"/>
                <w:iCs w:val="0"/>
                <w:color w:val="000000"/>
                <w:kern w:val="0"/>
                <w:szCs w:val="21"/>
                <w:highlight w:val="none"/>
                <w:lang w:val="en-US" w:eastAsia="zh-CN" w:bidi="ar"/>
              </w:rPr>
              <w:t>2</w:t>
            </w:r>
            <w:r>
              <w:rPr>
                <w:rFonts w:hint="eastAsia" w:ascii="宋体" w:hAnsi="宋体" w:eastAsia="宋体" w:cs="仿宋_GB2312"/>
                <w:i w:val="0"/>
                <w:iCs w:val="0"/>
                <w:color w:val="000000"/>
                <w:kern w:val="0"/>
                <w:szCs w:val="21"/>
                <w:highlight w:val="none"/>
                <w:lang w:bidi="ar"/>
              </w:rPr>
              <w:t>cm</w:t>
            </w:r>
          </w:p>
        </w:tc>
        <w:tc>
          <w:tcPr>
            <w:tcW w:w="530" w:type="pct"/>
            <w:tcBorders>
              <w:top w:val="single" w:color="000000" w:sz="4" w:space="0"/>
              <w:left w:val="single" w:color="000000" w:sz="4" w:space="0"/>
              <w:bottom w:val="single" w:color="000000" w:sz="4" w:space="0"/>
              <w:right w:val="single" w:color="000000" w:sz="4" w:space="0"/>
            </w:tcBorders>
            <w:vAlign w:val="center"/>
          </w:tcPr>
          <w:p w14:paraId="24B04F16">
            <w:pPr>
              <w:widowControl/>
              <w:jc w:val="center"/>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四面玻璃柜设置抽湿剂抽屉；五面玻璃柜预留恒湿机接口和机位</w:t>
            </w:r>
          </w:p>
        </w:tc>
      </w:tr>
      <w:tr w14:paraId="2AF5D003">
        <w:tblPrEx>
          <w:tblCellMar>
            <w:top w:w="0" w:type="dxa"/>
            <w:left w:w="108" w:type="dxa"/>
            <w:bottom w:w="0" w:type="dxa"/>
            <w:right w:w="108" w:type="dxa"/>
          </w:tblCellMar>
        </w:tblPrEx>
        <w:trPr>
          <w:trHeight w:val="1380" w:hRule="atLeast"/>
        </w:trPr>
        <w:tc>
          <w:tcPr>
            <w:tcW w:w="198" w:type="pct"/>
            <w:tcBorders>
              <w:top w:val="single" w:color="000000" w:sz="4" w:space="0"/>
              <w:left w:val="single" w:color="000000" w:sz="4" w:space="0"/>
              <w:bottom w:val="single" w:color="000000" w:sz="4" w:space="0"/>
              <w:right w:val="single" w:color="000000" w:sz="4" w:space="0"/>
            </w:tcBorders>
            <w:vAlign w:val="center"/>
          </w:tcPr>
          <w:p w14:paraId="5046D2D0">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5</w:t>
            </w:r>
          </w:p>
        </w:tc>
        <w:tc>
          <w:tcPr>
            <w:tcW w:w="279" w:type="pct"/>
            <w:tcBorders>
              <w:top w:val="single" w:color="000000" w:sz="4" w:space="0"/>
              <w:left w:val="single" w:color="000000" w:sz="4" w:space="0"/>
              <w:bottom w:val="single" w:color="000000" w:sz="4" w:space="0"/>
              <w:right w:val="single" w:color="000000" w:sz="4" w:space="0"/>
            </w:tcBorders>
            <w:vAlign w:val="center"/>
          </w:tcPr>
          <w:p w14:paraId="196409CF">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长形独立柜</w:t>
            </w:r>
          </w:p>
        </w:tc>
        <w:tc>
          <w:tcPr>
            <w:tcW w:w="712" w:type="pct"/>
            <w:tcBorders>
              <w:top w:val="single" w:color="000000" w:sz="4" w:space="0"/>
              <w:left w:val="single" w:color="000000" w:sz="4" w:space="0"/>
              <w:bottom w:val="single" w:color="000000" w:sz="4" w:space="0"/>
              <w:right w:val="single" w:color="000000" w:sz="4" w:space="0"/>
            </w:tcBorders>
            <w:vAlign w:val="center"/>
          </w:tcPr>
          <w:p w14:paraId="4B76CAFD">
            <w:pPr>
              <w:widowControl/>
              <w:jc w:val="center"/>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240*80*240</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展示空间高度≥190</w:t>
            </w:r>
          </w:p>
        </w:tc>
        <w:tc>
          <w:tcPr>
            <w:tcW w:w="256" w:type="pct"/>
            <w:tcBorders>
              <w:top w:val="single" w:color="000000" w:sz="4" w:space="0"/>
              <w:left w:val="single" w:color="000000" w:sz="4" w:space="0"/>
              <w:bottom w:val="single" w:color="000000" w:sz="4" w:space="0"/>
              <w:right w:val="single" w:color="000000" w:sz="4" w:space="0"/>
            </w:tcBorders>
            <w:vAlign w:val="center"/>
          </w:tcPr>
          <w:p w14:paraId="0E566FB4">
            <w:pPr>
              <w:widowControl/>
              <w:jc w:val="center"/>
              <w:textAlignment w:val="center"/>
              <w:rPr>
                <w:rFonts w:hint="eastAsia"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bidi="ar"/>
              </w:rPr>
              <w:t>18</w:t>
            </w:r>
            <w:r>
              <w:rPr>
                <w:rFonts w:hint="eastAsia" w:ascii="宋体" w:hAnsi="宋体" w:eastAsia="宋体" w:cs="仿宋_GB2312"/>
                <w:i w:val="0"/>
                <w:iCs w:val="0"/>
                <w:color w:val="000000"/>
                <w:kern w:val="0"/>
                <w:szCs w:val="21"/>
                <w:highlight w:val="none"/>
                <w:lang w:val="en-US" w:eastAsia="zh-CN" w:bidi="ar"/>
              </w:rPr>
              <w:t>台</w:t>
            </w:r>
          </w:p>
        </w:tc>
        <w:tc>
          <w:tcPr>
            <w:tcW w:w="643" w:type="pct"/>
            <w:tcBorders>
              <w:top w:val="single" w:color="000000" w:sz="4" w:space="0"/>
              <w:left w:val="single" w:color="000000" w:sz="4" w:space="0"/>
              <w:bottom w:val="single" w:color="000000" w:sz="4" w:space="0"/>
              <w:right w:val="single" w:color="000000" w:sz="4" w:space="0"/>
            </w:tcBorders>
            <w:vAlign w:val="center"/>
          </w:tcPr>
          <w:p w14:paraId="317A5A51">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6+6抗弯低反射夹层玻璃</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四</w:t>
            </w:r>
            <w:r>
              <w:rPr>
                <w:rFonts w:hint="eastAsia" w:ascii="宋体" w:hAnsi="宋体" w:eastAsia="宋体" w:cs="仿宋_GB2312"/>
                <w:i w:val="0"/>
                <w:iCs w:val="0"/>
                <w:color w:val="000000"/>
                <w:kern w:val="0"/>
                <w:szCs w:val="21"/>
                <w:highlight w:val="none"/>
                <w:lang w:bidi="ar"/>
              </w:rPr>
              <w:t>面玻璃柜</w:t>
            </w:r>
            <w:r>
              <w:rPr>
                <w:rFonts w:hint="eastAsia" w:ascii="宋体" w:hAnsi="宋体" w:eastAsia="宋体" w:cs="仿宋_GB2312"/>
                <w:i w:val="0"/>
                <w:iCs w:val="0"/>
                <w:color w:val="000000"/>
                <w:kern w:val="0"/>
                <w:szCs w:val="21"/>
                <w:highlight w:val="none"/>
                <w:lang w:val="en-US" w:eastAsia="zh-CN" w:bidi="ar"/>
              </w:rPr>
              <w:t>14台</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五</w:t>
            </w:r>
            <w:r>
              <w:rPr>
                <w:rFonts w:hint="eastAsia" w:ascii="宋体" w:hAnsi="宋体" w:eastAsia="宋体" w:cs="仿宋_GB2312"/>
                <w:i w:val="0"/>
                <w:iCs w:val="0"/>
                <w:color w:val="000000"/>
                <w:kern w:val="0"/>
                <w:szCs w:val="21"/>
                <w:highlight w:val="none"/>
                <w:lang w:bidi="ar"/>
              </w:rPr>
              <w:t>面玻璃柜</w:t>
            </w:r>
            <w:r>
              <w:rPr>
                <w:rFonts w:hint="eastAsia" w:ascii="宋体" w:hAnsi="宋体" w:eastAsia="宋体" w:cs="仿宋_GB2312"/>
                <w:i w:val="0"/>
                <w:iCs w:val="0"/>
                <w:color w:val="000000"/>
                <w:kern w:val="0"/>
                <w:szCs w:val="21"/>
                <w:highlight w:val="none"/>
                <w:lang w:val="en-US" w:eastAsia="zh-CN" w:bidi="ar"/>
              </w:rPr>
              <w:t>4台</w:t>
            </w:r>
            <w:r>
              <w:rPr>
                <w:rFonts w:hint="eastAsia" w:ascii="宋体" w:hAnsi="宋体" w:eastAsia="宋体" w:cs="仿宋_GB2312"/>
                <w:i w:val="0"/>
                <w:iCs w:val="0"/>
                <w:color w:val="000000"/>
                <w:kern w:val="0"/>
                <w:szCs w:val="21"/>
                <w:highlight w:val="none"/>
                <w:lang w:bidi="ar"/>
              </w:rPr>
              <w:t>）</w:t>
            </w:r>
          </w:p>
        </w:tc>
        <w:tc>
          <w:tcPr>
            <w:tcW w:w="592" w:type="pct"/>
            <w:tcBorders>
              <w:top w:val="single" w:color="000000" w:sz="4" w:space="0"/>
              <w:left w:val="single" w:color="000000" w:sz="4" w:space="0"/>
              <w:bottom w:val="single" w:color="000000" w:sz="4" w:space="0"/>
              <w:right w:val="single" w:color="000000" w:sz="4" w:space="0"/>
            </w:tcBorders>
            <w:vAlign w:val="center"/>
          </w:tcPr>
          <w:p w14:paraId="609443A3">
            <w:pPr>
              <w:widowControl/>
              <w:textAlignment w:val="center"/>
              <w:rPr>
                <w:rFonts w:hint="default" w:ascii="宋体" w:hAnsi="宋体" w:eastAsia="宋体" w:cs="仿宋_GB2312"/>
                <w:i w:val="0"/>
                <w:iCs w:val="0"/>
                <w:color w:val="000000"/>
                <w:szCs w:val="21"/>
                <w:highlight w:val="none"/>
                <w:lang w:val="en-US" w:eastAsia="zh-CN"/>
              </w:rPr>
            </w:pPr>
            <w:r>
              <w:rPr>
                <w:rFonts w:hint="eastAsia" w:ascii="宋体" w:hAnsi="宋体" w:eastAsia="宋体" w:cs="仿宋_GB2312"/>
                <w:i w:val="0"/>
                <w:iCs w:val="0"/>
                <w:color w:val="000000"/>
                <w:kern w:val="0"/>
                <w:szCs w:val="21"/>
                <w:highlight w:val="none"/>
                <w:lang w:val="en-US" w:eastAsia="zh-CN" w:bidi="ar"/>
              </w:rPr>
              <w:t>低压迷你轨道射灯</w:t>
            </w:r>
            <w:r>
              <w:rPr>
                <w:rFonts w:hint="eastAsia" w:ascii="宋体" w:hAnsi="宋体" w:eastAsia="宋体" w:cs="仿宋_GB2312"/>
                <w:i w:val="0"/>
                <w:iCs w:val="0"/>
                <w:color w:val="000000"/>
                <w:kern w:val="0"/>
                <w:szCs w:val="21"/>
                <w:highlight w:val="none"/>
                <w:lang w:eastAsia="zh-CN" w:bidi="ar"/>
              </w:rPr>
              <w:t>；</w:t>
            </w:r>
            <w:r>
              <w:rPr>
                <w:rFonts w:hint="eastAsia" w:ascii="宋体" w:hAnsi="宋体" w:eastAsia="宋体" w:cs="仿宋_GB2312"/>
                <w:i w:val="0"/>
                <w:iCs w:val="0"/>
                <w:color w:val="000000"/>
                <w:kern w:val="0"/>
                <w:szCs w:val="21"/>
                <w:highlight w:val="none"/>
                <w:lang w:val="en-US" w:eastAsia="zh-CN" w:bidi="ar"/>
              </w:rPr>
              <w:t>数量≥16盏</w:t>
            </w:r>
          </w:p>
        </w:tc>
        <w:tc>
          <w:tcPr>
            <w:tcW w:w="559" w:type="pct"/>
            <w:tcBorders>
              <w:top w:val="single" w:color="000000" w:sz="4" w:space="0"/>
              <w:left w:val="single" w:color="000000" w:sz="4" w:space="0"/>
              <w:bottom w:val="single" w:color="000000" w:sz="4" w:space="0"/>
              <w:right w:val="single" w:color="000000" w:sz="4" w:space="0"/>
            </w:tcBorders>
            <w:vAlign w:val="center"/>
          </w:tcPr>
          <w:p w14:paraId="335E713A">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val="en-US" w:eastAsia="zh-CN" w:bidi="ar"/>
              </w:rPr>
              <w:t>设备空间</w:t>
            </w:r>
            <w:r>
              <w:rPr>
                <w:rFonts w:hint="eastAsia" w:ascii="宋体" w:hAnsi="宋体" w:eastAsia="宋体" w:cs="仿宋_GB2312"/>
                <w:i w:val="0"/>
                <w:iCs w:val="0"/>
                <w:color w:val="000000"/>
                <w:kern w:val="0"/>
                <w:szCs w:val="21"/>
                <w:highlight w:val="none"/>
                <w:lang w:bidi="ar"/>
              </w:rPr>
              <w:t>与展示</w:t>
            </w:r>
            <w:r>
              <w:rPr>
                <w:rFonts w:hint="eastAsia" w:ascii="宋体" w:hAnsi="宋体" w:eastAsia="宋体" w:cs="仿宋_GB2312"/>
                <w:i w:val="0"/>
                <w:iCs w:val="0"/>
                <w:color w:val="000000"/>
                <w:kern w:val="0"/>
                <w:szCs w:val="21"/>
                <w:highlight w:val="none"/>
                <w:lang w:val="en-US" w:eastAsia="zh-CN" w:bidi="ar"/>
              </w:rPr>
              <w:t>空间分割</w:t>
            </w:r>
          </w:p>
        </w:tc>
        <w:tc>
          <w:tcPr>
            <w:tcW w:w="447" w:type="pct"/>
            <w:tcBorders>
              <w:top w:val="single" w:color="000000" w:sz="4" w:space="0"/>
              <w:left w:val="single" w:color="000000" w:sz="4" w:space="0"/>
              <w:bottom w:val="single" w:color="000000" w:sz="4" w:space="0"/>
              <w:right w:val="single" w:color="000000" w:sz="4" w:space="0"/>
            </w:tcBorders>
            <w:vAlign w:val="center"/>
          </w:tcPr>
          <w:p w14:paraId="7233D346">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可拆卸展台，符合人体工学</w:t>
            </w:r>
          </w:p>
        </w:tc>
        <w:tc>
          <w:tcPr>
            <w:tcW w:w="778" w:type="pct"/>
            <w:tcBorders>
              <w:top w:val="single" w:color="000000" w:sz="4" w:space="0"/>
              <w:left w:val="single" w:color="000000" w:sz="4" w:space="0"/>
              <w:bottom w:val="single" w:color="000000" w:sz="4" w:space="0"/>
              <w:right w:val="single" w:color="000000" w:sz="4" w:space="0"/>
            </w:tcBorders>
            <w:vAlign w:val="center"/>
          </w:tcPr>
          <w:p w14:paraId="214D84AF">
            <w:pPr>
              <w:widowControl/>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四面玻璃柜：前后两侧较大玻璃面均设置弹出手动两侧平移装置（开启度≥60%）；五面玻璃柜开一侧</w:t>
            </w:r>
          </w:p>
        </w:tc>
        <w:tc>
          <w:tcPr>
            <w:tcW w:w="530" w:type="pct"/>
            <w:tcBorders>
              <w:top w:val="single" w:color="000000" w:sz="4" w:space="0"/>
              <w:left w:val="single" w:color="000000" w:sz="4" w:space="0"/>
              <w:bottom w:val="single" w:color="000000" w:sz="4" w:space="0"/>
              <w:right w:val="single" w:color="000000" w:sz="4" w:space="0"/>
            </w:tcBorders>
            <w:vAlign w:val="center"/>
          </w:tcPr>
          <w:p w14:paraId="71657ACE">
            <w:pPr>
              <w:widowControl/>
              <w:jc w:val="center"/>
              <w:textAlignment w:val="center"/>
              <w:rPr>
                <w:rFonts w:ascii="宋体" w:hAnsi="宋体" w:eastAsia="宋体" w:cs="仿宋_GB2312"/>
                <w:i w:val="0"/>
                <w:iCs w:val="0"/>
                <w:color w:val="000000"/>
                <w:szCs w:val="21"/>
                <w:highlight w:val="none"/>
              </w:rPr>
            </w:pPr>
            <w:r>
              <w:rPr>
                <w:rFonts w:hint="eastAsia" w:ascii="宋体" w:hAnsi="宋体" w:eastAsia="宋体" w:cs="仿宋_GB2312"/>
                <w:i w:val="0"/>
                <w:iCs w:val="0"/>
                <w:color w:val="000000"/>
                <w:kern w:val="0"/>
                <w:szCs w:val="21"/>
                <w:highlight w:val="none"/>
                <w:lang w:bidi="ar"/>
              </w:rPr>
              <w:t>预留</w:t>
            </w:r>
            <w:r>
              <w:rPr>
                <w:rFonts w:hint="eastAsia" w:ascii="宋体" w:hAnsi="宋体" w:eastAsia="宋体" w:cs="仿宋_GB2312"/>
                <w:i w:val="0"/>
                <w:iCs w:val="0"/>
                <w:color w:val="000000"/>
                <w:kern w:val="0"/>
                <w:szCs w:val="21"/>
                <w:highlight w:val="none"/>
                <w:lang w:val="en-US" w:eastAsia="zh-CN" w:bidi="ar"/>
              </w:rPr>
              <w:t>恒湿机</w:t>
            </w:r>
            <w:r>
              <w:rPr>
                <w:rFonts w:hint="eastAsia" w:ascii="宋体" w:hAnsi="宋体" w:eastAsia="宋体" w:cs="仿宋_GB2312"/>
                <w:i w:val="0"/>
                <w:iCs w:val="0"/>
                <w:color w:val="000000"/>
                <w:kern w:val="0"/>
                <w:szCs w:val="21"/>
                <w:highlight w:val="none"/>
                <w:lang w:bidi="ar"/>
              </w:rPr>
              <w:t>接口和机位</w:t>
            </w:r>
          </w:p>
        </w:tc>
      </w:tr>
    </w:tbl>
    <w:p w14:paraId="5CB01180">
      <w:pPr>
        <w:rPr>
          <w:rFonts w:ascii="宋体" w:hAnsi="宋体" w:eastAsia="宋体"/>
          <w:i w:val="0"/>
          <w:iCs w:val="0"/>
          <w:szCs w:val="21"/>
          <w:highlight w:val="none"/>
        </w:rPr>
      </w:pPr>
    </w:p>
    <w:p w14:paraId="0733616A">
      <w:pPr>
        <w:ind w:firstLine="420" w:firstLineChars="200"/>
        <w:rPr>
          <w:rFonts w:ascii="宋体" w:hAnsi="宋体" w:eastAsia="宋体"/>
          <w:i w:val="0"/>
          <w:iCs w:val="0"/>
          <w:szCs w:val="21"/>
          <w:highlight w:val="none"/>
        </w:rPr>
        <w:sectPr>
          <w:pgSz w:w="16838" w:h="11906" w:orient="landscape"/>
          <w:pgMar w:top="1803" w:right="1440" w:bottom="1803" w:left="1440" w:header="851" w:footer="992" w:gutter="0"/>
          <w:cols w:space="0" w:num="1"/>
          <w:docGrid w:type="lines" w:linePitch="319" w:charSpace="0"/>
        </w:sectPr>
      </w:pPr>
    </w:p>
    <w:p w14:paraId="39B311B2">
      <w:pPr>
        <w:numPr>
          <w:ilvl w:val="0"/>
          <w:numId w:val="2"/>
        </w:numPr>
        <w:spacing w:line="360" w:lineRule="auto"/>
        <w:ind w:left="0" w:firstLine="566" w:firstLineChars="236"/>
        <w:rPr>
          <w:rFonts w:hint="eastAsia" w:ascii="宋体" w:hAnsi="宋体" w:eastAsia="宋体"/>
          <w:i w:val="0"/>
          <w:iCs w:val="0"/>
          <w:sz w:val="24"/>
          <w:highlight w:val="none"/>
          <w:lang w:eastAsia="zh-CN"/>
        </w:rPr>
      </w:pPr>
      <w:r>
        <w:rPr>
          <w:rFonts w:hint="eastAsia" w:ascii="宋体" w:hAnsi="宋体" w:eastAsia="宋体"/>
          <w:i w:val="0"/>
          <w:iCs w:val="0"/>
          <w:sz w:val="24"/>
          <w:highlight w:val="none"/>
          <w:lang w:val="en-US" w:eastAsia="zh-CN"/>
        </w:rPr>
        <w:t>展厅图纸见附件</w:t>
      </w:r>
    </w:p>
    <w:p w14:paraId="00D4BD6D">
      <w:pPr>
        <w:numPr>
          <w:ilvl w:val="-1"/>
          <w:numId w:val="0"/>
        </w:numPr>
        <w:spacing w:line="360" w:lineRule="auto"/>
        <w:ind w:left="495" w:leftChars="236" w:firstLine="0" w:firstLineChars="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附件图纸中的</w:t>
      </w:r>
      <w:r>
        <w:rPr>
          <w:rFonts w:hint="eastAsia" w:ascii="宋体" w:hAnsi="宋体" w:eastAsia="宋体"/>
          <w:b/>
          <w:bCs/>
          <w:i w:val="0"/>
          <w:iCs w:val="0"/>
          <w:sz w:val="24"/>
          <w:highlight w:val="none"/>
          <w:lang w:val="en-US" w:eastAsia="zh-CN"/>
        </w:rPr>
        <w:t>临时展厅</w:t>
      </w:r>
      <w:r>
        <w:rPr>
          <w:rFonts w:hint="eastAsia" w:ascii="宋体" w:hAnsi="宋体" w:eastAsia="宋体"/>
          <w:i w:val="0"/>
          <w:iCs w:val="0"/>
          <w:sz w:val="24"/>
          <w:highlight w:val="none"/>
          <w:lang w:val="en-US" w:eastAsia="zh-CN"/>
        </w:rPr>
        <w:t>即本项目所指的</w:t>
      </w:r>
      <w:r>
        <w:rPr>
          <w:rFonts w:hint="eastAsia" w:asciiTheme="minorEastAsia" w:hAnsiTheme="minorEastAsia"/>
          <w:i w:val="0"/>
          <w:iCs w:val="0"/>
          <w:sz w:val="24"/>
          <w:highlight w:val="none"/>
          <w:lang w:val="en-US" w:eastAsia="zh-CN"/>
        </w:rPr>
        <w:t>2号临展厅。</w:t>
      </w:r>
    </w:p>
    <w:p w14:paraId="555CF867">
      <w:pPr>
        <w:numPr>
          <w:ilvl w:val="0"/>
          <w:numId w:val="2"/>
        </w:numPr>
        <w:spacing w:line="360" w:lineRule="auto"/>
        <w:ind w:firstLine="566" w:firstLineChars="236"/>
        <w:rPr>
          <w:rFonts w:ascii="宋体" w:hAnsi="宋体" w:eastAsia="宋体"/>
          <w:i w:val="0"/>
          <w:iCs w:val="0"/>
          <w:sz w:val="24"/>
          <w:highlight w:val="none"/>
        </w:rPr>
      </w:pPr>
      <w:r>
        <w:rPr>
          <w:rFonts w:hint="eastAsia" w:ascii="宋体" w:hAnsi="宋体" w:eastAsia="宋体"/>
          <w:i w:val="0"/>
          <w:iCs w:val="0"/>
          <w:sz w:val="24"/>
          <w:highlight w:val="none"/>
        </w:rPr>
        <w:t>展柜安装形式</w:t>
      </w:r>
    </w:p>
    <w:p w14:paraId="7C5AFE45">
      <w:p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中标人提供沿墙</w:t>
      </w:r>
      <w:r>
        <w:rPr>
          <w:rFonts w:hint="eastAsia" w:ascii="宋体" w:hAnsi="宋体" w:eastAsia="宋体"/>
          <w:i w:val="0"/>
          <w:iCs w:val="0"/>
          <w:sz w:val="24"/>
          <w:highlight w:val="none"/>
        </w:rPr>
        <w:t>通柜应</w:t>
      </w:r>
      <w:r>
        <w:rPr>
          <w:rFonts w:hint="eastAsia" w:ascii="宋体" w:hAnsi="宋体" w:eastAsia="宋体"/>
          <w:i w:val="0"/>
          <w:iCs w:val="0"/>
          <w:sz w:val="24"/>
          <w:highlight w:val="none"/>
          <w:lang w:val="en-US" w:eastAsia="zh-CN"/>
        </w:rPr>
        <w:t>紧贴展厅结构墙进行安装，突出装饰轻钢龙骨墙部分应≤10cm，因为更加美观的效果而＞10cm的，应征得采购人同意；</w:t>
      </w:r>
    </w:p>
    <w:p w14:paraId="05EDDBA8">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模块化展柜首次交货组装形式应事先征得采购人同意</w:t>
      </w:r>
      <w:r>
        <w:rPr>
          <w:rFonts w:hint="eastAsia" w:ascii="宋体" w:hAnsi="宋体" w:eastAsia="宋体"/>
          <w:i w:val="0"/>
          <w:iCs w:val="0"/>
          <w:sz w:val="24"/>
          <w:highlight w:val="none"/>
          <w:lang w:eastAsia="zh-CN"/>
        </w:rPr>
        <w:t>；</w:t>
      </w:r>
    </w:p>
    <w:p w14:paraId="29A30D3D">
      <w:pPr>
        <w:spacing w:line="360" w:lineRule="auto"/>
        <w:ind w:firstLine="480" w:firstLineChars="200"/>
        <w:rPr>
          <w:rFonts w:hint="eastAsia" w:ascii="宋体" w:hAnsi="宋体" w:eastAsia="宋体"/>
          <w:i w:val="0"/>
          <w:iCs w:val="0"/>
          <w:sz w:val="24"/>
          <w:highlight w:val="none"/>
        </w:rPr>
      </w:pPr>
      <w:r>
        <w:rPr>
          <w:rFonts w:hint="eastAsia" w:ascii="宋体" w:hAnsi="宋体" w:eastAsia="宋体"/>
          <w:i w:val="0"/>
          <w:iCs w:val="0"/>
          <w:sz w:val="24"/>
          <w:highlight w:val="none"/>
        </w:rPr>
        <w:t>其他展柜应以组装完成状态交付</w:t>
      </w:r>
      <w:r>
        <w:rPr>
          <w:rFonts w:hint="eastAsia" w:ascii="宋体" w:hAnsi="宋体" w:eastAsia="宋体"/>
          <w:i w:val="0"/>
          <w:iCs w:val="0"/>
          <w:sz w:val="24"/>
          <w:highlight w:val="none"/>
          <w:lang w:eastAsia="zh-CN"/>
        </w:rPr>
        <w:t>；</w:t>
      </w:r>
    </w:p>
    <w:p w14:paraId="0AFCB0C4">
      <w:p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所有展柜安装应保证展柜后期维修维护，因安装不妥导致的维修维护困难由中标人负责。</w:t>
      </w:r>
    </w:p>
    <w:p w14:paraId="17E6DF4B">
      <w:pPr>
        <w:numPr>
          <w:ilvl w:val="0"/>
          <w:numId w:val="2"/>
        </w:numPr>
        <w:spacing w:line="360" w:lineRule="auto"/>
        <w:ind w:firstLine="566" w:firstLineChars="236"/>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展柜安装配套拆除及复原</w:t>
      </w:r>
    </w:p>
    <w:p w14:paraId="670F7A86">
      <w:pPr>
        <w:numPr>
          <w:ilvl w:val="-1"/>
          <w:numId w:val="0"/>
        </w:num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rPr>
        <w:t>中标人应负责原有轻钢龙骨墙的拆除，复建、装饰及轻钢龙骨墙上的强弱电、安防、消防等所有设备设施的拆除、复原工作，采购人不再承担任何与展柜安装及</w:t>
      </w:r>
      <w:r>
        <w:rPr>
          <w:rFonts w:hint="eastAsia" w:ascii="宋体" w:hAnsi="宋体" w:eastAsia="宋体"/>
          <w:i w:val="0"/>
          <w:iCs w:val="0"/>
          <w:sz w:val="24"/>
          <w:highlight w:val="none"/>
          <w:lang w:val="en-US" w:eastAsia="zh-CN"/>
        </w:rPr>
        <w:t>轻钢龙骨</w:t>
      </w:r>
      <w:r>
        <w:rPr>
          <w:rFonts w:hint="eastAsia" w:ascii="宋体" w:hAnsi="宋体" w:eastAsia="宋体"/>
          <w:i w:val="0"/>
          <w:iCs w:val="0"/>
          <w:sz w:val="24"/>
          <w:highlight w:val="none"/>
        </w:rPr>
        <w:t>墙复原修饰的任何费用</w:t>
      </w:r>
      <w:r>
        <w:rPr>
          <w:rFonts w:hint="eastAsia" w:ascii="宋体" w:hAnsi="宋体" w:eastAsia="宋体"/>
          <w:i w:val="0"/>
          <w:iCs w:val="0"/>
          <w:sz w:val="24"/>
          <w:highlight w:val="none"/>
          <w:lang w:eastAsia="zh-CN"/>
        </w:rPr>
        <w:t>；</w:t>
      </w:r>
      <w:r>
        <w:rPr>
          <w:rFonts w:hint="eastAsia" w:ascii="宋体" w:hAnsi="宋体" w:eastAsia="宋体"/>
          <w:i w:val="0"/>
          <w:iCs w:val="0"/>
          <w:sz w:val="24"/>
          <w:highlight w:val="none"/>
          <w:lang w:val="en-US" w:eastAsia="zh-CN"/>
        </w:rPr>
        <w:t>中标人应负责拆除原有隔板间隔板承重钢结构和活动展板；所有拆除、复原工作应提供相关施工资质和具有设计资质单位出具的设计图纸，并取得采购人同意后方可施工。</w:t>
      </w:r>
    </w:p>
    <w:p w14:paraId="78D161A9">
      <w:pPr>
        <w:spacing w:line="360" w:lineRule="auto"/>
        <w:ind w:firstLine="480" w:firstLineChars="200"/>
        <w:rPr>
          <w:rFonts w:hint="eastAsia" w:ascii="宋体" w:hAnsi="宋体" w:eastAsia="宋体"/>
          <w:i w:val="0"/>
          <w:iCs w:val="0"/>
          <w:sz w:val="24"/>
          <w:highlight w:val="none"/>
        </w:rPr>
      </w:pPr>
    </w:p>
    <w:p w14:paraId="2AAD261B">
      <w:pPr>
        <w:numPr>
          <w:ilvl w:val="0"/>
          <w:numId w:val="2"/>
        </w:numPr>
        <w:spacing w:line="360" w:lineRule="auto"/>
        <w:ind w:firstLine="566" w:firstLineChars="236"/>
        <w:rPr>
          <w:rFonts w:ascii="宋体" w:hAnsi="宋体" w:eastAsia="宋体"/>
          <w:i w:val="0"/>
          <w:iCs w:val="0"/>
          <w:sz w:val="24"/>
          <w:highlight w:val="none"/>
        </w:rPr>
      </w:pPr>
      <w:r>
        <w:rPr>
          <w:rFonts w:hint="eastAsia" w:ascii="宋体" w:hAnsi="宋体" w:eastAsia="宋体"/>
          <w:i w:val="0"/>
          <w:iCs w:val="0"/>
          <w:sz w:val="24"/>
          <w:highlight w:val="none"/>
          <w:lang w:val="en-US" w:eastAsia="zh-CN"/>
        </w:rPr>
        <w:t>供货及安装</w:t>
      </w:r>
    </w:p>
    <w:p w14:paraId="0546036E">
      <w:pPr>
        <w:spacing w:line="360" w:lineRule="auto"/>
        <w:ind w:left="210" w:leftChars="100" w:firstLine="420"/>
        <w:rPr>
          <w:rFonts w:ascii="宋体" w:hAnsi="宋体" w:eastAsia="宋体"/>
          <w:i w:val="0"/>
          <w:iCs w:val="0"/>
          <w:sz w:val="24"/>
          <w:highlight w:val="none"/>
        </w:rPr>
      </w:pPr>
      <w:r>
        <w:rPr>
          <w:rFonts w:hint="eastAsia" w:ascii="宋体" w:hAnsi="宋体" w:eastAsia="宋体"/>
          <w:i w:val="0"/>
          <w:iCs w:val="0"/>
          <w:sz w:val="24"/>
          <w:highlight w:val="none"/>
        </w:rPr>
        <w:t>中标人应按照前述清单和要求为采购人提供展柜的设计、生产、运输、安装。</w:t>
      </w:r>
    </w:p>
    <w:p w14:paraId="6C34236F">
      <w:pPr>
        <w:spacing w:line="360" w:lineRule="auto"/>
        <w:ind w:left="210" w:leftChars="100" w:firstLine="420"/>
        <w:rPr>
          <w:rFonts w:hint="eastAsia" w:ascii="宋体" w:hAnsi="宋体" w:eastAsia="宋体"/>
          <w:i w:val="0"/>
          <w:iCs w:val="0"/>
          <w:sz w:val="24"/>
          <w:highlight w:val="none"/>
        </w:rPr>
      </w:pPr>
      <w:r>
        <w:rPr>
          <w:rFonts w:hint="eastAsia" w:ascii="宋体" w:hAnsi="宋体" w:eastAsia="宋体"/>
          <w:i w:val="0"/>
          <w:iCs w:val="0"/>
          <w:sz w:val="24"/>
          <w:highlight w:val="none"/>
        </w:rPr>
        <w:t>投标人应提供能够证明其投标展柜性能及展柜与展厅关系（包括但不限于最终完成后与周界轻钢龙骨墙、地面、天花的关系）的设计方案及佐证材料：包括但不限于展柜深化设计图、节点图、密封图、技术分析图、通柜平面布置图、展柜效果图、及展柜最终完成后在展厅内的实景效果图，所有图纸及描述都将作为投标人在其报价内对采购人做出的承诺。</w:t>
      </w:r>
    </w:p>
    <w:p w14:paraId="66A26384">
      <w:pPr>
        <w:spacing w:line="360" w:lineRule="auto"/>
        <w:ind w:left="210" w:leftChars="100" w:firstLine="42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除以产品优化为目的的更改外，中标人不得更改招标要求和投标承诺。</w:t>
      </w:r>
    </w:p>
    <w:p w14:paraId="6DA1AC0E">
      <w:pPr>
        <w:spacing w:line="360" w:lineRule="auto"/>
        <w:ind w:left="210" w:leftChars="100" w:firstLine="42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所有和交付状态相关的设计图纸，中标人应取得采购人书面同意后，方可按照经同意的图纸进行生产、安装。</w:t>
      </w:r>
    </w:p>
    <w:p w14:paraId="7E80514C">
      <w:pPr>
        <w:numPr>
          <w:ilvl w:val="0"/>
          <w:numId w:val="2"/>
        </w:numPr>
        <w:spacing w:line="360" w:lineRule="auto"/>
        <w:ind w:firstLine="566" w:firstLineChars="236"/>
        <w:rPr>
          <w:rFonts w:ascii="宋体" w:hAnsi="宋体" w:eastAsia="宋体"/>
          <w:i w:val="0"/>
          <w:iCs w:val="0"/>
          <w:sz w:val="24"/>
          <w:highlight w:val="none"/>
        </w:rPr>
      </w:pPr>
      <w:r>
        <w:rPr>
          <w:rFonts w:hint="eastAsia" w:ascii="宋体" w:hAnsi="宋体" w:eastAsia="宋体"/>
          <w:i w:val="0"/>
          <w:iCs w:val="0"/>
          <w:sz w:val="24"/>
          <w:highlight w:val="none"/>
        </w:rPr>
        <w:t>样柜</w:t>
      </w:r>
    </w:p>
    <w:p w14:paraId="5F5FCCA8">
      <w:pPr>
        <w:spacing w:line="360" w:lineRule="auto"/>
        <w:ind w:left="210" w:leftChars="100"/>
        <w:rPr>
          <w:rFonts w:ascii="宋体" w:hAnsi="宋体" w:eastAsia="宋体"/>
          <w:i w:val="0"/>
          <w:iCs w:val="0"/>
          <w:sz w:val="24"/>
          <w:highlight w:val="none"/>
        </w:rPr>
      </w:pPr>
      <w:r>
        <w:rPr>
          <w:rFonts w:hint="eastAsia" w:ascii="宋体" w:hAnsi="宋体" w:eastAsia="宋体"/>
          <w:i w:val="0"/>
          <w:iCs w:val="0"/>
          <w:sz w:val="24"/>
          <w:highlight w:val="none"/>
        </w:rPr>
        <w:t xml:space="preserve">   本项目要求投标人提供样柜，样柜要求</w:t>
      </w:r>
      <w:r>
        <w:rPr>
          <w:rFonts w:hint="eastAsia" w:ascii="宋体" w:hAnsi="宋体" w:eastAsia="宋体"/>
          <w:i w:val="0"/>
          <w:iCs w:val="0"/>
          <w:sz w:val="24"/>
          <w:highlight w:val="none"/>
          <w:lang w:eastAsia="zh-CN"/>
        </w:rPr>
        <w:t>见</w:t>
      </w:r>
      <w:r>
        <w:rPr>
          <w:rFonts w:hint="eastAsia" w:ascii="宋体" w:hAnsi="宋体" w:eastAsia="宋体"/>
          <w:i w:val="0"/>
          <w:iCs w:val="0"/>
          <w:sz w:val="24"/>
          <w:highlight w:val="none"/>
        </w:rPr>
        <w:t>下表：</w:t>
      </w:r>
    </w:p>
    <w:tbl>
      <w:tblPr>
        <w:tblStyle w:val="11"/>
        <w:tblW w:w="97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83"/>
        <w:gridCol w:w="2039"/>
        <w:gridCol w:w="4912"/>
        <w:gridCol w:w="1207"/>
      </w:tblGrid>
      <w:tr w14:paraId="69AA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5780D6FA">
            <w:pPr>
              <w:rPr>
                <w:rFonts w:ascii="宋体" w:hAnsi="宋体" w:eastAsia="宋体"/>
                <w:i w:val="0"/>
                <w:iCs w:val="0"/>
                <w:szCs w:val="21"/>
                <w:highlight w:val="none"/>
              </w:rPr>
            </w:pPr>
            <w:r>
              <w:rPr>
                <w:rFonts w:hint="eastAsia" w:ascii="宋体" w:hAnsi="宋体" w:eastAsia="宋体"/>
                <w:i w:val="0"/>
                <w:iCs w:val="0"/>
                <w:szCs w:val="21"/>
                <w:highlight w:val="none"/>
              </w:rPr>
              <w:t>序号</w:t>
            </w:r>
          </w:p>
        </w:tc>
        <w:tc>
          <w:tcPr>
            <w:tcW w:w="883" w:type="dxa"/>
            <w:vAlign w:val="center"/>
          </w:tcPr>
          <w:p w14:paraId="47F51418">
            <w:pPr>
              <w:rPr>
                <w:rFonts w:hint="eastAsia" w:ascii="宋体" w:hAnsi="宋体" w:eastAsia="宋体"/>
                <w:i w:val="0"/>
                <w:iCs w:val="0"/>
                <w:szCs w:val="21"/>
                <w:highlight w:val="none"/>
                <w:lang w:eastAsia="zh-CN"/>
              </w:rPr>
            </w:pPr>
            <w:r>
              <w:rPr>
                <w:rFonts w:hint="eastAsia" w:ascii="宋体" w:hAnsi="宋体" w:eastAsia="宋体"/>
                <w:i w:val="0"/>
                <w:iCs w:val="0"/>
                <w:szCs w:val="21"/>
                <w:highlight w:val="none"/>
                <w:lang w:eastAsia="zh-CN"/>
              </w:rPr>
              <w:t>样品类型</w:t>
            </w:r>
          </w:p>
        </w:tc>
        <w:tc>
          <w:tcPr>
            <w:tcW w:w="2039" w:type="dxa"/>
            <w:vAlign w:val="center"/>
          </w:tcPr>
          <w:p w14:paraId="54026F37">
            <w:pPr>
              <w:ind w:left="210" w:leftChars="100"/>
              <w:rPr>
                <w:rFonts w:ascii="宋体" w:hAnsi="宋体" w:eastAsia="宋体"/>
                <w:i w:val="0"/>
                <w:iCs w:val="0"/>
                <w:szCs w:val="21"/>
                <w:highlight w:val="none"/>
              </w:rPr>
            </w:pPr>
            <w:r>
              <w:rPr>
                <w:rFonts w:hint="eastAsia" w:ascii="宋体" w:hAnsi="宋体" w:eastAsia="宋体"/>
                <w:i w:val="0"/>
                <w:iCs w:val="0"/>
                <w:szCs w:val="21"/>
                <w:highlight w:val="none"/>
              </w:rPr>
              <w:t>样品内容</w:t>
            </w:r>
          </w:p>
        </w:tc>
        <w:tc>
          <w:tcPr>
            <w:tcW w:w="4912" w:type="dxa"/>
            <w:vAlign w:val="center"/>
          </w:tcPr>
          <w:p w14:paraId="75D9FFB8">
            <w:pPr>
              <w:ind w:left="210" w:leftChars="100"/>
              <w:rPr>
                <w:rFonts w:ascii="宋体" w:hAnsi="宋体" w:eastAsia="宋体"/>
                <w:i w:val="0"/>
                <w:iCs w:val="0"/>
                <w:szCs w:val="21"/>
                <w:highlight w:val="none"/>
              </w:rPr>
            </w:pPr>
            <w:r>
              <w:rPr>
                <w:rFonts w:hint="eastAsia" w:ascii="宋体" w:hAnsi="宋体" w:eastAsia="宋体"/>
                <w:i w:val="0"/>
                <w:iCs w:val="0"/>
                <w:szCs w:val="21"/>
                <w:highlight w:val="none"/>
              </w:rPr>
              <w:t>描述</w:t>
            </w:r>
          </w:p>
        </w:tc>
        <w:tc>
          <w:tcPr>
            <w:tcW w:w="1207" w:type="dxa"/>
            <w:vAlign w:val="center"/>
          </w:tcPr>
          <w:p w14:paraId="3DAC38B2">
            <w:pPr>
              <w:ind w:left="210" w:leftChars="100"/>
              <w:rPr>
                <w:rFonts w:ascii="宋体" w:hAnsi="宋体" w:eastAsia="宋体"/>
                <w:i w:val="0"/>
                <w:iCs w:val="0"/>
                <w:szCs w:val="21"/>
                <w:highlight w:val="none"/>
              </w:rPr>
            </w:pPr>
            <w:r>
              <w:rPr>
                <w:rFonts w:hint="eastAsia" w:ascii="宋体" w:hAnsi="宋体" w:eastAsia="宋体"/>
                <w:i w:val="0"/>
                <w:iCs w:val="0"/>
                <w:szCs w:val="21"/>
                <w:highlight w:val="none"/>
              </w:rPr>
              <w:t>备注</w:t>
            </w:r>
          </w:p>
        </w:tc>
      </w:tr>
      <w:tr w14:paraId="7137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47824BED">
            <w:pPr>
              <w:ind w:left="210" w:leftChars="100"/>
              <w:rPr>
                <w:rFonts w:ascii="宋体" w:hAnsi="宋体" w:eastAsia="宋体"/>
                <w:i w:val="0"/>
                <w:iCs w:val="0"/>
                <w:szCs w:val="21"/>
                <w:highlight w:val="none"/>
              </w:rPr>
            </w:pPr>
            <w:r>
              <w:rPr>
                <w:rFonts w:hint="eastAsia" w:ascii="宋体" w:hAnsi="宋体" w:eastAsia="宋体"/>
                <w:i w:val="0"/>
                <w:iCs w:val="0"/>
                <w:szCs w:val="21"/>
                <w:highlight w:val="none"/>
              </w:rPr>
              <w:t>1</w:t>
            </w:r>
          </w:p>
        </w:tc>
        <w:tc>
          <w:tcPr>
            <w:tcW w:w="883" w:type="dxa"/>
            <w:vMerge w:val="restart"/>
            <w:vAlign w:val="center"/>
          </w:tcPr>
          <w:p w14:paraId="037E48E1">
            <w:pPr>
              <w:ind w:left="210" w:leftChars="100"/>
              <w:rPr>
                <w:rFonts w:hint="eastAsia" w:ascii="宋体" w:hAnsi="宋体" w:eastAsia="宋体"/>
                <w:i w:val="0"/>
                <w:iCs w:val="0"/>
                <w:szCs w:val="21"/>
                <w:highlight w:val="none"/>
                <w:lang w:eastAsia="zh-CN"/>
              </w:rPr>
            </w:pPr>
            <w:r>
              <w:rPr>
                <w:rFonts w:hint="eastAsia" w:ascii="宋体" w:hAnsi="宋体" w:eastAsia="宋体"/>
                <w:i w:val="0"/>
                <w:iCs w:val="0"/>
                <w:szCs w:val="21"/>
                <w:highlight w:val="none"/>
                <w:lang w:eastAsia="zh-CN"/>
              </w:rPr>
              <w:t>实物样品</w:t>
            </w:r>
          </w:p>
        </w:tc>
        <w:tc>
          <w:tcPr>
            <w:tcW w:w="2039" w:type="dxa"/>
            <w:vAlign w:val="center"/>
          </w:tcPr>
          <w:p w14:paraId="074CA273">
            <w:pPr>
              <w:ind w:left="210" w:leftChars="10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rPr>
              <w:t>三台</w:t>
            </w:r>
            <w:r>
              <w:rPr>
                <w:rFonts w:ascii="宋体" w:hAnsi="宋体" w:eastAsia="宋体"/>
                <w:i w:val="0"/>
                <w:iCs w:val="0"/>
                <w:szCs w:val="21"/>
                <w:highlight w:val="none"/>
              </w:rPr>
              <w:t>80型模块化中心独立柜</w:t>
            </w:r>
            <w:r>
              <w:rPr>
                <w:rFonts w:hint="eastAsia" w:ascii="宋体" w:hAnsi="宋体" w:eastAsia="宋体"/>
                <w:i w:val="0"/>
                <w:iCs w:val="0"/>
                <w:szCs w:val="21"/>
                <w:highlight w:val="none"/>
                <w:lang w:eastAsia="zh-CN"/>
              </w:rPr>
              <w:t>（</w:t>
            </w:r>
            <w:r>
              <w:rPr>
                <w:rFonts w:hint="eastAsia" w:ascii="宋体" w:hAnsi="宋体" w:eastAsia="宋体"/>
                <w:i w:val="0"/>
                <w:iCs w:val="0"/>
                <w:szCs w:val="21"/>
                <w:highlight w:val="none"/>
                <w:lang w:val="en-US" w:eastAsia="zh-CN"/>
              </w:rPr>
              <w:t>单台样柜示例如下图）</w:t>
            </w:r>
          </w:p>
        </w:tc>
        <w:tc>
          <w:tcPr>
            <w:tcW w:w="4912" w:type="dxa"/>
            <w:vAlign w:val="center"/>
          </w:tcPr>
          <w:p w14:paraId="6AE6BDC7">
            <w:pPr>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rPr>
              <w:t>该样柜带除湿剂抽屉</w:t>
            </w:r>
            <w:r>
              <w:rPr>
                <w:rFonts w:hint="eastAsia" w:ascii="宋体" w:hAnsi="宋体" w:eastAsia="宋体"/>
                <w:i w:val="0"/>
                <w:iCs w:val="0"/>
                <w:szCs w:val="21"/>
                <w:highlight w:val="none"/>
                <w:lang w:eastAsia="zh-CN"/>
              </w:rPr>
              <w:t>；</w:t>
            </w:r>
            <w:r>
              <w:rPr>
                <w:rFonts w:hint="eastAsia" w:ascii="宋体" w:hAnsi="宋体" w:eastAsia="宋体"/>
                <w:i w:val="0"/>
                <w:iCs w:val="0"/>
                <w:szCs w:val="21"/>
                <w:highlight w:val="none"/>
                <w:lang w:val="en-US" w:eastAsia="zh-CN"/>
              </w:rPr>
              <w:t>样品拼接状态为L型；</w:t>
            </w:r>
            <w:r>
              <w:rPr>
                <w:rFonts w:hint="eastAsia" w:ascii="宋体" w:hAnsi="宋体" w:eastAsia="宋体"/>
                <w:i w:val="0"/>
                <w:iCs w:val="0"/>
                <w:szCs w:val="21"/>
                <w:highlight w:val="none"/>
              </w:rPr>
              <w:t>其他要求参照</w:t>
            </w:r>
            <w:r>
              <w:rPr>
                <w:rFonts w:hint="eastAsia" w:ascii="宋体" w:hAnsi="宋体" w:eastAsia="宋体"/>
                <w:i w:val="0"/>
                <w:iCs w:val="0"/>
                <w:szCs w:val="21"/>
                <w:highlight w:val="none"/>
                <w:lang w:val="en-US" w:eastAsia="zh-CN"/>
              </w:rPr>
              <w:t>具体采购清单、展柜配置表</w:t>
            </w:r>
            <w:r>
              <w:rPr>
                <w:rFonts w:hint="eastAsia" w:ascii="宋体" w:hAnsi="宋体" w:eastAsia="宋体"/>
                <w:i w:val="0"/>
                <w:iCs w:val="0"/>
                <w:szCs w:val="21"/>
                <w:highlight w:val="none"/>
              </w:rPr>
              <w:t>及</w:t>
            </w:r>
            <w:r>
              <w:rPr>
                <w:rFonts w:hint="eastAsia" w:ascii="宋体" w:hAnsi="宋体" w:eastAsia="宋体"/>
                <w:i w:val="0"/>
                <w:iCs w:val="0"/>
                <w:szCs w:val="21"/>
                <w:highlight w:val="none"/>
                <w:lang w:val="en-US" w:eastAsia="zh-CN"/>
              </w:rPr>
              <w:t>相关</w:t>
            </w:r>
            <w:r>
              <w:rPr>
                <w:rFonts w:hint="eastAsia" w:ascii="宋体" w:hAnsi="宋体" w:eastAsia="宋体"/>
                <w:i w:val="0"/>
                <w:iCs w:val="0"/>
                <w:szCs w:val="21"/>
                <w:highlight w:val="none"/>
              </w:rPr>
              <w:t>性能要求</w:t>
            </w:r>
            <w:r>
              <w:rPr>
                <w:rFonts w:hint="eastAsia" w:ascii="宋体" w:hAnsi="宋体" w:eastAsia="宋体"/>
                <w:i w:val="0"/>
                <w:iCs w:val="0"/>
                <w:szCs w:val="21"/>
                <w:highlight w:val="none"/>
                <w:lang w:eastAsia="zh-CN"/>
              </w:rPr>
              <w:t>；</w:t>
            </w:r>
            <w:r>
              <w:rPr>
                <w:rFonts w:hint="eastAsia" w:ascii="宋体" w:hAnsi="宋体" w:eastAsia="宋体"/>
                <w:i w:val="0"/>
                <w:iCs w:val="0"/>
                <w:szCs w:val="21"/>
                <w:highlight w:val="none"/>
              </w:rPr>
              <w:t>样柜应能完整展示其开启、拼接、柜顶拆换、除湿剂更换、展览照明等各种功能。</w:t>
            </w:r>
          </w:p>
        </w:tc>
        <w:tc>
          <w:tcPr>
            <w:tcW w:w="1207" w:type="dxa"/>
            <w:vAlign w:val="center"/>
          </w:tcPr>
          <w:p w14:paraId="4A2AFD72">
            <w:pPr>
              <w:rPr>
                <w:rFonts w:ascii="宋体" w:hAnsi="宋体" w:eastAsia="宋体"/>
                <w:i w:val="0"/>
                <w:iCs w:val="0"/>
                <w:szCs w:val="21"/>
                <w:highlight w:val="none"/>
              </w:rPr>
            </w:pPr>
            <w:r>
              <w:rPr>
                <w:rFonts w:hint="eastAsia" w:ascii="宋体" w:hAnsi="宋体" w:eastAsia="宋体"/>
                <w:i w:val="0"/>
                <w:iCs w:val="0"/>
                <w:szCs w:val="21"/>
                <w:highlight w:val="none"/>
              </w:rPr>
              <w:t>需现场组装</w:t>
            </w:r>
          </w:p>
        </w:tc>
      </w:tr>
      <w:tr w14:paraId="1A41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53737F72">
            <w:pPr>
              <w:ind w:left="210" w:leftChars="100"/>
              <w:rPr>
                <w:rFonts w:hint="eastAsia"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2</w:t>
            </w:r>
          </w:p>
        </w:tc>
        <w:tc>
          <w:tcPr>
            <w:tcW w:w="883" w:type="dxa"/>
            <w:vMerge w:val="continue"/>
            <w:vAlign w:val="center"/>
          </w:tcPr>
          <w:p w14:paraId="212ED8B2">
            <w:pPr>
              <w:ind w:left="210" w:leftChars="100"/>
              <w:rPr>
                <w:rFonts w:hint="eastAsia" w:ascii="宋体" w:hAnsi="宋体" w:eastAsia="宋体"/>
                <w:i w:val="0"/>
                <w:iCs w:val="0"/>
                <w:szCs w:val="21"/>
                <w:highlight w:val="none"/>
                <w:lang w:val="en-US" w:eastAsia="zh-CN"/>
              </w:rPr>
            </w:pPr>
          </w:p>
        </w:tc>
        <w:tc>
          <w:tcPr>
            <w:tcW w:w="2039" w:type="dxa"/>
            <w:vAlign w:val="center"/>
          </w:tcPr>
          <w:p w14:paraId="27981646">
            <w:pPr>
              <w:ind w:left="210" w:leftChars="10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可更换玻璃柜顶</w:t>
            </w:r>
          </w:p>
        </w:tc>
        <w:tc>
          <w:tcPr>
            <w:tcW w:w="4912" w:type="dxa"/>
            <w:vAlign w:val="center"/>
          </w:tcPr>
          <w:p w14:paraId="4C5C7940">
            <w:pPr>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只需要一个玻璃柜顶，能展示可更换等功能</w:t>
            </w:r>
          </w:p>
        </w:tc>
        <w:tc>
          <w:tcPr>
            <w:tcW w:w="1207" w:type="dxa"/>
            <w:vAlign w:val="center"/>
          </w:tcPr>
          <w:p w14:paraId="4C699DBD">
            <w:pPr>
              <w:rPr>
                <w:rFonts w:hint="eastAsia" w:ascii="宋体" w:hAnsi="宋体" w:eastAsia="宋体"/>
                <w:i w:val="0"/>
                <w:iCs w:val="0"/>
                <w:szCs w:val="21"/>
                <w:highlight w:val="none"/>
              </w:rPr>
            </w:pPr>
          </w:p>
        </w:tc>
      </w:tr>
      <w:tr w14:paraId="7120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3290F06A">
            <w:pPr>
              <w:ind w:left="210" w:leftChars="10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3</w:t>
            </w:r>
          </w:p>
        </w:tc>
        <w:tc>
          <w:tcPr>
            <w:tcW w:w="883" w:type="dxa"/>
            <w:vMerge w:val="continue"/>
            <w:vAlign w:val="center"/>
          </w:tcPr>
          <w:p w14:paraId="2A6F3505">
            <w:pPr>
              <w:ind w:left="210" w:leftChars="100"/>
              <w:rPr>
                <w:rFonts w:hint="eastAsia" w:ascii="宋体" w:hAnsi="宋体" w:eastAsia="宋体"/>
                <w:i w:val="0"/>
                <w:iCs w:val="0"/>
                <w:szCs w:val="21"/>
                <w:highlight w:val="none"/>
                <w:lang w:val="en-US" w:eastAsia="zh-CN"/>
              </w:rPr>
            </w:pPr>
          </w:p>
        </w:tc>
        <w:tc>
          <w:tcPr>
            <w:tcW w:w="2039" w:type="dxa"/>
            <w:vAlign w:val="center"/>
          </w:tcPr>
          <w:p w14:paraId="4147ECC4">
            <w:pPr>
              <w:ind w:left="0" w:leftChars="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灯具轨道和射灯</w:t>
            </w:r>
          </w:p>
        </w:tc>
        <w:tc>
          <w:tcPr>
            <w:tcW w:w="4912" w:type="dxa"/>
            <w:vAlign w:val="center"/>
          </w:tcPr>
          <w:p w14:paraId="75372B85">
            <w:pPr>
              <w:ind w:left="0" w:leftChars="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轨道和射灯一套，能展示其照明功能，接电即可进入演示状态</w:t>
            </w:r>
          </w:p>
        </w:tc>
        <w:tc>
          <w:tcPr>
            <w:tcW w:w="1207" w:type="dxa"/>
            <w:vAlign w:val="center"/>
          </w:tcPr>
          <w:p w14:paraId="57AE7749">
            <w:pPr>
              <w:rPr>
                <w:rFonts w:hint="eastAsia" w:ascii="宋体" w:hAnsi="宋体" w:eastAsia="宋体"/>
                <w:i w:val="0"/>
                <w:iCs w:val="0"/>
                <w:szCs w:val="21"/>
                <w:highlight w:val="none"/>
              </w:rPr>
            </w:pPr>
          </w:p>
        </w:tc>
      </w:tr>
      <w:tr w14:paraId="4A12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6" w:type="dxa"/>
            <w:vAlign w:val="center"/>
          </w:tcPr>
          <w:p w14:paraId="68893A7A">
            <w:pPr>
              <w:ind w:left="210" w:leftChars="100"/>
              <w:rPr>
                <w:rFonts w:hint="default"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4</w:t>
            </w:r>
          </w:p>
        </w:tc>
        <w:tc>
          <w:tcPr>
            <w:tcW w:w="883" w:type="dxa"/>
            <w:vAlign w:val="center"/>
          </w:tcPr>
          <w:p w14:paraId="589CA856">
            <w:pPr>
              <w:ind w:left="210" w:leftChars="100"/>
              <w:rPr>
                <w:rFonts w:hint="eastAsia"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演示视频</w:t>
            </w:r>
          </w:p>
        </w:tc>
        <w:tc>
          <w:tcPr>
            <w:tcW w:w="2039" w:type="dxa"/>
            <w:vAlign w:val="center"/>
          </w:tcPr>
          <w:p w14:paraId="76F6C482">
            <w:pPr>
              <w:ind w:left="0" w:leftChars="0"/>
              <w:rPr>
                <w:rFonts w:hint="eastAsia"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U盘（MP4格式，视频时长不超过15分钟）一式两份</w:t>
            </w:r>
            <w:bookmarkStart w:id="4" w:name="_GoBack"/>
            <w:bookmarkEnd w:id="4"/>
          </w:p>
        </w:tc>
        <w:tc>
          <w:tcPr>
            <w:tcW w:w="4912" w:type="dxa"/>
            <w:vAlign w:val="center"/>
          </w:tcPr>
          <w:p w14:paraId="7B834D7E">
            <w:pPr>
              <w:ind w:left="0" w:leftChars="0"/>
              <w:rPr>
                <w:rFonts w:hint="eastAsia" w:ascii="宋体" w:hAnsi="宋体" w:eastAsia="宋体"/>
                <w:i w:val="0"/>
                <w:iCs w:val="0"/>
                <w:szCs w:val="21"/>
                <w:highlight w:val="none"/>
                <w:lang w:val="en-US" w:eastAsia="zh-CN"/>
              </w:rPr>
            </w:pPr>
            <w:r>
              <w:rPr>
                <w:rFonts w:hint="eastAsia" w:ascii="宋体" w:hAnsi="宋体" w:eastAsia="宋体"/>
                <w:i w:val="0"/>
                <w:iCs w:val="0"/>
                <w:szCs w:val="21"/>
                <w:highlight w:val="none"/>
                <w:lang w:val="en-US" w:eastAsia="zh-CN"/>
              </w:rPr>
              <w:t>操作说明演示视频能够直接证明样柜性能或能引导专家进行现场操作以查验样柜性能，需包括独立柜的隐蔽空间打开方式和隐蔽空间实况；独立柜的手动开启方式；独立柜柜门锁具开启锁闭；锁止机构（撑脚）锁止释放功能；展示调光方式：引导他人开启关闭照明功能、更换灯具、调节照射角度、光圈大小、是否能够无线调光；可拆卸模块化泛光顶(含轨道射灯系统）和模块化顶部玻璃相互更换功能。</w:t>
            </w:r>
          </w:p>
        </w:tc>
        <w:tc>
          <w:tcPr>
            <w:tcW w:w="1207" w:type="dxa"/>
            <w:vAlign w:val="center"/>
          </w:tcPr>
          <w:p w14:paraId="1481D500">
            <w:pPr>
              <w:rPr>
                <w:rFonts w:hint="eastAsia" w:ascii="宋体" w:hAnsi="宋体" w:eastAsia="宋体"/>
                <w:i w:val="0"/>
                <w:iCs w:val="0"/>
                <w:szCs w:val="21"/>
                <w:highlight w:val="none"/>
                <w:lang w:eastAsia="zh-CN"/>
              </w:rPr>
            </w:pPr>
            <w:r>
              <w:rPr>
                <w:rFonts w:hint="eastAsia" w:ascii="宋体" w:hAnsi="宋体" w:eastAsia="宋体"/>
                <w:i w:val="0"/>
                <w:iCs w:val="0"/>
                <w:szCs w:val="21"/>
                <w:highlight w:val="none"/>
                <w:lang w:eastAsia="zh-CN"/>
              </w:rPr>
              <w:t>提交至上海市政府采购中心</w:t>
            </w:r>
          </w:p>
        </w:tc>
      </w:tr>
    </w:tbl>
    <w:p w14:paraId="1C48F9EB">
      <w:pPr>
        <w:widowControl/>
        <w:spacing w:line="360" w:lineRule="auto"/>
        <w:ind w:firstLine="482" w:firstLineChars="200"/>
        <w:rPr>
          <w:rFonts w:hint="eastAsia" w:ascii="宋体" w:hAnsi="宋体" w:eastAsia="宋体" w:cs="宋体"/>
          <w:b/>
          <w:bCs w:val="0"/>
          <w:i w:val="0"/>
          <w:iCs w:val="0"/>
          <w:sz w:val="24"/>
          <w:highlight w:val="none"/>
          <w:lang w:val="en-US" w:eastAsia="zh-CN"/>
        </w:rPr>
      </w:pPr>
      <w:r>
        <w:rPr>
          <w:rFonts w:hint="eastAsia" w:ascii="宋体" w:hAnsi="宋体" w:eastAsia="宋体" w:cs="宋体"/>
          <w:b/>
          <w:bCs w:val="0"/>
          <w:i w:val="0"/>
          <w:iCs w:val="0"/>
          <w:sz w:val="24"/>
          <w:highlight w:val="none"/>
          <w:lang w:val="en-US" w:eastAsia="zh-CN"/>
        </w:rPr>
        <w:t>单台样柜示例图：</w:t>
      </w:r>
    </w:p>
    <w:p w14:paraId="3FEEE025">
      <w:pPr>
        <w:widowControl/>
        <w:spacing w:line="360" w:lineRule="auto"/>
        <w:ind w:firstLine="482" w:firstLineChars="200"/>
        <w:rPr>
          <w:rFonts w:hint="default" w:ascii="宋体" w:hAnsi="宋体" w:eastAsia="宋体" w:cs="宋体"/>
          <w:b/>
          <w:bCs w:val="0"/>
          <w:i w:val="0"/>
          <w:iCs w:val="0"/>
          <w:sz w:val="24"/>
          <w:highlight w:val="none"/>
          <w:lang w:val="en-US" w:eastAsia="zh-CN"/>
        </w:rPr>
      </w:pPr>
      <w:r>
        <w:rPr>
          <w:rFonts w:hint="default" w:ascii="宋体" w:hAnsi="宋体" w:eastAsia="宋体" w:cs="宋体"/>
          <w:b/>
          <w:bCs w:val="0"/>
          <w:i w:val="0"/>
          <w:iCs w:val="0"/>
          <w:sz w:val="24"/>
          <w:highlight w:val="none"/>
          <w:lang w:val="en-US" w:eastAsia="zh-CN"/>
        </w:rPr>
        <w:drawing>
          <wp:inline distT="0" distB="0" distL="114300" distR="114300">
            <wp:extent cx="5115560" cy="4187190"/>
            <wp:effectExtent l="0" t="0" r="8890" b="3810"/>
            <wp:docPr id="2" name="图片 2" descr="7451c835-455f-4c2c-96c4-7d6eb71bab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451c835-455f-4c2c-96c4-7d6eb71bab67"/>
                    <pic:cNvPicPr>
                      <a:picLocks noChangeAspect="1"/>
                    </pic:cNvPicPr>
                  </pic:nvPicPr>
                  <pic:blipFill>
                    <a:blip r:embed="rId5"/>
                    <a:stretch>
                      <a:fillRect/>
                    </a:stretch>
                  </pic:blipFill>
                  <pic:spPr>
                    <a:xfrm>
                      <a:off x="0" y="0"/>
                      <a:ext cx="5115560" cy="4187190"/>
                    </a:xfrm>
                    <a:prstGeom prst="rect">
                      <a:avLst/>
                    </a:prstGeom>
                  </pic:spPr>
                </pic:pic>
              </a:graphicData>
            </a:graphic>
          </wp:inline>
        </w:drawing>
      </w:r>
    </w:p>
    <w:p w14:paraId="0487A3A9">
      <w:pPr>
        <w:widowControl/>
        <w:spacing w:line="360" w:lineRule="auto"/>
        <w:ind w:firstLine="480" w:firstLineChars="200"/>
        <w:rPr>
          <w:rFonts w:hint="eastAsia" w:ascii="宋体" w:hAnsi="宋体" w:eastAsia="宋体" w:cs="宋体"/>
          <w:b w:val="0"/>
          <w:bCs/>
          <w:i w:val="0"/>
          <w:iCs w:val="0"/>
          <w:sz w:val="24"/>
          <w:highlight w:val="none"/>
        </w:rPr>
      </w:pPr>
      <w:r>
        <w:rPr>
          <w:rFonts w:hint="eastAsia" w:ascii="宋体" w:hAnsi="宋体" w:eastAsia="宋体" w:cs="宋体"/>
          <w:b w:val="0"/>
          <w:bCs/>
          <w:i w:val="0"/>
          <w:iCs w:val="0"/>
          <w:sz w:val="24"/>
          <w:highlight w:val="none"/>
          <w:lang w:val="en-US" w:eastAsia="zh-CN"/>
        </w:rPr>
        <w:t>注意：</w:t>
      </w:r>
    </w:p>
    <w:p w14:paraId="2B0A5325">
      <w:pPr>
        <w:widowControl/>
        <w:spacing w:line="360" w:lineRule="auto"/>
        <w:ind w:firstLine="480" w:firstLineChars="200"/>
        <w:rPr>
          <w:rFonts w:hint="eastAsia" w:ascii="宋体" w:hAnsi="宋体" w:eastAsia="宋体" w:cs="宋体"/>
          <w:b w:val="0"/>
          <w:bCs/>
          <w:i w:val="0"/>
          <w:iCs w:val="0"/>
          <w:sz w:val="24"/>
          <w:highlight w:val="none"/>
          <w:lang w:val="en-US" w:eastAsia="zh-CN"/>
        </w:rPr>
      </w:pPr>
      <w:r>
        <w:rPr>
          <w:rFonts w:hint="eastAsia" w:ascii="宋体" w:hAnsi="宋体" w:eastAsia="宋体" w:cs="宋体"/>
          <w:b w:val="0"/>
          <w:bCs/>
          <w:i w:val="0"/>
          <w:iCs w:val="0"/>
          <w:sz w:val="24"/>
          <w:highlight w:val="none"/>
          <w:lang w:eastAsia="zh-CN"/>
        </w:rPr>
        <w:t>实物</w:t>
      </w:r>
      <w:r>
        <w:rPr>
          <w:rFonts w:hint="eastAsia" w:ascii="宋体" w:hAnsi="宋体" w:eastAsia="宋体" w:cs="宋体"/>
          <w:b w:val="0"/>
          <w:bCs/>
          <w:i w:val="0"/>
          <w:iCs w:val="0"/>
          <w:sz w:val="24"/>
          <w:highlight w:val="none"/>
          <w:lang w:eastAsia="zh"/>
        </w:rPr>
        <w:t>样品组装件不接受分批次送达，投标人必须将提供的</w:t>
      </w:r>
      <w:r>
        <w:rPr>
          <w:rFonts w:hint="eastAsia" w:ascii="宋体" w:hAnsi="宋体" w:eastAsia="宋体" w:cs="宋体"/>
          <w:b w:val="0"/>
          <w:bCs/>
          <w:i w:val="0"/>
          <w:iCs w:val="0"/>
          <w:sz w:val="24"/>
          <w:highlight w:val="none"/>
          <w:lang w:eastAsia="zh-CN"/>
        </w:rPr>
        <w:t>实物</w:t>
      </w:r>
      <w:r>
        <w:rPr>
          <w:rFonts w:hint="eastAsia" w:ascii="宋体" w:hAnsi="宋体" w:eastAsia="宋体" w:cs="宋体"/>
          <w:b w:val="0"/>
          <w:bCs/>
          <w:i w:val="0"/>
          <w:iCs w:val="0"/>
          <w:sz w:val="24"/>
          <w:highlight w:val="none"/>
          <w:lang w:eastAsia="zh"/>
        </w:rPr>
        <w:t>样品送至</w:t>
      </w:r>
      <w:r>
        <w:rPr>
          <w:rFonts w:hint="eastAsia" w:ascii="宋体" w:hAnsi="宋体" w:eastAsia="宋体" w:cs="宋体"/>
          <w:b w:val="0"/>
          <w:bCs/>
          <w:i w:val="0"/>
          <w:iCs w:val="0"/>
          <w:sz w:val="24"/>
          <w:highlight w:val="none"/>
          <w:lang w:val="en-US" w:eastAsia="zh-CN"/>
        </w:rPr>
        <w:t>上海市黄浦区龙华东路418号</w:t>
      </w:r>
      <w:r>
        <w:rPr>
          <w:rFonts w:hint="eastAsia" w:ascii="宋体" w:hAnsi="宋体" w:eastAsia="宋体" w:cs="宋体"/>
          <w:b w:val="0"/>
          <w:bCs/>
          <w:i w:val="0"/>
          <w:iCs w:val="0"/>
          <w:sz w:val="24"/>
          <w:highlight w:val="none"/>
          <w:lang w:eastAsia="zh"/>
        </w:rPr>
        <w:t>地下车库指定样品存放区</w:t>
      </w:r>
      <w:r>
        <w:rPr>
          <w:rFonts w:hint="eastAsia" w:ascii="宋体" w:hAnsi="宋体" w:eastAsia="宋体" w:cs="宋体"/>
          <w:b w:val="0"/>
          <w:bCs/>
          <w:i w:val="0"/>
          <w:iCs w:val="0"/>
          <w:sz w:val="24"/>
          <w:highlight w:val="none"/>
          <w:lang w:eastAsia="zh-CN"/>
        </w:rPr>
        <w:t>（</w:t>
      </w:r>
      <w:r>
        <w:rPr>
          <w:rFonts w:hint="eastAsia" w:ascii="宋体" w:hAnsi="宋体" w:eastAsia="宋体" w:cs="宋体"/>
          <w:b w:val="0"/>
          <w:bCs/>
          <w:i w:val="0"/>
          <w:iCs w:val="0"/>
          <w:sz w:val="24"/>
          <w:highlight w:val="none"/>
          <w:lang w:val="en-US" w:eastAsia="zh-CN"/>
        </w:rPr>
        <w:t>限高3.2米，现场提供插座电源）</w:t>
      </w:r>
      <w:r>
        <w:rPr>
          <w:rFonts w:hint="eastAsia" w:ascii="宋体" w:hAnsi="宋体" w:eastAsia="宋体" w:cs="宋体"/>
          <w:b w:val="0"/>
          <w:bCs/>
          <w:i w:val="0"/>
          <w:iCs w:val="0"/>
          <w:sz w:val="24"/>
          <w:highlight w:val="none"/>
          <w:lang w:eastAsia="zh"/>
        </w:rPr>
        <w:t>，</w:t>
      </w:r>
      <w:r>
        <w:rPr>
          <w:rFonts w:hint="eastAsia" w:ascii="宋体" w:hAnsi="宋体" w:eastAsia="宋体" w:cs="宋体"/>
          <w:b w:val="0"/>
          <w:bCs/>
          <w:i w:val="0"/>
          <w:iCs w:val="0"/>
          <w:sz w:val="24"/>
          <w:highlight w:val="none"/>
          <w:lang w:eastAsia="zh-CN"/>
        </w:rPr>
        <w:t>实物样品接收时间为2026年4月7日8：00-17:00。实物样品组装时间为2026年4月8日9:00-17:00</w:t>
      </w:r>
      <w:r>
        <w:rPr>
          <w:rFonts w:hint="eastAsia" w:ascii="宋体" w:hAnsi="宋体" w:eastAsia="宋体" w:cs="宋体"/>
          <w:b w:val="0"/>
          <w:bCs/>
          <w:i w:val="0"/>
          <w:iCs w:val="0"/>
          <w:sz w:val="24"/>
          <w:highlight w:val="none"/>
          <w:lang w:val="en-US" w:eastAsia="zh-CN"/>
        </w:rPr>
        <w:t>，投标人需服从招标单位管理要求，联系人：刘东波，联系方式：15026580032。</w:t>
      </w:r>
    </w:p>
    <w:p w14:paraId="4638F5E5">
      <w:pPr>
        <w:widowControl/>
        <w:spacing w:line="360" w:lineRule="auto"/>
        <w:ind w:firstLine="480" w:firstLineChars="200"/>
        <w:rPr>
          <w:rFonts w:hint="default" w:ascii="宋体" w:hAnsi="宋体" w:eastAsia="宋体" w:cs="宋体"/>
          <w:b w:val="0"/>
          <w:bCs/>
          <w:i w:val="0"/>
          <w:iCs w:val="0"/>
          <w:sz w:val="24"/>
          <w:highlight w:val="none"/>
          <w:lang w:val="en-US" w:eastAsia="zh-CN"/>
        </w:rPr>
      </w:pPr>
    </w:p>
    <w:p w14:paraId="6D555C57">
      <w:pPr>
        <w:widowControl/>
        <w:spacing w:line="360" w:lineRule="auto"/>
        <w:ind w:firstLine="480" w:firstLineChars="200"/>
        <w:rPr>
          <w:rStyle w:val="12"/>
          <w:rFonts w:hint="eastAsia" w:ascii="宋体" w:hAnsi="宋体" w:eastAsia="宋体" w:cs="宋体"/>
          <w:b w:val="0"/>
          <w:i w:val="0"/>
          <w:iCs w:val="0"/>
          <w:sz w:val="24"/>
          <w:highlight w:val="none"/>
          <w:lang w:eastAsia="zh" w:bidi="ar"/>
        </w:rPr>
      </w:pPr>
      <w:r>
        <w:rPr>
          <w:rFonts w:hint="eastAsia" w:ascii="宋体" w:hAnsi="宋体" w:eastAsia="宋体" w:cs="宋体"/>
          <w:b w:val="0"/>
          <w:bCs w:val="0"/>
          <w:i w:val="0"/>
          <w:iCs w:val="0"/>
          <w:sz w:val="24"/>
          <w:highlight w:val="none"/>
          <w:lang w:bidi="ar"/>
        </w:rPr>
        <w:t>样品</w:t>
      </w:r>
      <w:r>
        <w:rPr>
          <w:rStyle w:val="12"/>
          <w:rFonts w:hint="eastAsia" w:ascii="宋体" w:hAnsi="宋体" w:eastAsia="宋体" w:cs="宋体"/>
          <w:b w:val="0"/>
          <w:i w:val="0"/>
          <w:iCs w:val="0"/>
          <w:sz w:val="24"/>
          <w:highlight w:val="none"/>
          <w:lang w:bidi="ar"/>
        </w:rPr>
        <w:t>附带操作说明演示视频</w:t>
      </w:r>
      <w:r>
        <w:rPr>
          <w:rStyle w:val="12"/>
          <w:rFonts w:hint="eastAsia" w:ascii="宋体" w:hAnsi="宋体" w:eastAsia="宋体" w:cs="宋体"/>
          <w:b w:val="0"/>
          <w:i w:val="0"/>
          <w:iCs w:val="0"/>
          <w:sz w:val="24"/>
          <w:highlight w:val="none"/>
          <w:lang w:eastAsia="zh-CN" w:bidi="ar"/>
        </w:rPr>
        <w:t>，一式</w:t>
      </w:r>
      <w:r>
        <w:rPr>
          <w:rStyle w:val="12"/>
          <w:rFonts w:hint="eastAsia" w:ascii="宋体" w:hAnsi="宋体" w:eastAsia="宋体" w:cs="宋体"/>
          <w:b w:val="0"/>
          <w:i w:val="0"/>
          <w:iCs w:val="0"/>
          <w:sz w:val="24"/>
          <w:highlight w:val="none"/>
          <w:lang w:val="en-US" w:eastAsia="zh-CN" w:bidi="ar"/>
        </w:rPr>
        <w:t>两份</w:t>
      </w:r>
      <w:r>
        <w:rPr>
          <w:rStyle w:val="12"/>
          <w:rFonts w:hint="eastAsia" w:ascii="宋体" w:hAnsi="宋体" w:eastAsia="宋体" w:cs="宋体"/>
          <w:b w:val="0"/>
          <w:i w:val="0"/>
          <w:iCs w:val="0"/>
          <w:sz w:val="24"/>
          <w:highlight w:val="none"/>
          <w:lang w:eastAsia="zh" w:bidi="ar"/>
        </w:rPr>
        <w:t>（MP4格式，视频时长不超过</w:t>
      </w:r>
      <w:r>
        <w:rPr>
          <w:rStyle w:val="12"/>
          <w:rFonts w:hint="eastAsia" w:ascii="宋体" w:hAnsi="宋体" w:eastAsia="宋体" w:cs="宋体"/>
          <w:b w:val="0"/>
          <w:i w:val="0"/>
          <w:iCs w:val="0"/>
          <w:sz w:val="24"/>
          <w:highlight w:val="none"/>
          <w:lang w:val="en-US" w:eastAsia="zh-CN" w:bidi="ar"/>
        </w:rPr>
        <w:t>15</w:t>
      </w:r>
      <w:r>
        <w:rPr>
          <w:rStyle w:val="12"/>
          <w:rFonts w:hint="eastAsia" w:ascii="宋体" w:hAnsi="宋体" w:eastAsia="宋体" w:cs="宋体"/>
          <w:b w:val="0"/>
          <w:i w:val="0"/>
          <w:iCs w:val="0"/>
          <w:sz w:val="24"/>
          <w:highlight w:val="none"/>
          <w:lang w:eastAsia="zh" w:bidi="ar"/>
        </w:rPr>
        <w:t>分钟，</w:t>
      </w:r>
      <w:r>
        <w:rPr>
          <w:rFonts w:hint="eastAsia" w:ascii="宋体" w:hAnsi="宋体" w:eastAsia="宋体" w:cs="宋体"/>
          <w:b w:val="0"/>
          <w:i w:val="0"/>
          <w:iCs w:val="0"/>
          <w:sz w:val="24"/>
          <w:highlight w:val="none"/>
          <w:lang w:bidi="ar"/>
        </w:rPr>
        <w:t>演示视频需制作完整储存至U盘内。因供应商自身原因导致无法演示或者演示效果不理想的，责任自负</w:t>
      </w:r>
      <w:r>
        <w:rPr>
          <w:rStyle w:val="12"/>
          <w:rFonts w:hint="eastAsia" w:ascii="宋体" w:hAnsi="宋体" w:eastAsia="宋体" w:cs="宋体"/>
          <w:b w:val="0"/>
          <w:i w:val="0"/>
          <w:iCs w:val="0"/>
          <w:sz w:val="24"/>
          <w:highlight w:val="none"/>
          <w:lang w:eastAsia="zh" w:bidi="ar"/>
        </w:rPr>
        <w:t>）</w:t>
      </w:r>
    </w:p>
    <w:p w14:paraId="0F413EAB">
      <w:pPr>
        <w:widowControl/>
        <w:spacing w:line="360" w:lineRule="auto"/>
        <w:ind w:firstLine="480" w:firstLineChars="200"/>
        <w:rPr>
          <w:rStyle w:val="12"/>
          <w:rFonts w:hint="eastAsia" w:ascii="宋体" w:hAnsi="宋体" w:eastAsia="宋体" w:cs="宋体"/>
          <w:b w:val="0"/>
          <w:i w:val="0"/>
          <w:iCs w:val="0"/>
          <w:sz w:val="24"/>
          <w:highlight w:val="none"/>
          <w:lang w:val="en-US" w:eastAsia="zh-CN" w:bidi="ar"/>
        </w:rPr>
      </w:pPr>
      <w:r>
        <w:rPr>
          <w:rFonts w:hint="eastAsia" w:ascii="宋体" w:hAnsi="宋体" w:eastAsia="宋体" w:cs="宋体"/>
          <w:i w:val="0"/>
          <w:iCs w:val="0"/>
          <w:sz w:val="24"/>
          <w:highlight w:val="none"/>
          <w:lang w:val="en-US" w:eastAsia="zh-CN" w:bidi="ar"/>
        </w:rPr>
        <w:t>操作说明演示视频能够直接证明样柜性能或能引导专家进行现场操作以查验样柜性能</w:t>
      </w:r>
      <w:r>
        <w:rPr>
          <w:rStyle w:val="12"/>
          <w:rFonts w:hint="eastAsia" w:ascii="宋体" w:hAnsi="宋体" w:eastAsia="宋体" w:cs="宋体"/>
          <w:b w:val="0"/>
          <w:i w:val="0"/>
          <w:iCs w:val="0"/>
          <w:sz w:val="24"/>
          <w:highlight w:val="none"/>
          <w:lang w:bidi="ar"/>
        </w:rPr>
        <w:t>，</w:t>
      </w:r>
      <w:r>
        <w:rPr>
          <w:rStyle w:val="12"/>
          <w:rFonts w:hint="eastAsia" w:ascii="宋体" w:hAnsi="宋体" w:eastAsia="宋体" w:cs="宋体"/>
          <w:b w:val="0"/>
          <w:i w:val="0"/>
          <w:iCs w:val="0"/>
          <w:sz w:val="24"/>
          <w:highlight w:val="none"/>
          <w:lang w:val="en-US" w:eastAsia="zh-CN" w:bidi="ar"/>
        </w:rPr>
        <w:t>须</w:t>
      </w:r>
      <w:r>
        <w:rPr>
          <w:rStyle w:val="12"/>
          <w:rFonts w:hint="eastAsia" w:ascii="宋体" w:hAnsi="宋体" w:eastAsia="宋体" w:cs="宋体"/>
          <w:b w:val="0"/>
          <w:i w:val="0"/>
          <w:iCs w:val="0"/>
          <w:sz w:val="24"/>
          <w:highlight w:val="none"/>
          <w:lang w:eastAsia="zh-CN" w:bidi="ar"/>
        </w:rPr>
        <w:t>包括独立柜的隐蔽空间打开方式和隐蔽空间实况；独立柜的手动开启方式；独立柜柜门锁具开启锁闭；锁止机构（撑脚）锁止释放功能；展示调光方式：引导他人开启关闭照明功能、更换灯具、调节照射角度、光圈大小、是否能够</w:t>
      </w:r>
      <w:r>
        <w:rPr>
          <w:rStyle w:val="12"/>
          <w:rFonts w:hint="eastAsia" w:ascii="宋体" w:hAnsi="宋体" w:eastAsia="宋体" w:cs="宋体"/>
          <w:b w:val="0"/>
          <w:i w:val="0"/>
          <w:iCs w:val="0"/>
          <w:sz w:val="24"/>
          <w:highlight w:val="none"/>
          <w:lang w:val="en-US" w:eastAsia="zh-CN" w:bidi="ar"/>
        </w:rPr>
        <w:t>无线</w:t>
      </w:r>
      <w:r>
        <w:rPr>
          <w:rStyle w:val="12"/>
          <w:rFonts w:hint="eastAsia" w:ascii="宋体" w:hAnsi="宋体" w:eastAsia="宋体" w:cs="宋体"/>
          <w:b w:val="0"/>
          <w:i w:val="0"/>
          <w:iCs w:val="0"/>
          <w:sz w:val="24"/>
          <w:highlight w:val="none"/>
          <w:lang w:eastAsia="zh-CN" w:bidi="ar"/>
        </w:rPr>
        <w:t>调光；可拆卸模块化泛光顶(含轨道射灯系统）和模块化顶部玻璃相互更换功能</w:t>
      </w:r>
      <w:r>
        <w:rPr>
          <w:rStyle w:val="12"/>
          <w:rFonts w:hint="eastAsia" w:ascii="宋体" w:hAnsi="宋体" w:eastAsia="宋体" w:cs="宋体"/>
          <w:b w:val="0"/>
          <w:i w:val="0"/>
          <w:iCs w:val="0"/>
          <w:sz w:val="24"/>
          <w:highlight w:val="none"/>
          <w:lang w:bidi="ar"/>
        </w:rPr>
        <w:t>。</w:t>
      </w:r>
    </w:p>
    <w:p w14:paraId="11C23214">
      <w:pPr>
        <w:widowControl/>
        <w:spacing w:line="360" w:lineRule="auto"/>
        <w:ind w:firstLine="480" w:firstLineChars="200"/>
        <w:rPr>
          <w:rFonts w:hint="eastAsia" w:ascii="宋体" w:hAnsi="宋体" w:eastAsia="宋体" w:cs="宋体"/>
          <w:i w:val="0"/>
          <w:iCs w:val="0"/>
          <w:sz w:val="24"/>
          <w:highlight w:val="none"/>
          <w:lang w:bidi="ar"/>
        </w:rPr>
      </w:pPr>
      <w:r>
        <w:rPr>
          <w:rStyle w:val="12"/>
          <w:rFonts w:hint="eastAsia" w:ascii="宋体" w:hAnsi="宋体" w:eastAsia="宋体" w:cs="宋体"/>
          <w:i w:val="0"/>
          <w:iCs w:val="0"/>
          <w:sz w:val="24"/>
          <w:highlight w:val="none"/>
          <w:lang w:bidi="ar"/>
        </w:rPr>
        <w:t>操作说明演示视频</w:t>
      </w:r>
      <w:r>
        <w:rPr>
          <w:rFonts w:hint="eastAsia" w:ascii="宋体" w:hAnsi="宋体" w:eastAsia="宋体" w:cs="宋体"/>
          <w:i w:val="0"/>
          <w:iCs w:val="0"/>
          <w:sz w:val="24"/>
          <w:highlight w:val="none"/>
          <w:lang w:bidi="ar"/>
        </w:rPr>
        <w:t>封装在信封里，必须密封包装，密封包装应当清楚</w:t>
      </w:r>
      <w:r>
        <w:rPr>
          <w:rFonts w:hint="eastAsia" w:ascii="宋体" w:hAnsi="宋体" w:eastAsia="宋体" w:cs="宋体"/>
          <w:i w:val="0"/>
          <w:iCs w:val="0"/>
          <w:sz w:val="24"/>
          <w:highlight w:val="none"/>
          <w:lang w:eastAsia="zh-CN" w:bidi="ar"/>
        </w:rPr>
        <w:t>地</w:t>
      </w:r>
      <w:r>
        <w:rPr>
          <w:rFonts w:hint="eastAsia" w:ascii="宋体" w:hAnsi="宋体" w:eastAsia="宋体" w:cs="宋体"/>
          <w:i w:val="0"/>
          <w:iCs w:val="0"/>
          <w:sz w:val="24"/>
          <w:highlight w:val="none"/>
          <w:lang w:bidi="ar"/>
        </w:rPr>
        <w:t>标明项目名称、项目编号、供应商名称并加盖公章</w:t>
      </w:r>
      <w:r>
        <w:rPr>
          <w:rFonts w:hint="eastAsia" w:ascii="宋体" w:hAnsi="宋体" w:eastAsia="宋体" w:cs="宋体"/>
          <w:i w:val="0"/>
          <w:iCs w:val="0"/>
          <w:sz w:val="24"/>
          <w:highlight w:val="none"/>
          <w:lang w:eastAsia="zh" w:bidi="ar"/>
        </w:rPr>
        <w:t>，</w:t>
      </w:r>
      <w:r>
        <w:rPr>
          <w:rFonts w:hint="eastAsia" w:ascii="宋体" w:hAnsi="宋体" w:eastAsia="宋体" w:cs="宋体"/>
          <w:i w:val="0"/>
          <w:iCs w:val="0"/>
          <w:sz w:val="24"/>
          <w:highlight w:val="none"/>
          <w:lang w:eastAsia="zh-CN" w:bidi="ar"/>
        </w:rPr>
        <w:t>提交至上海市政府采购中心，联系方式：</w:t>
      </w:r>
      <w:r>
        <w:rPr>
          <w:rFonts w:hint="eastAsia" w:ascii="宋体" w:hAnsi="宋体" w:eastAsia="宋体" w:cs="宋体"/>
          <w:i w:val="0"/>
          <w:iCs w:val="0"/>
          <w:sz w:val="24"/>
          <w:highlight w:val="none"/>
          <w:lang w:val="en-US" w:eastAsia="zh-CN" w:bidi="ar"/>
        </w:rPr>
        <w:t>35968037</w:t>
      </w:r>
      <w:r>
        <w:rPr>
          <w:rFonts w:hint="eastAsia" w:ascii="宋体" w:hAnsi="宋体" w:eastAsia="宋体" w:cs="宋体"/>
          <w:i w:val="0"/>
          <w:iCs w:val="0"/>
          <w:sz w:val="24"/>
          <w:highlight w:val="none"/>
          <w:lang w:eastAsia="zh" w:bidi="ar"/>
        </w:rPr>
        <w:t>。</w:t>
      </w:r>
    </w:p>
    <w:p w14:paraId="4C6B6160">
      <w:pPr>
        <w:widowControl/>
        <w:spacing w:line="360" w:lineRule="auto"/>
        <w:ind w:firstLine="480" w:firstLineChars="200"/>
        <w:rPr>
          <w:rFonts w:hint="eastAsia" w:ascii="宋体" w:hAnsi="宋体" w:eastAsia="宋体" w:cs="宋体"/>
          <w:i w:val="0"/>
          <w:iCs w:val="0"/>
          <w:sz w:val="24"/>
          <w:highlight w:val="none"/>
          <w:lang w:val="en-US" w:eastAsia="zh-CN" w:bidi="ar"/>
        </w:rPr>
      </w:pPr>
      <w:r>
        <w:rPr>
          <w:rFonts w:hint="eastAsia" w:ascii="宋体" w:hAnsi="宋体" w:eastAsia="宋体" w:cs="宋体"/>
          <w:i w:val="0"/>
          <w:iCs w:val="0"/>
          <w:sz w:val="24"/>
          <w:highlight w:val="none"/>
          <w:lang w:val="en-US" w:eastAsia="zh-CN" w:bidi="ar"/>
        </w:rPr>
        <w:t>其他要求：</w:t>
      </w:r>
    </w:p>
    <w:p w14:paraId="5F2075DA">
      <w:pPr>
        <w:widowControl/>
        <w:spacing w:line="360" w:lineRule="auto"/>
        <w:ind w:firstLine="480" w:firstLineChars="200"/>
        <w:rPr>
          <w:rFonts w:hint="eastAsia" w:ascii="宋体" w:hAnsi="宋体" w:eastAsia="宋体" w:cs="宋体"/>
          <w:i w:val="0"/>
          <w:iCs w:val="0"/>
          <w:sz w:val="24"/>
          <w:highlight w:val="none"/>
          <w:lang w:bidi="ar"/>
        </w:rPr>
      </w:pPr>
      <w:r>
        <w:rPr>
          <w:rFonts w:hint="eastAsia" w:ascii="宋体" w:hAnsi="宋体" w:eastAsia="宋体" w:cs="宋体"/>
          <w:i w:val="0"/>
          <w:iCs w:val="0"/>
          <w:sz w:val="24"/>
          <w:highlight w:val="none"/>
          <w:lang w:val="en-US" w:eastAsia="zh-CN" w:bidi="ar"/>
        </w:rPr>
        <w:t>1)</w:t>
      </w:r>
      <w:r>
        <w:rPr>
          <w:rFonts w:hint="eastAsia" w:ascii="宋体" w:hAnsi="宋体" w:eastAsia="宋体" w:cs="宋体"/>
          <w:i w:val="0"/>
          <w:iCs w:val="0"/>
          <w:sz w:val="24"/>
          <w:highlight w:val="none"/>
          <w:lang w:bidi="ar"/>
        </w:rPr>
        <w:t>各投标人必须按照规定的地点和时间，进行展柜样柜的运输、安装和调试。样品搬运和组装时请注意对场地和设施的保护，如发生损坏，须负责修复或承担赔偿金，赔偿金以核定金额为准。</w:t>
      </w:r>
    </w:p>
    <w:p w14:paraId="0BF74725">
      <w:pPr>
        <w:widowControl/>
        <w:spacing w:line="360" w:lineRule="auto"/>
        <w:ind w:firstLine="480" w:firstLineChars="200"/>
        <w:rPr>
          <w:rFonts w:hint="eastAsia" w:ascii="宋体" w:hAnsi="宋体" w:eastAsia="宋体" w:cs="宋体"/>
          <w:i w:val="0"/>
          <w:iCs w:val="0"/>
          <w:sz w:val="24"/>
          <w:highlight w:val="none"/>
          <w:lang w:bidi="ar"/>
        </w:rPr>
      </w:pPr>
      <w:r>
        <w:rPr>
          <w:rFonts w:hint="eastAsia" w:ascii="宋体" w:hAnsi="宋体" w:eastAsia="宋体" w:cs="宋体"/>
          <w:i w:val="0"/>
          <w:iCs w:val="0"/>
          <w:sz w:val="24"/>
          <w:highlight w:val="none"/>
          <w:lang w:val="en-US" w:eastAsia="zh-CN" w:bidi="ar"/>
        </w:rPr>
        <w:t>2)</w:t>
      </w:r>
      <w:r>
        <w:rPr>
          <w:rFonts w:hint="eastAsia" w:ascii="宋体" w:hAnsi="宋体" w:eastAsia="宋体" w:cs="宋体"/>
          <w:i w:val="0"/>
          <w:iCs w:val="0"/>
          <w:sz w:val="24"/>
          <w:highlight w:val="none"/>
          <w:lang w:bidi="ar"/>
        </w:rPr>
        <w:t>为保护各投标人样柜的核心知识产权，样柜安装及摆放场地配有监控系统，</w:t>
      </w:r>
      <w:r>
        <w:rPr>
          <w:rFonts w:hint="eastAsia" w:ascii="宋体" w:hAnsi="宋体" w:eastAsia="宋体" w:cs="宋体"/>
          <w:i w:val="0"/>
          <w:iCs w:val="0"/>
          <w:sz w:val="24"/>
          <w:highlight w:val="none"/>
          <w:lang w:val="en-US" w:eastAsia="zh-CN" w:bidi="ar"/>
        </w:rPr>
        <w:t>各投标人可以视情况</w:t>
      </w:r>
      <w:r>
        <w:rPr>
          <w:rFonts w:hint="eastAsia" w:ascii="宋体" w:hAnsi="宋体" w:eastAsia="宋体" w:cs="宋体"/>
          <w:b/>
          <w:bCs/>
          <w:i w:val="0"/>
          <w:iCs w:val="0"/>
          <w:sz w:val="24"/>
          <w:highlight w:val="none"/>
          <w:lang w:val="en-US" w:eastAsia="zh-CN" w:bidi="ar"/>
        </w:rPr>
        <w:t>自行遮挡</w:t>
      </w:r>
      <w:r>
        <w:rPr>
          <w:rFonts w:hint="eastAsia" w:ascii="宋体" w:hAnsi="宋体" w:eastAsia="宋体" w:cs="宋体"/>
          <w:i w:val="0"/>
          <w:iCs w:val="0"/>
          <w:sz w:val="24"/>
          <w:highlight w:val="none"/>
          <w:lang w:val="en-US" w:eastAsia="zh-CN" w:bidi="ar"/>
        </w:rPr>
        <w:t>。</w:t>
      </w:r>
      <w:r>
        <w:rPr>
          <w:rFonts w:hint="eastAsia" w:ascii="宋体" w:hAnsi="宋体" w:eastAsia="宋体" w:cs="宋体"/>
          <w:i w:val="0"/>
          <w:iCs w:val="0"/>
          <w:sz w:val="24"/>
          <w:highlight w:val="none"/>
          <w:lang w:bidi="ar"/>
        </w:rPr>
        <w:t>进入场地的投标单位相关人员不得将手机、录像机、照相机、微型摄像机等影像记录设备带入场地。如发现有录像、拍照及破坏其他投标人样柜的行为，</w:t>
      </w:r>
      <w:r>
        <w:rPr>
          <w:rFonts w:hint="eastAsia" w:ascii="宋体" w:hAnsi="宋体" w:eastAsia="宋体" w:cs="宋体"/>
          <w:i w:val="0"/>
          <w:iCs w:val="0"/>
          <w:sz w:val="24"/>
          <w:highlight w:val="none"/>
          <w:lang w:eastAsia="zh-CN" w:bidi="ar"/>
        </w:rPr>
        <w:t>采购人</w:t>
      </w:r>
      <w:r>
        <w:rPr>
          <w:rFonts w:hint="eastAsia" w:ascii="宋体" w:hAnsi="宋体" w:eastAsia="宋体" w:cs="宋体"/>
          <w:i w:val="0"/>
          <w:iCs w:val="0"/>
          <w:sz w:val="24"/>
          <w:highlight w:val="none"/>
          <w:lang w:bidi="ar"/>
        </w:rPr>
        <w:t>按相关规定处理并追究其责任。</w:t>
      </w:r>
    </w:p>
    <w:p w14:paraId="40BBCEAC">
      <w:pPr>
        <w:widowControl/>
        <w:spacing w:line="360" w:lineRule="auto"/>
        <w:ind w:firstLine="480" w:firstLineChars="200"/>
        <w:rPr>
          <w:rFonts w:hint="eastAsia" w:ascii="宋体" w:hAnsi="宋体" w:eastAsia="宋体" w:cs="宋体"/>
          <w:i w:val="0"/>
          <w:iCs w:val="0"/>
          <w:sz w:val="24"/>
          <w:highlight w:val="none"/>
          <w:lang w:bidi="ar"/>
        </w:rPr>
      </w:pPr>
      <w:r>
        <w:rPr>
          <w:rFonts w:hint="eastAsia" w:ascii="宋体" w:hAnsi="宋体" w:eastAsia="宋体" w:cs="宋体"/>
          <w:i w:val="0"/>
          <w:iCs w:val="0"/>
          <w:sz w:val="24"/>
          <w:highlight w:val="none"/>
          <w:lang w:val="en-US" w:eastAsia="zh-CN" w:bidi="ar"/>
        </w:rPr>
        <w:t>3）</w:t>
      </w:r>
      <w:r>
        <w:rPr>
          <w:rFonts w:hint="eastAsia" w:ascii="宋体" w:hAnsi="宋体" w:eastAsia="宋体" w:cs="宋体"/>
          <w:i w:val="0"/>
          <w:iCs w:val="0"/>
          <w:sz w:val="24"/>
          <w:highlight w:val="none"/>
          <w:lang w:bidi="ar"/>
        </w:rPr>
        <w:t>投标人提供的样品在中标后由采购人封存作为验收使用，任何查验内容的不符合，都将导致项目验收不合格，除非是经过采购人同意的优化设计。未中标人的样品在评标结束后投标人自行搬离。</w:t>
      </w:r>
    </w:p>
    <w:p w14:paraId="3D33A2B3">
      <w:pPr>
        <w:numPr>
          <w:ilvl w:val="0"/>
          <w:numId w:val="2"/>
        </w:numPr>
        <w:spacing w:line="360" w:lineRule="auto"/>
        <w:ind w:firstLine="566" w:firstLineChars="236"/>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rPr>
        <w:t>验收</w:t>
      </w:r>
    </w:p>
    <w:p w14:paraId="674D8FE4">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（1）验收标准：采购文件、投标文件、供货合同、国家相关产品/安装、维修质量标准（以标准高的为准）。验收未达标准，中标供应商应按采购人要求限期整改。</w:t>
      </w:r>
    </w:p>
    <w:p w14:paraId="06D0EAE6">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（2）验收时间：自合同签订之日起60日内完成供货安装并调试到位；自合同签订之日起180日内完成最终验收。</w:t>
      </w:r>
    </w:p>
    <w:p w14:paraId="50EE8913">
      <w:p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（3）验收方法：由采购人授权代表、中标人授权代表共同组成的项目验收小组进行验收。验收所需试件、工具、量具、材料由中标人提供，如需检测费用由中标人承担，</w:t>
      </w:r>
    </w:p>
    <w:p w14:paraId="49A0CF91">
      <w:pPr>
        <w:spacing w:line="360" w:lineRule="auto"/>
        <w:ind w:firstLine="480" w:firstLineChars="200"/>
        <w:rPr>
          <w:rFonts w:hint="default" w:ascii="宋体" w:hAnsi="宋体" w:eastAsia="宋体"/>
          <w:i w:val="0"/>
          <w:iCs w:val="0"/>
          <w:sz w:val="24"/>
          <w:highlight w:val="none"/>
        </w:rPr>
      </w:pPr>
      <w:r>
        <w:rPr>
          <w:rFonts w:hint="eastAsia" w:ascii="宋体" w:hAnsi="宋体" w:eastAsia="宋体"/>
          <w:i w:val="0"/>
          <w:iCs w:val="0"/>
          <w:sz w:val="24"/>
          <w:highlight w:val="none"/>
          <w:lang w:val="en-US" w:eastAsia="zh-CN"/>
        </w:rPr>
        <w:t>对于密封性、柜内空气质量等关键性指标，</w:t>
      </w:r>
      <w:r>
        <w:rPr>
          <w:rFonts w:hint="eastAsia" w:ascii="宋体" w:hAnsi="宋体" w:eastAsia="宋体"/>
          <w:i w:val="0"/>
          <w:iCs w:val="0"/>
          <w:sz w:val="24"/>
          <w:highlight w:val="none"/>
        </w:rPr>
        <w:t>采购人将聘请符合国家资质要求的第三方机构，按照采购需求、投标文件、国家标准等，对展柜进行复测，复测结果不符的，由中标人进行整改，在一个月内，整改仍不符合要求的，采购人有权进行退货处理。</w:t>
      </w:r>
      <w:r>
        <w:rPr>
          <w:rFonts w:hint="eastAsia" w:ascii="宋体" w:hAnsi="宋体" w:eastAsia="宋体"/>
          <w:i w:val="0"/>
          <w:iCs w:val="0"/>
          <w:sz w:val="24"/>
          <w:highlight w:val="none"/>
          <w:lang w:val="en-US" w:eastAsia="zh-CN"/>
        </w:rPr>
        <w:t>检测费用由中标人承担。</w:t>
      </w:r>
    </w:p>
    <w:p w14:paraId="1923D785">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验收地点为设备安装地点；验收内容按照成交参数及本合同约定的内容进行；验收报告双方共同签署后生效。验收通过后支付验收款前中标人应向采购人交付竣工图纸及相关附随资料，否则采购人有权不予支付。</w:t>
      </w:r>
    </w:p>
    <w:p w14:paraId="0D77B812">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4）对产品异议的时间和办法：采购人在验收中，如果发现货物的品种、型号、数量、规格和质量或有关软件或有关服务不合规定，应妥为保管，并在验收之日起20日内向中标供应商提出书面异议。中标供应商在接到采购人书面异议后，应在10天内负责处理完毕，否则，即视为默认采购人提出的异议和处理意见。</w:t>
      </w:r>
    </w:p>
    <w:p w14:paraId="5801CFA3">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（5）整体验收通过且采购人书面确认后，中标供应商才能完成货物及设备安装交付。</w:t>
      </w:r>
    </w:p>
    <w:p w14:paraId="15C771CC">
      <w:pPr>
        <w:numPr>
          <w:ilvl w:val="-1"/>
          <w:numId w:val="0"/>
        </w:num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（6）本项目严禁分包，对生产、运输、安装等环节，采购人有权进行现场检查和监督，一经发现不予接收和验收通过。</w:t>
      </w:r>
    </w:p>
    <w:p w14:paraId="78EE920D">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11、质保期及售后服务要求</w:t>
      </w:r>
    </w:p>
    <w:p w14:paraId="52C2C3A9">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（1）该招标文件规定的免费质保期为项目验收合格后不低于2年内包修。</w:t>
      </w:r>
    </w:p>
    <w:p w14:paraId="6655CE1B">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2）在免费质保期内，中标人须提供常设售后服务电话热线、远程及现场支持服务和长期的免费维修支持。中标人接到报障后，电话响应时间〈2小时，技术人员接到报障后12小时内提供上门服务，一般故障的，应在接到报障后24小时内修复；复杂故障的，应在接到报障后3个工作日内修复。现场无法解决需返回厂家维修的，接到报障后超过15日未能修复的必须更换相同参数或更高的产品保证采购人能正常使用。若中标人未依约提供，采购人自行解决，中标人应承担产生的费用。</w:t>
      </w:r>
    </w:p>
    <w:p w14:paraId="503CA106">
      <w:pPr>
        <w:numPr>
          <w:ilvl w:val="-1"/>
          <w:numId w:val="0"/>
        </w:num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3）免费质保期内（包括招标文件规定的质保期和中标人投标文件中承诺的额外免费质保期）中标人应提供每年3次以内（包括3次）的模块化展柜拼接组装服务，每次5组以内（包括5组），每组4台以内（包括4台）。首次交付状态不计算在该服务频次内。</w:t>
      </w:r>
    </w:p>
    <w:p w14:paraId="45A74D58">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（4）免费质保期内（定义如上）中标人应提供展柜使用、维护保养（如玻璃清洁）、馆内水平移动等操作中需要用到的必要工具和耗材。</w:t>
      </w:r>
    </w:p>
    <w:p w14:paraId="0A66F98E">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（5）售后培训：项目验收合格后，中标人提供对采购人单位 1-2 名人员的相关设备技术培训工作。</w:t>
      </w:r>
    </w:p>
    <w:p w14:paraId="3A7EB364">
      <w:pPr>
        <w:numPr>
          <w:ilvl w:val="-1"/>
          <w:numId w:val="0"/>
        </w:num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12、供货交付</w:t>
      </w:r>
    </w:p>
    <w:p w14:paraId="1443E4D0">
      <w:pPr>
        <w:numPr>
          <w:ilvl w:val="-1"/>
          <w:numId w:val="0"/>
        </w:numPr>
        <w:spacing w:line="360" w:lineRule="auto"/>
        <w:ind w:firstLine="480" w:firstLineChars="200"/>
        <w:rPr>
          <w:rFonts w:hint="eastAsia"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交付时间：自合同签订之日起60日内完成供货安装并调试到位；自合同签订之日起180日内完成最终验收。</w:t>
      </w:r>
    </w:p>
    <w:p w14:paraId="66E01634">
      <w:pPr>
        <w:numPr>
          <w:ilvl w:val="-1"/>
          <w:numId w:val="0"/>
        </w:numPr>
        <w:spacing w:line="360" w:lineRule="auto"/>
        <w:ind w:firstLine="480" w:firstLineChars="200"/>
        <w:rPr>
          <w:rFonts w:hint="default" w:ascii="宋体" w:hAnsi="宋体" w:eastAsia="宋体"/>
          <w:i w:val="0"/>
          <w:iCs w:val="0"/>
          <w:sz w:val="24"/>
          <w:highlight w:val="none"/>
          <w:lang w:val="en-US" w:eastAsia="zh-CN"/>
        </w:rPr>
      </w:pPr>
      <w:r>
        <w:rPr>
          <w:rFonts w:hint="eastAsia" w:ascii="宋体" w:hAnsi="宋体" w:eastAsia="宋体"/>
          <w:i w:val="0"/>
          <w:iCs w:val="0"/>
          <w:sz w:val="24"/>
          <w:highlight w:val="none"/>
          <w:lang w:val="en-US" w:eastAsia="zh-CN"/>
        </w:rPr>
        <w:t>交付状态和地点：由采购人指定。</w:t>
      </w:r>
      <w:r>
        <w:rPr>
          <w:rFonts w:hint="eastAsia" w:ascii="宋体" w:hAnsi="宋体" w:eastAsia="宋体"/>
          <w:i w:val="0"/>
          <w:iCs w:val="0"/>
          <w:sz w:val="24"/>
          <w:highlight w:val="none"/>
          <w:lang w:val="en-US" w:eastAsia="zh-CN"/>
        </w:rPr>
        <w:br w:type="page"/>
      </w:r>
    </w:p>
    <w:p w14:paraId="5BEEF9B7">
      <w:pPr>
        <w:numPr>
          <w:ilvl w:val="0"/>
          <w:numId w:val="1"/>
        </w:numPr>
        <w:spacing w:line="360" w:lineRule="auto"/>
        <w:rPr>
          <w:rFonts w:ascii="宋体" w:hAnsi="宋体" w:eastAsia="宋体"/>
          <w:b/>
          <w:bCs/>
          <w:i w:val="0"/>
          <w:iCs w:val="0"/>
          <w:sz w:val="24"/>
          <w:highlight w:val="none"/>
        </w:rPr>
      </w:pPr>
      <w:r>
        <w:rPr>
          <w:rFonts w:hint="eastAsia" w:ascii="宋体" w:hAnsi="宋体" w:eastAsia="宋体"/>
          <w:b/>
          <w:bCs/>
          <w:i w:val="0"/>
          <w:iCs w:val="0"/>
          <w:sz w:val="24"/>
          <w:highlight w:val="none"/>
        </w:rPr>
        <w:t>技术标准与规范</w:t>
      </w:r>
    </w:p>
    <w:p w14:paraId="0372926E">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1、技术标准与规范</w:t>
      </w:r>
    </w:p>
    <w:p w14:paraId="1A8CBB01">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供应商所提供的专业展柜设备，应达到国家标准及规范。投标供应商应详细列出所采用的标准和规范的中文名称及编号，这些标准和规范应是招标时已颁布实施的最新版本为评价依据。</w:t>
      </w:r>
    </w:p>
    <w:p w14:paraId="221151E2">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所有专业展柜设备的制造厂家及其选用的材料，均需满足本项目文件的技术要求及使用方的认可外，还应符合下列相关国家标准、行业规范等的最新版本的规定：</w:t>
      </w:r>
    </w:p>
    <w:p w14:paraId="4AF62B20">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19001-2016 质量管理体系》</w:t>
      </w:r>
    </w:p>
    <w:p w14:paraId="048110B3">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24001-2016 环境管理体系》</w:t>
      </w:r>
    </w:p>
    <w:p w14:paraId="08E100DD">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45001-2020 职业健康安全管理体系》</w:t>
      </w:r>
    </w:p>
    <w:p w14:paraId="54ADFB96">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27922-2011 商品售后服务评价体系》</w:t>
      </w:r>
    </w:p>
    <w:p w14:paraId="47FD46D8">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3325-2024 金属家具通用技术条件》</w:t>
      </w:r>
    </w:p>
    <w:p w14:paraId="6A299EF8">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《CQC 5109-2018 家具环保认证技术规范》</w:t>
      </w:r>
    </w:p>
    <w:p w14:paraId="47EB935B">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23863-2024 博物馆照明设计规范》</w:t>
      </w:r>
    </w:p>
    <w:p w14:paraId="58A0D973">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6728-2017 结构用冷弯空心型钢》</w:t>
      </w:r>
    </w:p>
    <w:p w14:paraId="538CA968">
      <w:pPr>
        <w:spacing w:line="360" w:lineRule="auto"/>
        <w:ind w:firstLine="480" w:firstLineChars="200"/>
        <w:rPr>
          <w:rFonts w:hint="eastAsia" w:ascii="宋体" w:hAnsi="宋体" w:eastAsia="宋体"/>
          <w:i w:val="0"/>
          <w:iCs w:val="0"/>
          <w:sz w:val="24"/>
          <w:highlight w:val="none"/>
        </w:rPr>
      </w:pPr>
      <w:r>
        <w:rPr>
          <w:rFonts w:hint="eastAsia" w:ascii="宋体" w:hAnsi="宋体" w:eastAsia="宋体"/>
          <w:i w:val="0"/>
          <w:iCs w:val="0"/>
          <w:sz w:val="24"/>
          <w:highlight w:val="none"/>
          <w:lang w:eastAsia="zh-CN"/>
        </w:rPr>
        <w:t>《</w:t>
      </w:r>
      <w:r>
        <w:rPr>
          <w:rFonts w:hint="eastAsia" w:ascii="宋体" w:hAnsi="宋体" w:eastAsia="宋体"/>
          <w:i w:val="0"/>
          <w:iCs w:val="0"/>
          <w:sz w:val="24"/>
          <w:highlight w:val="none"/>
        </w:rPr>
        <w:t>GB/T 3611</w:t>
      </w:r>
      <w:r>
        <w:rPr>
          <w:rFonts w:hint="eastAsia" w:ascii="宋体" w:hAnsi="宋体" w:eastAsia="宋体"/>
          <w:i w:val="0"/>
          <w:iCs w:val="0"/>
          <w:sz w:val="24"/>
          <w:highlight w:val="none"/>
          <w:lang w:val="en-US" w:eastAsia="zh-CN"/>
        </w:rPr>
        <w:t>1</w:t>
      </w:r>
      <w:r>
        <w:rPr>
          <w:rFonts w:hint="eastAsia" w:ascii="宋体" w:hAnsi="宋体" w:eastAsia="宋体"/>
          <w:i w:val="0"/>
          <w:iCs w:val="0"/>
          <w:sz w:val="24"/>
          <w:highlight w:val="none"/>
        </w:rPr>
        <w:t xml:space="preserve">-2018 </w:t>
      </w:r>
      <w:r>
        <w:rPr>
          <w:rFonts w:hint="eastAsia" w:ascii="宋体" w:hAnsi="宋体" w:eastAsia="宋体"/>
          <w:i w:val="0"/>
          <w:iCs w:val="0"/>
          <w:sz w:val="24"/>
          <w:highlight w:val="none"/>
          <w:lang w:val="en-US" w:eastAsia="zh-CN"/>
        </w:rPr>
        <w:t>文物展柜基本技术要求及检测</w:t>
      </w:r>
      <w:r>
        <w:rPr>
          <w:rFonts w:hint="eastAsia" w:ascii="宋体" w:hAnsi="宋体" w:eastAsia="宋体"/>
          <w:i w:val="0"/>
          <w:iCs w:val="0"/>
          <w:sz w:val="24"/>
          <w:highlight w:val="none"/>
          <w:lang w:eastAsia="zh-CN"/>
        </w:rPr>
        <w:t>》</w:t>
      </w:r>
    </w:p>
    <w:p w14:paraId="16D1759F">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36110-2018 文物展柜密封性能及检测标准》</w:t>
      </w:r>
    </w:p>
    <w:p w14:paraId="13E738DA">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36111-2018 文物展柜基本尺寸要求及检测标准》</w:t>
      </w:r>
    </w:p>
    <w:p w14:paraId="1558AC90">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《GA/T 73-2015 机械防盗锁》</w:t>
      </w:r>
    </w:p>
    <w:p w14:paraId="611F838B">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 16776-20</w:t>
      </w:r>
      <w:r>
        <w:rPr>
          <w:rFonts w:hint="eastAsia" w:ascii="宋体" w:hAnsi="宋体" w:eastAsia="宋体"/>
          <w:i w:val="0"/>
          <w:iCs w:val="0"/>
          <w:sz w:val="24"/>
          <w:highlight w:val="none"/>
          <w:lang w:val="en-US" w:eastAsia="zh-CN"/>
        </w:rPr>
        <w:t>2</w:t>
      </w:r>
      <w:r>
        <w:rPr>
          <w:rFonts w:hint="eastAsia" w:ascii="宋体" w:hAnsi="宋体" w:eastAsia="宋体"/>
          <w:i w:val="0"/>
          <w:iCs w:val="0"/>
          <w:sz w:val="24"/>
          <w:highlight w:val="none"/>
        </w:rPr>
        <w:t>5 建筑用硅酮结构密封胶》</w:t>
      </w:r>
    </w:p>
    <w:p w14:paraId="59EAA3FE">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 30982-2014 建筑胶粘剂有害物质限量》</w:t>
      </w:r>
    </w:p>
    <w:p w14:paraId="44BFC7D0">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2680-2021 建筑玻璃可见光透射比、太阳光直接透射比、太阳能总透射比、紫外线透射比及有关窗玻璃参数的测定》</w:t>
      </w:r>
    </w:p>
    <w:p w14:paraId="00835732">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18915.1-2013 镀膜玻璃第一部分：阳光控制镀膜玻璃》</w:t>
      </w:r>
    </w:p>
    <w:p w14:paraId="456D5358">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2410-2008 透明塑料透光率和雾度的测定》</w:t>
      </w:r>
    </w:p>
    <w:p w14:paraId="6178A355">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 18401-2010 国家纺织产品基本安全技术规范》</w:t>
      </w:r>
    </w:p>
    <w:p w14:paraId="1218FF72">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《GB/T 23863-2024博物馆照明设计规范》</w:t>
      </w:r>
    </w:p>
    <w:p w14:paraId="182D486A">
      <w:pPr>
        <w:spacing w:line="360" w:lineRule="auto"/>
        <w:ind w:firstLine="480" w:firstLineChars="200"/>
        <w:rPr>
          <w:rFonts w:ascii="宋体" w:hAnsi="宋体" w:eastAsia="宋体"/>
          <w:i w:val="0"/>
          <w:iCs w:val="0"/>
          <w:sz w:val="24"/>
          <w:highlight w:val="none"/>
        </w:rPr>
      </w:pPr>
      <w:r>
        <w:rPr>
          <w:rFonts w:hint="eastAsia" w:ascii="宋体" w:hAnsi="宋体" w:eastAsia="宋体"/>
          <w:i w:val="0"/>
          <w:iCs w:val="0"/>
          <w:sz w:val="24"/>
          <w:highlight w:val="none"/>
        </w:rPr>
        <w:t>其他和展柜材质及工艺要求相关的国家标准和规范，标准如有最新的，按最新标准执行。</w:t>
      </w:r>
    </w:p>
    <w:p w14:paraId="00EBDF05">
      <w:pPr>
        <w:spacing w:line="360" w:lineRule="auto"/>
        <w:ind w:firstLine="480" w:firstLineChars="200"/>
        <w:rPr>
          <w:rFonts w:ascii="宋体" w:hAnsi="宋体" w:eastAsia="宋体"/>
          <w:i w:val="0"/>
          <w:iCs w:val="0"/>
          <w:sz w:val="24"/>
          <w:highlight w:val="none"/>
        </w:rPr>
      </w:pPr>
    </w:p>
    <w:p w14:paraId="197D73B5">
      <w:pPr>
        <w:numPr>
          <w:ilvl w:val="0"/>
          <w:numId w:val="1"/>
        </w:numPr>
        <w:spacing w:line="360" w:lineRule="auto"/>
        <w:rPr>
          <w:rFonts w:ascii="宋体" w:hAnsi="宋体" w:eastAsia="宋体"/>
          <w:b/>
          <w:bCs/>
          <w:i w:val="0"/>
          <w:iCs w:val="0"/>
          <w:sz w:val="24"/>
          <w:highlight w:val="none"/>
        </w:rPr>
      </w:pPr>
      <w:r>
        <w:rPr>
          <w:rFonts w:hint="eastAsia" w:ascii="宋体" w:hAnsi="宋体" w:eastAsia="宋体"/>
          <w:b/>
          <w:bCs/>
          <w:i w:val="0"/>
          <w:iCs w:val="0"/>
          <w:sz w:val="24"/>
          <w:highlight w:val="none"/>
        </w:rPr>
        <w:t>技术参数</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3"/>
        <w:gridCol w:w="7302"/>
        <w:gridCol w:w="598"/>
      </w:tblGrid>
      <w:tr w14:paraId="6EFA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blHeader/>
        </w:trPr>
        <w:tc>
          <w:tcPr>
            <w:tcW w:w="360" w:type="pct"/>
            <w:tcBorders>
              <w:top w:val="nil"/>
              <w:left w:val="nil"/>
              <w:bottom w:val="nil"/>
              <w:right w:val="nil"/>
            </w:tcBorders>
            <w:shd w:val="clear" w:color="auto" w:fill="auto"/>
            <w:vAlign w:val="center"/>
          </w:tcPr>
          <w:p w14:paraId="24F6FE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序号</w:t>
            </w:r>
          </w:p>
        </w:tc>
        <w:tc>
          <w:tcPr>
            <w:tcW w:w="4288" w:type="pct"/>
            <w:tcBorders>
              <w:top w:val="nil"/>
              <w:left w:val="nil"/>
              <w:bottom w:val="nil"/>
              <w:right w:val="nil"/>
            </w:tcBorders>
            <w:shd w:val="clear" w:color="auto" w:fill="auto"/>
            <w:vAlign w:val="center"/>
          </w:tcPr>
          <w:p w14:paraId="070AE1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技术参数</w:t>
            </w:r>
          </w:p>
        </w:tc>
        <w:tc>
          <w:tcPr>
            <w:tcW w:w="351" w:type="pct"/>
            <w:tcBorders>
              <w:top w:val="nil"/>
              <w:left w:val="nil"/>
              <w:bottom w:val="nil"/>
              <w:right w:val="nil"/>
            </w:tcBorders>
            <w:shd w:val="clear" w:color="auto" w:fill="auto"/>
            <w:vAlign w:val="center"/>
          </w:tcPr>
          <w:p w14:paraId="2005730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响应</w:t>
            </w:r>
          </w:p>
        </w:tc>
      </w:tr>
      <w:tr w14:paraId="1AF32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4B850EE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一</w:t>
            </w:r>
          </w:p>
        </w:tc>
        <w:tc>
          <w:tcPr>
            <w:tcW w:w="4288" w:type="pct"/>
            <w:tcBorders>
              <w:top w:val="nil"/>
              <w:left w:val="nil"/>
              <w:bottom w:val="nil"/>
              <w:right w:val="nil"/>
            </w:tcBorders>
            <w:shd w:val="clear" w:color="auto" w:fill="auto"/>
            <w:vAlign w:val="center"/>
          </w:tcPr>
          <w:p w14:paraId="2AA3345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实质性参数要求</w:t>
            </w:r>
          </w:p>
        </w:tc>
        <w:tc>
          <w:tcPr>
            <w:tcW w:w="351" w:type="pct"/>
            <w:tcBorders>
              <w:top w:val="nil"/>
              <w:left w:val="nil"/>
              <w:bottom w:val="nil"/>
              <w:right w:val="nil"/>
            </w:tcBorders>
            <w:shd w:val="clear" w:color="auto" w:fill="auto"/>
            <w:noWrap/>
            <w:vAlign w:val="center"/>
          </w:tcPr>
          <w:p w14:paraId="02E033E9">
            <w:pPr>
              <w:rPr>
                <w:rFonts w:hint="eastAsia" w:ascii="宋体" w:hAnsi="宋体" w:eastAsia="宋体" w:cs="宋体"/>
                <w:i w:val="0"/>
                <w:iCs w:val="0"/>
                <w:color w:val="000000"/>
                <w:sz w:val="22"/>
                <w:szCs w:val="22"/>
                <w:highlight w:val="none"/>
                <w:u w:val="none"/>
              </w:rPr>
            </w:pPr>
          </w:p>
        </w:tc>
      </w:tr>
      <w:tr w14:paraId="43A64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69F4684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4288" w:type="pct"/>
            <w:tcBorders>
              <w:top w:val="nil"/>
              <w:left w:val="nil"/>
              <w:bottom w:val="nil"/>
              <w:right w:val="nil"/>
            </w:tcBorders>
            <w:shd w:val="clear" w:color="auto" w:fill="auto"/>
            <w:vAlign w:val="center"/>
          </w:tcPr>
          <w:p w14:paraId="52AA3FD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★独立柜应符合GB/T 36110-2018《文物展柜密封性能及检测》，展柜换气率≤0.5d</w:t>
            </w:r>
            <w:r>
              <w:rPr>
                <w:rFonts w:hint="eastAsia" w:ascii="宋体" w:hAnsi="宋体" w:eastAsia="宋体" w:cs="宋体"/>
                <w:i w:val="0"/>
                <w:iCs w:val="0"/>
                <w:color w:val="000000"/>
                <w:kern w:val="0"/>
                <w:sz w:val="16"/>
                <w:szCs w:val="16"/>
                <w:highlight w:val="none"/>
                <w:u w:val="none"/>
                <w:vertAlign w:val="superscript"/>
                <w:lang w:val="en-US" w:eastAsia="zh-CN" w:bidi="ar"/>
              </w:rPr>
              <w:t>-1</w:t>
            </w:r>
            <w:r>
              <w:rPr>
                <w:rFonts w:hint="eastAsia" w:ascii="宋体" w:hAnsi="宋体" w:eastAsia="宋体" w:cs="宋体"/>
                <w:i w:val="0"/>
                <w:iCs w:val="0"/>
                <w:color w:val="000000"/>
                <w:kern w:val="0"/>
                <w:sz w:val="16"/>
                <w:szCs w:val="16"/>
                <w:highlight w:val="none"/>
                <w:u w:val="none"/>
                <w:lang w:val="en-US" w:eastAsia="zh-CN" w:bidi="ar"/>
              </w:rPr>
              <w:t>。（投标时提供第三方检测机构出具的加盖CMA标注的检测报告扫描件加盖投标人公章，未提供或内容不满足要求的视为未实质性满足招标文件要求，作为无效标处理。）</w:t>
            </w:r>
          </w:p>
        </w:tc>
        <w:tc>
          <w:tcPr>
            <w:tcW w:w="351" w:type="pct"/>
            <w:tcBorders>
              <w:top w:val="nil"/>
              <w:left w:val="nil"/>
              <w:bottom w:val="nil"/>
              <w:right w:val="nil"/>
            </w:tcBorders>
            <w:shd w:val="clear" w:color="auto" w:fill="auto"/>
            <w:noWrap/>
            <w:vAlign w:val="center"/>
          </w:tcPr>
          <w:p w14:paraId="68B23884">
            <w:pPr>
              <w:rPr>
                <w:rFonts w:hint="eastAsia" w:ascii="宋体" w:hAnsi="宋体" w:eastAsia="宋体" w:cs="宋体"/>
                <w:i w:val="0"/>
                <w:iCs w:val="0"/>
                <w:color w:val="000000"/>
                <w:sz w:val="22"/>
                <w:szCs w:val="22"/>
                <w:highlight w:val="none"/>
                <w:u w:val="none"/>
              </w:rPr>
            </w:pPr>
          </w:p>
        </w:tc>
      </w:tr>
      <w:tr w14:paraId="3DCDA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2" w:hRule="atLeast"/>
        </w:trPr>
        <w:tc>
          <w:tcPr>
            <w:tcW w:w="360" w:type="pct"/>
            <w:tcBorders>
              <w:top w:val="nil"/>
              <w:left w:val="nil"/>
              <w:bottom w:val="nil"/>
              <w:right w:val="nil"/>
            </w:tcBorders>
            <w:shd w:val="clear" w:color="auto" w:fill="auto"/>
            <w:noWrap/>
            <w:vAlign w:val="center"/>
          </w:tcPr>
          <w:p w14:paraId="1C197BA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4288" w:type="pct"/>
            <w:tcBorders>
              <w:top w:val="nil"/>
              <w:left w:val="nil"/>
              <w:bottom w:val="nil"/>
              <w:right w:val="nil"/>
            </w:tcBorders>
            <w:shd w:val="clear" w:color="auto" w:fill="auto"/>
            <w:vAlign w:val="center"/>
          </w:tcPr>
          <w:p w14:paraId="159CC77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★夹胶后玻璃应符合GB/T 2680-2021《建筑玻璃 可见光透射比、太阳光直接透射比、太阳能总透射比、紫外线透射比及有关窗玻璃参数的测定》：可见光透光率≥97%，可见光反射比≤0.9%，紫外线透射比≤0.3%。（投标时提供第三方检测机构出具的加盖CMA标注的检测报告扫描件加盖投标人公章，未提供或内容不满足要求的视为未实质性满足招标文件要求，作为无效标处理。）</w:t>
            </w:r>
          </w:p>
        </w:tc>
        <w:tc>
          <w:tcPr>
            <w:tcW w:w="351" w:type="pct"/>
            <w:tcBorders>
              <w:top w:val="nil"/>
              <w:left w:val="nil"/>
              <w:bottom w:val="nil"/>
              <w:right w:val="nil"/>
            </w:tcBorders>
            <w:shd w:val="clear" w:color="auto" w:fill="auto"/>
            <w:noWrap/>
            <w:vAlign w:val="center"/>
          </w:tcPr>
          <w:p w14:paraId="169AD5E4">
            <w:pPr>
              <w:rPr>
                <w:rFonts w:hint="eastAsia" w:ascii="宋体" w:hAnsi="宋体" w:eastAsia="宋体" w:cs="宋体"/>
                <w:i w:val="0"/>
                <w:iCs w:val="0"/>
                <w:color w:val="000000"/>
                <w:sz w:val="22"/>
                <w:szCs w:val="22"/>
                <w:highlight w:val="none"/>
                <w:u w:val="none"/>
              </w:rPr>
            </w:pPr>
          </w:p>
        </w:tc>
      </w:tr>
      <w:tr w14:paraId="40020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360" w:type="pct"/>
            <w:tcBorders>
              <w:top w:val="nil"/>
              <w:left w:val="nil"/>
              <w:bottom w:val="nil"/>
              <w:right w:val="nil"/>
            </w:tcBorders>
            <w:shd w:val="clear" w:color="auto" w:fill="auto"/>
            <w:noWrap/>
            <w:vAlign w:val="center"/>
          </w:tcPr>
          <w:p w14:paraId="312A3BAD">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3</w:t>
            </w:r>
          </w:p>
        </w:tc>
        <w:tc>
          <w:tcPr>
            <w:tcW w:w="4288" w:type="pct"/>
            <w:tcBorders>
              <w:top w:val="nil"/>
              <w:left w:val="nil"/>
              <w:bottom w:val="nil"/>
              <w:right w:val="nil"/>
            </w:tcBorders>
            <w:shd w:val="clear" w:color="auto" w:fill="auto"/>
            <w:vAlign w:val="center"/>
          </w:tcPr>
          <w:p w14:paraId="3B0F5C4B">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★夹胶后玻璃应符合GB/T 2410—2008《透明塑料透光率和雾度的测定》：雾度＜0.4%。（投标时提供第三方检测机构出具的加盖CMA标注的检测报告扫描件加盖投标人公章，未提供或内容不满足要求的视为未实质性满足招标文件要求，作为无效标处理。）</w:t>
            </w:r>
          </w:p>
        </w:tc>
        <w:tc>
          <w:tcPr>
            <w:tcW w:w="351" w:type="pct"/>
            <w:tcBorders>
              <w:top w:val="nil"/>
              <w:left w:val="nil"/>
              <w:bottom w:val="nil"/>
              <w:right w:val="nil"/>
            </w:tcBorders>
            <w:shd w:val="clear" w:color="auto" w:fill="auto"/>
            <w:noWrap/>
            <w:vAlign w:val="center"/>
          </w:tcPr>
          <w:p w14:paraId="4B81ED90">
            <w:pPr>
              <w:rPr>
                <w:rFonts w:hint="eastAsia" w:ascii="宋体" w:hAnsi="宋体" w:eastAsia="宋体" w:cs="宋体"/>
                <w:i w:val="0"/>
                <w:iCs w:val="0"/>
                <w:color w:val="000000"/>
                <w:sz w:val="22"/>
                <w:szCs w:val="22"/>
                <w:highlight w:val="none"/>
                <w:u w:val="none"/>
              </w:rPr>
            </w:pPr>
          </w:p>
        </w:tc>
      </w:tr>
      <w:tr w14:paraId="1EB3A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7" w:hRule="atLeast"/>
        </w:trPr>
        <w:tc>
          <w:tcPr>
            <w:tcW w:w="360" w:type="pct"/>
            <w:tcBorders>
              <w:top w:val="nil"/>
              <w:left w:val="nil"/>
              <w:bottom w:val="nil"/>
              <w:right w:val="nil"/>
            </w:tcBorders>
            <w:shd w:val="clear" w:color="auto" w:fill="auto"/>
            <w:noWrap/>
            <w:vAlign w:val="center"/>
          </w:tcPr>
          <w:p w14:paraId="24BDDD36">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4</w:t>
            </w:r>
          </w:p>
        </w:tc>
        <w:tc>
          <w:tcPr>
            <w:tcW w:w="4288" w:type="pct"/>
            <w:tcBorders>
              <w:top w:val="nil"/>
              <w:left w:val="nil"/>
              <w:bottom w:val="nil"/>
              <w:right w:val="nil"/>
            </w:tcBorders>
            <w:shd w:val="clear" w:color="auto" w:fill="auto"/>
            <w:vAlign w:val="center"/>
          </w:tcPr>
          <w:p w14:paraId="63C40DC1">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★夹胶前原片玻璃应符合GB/T 18915.1—2013《镀膜玻璃 第1部分:阳光控制镀膜玻璃》：耐磨性，耐碱性、耐酸性试验前后可见光透射比差值的绝对值应不大于4%。（投标时提供第三方检测机构出具的加盖CMA标注的检测报告扫描件加盖投标人公章，未提供或内容不满足要求的视为未实质性满足招标文件要求，作为无效标处理。）</w:t>
            </w:r>
          </w:p>
        </w:tc>
        <w:tc>
          <w:tcPr>
            <w:tcW w:w="351" w:type="pct"/>
            <w:tcBorders>
              <w:top w:val="nil"/>
              <w:left w:val="nil"/>
              <w:bottom w:val="nil"/>
              <w:right w:val="nil"/>
            </w:tcBorders>
            <w:shd w:val="clear" w:color="auto" w:fill="auto"/>
            <w:noWrap/>
            <w:vAlign w:val="center"/>
          </w:tcPr>
          <w:p w14:paraId="26F0FF35">
            <w:pPr>
              <w:rPr>
                <w:rFonts w:hint="eastAsia" w:ascii="宋体" w:hAnsi="宋体" w:eastAsia="宋体" w:cs="宋体"/>
                <w:i w:val="0"/>
                <w:iCs w:val="0"/>
                <w:color w:val="000000"/>
                <w:sz w:val="22"/>
                <w:szCs w:val="22"/>
                <w:highlight w:val="none"/>
                <w:u w:val="none"/>
              </w:rPr>
            </w:pPr>
          </w:p>
        </w:tc>
      </w:tr>
      <w:tr w14:paraId="594E2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2" w:hRule="atLeast"/>
        </w:trPr>
        <w:tc>
          <w:tcPr>
            <w:tcW w:w="360" w:type="pct"/>
            <w:tcBorders>
              <w:top w:val="nil"/>
              <w:left w:val="nil"/>
              <w:bottom w:val="nil"/>
              <w:right w:val="nil"/>
            </w:tcBorders>
            <w:shd w:val="clear" w:color="auto" w:fill="auto"/>
            <w:noWrap/>
            <w:vAlign w:val="center"/>
          </w:tcPr>
          <w:p w14:paraId="187169B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w:t>
            </w:r>
          </w:p>
        </w:tc>
        <w:tc>
          <w:tcPr>
            <w:tcW w:w="4288" w:type="pct"/>
            <w:tcBorders>
              <w:top w:val="nil"/>
              <w:left w:val="nil"/>
              <w:bottom w:val="nil"/>
              <w:right w:val="nil"/>
            </w:tcBorders>
            <w:shd w:val="clear" w:color="auto" w:fill="auto"/>
            <w:vAlign w:val="center"/>
          </w:tcPr>
          <w:p w14:paraId="39496994">
            <w:pPr>
              <w:keepNext w:val="0"/>
              <w:keepLines w:val="0"/>
              <w:widowControl/>
              <w:suppressLineNumbers w:val="0"/>
              <w:jc w:val="left"/>
              <w:textAlignment w:val="auto"/>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★展柜结构须采用冷弯空心型钢，符合GB/T 6725—2017《冷弯型钢通用技术要求》：下屈服强度≥235Mpa，抗拉强度处于370～560Mpa，断后伸长率≥24%；壁厚≥3mm、截面、尺寸及允许偏差应符合GB/T 6728—2017《结构用冷弯空心型钢》的规定。（投标人须在投标文件中提供由第三方检测机构出具的、带有CMA标志的检测报告扫描件，并加盖投标人公章。未按要求提供报告，或报告内容不满足本条款要求的，视为未实质性响应招标文件要求，其投标按无效标处理。）</w:t>
            </w:r>
          </w:p>
        </w:tc>
        <w:tc>
          <w:tcPr>
            <w:tcW w:w="351" w:type="pct"/>
            <w:tcBorders>
              <w:top w:val="nil"/>
              <w:left w:val="nil"/>
              <w:bottom w:val="nil"/>
              <w:right w:val="nil"/>
            </w:tcBorders>
            <w:shd w:val="clear" w:color="auto" w:fill="auto"/>
            <w:noWrap/>
            <w:vAlign w:val="center"/>
          </w:tcPr>
          <w:p w14:paraId="31EF63F1">
            <w:pPr>
              <w:rPr>
                <w:rFonts w:hint="eastAsia" w:ascii="宋体" w:hAnsi="宋体" w:eastAsia="宋体" w:cs="宋体"/>
                <w:i w:val="0"/>
                <w:iCs w:val="0"/>
                <w:color w:val="000000"/>
                <w:sz w:val="22"/>
                <w:szCs w:val="22"/>
                <w:highlight w:val="none"/>
                <w:u w:val="none"/>
              </w:rPr>
            </w:pPr>
          </w:p>
        </w:tc>
      </w:tr>
      <w:tr w14:paraId="788EA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1D28DE5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4288" w:type="pct"/>
            <w:tcBorders>
              <w:top w:val="nil"/>
              <w:left w:val="nil"/>
              <w:bottom w:val="nil"/>
              <w:right w:val="nil"/>
            </w:tcBorders>
            <w:shd w:val="clear" w:color="auto" w:fill="auto"/>
            <w:vAlign w:val="center"/>
          </w:tcPr>
          <w:p w14:paraId="45AC945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中间层材料须采用公称厚度不小于0.89mm的离子型中间层胶片，材质为以乙烯与甲基丙烯酸酯共聚物为主的离子性中间层（SGP）。（投标时须提供产品彩页、说明书或技术手册等佐证材料，并加盖投标人公章。佐证材料须明确体现胶片厚度及材质信息。未按要求提供，或提供材料不满足本条款要求的，视为未实质性响应招标文件要求，其投标按无效标处理。）</w:t>
            </w:r>
          </w:p>
        </w:tc>
        <w:tc>
          <w:tcPr>
            <w:tcW w:w="351" w:type="pct"/>
            <w:tcBorders>
              <w:top w:val="nil"/>
              <w:left w:val="nil"/>
              <w:bottom w:val="nil"/>
              <w:right w:val="nil"/>
            </w:tcBorders>
            <w:shd w:val="clear" w:color="auto" w:fill="auto"/>
            <w:noWrap/>
            <w:vAlign w:val="center"/>
          </w:tcPr>
          <w:p w14:paraId="24192092">
            <w:pPr>
              <w:rPr>
                <w:rFonts w:hint="eastAsia" w:ascii="宋体" w:hAnsi="宋体" w:eastAsia="宋体" w:cs="宋体"/>
                <w:i w:val="0"/>
                <w:iCs w:val="0"/>
                <w:color w:val="000000"/>
                <w:sz w:val="22"/>
                <w:szCs w:val="22"/>
                <w:highlight w:val="none"/>
                <w:u w:val="none"/>
              </w:rPr>
            </w:pPr>
          </w:p>
        </w:tc>
      </w:tr>
      <w:tr w14:paraId="5F76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0" w:type="pct"/>
            <w:tcBorders>
              <w:top w:val="nil"/>
              <w:left w:val="nil"/>
              <w:bottom w:val="nil"/>
              <w:right w:val="nil"/>
            </w:tcBorders>
            <w:shd w:val="clear" w:color="auto" w:fill="auto"/>
            <w:noWrap/>
            <w:vAlign w:val="center"/>
          </w:tcPr>
          <w:p w14:paraId="64234E3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w:t>
            </w:r>
          </w:p>
        </w:tc>
        <w:tc>
          <w:tcPr>
            <w:tcW w:w="4288" w:type="pct"/>
            <w:tcBorders>
              <w:top w:val="nil"/>
              <w:left w:val="nil"/>
              <w:bottom w:val="nil"/>
              <w:right w:val="nil"/>
            </w:tcBorders>
            <w:shd w:val="clear" w:color="auto" w:fill="auto"/>
            <w:vAlign w:val="center"/>
          </w:tcPr>
          <w:p w14:paraId="1EDA52F4">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★展柜内部空气质量须满足 GB/T 36111-2018《文物展柜基本技术要求及检测》规定的污染物限量要求，具体指标如下（检测条件及方法应符合该标准规定）：甲醛浓度 ≤ 100 μg/m³；甲酸浓度 ≤ 100 μg/m³；乙酸浓度 ≤ 250 μg/m³；总挥发性有机化合物（TVOC）浓度 ≤ 600 μg/m³。</w:t>
            </w:r>
          </w:p>
          <w:p w14:paraId="3225169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投标时须提供由第三方检测机构出具的、带有CMA标志的检测报告扫描件，并加盖投标人公章。检测报告内容须涵盖上述全部污染物指标，并明确标注检测方法和限值判定依据。未按要求提供报告，或报告内容不满足本条款要求的，视为未实质性响应招标文件要求，其投标按无效标处理。）</w:t>
            </w:r>
          </w:p>
        </w:tc>
        <w:tc>
          <w:tcPr>
            <w:tcW w:w="351" w:type="pct"/>
            <w:tcBorders>
              <w:top w:val="nil"/>
              <w:left w:val="nil"/>
              <w:bottom w:val="nil"/>
              <w:right w:val="nil"/>
            </w:tcBorders>
            <w:shd w:val="clear" w:color="auto" w:fill="auto"/>
            <w:noWrap/>
            <w:vAlign w:val="center"/>
          </w:tcPr>
          <w:p w14:paraId="5A55CC55">
            <w:pPr>
              <w:rPr>
                <w:rFonts w:hint="eastAsia" w:ascii="宋体" w:hAnsi="宋体" w:eastAsia="宋体" w:cs="宋体"/>
                <w:i w:val="0"/>
                <w:iCs w:val="0"/>
                <w:color w:val="000000"/>
                <w:sz w:val="22"/>
                <w:szCs w:val="22"/>
                <w:highlight w:val="none"/>
                <w:u w:val="none"/>
              </w:rPr>
            </w:pPr>
          </w:p>
        </w:tc>
      </w:tr>
      <w:tr w14:paraId="5EB5D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13E771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二</w:t>
            </w:r>
          </w:p>
        </w:tc>
        <w:tc>
          <w:tcPr>
            <w:tcW w:w="4288" w:type="pct"/>
            <w:tcBorders>
              <w:top w:val="nil"/>
              <w:left w:val="nil"/>
              <w:bottom w:val="nil"/>
              <w:right w:val="nil"/>
            </w:tcBorders>
            <w:shd w:val="clear" w:color="auto" w:fill="auto"/>
            <w:vAlign w:val="center"/>
          </w:tcPr>
          <w:p w14:paraId="17E404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重要参数要求</w:t>
            </w:r>
          </w:p>
        </w:tc>
        <w:tc>
          <w:tcPr>
            <w:tcW w:w="351" w:type="pct"/>
            <w:tcBorders>
              <w:top w:val="nil"/>
              <w:left w:val="nil"/>
              <w:bottom w:val="nil"/>
              <w:right w:val="nil"/>
            </w:tcBorders>
            <w:shd w:val="clear" w:color="auto" w:fill="auto"/>
            <w:noWrap/>
            <w:vAlign w:val="center"/>
          </w:tcPr>
          <w:p w14:paraId="534D4333">
            <w:pPr>
              <w:rPr>
                <w:rFonts w:hint="eastAsia" w:ascii="宋体" w:hAnsi="宋体" w:eastAsia="宋体" w:cs="宋体"/>
                <w:i w:val="0"/>
                <w:iCs w:val="0"/>
                <w:color w:val="000000"/>
                <w:sz w:val="22"/>
                <w:szCs w:val="22"/>
                <w:highlight w:val="none"/>
                <w:u w:val="none"/>
              </w:rPr>
            </w:pPr>
          </w:p>
        </w:tc>
      </w:tr>
      <w:tr w14:paraId="5EA1E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60" w:type="pct"/>
            <w:tcBorders>
              <w:top w:val="nil"/>
              <w:left w:val="nil"/>
              <w:bottom w:val="nil"/>
              <w:right w:val="nil"/>
            </w:tcBorders>
            <w:shd w:val="clear" w:color="auto" w:fill="auto"/>
            <w:noWrap/>
            <w:vAlign w:val="center"/>
          </w:tcPr>
          <w:p w14:paraId="4C92A25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4288" w:type="pct"/>
            <w:tcBorders>
              <w:top w:val="nil"/>
              <w:left w:val="nil"/>
              <w:bottom w:val="nil"/>
              <w:right w:val="nil"/>
            </w:tcBorders>
            <w:shd w:val="clear" w:color="auto" w:fill="auto"/>
            <w:vAlign w:val="center"/>
          </w:tcPr>
          <w:p w14:paraId="67D3F29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t>
            </w:r>
            <w:r>
              <w:rPr>
                <w:rFonts w:hint="eastAsia" w:ascii="宋体" w:hAnsi="宋体" w:eastAsia="宋体" w:cs="宋体"/>
                <w:b w:val="0"/>
                <w:bCs w:val="0"/>
                <w:i w:val="0"/>
                <w:iCs w:val="0"/>
                <w:color w:val="000000"/>
                <w:kern w:val="0"/>
                <w:sz w:val="16"/>
                <w:szCs w:val="16"/>
                <w:highlight w:val="none"/>
                <w:u w:val="none"/>
                <w:lang w:val="en-US" w:eastAsia="zh-CN" w:bidi="ar"/>
              </w:rPr>
              <w:t>提供的沿墙通柜应符合GB/T 36110-2018《文物展柜密封性能及检测》，展柜换气率≤0.5d</w:t>
            </w:r>
            <w:r>
              <w:rPr>
                <w:rFonts w:hint="eastAsia" w:ascii="宋体" w:hAnsi="宋体" w:eastAsia="宋体" w:cs="宋体"/>
                <w:b w:val="0"/>
                <w:bCs w:val="0"/>
                <w:i w:val="0"/>
                <w:iCs w:val="0"/>
                <w:color w:val="000000"/>
                <w:kern w:val="0"/>
                <w:sz w:val="16"/>
                <w:szCs w:val="16"/>
                <w:highlight w:val="none"/>
                <w:u w:val="none"/>
                <w:vertAlign w:val="superscript"/>
                <w:lang w:val="en-US" w:eastAsia="zh-CN" w:bidi="ar"/>
              </w:rPr>
              <w:t>-1</w:t>
            </w:r>
            <w:r>
              <w:rPr>
                <w:rFonts w:hint="eastAsia" w:ascii="宋体" w:hAnsi="宋体" w:eastAsia="宋体" w:cs="宋体"/>
                <w:b w:val="0"/>
                <w:bCs w:val="0"/>
                <w:i w:val="0"/>
                <w:iCs w:val="0"/>
                <w:color w:val="000000"/>
                <w:kern w:val="0"/>
                <w:sz w:val="16"/>
                <w:szCs w:val="16"/>
                <w:highlight w:val="none"/>
                <w:u w:val="none"/>
                <w:lang w:val="en-US" w:eastAsia="zh-CN" w:bidi="ar"/>
              </w:rPr>
              <w:t>。（投标时提供第三方检测机构出具的加盖CMA标注的检测报告扫描件加盖投标人公章，未提供或内容不满足要求的视为负偏离。）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079A515E">
            <w:pPr>
              <w:rPr>
                <w:rFonts w:hint="eastAsia" w:ascii="宋体" w:hAnsi="宋体" w:eastAsia="宋体" w:cs="宋体"/>
                <w:i w:val="0"/>
                <w:iCs w:val="0"/>
                <w:color w:val="000000"/>
                <w:sz w:val="22"/>
                <w:szCs w:val="22"/>
                <w:highlight w:val="none"/>
                <w:u w:val="none"/>
              </w:rPr>
            </w:pPr>
          </w:p>
        </w:tc>
      </w:tr>
      <w:tr w14:paraId="39C51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1" w:hRule="atLeast"/>
        </w:trPr>
        <w:tc>
          <w:tcPr>
            <w:tcW w:w="360" w:type="pct"/>
            <w:tcBorders>
              <w:top w:val="nil"/>
              <w:left w:val="nil"/>
              <w:bottom w:val="nil"/>
              <w:right w:val="nil"/>
            </w:tcBorders>
            <w:shd w:val="clear" w:color="auto" w:fill="auto"/>
            <w:noWrap/>
            <w:vAlign w:val="center"/>
          </w:tcPr>
          <w:p w14:paraId="350A2F5B">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2</w:t>
            </w:r>
          </w:p>
        </w:tc>
        <w:tc>
          <w:tcPr>
            <w:tcW w:w="4288" w:type="pct"/>
            <w:tcBorders>
              <w:top w:val="nil"/>
              <w:left w:val="nil"/>
              <w:bottom w:val="nil"/>
              <w:right w:val="nil"/>
            </w:tcBorders>
            <w:shd w:val="clear" w:color="auto" w:fill="auto"/>
            <w:vAlign w:val="center"/>
          </w:tcPr>
          <w:p w14:paraId="5F0BF98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▲展柜用的铝合金型材：力学性能应不低于 GB/T 5237.1-2017《铝合金建筑型材 第1部分：基材》中关于6063-T6状态的要求：抗拉强度 ≥ 205 MPa；规定非比例延伸强度 ≥ 180 MPa；断后伸长率 ≥ 8%。（投标时提供第三方检测机构出具的加盖CMA标注的检测报告扫描件加盖投标人公章，未提供或内容不满足要求的视为</w:t>
            </w:r>
            <w:r>
              <w:rPr>
                <w:rFonts w:hint="eastAsia" w:ascii="宋体" w:hAnsi="宋体" w:eastAsia="宋体" w:cs="宋体"/>
                <w:b w:val="0"/>
                <w:bCs w:val="0"/>
                <w:i w:val="0"/>
                <w:iCs w:val="0"/>
                <w:color w:val="000000"/>
                <w:kern w:val="0"/>
                <w:sz w:val="16"/>
                <w:szCs w:val="16"/>
                <w:highlight w:val="none"/>
                <w:u w:val="none"/>
                <w:lang w:val="en-US" w:eastAsia="zh-CN" w:bidi="ar"/>
              </w:rPr>
              <w:t>负偏离</w:t>
            </w:r>
            <w:r>
              <w:rPr>
                <w:rFonts w:hint="eastAsia" w:ascii="宋体" w:hAnsi="宋体" w:eastAsia="宋体" w:cs="宋体"/>
                <w:i w:val="0"/>
                <w:iCs w:val="0"/>
                <w:color w:val="000000"/>
                <w:kern w:val="0"/>
                <w:sz w:val="16"/>
                <w:szCs w:val="16"/>
                <w:highlight w:val="none"/>
                <w:u w:val="none"/>
                <w:lang w:val="en-US" w:eastAsia="zh-CN" w:bidi="ar"/>
              </w:rPr>
              <w:t>。）</w:t>
            </w:r>
          </w:p>
        </w:tc>
        <w:tc>
          <w:tcPr>
            <w:tcW w:w="351" w:type="pct"/>
            <w:tcBorders>
              <w:top w:val="nil"/>
              <w:left w:val="nil"/>
              <w:bottom w:val="nil"/>
              <w:right w:val="nil"/>
            </w:tcBorders>
            <w:shd w:val="clear" w:color="auto" w:fill="auto"/>
            <w:noWrap/>
            <w:vAlign w:val="center"/>
          </w:tcPr>
          <w:p w14:paraId="194ED89C">
            <w:pPr>
              <w:rPr>
                <w:rFonts w:hint="eastAsia" w:ascii="宋体" w:hAnsi="宋体" w:eastAsia="宋体" w:cs="宋体"/>
                <w:i w:val="0"/>
                <w:iCs w:val="0"/>
                <w:color w:val="000000"/>
                <w:sz w:val="22"/>
                <w:szCs w:val="22"/>
                <w:highlight w:val="none"/>
                <w:u w:val="none"/>
              </w:rPr>
            </w:pPr>
          </w:p>
        </w:tc>
      </w:tr>
      <w:tr w14:paraId="584E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0" w:type="pct"/>
            <w:tcBorders>
              <w:top w:val="nil"/>
              <w:left w:val="nil"/>
              <w:bottom w:val="nil"/>
              <w:right w:val="nil"/>
            </w:tcBorders>
            <w:shd w:val="clear" w:color="auto" w:fill="auto"/>
            <w:noWrap/>
            <w:vAlign w:val="center"/>
          </w:tcPr>
          <w:p w14:paraId="46DE70BB">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3</w:t>
            </w:r>
          </w:p>
        </w:tc>
        <w:tc>
          <w:tcPr>
            <w:tcW w:w="4288" w:type="pct"/>
            <w:tcBorders>
              <w:top w:val="nil"/>
              <w:left w:val="nil"/>
              <w:bottom w:val="nil"/>
              <w:right w:val="nil"/>
            </w:tcBorders>
            <w:shd w:val="clear" w:color="auto" w:fill="auto"/>
            <w:vAlign w:val="center"/>
          </w:tcPr>
          <w:p w14:paraId="7184CA3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▲钢板：表面涂层理化性能应不低于 GB/T 3325-2024《金属家具通用技术条件》中关于金属表面涂层的要求，且满足以下指标：膜层硬度 ≥ 4H；表面涂层色差 ΔE ≤ 1（按 GB/T 11186测定）。（投标时提供第三方检测机构出具的加盖CMA标注的检测报告扫描件加盖投标人公章，未提供或内容不满足要求的视为负偏离。）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2FA466BF">
            <w:pPr>
              <w:rPr>
                <w:rFonts w:hint="eastAsia" w:ascii="宋体" w:hAnsi="宋体" w:eastAsia="宋体" w:cs="宋体"/>
                <w:i w:val="0"/>
                <w:iCs w:val="0"/>
                <w:color w:val="000000"/>
                <w:sz w:val="22"/>
                <w:szCs w:val="22"/>
                <w:highlight w:val="none"/>
                <w:u w:val="none"/>
              </w:rPr>
            </w:pPr>
          </w:p>
        </w:tc>
      </w:tr>
      <w:tr w14:paraId="14034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60" w:type="pct"/>
            <w:tcBorders>
              <w:top w:val="nil"/>
              <w:left w:val="nil"/>
              <w:bottom w:val="nil"/>
              <w:right w:val="nil"/>
            </w:tcBorders>
            <w:shd w:val="clear" w:color="auto" w:fill="auto"/>
            <w:noWrap/>
            <w:vAlign w:val="center"/>
          </w:tcPr>
          <w:p w14:paraId="00395B13">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4</w:t>
            </w:r>
          </w:p>
        </w:tc>
        <w:tc>
          <w:tcPr>
            <w:tcW w:w="4288" w:type="pct"/>
            <w:tcBorders>
              <w:top w:val="nil"/>
              <w:left w:val="nil"/>
              <w:bottom w:val="nil"/>
              <w:right w:val="nil"/>
            </w:tcBorders>
            <w:shd w:val="clear" w:color="auto" w:fill="auto"/>
            <w:vAlign w:val="center"/>
          </w:tcPr>
          <w:p w14:paraId="6F9B2419">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▲铝合金材料：表面涂层应满足以下要求（以下两种工艺可任选其一）：</w:t>
            </w:r>
          </w:p>
          <w:p w14:paraId="21965B34">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喷粉工艺：符合GB/T 5237.4-2017 的规定，光泽度允许偏差不大于±3，平均膜厚应≥60μm，耐磨性≥2，耐沸水性测试后，膜层表面应无脱落、起皱等现象，附着性应达到0级；耐冲击性、抗杯突性、抗弯曲性测试后膜层表面应无开裂及脱落现象；耐盐酸性测试后膜层表面应无气泡或其他明显变化，喷漆工艺：符合GB/T 5237.5-2017《铝合金建筑型材 第5部分：喷漆型材》的要求，膜层类型为四涂层； 膜层厚度≥65μm；膜层硬度 ≥ 4H；色差 ΔE ≤ 1（按 GB/T 11186 测定）。</w:t>
            </w:r>
          </w:p>
          <w:p w14:paraId="3B53B1E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279AABBF">
            <w:pPr>
              <w:rPr>
                <w:rFonts w:hint="eastAsia" w:ascii="宋体" w:hAnsi="宋体" w:eastAsia="宋体" w:cs="宋体"/>
                <w:i w:val="0"/>
                <w:iCs w:val="0"/>
                <w:color w:val="000000"/>
                <w:sz w:val="22"/>
                <w:szCs w:val="22"/>
                <w:highlight w:val="none"/>
                <w:u w:val="none"/>
              </w:rPr>
            </w:pPr>
          </w:p>
        </w:tc>
      </w:tr>
      <w:tr w14:paraId="4C13F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60" w:type="pct"/>
            <w:tcBorders>
              <w:top w:val="nil"/>
              <w:left w:val="nil"/>
              <w:bottom w:val="nil"/>
              <w:right w:val="nil"/>
            </w:tcBorders>
            <w:shd w:val="clear" w:color="auto" w:fill="auto"/>
            <w:noWrap/>
            <w:vAlign w:val="center"/>
          </w:tcPr>
          <w:p w14:paraId="0EAD1895">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5</w:t>
            </w:r>
          </w:p>
        </w:tc>
        <w:tc>
          <w:tcPr>
            <w:tcW w:w="4288" w:type="pct"/>
            <w:tcBorders>
              <w:top w:val="nil"/>
              <w:left w:val="nil"/>
              <w:bottom w:val="nil"/>
              <w:right w:val="nil"/>
            </w:tcBorders>
            <w:shd w:val="clear" w:color="auto" w:fill="auto"/>
            <w:vAlign w:val="center"/>
          </w:tcPr>
          <w:p w14:paraId="35069F01">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▲展柜须使用镀锌钢板作为封护材料，镀锌钢板：符合GB/T 2518-2019《连续热镀锌钢板和钢带》的规定，抗拉强度处于270~500MPa，断后伸长率大于22%，表面无漏镀、无镀层脱落、无肉眼可见裂纹，镀层重量大于80g/㎡。（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4BD1EC06">
            <w:pPr>
              <w:rPr>
                <w:rFonts w:hint="eastAsia" w:ascii="宋体" w:hAnsi="宋体" w:eastAsia="宋体" w:cs="宋体"/>
                <w:i w:val="0"/>
                <w:iCs w:val="0"/>
                <w:color w:val="000000"/>
                <w:sz w:val="22"/>
                <w:szCs w:val="22"/>
                <w:highlight w:val="none"/>
                <w:u w:val="none"/>
              </w:rPr>
            </w:pPr>
          </w:p>
        </w:tc>
      </w:tr>
      <w:tr w14:paraId="72B2C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704786A5">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6</w:t>
            </w:r>
          </w:p>
        </w:tc>
        <w:tc>
          <w:tcPr>
            <w:tcW w:w="4288" w:type="pct"/>
            <w:tcBorders>
              <w:top w:val="nil"/>
              <w:left w:val="nil"/>
              <w:bottom w:val="nil"/>
              <w:right w:val="nil"/>
            </w:tcBorders>
            <w:shd w:val="clear" w:color="auto" w:fill="auto"/>
            <w:vAlign w:val="center"/>
          </w:tcPr>
          <w:p w14:paraId="5F691BB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▲结构密封胶应采用硅酮结构密封胶：拉伸粘接性能符合GB/T 16776《建筑用硅酮结构密封胶》，垂直放置时的下垂度≤0.5mm，水平放置时应无变形；表干时间≤3h；硬度为20~60 ShoreA；拉伸粘接强度≥0.60MPa，粘接破坏面积≤5%。（投标时提供第三方检测机构出具的加盖CMA标注的检测报告扫描件加盖投标人公章，未提供或内容不满足要求的视为负偏离。）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693419A3">
            <w:pPr>
              <w:rPr>
                <w:rFonts w:hint="eastAsia" w:ascii="宋体" w:hAnsi="宋体" w:eastAsia="宋体" w:cs="宋体"/>
                <w:i w:val="0"/>
                <w:iCs w:val="0"/>
                <w:color w:val="000000"/>
                <w:sz w:val="22"/>
                <w:szCs w:val="22"/>
                <w:highlight w:val="none"/>
                <w:u w:val="none"/>
              </w:rPr>
            </w:pPr>
          </w:p>
        </w:tc>
      </w:tr>
      <w:tr w14:paraId="1831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6EAD297D">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7</w:t>
            </w:r>
          </w:p>
        </w:tc>
        <w:tc>
          <w:tcPr>
            <w:tcW w:w="4288" w:type="pct"/>
            <w:tcBorders>
              <w:top w:val="nil"/>
              <w:left w:val="nil"/>
              <w:bottom w:val="nil"/>
              <w:right w:val="nil"/>
            </w:tcBorders>
            <w:shd w:val="clear" w:color="auto" w:fill="auto"/>
            <w:vAlign w:val="center"/>
          </w:tcPr>
          <w:p w14:paraId="4967D47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▲展柜密封胶：符合GB 30982-2014《建筑胶粘剂有害物质限量》，总挥发性有机物的含量≤100g/kg，游离甲醛≤0.01g/kg。（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65CB7F81">
            <w:pPr>
              <w:rPr>
                <w:rFonts w:hint="eastAsia" w:ascii="宋体" w:hAnsi="宋体" w:eastAsia="宋体" w:cs="宋体"/>
                <w:i w:val="0"/>
                <w:iCs w:val="0"/>
                <w:color w:val="000000"/>
                <w:sz w:val="22"/>
                <w:szCs w:val="22"/>
                <w:highlight w:val="none"/>
                <w:u w:val="none"/>
              </w:rPr>
            </w:pPr>
          </w:p>
        </w:tc>
      </w:tr>
      <w:tr w14:paraId="08E3D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41D2416C">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8</w:t>
            </w:r>
          </w:p>
        </w:tc>
        <w:tc>
          <w:tcPr>
            <w:tcW w:w="4288" w:type="pct"/>
            <w:tcBorders>
              <w:top w:val="nil"/>
              <w:left w:val="nil"/>
              <w:bottom w:val="nil"/>
              <w:right w:val="nil"/>
            </w:tcBorders>
            <w:shd w:val="clear" w:color="auto" w:fill="auto"/>
            <w:vAlign w:val="center"/>
          </w:tcPr>
          <w:p w14:paraId="688E59D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▲展柜须使用有机硅材质的密封条：力学性能参照GB/T 24498-2025《建筑门窗、幕墙用密封胶条》关于硅橡胶的规定，满足拉伸强度 ≥ 10.0 MPa；拉断伸长率 ≥ 500%；撕裂强度 ≥ 18 KN/m；热空气老化（100℃ × 168h）后：拉伸强度变化率（绝对值）＜ 25%，拉断伸长率变化率（绝对值）＜ 40%，压缩永久变形（100℃ × 22h，压缩率25%）＜ 35%。（投标时提供第三方检测机构出具的加盖CMA标注的检测报告扫描件加盖投标人公章，未提供或内容不满足要求的视为负偏离。）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085DCF68">
            <w:pPr>
              <w:rPr>
                <w:rFonts w:hint="eastAsia" w:ascii="宋体" w:hAnsi="宋体" w:eastAsia="宋体" w:cs="宋体"/>
                <w:i w:val="0"/>
                <w:iCs w:val="0"/>
                <w:color w:val="000000"/>
                <w:sz w:val="22"/>
                <w:szCs w:val="22"/>
                <w:highlight w:val="none"/>
                <w:u w:val="none"/>
              </w:rPr>
            </w:pPr>
          </w:p>
        </w:tc>
      </w:tr>
      <w:tr w14:paraId="4A7A0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63AC90FF">
            <w:pPr>
              <w:keepNext w:val="0"/>
              <w:keepLines w:val="0"/>
              <w:widowControl/>
              <w:suppressLineNumbers w:val="0"/>
              <w:jc w:val="left"/>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9</w:t>
            </w:r>
          </w:p>
        </w:tc>
        <w:tc>
          <w:tcPr>
            <w:tcW w:w="4288" w:type="pct"/>
            <w:tcBorders>
              <w:top w:val="nil"/>
              <w:left w:val="nil"/>
              <w:bottom w:val="nil"/>
              <w:right w:val="nil"/>
            </w:tcBorders>
            <w:shd w:val="clear" w:color="auto" w:fill="auto"/>
            <w:vAlign w:val="center"/>
          </w:tcPr>
          <w:p w14:paraId="12E2E2B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▲柜内纺织品：甲醛含量按GB/T 2912.2 -2009《纺织品 甲醛的测定 第2部分：释放的甲醛（蒸汽吸收法）》检测应不高于20 mg/kg。（投标时提供第三方检测机构出具的加盖CMA标注的检测报告扫描件加盖投标人公章，未提供或内容不满足要求的视为负偏离。）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61A87A90">
            <w:pPr>
              <w:rPr>
                <w:rFonts w:hint="eastAsia" w:ascii="宋体" w:hAnsi="宋体" w:eastAsia="宋体" w:cs="宋体"/>
                <w:i w:val="0"/>
                <w:iCs w:val="0"/>
                <w:color w:val="000000"/>
                <w:sz w:val="22"/>
                <w:szCs w:val="22"/>
                <w:highlight w:val="none"/>
                <w:u w:val="none"/>
              </w:rPr>
            </w:pPr>
          </w:p>
        </w:tc>
      </w:tr>
      <w:tr w14:paraId="6227C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60" w:type="pct"/>
            <w:tcBorders>
              <w:top w:val="nil"/>
              <w:left w:val="nil"/>
              <w:bottom w:val="nil"/>
              <w:right w:val="nil"/>
            </w:tcBorders>
            <w:shd w:val="clear" w:color="auto" w:fill="auto"/>
            <w:noWrap/>
            <w:vAlign w:val="center"/>
          </w:tcPr>
          <w:p w14:paraId="355F7881">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10</w:t>
            </w:r>
          </w:p>
        </w:tc>
        <w:tc>
          <w:tcPr>
            <w:tcW w:w="4288" w:type="pct"/>
            <w:tcBorders>
              <w:top w:val="nil"/>
              <w:left w:val="nil"/>
              <w:bottom w:val="nil"/>
              <w:right w:val="nil"/>
            </w:tcBorders>
            <w:shd w:val="clear" w:color="auto" w:fill="auto"/>
            <w:vAlign w:val="center"/>
          </w:tcPr>
          <w:p w14:paraId="75AC0BD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▲锁具：性能应不低于GA/T 73—2015《机械防盗锁》中规定的C级要求。（投标时提供第三方检测机构出具的加盖CMA标注的检测报告扫描件加盖投标人公章，未提供或内容不满足要求的视为负偏离。）锁具安装位置应隐蔽，并方便开启。</w:t>
            </w:r>
          </w:p>
        </w:tc>
        <w:tc>
          <w:tcPr>
            <w:tcW w:w="351" w:type="pct"/>
            <w:tcBorders>
              <w:top w:val="nil"/>
              <w:left w:val="nil"/>
              <w:bottom w:val="nil"/>
              <w:right w:val="nil"/>
            </w:tcBorders>
            <w:shd w:val="clear" w:color="auto" w:fill="auto"/>
            <w:noWrap/>
            <w:vAlign w:val="center"/>
          </w:tcPr>
          <w:p w14:paraId="2A713567">
            <w:pPr>
              <w:rPr>
                <w:rFonts w:hint="eastAsia" w:ascii="宋体" w:hAnsi="宋体" w:eastAsia="宋体" w:cs="宋体"/>
                <w:i w:val="0"/>
                <w:iCs w:val="0"/>
                <w:color w:val="000000"/>
                <w:sz w:val="22"/>
                <w:szCs w:val="22"/>
                <w:highlight w:val="none"/>
                <w:u w:val="none"/>
              </w:rPr>
            </w:pPr>
          </w:p>
        </w:tc>
      </w:tr>
      <w:tr w14:paraId="4F942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4EB3E8A2">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11</w:t>
            </w:r>
          </w:p>
        </w:tc>
        <w:tc>
          <w:tcPr>
            <w:tcW w:w="4288" w:type="pct"/>
            <w:tcBorders>
              <w:top w:val="nil"/>
              <w:left w:val="nil"/>
              <w:bottom w:val="nil"/>
              <w:right w:val="nil"/>
            </w:tcBorders>
            <w:shd w:val="clear" w:color="auto" w:fill="auto"/>
            <w:vAlign w:val="center"/>
          </w:tcPr>
          <w:p w14:paraId="7E0DE12F">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▲展柜在通过多遇地震：70 cm/s²；设防地震：200 cm/s²；罕遇地震：400 cm/s²抗震测试后，符合WW/T 0069-2015《馆藏文物防震规范》，展柜柜门未打开，活动检查门未滑出，展柜未出现跳起或倾覆。实验规程为JGJ/T101-2015《建筑抗震试验规程》。（投标时提供第三方检测机构出具的加盖CMA标注的检测报告扫描件加盖投标人公章，未提供或内容不满足要求的视为负偏离。）</w:t>
            </w:r>
          </w:p>
        </w:tc>
        <w:tc>
          <w:tcPr>
            <w:tcW w:w="351" w:type="pct"/>
            <w:tcBorders>
              <w:top w:val="nil"/>
              <w:left w:val="nil"/>
              <w:bottom w:val="nil"/>
              <w:right w:val="nil"/>
            </w:tcBorders>
            <w:shd w:val="clear" w:color="auto" w:fill="auto"/>
            <w:noWrap/>
            <w:vAlign w:val="center"/>
          </w:tcPr>
          <w:p w14:paraId="5D525927">
            <w:pPr>
              <w:rPr>
                <w:rFonts w:hint="eastAsia" w:ascii="宋体" w:hAnsi="宋体" w:eastAsia="宋体" w:cs="宋体"/>
                <w:i w:val="0"/>
                <w:iCs w:val="0"/>
                <w:color w:val="000000"/>
                <w:sz w:val="22"/>
                <w:szCs w:val="22"/>
                <w:highlight w:val="none"/>
                <w:u w:val="none"/>
              </w:rPr>
            </w:pPr>
          </w:p>
        </w:tc>
      </w:tr>
      <w:tr w14:paraId="3A983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3" w:hRule="atLeast"/>
        </w:trPr>
        <w:tc>
          <w:tcPr>
            <w:tcW w:w="360" w:type="pct"/>
            <w:tcBorders>
              <w:top w:val="nil"/>
              <w:left w:val="nil"/>
              <w:bottom w:val="nil"/>
              <w:right w:val="nil"/>
            </w:tcBorders>
            <w:shd w:val="clear" w:color="auto" w:fill="auto"/>
            <w:noWrap/>
            <w:vAlign w:val="center"/>
          </w:tcPr>
          <w:p w14:paraId="0E1337CC">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12</w:t>
            </w:r>
          </w:p>
        </w:tc>
        <w:tc>
          <w:tcPr>
            <w:tcW w:w="4288" w:type="pct"/>
            <w:tcBorders>
              <w:top w:val="nil"/>
              <w:left w:val="nil"/>
              <w:bottom w:val="nil"/>
              <w:right w:val="nil"/>
            </w:tcBorders>
            <w:shd w:val="clear" w:color="auto" w:fill="auto"/>
            <w:vAlign w:val="center"/>
          </w:tcPr>
          <w:p w14:paraId="7DECA47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▲所有展柜射灯均采用单颗大功率LED芯片 (非COB)；色温：4000K±100K；显色性：Ra≥95，R9≥90；SCDCM≤2。（投标时提供加盖投标人公章的产品彩页或说明书或技术手册等佐证材料，未提供或内容不满足要求的视为负偏离。）</w:t>
            </w:r>
          </w:p>
        </w:tc>
        <w:tc>
          <w:tcPr>
            <w:tcW w:w="351" w:type="pct"/>
            <w:tcBorders>
              <w:top w:val="nil"/>
              <w:left w:val="nil"/>
              <w:bottom w:val="nil"/>
              <w:right w:val="nil"/>
            </w:tcBorders>
            <w:shd w:val="clear" w:color="auto" w:fill="auto"/>
            <w:noWrap/>
            <w:vAlign w:val="center"/>
          </w:tcPr>
          <w:p w14:paraId="2F32C549">
            <w:pPr>
              <w:rPr>
                <w:rFonts w:hint="eastAsia" w:ascii="宋体" w:hAnsi="宋体" w:eastAsia="宋体" w:cs="宋体"/>
                <w:i w:val="0"/>
                <w:iCs w:val="0"/>
                <w:color w:val="000000"/>
                <w:sz w:val="22"/>
                <w:szCs w:val="22"/>
                <w:highlight w:val="none"/>
                <w:u w:val="none"/>
              </w:rPr>
            </w:pPr>
          </w:p>
        </w:tc>
      </w:tr>
      <w:tr w14:paraId="3AEA4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78E2861">
            <w:pPr>
              <w:keepNext w:val="0"/>
              <w:keepLines w:val="0"/>
              <w:widowControl/>
              <w:suppressLineNumbers w:val="0"/>
              <w:jc w:val="left"/>
              <w:textAlignment w:val="center"/>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二</w:t>
            </w:r>
          </w:p>
        </w:tc>
        <w:tc>
          <w:tcPr>
            <w:tcW w:w="4288" w:type="pct"/>
            <w:tcBorders>
              <w:top w:val="nil"/>
              <w:left w:val="nil"/>
              <w:bottom w:val="nil"/>
              <w:right w:val="nil"/>
            </w:tcBorders>
            <w:shd w:val="clear" w:color="auto" w:fill="auto"/>
            <w:vAlign w:val="center"/>
          </w:tcPr>
          <w:p w14:paraId="4209B16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其他技术参数</w:t>
            </w:r>
          </w:p>
        </w:tc>
        <w:tc>
          <w:tcPr>
            <w:tcW w:w="351" w:type="pct"/>
            <w:tcBorders>
              <w:top w:val="nil"/>
              <w:left w:val="nil"/>
              <w:bottom w:val="nil"/>
              <w:right w:val="nil"/>
            </w:tcBorders>
            <w:shd w:val="clear" w:color="auto" w:fill="auto"/>
            <w:noWrap/>
            <w:vAlign w:val="center"/>
          </w:tcPr>
          <w:p w14:paraId="72BD8823">
            <w:pPr>
              <w:rPr>
                <w:rFonts w:hint="eastAsia" w:ascii="宋体" w:hAnsi="宋体" w:eastAsia="宋体" w:cs="宋体"/>
                <w:i w:val="0"/>
                <w:iCs w:val="0"/>
                <w:color w:val="000000"/>
                <w:sz w:val="22"/>
                <w:szCs w:val="22"/>
                <w:highlight w:val="none"/>
                <w:u w:val="none"/>
              </w:rPr>
            </w:pPr>
          </w:p>
        </w:tc>
      </w:tr>
      <w:tr w14:paraId="47423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6DD5629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4288" w:type="pct"/>
            <w:tcBorders>
              <w:top w:val="nil"/>
              <w:left w:val="nil"/>
              <w:bottom w:val="nil"/>
              <w:right w:val="nil"/>
            </w:tcBorders>
            <w:shd w:val="clear" w:color="auto" w:fill="auto"/>
            <w:vAlign w:val="center"/>
          </w:tcPr>
          <w:p w14:paraId="5F20891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沿墙通柜总体要求</w:t>
            </w:r>
          </w:p>
        </w:tc>
        <w:tc>
          <w:tcPr>
            <w:tcW w:w="351" w:type="pct"/>
            <w:tcBorders>
              <w:top w:val="nil"/>
              <w:left w:val="nil"/>
              <w:bottom w:val="nil"/>
              <w:right w:val="nil"/>
            </w:tcBorders>
            <w:shd w:val="clear" w:color="auto" w:fill="auto"/>
            <w:noWrap/>
            <w:vAlign w:val="center"/>
          </w:tcPr>
          <w:p w14:paraId="56C650A7">
            <w:pPr>
              <w:rPr>
                <w:rFonts w:hint="eastAsia" w:ascii="宋体" w:hAnsi="宋体" w:eastAsia="宋体" w:cs="宋体"/>
                <w:i w:val="0"/>
                <w:iCs w:val="0"/>
                <w:color w:val="000000"/>
                <w:sz w:val="22"/>
                <w:szCs w:val="22"/>
                <w:highlight w:val="none"/>
                <w:u w:val="none"/>
              </w:rPr>
            </w:pPr>
          </w:p>
        </w:tc>
      </w:tr>
      <w:tr w14:paraId="3EAB8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5F63594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w:t>
            </w:r>
          </w:p>
        </w:tc>
        <w:tc>
          <w:tcPr>
            <w:tcW w:w="4288" w:type="pct"/>
            <w:tcBorders>
              <w:top w:val="nil"/>
              <w:left w:val="nil"/>
              <w:bottom w:val="nil"/>
              <w:right w:val="nil"/>
            </w:tcBorders>
            <w:shd w:val="clear" w:color="auto" w:fill="auto"/>
            <w:vAlign w:val="center"/>
          </w:tcPr>
          <w:p w14:paraId="76A102F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整柜均符合GB 20286-2006《公共场所阻燃制品及组件燃烧性能要求和标识》的要求，达到阻燃1级标准。</w:t>
            </w:r>
          </w:p>
        </w:tc>
        <w:tc>
          <w:tcPr>
            <w:tcW w:w="351" w:type="pct"/>
            <w:tcBorders>
              <w:top w:val="nil"/>
              <w:left w:val="nil"/>
              <w:bottom w:val="nil"/>
              <w:right w:val="nil"/>
            </w:tcBorders>
            <w:shd w:val="clear" w:color="auto" w:fill="auto"/>
            <w:noWrap/>
            <w:vAlign w:val="center"/>
          </w:tcPr>
          <w:p w14:paraId="52172A20">
            <w:pPr>
              <w:rPr>
                <w:rFonts w:hint="eastAsia" w:ascii="宋体" w:hAnsi="宋体" w:eastAsia="宋体" w:cs="宋体"/>
                <w:i w:val="0"/>
                <w:iCs w:val="0"/>
                <w:color w:val="000000"/>
                <w:sz w:val="22"/>
                <w:szCs w:val="22"/>
                <w:highlight w:val="none"/>
                <w:u w:val="none"/>
              </w:rPr>
            </w:pPr>
          </w:p>
        </w:tc>
      </w:tr>
      <w:tr w14:paraId="6267D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09F39D4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1.2</w:t>
            </w:r>
          </w:p>
        </w:tc>
        <w:tc>
          <w:tcPr>
            <w:tcW w:w="4288" w:type="pct"/>
            <w:tcBorders>
              <w:top w:val="nil"/>
              <w:left w:val="nil"/>
              <w:bottom w:val="nil"/>
              <w:right w:val="nil"/>
            </w:tcBorders>
            <w:shd w:val="clear" w:color="auto" w:fill="auto"/>
            <w:vAlign w:val="center"/>
          </w:tcPr>
          <w:p w14:paraId="59ACBD6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结构为钢架结构，饰面为表面喷涂钢板，型材为铝合金型材。</w:t>
            </w:r>
          </w:p>
        </w:tc>
        <w:tc>
          <w:tcPr>
            <w:tcW w:w="351" w:type="pct"/>
            <w:tcBorders>
              <w:top w:val="nil"/>
              <w:left w:val="nil"/>
              <w:bottom w:val="nil"/>
              <w:right w:val="nil"/>
            </w:tcBorders>
            <w:shd w:val="clear" w:color="auto" w:fill="auto"/>
            <w:noWrap/>
            <w:vAlign w:val="center"/>
          </w:tcPr>
          <w:p w14:paraId="31BECB1D">
            <w:pPr>
              <w:rPr>
                <w:rFonts w:hint="eastAsia" w:ascii="宋体" w:hAnsi="宋体" w:eastAsia="宋体" w:cs="宋体"/>
                <w:i w:val="0"/>
                <w:iCs w:val="0"/>
                <w:color w:val="000000"/>
                <w:sz w:val="22"/>
                <w:szCs w:val="22"/>
                <w:highlight w:val="none"/>
                <w:u w:val="none"/>
              </w:rPr>
            </w:pPr>
          </w:p>
        </w:tc>
      </w:tr>
      <w:tr w14:paraId="55B13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5DD95B1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w:t>
            </w:r>
          </w:p>
        </w:tc>
        <w:tc>
          <w:tcPr>
            <w:tcW w:w="4288" w:type="pct"/>
            <w:tcBorders>
              <w:top w:val="nil"/>
              <w:left w:val="nil"/>
              <w:bottom w:val="nil"/>
              <w:right w:val="nil"/>
            </w:tcBorders>
            <w:shd w:val="clear" w:color="auto" w:fill="auto"/>
            <w:vAlign w:val="center"/>
          </w:tcPr>
          <w:p w14:paraId="52FFDD4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玻璃为：8+8抗弯低反射夹层玻璃，宽幅不宜＜2米。</w:t>
            </w:r>
          </w:p>
        </w:tc>
        <w:tc>
          <w:tcPr>
            <w:tcW w:w="351" w:type="pct"/>
            <w:tcBorders>
              <w:top w:val="nil"/>
              <w:left w:val="nil"/>
              <w:bottom w:val="nil"/>
              <w:right w:val="nil"/>
            </w:tcBorders>
            <w:shd w:val="clear" w:color="auto" w:fill="auto"/>
            <w:noWrap/>
            <w:vAlign w:val="center"/>
          </w:tcPr>
          <w:p w14:paraId="61303EBB">
            <w:pPr>
              <w:rPr>
                <w:rFonts w:hint="eastAsia" w:ascii="宋体" w:hAnsi="宋体" w:eastAsia="宋体" w:cs="宋体"/>
                <w:i w:val="0"/>
                <w:iCs w:val="0"/>
                <w:color w:val="000000"/>
                <w:sz w:val="22"/>
                <w:szCs w:val="22"/>
                <w:highlight w:val="none"/>
                <w:u w:val="none"/>
              </w:rPr>
            </w:pPr>
          </w:p>
        </w:tc>
      </w:tr>
      <w:tr w14:paraId="3BBE0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72E3C25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4288" w:type="pct"/>
            <w:tcBorders>
              <w:top w:val="nil"/>
              <w:left w:val="nil"/>
              <w:bottom w:val="nil"/>
              <w:right w:val="nil"/>
            </w:tcBorders>
            <w:shd w:val="clear" w:color="auto" w:fill="auto"/>
            <w:vAlign w:val="center"/>
          </w:tcPr>
          <w:p w14:paraId="18D332A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w:t>
            </w:r>
            <w:r>
              <w:rPr>
                <w:rFonts w:hint="eastAsia" w:ascii="宋体" w:hAnsi="宋体" w:eastAsia="宋体" w:cs="宋体"/>
                <w:b/>
                <w:bCs/>
                <w:i w:val="0"/>
                <w:iCs w:val="0"/>
                <w:color w:val="000000"/>
                <w:kern w:val="0"/>
                <w:sz w:val="16"/>
                <w:szCs w:val="16"/>
                <w:highlight w:val="none"/>
                <w:u w:val="none"/>
                <w:lang w:val="en-US" w:eastAsia="zh-CN" w:bidi="ar"/>
              </w:rPr>
              <w:t>不得</w:t>
            </w:r>
            <w:r>
              <w:rPr>
                <w:rFonts w:hint="eastAsia" w:ascii="宋体" w:hAnsi="宋体" w:eastAsia="宋体" w:cs="宋体"/>
                <w:i w:val="0"/>
                <w:iCs w:val="0"/>
                <w:color w:val="000000"/>
                <w:kern w:val="0"/>
                <w:sz w:val="16"/>
                <w:szCs w:val="16"/>
                <w:highlight w:val="none"/>
                <w:u w:val="none"/>
                <w:lang w:val="en-US" w:eastAsia="zh-CN" w:bidi="ar"/>
              </w:rPr>
              <w:t>使用木质板材。展柜内展台底板和背板应采用冷轧钢板、铝板或蜂窝铝板等，表面可采用涂层、包布、贴饰等工艺深化设计装饰</w:t>
            </w:r>
          </w:p>
        </w:tc>
        <w:tc>
          <w:tcPr>
            <w:tcW w:w="351" w:type="pct"/>
            <w:tcBorders>
              <w:top w:val="nil"/>
              <w:left w:val="nil"/>
              <w:bottom w:val="nil"/>
              <w:right w:val="nil"/>
            </w:tcBorders>
            <w:shd w:val="clear" w:color="auto" w:fill="auto"/>
            <w:noWrap/>
            <w:vAlign w:val="center"/>
          </w:tcPr>
          <w:p w14:paraId="7ECE96CC">
            <w:pPr>
              <w:rPr>
                <w:rFonts w:hint="eastAsia" w:ascii="宋体" w:hAnsi="宋体" w:eastAsia="宋体" w:cs="宋体"/>
                <w:i w:val="0"/>
                <w:iCs w:val="0"/>
                <w:color w:val="000000"/>
                <w:sz w:val="22"/>
                <w:szCs w:val="22"/>
                <w:highlight w:val="none"/>
                <w:u w:val="none"/>
              </w:rPr>
            </w:pPr>
          </w:p>
        </w:tc>
      </w:tr>
      <w:tr w14:paraId="679AF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60" w:type="pct"/>
            <w:tcBorders>
              <w:top w:val="nil"/>
              <w:left w:val="nil"/>
              <w:bottom w:val="nil"/>
              <w:right w:val="nil"/>
            </w:tcBorders>
            <w:shd w:val="clear" w:color="auto" w:fill="auto"/>
            <w:noWrap/>
            <w:vAlign w:val="center"/>
          </w:tcPr>
          <w:p w14:paraId="4541C72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1.5</w:t>
            </w:r>
          </w:p>
        </w:tc>
        <w:tc>
          <w:tcPr>
            <w:tcW w:w="4288" w:type="pct"/>
            <w:tcBorders>
              <w:top w:val="nil"/>
              <w:left w:val="nil"/>
              <w:bottom w:val="nil"/>
              <w:right w:val="nil"/>
            </w:tcBorders>
            <w:shd w:val="clear" w:color="auto" w:fill="auto"/>
            <w:vAlign w:val="center"/>
          </w:tcPr>
          <w:p w14:paraId="76912CB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展柜内部空间要求：内部展示空间高≥320厘米；深：110厘米；展柜下设备层高度≤40厘米；照明层≤30厘米；顶部上设备层设置独立照明层，与展示空间隔离，隔离材料为低反玻璃。</w:t>
            </w:r>
          </w:p>
        </w:tc>
        <w:tc>
          <w:tcPr>
            <w:tcW w:w="351" w:type="pct"/>
            <w:tcBorders>
              <w:top w:val="nil"/>
              <w:left w:val="nil"/>
              <w:bottom w:val="nil"/>
              <w:right w:val="nil"/>
            </w:tcBorders>
            <w:shd w:val="clear" w:color="auto" w:fill="auto"/>
            <w:noWrap/>
            <w:vAlign w:val="center"/>
          </w:tcPr>
          <w:p w14:paraId="5BAB27F5">
            <w:pPr>
              <w:rPr>
                <w:rFonts w:hint="eastAsia" w:ascii="宋体" w:hAnsi="宋体" w:eastAsia="宋体" w:cs="宋体"/>
                <w:i w:val="0"/>
                <w:iCs w:val="0"/>
                <w:color w:val="000000"/>
                <w:sz w:val="22"/>
                <w:szCs w:val="22"/>
                <w:highlight w:val="none"/>
                <w:u w:val="none"/>
              </w:rPr>
            </w:pPr>
          </w:p>
        </w:tc>
      </w:tr>
      <w:tr w14:paraId="0C652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1312C37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4288" w:type="pct"/>
            <w:tcBorders>
              <w:top w:val="nil"/>
              <w:left w:val="nil"/>
              <w:bottom w:val="nil"/>
              <w:right w:val="nil"/>
            </w:tcBorders>
            <w:shd w:val="clear" w:color="auto" w:fill="auto"/>
            <w:vAlign w:val="center"/>
          </w:tcPr>
          <w:p w14:paraId="6D2D631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照明：配备轨道重点照明和轨道洗墙照明。</w:t>
            </w:r>
          </w:p>
        </w:tc>
        <w:tc>
          <w:tcPr>
            <w:tcW w:w="351" w:type="pct"/>
            <w:tcBorders>
              <w:top w:val="nil"/>
              <w:left w:val="nil"/>
              <w:bottom w:val="nil"/>
              <w:right w:val="nil"/>
            </w:tcBorders>
            <w:shd w:val="clear" w:color="auto" w:fill="auto"/>
            <w:noWrap/>
            <w:vAlign w:val="center"/>
          </w:tcPr>
          <w:p w14:paraId="10DE1F49">
            <w:pPr>
              <w:rPr>
                <w:rFonts w:hint="eastAsia" w:ascii="宋体" w:hAnsi="宋体" w:eastAsia="宋体" w:cs="宋体"/>
                <w:i w:val="0"/>
                <w:iCs w:val="0"/>
                <w:color w:val="000000"/>
                <w:sz w:val="22"/>
                <w:szCs w:val="22"/>
                <w:highlight w:val="none"/>
                <w:u w:val="none"/>
              </w:rPr>
            </w:pPr>
          </w:p>
        </w:tc>
      </w:tr>
      <w:tr w14:paraId="4D850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41EA95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4288" w:type="pct"/>
            <w:tcBorders>
              <w:top w:val="nil"/>
              <w:left w:val="nil"/>
              <w:bottom w:val="nil"/>
              <w:right w:val="nil"/>
            </w:tcBorders>
            <w:shd w:val="clear" w:color="auto" w:fill="auto"/>
            <w:vAlign w:val="center"/>
          </w:tcPr>
          <w:p w14:paraId="240B062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文保：预留恒湿机机位和接口，并说明恒湿机可行性包括但不限于安装方式、出风回风、调节功率、维修维护等。</w:t>
            </w:r>
          </w:p>
        </w:tc>
        <w:tc>
          <w:tcPr>
            <w:tcW w:w="351" w:type="pct"/>
            <w:tcBorders>
              <w:top w:val="nil"/>
              <w:left w:val="nil"/>
              <w:bottom w:val="nil"/>
              <w:right w:val="nil"/>
            </w:tcBorders>
            <w:shd w:val="clear" w:color="auto" w:fill="auto"/>
            <w:noWrap/>
            <w:vAlign w:val="center"/>
          </w:tcPr>
          <w:p w14:paraId="22799C77">
            <w:pPr>
              <w:rPr>
                <w:rFonts w:hint="eastAsia" w:ascii="宋体" w:hAnsi="宋体" w:eastAsia="宋体" w:cs="宋体"/>
                <w:i w:val="0"/>
                <w:iCs w:val="0"/>
                <w:color w:val="000000"/>
                <w:sz w:val="22"/>
                <w:szCs w:val="22"/>
                <w:highlight w:val="none"/>
                <w:u w:val="none"/>
              </w:rPr>
            </w:pPr>
          </w:p>
        </w:tc>
      </w:tr>
      <w:tr w14:paraId="0B936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60" w:type="pct"/>
            <w:tcBorders>
              <w:top w:val="nil"/>
              <w:left w:val="nil"/>
              <w:bottom w:val="nil"/>
              <w:right w:val="nil"/>
            </w:tcBorders>
            <w:shd w:val="clear" w:color="auto" w:fill="auto"/>
            <w:noWrap/>
            <w:vAlign w:val="center"/>
          </w:tcPr>
          <w:p w14:paraId="08E1610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4288" w:type="pct"/>
            <w:tcBorders>
              <w:top w:val="nil"/>
              <w:left w:val="nil"/>
              <w:bottom w:val="nil"/>
              <w:right w:val="nil"/>
            </w:tcBorders>
            <w:shd w:val="clear" w:color="auto" w:fill="auto"/>
            <w:vAlign w:val="center"/>
          </w:tcPr>
          <w:p w14:paraId="56B6A03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开启方式：每片玻璃均设置开启装置，电动推出，手动左右平移开启，开启度》玻璃尺幅的60%。在遇到突发情况或电力缺失情况的，可以通过手动方式正常开关展柜。</w:t>
            </w:r>
          </w:p>
        </w:tc>
        <w:tc>
          <w:tcPr>
            <w:tcW w:w="351" w:type="pct"/>
            <w:tcBorders>
              <w:top w:val="nil"/>
              <w:left w:val="nil"/>
              <w:bottom w:val="nil"/>
              <w:right w:val="nil"/>
            </w:tcBorders>
            <w:shd w:val="clear" w:color="auto" w:fill="auto"/>
            <w:noWrap/>
            <w:vAlign w:val="center"/>
          </w:tcPr>
          <w:p w14:paraId="7E5C6D34">
            <w:pPr>
              <w:rPr>
                <w:rFonts w:hint="eastAsia" w:ascii="宋体" w:hAnsi="宋体" w:eastAsia="宋体" w:cs="宋体"/>
                <w:i w:val="0"/>
                <w:iCs w:val="0"/>
                <w:color w:val="000000"/>
                <w:sz w:val="22"/>
                <w:szCs w:val="22"/>
                <w:highlight w:val="none"/>
                <w:u w:val="none"/>
              </w:rPr>
            </w:pPr>
          </w:p>
        </w:tc>
      </w:tr>
      <w:tr w14:paraId="5E134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26AE098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1.9</w:t>
            </w:r>
          </w:p>
        </w:tc>
        <w:tc>
          <w:tcPr>
            <w:tcW w:w="4288" w:type="pct"/>
            <w:tcBorders>
              <w:top w:val="nil"/>
              <w:left w:val="nil"/>
              <w:bottom w:val="nil"/>
              <w:right w:val="nil"/>
            </w:tcBorders>
            <w:shd w:val="clear" w:color="auto" w:fill="auto"/>
            <w:vAlign w:val="center"/>
          </w:tcPr>
          <w:p w14:paraId="472B74C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电动背板：展示空间后置金属材质展台背板：背板控制设备空间与展示空间分隔；背板分割与玻璃分割一致；背板可分体拆装，同时具备磁吸功能，适用于广告材料的重复粘贴；背板通过可移动控制终端（手机或平板）控制前移，行程0-600mm、无极调控停止；上下双轨运行，背板移动过程整体无晃动；背板的承载力应不低于150kg/㎡。</w:t>
            </w:r>
          </w:p>
        </w:tc>
        <w:tc>
          <w:tcPr>
            <w:tcW w:w="351" w:type="pct"/>
            <w:tcBorders>
              <w:top w:val="nil"/>
              <w:left w:val="nil"/>
              <w:bottom w:val="nil"/>
              <w:right w:val="nil"/>
            </w:tcBorders>
            <w:shd w:val="clear" w:color="auto" w:fill="auto"/>
            <w:noWrap/>
            <w:vAlign w:val="center"/>
          </w:tcPr>
          <w:p w14:paraId="73DDE850">
            <w:pPr>
              <w:rPr>
                <w:rFonts w:hint="eastAsia" w:ascii="宋体" w:hAnsi="宋体" w:eastAsia="宋体" w:cs="宋体"/>
                <w:i w:val="0"/>
                <w:iCs w:val="0"/>
                <w:color w:val="000000"/>
                <w:sz w:val="22"/>
                <w:szCs w:val="22"/>
                <w:highlight w:val="none"/>
                <w:u w:val="none"/>
              </w:rPr>
            </w:pPr>
          </w:p>
        </w:tc>
      </w:tr>
      <w:tr w14:paraId="31ED4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73CD31F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1.10</w:t>
            </w:r>
          </w:p>
        </w:tc>
        <w:tc>
          <w:tcPr>
            <w:tcW w:w="4288" w:type="pct"/>
            <w:tcBorders>
              <w:top w:val="nil"/>
              <w:left w:val="nil"/>
              <w:bottom w:val="nil"/>
              <w:right w:val="nil"/>
            </w:tcBorders>
            <w:shd w:val="clear" w:color="auto" w:fill="auto"/>
            <w:vAlign w:val="center"/>
          </w:tcPr>
          <w:p w14:paraId="1CEFA72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挂画装置：背板配套电动可移动挂画装置及隐藏式挂画槽，可通过可移动控制终端（手机或平板）控制上下左右移动。挂画装置采用不锈钢钢丝材料，单个挂画装置可承重不小于100kg。挂画槽的承载力不低于200kg/㎡。</w:t>
            </w:r>
          </w:p>
        </w:tc>
        <w:tc>
          <w:tcPr>
            <w:tcW w:w="351" w:type="pct"/>
            <w:tcBorders>
              <w:top w:val="nil"/>
              <w:left w:val="nil"/>
              <w:bottom w:val="nil"/>
              <w:right w:val="nil"/>
            </w:tcBorders>
            <w:shd w:val="clear" w:color="auto" w:fill="auto"/>
            <w:noWrap/>
            <w:vAlign w:val="center"/>
          </w:tcPr>
          <w:p w14:paraId="69F8A690">
            <w:pPr>
              <w:rPr>
                <w:rFonts w:hint="eastAsia" w:ascii="宋体" w:hAnsi="宋体" w:eastAsia="宋体" w:cs="宋体"/>
                <w:i w:val="0"/>
                <w:iCs w:val="0"/>
                <w:color w:val="000000"/>
                <w:sz w:val="22"/>
                <w:szCs w:val="22"/>
                <w:highlight w:val="none"/>
                <w:u w:val="none"/>
              </w:rPr>
            </w:pPr>
          </w:p>
        </w:tc>
      </w:tr>
      <w:tr w14:paraId="01A5D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FFAAD2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1.11</w:t>
            </w:r>
          </w:p>
        </w:tc>
        <w:tc>
          <w:tcPr>
            <w:tcW w:w="4288" w:type="pct"/>
            <w:tcBorders>
              <w:top w:val="nil"/>
              <w:left w:val="nil"/>
              <w:bottom w:val="nil"/>
              <w:right w:val="nil"/>
            </w:tcBorders>
            <w:shd w:val="clear" w:color="auto" w:fill="auto"/>
            <w:vAlign w:val="center"/>
          </w:tcPr>
          <w:p w14:paraId="6DB7BEA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安防：红外报警和门磁报警</w:t>
            </w:r>
          </w:p>
        </w:tc>
        <w:tc>
          <w:tcPr>
            <w:tcW w:w="351" w:type="pct"/>
            <w:tcBorders>
              <w:top w:val="nil"/>
              <w:left w:val="nil"/>
              <w:bottom w:val="nil"/>
              <w:right w:val="nil"/>
            </w:tcBorders>
            <w:shd w:val="clear" w:color="auto" w:fill="auto"/>
            <w:noWrap/>
            <w:vAlign w:val="center"/>
          </w:tcPr>
          <w:p w14:paraId="60AF4FE6">
            <w:pPr>
              <w:rPr>
                <w:rFonts w:hint="eastAsia" w:ascii="宋体" w:hAnsi="宋体" w:eastAsia="宋体" w:cs="宋体"/>
                <w:i w:val="0"/>
                <w:iCs w:val="0"/>
                <w:color w:val="000000"/>
                <w:sz w:val="22"/>
                <w:szCs w:val="22"/>
                <w:highlight w:val="none"/>
                <w:u w:val="none"/>
              </w:rPr>
            </w:pPr>
          </w:p>
        </w:tc>
      </w:tr>
      <w:tr w14:paraId="3F2DC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570B94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4288" w:type="pct"/>
            <w:tcBorders>
              <w:top w:val="nil"/>
              <w:left w:val="nil"/>
              <w:bottom w:val="nil"/>
              <w:right w:val="nil"/>
            </w:tcBorders>
            <w:shd w:val="clear" w:color="auto" w:fill="auto"/>
            <w:vAlign w:val="center"/>
          </w:tcPr>
          <w:p w14:paraId="13F2908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模块化平柜总体要求</w:t>
            </w:r>
          </w:p>
        </w:tc>
        <w:tc>
          <w:tcPr>
            <w:tcW w:w="351" w:type="pct"/>
            <w:tcBorders>
              <w:top w:val="nil"/>
              <w:left w:val="nil"/>
              <w:bottom w:val="nil"/>
              <w:right w:val="nil"/>
            </w:tcBorders>
            <w:shd w:val="clear" w:color="auto" w:fill="auto"/>
            <w:noWrap/>
            <w:vAlign w:val="center"/>
          </w:tcPr>
          <w:p w14:paraId="54354F75">
            <w:pPr>
              <w:rPr>
                <w:rFonts w:hint="eastAsia" w:ascii="宋体" w:hAnsi="宋体" w:eastAsia="宋体" w:cs="宋体"/>
                <w:i w:val="0"/>
                <w:iCs w:val="0"/>
                <w:color w:val="000000"/>
                <w:sz w:val="22"/>
                <w:szCs w:val="22"/>
                <w:highlight w:val="none"/>
                <w:u w:val="none"/>
              </w:rPr>
            </w:pPr>
          </w:p>
        </w:tc>
      </w:tr>
      <w:tr w14:paraId="600D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F088CE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2.1</w:t>
            </w:r>
          </w:p>
        </w:tc>
        <w:tc>
          <w:tcPr>
            <w:tcW w:w="4288" w:type="pct"/>
            <w:tcBorders>
              <w:top w:val="nil"/>
              <w:left w:val="nil"/>
              <w:bottom w:val="nil"/>
              <w:right w:val="nil"/>
            </w:tcBorders>
            <w:shd w:val="clear" w:color="auto" w:fill="auto"/>
            <w:vAlign w:val="center"/>
          </w:tcPr>
          <w:p w14:paraId="4CDADE3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整柜均符合GB 20286-2006《公共场所阻燃制品及组件燃烧性能要求和标识》的要求，达到阻燃1级标准。</w:t>
            </w:r>
          </w:p>
        </w:tc>
        <w:tc>
          <w:tcPr>
            <w:tcW w:w="351" w:type="pct"/>
            <w:tcBorders>
              <w:top w:val="nil"/>
              <w:left w:val="nil"/>
              <w:bottom w:val="nil"/>
              <w:right w:val="nil"/>
            </w:tcBorders>
            <w:shd w:val="clear" w:color="auto" w:fill="auto"/>
            <w:noWrap/>
            <w:vAlign w:val="center"/>
          </w:tcPr>
          <w:p w14:paraId="60D39DCF">
            <w:pPr>
              <w:rPr>
                <w:rFonts w:hint="eastAsia" w:ascii="宋体" w:hAnsi="宋体" w:eastAsia="宋体" w:cs="宋体"/>
                <w:i w:val="0"/>
                <w:iCs w:val="0"/>
                <w:color w:val="000000"/>
                <w:sz w:val="22"/>
                <w:szCs w:val="22"/>
                <w:highlight w:val="none"/>
                <w:u w:val="none"/>
              </w:rPr>
            </w:pPr>
          </w:p>
        </w:tc>
      </w:tr>
      <w:tr w14:paraId="4D287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7096BF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2.2</w:t>
            </w:r>
          </w:p>
        </w:tc>
        <w:tc>
          <w:tcPr>
            <w:tcW w:w="4288" w:type="pct"/>
            <w:tcBorders>
              <w:top w:val="nil"/>
              <w:left w:val="nil"/>
              <w:bottom w:val="nil"/>
              <w:right w:val="nil"/>
            </w:tcBorders>
            <w:shd w:val="clear" w:color="auto" w:fill="auto"/>
            <w:vAlign w:val="center"/>
          </w:tcPr>
          <w:p w14:paraId="02BAFD4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结构为钢架结构，饰面为表面喷涂钢板，型材为铝合金型材。</w:t>
            </w:r>
          </w:p>
        </w:tc>
        <w:tc>
          <w:tcPr>
            <w:tcW w:w="351" w:type="pct"/>
            <w:tcBorders>
              <w:top w:val="nil"/>
              <w:left w:val="nil"/>
              <w:bottom w:val="nil"/>
              <w:right w:val="nil"/>
            </w:tcBorders>
            <w:shd w:val="clear" w:color="auto" w:fill="auto"/>
            <w:noWrap/>
            <w:vAlign w:val="center"/>
          </w:tcPr>
          <w:p w14:paraId="0F61D1D0">
            <w:pPr>
              <w:rPr>
                <w:rFonts w:hint="eastAsia" w:ascii="宋体" w:hAnsi="宋体" w:eastAsia="宋体" w:cs="宋体"/>
                <w:i w:val="0"/>
                <w:iCs w:val="0"/>
                <w:color w:val="000000"/>
                <w:sz w:val="22"/>
                <w:szCs w:val="22"/>
                <w:highlight w:val="none"/>
                <w:u w:val="none"/>
              </w:rPr>
            </w:pPr>
          </w:p>
        </w:tc>
      </w:tr>
      <w:tr w14:paraId="6677D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8A43A5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2.3</w:t>
            </w:r>
          </w:p>
        </w:tc>
        <w:tc>
          <w:tcPr>
            <w:tcW w:w="4288" w:type="pct"/>
            <w:tcBorders>
              <w:top w:val="nil"/>
              <w:left w:val="nil"/>
              <w:bottom w:val="nil"/>
              <w:right w:val="nil"/>
            </w:tcBorders>
            <w:shd w:val="clear" w:color="auto" w:fill="auto"/>
            <w:vAlign w:val="center"/>
          </w:tcPr>
          <w:p w14:paraId="5BC7079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组装形式：可进行单台或多台一字型组装。</w:t>
            </w:r>
          </w:p>
        </w:tc>
        <w:tc>
          <w:tcPr>
            <w:tcW w:w="351" w:type="pct"/>
            <w:tcBorders>
              <w:top w:val="nil"/>
              <w:left w:val="nil"/>
              <w:bottom w:val="nil"/>
              <w:right w:val="nil"/>
            </w:tcBorders>
            <w:shd w:val="clear" w:color="auto" w:fill="auto"/>
            <w:noWrap/>
            <w:vAlign w:val="center"/>
          </w:tcPr>
          <w:p w14:paraId="43A5A015">
            <w:pPr>
              <w:rPr>
                <w:rFonts w:hint="eastAsia" w:ascii="宋体" w:hAnsi="宋体" w:eastAsia="宋体" w:cs="宋体"/>
                <w:i w:val="0"/>
                <w:iCs w:val="0"/>
                <w:color w:val="000000"/>
                <w:sz w:val="22"/>
                <w:szCs w:val="22"/>
                <w:highlight w:val="none"/>
                <w:u w:val="none"/>
              </w:rPr>
            </w:pPr>
          </w:p>
        </w:tc>
      </w:tr>
      <w:tr w14:paraId="1ECA0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4F663D8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2.4</w:t>
            </w:r>
          </w:p>
        </w:tc>
        <w:tc>
          <w:tcPr>
            <w:tcW w:w="4288" w:type="pct"/>
            <w:tcBorders>
              <w:top w:val="nil"/>
              <w:left w:val="nil"/>
              <w:bottom w:val="nil"/>
              <w:right w:val="nil"/>
            </w:tcBorders>
            <w:shd w:val="clear" w:color="auto" w:fill="auto"/>
            <w:vAlign w:val="center"/>
          </w:tcPr>
          <w:p w14:paraId="3BD8D14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玻璃为：6+6抗弯低反射夹层玻璃。</w:t>
            </w:r>
          </w:p>
        </w:tc>
        <w:tc>
          <w:tcPr>
            <w:tcW w:w="351" w:type="pct"/>
            <w:tcBorders>
              <w:top w:val="nil"/>
              <w:left w:val="nil"/>
              <w:bottom w:val="nil"/>
              <w:right w:val="nil"/>
            </w:tcBorders>
            <w:shd w:val="clear" w:color="auto" w:fill="auto"/>
            <w:noWrap/>
            <w:vAlign w:val="center"/>
          </w:tcPr>
          <w:p w14:paraId="14B045E8">
            <w:pPr>
              <w:rPr>
                <w:rFonts w:hint="eastAsia" w:ascii="宋体" w:hAnsi="宋体" w:eastAsia="宋体" w:cs="宋体"/>
                <w:i w:val="0"/>
                <w:iCs w:val="0"/>
                <w:color w:val="000000"/>
                <w:sz w:val="22"/>
                <w:szCs w:val="22"/>
                <w:highlight w:val="none"/>
                <w:u w:val="none"/>
              </w:rPr>
            </w:pPr>
          </w:p>
        </w:tc>
      </w:tr>
      <w:tr w14:paraId="54F4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755D67F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2.5</w:t>
            </w:r>
          </w:p>
        </w:tc>
        <w:tc>
          <w:tcPr>
            <w:tcW w:w="4288" w:type="pct"/>
            <w:tcBorders>
              <w:top w:val="nil"/>
              <w:left w:val="nil"/>
              <w:bottom w:val="nil"/>
              <w:right w:val="nil"/>
            </w:tcBorders>
            <w:shd w:val="clear" w:color="auto" w:fill="auto"/>
            <w:vAlign w:val="center"/>
          </w:tcPr>
          <w:p w14:paraId="40744E9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展柜内不得使用木质板材。展柜内展台底板和应采用冷轧钢板、铝板或蜂窝铝板等，表面可采用涂层、包布、贴饰等工艺深化设计装饰。</w:t>
            </w:r>
          </w:p>
        </w:tc>
        <w:tc>
          <w:tcPr>
            <w:tcW w:w="351" w:type="pct"/>
            <w:tcBorders>
              <w:top w:val="nil"/>
              <w:left w:val="nil"/>
              <w:bottom w:val="nil"/>
              <w:right w:val="nil"/>
            </w:tcBorders>
            <w:shd w:val="clear" w:color="auto" w:fill="auto"/>
            <w:noWrap/>
            <w:vAlign w:val="center"/>
          </w:tcPr>
          <w:p w14:paraId="52ADBD1D">
            <w:pPr>
              <w:rPr>
                <w:rFonts w:hint="eastAsia" w:ascii="宋体" w:hAnsi="宋体" w:eastAsia="宋体" w:cs="宋体"/>
                <w:i w:val="0"/>
                <w:iCs w:val="0"/>
                <w:color w:val="000000"/>
                <w:sz w:val="22"/>
                <w:szCs w:val="22"/>
                <w:highlight w:val="none"/>
                <w:u w:val="none"/>
              </w:rPr>
            </w:pPr>
          </w:p>
        </w:tc>
      </w:tr>
      <w:tr w14:paraId="1CF03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1FA202D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2.6</w:t>
            </w:r>
          </w:p>
        </w:tc>
        <w:tc>
          <w:tcPr>
            <w:tcW w:w="4288" w:type="pct"/>
            <w:tcBorders>
              <w:top w:val="nil"/>
              <w:left w:val="nil"/>
              <w:bottom w:val="nil"/>
              <w:right w:val="nil"/>
            </w:tcBorders>
            <w:shd w:val="clear" w:color="auto" w:fill="auto"/>
            <w:vAlign w:val="center"/>
          </w:tcPr>
          <w:p w14:paraId="7036788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展柜内部空间要求，内部展示空间高为30厘米。</w:t>
            </w:r>
          </w:p>
        </w:tc>
        <w:tc>
          <w:tcPr>
            <w:tcW w:w="351" w:type="pct"/>
            <w:tcBorders>
              <w:top w:val="nil"/>
              <w:left w:val="nil"/>
              <w:bottom w:val="nil"/>
              <w:right w:val="nil"/>
            </w:tcBorders>
            <w:shd w:val="clear" w:color="auto" w:fill="auto"/>
            <w:noWrap/>
            <w:vAlign w:val="center"/>
          </w:tcPr>
          <w:p w14:paraId="41B60622">
            <w:pPr>
              <w:rPr>
                <w:rFonts w:hint="eastAsia" w:ascii="宋体" w:hAnsi="宋体" w:eastAsia="宋体" w:cs="宋体"/>
                <w:i w:val="0"/>
                <w:iCs w:val="0"/>
                <w:color w:val="000000"/>
                <w:sz w:val="22"/>
                <w:szCs w:val="22"/>
                <w:highlight w:val="none"/>
                <w:u w:val="none"/>
              </w:rPr>
            </w:pPr>
          </w:p>
        </w:tc>
      </w:tr>
      <w:tr w14:paraId="2F70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0902372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2.7</w:t>
            </w:r>
          </w:p>
        </w:tc>
        <w:tc>
          <w:tcPr>
            <w:tcW w:w="4288" w:type="pct"/>
            <w:tcBorders>
              <w:top w:val="nil"/>
              <w:left w:val="nil"/>
              <w:bottom w:val="nil"/>
              <w:right w:val="nil"/>
            </w:tcBorders>
            <w:shd w:val="clear" w:color="auto" w:fill="auto"/>
            <w:vAlign w:val="center"/>
          </w:tcPr>
          <w:p w14:paraId="1FB4A4A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照明：配备前后双侧线型灯，底部预留照明电源以备后期布灯。</w:t>
            </w:r>
          </w:p>
        </w:tc>
        <w:tc>
          <w:tcPr>
            <w:tcW w:w="351" w:type="pct"/>
            <w:tcBorders>
              <w:top w:val="nil"/>
              <w:left w:val="nil"/>
              <w:bottom w:val="nil"/>
              <w:right w:val="nil"/>
            </w:tcBorders>
            <w:shd w:val="clear" w:color="auto" w:fill="auto"/>
            <w:noWrap/>
            <w:vAlign w:val="center"/>
          </w:tcPr>
          <w:p w14:paraId="7FC34ED8">
            <w:pPr>
              <w:rPr>
                <w:rFonts w:hint="eastAsia" w:ascii="宋体" w:hAnsi="宋体" w:eastAsia="宋体" w:cs="宋体"/>
                <w:i w:val="0"/>
                <w:iCs w:val="0"/>
                <w:color w:val="000000"/>
                <w:sz w:val="22"/>
                <w:szCs w:val="22"/>
                <w:highlight w:val="none"/>
                <w:u w:val="none"/>
              </w:rPr>
            </w:pPr>
          </w:p>
        </w:tc>
      </w:tr>
      <w:tr w14:paraId="36671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07DD3BB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4288" w:type="pct"/>
            <w:tcBorders>
              <w:top w:val="nil"/>
              <w:left w:val="nil"/>
              <w:bottom w:val="nil"/>
              <w:right w:val="nil"/>
            </w:tcBorders>
            <w:shd w:val="clear" w:color="auto" w:fill="auto"/>
            <w:vAlign w:val="center"/>
          </w:tcPr>
          <w:p w14:paraId="770EB7D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文保：设置恒湿剂抽屉；并说明恒湿剂可行性，包括但不限于恒湿剂调节功率、更换方法等。</w:t>
            </w:r>
          </w:p>
        </w:tc>
        <w:tc>
          <w:tcPr>
            <w:tcW w:w="351" w:type="pct"/>
            <w:tcBorders>
              <w:top w:val="nil"/>
              <w:left w:val="nil"/>
              <w:bottom w:val="nil"/>
              <w:right w:val="nil"/>
            </w:tcBorders>
            <w:shd w:val="clear" w:color="auto" w:fill="auto"/>
            <w:noWrap/>
            <w:vAlign w:val="center"/>
          </w:tcPr>
          <w:p w14:paraId="02317BF4">
            <w:pPr>
              <w:rPr>
                <w:rFonts w:hint="eastAsia" w:ascii="宋体" w:hAnsi="宋体" w:eastAsia="宋体" w:cs="宋体"/>
                <w:i w:val="0"/>
                <w:iCs w:val="0"/>
                <w:color w:val="000000"/>
                <w:sz w:val="22"/>
                <w:szCs w:val="22"/>
                <w:highlight w:val="none"/>
                <w:u w:val="none"/>
              </w:rPr>
            </w:pPr>
          </w:p>
        </w:tc>
      </w:tr>
      <w:tr w14:paraId="5997D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00D8E9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2.9</w:t>
            </w:r>
          </w:p>
        </w:tc>
        <w:tc>
          <w:tcPr>
            <w:tcW w:w="4288" w:type="pct"/>
            <w:tcBorders>
              <w:top w:val="nil"/>
              <w:left w:val="nil"/>
              <w:bottom w:val="nil"/>
              <w:right w:val="nil"/>
            </w:tcBorders>
            <w:shd w:val="clear" w:color="auto" w:fill="auto"/>
            <w:vAlign w:val="center"/>
          </w:tcPr>
          <w:p w14:paraId="0501213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开启方式：电动升降开启，开启高度为40厘米。</w:t>
            </w:r>
          </w:p>
        </w:tc>
        <w:tc>
          <w:tcPr>
            <w:tcW w:w="351" w:type="pct"/>
            <w:tcBorders>
              <w:top w:val="nil"/>
              <w:left w:val="nil"/>
              <w:bottom w:val="nil"/>
              <w:right w:val="nil"/>
            </w:tcBorders>
            <w:shd w:val="clear" w:color="auto" w:fill="auto"/>
            <w:noWrap/>
            <w:vAlign w:val="center"/>
          </w:tcPr>
          <w:p w14:paraId="00ADC711">
            <w:pPr>
              <w:rPr>
                <w:rFonts w:hint="eastAsia" w:ascii="宋体" w:hAnsi="宋体" w:eastAsia="宋体" w:cs="宋体"/>
                <w:i w:val="0"/>
                <w:iCs w:val="0"/>
                <w:color w:val="000000"/>
                <w:sz w:val="22"/>
                <w:szCs w:val="22"/>
                <w:highlight w:val="none"/>
                <w:u w:val="none"/>
              </w:rPr>
            </w:pPr>
          </w:p>
        </w:tc>
      </w:tr>
      <w:tr w14:paraId="6FD12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D5E5EC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2.10</w:t>
            </w:r>
          </w:p>
        </w:tc>
        <w:tc>
          <w:tcPr>
            <w:tcW w:w="4288" w:type="pct"/>
            <w:tcBorders>
              <w:top w:val="nil"/>
              <w:left w:val="nil"/>
              <w:bottom w:val="nil"/>
              <w:right w:val="nil"/>
            </w:tcBorders>
            <w:shd w:val="clear" w:color="auto" w:fill="auto"/>
            <w:vAlign w:val="center"/>
          </w:tcPr>
          <w:p w14:paraId="6AD395A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安防：门磁报警和震动报警。</w:t>
            </w:r>
          </w:p>
        </w:tc>
        <w:tc>
          <w:tcPr>
            <w:tcW w:w="351" w:type="pct"/>
            <w:tcBorders>
              <w:top w:val="nil"/>
              <w:left w:val="nil"/>
              <w:bottom w:val="nil"/>
              <w:right w:val="nil"/>
            </w:tcBorders>
            <w:shd w:val="clear" w:color="auto" w:fill="auto"/>
            <w:noWrap/>
            <w:vAlign w:val="center"/>
          </w:tcPr>
          <w:p w14:paraId="6A612560">
            <w:pPr>
              <w:rPr>
                <w:rFonts w:hint="eastAsia" w:ascii="宋体" w:hAnsi="宋体" w:eastAsia="宋体" w:cs="宋体"/>
                <w:i w:val="0"/>
                <w:iCs w:val="0"/>
                <w:color w:val="000000"/>
                <w:sz w:val="22"/>
                <w:szCs w:val="22"/>
                <w:highlight w:val="none"/>
                <w:u w:val="none"/>
              </w:rPr>
            </w:pPr>
          </w:p>
        </w:tc>
      </w:tr>
      <w:tr w14:paraId="7D334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98EAD8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4288" w:type="pct"/>
            <w:tcBorders>
              <w:top w:val="nil"/>
              <w:left w:val="nil"/>
              <w:bottom w:val="nil"/>
              <w:right w:val="nil"/>
            </w:tcBorders>
            <w:shd w:val="clear" w:color="auto" w:fill="auto"/>
            <w:vAlign w:val="center"/>
          </w:tcPr>
          <w:p w14:paraId="1A00B93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80型模块化中心独立柜总体要求</w:t>
            </w:r>
          </w:p>
        </w:tc>
        <w:tc>
          <w:tcPr>
            <w:tcW w:w="351" w:type="pct"/>
            <w:tcBorders>
              <w:top w:val="nil"/>
              <w:left w:val="nil"/>
              <w:bottom w:val="nil"/>
              <w:right w:val="nil"/>
            </w:tcBorders>
            <w:shd w:val="clear" w:color="auto" w:fill="auto"/>
            <w:noWrap/>
            <w:vAlign w:val="center"/>
          </w:tcPr>
          <w:p w14:paraId="49BB770C">
            <w:pPr>
              <w:rPr>
                <w:rFonts w:hint="eastAsia" w:ascii="宋体" w:hAnsi="宋体" w:eastAsia="宋体" w:cs="宋体"/>
                <w:i w:val="0"/>
                <w:iCs w:val="0"/>
                <w:color w:val="000000"/>
                <w:sz w:val="22"/>
                <w:szCs w:val="22"/>
                <w:highlight w:val="none"/>
                <w:u w:val="none"/>
              </w:rPr>
            </w:pPr>
          </w:p>
        </w:tc>
      </w:tr>
      <w:tr w14:paraId="1FFED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6ACA6E2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3.1</w:t>
            </w:r>
          </w:p>
        </w:tc>
        <w:tc>
          <w:tcPr>
            <w:tcW w:w="4288" w:type="pct"/>
            <w:tcBorders>
              <w:top w:val="nil"/>
              <w:left w:val="nil"/>
              <w:bottom w:val="nil"/>
              <w:right w:val="nil"/>
            </w:tcBorders>
            <w:shd w:val="clear" w:color="auto" w:fill="auto"/>
            <w:vAlign w:val="center"/>
          </w:tcPr>
          <w:p w14:paraId="0E0593A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整柜均符合GB 20286-2006《公共场所阻燃制品及组件燃烧性能要求和标识》的要求，达到阻燃1级标准。</w:t>
            </w:r>
          </w:p>
        </w:tc>
        <w:tc>
          <w:tcPr>
            <w:tcW w:w="351" w:type="pct"/>
            <w:tcBorders>
              <w:top w:val="nil"/>
              <w:left w:val="nil"/>
              <w:bottom w:val="nil"/>
              <w:right w:val="nil"/>
            </w:tcBorders>
            <w:shd w:val="clear" w:color="auto" w:fill="auto"/>
            <w:noWrap/>
            <w:vAlign w:val="center"/>
          </w:tcPr>
          <w:p w14:paraId="49B11FE0">
            <w:pPr>
              <w:rPr>
                <w:rFonts w:hint="eastAsia" w:ascii="宋体" w:hAnsi="宋体" w:eastAsia="宋体" w:cs="宋体"/>
                <w:i w:val="0"/>
                <w:iCs w:val="0"/>
                <w:color w:val="000000"/>
                <w:sz w:val="22"/>
                <w:szCs w:val="22"/>
                <w:highlight w:val="none"/>
                <w:u w:val="none"/>
              </w:rPr>
            </w:pPr>
          </w:p>
        </w:tc>
      </w:tr>
      <w:tr w14:paraId="6A6BE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535E07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4288" w:type="pct"/>
            <w:tcBorders>
              <w:top w:val="nil"/>
              <w:left w:val="nil"/>
              <w:bottom w:val="nil"/>
              <w:right w:val="nil"/>
            </w:tcBorders>
            <w:shd w:val="clear" w:color="auto" w:fill="auto"/>
            <w:vAlign w:val="center"/>
          </w:tcPr>
          <w:p w14:paraId="67E64F5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组装形式：相同展示高度展柜可进行一字形、田字形、十字形、L形拼接。一字型三拼一、二拼一形态时前后可更换为无缝大玻璃。</w:t>
            </w:r>
          </w:p>
        </w:tc>
        <w:tc>
          <w:tcPr>
            <w:tcW w:w="351" w:type="pct"/>
            <w:tcBorders>
              <w:top w:val="nil"/>
              <w:left w:val="nil"/>
              <w:bottom w:val="nil"/>
              <w:right w:val="nil"/>
            </w:tcBorders>
            <w:shd w:val="clear" w:color="auto" w:fill="auto"/>
            <w:noWrap/>
            <w:vAlign w:val="center"/>
          </w:tcPr>
          <w:p w14:paraId="4B43191B">
            <w:pPr>
              <w:rPr>
                <w:rFonts w:hint="eastAsia" w:ascii="宋体" w:hAnsi="宋体" w:eastAsia="宋体" w:cs="宋体"/>
                <w:i w:val="0"/>
                <w:iCs w:val="0"/>
                <w:color w:val="000000"/>
                <w:sz w:val="22"/>
                <w:szCs w:val="22"/>
                <w:highlight w:val="none"/>
                <w:u w:val="none"/>
              </w:rPr>
            </w:pPr>
          </w:p>
        </w:tc>
      </w:tr>
      <w:tr w14:paraId="0B0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0B9AE9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3.3</w:t>
            </w:r>
          </w:p>
        </w:tc>
        <w:tc>
          <w:tcPr>
            <w:tcW w:w="4288" w:type="pct"/>
            <w:tcBorders>
              <w:top w:val="nil"/>
              <w:left w:val="nil"/>
              <w:bottom w:val="nil"/>
              <w:right w:val="nil"/>
            </w:tcBorders>
            <w:shd w:val="clear" w:color="auto" w:fill="auto"/>
            <w:vAlign w:val="center"/>
          </w:tcPr>
          <w:p w14:paraId="3EC389A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结构为钢架结构，饰面为表面喷涂钢板，型材为铝合金型材。</w:t>
            </w:r>
          </w:p>
        </w:tc>
        <w:tc>
          <w:tcPr>
            <w:tcW w:w="351" w:type="pct"/>
            <w:tcBorders>
              <w:top w:val="nil"/>
              <w:left w:val="nil"/>
              <w:bottom w:val="nil"/>
              <w:right w:val="nil"/>
            </w:tcBorders>
            <w:shd w:val="clear" w:color="auto" w:fill="auto"/>
            <w:noWrap/>
            <w:vAlign w:val="center"/>
          </w:tcPr>
          <w:p w14:paraId="239740F0">
            <w:pPr>
              <w:rPr>
                <w:rFonts w:hint="eastAsia" w:ascii="宋体" w:hAnsi="宋体" w:eastAsia="宋体" w:cs="宋体"/>
                <w:i w:val="0"/>
                <w:iCs w:val="0"/>
                <w:color w:val="000000"/>
                <w:sz w:val="22"/>
                <w:szCs w:val="22"/>
                <w:highlight w:val="none"/>
                <w:u w:val="none"/>
              </w:rPr>
            </w:pPr>
          </w:p>
        </w:tc>
      </w:tr>
      <w:tr w14:paraId="5D744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05BDFF3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4288" w:type="pct"/>
            <w:tcBorders>
              <w:top w:val="nil"/>
              <w:left w:val="nil"/>
              <w:bottom w:val="nil"/>
              <w:right w:val="nil"/>
            </w:tcBorders>
            <w:shd w:val="clear" w:color="auto" w:fill="auto"/>
            <w:vAlign w:val="center"/>
          </w:tcPr>
          <w:p w14:paraId="5E05F54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玻璃为：6+6抗弯低反射夹层玻璃</w:t>
            </w:r>
          </w:p>
        </w:tc>
        <w:tc>
          <w:tcPr>
            <w:tcW w:w="351" w:type="pct"/>
            <w:tcBorders>
              <w:top w:val="nil"/>
              <w:left w:val="nil"/>
              <w:bottom w:val="nil"/>
              <w:right w:val="nil"/>
            </w:tcBorders>
            <w:shd w:val="clear" w:color="auto" w:fill="auto"/>
            <w:noWrap/>
            <w:vAlign w:val="center"/>
          </w:tcPr>
          <w:p w14:paraId="2671A2FA">
            <w:pPr>
              <w:rPr>
                <w:rFonts w:hint="eastAsia" w:ascii="宋体" w:hAnsi="宋体" w:eastAsia="宋体" w:cs="宋体"/>
                <w:i w:val="0"/>
                <w:iCs w:val="0"/>
                <w:color w:val="000000"/>
                <w:sz w:val="22"/>
                <w:szCs w:val="22"/>
                <w:highlight w:val="none"/>
                <w:u w:val="none"/>
              </w:rPr>
            </w:pPr>
          </w:p>
        </w:tc>
      </w:tr>
      <w:tr w14:paraId="60C4B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14D238F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3.5</w:t>
            </w:r>
          </w:p>
        </w:tc>
        <w:tc>
          <w:tcPr>
            <w:tcW w:w="4288" w:type="pct"/>
            <w:tcBorders>
              <w:top w:val="nil"/>
              <w:left w:val="nil"/>
              <w:bottom w:val="nil"/>
              <w:right w:val="nil"/>
            </w:tcBorders>
            <w:shd w:val="clear" w:color="auto" w:fill="auto"/>
            <w:vAlign w:val="center"/>
          </w:tcPr>
          <w:p w14:paraId="27666BB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展柜内不得使用木质板材。展柜内展台底板和应采用冷轧钢板、铝板或蜂窝铝板等，表面可采用涂层、包布、贴饰等工艺深化设计装饰。</w:t>
            </w:r>
          </w:p>
        </w:tc>
        <w:tc>
          <w:tcPr>
            <w:tcW w:w="351" w:type="pct"/>
            <w:tcBorders>
              <w:top w:val="nil"/>
              <w:left w:val="nil"/>
              <w:bottom w:val="nil"/>
              <w:right w:val="nil"/>
            </w:tcBorders>
            <w:shd w:val="clear" w:color="auto" w:fill="auto"/>
            <w:noWrap/>
            <w:vAlign w:val="center"/>
          </w:tcPr>
          <w:p w14:paraId="2C649554">
            <w:pPr>
              <w:rPr>
                <w:rFonts w:hint="eastAsia" w:ascii="宋体" w:hAnsi="宋体" w:eastAsia="宋体" w:cs="宋体"/>
                <w:i w:val="0"/>
                <w:iCs w:val="0"/>
                <w:color w:val="000000"/>
                <w:sz w:val="22"/>
                <w:szCs w:val="22"/>
                <w:highlight w:val="none"/>
                <w:u w:val="none"/>
              </w:rPr>
            </w:pPr>
          </w:p>
        </w:tc>
      </w:tr>
      <w:tr w14:paraId="6F4C1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4A6EC7E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4288" w:type="pct"/>
            <w:tcBorders>
              <w:top w:val="nil"/>
              <w:left w:val="nil"/>
              <w:bottom w:val="nil"/>
              <w:right w:val="nil"/>
            </w:tcBorders>
            <w:shd w:val="clear" w:color="auto" w:fill="auto"/>
            <w:vAlign w:val="center"/>
          </w:tcPr>
          <w:p w14:paraId="7BE60DA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设置恒湿剂抽屉的展示空间高度≥200厘米；预留恒湿机机位和接口的展示空间高度≥190厘米。</w:t>
            </w:r>
          </w:p>
        </w:tc>
        <w:tc>
          <w:tcPr>
            <w:tcW w:w="351" w:type="pct"/>
            <w:tcBorders>
              <w:top w:val="nil"/>
              <w:left w:val="nil"/>
              <w:bottom w:val="nil"/>
              <w:right w:val="nil"/>
            </w:tcBorders>
            <w:shd w:val="clear" w:color="auto" w:fill="auto"/>
            <w:noWrap/>
            <w:vAlign w:val="center"/>
          </w:tcPr>
          <w:p w14:paraId="08FC4035">
            <w:pPr>
              <w:rPr>
                <w:rFonts w:hint="eastAsia" w:ascii="宋体" w:hAnsi="宋体" w:eastAsia="宋体" w:cs="宋体"/>
                <w:i w:val="0"/>
                <w:iCs w:val="0"/>
                <w:color w:val="000000"/>
                <w:sz w:val="22"/>
                <w:szCs w:val="22"/>
                <w:highlight w:val="none"/>
                <w:u w:val="none"/>
              </w:rPr>
            </w:pPr>
          </w:p>
        </w:tc>
      </w:tr>
      <w:tr w14:paraId="7B974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1392A9A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3.7</w:t>
            </w:r>
          </w:p>
        </w:tc>
        <w:tc>
          <w:tcPr>
            <w:tcW w:w="4288" w:type="pct"/>
            <w:tcBorders>
              <w:top w:val="nil"/>
              <w:left w:val="nil"/>
              <w:bottom w:val="nil"/>
              <w:right w:val="nil"/>
            </w:tcBorders>
            <w:shd w:val="clear" w:color="auto" w:fill="auto"/>
            <w:vAlign w:val="center"/>
          </w:tcPr>
          <w:p w14:paraId="6AEB88C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照明：配置可拆卸模块化泛光照明顶（含轨道）和可拆卸模块化玻璃顶，照明层和展示层分开。底部预留照明电源以备后期布灯；</w:t>
            </w:r>
          </w:p>
        </w:tc>
        <w:tc>
          <w:tcPr>
            <w:tcW w:w="351" w:type="pct"/>
            <w:tcBorders>
              <w:top w:val="nil"/>
              <w:left w:val="nil"/>
              <w:bottom w:val="nil"/>
              <w:right w:val="nil"/>
            </w:tcBorders>
            <w:shd w:val="clear" w:color="auto" w:fill="auto"/>
            <w:noWrap/>
            <w:vAlign w:val="center"/>
          </w:tcPr>
          <w:p w14:paraId="78E504B0">
            <w:pPr>
              <w:rPr>
                <w:rFonts w:hint="eastAsia" w:ascii="宋体" w:hAnsi="宋体" w:eastAsia="宋体" w:cs="宋体"/>
                <w:i w:val="0"/>
                <w:iCs w:val="0"/>
                <w:color w:val="000000"/>
                <w:sz w:val="22"/>
                <w:szCs w:val="22"/>
                <w:highlight w:val="none"/>
                <w:u w:val="none"/>
              </w:rPr>
            </w:pPr>
          </w:p>
        </w:tc>
      </w:tr>
      <w:tr w14:paraId="58A39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0D94070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3.8</w:t>
            </w:r>
          </w:p>
        </w:tc>
        <w:tc>
          <w:tcPr>
            <w:tcW w:w="4288" w:type="pct"/>
            <w:tcBorders>
              <w:top w:val="nil"/>
              <w:left w:val="nil"/>
              <w:bottom w:val="nil"/>
              <w:right w:val="nil"/>
            </w:tcBorders>
            <w:shd w:val="clear" w:color="auto" w:fill="auto"/>
            <w:vAlign w:val="center"/>
          </w:tcPr>
          <w:p w14:paraId="105B97D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文保：设置恒湿剂抽屉的，应说明恒湿剂可行性，包括但不限于恒湿剂调节功率、更换方法等。</w:t>
            </w:r>
          </w:p>
        </w:tc>
        <w:tc>
          <w:tcPr>
            <w:tcW w:w="351" w:type="pct"/>
            <w:tcBorders>
              <w:top w:val="nil"/>
              <w:left w:val="nil"/>
              <w:bottom w:val="nil"/>
              <w:right w:val="nil"/>
            </w:tcBorders>
            <w:shd w:val="clear" w:color="auto" w:fill="auto"/>
            <w:noWrap/>
            <w:vAlign w:val="center"/>
          </w:tcPr>
          <w:p w14:paraId="016A763D">
            <w:pPr>
              <w:rPr>
                <w:rFonts w:hint="eastAsia" w:ascii="宋体" w:hAnsi="宋体" w:eastAsia="宋体" w:cs="宋体"/>
                <w:i w:val="0"/>
                <w:iCs w:val="0"/>
                <w:color w:val="000000"/>
                <w:sz w:val="22"/>
                <w:szCs w:val="22"/>
                <w:highlight w:val="none"/>
                <w:u w:val="none"/>
              </w:rPr>
            </w:pPr>
          </w:p>
        </w:tc>
      </w:tr>
      <w:tr w14:paraId="26590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5C29A9B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3.9</w:t>
            </w:r>
          </w:p>
        </w:tc>
        <w:tc>
          <w:tcPr>
            <w:tcW w:w="4288" w:type="pct"/>
            <w:tcBorders>
              <w:top w:val="nil"/>
              <w:left w:val="nil"/>
              <w:bottom w:val="nil"/>
              <w:right w:val="nil"/>
            </w:tcBorders>
            <w:shd w:val="clear" w:color="auto" w:fill="auto"/>
            <w:vAlign w:val="center"/>
          </w:tcPr>
          <w:p w14:paraId="5359BBE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预留恒湿机机位和接口的，应说明恒湿机可行性包括但不限于安装方式、出风回风、调节功率、维修维护等。</w:t>
            </w:r>
          </w:p>
        </w:tc>
        <w:tc>
          <w:tcPr>
            <w:tcW w:w="351" w:type="pct"/>
            <w:tcBorders>
              <w:top w:val="nil"/>
              <w:left w:val="nil"/>
              <w:bottom w:val="nil"/>
              <w:right w:val="nil"/>
            </w:tcBorders>
            <w:shd w:val="clear" w:color="auto" w:fill="auto"/>
            <w:noWrap/>
            <w:vAlign w:val="center"/>
          </w:tcPr>
          <w:p w14:paraId="7EF4ACA2">
            <w:pPr>
              <w:rPr>
                <w:rFonts w:hint="eastAsia" w:ascii="宋体" w:hAnsi="宋体" w:eastAsia="宋体" w:cs="宋体"/>
                <w:i w:val="0"/>
                <w:iCs w:val="0"/>
                <w:color w:val="000000"/>
                <w:sz w:val="22"/>
                <w:szCs w:val="22"/>
                <w:highlight w:val="none"/>
                <w:u w:val="none"/>
              </w:rPr>
            </w:pPr>
          </w:p>
        </w:tc>
      </w:tr>
      <w:tr w14:paraId="129EC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6393D5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3.10</w:t>
            </w:r>
          </w:p>
        </w:tc>
        <w:tc>
          <w:tcPr>
            <w:tcW w:w="4288" w:type="pct"/>
            <w:tcBorders>
              <w:top w:val="nil"/>
              <w:left w:val="nil"/>
              <w:bottom w:val="nil"/>
              <w:right w:val="nil"/>
            </w:tcBorders>
            <w:shd w:val="clear" w:color="auto" w:fill="auto"/>
            <w:vAlign w:val="center"/>
          </w:tcPr>
          <w:p w14:paraId="21B4776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开启方式：单侧90°以上开启，开启后可通过宽度≥72cm。</w:t>
            </w:r>
          </w:p>
        </w:tc>
        <w:tc>
          <w:tcPr>
            <w:tcW w:w="351" w:type="pct"/>
            <w:tcBorders>
              <w:top w:val="nil"/>
              <w:left w:val="nil"/>
              <w:bottom w:val="nil"/>
              <w:right w:val="nil"/>
            </w:tcBorders>
            <w:shd w:val="clear" w:color="auto" w:fill="auto"/>
            <w:noWrap/>
            <w:vAlign w:val="center"/>
          </w:tcPr>
          <w:p w14:paraId="37E4BE87">
            <w:pPr>
              <w:rPr>
                <w:rFonts w:hint="eastAsia" w:ascii="宋体" w:hAnsi="宋体" w:eastAsia="宋体" w:cs="宋体"/>
                <w:i w:val="0"/>
                <w:iCs w:val="0"/>
                <w:color w:val="000000"/>
                <w:sz w:val="22"/>
                <w:szCs w:val="22"/>
                <w:highlight w:val="none"/>
                <w:u w:val="none"/>
              </w:rPr>
            </w:pPr>
          </w:p>
        </w:tc>
      </w:tr>
      <w:tr w14:paraId="6F5AD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8C7601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3.11</w:t>
            </w:r>
          </w:p>
        </w:tc>
        <w:tc>
          <w:tcPr>
            <w:tcW w:w="4288" w:type="pct"/>
            <w:tcBorders>
              <w:top w:val="nil"/>
              <w:left w:val="nil"/>
              <w:bottom w:val="nil"/>
              <w:right w:val="nil"/>
            </w:tcBorders>
            <w:shd w:val="clear" w:color="auto" w:fill="auto"/>
            <w:vAlign w:val="center"/>
          </w:tcPr>
          <w:p w14:paraId="727ACCF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安防：门磁报警和震动报警。</w:t>
            </w:r>
          </w:p>
        </w:tc>
        <w:tc>
          <w:tcPr>
            <w:tcW w:w="351" w:type="pct"/>
            <w:tcBorders>
              <w:top w:val="nil"/>
              <w:left w:val="nil"/>
              <w:bottom w:val="nil"/>
              <w:right w:val="nil"/>
            </w:tcBorders>
            <w:shd w:val="clear" w:color="auto" w:fill="auto"/>
            <w:noWrap/>
            <w:vAlign w:val="center"/>
          </w:tcPr>
          <w:p w14:paraId="55CFF863">
            <w:pPr>
              <w:rPr>
                <w:rFonts w:hint="eastAsia" w:ascii="宋体" w:hAnsi="宋体" w:eastAsia="宋体" w:cs="宋体"/>
                <w:i w:val="0"/>
                <w:iCs w:val="0"/>
                <w:color w:val="000000"/>
                <w:sz w:val="22"/>
                <w:szCs w:val="22"/>
                <w:highlight w:val="none"/>
                <w:u w:val="none"/>
              </w:rPr>
            </w:pPr>
          </w:p>
        </w:tc>
      </w:tr>
      <w:tr w14:paraId="4D055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9FF2168">
            <w:pP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4</w:t>
            </w:r>
          </w:p>
        </w:tc>
        <w:tc>
          <w:tcPr>
            <w:tcW w:w="4288" w:type="pct"/>
            <w:tcBorders>
              <w:top w:val="nil"/>
              <w:left w:val="nil"/>
              <w:bottom w:val="nil"/>
              <w:right w:val="nil"/>
            </w:tcBorders>
            <w:shd w:val="clear" w:color="auto" w:fill="auto"/>
            <w:vAlign w:val="center"/>
          </w:tcPr>
          <w:p w14:paraId="0502516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100型中心独立柜总体要求</w:t>
            </w:r>
          </w:p>
        </w:tc>
        <w:tc>
          <w:tcPr>
            <w:tcW w:w="351" w:type="pct"/>
            <w:tcBorders>
              <w:top w:val="nil"/>
              <w:left w:val="nil"/>
              <w:bottom w:val="nil"/>
              <w:right w:val="nil"/>
            </w:tcBorders>
            <w:shd w:val="clear" w:color="auto" w:fill="auto"/>
            <w:noWrap/>
            <w:vAlign w:val="center"/>
          </w:tcPr>
          <w:p w14:paraId="0299131B">
            <w:pPr>
              <w:rPr>
                <w:rFonts w:hint="eastAsia" w:ascii="宋体" w:hAnsi="宋体" w:eastAsia="宋体" w:cs="宋体"/>
                <w:i w:val="0"/>
                <w:iCs w:val="0"/>
                <w:color w:val="000000"/>
                <w:sz w:val="22"/>
                <w:szCs w:val="22"/>
                <w:highlight w:val="none"/>
                <w:u w:val="none"/>
              </w:rPr>
            </w:pPr>
          </w:p>
        </w:tc>
      </w:tr>
      <w:tr w14:paraId="24CC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1B6A6E8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4.1</w:t>
            </w:r>
          </w:p>
        </w:tc>
        <w:tc>
          <w:tcPr>
            <w:tcW w:w="4288" w:type="pct"/>
            <w:tcBorders>
              <w:top w:val="nil"/>
              <w:left w:val="nil"/>
              <w:bottom w:val="nil"/>
              <w:right w:val="nil"/>
            </w:tcBorders>
            <w:shd w:val="clear" w:color="auto" w:fill="auto"/>
            <w:vAlign w:val="center"/>
          </w:tcPr>
          <w:p w14:paraId="2C0F39C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整柜均符合GB 20286-2006《公共场所阻燃制品及组件燃烧性能要求和标识》的要求，达到阻燃1级标准。</w:t>
            </w:r>
          </w:p>
        </w:tc>
        <w:tc>
          <w:tcPr>
            <w:tcW w:w="351" w:type="pct"/>
            <w:tcBorders>
              <w:top w:val="nil"/>
              <w:left w:val="nil"/>
              <w:bottom w:val="nil"/>
              <w:right w:val="nil"/>
            </w:tcBorders>
            <w:shd w:val="clear" w:color="auto" w:fill="auto"/>
            <w:noWrap/>
            <w:vAlign w:val="center"/>
          </w:tcPr>
          <w:p w14:paraId="183E4506">
            <w:pPr>
              <w:rPr>
                <w:rFonts w:hint="eastAsia" w:ascii="宋体" w:hAnsi="宋体" w:eastAsia="宋体" w:cs="宋体"/>
                <w:i w:val="0"/>
                <w:iCs w:val="0"/>
                <w:color w:val="000000"/>
                <w:sz w:val="22"/>
                <w:szCs w:val="22"/>
                <w:highlight w:val="none"/>
                <w:u w:val="none"/>
              </w:rPr>
            </w:pPr>
          </w:p>
        </w:tc>
      </w:tr>
      <w:tr w14:paraId="0AA8D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3812A4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4.2</w:t>
            </w:r>
          </w:p>
        </w:tc>
        <w:tc>
          <w:tcPr>
            <w:tcW w:w="4288" w:type="pct"/>
            <w:tcBorders>
              <w:top w:val="nil"/>
              <w:left w:val="nil"/>
              <w:bottom w:val="nil"/>
              <w:right w:val="nil"/>
            </w:tcBorders>
            <w:shd w:val="clear" w:color="auto" w:fill="auto"/>
            <w:vAlign w:val="center"/>
          </w:tcPr>
          <w:p w14:paraId="65FDFDF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结构为钢架结构，饰面为表面喷涂钢板，型材为铝合金型材。</w:t>
            </w:r>
          </w:p>
        </w:tc>
        <w:tc>
          <w:tcPr>
            <w:tcW w:w="351" w:type="pct"/>
            <w:tcBorders>
              <w:top w:val="nil"/>
              <w:left w:val="nil"/>
              <w:bottom w:val="nil"/>
              <w:right w:val="nil"/>
            </w:tcBorders>
            <w:shd w:val="clear" w:color="auto" w:fill="auto"/>
            <w:noWrap/>
            <w:vAlign w:val="center"/>
          </w:tcPr>
          <w:p w14:paraId="6D832081">
            <w:pPr>
              <w:rPr>
                <w:rFonts w:hint="eastAsia" w:ascii="宋体" w:hAnsi="宋体" w:eastAsia="宋体" w:cs="宋体"/>
                <w:i w:val="0"/>
                <w:iCs w:val="0"/>
                <w:color w:val="000000"/>
                <w:sz w:val="22"/>
                <w:szCs w:val="22"/>
                <w:highlight w:val="none"/>
                <w:u w:val="none"/>
              </w:rPr>
            </w:pPr>
          </w:p>
        </w:tc>
      </w:tr>
      <w:tr w14:paraId="3D396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0900B0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4.3</w:t>
            </w:r>
          </w:p>
        </w:tc>
        <w:tc>
          <w:tcPr>
            <w:tcW w:w="4288" w:type="pct"/>
            <w:tcBorders>
              <w:top w:val="nil"/>
              <w:left w:val="nil"/>
              <w:bottom w:val="nil"/>
              <w:right w:val="nil"/>
            </w:tcBorders>
            <w:shd w:val="clear" w:color="auto" w:fill="auto"/>
            <w:vAlign w:val="center"/>
          </w:tcPr>
          <w:p w14:paraId="68C7469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玻璃为：6+6抗弯低反射夹层玻璃。</w:t>
            </w:r>
          </w:p>
        </w:tc>
        <w:tc>
          <w:tcPr>
            <w:tcW w:w="351" w:type="pct"/>
            <w:tcBorders>
              <w:top w:val="nil"/>
              <w:left w:val="nil"/>
              <w:bottom w:val="nil"/>
              <w:right w:val="nil"/>
            </w:tcBorders>
            <w:shd w:val="clear" w:color="auto" w:fill="auto"/>
            <w:noWrap/>
            <w:vAlign w:val="center"/>
          </w:tcPr>
          <w:p w14:paraId="54565751">
            <w:pPr>
              <w:rPr>
                <w:rFonts w:hint="eastAsia" w:ascii="宋体" w:hAnsi="宋体" w:eastAsia="宋体" w:cs="宋体"/>
                <w:i w:val="0"/>
                <w:iCs w:val="0"/>
                <w:color w:val="000000"/>
                <w:sz w:val="22"/>
                <w:szCs w:val="22"/>
                <w:highlight w:val="none"/>
                <w:u w:val="none"/>
              </w:rPr>
            </w:pPr>
          </w:p>
        </w:tc>
      </w:tr>
      <w:tr w14:paraId="2FD7F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01DC96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4.4</w:t>
            </w:r>
          </w:p>
        </w:tc>
        <w:tc>
          <w:tcPr>
            <w:tcW w:w="4288" w:type="pct"/>
            <w:tcBorders>
              <w:top w:val="nil"/>
              <w:left w:val="nil"/>
              <w:bottom w:val="nil"/>
              <w:right w:val="nil"/>
            </w:tcBorders>
            <w:shd w:val="clear" w:color="auto" w:fill="auto"/>
            <w:vAlign w:val="center"/>
          </w:tcPr>
          <w:p w14:paraId="159ABEF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展柜内不得使用木质板材。展柜内展台底板和背板应采用冷轧钢板、铝板或蜂窝铝板等，表面可采用涂层、包布、贴饰等工艺深化设计装饰。</w:t>
            </w:r>
          </w:p>
        </w:tc>
        <w:tc>
          <w:tcPr>
            <w:tcW w:w="351" w:type="pct"/>
            <w:tcBorders>
              <w:top w:val="nil"/>
              <w:left w:val="nil"/>
              <w:bottom w:val="nil"/>
              <w:right w:val="nil"/>
            </w:tcBorders>
            <w:shd w:val="clear" w:color="auto" w:fill="auto"/>
            <w:noWrap/>
            <w:vAlign w:val="center"/>
          </w:tcPr>
          <w:p w14:paraId="11A62D83">
            <w:pPr>
              <w:rPr>
                <w:rFonts w:hint="eastAsia" w:ascii="宋体" w:hAnsi="宋体" w:eastAsia="宋体" w:cs="宋体"/>
                <w:i w:val="0"/>
                <w:iCs w:val="0"/>
                <w:color w:val="000000"/>
                <w:sz w:val="22"/>
                <w:szCs w:val="22"/>
                <w:highlight w:val="none"/>
                <w:u w:val="none"/>
              </w:rPr>
            </w:pPr>
          </w:p>
        </w:tc>
      </w:tr>
      <w:tr w14:paraId="397D8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3FBC22A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4.5</w:t>
            </w:r>
          </w:p>
        </w:tc>
        <w:tc>
          <w:tcPr>
            <w:tcW w:w="4288" w:type="pct"/>
            <w:tcBorders>
              <w:top w:val="nil"/>
              <w:left w:val="nil"/>
              <w:bottom w:val="nil"/>
              <w:right w:val="nil"/>
            </w:tcBorders>
            <w:shd w:val="clear" w:color="auto" w:fill="auto"/>
            <w:vAlign w:val="center"/>
          </w:tcPr>
          <w:p w14:paraId="7D7B14F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设置恒湿剂抽屉的展示空间高度≥200厘米；预留恒湿机机位和接口的展示空间高度≥190厘米。</w:t>
            </w:r>
          </w:p>
        </w:tc>
        <w:tc>
          <w:tcPr>
            <w:tcW w:w="351" w:type="pct"/>
            <w:tcBorders>
              <w:top w:val="nil"/>
              <w:left w:val="nil"/>
              <w:bottom w:val="nil"/>
              <w:right w:val="nil"/>
            </w:tcBorders>
            <w:shd w:val="clear" w:color="auto" w:fill="auto"/>
            <w:noWrap/>
            <w:vAlign w:val="center"/>
          </w:tcPr>
          <w:p w14:paraId="54696171">
            <w:pPr>
              <w:rPr>
                <w:rFonts w:hint="eastAsia" w:ascii="宋体" w:hAnsi="宋体" w:eastAsia="宋体" w:cs="宋体"/>
                <w:i w:val="0"/>
                <w:iCs w:val="0"/>
                <w:color w:val="000000"/>
                <w:sz w:val="22"/>
                <w:szCs w:val="22"/>
                <w:highlight w:val="none"/>
                <w:u w:val="none"/>
              </w:rPr>
            </w:pPr>
          </w:p>
        </w:tc>
      </w:tr>
      <w:tr w14:paraId="19A4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E972B2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4.6</w:t>
            </w:r>
          </w:p>
        </w:tc>
        <w:tc>
          <w:tcPr>
            <w:tcW w:w="4288" w:type="pct"/>
            <w:tcBorders>
              <w:top w:val="nil"/>
              <w:left w:val="nil"/>
              <w:bottom w:val="nil"/>
              <w:right w:val="nil"/>
            </w:tcBorders>
            <w:shd w:val="clear" w:color="auto" w:fill="auto"/>
            <w:vAlign w:val="center"/>
          </w:tcPr>
          <w:p w14:paraId="0B7E1AB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底部预留照明电源以备后期布灯；</w:t>
            </w:r>
          </w:p>
        </w:tc>
        <w:tc>
          <w:tcPr>
            <w:tcW w:w="351" w:type="pct"/>
            <w:tcBorders>
              <w:top w:val="nil"/>
              <w:left w:val="nil"/>
              <w:bottom w:val="nil"/>
              <w:right w:val="nil"/>
            </w:tcBorders>
            <w:shd w:val="clear" w:color="auto" w:fill="auto"/>
            <w:noWrap/>
            <w:vAlign w:val="center"/>
          </w:tcPr>
          <w:p w14:paraId="116693A8">
            <w:pPr>
              <w:rPr>
                <w:rFonts w:hint="eastAsia" w:ascii="宋体" w:hAnsi="宋体" w:eastAsia="宋体" w:cs="宋体"/>
                <w:i w:val="0"/>
                <w:iCs w:val="0"/>
                <w:color w:val="000000"/>
                <w:sz w:val="22"/>
                <w:szCs w:val="22"/>
                <w:highlight w:val="none"/>
                <w:u w:val="none"/>
              </w:rPr>
            </w:pPr>
          </w:p>
        </w:tc>
      </w:tr>
      <w:tr w14:paraId="05D85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00CEF2F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4.7</w:t>
            </w:r>
          </w:p>
        </w:tc>
        <w:tc>
          <w:tcPr>
            <w:tcW w:w="4288" w:type="pct"/>
            <w:tcBorders>
              <w:top w:val="nil"/>
              <w:left w:val="nil"/>
              <w:bottom w:val="nil"/>
              <w:right w:val="nil"/>
            </w:tcBorders>
            <w:shd w:val="clear" w:color="auto" w:fill="auto"/>
            <w:vAlign w:val="center"/>
          </w:tcPr>
          <w:p w14:paraId="72B8EAA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文保：设置恒湿剂抽屉的，应说明恒湿剂可行性，包括但不限于恒湿剂调节功率、更换方法等。</w:t>
            </w:r>
          </w:p>
        </w:tc>
        <w:tc>
          <w:tcPr>
            <w:tcW w:w="351" w:type="pct"/>
            <w:tcBorders>
              <w:top w:val="nil"/>
              <w:left w:val="nil"/>
              <w:bottom w:val="nil"/>
              <w:right w:val="nil"/>
            </w:tcBorders>
            <w:shd w:val="clear" w:color="auto" w:fill="auto"/>
            <w:noWrap/>
            <w:vAlign w:val="center"/>
          </w:tcPr>
          <w:p w14:paraId="7482988F">
            <w:pPr>
              <w:rPr>
                <w:rFonts w:hint="eastAsia" w:ascii="宋体" w:hAnsi="宋体" w:eastAsia="宋体" w:cs="宋体"/>
                <w:i w:val="0"/>
                <w:iCs w:val="0"/>
                <w:color w:val="000000"/>
                <w:sz w:val="22"/>
                <w:szCs w:val="22"/>
                <w:highlight w:val="none"/>
                <w:u w:val="none"/>
              </w:rPr>
            </w:pPr>
          </w:p>
        </w:tc>
      </w:tr>
      <w:tr w14:paraId="7485A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5B75936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4.8</w:t>
            </w:r>
          </w:p>
        </w:tc>
        <w:tc>
          <w:tcPr>
            <w:tcW w:w="4288" w:type="pct"/>
            <w:tcBorders>
              <w:top w:val="nil"/>
              <w:left w:val="nil"/>
              <w:bottom w:val="nil"/>
              <w:right w:val="nil"/>
            </w:tcBorders>
            <w:shd w:val="clear" w:color="auto" w:fill="auto"/>
            <w:vAlign w:val="center"/>
          </w:tcPr>
          <w:p w14:paraId="47B13F6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预留恒湿机机位和接口的，应说明恒湿机可行性包括但不限于安装方式、出风回风、调节功率、维修维护等。</w:t>
            </w:r>
          </w:p>
        </w:tc>
        <w:tc>
          <w:tcPr>
            <w:tcW w:w="351" w:type="pct"/>
            <w:tcBorders>
              <w:top w:val="nil"/>
              <w:left w:val="nil"/>
              <w:bottom w:val="nil"/>
              <w:right w:val="nil"/>
            </w:tcBorders>
            <w:shd w:val="clear" w:color="auto" w:fill="auto"/>
            <w:noWrap/>
            <w:vAlign w:val="center"/>
          </w:tcPr>
          <w:p w14:paraId="164172A1">
            <w:pPr>
              <w:rPr>
                <w:rFonts w:hint="eastAsia" w:ascii="宋体" w:hAnsi="宋体" w:eastAsia="宋体" w:cs="宋体"/>
                <w:i w:val="0"/>
                <w:iCs w:val="0"/>
                <w:color w:val="000000"/>
                <w:sz w:val="22"/>
                <w:szCs w:val="22"/>
                <w:highlight w:val="none"/>
                <w:u w:val="none"/>
              </w:rPr>
            </w:pPr>
          </w:p>
        </w:tc>
      </w:tr>
      <w:tr w14:paraId="46598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6E434AB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4.9</w:t>
            </w:r>
          </w:p>
        </w:tc>
        <w:tc>
          <w:tcPr>
            <w:tcW w:w="4288" w:type="pct"/>
            <w:tcBorders>
              <w:top w:val="nil"/>
              <w:left w:val="nil"/>
              <w:bottom w:val="nil"/>
              <w:right w:val="nil"/>
            </w:tcBorders>
            <w:shd w:val="clear" w:color="auto" w:fill="auto"/>
            <w:vAlign w:val="center"/>
          </w:tcPr>
          <w:p w14:paraId="345F188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开启方式：单侧90°以上开启，开启后可通过宽度≥92cm。</w:t>
            </w:r>
          </w:p>
        </w:tc>
        <w:tc>
          <w:tcPr>
            <w:tcW w:w="351" w:type="pct"/>
            <w:tcBorders>
              <w:top w:val="nil"/>
              <w:left w:val="nil"/>
              <w:bottom w:val="nil"/>
              <w:right w:val="nil"/>
            </w:tcBorders>
            <w:shd w:val="clear" w:color="auto" w:fill="auto"/>
            <w:noWrap/>
            <w:vAlign w:val="center"/>
          </w:tcPr>
          <w:p w14:paraId="3D9D82A8">
            <w:pPr>
              <w:rPr>
                <w:rFonts w:hint="eastAsia" w:ascii="宋体" w:hAnsi="宋体" w:eastAsia="宋体" w:cs="宋体"/>
                <w:i w:val="0"/>
                <w:iCs w:val="0"/>
                <w:color w:val="000000"/>
                <w:sz w:val="22"/>
                <w:szCs w:val="22"/>
                <w:highlight w:val="none"/>
                <w:u w:val="none"/>
              </w:rPr>
            </w:pPr>
          </w:p>
        </w:tc>
      </w:tr>
      <w:tr w14:paraId="595D8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650F612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4.10</w:t>
            </w:r>
          </w:p>
        </w:tc>
        <w:tc>
          <w:tcPr>
            <w:tcW w:w="4288" w:type="pct"/>
            <w:tcBorders>
              <w:top w:val="nil"/>
              <w:left w:val="nil"/>
              <w:bottom w:val="nil"/>
              <w:right w:val="nil"/>
            </w:tcBorders>
            <w:shd w:val="clear" w:color="auto" w:fill="auto"/>
            <w:vAlign w:val="center"/>
          </w:tcPr>
          <w:p w14:paraId="5EA8AFD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安防：门磁报警和震动报警。</w:t>
            </w:r>
          </w:p>
        </w:tc>
        <w:tc>
          <w:tcPr>
            <w:tcW w:w="351" w:type="pct"/>
            <w:tcBorders>
              <w:top w:val="nil"/>
              <w:left w:val="nil"/>
              <w:bottom w:val="nil"/>
              <w:right w:val="nil"/>
            </w:tcBorders>
            <w:shd w:val="clear" w:color="auto" w:fill="auto"/>
            <w:noWrap/>
            <w:vAlign w:val="center"/>
          </w:tcPr>
          <w:p w14:paraId="497414F5">
            <w:pPr>
              <w:rPr>
                <w:rFonts w:hint="eastAsia" w:ascii="宋体" w:hAnsi="宋体" w:eastAsia="宋体" w:cs="宋体"/>
                <w:i w:val="0"/>
                <w:iCs w:val="0"/>
                <w:color w:val="000000"/>
                <w:sz w:val="22"/>
                <w:szCs w:val="22"/>
                <w:highlight w:val="none"/>
                <w:u w:val="none"/>
              </w:rPr>
            </w:pPr>
          </w:p>
        </w:tc>
      </w:tr>
      <w:tr w14:paraId="2DA46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6C4EC2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w:t>
            </w:r>
          </w:p>
        </w:tc>
        <w:tc>
          <w:tcPr>
            <w:tcW w:w="4288" w:type="pct"/>
            <w:tcBorders>
              <w:top w:val="nil"/>
              <w:left w:val="nil"/>
              <w:bottom w:val="nil"/>
              <w:right w:val="nil"/>
            </w:tcBorders>
            <w:shd w:val="clear" w:color="auto" w:fill="auto"/>
            <w:vAlign w:val="center"/>
          </w:tcPr>
          <w:p w14:paraId="54C43FC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长形独立柜总体要求</w:t>
            </w:r>
          </w:p>
        </w:tc>
        <w:tc>
          <w:tcPr>
            <w:tcW w:w="351" w:type="pct"/>
            <w:tcBorders>
              <w:top w:val="nil"/>
              <w:left w:val="nil"/>
              <w:bottom w:val="nil"/>
              <w:right w:val="nil"/>
            </w:tcBorders>
            <w:shd w:val="clear" w:color="auto" w:fill="auto"/>
            <w:noWrap/>
            <w:vAlign w:val="center"/>
          </w:tcPr>
          <w:p w14:paraId="1990DDBE">
            <w:pPr>
              <w:rPr>
                <w:rFonts w:hint="eastAsia" w:ascii="宋体" w:hAnsi="宋体" w:eastAsia="宋体" w:cs="宋体"/>
                <w:i w:val="0"/>
                <w:iCs w:val="0"/>
                <w:color w:val="000000"/>
                <w:sz w:val="22"/>
                <w:szCs w:val="22"/>
                <w:highlight w:val="none"/>
                <w:u w:val="none"/>
              </w:rPr>
            </w:pPr>
          </w:p>
        </w:tc>
      </w:tr>
      <w:tr w14:paraId="49BD1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25E5F3D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5.1</w:t>
            </w:r>
          </w:p>
        </w:tc>
        <w:tc>
          <w:tcPr>
            <w:tcW w:w="4288" w:type="pct"/>
            <w:tcBorders>
              <w:top w:val="nil"/>
              <w:left w:val="nil"/>
              <w:bottom w:val="nil"/>
              <w:right w:val="nil"/>
            </w:tcBorders>
            <w:shd w:val="clear" w:color="auto" w:fill="auto"/>
            <w:vAlign w:val="center"/>
          </w:tcPr>
          <w:p w14:paraId="594A207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整柜均符合GB 20286-2006《公共场所阻燃制品及组件燃烧性能要求和标识》的要求，达到阻燃1级标准。</w:t>
            </w:r>
          </w:p>
        </w:tc>
        <w:tc>
          <w:tcPr>
            <w:tcW w:w="351" w:type="pct"/>
            <w:tcBorders>
              <w:top w:val="nil"/>
              <w:left w:val="nil"/>
              <w:bottom w:val="nil"/>
              <w:right w:val="nil"/>
            </w:tcBorders>
            <w:shd w:val="clear" w:color="auto" w:fill="auto"/>
            <w:noWrap/>
            <w:vAlign w:val="center"/>
          </w:tcPr>
          <w:p w14:paraId="4EF9BB77">
            <w:pPr>
              <w:rPr>
                <w:rFonts w:hint="eastAsia" w:ascii="宋体" w:hAnsi="宋体" w:eastAsia="宋体" w:cs="宋体"/>
                <w:i w:val="0"/>
                <w:iCs w:val="0"/>
                <w:color w:val="000000"/>
                <w:sz w:val="22"/>
                <w:szCs w:val="22"/>
                <w:highlight w:val="none"/>
                <w:u w:val="none"/>
              </w:rPr>
            </w:pPr>
          </w:p>
        </w:tc>
      </w:tr>
      <w:tr w14:paraId="2D33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24378D1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5.2</w:t>
            </w:r>
          </w:p>
        </w:tc>
        <w:tc>
          <w:tcPr>
            <w:tcW w:w="4288" w:type="pct"/>
            <w:tcBorders>
              <w:top w:val="nil"/>
              <w:left w:val="nil"/>
              <w:bottom w:val="nil"/>
              <w:right w:val="nil"/>
            </w:tcBorders>
            <w:shd w:val="clear" w:color="auto" w:fill="auto"/>
            <w:vAlign w:val="center"/>
          </w:tcPr>
          <w:p w14:paraId="70B8B9A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结构为钢架结构，饰面为表面喷涂钢板，型材为铝合金型材。</w:t>
            </w:r>
          </w:p>
        </w:tc>
        <w:tc>
          <w:tcPr>
            <w:tcW w:w="351" w:type="pct"/>
            <w:tcBorders>
              <w:top w:val="nil"/>
              <w:left w:val="nil"/>
              <w:bottom w:val="nil"/>
              <w:right w:val="nil"/>
            </w:tcBorders>
            <w:shd w:val="clear" w:color="auto" w:fill="auto"/>
            <w:noWrap/>
            <w:vAlign w:val="center"/>
          </w:tcPr>
          <w:p w14:paraId="7142C86C">
            <w:pPr>
              <w:rPr>
                <w:rFonts w:hint="eastAsia" w:ascii="宋体" w:hAnsi="宋体" w:eastAsia="宋体" w:cs="宋体"/>
                <w:i w:val="0"/>
                <w:iCs w:val="0"/>
                <w:color w:val="000000"/>
                <w:sz w:val="22"/>
                <w:szCs w:val="22"/>
                <w:highlight w:val="none"/>
                <w:u w:val="none"/>
              </w:rPr>
            </w:pPr>
          </w:p>
        </w:tc>
      </w:tr>
      <w:tr w14:paraId="120C5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1564201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5.3</w:t>
            </w:r>
          </w:p>
        </w:tc>
        <w:tc>
          <w:tcPr>
            <w:tcW w:w="4288" w:type="pct"/>
            <w:tcBorders>
              <w:top w:val="nil"/>
              <w:left w:val="nil"/>
              <w:bottom w:val="nil"/>
              <w:right w:val="nil"/>
            </w:tcBorders>
            <w:shd w:val="clear" w:color="auto" w:fill="auto"/>
            <w:vAlign w:val="center"/>
          </w:tcPr>
          <w:p w14:paraId="49083F7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玻璃为：6+6抗弯低反射夹层玻璃。</w:t>
            </w:r>
          </w:p>
        </w:tc>
        <w:tc>
          <w:tcPr>
            <w:tcW w:w="351" w:type="pct"/>
            <w:tcBorders>
              <w:top w:val="nil"/>
              <w:left w:val="nil"/>
              <w:bottom w:val="nil"/>
              <w:right w:val="nil"/>
            </w:tcBorders>
            <w:shd w:val="clear" w:color="auto" w:fill="auto"/>
            <w:noWrap/>
            <w:vAlign w:val="center"/>
          </w:tcPr>
          <w:p w14:paraId="335E067A">
            <w:pPr>
              <w:rPr>
                <w:rFonts w:hint="eastAsia" w:ascii="宋体" w:hAnsi="宋体" w:eastAsia="宋体" w:cs="宋体"/>
                <w:i w:val="0"/>
                <w:iCs w:val="0"/>
                <w:color w:val="000000"/>
                <w:sz w:val="22"/>
                <w:szCs w:val="22"/>
                <w:highlight w:val="none"/>
                <w:u w:val="none"/>
              </w:rPr>
            </w:pPr>
          </w:p>
        </w:tc>
      </w:tr>
      <w:tr w14:paraId="4C4C1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4CA4ED33">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5.4</w:t>
            </w:r>
          </w:p>
        </w:tc>
        <w:tc>
          <w:tcPr>
            <w:tcW w:w="4288" w:type="pct"/>
            <w:tcBorders>
              <w:top w:val="nil"/>
              <w:left w:val="nil"/>
              <w:bottom w:val="nil"/>
              <w:right w:val="nil"/>
            </w:tcBorders>
            <w:shd w:val="clear" w:color="auto" w:fill="auto"/>
            <w:vAlign w:val="center"/>
          </w:tcPr>
          <w:p w14:paraId="516CA28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展柜内不得使用木质板材。展柜内展台底板和应采用冷轧钢板、铝板或蜂窝铝板等，表面可采用涂层、包布、贴饰等工艺深化设计装饰。</w:t>
            </w:r>
          </w:p>
        </w:tc>
        <w:tc>
          <w:tcPr>
            <w:tcW w:w="351" w:type="pct"/>
            <w:tcBorders>
              <w:top w:val="nil"/>
              <w:left w:val="nil"/>
              <w:bottom w:val="nil"/>
              <w:right w:val="nil"/>
            </w:tcBorders>
            <w:shd w:val="clear" w:color="auto" w:fill="auto"/>
            <w:noWrap/>
            <w:vAlign w:val="center"/>
          </w:tcPr>
          <w:p w14:paraId="4CA322DF">
            <w:pPr>
              <w:rPr>
                <w:rFonts w:hint="eastAsia" w:ascii="宋体" w:hAnsi="宋体" w:eastAsia="宋体" w:cs="宋体"/>
                <w:i w:val="0"/>
                <w:iCs w:val="0"/>
                <w:color w:val="000000"/>
                <w:sz w:val="22"/>
                <w:szCs w:val="22"/>
                <w:highlight w:val="none"/>
                <w:u w:val="none"/>
              </w:rPr>
            </w:pPr>
          </w:p>
        </w:tc>
      </w:tr>
      <w:tr w14:paraId="5BAE1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FABD3C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5.5</w:t>
            </w:r>
          </w:p>
        </w:tc>
        <w:tc>
          <w:tcPr>
            <w:tcW w:w="4288" w:type="pct"/>
            <w:tcBorders>
              <w:top w:val="nil"/>
              <w:left w:val="nil"/>
              <w:bottom w:val="nil"/>
              <w:right w:val="nil"/>
            </w:tcBorders>
            <w:shd w:val="clear" w:color="auto" w:fill="auto"/>
            <w:vAlign w:val="center"/>
          </w:tcPr>
          <w:p w14:paraId="60A3375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展示空间高度≥190厘米。</w:t>
            </w:r>
          </w:p>
        </w:tc>
        <w:tc>
          <w:tcPr>
            <w:tcW w:w="351" w:type="pct"/>
            <w:tcBorders>
              <w:top w:val="nil"/>
              <w:left w:val="nil"/>
              <w:bottom w:val="nil"/>
              <w:right w:val="nil"/>
            </w:tcBorders>
            <w:shd w:val="clear" w:color="auto" w:fill="auto"/>
            <w:noWrap/>
            <w:vAlign w:val="center"/>
          </w:tcPr>
          <w:p w14:paraId="1DBD5D7A">
            <w:pPr>
              <w:rPr>
                <w:rFonts w:hint="eastAsia" w:ascii="宋体" w:hAnsi="宋体" w:eastAsia="宋体" w:cs="宋体"/>
                <w:i w:val="0"/>
                <w:iCs w:val="0"/>
                <w:color w:val="000000"/>
                <w:sz w:val="22"/>
                <w:szCs w:val="22"/>
                <w:highlight w:val="none"/>
                <w:u w:val="none"/>
              </w:rPr>
            </w:pPr>
          </w:p>
        </w:tc>
      </w:tr>
      <w:tr w14:paraId="3BD65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37BF303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5.6</w:t>
            </w:r>
          </w:p>
        </w:tc>
        <w:tc>
          <w:tcPr>
            <w:tcW w:w="4288" w:type="pct"/>
            <w:tcBorders>
              <w:top w:val="nil"/>
              <w:left w:val="nil"/>
              <w:bottom w:val="nil"/>
              <w:right w:val="nil"/>
            </w:tcBorders>
            <w:shd w:val="clear" w:color="auto" w:fill="auto"/>
            <w:vAlign w:val="center"/>
          </w:tcPr>
          <w:p w14:paraId="413B74E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照明：底部预留照明电源以备后期布灯。</w:t>
            </w:r>
          </w:p>
        </w:tc>
        <w:tc>
          <w:tcPr>
            <w:tcW w:w="351" w:type="pct"/>
            <w:tcBorders>
              <w:top w:val="nil"/>
              <w:left w:val="nil"/>
              <w:bottom w:val="nil"/>
              <w:right w:val="nil"/>
            </w:tcBorders>
            <w:shd w:val="clear" w:color="auto" w:fill="auto"/>
            <w:noWrap/>
            <w:vAlign w:val="center"/>
          </w:tcPr>
          <w:p w14:paraId="7656FD30">
            <w:pPr>
              <w:rPr>
                <w:rFonts w:hint="eastAsia" w:ascii="宋体" w:hAnsi="宋体" w:eastAsia="宋体" w:cs="宋体"/>
                <w:i w:val="0"/>
                <w:iCs w:val="0"/>
                <w:color w:val="000000"/>
                <w:sz w:val="22"/>
                <w:szCs w:val="22"/>
                <w:highlight w:val="none"/>
                <w:u w:val="none"/>
              </w:rPr>
            </w:pPr>
          </w:p>
        </w:tc>
      </w:tr>
      <w:tr w14:paraId="21DF5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6D1CD22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5.7</w:t>
            </w:r>
          </w:p>
        </w:tc>
        <w:tc>
          <w:tcPr>
            <w:tcW w:w="4288" w:type="pct"/>
            <w:tcBorders>
              <w:top w:val="nil"/>
              <w:left w:val="nil"/>
              <w:bottom w:val="nil"/>
              <w:right w:val="nil"/>
            </w:tcBorders>
            <w:shd w:val="clear" w:color="auto" w:fill="auto"/>
            <w:vAlign w:val="center"/>
          </w:tcPr>
          <w:p w14:paraId="0378BBB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文保：预留恒湿机机位和接口，并说明恒湿机可行性包括但不限于安装方式、出风回风、调节功率、维修维护等。</w:t>
            </w:r>
          </w:p>
        </w:tc>
        <w:tc>
          <w:tcPr>
            <w:tcW w:w="351" w:type="pct"/>
            <w:tcBorders>
              <w:top w:val="nil"/>
              <w:left w:val="nil"/>
              <w:bottom w:val="nil"/>
              <w:right w:val="nil"/>
            </w:tcBorders>
            <w:shd w:val="clear" w:color="auto" w:fill="auto"/>
            <w:noWrap/>
            <w:vAlign w:val="center"/>
          </w:tcPr>
          <w:p w14:paraId="15E89061">
            <w:pPr>
              <w:rPr>
                <w:rFonts w:hint="eastAsia" w:ascii="宋体" w:hAnsi="宋体" w:eastAsia="宋体" w:cs="宋体"/>
                <w:i w:val="0"/>
                <w:iCs w:val="0"/>
                <w:color w:val="000000"/>
                <w:sz w:val="22"/>
                <w:szCs w:val="22"/>
                <w:highlight w:val="none"/>
                <w:u w:val="none"/>
              </w:rPr>
            </w:pPr>
          </w:p>
        </w:tc>
      </w:tr>
      <w:tr w14:paraId="7611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4C6E6F0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5.8</w:t>
            </w:r>
          </w:p>
        </w:tc>
        <w:tc>
          <w:tcPr>
            <w:tcW w:w="4288" w:type="pct"/>
            <w:tcBorders>
              <w:top w:val="nil"/>
              <w:left w:val="nil"/>
              <w:bottom w:val="nil"/>
              <w:right w:val="nil"/>
            </w:tcBorders>
            <w:shd w:val="clear" w:color="auto" w:fill="auto"/>
            <w:vAlign w:val="center"/>
          </w:tcPr>
          <w:p w14:paraId="58A6688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开启方式：电动推出，手动左右均可平移开启，开启度》玻璃尺幅的60%，开启面为240厘米*240厘米的面，五面柜一侧开，四面柜两侧开。</w:t>
            </w:r>
          </w:p>
        </w:tc>
        <w:tc>
          <w:tcPr>
            <w:tcW w:w="351" w:type="pct"/>
            <w:tcBorders>
              <w:top w:val="nil"/>
              <w:left w:val="nil"/>
              <w:bottom w:val="nil"/>
              <w:right w:val="nil"/>
            </w:tcBorders>
            <w:shd w:val="clear" w:color="auto" w:fill="auto"/>
            <w:noWrap/>
            <w:vAlign w:val="center"/>
          </w:tcPr>
          <w:p w14:paraId="541069C1">
            <w:pPr>
              <w:rPr>
                <w:rFonts w:hint="eastAsia" w:ascii="宋体" w:hAnsi="宋体" w:eastAsia="宋体" w:cs="宋体"/>
                <w:i w:val="0"/>
                <w:iCs w:val="0"/>
                <w:color w:val="000000"/>
                <w:sz w:val="22"/>
                <w:szCs w:val="22"/>
                <w:highlight w:val="none"/>
                <w:u w:val="none"/>
              </w:rPr>
            </w:pPr>
          </w:p>
        </w:tc>
      </w:tr>
      <w:tr w14:paraId="57EBB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001CF24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5.9</w:t>
            </w:r>
          </w:p>
        </w:tc>
        <w:tc>
          <w:tcPr>
            <w:tcW w:w="4288" w:type="pct"/>
            <w:tcBorders>
              <w:top w:val="nil"/>
              <w:left w:val="nil"/>
              <w:bottom w:val="nil"/>
              <w:right w:val="nil"/>
            </w:tcBorders>
            <w:shd w:val="clear" w:color="auto" w:fill="auto"/>
            <w:vAlign w:val="center"/>
          </w:tcPr>
          <w:p w14:paraId="020535BE">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安防：门磁报警和震动报警</w:t>
            </w:r>
          </w:p>
        </w:tc>
        <w:tc>
          <w:tcPr>
            <w:tcW w:w="351" w:type="pct"/>
            <w:tcBorders>
              <w:top w:val="nil"/>
              <w:left w:val="nil"/>
              <w:bottom w:val="nil"/>
              <w:right w:val="nil"/>
            </w:tcBorders>
            <w:shd w:val="clear" w:color="auto" w:fill="auto"/>
            <w:noWrap/>
            <w:vAlign w:val="center"/>
          </w:tcPr>
          <w:p w14:paraId="05F930BD">
            <w:pPr>
              <w:rPr>
                <w:rFonts w:hint="eastAsia" w:ascii="宋体" w:hAnsi="宋体" w:eastAsia="宋体" w:cs="宋体"/>
                <w:i w:val="0"/>
                <w:iCs w:val="0"/>
                <w:color w:val="000000"/>
                <w:sz w:val="22"/>
                <w:szCs w:val="22"/>
                <w:highlight w:val="none"/>
                <w:u w:val="none"/>
              </w:rPr>
            </w:pPr>
          </w:p>
        </w:tc>
      </w:tr>
      <w:tr w14:paraId="65DD1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60" w:type="pct"/>
            <w:tcBorders>
              <w:top w:val="nil"/>
              <w:left w:val="nil"/>
              <w:bottom w:val="nil"/>
              <w:right w:val="nil"/>
            </w:tcBorders>
            <w:shd w:val="clear" w:color="auto" w:fill="auto"/>
            <w:noWrap/>
            <w:vAlign w:val="center"/>
          </w:tcPr>
          <w:p w14:paraId="787487C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4288" w:type="pct"/>
            <w:tcBorders>
              <w:top w:val="nil"/>
              <w:left w:val="nil"/>
              <w:bottom w:val="nil"/>
              <w:right w:val="nil"/>
            </w:tcBorders>
            <w:shd w:val="clear" w:color="auto" w:fill="auto"/>
            <w:vAlign w:val="center"/>
          </w:tcPr>
          <w:p w14:paraId="7D62DFD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展柜要求为金属玻璃类展柜。展柜主体结构应具有自重稳定性、承重坚固性和抗冲击稳固性，能够承载展柜金属构件、玻璃、设备与展品的重量而长期不变形，基座承载力不低于400kg/m</w:t>
            </w:r>
            <w:r>
              <w:rPr>
                <w:rFonts w:hint="eastAsia" w:ascii="宋体" w:hAnsi="宋体" w:eastAsia="宋体" w:cs="宋体"/>
                <w:i w:val="0"/>
                <w:iCs w:val="0"/>
                <w:color w:val="000000"/>
                <w:kern w:val="0"/>
                <w:sz w:val="16"/>
                <w:szCs w:val="16"/>
                <w:highlight w:val="none"/>
                <w:u w:val="none"/>
                <w:vertAlign w:val="superscript"/>
                <w:lang w:val="en-US" w:eastAsia="zh-CN" w:bidi="ar"/>
              </w:rPr>
              <w:t>2</w:t>
            </w:r>
            <w:r>
              <w:rPr>
                <w:rFonts w:hint="eastAsia" w:ascii="宋体" w:hAnsi="宋体" w:eastAsia="宋体" w:cs="宋体"/>
                <w:i w:val="0"/>
                <w:iCs w:val="0"/>
                <w:color w:val="000000"/>
                <w:kern w:val="0"/>
                <w:sz w:val="16"/>
                <w:szCs w:val="16"/>
                <w:highlight w:val="none"/>
                <w:u w:val="none"/>
                <w:lang w:val="en-US" w:eastAsia="zh-CN" w:bidi="ar"/>
              </w:rPr>
              <w:t>,展台底板承载力不低于150kg/m</w:t>
            </w:r>
            <w:r>
              <w:rPr>
                <w:rFonts w:hint="eastAsia" w:ascii="宋体" w:hAnsi="宋体" w:eastAsia="宋体" w:cs="宋体"/>
                <w:i w:val="0"/>
                <w:iCs w:val="0"/>
                <w:color w:val="000000"/>
                <w:kern w:val="0"/>
                <w:sz w:val="16"/>
                <w:szCs w:val="16"/>
                <w:highlight w:val="none"/>
                <w:u w:val="none"/>
                <w:vertAlign w:val="superscript"/>
                <w:lang w:val="en-US" w:eastAsia="zh-CN" w:bidi="ar"/>
              </w:rPr>
              <w:t>2</w:t>
            </w:r>
            <w:r>
              <w:rPr>
                <w:rFonts w:hint="eastAsia" w:ascii="宋体" w:hAnsi="宋体" w:eastAsia="宋体" w:cs="宋体"/>
                <w:i w:val="0"/>
                <w:iCs w:val="0"/>
                <w:color w:val="000000"/>
                <w:kern w:val="0"/>
                <w:sz w:val="16"/>
                <w:szCs w:val="16"/>
                <w:highlight w:val="none"/>
                <w:u w:val="none"/>
                <w:lang w:val="en-US" w:eastAsia="zh-CN" w:bidi="ar"/>
              </w:rPr>
              <w:t>。</w:t>
            </w:r>
          </w:p>
        </w:tc>
        <w:tc>
          <w:tcPr>
            <w:tcW w:w="351" w:type="pct"/>
            <w:tcBorders>
              <w:top w:val="nil"/>
              <w:left w:val="nil"/>
              <w:bottom w:val="nil"/>
              <w:right w:val="nil"/>
            </w:tcBorders>
            <w:shd w:val="clear" w:color="auto" w:fill="auto"/>
            <w:noWrap/>
            <w:vAlign w:val="center"/>
          </w:tcPr>
          <w:p w14:paraId="2556B062">
            <w:pPr>
              <w:rPr>
                <w:rFonts w:hint="eastAsia" w:ascii="宋体" w:hAnsi="宋体" w:eastAsia="宋体" w:cs="宋体"/>
                <w:i w:val="0"/>
                <w:iCs w:val="0"/>
                <w:color w:val="000000"/>
                <w:sz w:val="22"/>
                <w:szCs w:val="22"/>
                <w:highlight w:val="none"/>
                <w:u w:val="none"/>
              </w:rPr>
            </w:pPr>
          </w:p>
        </w:tc>
      </w:tr>
      <w:tr w14:paraId="0437A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360" w:type="pct"/>
            <w:tcBorders>
              <w:top w:val="nil"/>
              <w:left w:val="nil"/>
              <w:bottom w:val="nil"/>
              <w:right w:val="nil"/>
            </w:tcBorders>
            <w:shd w:val="clear" w:color="auto" w:fill="auto"/>
            <w:noWrap/>
            <w:vAlign w:val="center"/>
          </w:tcPr>
          <w:p w14:paraId="2763668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w:t>
            </w:r>
          </w:p>
        </w:tc>
        <w:tc>
          <w:tcPr>
            <w:tcW w:w="4288" w:type="pct"/>
            <w:tcBorders>
              <w:top w:val="nil"/>
              <w:left w:val="nil"/>
              <w:bottom w:val="nil"/>
              <w:right w:val="nil"/>
            </w:tcBorders>
            <w:shd w:val="clear" w:color="auto" w:fill="auto"/>
            <w:vAlign w:val="center"/>
          </w:tcPr>
          <w:p w14:paraId="6617AB3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展柜结构、箱体、展台、饰面等不同位置所采用金属板材，应根据不同功能要求采用不同厚度。结构和受力金属件壁厚不低于3mm，饰面金属板材厚度不低于2mm，封护镀锌钢板厚度不低于1mm。</w:t>
            </w:r>
          </w:p>
        </w:tc>
        <w:tc>
          <w:tcPr>
            <w:tcW w:w="351" w:type="pct"/>
            <w:tcBorders>
              <w:top w:val="nil"/>
              <w:left w:val="nil"/>
              <w:bottom w:val="nil"/>
              <w:right w:val="nil"/>
            </w:tcBorders>
            <w:shd w:val="clear" w:color="auto" w:fill="auto"/>
            <w:noWrap/>
            <w:vAlign w:val="center"/>
          </w:tcPr>
          <w:p w14:paraId="7B9BAB0C">
            <w:pPr>
              <w:rPr>
                <w:rFonts w:hint="eastAsia" w:ascii="宋体" w:hAnsi="宋体" w:eastAsia="宋体" w:cs="宋体"/>
                <w:i w:val="0"/>
                <w:iCs w:val="0"/>
                <w:color w:val="000000"/>
                <w:sz w:val="22"/>
                <w:szCs w:val="22"/>
                <w:highlight w:val="none"/>
                <w:u w:val="none"/>
              </w:rPr>
            </w:pPr>
          </w:p>
        </w:tc>
      </w:tr>
      <w:tr w14:paraId="722D7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5DDF090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4288" w:type="pct"/>
            <w:tcBorders>
              <w:top w:val="nil"/>
              <w:left w:val="nil"/>
              <w:bottom w:val="nil"/>
              <w:right w:val="nil"/>
            </w:tcBorders>
            <w:shd w:val="clear" w:color="auto" w:fill="auto"/>
            <w:vAlign w:val="center"/>
          </w:tcPr>
          <w:p w14:paraId="400A068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如使用铝蜂窝复合板的，材料与要求应符合JG/T 334—2012 《建筑外墙用铝蜂窝复合板》的规定。（投标时提供生产商产品质量证明书或合格证、或加盖CMA标注的检测报告、或不含该类型材料的声明书（形式自拟）扫描件并加盖投标人公章，未提供或内容不满足要求的</w:t>
            </w:r>
            <w:r>
              <w:rPr>
                <w:rFonts w:hint="eastAsia" w:ascii="宋体" w:hAnsi="宋体" w:eastAsia="宋体" w:cs="宋体"/>
                <w:b w:val="0"/>
                <w:bCs w:val="0"/>
                <w:i w:val="0"/>
                <w:iCs w:val="0"/>
                <w:color w:val="000000"/>
                <w:kern w:val="0"/>
                <w:sz w:val="16"/>
                <w:szCs w:val="16"/>
                <w:highlight w:val="none"/>
                <w:u w:val="none"/>
                <w:lang w:val="en-US" w:eastAsia="zh-CN" w:bidi="ar"/>
              </w:rPr>
              <w:t>视为负偏离</w:t>
            </w:r>
            <w:r>
              <w:rPr>
                <w:rFonts w:hint="eastAsia" w:ascii="宋体" w:hAnsi="宋体" w:eastAsia="宋体" w:cs="宋体"/>
                <w:i w:val="0"/>
                <w:iCs w:val="0"/>
                <w:color w:val="000000"/>
                <w:kern w:val="0"/>
                <w:sz w:val="16"/>
                <w:szCs w:val="16"/>
                <w:highlight w:val="none"/>
                <w:u w:val="none"/>
                <w:lang w:val="en-US" w:eastAsia="zh-CN" w:bidi="ar"/>
              </w:rPr>
              <w:t>。）</w:t>
            </w:r>
          </w:p>
        </w:tc>
        <w:tc>
          <w:tcPr>
            <w:tcW w:w="351" w:type="pct"/>
            <w:tcBorders>
              <w:top w:val="nil"/>
              <w:left w:val="nil"/>
              <w:bottom w:val="nil"/>
              <w:right w:val="nil"/>
            </w:tcBorders>
            <w:shd w:val="clear" w:color="auto" w:fill="auto"/>
            <w:noWrap/>
            <w:vAlign w:val="center"/>
          </w:tcPr>
          <w:p w14:paraId="3EE64EE3">
            <w:pPr>
              <w:rPr>
                <w:rFonts w:hint="eastAsia" w:ascii="宋体" w:hAnsi="宋体" w:eastAsia="宋体" w:cs="宋体"/>
                <w:i w:val="0"/>
                <w:iCs w:val="0"/>
                <w:color w:val="000000"/>
                <w:sz w:val="22"/>
                <w:szCs w:val="22"/>
                <w:highlight w:val="none"/>
                <w:u w:val="none"/>
              </w:rPr>
            </w:pPr>
          </w:p>
        </w:tc>
      </w:tr>
      <w:tr w14:paraId="15D17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31E00855">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9</w:t>
            </w:r>
          </w:p>
        </w:tc>
        <w:tc>
          <w:tcPr>
            <w:tcW w:w="4288" w:type="pct"/>
            <w:tcBorders>
              <w:top w:val="nil"/>
              <w:left w:val="nil"/>
              <w:bottom w:val="nil"/>
              <w:right w:val="nil"/>
            </w:tcBorders>
            <w:shd w:val="clear" w:color="auto" w:fill="auto"/>
            <w:vAlign w:val="center"/>
          </w:tcPr>
          <w:p w14:paraId="319F6DEC">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如使用不锈钢材料，应选用统一数字代号为S30408或S30403的热轧板或冷轧板，材料成分符合GB/T 20878—2007《不锈钢和耐热钢牌号及化学成分》，板材性能符合GB/T 4237—2015《不锈钢热轧钢板和钢带》或GB/T 3280—2015《不锈钢冷轧钢板和钢带》规定。（投标时提供生产商产品质量证明书或合格证、或加盖CMA标注的检测报告、或不含该类型材料的声明书（形式自拟）扫描件并加盖投标人公章，未提供或内容不满足要求的</w:t>
            </w:r>
            <w:r>
              <w:rPr>
                <w:rFonts w:hint="eastAsia" w:ascii="宋体" w:hAnsi="宋体" w:eastAsia="宋体" w:cs="宋体"/>
                <w:b w:val="0"/>
                <w:bCs w:val="0"/>
                <w:i w:val="0"/>
                <w:iCs w:val="0"/>
                <w:color w:val="000000"/>
                <w:kern w:val="0"/>
                <w:sz w:val="16"/>
                <w:szCs w:val="16"/>
                <w:highlight w:val="none"/>
                <w:u w:val="none"/>
                <w:lang w:val="en-US" w:eastAsia="zh-CN" w:bidi="ar"/>
              </w:rPr>
              <w:t>视为负偏离</w:t>
            </w:r>
            <w:r>
              <w:rPr>
                <w:rFonts w:hint="eastAsia" w:ascii="宋体" w:hAnsi="宋体" w:eastAsia="宋体" w:cs="宋体"/>
                <w:i w:val="0"/>
                <w:iCs w:val="0"/>
                <w:color w:val="000000"/>
                <w:kern w:val="0"/>
                <w:sz w:val="16"/>
                <w:szCs w:val="16"/>
                <w:highlight w:val="none"/>
                <w:u w:val="none"/>
                <w:lang w:val="en-US" w:eastAsia="zh-CN" w:bidi="ar"/>
              </w:rPr>
              <w:t>。）</w:t>
            </w:r>
          </w:p>
        </w:tc>
        <w:tc>
          <w:tcPr>
            <w:tcW w:w="351" w:type="pct"/>
            <w:tcBorders>
              <w:top w:val="nil"/>
              <w:left w:val="nil"/>
              <w:bottom w:val="nil"/>
              <w:right w:val="nil"/>
            </w:tcBorders>
            <w:shd w:val="clear" w:color="auto" w:fill="auto"/>
            <w:noWrap/>
            <w:vAlign w:val="center"/>
          </w:tcPr>
          <w:p w14:paraId="6B51C0CA">
            <w:pPr>
              <w:rPr>
                <w:rFonts w:hint="eastAsia" w:ascii="宋体" w:hAnsi="宋体" w:eastAsia="宋体" w:cs="宋体"/>
                <w:i w:val="0"/>
                <w:iCs w:val="0"/>
                <w:color w:val="000000"/>
                <w:sz w:val="22"/>
                <w:szCs w:val="22"/>
                <w:highlight w:val="none"/>
                <w:u w:val="none"/>
              </w:rPr>
            </w:pPr>
          </w:p>
        </w:tc>
      </w:tr>
      <w:tr w14:paraId="158BD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9" w:hRule="atLeast"/>
        </w:trPr>
        <w:tc>
          <w:tcPr>
            <w:tcW w:w="360" w:type="pct"/>
            <w:tcBorders>
              <w:top w:val="nil"/>
              <w:left w:val="nil"/>
              <w:bottom w:val="nil"/>
              <w:right w:val="nil"/>
            </w:tcBorders>
            <w:shd w:val="clear" w:color="auto" w:fill="auto"/>
            <w:noWrap/>
            <w:vAlign w:val="center"/>
          </w:tcPr>
          <w:p w14:paraId="1BA7344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4288" w:type="pct"/>
            <w:tcBorders>
              <w:top w:val="nil"/>
              <w:left w:val="nil"/>
              <w:bottom w:val="nil"/>
              <w:right w:val="nil"/>
            </w:tcBorders>
            <w:shd w:val="clear" w:color="auto" w:fill="auto"/>
            <w:vAlign w:val="center"/>
          </w:tcPr>
          <w:p w14:paraId="027AFD0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如使用铝波纹芯复合铝板，应符合JC/T 2187—2013《铝波纹芯复合铝板》规定的建筑幕墙用铝材要求。（投标时提供生产商产品质量证明书或合格证、或加盖CMA标注的检测报告、或不含该类型材料的声明书（形式自拟）扫描件并加盖投标人公章，未提供或内容不满足要求的</w:t>
            </w:r>
            <w:r>
              <w:rPr>
                <w:rFonts w:hint="eastAsia" w:ascii="宋体" w:hAnsi="宋体" w:eastAsia="宋体" w:cs="宋体"/>
                <w:b w:val="0"/>
                <w:bCs w:val="0"/>
                <w:i w:val="0"/>
                <w:iCs w:val="0"/>
                <w:color w:val="000000"/>
                <w:kern w:val="0"/>
                <w:sz w:val="16"/>
                <w:szCs w:val="16"/>
                <w:highlight w:val="none"/>
                <w:u w:val="none"/>
                <w:lang w:val="en-US" w:eastAsia="zh-CN" w:bidi="ar"/>
              </w:rPr>
              <w:t>视为负偏离</w:t>
            </w:r>
            <w:r>
              <w:rPr>
                <w:rFonts w:hint="eastAsia" w:ascii="宋体" w:hAnsi="宋体" w:eastAsia="宋体" w:cs="宋体"/>
                <w:i w:val="0"/>
                <w:iCs w:val="0"/>
                <w:color w:val="000000"/>
                <w:kern w:val="0"/>
                <w:sz w:val="16"/>
                <w:szCs w:val="16"/>
                <w:highlight w:val="none"/>
                <w:u w:val="none"/>
                <w:lang w:val="en-US" w:eastAsia="zh-CN" w:bidi="ar"/>
              </w:rPr>
              <w:t>。）</w:t>
            </w:r>
          </w:p>
        </w:tc>
        <w:tc>
          <w:tcPr>
            <w:tcW w:w="351" w:type="pct"/>
            <w:tcBorders>
              <w:top w:val="nil"/>
              <w:left w:val="nil"/>
              <w:bottom w:val="nil"/>
              <w:right w:val="nil"/>
            </w:tcBorders>
            <w:shd w:val="clear" w:color="auto" w:fill="auto"/>
            <w:noWrap/>
            <w:vAlign w:val="center"/>
          </w:tcPr>
          <w:p w14:paraId="78B96F91">
            <w:pPr>
              <w:rPr>
                <w:rFonts w:hint="eastAsia" w:ascii="宋体" w:hAnsi="宋体" w:eastAsia="宋体" w:cs="宋体"/>
                <w:i w:val="0"/>
                <w:iCs w:val="0"/>
                <w:color w:val="000000"/>
                <w:sz w:val="22"/>
                <w:szCs w:val="22"/>
                <w:highlight w:val="none"/>
                <w:u w:val="none"/>
              </w:rPr>
            </w:pPr>
          </w:p>
          <w:p w14:paraId="1E5AF8C8">
            <w:pPr>
              <w:rPr>
                <w:rFonts w:hint="eastAsia" w:ascii="宋体" w:hAnsi="宋体" w:eastAsia="宋体" w:cs="宋体"/>
                <w:i w:val="0"/>
                <w:iCs w:val="0"/>
                <w:color w:val="000000"/>
                <w:sz w:val="22"/>
                <w:szCs w:val="22"/>
                <w:highlight w:val="none"/>
                <w:u w:val="none"/>
              </w:rPr>
            </w:pPr>
          </w:p>
          <w:p w14:paraId="7DC956C9">
            <w:pPr>
              <w:rPr>
                <w:rFonts w:hint="eastAsia" w:ascii="宋体" w:hAnsi="宋体" w:eastAsia="宋体" w:cs="宋体"/>
                <w:i w:val="0"/>
                <w:iCs w:val="0"/>
                <w:color w:val="000000"/>
                <w:sz w:val="22"/>
                <w:szCs w:val="22"/>
                <w:highlight w:val="none"/>
                <w:u w:val="none"/>
              </w:rPr>
            </w:pPr>
          </w:p>
          <w:p w14:paraId="2738E6FE">
            <w:pPr>
              <w:rPr>
                <w:rFonts w:hint="eastAsia" w:ascii="宋体" w:hAnsi="宋体" w:eastAsia="宋体" w:cs="宋体"/>
                <w:i w:val="0"/>
                <w:iCs w:val="0"/>
                <w:color w:val="000000"/>
                <w:sz w:val="22"/>
                <w:szCs w:val="22"/>
                <w:highlight w:val="none"/>
                <w:u w:val="none"/>
              </w:rPr>
            </w:pPr>
          </w:p>
        </w:tc>
      </w:tr>
      <w:tr w14:paraId="58A58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360" w:type="pct"/>
            <w:tcBorders>
              <w:top w:val="nil"/>
              <w:left w:val="nil"/>
              <w:bottom w:val="nil"/>
              <w:right w:val="nil"/>
            </w:tcBorders>
            <w:shd w:val="clear" w:color="auto" w:fill="auto"/>
            <w:noWrap/>
            <w:vAlign w:val="center"/>
          </w:tcPr>
          <w:p w14:paraId="2ACFBAC8">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11</w:t>
            </w:r>
          </w:p>
        </w:tc>
        <w:tc>
          <w:tcPr>
            <w:tcW w:w="4288" w:type="pct"/>
            <w:tcBorders>
              <w:top w:val="nil"/>
              <w:left w:val="nil"/>
              <w:bottom w:val="nil"/>
              <w:right w:val="nil"/>
            </w:tcBorders>
            <w:shd w:val="clear" w:color="auto" w:fill="auto"/>
            <w:vAlign w:val="center"/>
          </w:tcPr>
          <w:p w14:paraId="42B1F426">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织物宜使用符合国家标准二等品及以上的棉织物或麻织物</w:t>
            </w:r>
            <w:r>
              <w:rPr>
                <w:rFonts w:hint="eastAsia"/>
                <w:highlight w:val="none"/>
                <w:lang w:eastAsia="zh-CN"/>
              </w:rPr>
              <w:t>。</w:t>
            </w:r>
          </w:p>
        </w:tc>
        <w:tc>
          <w:tcPr>
            <w:tcW w:w="351" w:type="pct"/>
            <w:tcBorders>
              <w:top w:val="nil"/>
              <w:left w:val="nil"/>
              <w:bottom w:val="nil"/>
              <w:right w:val="nil"/>
            </w:tcBorders>
            <w:shd w:val="clear" w:color="auto" w:fill="auto"/>
            <w:noWrap/>
            <w:vAlign w:val="center"/>
          </w:tcPr>
          <w:p w14:paraId="4BCE4430">
            <w:pPr>
              <w:rPr>
                <w:rFonts w:hint="eastAsia" w:ascii="宋体" w:hAnsi="宋体" w:eastAsia="宋体" w:cs="宋体"/>
                <w:i w:val="0"/>
                <w:iCs w:val="0"/>
                <w:color w:val="000000"/>
                <w:sz w:val="22"/>
                <w:szCs w:val="22"/>
                <w:highlight w:val="none"/>
                <w:u w:val="none"/>
              </w:rPr>
            </w:pPr>
          </w:p>
        </w:tc>
      </w:tr>
      <w:tr w14:paraId="4C92D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6270233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12</w:t>
            </w:r>
          </w:p>
        </w:tc>
        <w:tc>
          <w:tcPr>
            <w:tcW w:w="4288" w:type="pct"/>
            <w:tcBorders>
              <w:top w:val="nil"/>
              <w:left w:val="nil"/>
              <w:bottom w:val="nil"/>
              <w:right w:val="nil"/>
            </w:tcBorders>
            <w:shd w:val="clear" w:color="auto" w:fill="auto"/>
            <w:vAlign w:val="center"/>
          </w:tcPr>
          <w:p w14:paraId="412460A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结构金属件的连接应以连续焊接方式加工，不得仅以点焊方式进行。展柜内可视部分的金属拼接应无缝隙现象。</w:t>
            </w:r>
          </w:p>
        </w:tc>
        <w:tc>
          <w:tcPr>
            <w:tcW w:w="351" w:type="pct"/>
            <w:tcBorders>
              <w:top w:val="nil"/>
              <w:left w:val="nil"/>
              <w:bottom w:val="nil"/>
              <w:right w:val="nil"/>
            </w:tcBorders>
            <w:shd w:val="clear" w:color="auto" w:fill="auto"/>
            <w:noWrap/>
            <w:vAlign w:val="center"/>
          </w:tcPr>
          <w:p w14:paraId="74D33A8B">
            <w:pPr>
              <w:rPr>
                <w:rFonts w:hint="eastAsia" w:ascii="宋体" w:hAnsi="宋体" w:eastAsia="宋体" w:cs="宋体"/>
                <w:i w:val="0"/>
                <w:iCs w:val="0"/>
                <w:color w:val="000000"/>
                <w:sz w:val="22"/>
                <w:szCs w:val="22"/>
                <w:highlight w:val="none"/>
                <w:u w:val="none"/>
              </w:rPr>
            </w:pPr>
          </w:p>
        </w:tc>
      </w:tr>
      <w:tr w14:paraId="561CE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3609A7C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w:t>
            </w:r>
          </w:p>
        </w:tc>
        <w:tc>
          <w:tcPr>
            <w:tcW w:w="4288" w:type="pct"/>
            <w:tcBorders>
              <w:top w:val="nil"/>
              <w:left w:val="nil"/>
              <w:bottom w:val="nil"/>
              <w:right w:val="nil"/>
            </w:tcBorders>
            <w:shd w:val="clear" w:color="auto" w:fill="auto"/>
            <w:vAlign w:val="center"/>
          </w:tcPr>
          <w:p w14:paraId="3C33061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沿墙通柜采用不低于8+0.89+8mm厚度的抗弯低反夹层玻璃；其他展柜采用不低于6+0.89+6mm厚度的抗弯低反夹层玻璃。</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夹层玻璃不得有划痕、气泡、内含物、裂纹、细小纹路和其它缺陷。</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展柜玻璃外露的边缘需精抛光，外露的角应加工为安全倒角。</w:t>
            </w:r>
          </w:p>
        </w:tc>
        <w:tc>
          <w:tcPr>
            <w:tcW w:w="351" w:type="pct"/>
            <w:tcBorders>
              <w:top w:val="nil"/>
              <w:left w:val="nil"/>
              <w:bottom w:val="nil"/>
              <w:right w:val="nil"/>
            </w:tcBorders>
            <w:shd w:val="clear" w:color="auto" w:fill="auto"/>
            <w:noWrap/>
            <w:vAlign w:val="center"/>
          </w:tcPr>
          <w:p w14:paraId="7CA74952">
            <w:pPr>
              <w:rPr>
                <w:rFonts w:hint="eastAsia" w:ascii="宋体" w:hAnsi="宋体" w:eastAsia="宋体" w:cs="宋体"/>
                <w:i w:val="0"/>
                <w:iCs w:val="0"/>
                <w:color w:val="000000"/>
                <w:sz w:val="22"/>
                <w:szCs w:val="22"/>
                <w:highlight w:val="none"/>
                <w:u w:val="none"/>
              </w:rPr>
            </w:pPr>
          </w:p>
        </w:tc>
      </w:tr>
      <w:tr w14:paraId="1DB35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60" w:type="pct"/>
            <w:tcBorders>
              <w:top w:val="nil"/>
              <w:left w:val="nil"/>
              <w:bottom w:val="nil"/>
              <w:right w:val="nil"/>
            </w:tcBorders>
            <w:shd w:val="clear" w:color="auto" w:fill="auto"/>
            <w:noWrap/>
            <w:vAlign w:val="center"/>
          </w:tcPr>
          <w:p w14:paraId="7CC7A8F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4288" w:type="pct"/>
            <w:tcBorders>
              <w:top w:val="nil"/>
              <w:left w:val="nil"/>
              <w:bottom w:val="nil"/>
              <w:right w:val="nil"/>
            </w:tcBorders>
            <w:shd w:val="clear" w:color="auto" w:fill="auto"/>
            <w:vAlign w:val="center"/>
          </w:tcPr>
          <w:p w14:paraId="374126D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密封条阻燃性能应符合GB/T 10707-2008的要求，达到FV-0级。</w:t>
            </w:r>
          </w:p>
        </w:tc>
        <w:tc>
          <w:tcPr>
            <w:tcW w:w="351" w:type="pct"/>
            <w:tcBorders>
              <w:top w:val="nil"/>
              <w:left w:val="nil"/>
              <w:bottom w:val="nil"/>
              <w:right w:val="nil"/>
            </w:tcBorders>
            <w:shd w:val="clear" w:color="auto" w:fill="auto"/>
            <w:noWrap/>
            <w:vAlign w:val="center"/>
          </w:tcPr>
          <w:p w14:paraId="3CBB7D78">
            <w:pPr>
              <w:rPr>
                <w:rFonts w:hint="eastAsia" w:ascii="宋体" w:hAnsi="宋体" w:eastAsia="宋体" w:cs="宋体"/>
                <w:i w:val="0"/>
                <w:iCs w:val="0"/>
                <w:color w:val="000000"/>
                <w:sz w:val="22"/>
                <w:szCs w:val="22"/>
                <w:highlight w:val="none"/>
                <w:u w:val="none"/>
              </w:rPr>
            </w:pPr>
          </w:p>
        </w:tc>
      </w:tr>
      <w:tr w14:paraId="540F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377277D7">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15</w:t>
            </w:r>
          </w:p>
        </w:tc>
        <w:tc>
          <w:tcPr>
            <w:tcW w:w="4288" w:type="pct"/>
            <w:tcBorders>
              <w:top w:val="nil"/>
              <w:left w:val="nil"/>
              <w:bottom w:val="nil"/>
              <w:right w:val="nil"/>
            </w:tcBorders>
            <w:shd w:val="clear" w:color="auto" w:fill="auto"/>
            <w:vAlign w:val="center"/>
          </w:tcPr>
          <w:p w14:paraId="104CDA5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展柜无论采取何种开启方式，应遵循安全、可一人能独立操作的原则。</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展柜开启控制模式含电动模式的，应同时具备电动和手动双控制设计，在遇到突发情况或电力缺失的情况下，可以通过手动方式正常开启、关闭展柜。</w:t>
            </w:r>
          </w:p>
        </w:tc>
        <w:tc>
          <w:tcPr>
            <w:tcW w:w="351" w:type="pct"/>
            <w:tcBorders>
              <w:top w:val="nil"/>
              <w:left w:val="nil"/>
              <w:bottom w:val="nil"/>
              <w:right w:val="nil"/>
            </w:tcBorders>
            <w:shd w:val="clear" w:color="auto" w:fill="auto"/>
            <w:noWrap/>
            <w:vAlign w:val="center"/>
          </w:tcPr>
          <w:p w14:paraId="351F7DA2">
            <w:pPr>
              <w:rPr>
                <w:rFonts w:hint="eastAsia" w:ascii="宋体" w:hAnsi="宋体" w:eastAsia="宋体" w:cs="宋体"/>
                <w:i w:val="0"/>
                <w:iCs w:val="0"/>
                <w:color w:val="000000"/>
                <w:sz w:val="22"/>
                <w:szCs w:val="22"/>
                <w:highlight w:val="none"/>
                <w:u w:val="none"/>
              </w:rPr>
            </w:pPr>
          </w:p>
        </w:tc>
      </w:tr>
      <w:tr w14:paraId="7C9D0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60" w:type="pct"/>
            <w:tcBorders>
              <w:top w:val="nil"/>
              <w:left w:val="nil"/>
              <w:bottom w:val="nil"/>
              <w:right w:val="nil"/>
            </w:tcBorders>
            <w:shd w:val="clear" w:color="auto" w:fill="auto"/>
            <w:noWrap/>
            <w:vAlign w:val="center"/>
          </w:tcPr>
          <w:p w14:paraId="67D0350B">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16</w:t>
            </w:r>
          </w:p>
        </w:tc>
        <w:tc>
          <w:tcPr>
            <w:tcW w:w="4288" w:type="pct"/>
            <w:tcBorders>
              <w:top w:val="nil"/>
              <w:left w:val="nil"/>
              <w:bottom w:val="nil"/>
              <w:right w:val="nil"/>
            </w:tcBorders>
            <w:shd w:val="clear" w:color="auto" w:fill="auto"/>
            <w:vAlign w:val="center"/>
          </w:tcPr>
          <w:p w14:paraId="620BE3ED">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所有能开启的展柜门应至少设置1个非密码式机械防盗锁锁点</w:t>
            </w:r>
            <w:r>
              <w:rPr>
                <w:rFonts w:hint="eastAsia"/>
                <w:highlight w:val="none"/>
                <w:lang w:eastAsia="zh-CN"/>
              </w:rPr>
              <w:t>。</w:t>
            </w:r>
          </w:p>
        </w:tc>
        <w:tc>
          <w:tcPr>
            <w:tcW w:w="351" w:type="pct"/>
            <w:tcBorders>
              <w:top w:val="nil"/>
              <w:left w:val="nil"/>
              <w:bottom w:val="nil"/>
              <w:right w:val="nil"/>
            </w:tcBorders>
            <w:shd w:val="clear" w:color="auto" w:fill="auto"/>
            <w:noWrap/>
            <w:vAlign w:val="center"/>
          </w:tcPr>
          <w:p w14:paraId="14DF394F">
            <w:pPr>
              <w:rPr>
                <w:rFonts w:hint="eastAsia" w:ascii="宋体" w:hAnsi="宋体" w:eastAsia="宋体" w:cs="宋体"/>
                <w:i w:val="0"/>
                <w:iCs w:val="0"/>
                <w:color w:val="000000"/>
                <w:sz w:val="22"/>
                <w:szCs w:val="22"/>
                <w:highlight w:val="none"/>
                <w:u w:val="none"/>
              </w:rPr>
            </w:pPr>
          </w:p>
        </w:tc>
      </w:tr>
      <w:tr w14:paraId="1E9FA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260D718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4288" w:type="pct"/>
            <w:tcBorders>
              <w:top w:val="nil"/>
              <w:left w:val="nil"/>
              <w:bottom w:val="nil"/>
              <w:right w:val="nil"/>
            </w:tcBorders>
            <w:shd w:val="clear" w:color="auto" w:fill="auto"/>
            <w:vAlign w:val="center"/>
          </w:tcPr>
          <w:p w14:paraId="4688CC9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开启中的电动模块可采用开关控制系统或无线控制系统。当采用无线控制系统时，可控距离应不小于10米；展柜开启控制器发出的每个开关信号应确保点对点只能控制唯一的一扇柜门；同时，必须具有锁具、电控信号双保险功能，确保在没有解除柜门固定锁的情况下不会执行电动开启命令。</w:t>
            </w:r>
          </w:p>
        </w:tc>
        <w:tc>
          <w:tcPr>
            <w:tcW w:w="351" w:type="pct"/>
            <w:tcBorders>
              <w:top w:val="nil"/>
              <w:left w:val="nil"/>
              <w:bottom w:val="nil"/>
              <w:right w:val="nil"/>
            </w:tcBorders>
            <w:shd w:val="clear" w:color="auto" w:fill="auto"/>
            <w:noWrap/>
            <w:vAlign w:val="center"/>
          </w:tcPr>
          <w:p w14:paraId="347BCC4A">
            <w:pPr>
              <w:rPr>
                <w:rFonts w:hint="eastAsia" w:ascii="宋体" w:hAnsi="宋体" w:eastAsia="宋体" w:cs="宋体"/>
                <w:i w:val="0"/>
                <w:iCs w:val="0"/>
                <w:color w:val="000000"/>
                <w:sz w:val="22"/>
                <w:szCs w:val="22"/>
                <w:highlight w:val="none"/>
                <w:u w:val="none"/>
              </w:rPr>
            </w:pPr>
          </w:p>
        </w:tc>
      </w:tr>
      <w:tr w14:paraId="4D125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360" w:type="pct"/>
            <w:tcBorders>
              <w:top w:val="nil"/>
              <w:left w:val="nil"/>
              <w:bottom w:val="nil"/>
              <w:right w:val="nil"/>
            </w:tcBorders>
            <w:shd w:val="clear" w:color="auto" w:fill="auto"/>
            <w:noWrap/>
            <w:vAlign w:val="center"/>
          </w:tcPr>
          <w:p w14:paraId="0C23992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4288" w:type="pct"/>
            <w:tcBorders>
              <w:top w:val="nil"/>
              <w:left w:val="nil"/>
              <w:bottom w:val="nil"/>
              <w:right w:val="nil"/>
            </w:tcBorders>
            <w:shd w:val="clear" w:color="auto" w:fill="auto"/>
            <w:vAlign w:val="center"/>
          </w:tcPr>
          <w:p w14:paraId="3AB8084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展柜中的电器设备的安全性能应符合WW/T 0109—2020《馆藏文物展藏 多功能展柜 技术要求》中5.9的规定。展柜金属构架应有效接地，展柜内的变压器、灯具控制器、空气泵、风扇等设备应有过载保护。电器设施设备安装应合理、通风散热良好。</w:t>
            </w:r>
          </w:p>
        </w:tc>
        <w:tc>
          <w:tcPr>
            <w:tcW w:w="351" w:type="pct"/>
            <w:tcBorders>
              <w:top w:val="nil"/>
              <w:left w:val="nil"/>
              <w:bottom w:val="nil"/>
              <w:right w:val="nil"/>
            </w:tcBorders>
            <w:shd w:val="clear" w:color="auto" w:fill="auto"/>
            <w:noWrap/>
            <w:vAlign w:val="center"/>
          </w:tcPr>
          <w:p w14:paraId="029CC781">
            <w:pPr>
              <w:rPr>
                <w:rFonts w:hint="eastAsia" w:ascii="宋体" w:hAnsi="宋体" w:eastAsia="宋体" w:cs="宋体"/>
                <w:i w:val="0"/>
                <w:iCs w:val="0"/>
                <w:color w:val="000000"/>
                <w:sz w:val="22"/>
                <w:szCs w:val="22"/>
                <w:highlight w:val="none"/>
                <w:u w:val="none"/>
              </w:rPr>
            </w:pPr>
          </w:p>
        </w:tc>
      </w:tr>
      <w:tr w14:paraId="31A82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19FEA1E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19</w:t>
            </w:r>
          </w:p>
        </w:tc>
        <w:tc>
          <w:tcPr>
            <w:tcW w:w="4288" w:type="pct"/>
            <w:tcBorders>
              <w:top w:val="nil"/>
              <w:left w:val="nil"/>
              <w:bottom w:val="nil"/>
              <w:right w:val="nil"/>
            </w:tcBorders>
            <w:shd w:val="clear" w:color="auto" w:fill="auto"/>
            <w:vAlign w:val="center"/>
          </w:tcPr>
          <w:p w14:paraId="0B408F1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通柜安装门磁报警器和红外双鉴探测器，安装数量根据探测范围确定；其他展柜安装门磁报警器和震动报警器，安装数量根据探测范围确定</w:t>
            </w:r>
          </w:p>
        </w:tc>
        <w:tc>
          <w:tcPr>
            <w:tcW w:w="351" w:type="pct"/>
            <w:tcBorders>
              <w:top w:val="nil"/>
              <w:left w:val="nil"/>
              <w:bottom w:val="nil"/>
              <w:right w:val="nil"/>
            </w:tcBorders>
            <w:shd w:val="clear" w:color="auto" w:fill="auto"/>
            <w:noWrap/>
            <w:vAlign w:val="center"/>
          </w:tcPr>
          <w:p w14:paraId="6EA6C3F6">
            <w:pPr>
              <w:rPr>
                <w:rFonts w:hint="eastAsia" w:ascii="宋体" w:hAnsi="宋体" w:eastAsia="宋体" w:cs="宋体"/>
                <w:i w:val="0"/>
                <w:iCs w:val="0"/>
                <w:color w:val="000000"/>
                <w:sz w:val="22"/>
                <w:szCs w:val="22"/>
                <w:highlight w:val="none"/>
                <w:u w:val="none"/>
              </w:rPr>
            </w:pPr>
          </w:p>
        </w:tc>
      </w:tr>
      <w:tr w14:paraId="34849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360" w:type="pct"/>
            <w:tcBorders>
              <w:top w:val="nil"/>
              <w:left w:val="nil"/>
              <w:bottom w:val="nil"/>
              <w:right w:val="nil"/>
            </w:tcBorders>
            <w:shd w:val="clear" w:color="auto" w:fill="auto"/>
            <w:noWrap/>
            <w:vAlign w:val="center"/>
          </w:tcPr>
          <w:p w14:paraId="230ADBFA">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w:t>
            </w:r>
          </w:p>
        </w:tc>
        <w:tc>
          <w:tcPr>
            <w:tcW w:w="4288" w:type="pct"/>
            <w:tcBorders>
              <w:top w:val="nil"/>
              <w:left w:val="nil"/>
              <w:bottom w:val="nil"/>
              <w:right w:val="nil"/>
            </w:tcBorders>
            <w:shd w:val="clear" w:color="auto" w:fill="auto"/>
            <w:vAlign w:val="center"/>
          </w:tcPr>
          <w:p w14:paraId="1A06F91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门磁开关探测器：展柜门开启报警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①外壳材料：ABS</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②工作电压 (V/DC)：≤100</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 xml:space="preserve">③工作电流 (mA)： ≤500 </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 xml:space="preserve">④触点模式(NC\NO)：常闭 </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⑤动作距离(mm)：≥20</w:t>
            </w:r>
          </w:p>
        </w:tc>
        <w:tc>
          <w:tcPr>
            <w:tcW w:w="351" w:type="pct"/>
            <w:tcBorders>
              <w:top w:val="nil"/>
              <w:left w:val="nil"/>
              <w:bottom w:val="nil"/>
              <w:right w:val="nil"/>
            </w:tcBorders>
            <w:shd w:val="clear" w:color="auto" w:fill="auto"/>
            <w:noWrap/>
            <w:vAlign w:val="center"/>
          </w:tcPr>
          <w:p w14:paraId="48E0AB52">
            <w:pPr>
              <w:rPr>
                <w:rFonts w:hint="eastAsia" w:ascii="宋体" w:hAnsi="宋体" w:eastAsia="宋体" w:cs="宋体"/>
                <w:i w:val="0"/>
                <w:iCs w:val="0"/>
                <w:color w:val="000000"/>
                <w:sz w:val="22"/>
                <w:szCs w:val="22"/>
                <w:highlight w:val="none"/>
                <w:u w:val="none"/>
              </w:rPr>
            </w:pPr>
          </w:p>
        </w:tc>
      </w:tr>
      <w:tr w14:paraId="7ABA4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7" w:hRule="atLeast"/>
        </w:trPr>
        <w:tc>
          <w:tcPr>
            <w:tcW w:w="360" w:type="pct"/>
            <w:tcBorders>
              <w:top w:val="nil"/>
              <w:left w:val="nil"/>
              <w:bottom w:val="nil"/>
              <w:right w:val="nil"/>
            </w:tcBorders>
            <w:shd w:val="clear" w:color="auto" w:fill="auto"/>
            <w:noWrap/>
            <w:vAlign w:val="center"/>
          </w:tcPr>
          <w:p w14:paraId="792B6D4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21</w:t>
            </w:r>
          </w:p>
        </w:tc>
        <w:tc>
          <w:tcPr>
            <w:tcW w:w="4288" w:type="pct"/>
            <w:tcBorders>
              <w:top w:val="nil"/>
              <w:left w:val="nil"/>
              <w:bottom w:val="nil"/>
              <w:right w:val="nil"/>
            </w:tcBorders>
            <w:shd w:val="clear" w:color="auto" w:fill="auto"/>
            <w:vAlign w:val="center"/>
          </w:tcPr>
          <w:p w14:paraId="00CC27D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被动红外探测器：有人进入展柜内报警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①具有全探测区域设计（标准16m×22m，90度探测区域，即1/4圆），不留任何暗角及盲区。防止由于震动带来的误报，又能保证探测性能。</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②防拆：上盖及墙防拆。</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③多斜率温度补偿。</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④抗白光干扰：6500Lux</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⑤防射频干扰：20V/m 10-1000MHz，15V/m1000-2700MHz</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⑥工作温度：-10℃—55℃</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⑦相对湿度：5%—93%</w:t>
            </w:r>
          </w:p>
        </w:tc>
        <w:tc>
          <w:tcPr>
            <w:tcW w:w="351" w:type="pct"/>
            <w:tcBorders>
              <w:top w:val="nil"/>
              <w:left w:val="nil"/>
              <w:bottom w:val="nil"/>
              <w:right w:val="nil"/>
            </w:tcBorders>
            <w:shd w:val="clear" w:color="auto" w:fill="auto"/>
            <w:noWrap/>
            <w:vAlign w:val="center"/>
          </w:tcPr>
          <w:p w14:paraId="053FB2C9">
            <w:pPr>
              <w:rPr>
                <w:rFonts w:hint="eastAsia" w:ascii="宋体" w:hAnsi="宋体" w:eastAsia="宋体" w:cs="宋体"/>
                <w:i w:val="0"/>
                <w:iCs w:val="0"/>
                <w:color w:val="000000"/>
                <w:sz w:val="22"/>
                <w:szCs w:val="22"/>
                <w:highlight w:val="none"/>
                <w:u w:val="none"/>
              </w:rPr>
            </w:pPr>
          </w:p>
        </w:tc>
      </w:tr>
      <w:tr w14:paraId="3FA6D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360" w:type="pct"/>
            <w:tcBorders>
              <w:top w:val="nil"/>
              <w:left w:val="nil"/>
              <w:bottom w:val="nil"/>
              <w:right w:val="nil"/>
            </w:tcBorders>
            <w:shd w:val="clear" w:color="auto" w:fill="auto"/>
            <w:noWrap/>
            <w:vAlign w:val="center"/>
          </w:tcPr>
          <w:p w14:paraId="6C0BAB3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22</w:t>
            </w:r>
          </w:p>
        </w:tc>
        <w:tc>
          <w:tcPr>
            <w:tcW w:w="4288" w:type="pct"/>
            <w:tcBorders>
              <w:top w:val="nil"/>
              <w:left w:val="nil"/>
              <w:bottom w:val="nil"/>
              <w:right w:val="nil"/>
            </w:tcBorders>
            <w:shd w:val="clear" w:color="auto" w:fill="auto"/>
            <w:vAlign w:val="center"/>
          </w:tcPr>
          <w:p w14:paraId="1E11658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震动位移探测器：破坏展柜报警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①可以设置位移、振动、位移+振动三种工作模式。</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②能检测温度增量变化信号(30S内温度增加10度)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③位移和振动灵敏度分别可调，四级位移灵敏度可调，振动灵敏度连续可调。</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④16级实时位移和敲击能量显示，能直观检测到安装现场实时背 景噪声干扰幅度。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⑤低电压小于8伏报警。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⑥防拆保护：盖板和底板双重</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⑦报警输出持续时间 :≥2S</w:t>
            </w:r>
          </w:p>
        </w:tc>
        <w:tc>
          <w:tcPr>
            <w:tcW w:w="351" w:type="pct"/>
            <w:tcBorders>
              <w:top w:val="nil"/>
              <w:left w:val="nil"/>
              <w:bottom w:val="nil"/>
              <w:right w:val="nil"/>
            </w:tcBorders>
            <w:shd w:val="clear" w:color="auto" w:fill="auto"/>
            <w:noWrap/>
            <w:vAlign w:val="center"/>
          </w:tcPr>
          <w:p w14:paraId="5D4AFA2C">
            <w:pPr>
              <w:rPr>
                <w:rFonts w:hint="eastAsia" w:ascii="宋体" w:hAnsi="宋体" w:eastAsia="宋体" w:cs="宋体"/>
                <w:i w:val="0"/>
                <w:iCs w:val="0"/>
                <w:color w:val="000000"/>
                <w:sz w:val="22"/>
                <w:szCs w:val="22"/>
                <w:highlight w:val="none"/>
                <w:u w:val="none"/>
              </w:rPr>
            </w:pPr>
          </w:p>
        </w:tc>
      </w:tr>
      <w:tr w14:paraId="4D63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65CAEAA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23</w:t>
            </w:r>
          </w:p>
        </w:tc>
        <w:tc>
          <w:tcPr>
            <w:tcW w:w="4288" w:type="pct"/>
            <w:tcBorders>
              <w:top w:val="nil"/>
              <w:left w:val="nil"/>
              <w:bottom w:val="nil"/>
              <w:right w:val="nil"/>
            </w:tcBorders>
            <w:shd w:val="clear" w:color="auto" w:fill="auto"/>
            <w:vAlign w:val="center"/>
          </w:tcPr>
          <w:p w14:paraId="2F0FF684">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展柜所有射灯须为统一品牌。针对该要求，投标时提供灯具清单，清单应包含灯具名称、品牌、型号、安装位置，每型号展柜配灯情况等信息加盖投标供应商公章。柜内灯具安装形式为轨道射灯，沿墙通柜内配置220V常压轨道射灯和迷你低压轨道可调焦射灯，平柜内安装线形灯、其他展柜安装低压迷你轨道可调焦射灯，所有展柜灯具要求为统一品牌。</w:t>
            </w:r>
          </w:p>
        </w:tc>
        <w:tc>
          <w:tcPr>
            <w:tcW w:w="351" w:type="pct"/>
            <w:tcBorders>
              <w:top w:val="nil"/>
              <w:left w:val="nil"/>
              <w:bottom w:val="nil"/>
              <w:right w:val="nil"/>
            </w:tcBorders>
            <w:shd w:val="clear" w:color="auto" w:fill="auto"/>
            <w:noWrap/>
            <w:vAlign w:val="center"/>
          </w:tcPr>
          <w:p w14:paraId="7F919823">
            <w:pPr>
              <w:rPr>
                <w:rFonts w:hint="eastAsia" w:ascii="宋体" w:hAnsi="宋体" w:eastAsia="宋体" w:cs="宋体"/>
                <w:i w:val="0"/>
                <w:iCs w:val="0"/>
                <w:color w:val="000000"/>
                <w:sz w:val="22"/>
                <w:szCs w:val="22"/>
                <w:highlight w:val="none"/>
                <w:u w:val="none"/>
              </w:rPr>
            </w:pPr>
          </w:p>
        </w:tc>
      </w:tr>
      <w:tr w14:paraId="07D90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trPr>
        <w:tc>
          <w:tcPr>
            <w:tcW w:w="360" w:type="pct"/>
            <w:tcBorders>
              <w:top w:val="nil"/>
              <w:left w:val="nil"/>
              <w:bottom w:val="nil"/>
              <w:right w:val="nil"/>
            </w:tcBorders>
            <w:shd w:val="clear" w:color="auto" w:fill="auto"/>
            <w:noWrap/>
            <w:vAlign w:val="center"/>
          </w:tcPr>
          <w:p w14:paraId="1CA2ADF3">
            <w:pPr>
              <w:keepNext w:val="0"/>
              <w:keepLines w:val="0"/>
              <w:widowControl/>
              <w:suppressLineNumbers w:val="0"/>
              <w:jc w:val="left"/>
              <w:textAlignment w:val="center"/>
              <w:rPr>
                <w:rFonts w:hint="default"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24</w:t>
            </w:r>
          </w:p>
        </w:tc>
        <w:tc>
          <w:tcPr>
            <w:tcW w:w="4288" w:type="pct"/>
            <w:tcBorders>
              <w:top w:val="nil"/>
              <w:left w:val="nil"/>
              <w:bottom w:val="nil"/>
              <w:right w:val="nil"/>
            </w:tcBorders>
            <w:shd w:val="clear" w:color="auto" w:fill="auto"/>
            <w:vAlign w:val="center"/>
          </w:tcPr>
          <w:p w14:paraId="212630EA">
            <w:pPr>
              <w:keepNext w:val="0"/>
              <w:keepLines w:val="0"/>
              <w:widowControl/>
              <w:suppressLineNumbers w:val="0"/>
              <w:jc w:val="left"/>
              <w:textAlignment w:val="center"/>
              <w:rPr>
                <w:rFonts w:hint="eastAsia" w:ascii="宋体" w:hAnsi="宋体" w:eastAsia="宋体" w:cs="宋体"/>
                <w:i w:val="0"/>
                <w:iCs w:val="0"/>
                <w:color w:val="000000"/>
                <w:kern w:val="0"/>
                <w:sz w:val="16"/>
                <w:szCs w:val="16"/>
                <w:highlight w:val="none"/>
                <w:u w:val="none"/>
                <w:lang w:val="en-US" w:eastAsia="zh-CN" w:bidi="ar"/>
              </w:rPr>
            </w:pPr>
            <w:r>
              <w:rPr>
                <w:rFonts w:hint="eastAsia" w:ascii="宋体" w:hAnsi="宋体" w:eastAsia="宋体" w:cs="宋体"/>
                <w:i w:val="0"/>
                <w:iCs w:val="0"/>
                <w:color w:val="000000"/>
                <w:kern w:val="0"/>
                <w:sz w:val="16"/>
                <w:szCs w:val="16"/>
                <w:highlight w:val="none"/>
                <w:u w:val="none"/>
                <w:lang w:val="en-US" w:eastAsia="zh-CN" w:bidi="ar"/>
              </w:rPr>
              <w:t>灯具应达到：调光范围：≥1%—100%；紫外线含量：紫外线含量＜20 µW/lm；使用寿命：≥50000h；无频闪：波动频率f≤9Hz的，波动深度FPF≤0.288%;波动频率9Hz＜f≤3125Hz的, 波动深度FPF≤(f*0.08/2.5)%;波动频率f＞3125Hz的无限制。</w:t>
            </w:r>
          </w:p>
        </w:tc>
        <w:tc>
          <w:tcPr>
            <w:tcW w:w="351" w:type="pct"/>
            <w:tcBorders>
              <w:top w:val="nil"/>
              <w:left w:val="nil"/>
              <w:bottom w:val="nil"/>
              <w:right w:val="nil"/>
            </w:tcBorders>
            <w:shd w:val="clear" w:color="auto" w:fill="auto"/>
            <w:noWrap/>
            <w:vAlign w:val="center"/>
          </w:tcPr>
          <w:p w14:paraId="48D9F6B6">
            <w:pPr>
              <w:rPr>
                <w:rFonts w:hint="eastAsia" w:ascii="宋体" w:hAnsi="宋体" w:eastAsia="宋体" w:cs="宋体"/>
                <w:i w:val="0"/>
                <w:iCs w:val="0"/>
                <w:color w:val="000000"/>
                <w:sz w:val="22"/>
                <w:szCs w:val="22"/>
                <w:highlight w:val="none"/>
                <w:u w:val="none"/>
              </w:rPr>
            </w:pPr>
          </w:p>
        </w:tc>
      </w:tr>
      <w:tr w14:paraId="3B3B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60" w:type="pct"/>
            <w:tcBorders>
              <w:top w:val="nil"/>
              <w:left w:val="nil"/>
              <w:bottom w:val="nil"/>
              <w:right w:val="nil"/>
            </w:tcBorders>
            <w:shd w:val="clear" w:color="auto" w:fill="auto"/>
            <w:noWrap/>
            <w:vAlign w:val="center"/>
          </w:tcPr>
          <w:p w14:paraId="0D8CCAB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25</w:t>
            </w:r>
          </w:p>
        </w:tc>
        <w:tc>
          <w:tcPr>
            <w:tcW w:w="4288" w:type="pct"/>
            <w:tcBorders>
              <w:top w:val="nil"/>
              <w:left w:val="nil"/>
              <w:bottom w:val="nil"/>
              <w:right w:val="nil"/>
            </w:tcBorders>
            <w:shd w:val="clear" w:color="auto" w:fill="auto"/>
            <w:vAlign w:val="center"/>
          </w:tcPr>
          <w:p w14:paraId="57074A41">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低压迷你轨道射灯（沿墙通柜和独立柜根据情况采用合适功率的射灯）：</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变焦范围 ≥ 10°~ 30°；调灯角度≥水平360度，竖直90度调节角度；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调光方式：长形独立柜、沿墙通柜可通过手机、pad实现单一灯具的无线调光，其他展柜可通过手机、pad实现无线群组调光。</w:t>
            </w:r>
          </w:p>
        </w:tc>
        <w:tc>
          <w:tcPr>
            <w:tcW w:w="351" w:type="pct"/>
            <w:tcBorders>
              <w:top w:val="nil"/>
              <w:left w:val="nil"/>
              <w:bottom w:val="nil"/>
              <w:right w:val="nil"/>
            </w:tcBorders>
            <w:shd w:val="clear" w:color="auto" w:fill="auto"/>
            <w:noWrap/>
            <w:vAlign w:val="center"/>
          </w:tcPr>
          <w:p w14:paraId="7F9CECCE">
            <w:pPr>
              <w:rPr>
                <w:rFonts w:hint="eastAsia" w:ascii="宋体" w:hAnsi="宋体" w:eastAsia="宋体" w:cs="宋体"/>
                <w:i w:val="0"/>
                <w:iCs w:val="0"/>
                <w:color w:val="000000"/>
                <w:sz w:val="22"/>
                <w:szCs w:val="22"/>
                <w:highlight w:val="none"/>
                <w:u w:val="none"/>
              </w:rPr>
            </w:pPr>
          </w:p>
        </w:tc>
      </w:tr>
      <w:tr w14:paraId="7BD90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360" w:type="pct"/>
            <w:tcBorders>
              <w:top w:val="nil"/>
              <w:left w:val="nil"/>
              <w:bottom w:val="nil"/>
              <w:right w:val="nil"/>
            </w:tcBorders>
            <w:shd w:val="clear" w:color="auto" w:fill="auto"/>
            <w:noWrap/>
            <w:vAlign w:val="center"/>
          </w:tcPr>
          <w:p w14:paraId="51A1671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26</w:t>
            </w:r>
          </w:p>
        </w:tc>
        <w:tc>
          <w:tcPr>
            <w:tcW w:w="4288" w:type="pct"/>
            <w:tcBorders>
              <w:top w:val="nil"/>
              <w:left w:val="nil"/>
              <w:bottom w:val="nil"/>
              <w:right w:val="nil"/>
            </w:tcBorders>
            <w:shd w:val="clear" w:color="auto" w:fill="auto"/>
            <w:vAlign w:val="center"/>
          </w:tcPr>
          <w:p w14:paraId="765FB69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常压轨道射灯：</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调灯角度：水平≥360°，垂直≥180°；调光范围：≥1%—100%。</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采用更换透镜的方法改变光束角、除洗墙透镜外，还应配置窄光束、中光束和椭圆光束透镜。</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调光方式：可通过手机、pad实现单一灯具的无线调光。</w:t>
            </w:r>
          </w:p>
        </w:tc>
        <w:tc>
          <w:tcPr>
            <w:tcW w:w="351" w:type="pct"/>
            <w:tcBorders>
              <w:top w:val="nil"/>
              <w:left w:val="nil"/>
              <w:bottom w:val="nil"/>
              <w:right w:val="nil"/>
            </w:tcBorders>
            <w:shd w:val="clear" w:color="auto" w:fill="auto"/>
            <w:noWrap/>
            <w:vAlign w:val="center"/>
          </w:tcPr>
          <w:p w14:paraId="03B77A8F">
            <w:pPr>
              <w:rPr>
                <w:rFonts w:hint="eastAsia" w:ascii="宋体" w:hAnsi="宋体" w:eastAsia="宋体" w:cs="宋体"/>
                <w:i w:val="0"/>
                <w:iCs w:val="0"/>
                <w:color w:val="000000"/>
                <w:sz w:val="22"/>
                <w:szCs w:val="22"/>
                <w:highlight w:val="none"/>
                <w:u w:val="none"/>
              </w:rPr>
            </w:pPr>
          </w:p>
        </w:tc>
      </w:tr>
      <w:tr w14:paraId="0A80E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60" w:type="pct"/>
            <w:tcBorders>
              <w:top w:val="nil"/>
              <w:left w:val="nil"/>
              <w:bottom w:val="nil"/>
              <w:right w:val="nil"/>
            </w:tcBorders>
            <w:shd w:val="clear" w:color="auto" w:fill="auto"/>
            <w:noWrap/>
            <w:vAlign w:val="center"/>
          </w:tcPr>
          <w:p w14:paraId="4488193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27</w:t>
            </w:r>
          </w:p>
        </w:tc>
        <w:tc>
          <w:tcPr>
            <w:tcW w:w="4288" w:type="pct"/>
            <w:tcBorders>
              <w:top w:val="nil"/>
              <w:left w:val="nil"/>
              <w:bottom w:val="nil"/>
              <w:right w:val="nil"/>
            </w:tcBorders>
            <w:shd w:val="clear" w:color="auto" w:fill="auto"/>
            <w:vAlign w:val="center"/>
          </w:tcPr>
          <w:p w14:paraId="4BBAD51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模块化平柜线型灯：</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调灯角度≥竖直360度调节角度；</w:t>
            </w:r>
            <w:r>
              <w:rPr>
                <w:rFonts w:hint="eastAsia" w:ascii="宋体" w:hAnsi="宋体" w:eastAsia="宋体" w:cs="宋体"/>
                <w:i w:val="0"/>
                <w:iCs w:val="0"/>
                <w:color w:val="000000"/>
                <w:kern w:val="0"/>
                <w:sz w:val="16"/>
                <w:szCs w:val="16"/>
                <w:highlight w:val="none"/>
                <w:u w:val="none"/>
                <w:lang w:val="en-US" w:eastAsia="zh-CN" w:bidi="ar"/>
              </w:rPr>
              <w:br w:type="textWrapping"/>
            </w:r>
            <w:r>
              <w:rPr>
                <w:rFonts w:hint="eastAsia" w:ascii="宋体" w:hAnsi="宋体" w:eastAsia="宋体" w:cs="宋体"/>
                <w:i w:val="0"/>
                <w:iCs w:val="0"/>
                <w:color w:val="000000"/>
                <w:kern w:val="0"/>
                <w:sz w:val="16"/>
                <w:szCs w:val="16"/>
                <w:highlight w:val="none"/>
                <w:u w:val="none"/>
                <w:lang w:val="en-US" w:eastAsia="zh-CN" w:bidi="ar"/>
              </w:rPr>
              <w:t>调光方式：可通过手机、pad实现单一灯具的无线调光。</w:t>
            </w:r>
          </w:p>
        </w:tc>
        <w:tc>
          <w:tcPr>
            <w:tcW w:w="351" w:type="pct"/>
            <w:tcBorders>
              <w:top w:val="nil"/>
              <w:left w:val="nil"/>
              <w:bottom w:val="nil"/>
              <w:right w:val="nil"/>
            </w:tcBorders>
            <w:shd w:val="clear" w:color="auto" w:fill="auto"/>
            <w:noWrap/>
            <w:vAlign w:val="center"/>
          </w:tcPr>
          <w:p w14:paraId="78CC146F">
            <w:pPr>
              <w:rPr>
                <w:rFonts w:hint="eastAsia" w:ascii="宋体" w:hAnsi="宋体" w:eastAsia="宋体" w:cs="宋体"/>
                <w:i w:val="0"/>
                <w:iCs w:val="0"/>
                <w:color w:val="000000"/>
                <w:sz w:val="22"/>
                <w:szCs w:val="22"/>
                <w:highlight w:val="none"/>
                <w:u w:val="none"/>
              </w:rPr>
            </w:pPr>
          </w:p>
        </w:tc>
      </w:tr>
      <w:tr w14:paraId="2842E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360" w:type="pct"/>
            <w:tcBorders>
              <w:top w:val="nil"/>
              <w:left w:val="nil"/>
              <w:bottom w:val="nil"/>
              <w:right w:val="nil"/>
            </w:tcBorders>
            <w:shd w:val="clear" w:color="auto" w:fill="auto"/>
            <w:noWrap/>
            <w:vAlign w:val="center"/>
          </w:tcPr>
          <w:p w14:paraId="2495D3C6">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4288" w:type="pct"/>
            <w:tcBorders>
              <w:top w:val="nil"/>
              <w:left w:val="nil"/>
              <w:bottom w:val="nil"/>
              <w:right w:val="nil"/>
            </w:tcBorders>
            <w:shd w:val="clear" w:color="auto" w:fill="auto"/>
            <w:vAlign w:val="center"/>
          </w:tcPr>
          <w:p w14:paraId="1868698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所有展柜应预留维修、保养所需的必要空间，维修、保养的对象包括展柜、展柜附属设备以及与展柜相邻的设备、设施。</w:t>
            </w:r>
          </w:p>
        </w:tc>
        <w:tc>
          <w:tcPr>
            <w:tcW w:w="351" w:type="pct"/>
            <w:tcBorders>
              <w:top w:val="nil"/>
              <w:left w:val="nil"/>
              <w:bottom w:val="nil"/>
              <w:right w:val="nil"/>
            </w:tcBorders>
            <w:shd w:val="clear" w:color="auto" w:fill="auto"/>
            <w:noWrap/>
            <w:vAlign w:val="center"/>
          </w:tcPr>
          <w:p w14:paraId="192E5008">
            <w:pPr>
              <w:rPr>
                <w:rFonts w:hint="eastAsia" w:ascii="宋体" w:hAnsi="宋体" w:eastAsia="宋体" w:cs="宋体"/>
                <w:i w:val="0"/>
                <w:iCs w:val="0"/>
                <w:color w:val="000000"/>
                <w:sz w:val="22"/>
                <w:szCs w:val="22"/>
                <w:highlight w:val="none"/>
                <w:u w:val="none"/>
              </w:rPr>
            </w:pPr>
          </w:p>
        </w:tc>
      </w:tr>
    </w:tbl>
    <w:p w14:paraId="41D5BDDB">
      <w:pPr>
        <w:jc w:val="center"/>
        <w:rPr>
          <w:rFonts w:hint="eastAsia" w:ascii="方正小标宋简体" w:hAnsi="方正小标宋简体" w:eastAsia="方正小标宋简体"/>
          <w:i w:val="0"/>
          <w:iCs w:val="0"/>
          <w:sz w:val="36"/>
          <w:szCs w:val="36"/>
          <w:highlight w:val="none"/>
        </w:rPr>
      </w:pPr>
    </w:p>
    <w:bookmarkEnd w:id="0"/>
    <w:bookmarkEnd w:id="1"/>
    <w:bookmarkEnd w:id="3"/>
    <w:p w14:paraId="5D012058">
      <w:pPr>
        <w:rPr>
          <w:rFonts w:hint="default" w:ascii="宋体" w:hAnsi="宋体" w:eastAsia="宋体"/>
          <w:i w:val="0"/>
          <w:iCs w:val="0"/>
          <w:szCs w:val="21"/>
          <w:highlight w:val="none"/>
          <w:lang w:val="en-US" w:eastAsia="zh-CN"/>
        </w:rPr>
      </w:pPr>
    </w:p>
    <w:sectPr>
      <w:pgSz w:w="11906" w:h="16838"/>
      <w:pgMar w:top="1440" w:right="1803" w:bottom="1440" w:left="1803"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2"/>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Unicode MS">
    <w:altName w:val="DejaVu Sans"/>
    <w:panose1 w:val="020B0604020202020204"/>
    <w:charset w:val="80"/>
    <w:family w:val="swiss"/>
    <w:pitch w:val="default"/>
    <w:sig w:usb0="00000000" w:usb1="00000000" w:usb2="0000003F" w:usb3="00000000" w:csb0="603F01FF" w:csb1="FFFF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ambria Math">
    <w:altName w:val="DejaVu Math TeX Gyre"/>
    <w:panose1 w:val="02040503050406030204"/>
    <w:charset w:val="00"/>
    <w:family w:val="roman"/>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仿宋_GB2312">
    <w:panose1 w:val="02010609030101010101"/>
    <w:charset w:val="86"/>
    <w:family w:val="modern"/>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A1BF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9C9B8">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C9C9B8">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58C050"/>
    <w:multiLevelType w:val="singleLevel"/>
    <w:tmpl w:val="E758C050"/>
    <w:lvl w:ilvl="0" w:tentative="0">
      <w:start w:val="3"/>
      <w:numFmt w:val="decimal"/>
      <w:suff w:val="nothing"/>
      <w:lvlText w:val="%1、"/>
      <w:lvlJc w:val="left"/>
    </w:lvl>
  </w:abstractNum>
  <w:abstractNum w:abstractNumId="1">
    <w:nsid w:val="5B5B334E"/>
    <w:multiLevelType w:val="singleLevel"/>
    <w:tmpl w:val="5B5B334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BB0"/>
    <w:rsid w:val="001F3598"/>
    <w:rsid w:val="00572964"/>
    <w:rsid w:val="00574A17"/>
    <w:rsid w:val="0069216E"/>
    <w:rsid w:val="006C2BB0"/>
    <w:rsid w:val="007A1348"/>
    <w:rsid w:val="00C96187"/>
    <w:rsid w:val="00FA61AF"/>
    <w:rsid w:val="012670EA"/>
    <w:rsid w:val="01B957D4"/>
    <w:rsid w:val="021F7DC1"/>
    <w:rsid w:val="03217262"/>
    <w:rsid w:val="0341020B"/>
    <w:rsid w:val="03B10EED"/>
    <w:rsid w:val="04536448"/>
    <w:rsid w:val="05151950"/>
    <w:rsid w:val="058412C6"/>
    <w:rsid w:val="06E37523"/>
    <w:rsid w:val="0732124F"/>
    <w:rsid w:val="073A23F8"/>
    <w:rsid w:val="0797489E"/>
    <w:rsid w:val="08452C11"/>
    <w:rsid w:val="092403B3"/>
    <w:rsid w:val="09594501"/>
    <w:rsid w:val="09E33C7D"/>
    <w:rsid w:val="0A23652E"/>
    <w:rsid w:val="0A3F20D3"/>
    <w:rsid w:val="0AFF4C34"/>
    <w:rsid w:val="0B374C7D"/>
    <w:rsid w:val="0BD86933"/>
    <w:rsid w:val="0C6D0BEA"/>
    <w:rsid w:val="0CC31C91"/>
    <w:rsid w:val="0D2B2EA1"/>
    <w:rsid w:val="0DE56999"/>
    <w:rsid w:val="0E440BB0"/>
    <w:rsid w:val="0E9222EE"/>
    <w:rsid w:val="0E963B01"/>
    <w:rsid w:val="0F022900"/>
    <w:rsid w:val="0F490256"/>
    <w:rsid w:val="0F6E2388"/>
    <w:rsid w:val="0FFC5BE6"/>
    <w:rsid w:val="101A42BE"/>
    <w:rsid w:val="10702EF0"/>
    <w:rsid w:val="107734BE"/>
    <w:rsid w:val="119C0212"/>
    <w:rsid w:val="12851EC3"/>
    <w:rsid w:val="12F31522"/>
    <w:rsid w:val="130628D8"/>
    <w:rsid w:val="130A23C8"/>
    <w:rsid w:val="13172AFA"/>
    <w:rsid w:val="134A4C10"/>
    <w:rsid w:val="135F4757"/>
    <w:rsid w:val="1395387C"/>
    <w:rsid w:val="143C12C5"/>
    <w:rsid w:val="14A52664"/>
    <w:rsid w:val="15744D1E"/>
    <w:rsid w:val="15EF6D2C"/>
    <w:rsid w:val="169E3168"/>
    <w:rsid w:val="16B72BC3"/>
    <w:rsid w:val="17013AE2"/>
    <w:rsid w:val="17457E73"/>
    <w:rsid w:val="1749228B"/>
    <w:rsid w:val="18581E27"/>
    <w:rsid w:val="18B0784C"/>
    <w:rsid w:val="19322678"/>
    <w:rsid w:val="19FE4174"/>
    <w:rsid w:val="1A367695"/>
    <w:rsid w:val="1AD02149"/>
    <w:rsid w:val="1C3A1202"/>
    <w:rsid w:val="1D5A3F4C"/>
    <w:rsid w:val="1DC1183B"/>
    <w:rsid w:val="1E185370"/>
    <w:rsid w:val="1E7511DB"/>
    <w:rsid w:val="1F52622E"/>
    <w:rsid w:val="1F613C60"/>
    <w:rsid w:val="1F8FEB1B"/>
    <w:rsid w:val="1FDE7276"/>
    <w:rsid w:val="20481D81"/>
    <w:rsid w:val="20511636"/>
    <w:rsid w:val="208F03B0"/>
    <w:rsid w:val="214E201A"/>
    <w:rsid w:val="21B25730"/>
    <w:rsid w:val="226B2757"/>
    <w:rsid w:val="226F3FF6"/>
    <w:rsid w:val="229D6DB5"/>
    <w:rsid w:val="22BD1205"/>
    <w:rsid w:val="23074EEE"/>
    <w:rsid w:val="23977CA8"/>
    <w:rsid w:val="24694406"/>
    <w:rsid w:val="24724271"/>
    <w:rsid w:val="252541B2"/>
    <w:rsid w:val="254F010E"/>
    <w:rsid w:val="2599064A"/>
    <w:rsid w:val="25E75A0F"/>
    <w:rsid w:val="268C786C"/>
    <w:rsid w:val="26CC3433"/>
    <w:rsid w:val="283C2AFE"/>
    <w:rsid w:val="299B6018"/>
    <w:rsid w:val="2AEE4FFE"/>
    <w:rsid w:val="2B0F57E0"/>
    <w:rsid w:val="2B3F0355"/>
    <w:rsid w:val="2B6D0AF6"/>
    <w:rsid w:val="2C3562B0"/>
    <w:rsid w:val="2C60493C"/>
    <w:rsid w:val="2C956D4E"/>
    <w:rsid w:val="2CD07D87"/>
    <w:rsid w:val="2E0E6DB8"/>
    <w:rsid w:val="2E292214"/>
    <w:rsid w:val="2ED55B28"/>
    <w:rsid w:val="30D977DB"/>
    <w:rsid w:val="3109415F"/>
    <w:rsid w:val="31C06F09"/>
    <w:rsid w:val="32096215"/>
    <w:rsid w:val="33EF4EB6"/>
    <w:rsid w:val="34441786"/>
    <w:rsid w:val="34B128F9"/>
    <w:rsid w:val="351A6043"/>
    <w:rsid w:val="37A4078E"/>
    <w:rsid w:val="37BED185"/>
    <w:rsid w:val="37F92DCD"/>
    <w:rsid w:val="393A4F06"/>
    <w:rsid w:val="394F0285"/>
    <w:rsid w:val="39881B95"/>
    <w:rsid w:val="399C6A91"/>
    <w:rsid w:val="39CB3DB0"/>
    <w:rsid w:val="39F13CF4"/>
    <w:rsid w:val="3A541FF7"/>
    <w:rsid w:val="3ABB1B47"/>
    <w:rsid w:val="3AC6377E"/>
    <w:rsid w:val="3AEE747A"/>
    <w:rsid w:val="3BAB1BC5"/>
    <w:rsid w:val="3C4B11D8"/>
    <w:rsid w:val="3C853C75"/>
    <w:rsid w:val="3DA7945B"/>
    <w:rsid w:val="3DDB658B"/>
    <w:rsid w:val="3F0F3DD1"/>
    <w:rsid w:val="3F1118B9"/>
    <w:rsid w:val="3F122481"/>
    <w:rsid w:val="3FAA26B9"/>
    <w:rsid w:val="406E5EF3"/>
    <w:rsid w:val="40743A72"/>
    <w:rsid w:val="40757BAA"/>
    <w:rsid w:val="42440BA3"/>
    <w:rsid w:val="42B1024D"/>
    <w:rsid w:val="43A60C9C"/>
    <w:rsid w:val="4473751E"/>
    <w:rsid w:val="44AA1444"/>
    <w:rsid w:val="46432969"/>
    <w:rsid w:val="46A61E2C"/>
    <w:rsid w:val="46F20653"/>
    <w:rsid w:val="47E36768"/>
    <w:rsid w:val="48843EED"/>
    <w:rsid w:val="48F74BC1"/>
    <w:rsid w:val="49B21849"/>
    <w:rsid w:val="4A6242BC"/>
    <w:rsid w:val="4AFB35F9"/>
    <w:rsid w:val="4B2E1865"/>
    <w:rsid w:val="4BD01778"/>
    <w:rsid w:val="4D7367E0"/>
    <w:rsid w:val="4DBA5623"/>
    <w:rsid w:val="4DDE00FE"/>
    <w:rsid w:val="4E12117A"/>
    <w:rsid w:val="4E8E6A70"/>
    <w:rsid w:val="4EB30090"/>
    <w:rsid w:val="4ED80C95"/>
    <w:rsid w:val="5371731E"/>
    <w:rsid w:val="541D74A6"/>
    <w:rsid w:val="54436F0C"/>
    <w:rsid w:val="54624483"/>
    <w:rsid w:val="5463135D"/>
    <w:rsid w:val="561D4082"/>
    <w:rsid w:val="567E247E"/>
    <w:rsid w:val="568850AA"/>
    <w:rsid w:val="56EF549E"/>
    <w:rsid w:val="571E5A7A"/>
    <w:rsid w:val="57A2498D"/>
    <w:rsid w:val="57B51669"/>
    <w:rsid w:val="581638D8"/>
    <w:rsid w:val="583354EA"/>
    <w:rsid w:val="58C26D2F"/>
    <w:rsid w:val="59FA62BF"/>
    <w:rsid w:val="5A3966BC"/>
    <w:rsid w:val="5ABA15AB"/>
    <w:rsid w:val="5B184523"/>
    <w:rsid w:val="5BDC19F5"/>
    <w:rsid w:val="5C164F06"/>
    <w:rsid w:val="5C1949F7"/>
    <w:rsid w:val="5D7962D8"/>
    <w:rsid w:val="5DA622BA"/>
    <w:rsid w:val="5DD9FE91"/>
    <w:rsid w:val="5F0E4AAA"/>
    <w:rsid w:val="5FD13846"/>
    <w:rsid w:val="5FEA6273"/>
    <w:rsid w:val="5FEF759B"/>
    <w:rsid w:val="6017749F"/>
    <w:rsid w:val="602A4C31"/>
    <w:rsid w:val="60956D42"/>
    <w:rsid w:val="628F7F8E"/>
    <w:rsid w:val="63864720"/>
    <w:rsid w:val="63AE3C76"/>
    <w:rsid w:val="6529188F"/>
    <w:rsid w:val="65546953"/>
    <w:rsid w:val="65BE7F1F"/>
    <w:rsid w:val="67002BDD"/>
    <w:rsid w:val="670A1B0C"/>
    <w:rsid w:val="672663EC"/>
    <w:rsid w:val="67890C82"/>
    <w:rsid w:val="681378D2"/>
    <w:rsid w:val="686C4292"/>
    <w:rsid w:val="68A51AEC"/>
    <w:rsid w:val="68DB72BC"/>
    <w:rsid w:val="6942558D"/>
    <w:rsid w:val="6A362FF8"/>
    <w:rsid w:val="6B026F03"/>
    <w:rsid w:val="6BAC4F3F"/>
    <w:rsid w:val="6BC847E6"/>
    <w:rsid w:val="6BD83F86"/>
    <w:rsid w:val="6BEA3CBA"/>
    <w:rsid w:val="6D9F119F"/>
    <w:rsid w:val="6DC36570"/>
    <w:rsid w:val="6EB34837"/>
    <w:rsid w:val="6F195D77"/>
    <w:rsid w:val="6F2915EB"/>
    <w:rsid w:val="6F6A1399"/>
    <w:rsid w:val="6F7C2810"/>
    <w:rsid w:val="6F9C22BC"/>
    <w:rsid w:val="6FEA072C"/>
    <w:rsid w:val="6FFF276D"/>
    <w:rsid w:val="70003AAC"/>
    <w:rsid w:val="705931BC"/>
    <w:rsid w:val="715A543E"/>
    <w:rsid w:val="717001D1"/>
    <w:rsid w:val="71FB2E16"/>
    <w:rsid w:val="729702BC"/>
    <w:rsid w:val="729A7D87"/>
    <w:rsid w:val="72B172DF"/>
    <w:rsid w:val="73C74C32"/>
    <w:rsid w:val="73D634A1"/>
    <w:rsid w:val="750B2339"/>
    <w:rsid w:val="7521074C"/>
    <w:rsid w:val="7548217D"/>
    <w:rsid w:val="75FF5CC2"/>
    <w:rsid w:val="76164B75"/>
    <w:rsid w:val="76723E6D"/>
    <w:rsid w:val="767506D8"/>
    <w:rsid w:val="76D4359C"/>
    <w:rsid w:val="77185B7F"/>
    <w:rsid w:val="771B741D"/>
    <w:rsid w:val="77626DFA"/>
    <w:rsid w:val="77E227F0"/>
    <w:rsid w:val="780A7954"/>
    <w:rsid w:val="78881E10"/>
    <w:rsid w:val="79D833A4"/>
    <w:rsid w:val="7A5223BA"/>
    <w:rsid w:val="7ABCE90D"/>
    <w:rsid w:val="7BD77DB7"/>
    <w:rsid w:val="7C025BD5"/>
    <w:rsid w:val="7C2975B0"/>
    <w:rsid w:val="7C324FED"/>
    <w:rsid w:val="7CD61CF5"/>
    <w:rsid w:val="7D72584A"/>
    <w:rsid w:val="7D75194E"/>
    <w:rsid w:val="7DD520D4"/>
    <w:rsid w:val="7E464D80"/>
    <w:rsid w:val="7FB84C8C"/>
    <w:rsid w:val="7FBF98A6"/>
    <w:rsid w:val="7FD21AC2"/>
    <w:rsid w:val="7FDA7E75"/>
    <w:rsid w:val="7FDB9791"/>
    <w:rsid w:val="9B7F60D0"/>
    <w:rsid w:val="9DCEBE5D"/>
    <w:rsid w:val="BCFB62CF"/>
    <w:rsid w:val="CE368BF7"/>
    <w:rsid w:val="D7BF543A"/>
    <w:rsid w:val="DF73B09A"/>
    <w:rsid w:val="EBABC819"/>
    <w:rsid w:val="F7FDD613"/>
    <w:rsid w:val="FABDD5F3"/>
    <w:rsid w:val="FC7FB585"/>
    <w:rsid w:val="FF0A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00" w:after="90"/>
      <w:jc w:val="center"/>
      <w:outlineLvl w:val="0"/>
    </w:pPr>
    <w:rPr>
      <w:b/>
      <w:kern w:val="44"/>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qFormat/>
    <w:uiPriority w:val="99"/>
    <w:pPr>
      <w:spacing w:line="360" w:lineRule="auto"/>
      <w:ind w:firstLine="570"/>
    </w:pPr>
    <w:rPr>
      <w:sz w:val="24"/>
    </w:rPr>
  </w:style>
  <w:style w:type="paragraph" w:styleId="5">
    <w:name w:val="envelope return"/>
    <w:basedOn w:val="1"/>
    <w:qFormat/>
    <w:uiPriority w:val="0"/>
    <w:pPr>
      <w:snapToGrid w:val="0"/>
    </w:pPr>
    <w:rPr>
      <w:rFonts w:ascii="Arial" w:hAnsi="Arial"/>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Body Text First Indent 2"/>
    <w:basedOn w:val="4"/>
    <w:qFormat/>
    <w:uiPriority w:val="99"/>
    <w:pPr>
      <w:spacing w:after="120"/>
      <w:ind w:left="200" w:leftChars="200" w:firstLine="420" w:firstLineChars="200"/>
    </w:pPr>
    <w:rPr>
      <w:sz w:val="21"/>
      <w:szCs w:val="2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paragraph" w:customStyle="1" w:styleId="15">
    <w:name w:val="null3"/>
    <w:qFormat/>
    <w:uiPriority w:val="0"/>
    <w:rPr>
      <w:rFonts w:hint="eastAsia" w:ascii="Calibri" w:hAnsi="Calibri" w:eastAsia="宋体" w:cs="Times New Roman"/>
      <w:lang w:val="en-US" w:eastAsia="zh-Hans" w:bidi="ar-SA"/>
    </w:rPr>
  </w:style>
  <w:style w:type="character" w:customStyle="1" w:styleId="16">
    <w:name w:val="NormalCharacter"/>
    <w:qFormat/>
    <w:uiPriority w:val="0"/>
  </w:style>
  <w:style w:type="paragraph" w:styleId="17">
    <w:name w:val="List Paragraph"/>
    <w:qFormat/>
    <w:uiPriority w:val="34"/>
    <w:pPr>
      <w:widowControl w:val="0"/>
      <w:ind w:firstLine="42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customStyle="1" w:styleId="18">
    <w:name w:val="Hyperlink.0"/>
    <w:qFormat/>
    <w:uiPriority w:val="0"/>
    <w:rPr>
      <w:rFonts w:hint="default" w:ascii="宋体" w:hAnsi="宋体"/>
      <w:color w:val="000000"/>
      <w:kern w:val="0"/>
      <w:u w:color="000000"/>
      <w:lang w:val="en-US"/>
    </w:rPr>
  </w:style>
  <w:style w:type="paragraph" w:customStyle="1" w:styleId="19">
    <w:name w:val="188"/>
    <w:qFormat/>
    <w:uiPriority w:val="0"/>
    <w:pPr>
      <w:ind w:firstLine="420"/>
      <w:jc w:val="both"/>
      <w:textAlignment w:val="baseline"/>
    </w:pPr>
    <w:rPr>
      <w:rFonts w:ascii="Arial Unicode MS" w:hAnsi="Arial Unicode MS" w:eastAsia="Arial Unicode MS" w:cs="Times New Roman"/>
      <w:color w:val="000000"/>
      <w:kern w:val="2"/>
      <w:sz w:val="21"/>
      <w:szCs w:val="21"/>
      <w:lang w:val="en-US" w:eastAsia="zh-CN" w:bidi="ar-SA"/>
    </w:rPr>
  </w:style>
  <w:style w:type="character" w:customStyle="1" w:styleId="20">
    <w:name w:val="font11"/>
    <w:basedOn w:val="12"/>
    <w:qFormat/>
    <w:uiPriority w:val="0"/>
    <w:rPr>
      <w:rFonts w:hint="eastAsia" w:ascii="宋体" w:hAnsi="宋体" w:eastAsia="宋体" w:cs="宋体"/>
      <w:color w:val="000000"/>
      <w:sz w:val="21"/>
      <w:szCs w:val="21"/>
      <w:u w:val="none"/>
    </w:rPr>
  </w:style>
  <w:style w:type="paragraph" w:customStyle="1" w:styleId="21">
    <w:name w:val="纯文本11"/>
    <w:basedOn w:val="1"/>
    <w:next w:val="22"/>
    <w:qFormat/>
    <w:uiPriority w:val="0"/>
    <w:rPr>
      <w:rFonts w:ascii="宋体" w:hAnsi="Courier New"/>
      <w:szCs w:val="20"/>
    </w:rPr>
  </w:style>
  <w:style w:type="paragraph" w:customStyle="1" w:styleId="22">
    <w:name w:val="Default"/>
    <w:qFormat/>
    <w:uiPriority w:val="0"/>
    <w:pPr>
      <w:widowControl w:val="0"/>
    </w:pPr>
    <w:rPr>
      <w:rFonts w:hint="default" w:ascii="仿宋" w:hAnsi="Times New Roman" w:eastAsia="仿宋" w:cs="仿宋"/>
      <w:color w:val="000000"/>
      <w:sz w:val="24"/>
      <w:szCs w:val="24"/>
      <w:lang w:val="en-US" w:eastAsia="zh-CN" w:bidi="ar-SA"/>
    </w:rPr>
  </w:style>
  <w:style w:type="character" w:customStyle="1" w:styleId="23">
    <w:name w:val="font21"/>
    <w:basedOn w:val="12"/>
    <w:qFormat/>
    <w:uiPriority w:val="0"/>
    <w:rPr>
      <w:rFonts w:hint="eastAsia" w:ascii="宋体" w:hAnsi="宋体" w:eastAsia="宋体" w:cs="宋体"/>
      <w:b/>
      <w:bCs/>
      <w:color w:val="000000"/>
      <w:sz w:val="16"/>
      <w:szCs w:val="16"/>
      <w:u w:val="none"/>
    </w:rPr>
  </w:style>
  <w:style w:type="character" w:customStyle="1" w:styleId="24">
    <w:name w:val="font31"/>
    <w:basedOn w:val="12"/>
    <w:qFormat/>
    <w:uiPriority w:val="0"/>
    <w:rPr>
      <w:rFonts w:hint="eastAsia" w:ascii="宋体" w:hAnsi="宋体" w:eastAsia="宋体" w:cs="宋体"/>
      <w:b/>
      <w:bCs/>
      <w:color w:val="000000"/>
      <w:sz w:val="16"/>
      <w:szCs w:val="16"/>
      <w:u w:val="none"/>
      <w:vertAlign w:val="super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969</Words>
  <Characters>1050</Characters>
  <Lines>1</Lines>
  <Paragraphs>1</Paragraphs>
  <TotalTime>64</TotalTime>
  <ScaleCrop>false</ScaleCrop>
  <LinksUpToDate>false</LinksUpToDate>
  <CharactersWithSpaces>1052</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2025-12-22T10:47:00Z</dcterms:created>
  <dc:creator>liudongbo</dc:creator>
  <cp:lastModifiedBy>user</cp:lastModifiedBy>
  <cp:lastPrinted>2026-03-13T00:48:00Z</cp:lastPrinted>
  <dcterms:modified xsi:type="dcterms:W3CDTF">2026-03-17T11:09:49Z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2052-12.8.2.1118</vt:lpwstr>
  </property>
  <property fmtid="{D5CDD505-2E9C-101B-9397-08002B2CF9AE}" pid="3" name="KSOTemplateDocerSaveRecord">
    <vt:lpwstr>eyJoZGlkIjoiMzIzYzQ4OGY0NGFiNzA1Yjk3YjY0MmVmY2NlMDhmMjkiLCJ1c2VySWQiOiI0NTA3MjAwMDUifQ==</vt:lpwstr>
  </property>
  <property fmtid="{D5CDD505-2E9C-101B-9397-08002B2CF9AE}" pid="4" name="ICV">
    <vt:lpwstr>06358F442A78454E93736E3D58F206D9_13</vt:lpwstr>
  </property>
</Properties>
</file>