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282F7">
      <w:pPr>
        <w:jc w:val="center"/>
      </w:pPr>
    </w:p>
    <w:p w14:paraId="5E60181D">
      <w:pPr>
        <w:jc w:val="center"/>
      </w:pPr>
    </w:p>
    <w:p w14:paraId="71391350">
      <w:pPr>
        <w:jc w:val="center"/>
      </w:pPr>
    </w:p>
    <w:p w14:paraId="5A8DA4B1">
      <w:pPr>
        <w:jc w:val="center"/>
      </w:pPr>
    </w:p>
    <w:p w14:paraId="5BF1CC52">
      <w:pPr>
        <w:jc w:val="center"/>
      </w:pPr>
    </w:p>
    <w:p w14:paraId="33F98E1D">
      <w:pPr>
        <w:jc w:val="center"/>
      </w:pPr>
    </w:p>
    <w:p w14:paraId="79A17E2B">
      <w:pPr>
        <w:jc w:val="center"/>
      </w:pPr>
    </w:p>
    <w:p w14:paraId="195D9919">
      <w:pPr>
        <w:jc w:val="center"/>
      </w:pPr>
    </w:p>
    <w:p w14:paraId="598F32B0"/>
    <w:p w14:paraId="7F4B91F1"/>
    <w:p w14:paraId="23131123">
      <w:pPr>
        <w:jc w:val="center"/>
      </w:pPr>
    </w:p>
    <w:p w14:paraId="79670A06">
      <w:pPr>
        <w:pStyle w:val="15"/>
        <w:rPr>
          <w:rFonts w:hint="eastAsia" w:ascii="宋体" w:hAnsi="宋体" w:eastAsia="宋体"/>
          <w:b/>
          <w:bCs/>
        </w:rPr>
      </w:pPr>
      <w:r>
        <w:rPr>
          <w:rFonts w:hint="eastAsia" w:ascii="宋体" w:hAnsi="宋体" w:eastAsia="宋体"/>
          <w:b/>
          <w:bCs/>
        </w:rPr>
        <w:t>上海市政务智能应用建设项目</w:t>
      </w:r>
    </w:p>
    <w:p w14:paraId="2EC7B0A4">
      <w:pPr>
        <w:pStyle w:val="15"/>
        <w:rPr>
          <w:rFonts w:hint="eastAsia" w:ascii="宋体" w:hAnsi="宋体" w:eastAsia="宋体"/>
          <w:b/>
          <w:bCs/>
        </w:rPr>
      </w:pPr>
      <w:r>
        <w:rPr>
          <w:rFonts w:hint="eastAsia" w:ascii="宋体" w:hAnsi="宋体" w:eastAsia="宋体"/>
          <w:b/>
          <w:bCs/>
        </w:rPr>
        <w:t>咨询服务采购需求</w:t>
      </w:r>
    </w:p>
    <w:p w14:paraId="18797EB1">
      <w:pPr>
        <w:jc w:val="center"/>
      </w:pPr>
    </w:p>
    <w:p w14:paraId="3586CFC3">
      <w:pPr>
        <w:jc w:val="center"/>
      </w:pPr>
    </w:p>
    <w:p w14:paraId="0F5BB0D6">
      <w:pPr>
        <w:jc w:val="center"/>
      </w:pPr>
    </w:p>
    <w:p w14:paraId="32B664B3">
      <w:pPr>
        <w:jc w:val="center"/>
      </w:pPr>
    </w:p>
    <w:p w14:paraId="1F545E0F">
      <w:pPr>
        <w:jc w:val="center"/>
      </w:pPr>
    </w:p>
    <w:p w14:paraId="1A858FA2">
      <w:pPr>
        <w:jc w:val="center"/>
      </w:pPr>
    </w:p>
    <w:p w14:paraId="2F97E675">
      <w:pPr>
        <w:jc w:val="center"/>
      </w:pPr>
    </w:p>
    <w:p w14:paraId="10EA34E0">
      <w:pPr>
        <w:jc w:val="center"/>
      </w:pPr>
    </w:p>
    <w:p w14:paraId="582F6447">
      <w:pPr>
        <w:jc w:val="center"/>
      </w:pPr>
    </w:p>
    <w:p w14:paraId="61B6BB3F"/>
    <w:p w14:paraId="6999C5A6"/>
    <w:p w14:paraId="2DAF6C19">
      <w:r>
        <w:br w:type="page"/>
      </w:r>
    </w:p>
    <w:p w14:paraId="16EC9F0B">
      <w:pPr>
        <w:pStyle w:val="3"/>
        <w:rPr>
          <w:rFonts w:hint="eastAsia"/>
        </w:rPr>
      </w:pPr>
      <w:r>
        <w:rPr>
          <w:rFonts w:hint="eastAsia"/>
        </w:rPr>
        <w:t>一、项目概述</w:t>
      </w:r>
    </w:p>
    <w:p w14:paraId="536B2C09">
      <w:pPr>
        <w:ind w:firstLine="480" w:firstLineChars="200"/>
      </w:pPr>
      <w:r>
        <w:rPr>
          <w:rFonts w:hint="eastAsia"/>
        </w:rPr>
        <w:t>项目背景&amp;现状：近两年，人工智能在党政领域加速渗透，为政府数字化治理提供了更多的变革空间。上海市委、市政府和相关领导高度重视人工智能产业发展，持续出台《上海市促进人工智能产业发展条例》、《上海市推动人工智能大模型创新发展若干措施（2023—2025年）》、《关于人工智能“模塑申城”的实施方案》等一系列政策，助力大模型突破与竞争力提升。</w:t>
      </w:r>
    </w:p>
    <w:p w14:paraId="51852E23">
      <w:pPr>
        <w:ind w:firstLine="480" w:firstLineChars="200"/>
      </w:pPr>
      <w:r>
        <w:rPr>
          <w:rFonts w:hint="eastAsia"/>
        </w:rPr>
        <w:t>当前，上海市已筹建市级政务大模型底座（MaaS平台），初步纳管了主流模型、算力资源，为政务智能应用开发奠定了核心技术基座。结合政府履职数字化、智能化水平提升的目标要求，上海市政务智能应用建设项目依托全市统一的政务大模型底座集约化建设一批共性智能体和共性知识库，推动高频政务场景智能应用落地。同时建设智能体驾驶舱作为提供智能体及知识库优化的能力支撑平台，提升政务服务效率与响应速度。项目将MaaS平台优势转化为工作人员可感知的政务效能，既是顺应数字化转型趋势、对标先进补齐短板的必然选择，更是夯实政府履职智能化支撑、实现跨越式发展的关键举措。</w:t>
      </w:r>
    </w:p>
    <w:p w14:paraId="32430327">
      <w:pPr>
        <w:ind w:firstLine="480" w:firstLineChars="200"/>
      </w:pPr>
      <w:r>
        <w:rPr>
          <w:rFonts w:hint="eastAsia"/>
        </w:rPr>
        <w:t>为此，上海市大数据中心从业务需求出发，计划对</w:t>
      </w:r>
      <w:r>
        <w:t>上海市政务智能应用建设项目</w:t>
      </w:r>
      <w:r>
        <w:rPr>
          <w:rFonts w:hint="eastAsia"/>
        </w:rPr>
        <w:t>进行</w:t>
      </w:r>
      <w:r>
        <w:t>第三方咨询服务采购</w:t>
      </w:r>
      <w:r>
        <w:rPr>
          <w:rFonts w:hint="eastAsia"/>
        </w:rPr>
        <w:t>，旨在确定一家咨询公司承担</w:t>
      </w:r>
      <w:r>
        <w:t>上海市政务智能应用建设项目</w:t>
      </w:r>
      <w:r>
        <w:rPr>
          <w:rFonts w:hint="eastAsia"/>
        </w:rPr>
        <w:t>咨询服务工作。</w:t>
      </w:r>
    </w:p>
    <w:p w14:paraId="4BDC0BB4">
      <w:pPr>
        <w:ind w:firstLine="480" w:firstLineChars="200"/>
      </w:pPr>
      <w:r>
        <w:rPr>
          <w:rFonts w:hint="eastAsia"/>
        </w:rPr>
        <w:t>服务期限：</w:t>
      </w:r>
      <w:r>
        <w:t>自合同签订之日起</w:t>
      </w:r>
      <w:r>
        <w:rPr>
          <w:rFonts w:hint="eastAsia"/>
        </w:rPr>
        <w:t>至上海市政务智能应用建设项目验收结束</w:t>
      </w:r>
      <w:r>
        <w:t>。</w:t>
      </w:r>
    </w:p>
    <w:p w14:paraId="3239F105">
      <w:pPr>
        <w:ind w:firstLine="480" w:firstLineChars="200"/>
      </w:pPr>
      <w:r>
        <w:rPr>
          <w:rFonts w:hint="eastAsia"/>
        </w:rPr>
        <w:t>预算金额：1,620,000.00元</w:t>
      </w:r>
    </w:p>
    <w:p w14:paraId="79406C50">
      <w:pPr>
        <w:ind w:firstLine="480" w:firstLineChars="200"/>
      </w:pPr>
      <w:r>
        <w:rPr>
          <w:rFonts w:hint="eastAsia"/>
        </w:rPr>
        <w:t>采购金额（最高限价）：1,620,000.00元</w:t>
      </w:r>
    </w:p>
    <w:p w14:paraId="37882C87">
      <w:pPr>
        <w:ind w:firstLine="480" w:firstLineChars="200"/>
      </w:pPr>
      <w:r>
        <w:rPr>
          <w:rFonts w:hint="eastAsia"/>
        </w:rPr>
        <w:t>组织形式：集中采购</w:t>
      </w:r>
    </w:p>
    <w:p w14:paraId="3687A316">
      <w:pPr>
        <w:ind w:firstLine="480" w:firstLineChars="200"/>
      </w:pPr>
      <w:r>
        <w:rPr>
          <w:rFonts w:hint="eastAsia"/>
        </w:rPr>
        <w:t>采购形式：竞争性磋商</w:t>
      </w:r>
    </w:p>
    <w:p w14:paraId="20A0A063">
      <w:pPr>
        <w:pStyle w:val="3"/>
        <w:rPr>
          <w:rFonts w:hint="eastAsia"/>
        </w:rPr>
      </w:pPr>
      <w:r>
        <w:rPr>
          <w:rFonts w:hint="eastAsia"/>
        </w:rPr>
        <w:t>二、项目服务范围、内容及目标要求</w:t>
      </w:r>
    </w:p>
    <w:p w14:paraId="32D229C1">
      <w:pPr>
        <w:ind w:firstLine="480" w:firstLineChars="200"/>
      </w:pPr>
      <w:r>
        <w:rPr>
          <w:rFonts w:hint="eastAsia"/>
        </w:rPr>
        <w:t>（一）项目服务范围：</w:t>
      </w:r>
    </w:p>
    <w:p w14:paraId="35B2DAC3">
      <w:pPr>
        <w:ind w:firstLine="480" w:firstLineChars="200"/>
      </w:pPr>
      <w:r>
        <w:rPr>
          <w:rFonts w:hint="eastAsia"/>
        </w:rPr>
        <w:t>项目针对以下建设内容展开咨询服务</w:t>
      </w:r>
    </w:p>
    <w:p w14:paraId="5F95678B">
      <w:pPr>
        <w:ind w:firstLine="480" w:firstLineChars="200"/>
      </w:pPr>
      <w:r>
        <w:rPr>
          <w:rFonts w:hint="eastAsia"/>
        </w:rPr>
        <w:t>1.智能体驾驶舱：</w:t>
      </w:r>
    </w:p>
    <w:p w14:paraId="2D3DB736">
      <w:pPr>
        <w:ind w:firstLine="480" w:firstLineChars="200"/>
      </w:pPr>
      <w:r>
        <w:t>智能体驾驶舱建设内容包括：驾驶舱工程、模型学校、智能体工作空间、Agent4Agent、上下文工程、可观测性体系6大功能模块。</w:t>
      </w:r>
    </w:p>
    <w:p w14:paraId="2326F9A4">
      <w:pPr>
        <w:ind w:firstLine="480" w:firstLineChars="200"/>
      </w:pPr>
      <w:r>
        <w:rPr>
          <w:rFonts w:hint="eastAsia"/>
        </w:rPr>
        <w:t>2.智能体：</w:t>
      </w:r>
    </w:p>
    <w:p w14:paraId="5900A131">
      <w:pPr>
        <w:ind w:firstLine="480" w:firstLineChars="200"/>
      </w:pPr>
      <w:r>
        <w:t>智能体建设内容包括：共性智能体、个性智能体共性扩展、共性智能体独立构建，共3个分类。</w:t>
      </w:r>
    </w:p>
    <w:p w14:paraId="59768822">
      <w:pPr>
        <w:ind w:firstLine="480" w:firstLineChars="200"/>
      </w:pPr>
      <w:r>
        <w:rPr>
          <w:rFonts w:hint="eastAsia"/>
        </w:rPr>
        <w:t>（1）共性智能体：</w:t>
      </w:r>
    </w:p>
    <w:p w14:paraId="47B83294">
      <w:pPr>
        <w:ind w:firstLine="480" w:firstLineChars="200"/>
      </w:pPr>
      <w:r>
        <w:t>共性智能体建设内容包括：公文类文书生成、公文类文书校核、事务类文书生成、事务类文书校核、辅助推荐、文件比对、文件解析、结构化数据提取、公文审批、材料受理、智能问答、资料检索、智能问数、分析报告、政策解读、政策精准申兑，共16个分类</w:t>
      </w:r>
    </w:p>
    <w:p w14:paraId="2643BB95">
      <w:pPr>
        <w:ind w:firstLine="480" w:firstLineChars="200"/>
      </w:pPr>
      <w:r>
        <w:rPr>
          <w:rFonts w:hint="eastAsia"/>
        </w:rPr>
        <w:t>（2）</w:t>
      </w:r>
      <w:r>
        <w:t>个性智能体共性扩展</w:t>
      </w:r>
      <w:r>
        <w:rPr>
          <w:rFonts w:hint="eastAsia"/>
        </w:rPr>
        <w:t>：</w:t>
      </w:r>
    </w:p>
    <w:p w14:paraId="4FCFC041">
      <w:pPr>
        <w:ind w:firstLine="480" w:firstLineChars="200"/>
      </w:pPr>
      <w:r>
        <w:t>个性智能体共性扩展建设内容包括：城市运行类事件综述智能应用、城市运行类事件资料检索、科技类智能问数、城市运行类分析报告、科技类分析报告，共5个分类</w:t>
      </w:r>
      <w:r>
        <w:rPr>
          <w:rFonts w:hint="eastAsia"/>
        </w:rPr>
        <w:t>。</w:t>
      </w:r>
    </w:p>
    <w:p w14:paraId="693B36D0">
      <w:pPr>
        <w:ind w:firstLine="480" w:firstLineChars="200"/>
      </w:pPr>
      <w:r>
        <w:rPr>
          <w:rFonts w:hint="eastAsia"/>
        </w:rPr>
        <w:t>（3）</w:t>
      </w:r>
      <w:r>
        <w:t>共性智能体独立构建</w:t>
      </w:r>
    </w:p>
    <w:p w14:paraId="3FA8400C">
      <w:pPr>
        <w:ind w:firstLine="480" w:firstLineChars="200"/>
      </w:pPr>
      <w:r>
        <w:t>共性智能体独立构建建设内容为城市运行类智能体独立构建</w:t>
      </w:r>
      <w:r>
        <w:rPr>
          <w:rFonts w:hint="eastAsia"/>
        </w:rPr>
        <w:t>。</w:t>
      </w:r>
    </w:p>
    <w:p w14:paraId="5F1703B5">
      <w:pPr>
        <w:ind w:firstLine="480" w:firstLineChars="200"/>
      </w:pPr>
      <w:r>
        <w:rPr>
          <w:rFonts w:hint="eastAsia"/>
        </w:rPr>
        <w:t>3.知识库：</w:t>
      </w:r>
    </w:p>
    <w:p w14:paraId="18BF0B10">
      <w:pPr>
        <w:ind w:firstLine="480" w:firstLineChars="200"/>
      </w:pPr>
      <w:r>
        <w:t>知识库建设内容包括：共性知识库、个性知识库共性扩展，共2个分类</w:t>
      </w:r>
      <w:r>
        <w:rPr>
          <w:rFonts w:hint="eastAsia"/>
        </w:rPr>
        <w:t>。</w:t>
      </w:r>
    </w:p>
    <w:p w14:paraId="50BE50C9">
      <w:pPr>
        <w:ind w:firstLine="480" w:firstLineChars="200"/>
      </w:pPr>
      <w:r>
        <w:rPr>
          <w:rFonts w:hint="eastAsia"/>
        </w:rPr>
        <w:t>（1）共性知识库：</w:t>
      </w:r>
    </w:p>
    <w:p w14:paraId="0EE27279">
      <w:pPr>
        <w:ind w:firstLine="480" w:firstLineChars="200"/>
      </w:pPr>
      <w:r>
        <w:t>共性知识库建设内容包括：电子公文库、政策文件库、法律法规库、工作指南库、标准规范库、政务公开库、案例资源库、工作资料库，共8个分类</w:t>
      </w:r>
      <w:r>
        <w:rPr>
          <w:rFonts w:hint="eastAsia"/>
        </w:rPr>
        <w:t>。</w:t>
      </w:r>
    </w:p>
    <w:p w14:paraId="7129C4C1">
      <w:pPr>
        <w:ind w:firstLine="480" w:firstLineChars="200"/>
      </w:pPr>
      <w:r>
        <w:rPr>
          <w:rFonts w:hint="eastAsia"/>
        </w:rPr>
        <w:t>（2）</w:t>
      </w:r>
      <w:r>
        <w:t>个性知识库共性扩展</w:t>
      </w:r>
      <w:r>
        <w:rPr>
          <w:rFonts w:hint="eastAsia"/>
        </w:rPr>
        <w:t>：</w:t>
      </w:r>
    </w:p>
    <w:p w14:paraId="214CC07A">
      <w:pPr>
        <w:ind w:firstLine="480" w:firstLineChars="200"/>
      </w:pPr>
      <w:r>
        <w:t>个性知识库共性扩展建设内容包括：城市运行类政策文件加工、规划资源类法律法规加工、城市运行类工作指南加工、城市运行类标准规范加工、城市运行类案例文件加工、科技类工作资料加工、城市运行类工作资料加工，共7个分类</w:t>
      </w:r>
      <w:r>
        <w:rPr>
          <w:rFonts w:hint="eastAsia"/>
        </w:rPr>
        <w:t>。</w:t>
      </w:r>
    </w:p>
    <w:p w14:paraId="10581C75">
      <w:pPr>
        <w:ind w:firstLine="480" w:firstLineChars="200"/>
      </w:pPr>
      <w:r>
        <w:rPr>
          <w:rFonts w:hint="eastAsia"/>
        </w:rPr>
        <w:t>4.密码应用建设：</w:t>
      </w:r>
    </w:p>
    <w:p w14:paraId="316D9FF5">
      <w:pPr>
        <w:ind w:firstLine="480" w:firstLineChars="200"/>
      </w:pPr>
      <w:r>
        <w:rPr>
          <w:rFonts w:hint="eastAsia"/>
        </w:rPr>
        <w:t>密码应用建设共计8个功能点：用户身份认证机制模块、业务重要数据安全传输模块、服务器虚拟机设备日志/访问控制信息完整性模块、重要可执行程序签名验签模块、用户访问控制信息签名验签模块、应用系统重要数据加解密模块、应用系统重要数据签名验签模块、数据传输不可否认性模块。</w:t>
      </w:r>
    </w:p>
    <w:p w14:paraId="1ACF6BDD">
      <w:pPr>
        <w:ind w:firstLine="480" w:firstLineChars="200"/>
      </w:pPr>
      <w:r>
        <w:rPr>
          <w:rFonts w:hint="eastAsia"/>
        </w:rPr>
        <w:t>（二）项目服务内容：</w:t>
      </w:r>
    </w:p>
    <w:p w14:paraId="56B7901F">
      <w:pPr>
        <w:ind w:firstLine="480" w:firstLineChars="200"/>
      </w:pPr>
      <w:r>
        <w:rPr>
          <w:rFonts w:hint="eastAsia"/>
        </w:rPr>
        <w:t>本次服务主要涵盖上海市政务智能应用建设项目的方案设计及相关咨询服务工作，包括需求调研、方案设计、相关建议等双方商定的服务内容。</w:t>
      </w:r>
    </w:p>
    <w:p w14:paraId="19FCBF5E">
      <w:pPr>
        <w:ind w:firstLine="480" w:firstLineChars="200"/>
      </w:pPr>
      <w:r>
        <w:rPr>
          <w:rFonts w:hint="eastAsia"/>
        </w:rPr>
        <w:t>根据项目批复，编制项目建设方案设计报告，包括但不限于：</w:t>
      </w:r>
    </w:p>
    <w:p w14:paraId="3AF96680">
      <w:pPr>
        <w:ind w:firstLine="480" w:firstLineChars="200"/>
      </w:pPr>
      <w:r>
        <w:rPr>
          <w:rFonts w:hint="eastAsia"/>
        </w:rPr>
        <w:t>1、开展调研工作：</w:t>
      </w:r>
    </w:p>
    <w:p w14:paraId="0CDE0FC0">
      <w:pPr>
        <w:ind w:firstLine="480" w:firstLineChars="200"/>
      </w:pPr>
      <w:r>
        <w:rPr>
          <w:rFonts w:hint="eastAsia"/>
        </w:rPr>
        <w:t xml:space="preserve">（1）开展业务需求调研，明确各需求部门关于上海市政务智能应用建设的深度业务需求，编制《业务需求说明》； </w:t>
      </w:r>
    </w:p>
    <w:p w14:paraId="5C66EBCD">
      <w:pPr>
        <w:ind w:firstLine="480" w:firstLineChars="200"/>
      </w:pPr>
      <w:r>
        <w:rPr>
          <w:rFonts w:hint="eastAsia"/>
        </w:rPr>
        <w:t>（2）基于市场调研情况，提供软硬件价格变更警示建议，支持完成软硬件配置与采购概算变更。</w:t>
      </w:r>
    </w:p>
    <w:p w14:paraId="73711174">
      <w:pPr>
        <w:ind w:firstLine="480" w:firstLineChars="200"/>
      </w:pPr>
      <w:r>
        <w:rPr>
          <w:rFonts w:hint="eastAsia"/>
        </w:rPr>
        <w:t>2、开展项目概要设计，基于项目批复进一步细化设计项目技术架构及模块功能，形成《项目概要设计方案》，为项目落地实施开发提供技术支撑。相关设计内容立足整体性、前瞻性、兼容性，适配现有技术框架，保障系统可扩展、可迭代、可对接。</w:t>
      </w:r>
    </w:p>
    <w:p w14:paraId="3651348A">
      <w:pPr>
        <w:ind w:firstLine="480" w:firstLineChars="200"/>
      </w:pPr>
      <w:r>
        <w:rPr>
          <w:rFonts w:hint="eastAsia"/>
        </w:rPr>
        <w:t>3</w:t>
      </w:r>
      <w:r>
        <w:t>、从项目全局视角，协助采购人编制《项目总体实施方案》，明确项目建设总体思路、建设原则、建设目标、建设内容、实施阶段划分、总体进度规划、实施保障体系、职责分工等内容，为后续项目实施提供基础性保障。</w:t>
      </w:r>
    </w:p>
    <w:p w14:paraId="0A08E152">
      <w:pPr>
        <w:ind w:firstLine="480" w:firstLineChars="200"/>
      </w:pPr>
      <w:r>
        <w:rPr>
          <w:rFonts w:hint="eastAsia"/>
        </w:rPr>
        <w:t>4、提供全流程服务方案咨询服务：</w:t>
      </w:r>
    </w:p>
    <w:p w14:paraId="6E1C6867">
      <w:pPr>
        <w:ind w:firstLine="480" w:firstLineChars="200"/>
      </w:pPr>
      <w:r>
        <w:rPr>
          <w:rFonts w:hint="eastAsia"/>
        </w:rPr>
        <w:t>（1）现状评估与技术预测服务：</w:t>
      </w:r>
      <w:r>
        <w:t>咨询单位需评估上海市政务智能应用建设的现状基础和技术条件，前瞻研判政务大模型、智能体、知识库等领域的技术发展趋势，为项目方案设计和建设决策提供现状依据和趋势参考。</w:t>
      </w:r>
    </w:p>
    <w:p w14:paraId="37A432B3">
      <w:pPr>
        <w:ind w:firstLine="480" w:firstLineChars="200"/>
      </w:pPr>
      <w:r>
        <w:rPr>
          <w:rFonts w:hint="eastAsia"/>
        </w:rPr>
        <w:t>（2）需求分析服务：</w:t>
      </w:r>
      <w:r>
        <w:t>咨询单位需识别和梳理</w:t>
      </w:r>
      <w:r>
        <w:rPr>
          <w:rFonts w:hint="eastAsia"/>
        </w:rPr>
        <w:t>相关部门</w:t>
      </w:r>
      <w:r>
        <w:t>的业务需求和技术需求，形成结构化</w:t>
      </w:r>
      <w:r>
        <w:rPr>
          <w:rFonts w:hint="eastAsia"/>
        </w:rPr>
        <w:t>的</w:t>
      </w:r>
      <w:r>
        <w:t>需求体系，为概要设计和</w:t>
      </w:r>
      <w:r>
        <w:rPr>
          <w:rFonts w:hint="eastAsia"/>
        </w:rPr>
        <w:t>总体实施方案</w:t>
      </w:r>
      <w:r>
        <w:t>编制提供准确的需求输入。</w:t>
      </w:r>
    </w:p>
    <w:p w14:paraId="3008F788">
      <w:pPr>
        <w:ind w:firstLine="480" w:firstLineChars="200"/>
      </w:pPr>
      <w:r>
        <w:rPr>
          <w:rFonts w:hint="eastAsia"/>
        </w:rPr>
        <w:t>（3）创新与可持续的方案设计服务：</w:t>
      </w:r>
      <w:r>
        <w:t>咨询单位需围绕"1+1+16+X"总体架构提供兼具创新性和可持续性的方案设计服务，</w:t>
      </w:r>
      <w:r>
        <w:rPr>
          <w:rFonts w:hint="eastAsia"/>
        </w:rPr>
        <w:t>在</w:t>
      </w:r>
      <w:r>
        <w:t>《项目概要设计方案》编制</w:t>
      </w:r>
      <w:r>
        <w:rPr>
          <w:rFonts w:hint="eastAsia"/>
        </w:rPr>
        <w:t>中</w:t>
      </w:r>
      <w:r>
        <w:t>实现创新驱动与可持续保障的有机统一</w:t>
      </w:r>
    </w:p>
    <w:p w14:paraId="630CDB0B">
      <w:pPr>
        <w:ind w:firstLine="480" w:firstLineChars="200"/>
      </w:pPr>
      <w:r>
        <w:rPr>
          <w:rFonts w:hint="eastAsia"/>
        </w:rPr>
        <w:t>（4）咨询设计方案、建设方案编制服务：</w:t>
      </w:r>
      <w:r>
        <w:t>咨询单位需独立编制《项目概要设计方案》，并协助采购人及建设方编制《项目总体实施方案》，提供技术支撑、方案审核和编制指导，为项目落地提供完整技术方案和实施路线。</w:t>
      </w:r>
    </w:p>
    <w:p w14:paraId="7F3C2F80">
      <w:pPr>
        <w:ind w:firstLine="480" w:firstLineChars="200"/>
      </w:pPr>
      <w:r>
        <w:rPr>
          <w:rFonts w:hint="eastAsia"/>
        </w:rPr>
        <w:t>（5）采购技术支持服务：</w:t>
      </w:r>
      <w:r>
        <w:t>咨询单位需对采购内容与合同技术条款进行系统性比对，确保覆盖概要设计全部要求，并为建设期间分包变更和补充采购提供技术评审与决策支撑。</w:t>
      </w:r>
    </w:p>
    <w:p w14:paraId="42F74107">
      <w:pPr>
        <w:ind w:firstLine="480" w:firstLineChars="200"/>
      </w:pPr>
      <w:r>
        <w:rPr>
          <w:rFonts w:hint="eastAsia"/>
        </w:rPr>
        <w:t>（6）实施过程技术指导服务：</w:t>
      </w:r>
      <w:r>
        <w:t>咨询单位需在</w:t>
      </w:r>
      <w:r>
        <w:rPr>
          <w:rFonts w:hint="eastAsia"/>
        </w:rPr>
        <w:t>项目建设实施过程中对项目进行必要的</w:t>
      </w:r>
      <w:r>
        <w:t>提供技术指导</w:t>
      </w:r>
      <w:r>
        <w:rPr>
          <w:rFonts w:hint="eastAsia"/>
        </w:rPr>
        <w:t>，为项目的可行性与落地性提供技术支持</w:t>
      </w:r>
      <w:r>
        <w:t>。</w:t>
      </w:r>
    </w:p>
    <w:p w14:paraId="5FD16677">
      <w:pPr>
        <w:ind w:firstLine="480" w:firstLineChars="200"/>
      </w:pPr>
      <w:r>
        <w:rPr>
          <w:rFonts w:hint="eastAsia"/>
        </w:rPr>
        <w:t>（7）验收组织与交付文档管理服务：</w:t>
      </w:r>
      <w:r>
        <w:t>咨询单位需</w:t>
      </w:r>
      <w:r>
        <w:rPr>
          <w:rFonts w:hint="eastAsia"/>
        </w:rPr>
        <w:t>在项目规定时间内完成</w:t>
      </w:r>
      <w:r>
        <w:t>核心成果物的验收闭环，并协助审核建设方验收文档、管理咨询成果归档移交。</w:t>
      </w:r>
    </w:p>
    <w:p w14:paraId="425987DB">
      <w:pPr>
        <w:ind w:firstLine="480" w:firstLineChars="200"/>
      </w:pPr>
      <w:r>
        <w:rPr>
          <w:rFonts w:hint="eastAsia"/>
        </w:rPr>
        <w:t>5、如发生项目变更情况，协助采购人编制项目变更方案，对项目变更提出相关应对策略。</w:t>
      </w:r>
    </w:p>
    <w:p w14:paraId="76A2ECE3">
      <w:pPr>
        <w:ind w:firstLine="480" w:firstLineChars="200"/>
      </w:pPr>
      <w:r>
        <w:rPr>
          <w:rFonts w:hint="eastAsia"/>
        </w:rPr>
        <w:t>6、方案迭代优化与评审支撑。根据采购人要求，对项目方案设计报告进行迭代优化，直至咨询成果物通过采购人书面确认，满足评审、归档、审计要求。</w:t>
      </w:r>
    </w:p>
    <w:p w14:paraId="6EB7CCF8">
      <w:pPr>
        <w:ind w:firstLine="480" w:firstLineChars="200"/>
      </w:pPr>
      <w:r>
        <w:rPr>
          <w:rFonts w:hint="eastAsia"/>
        </w:rPr>
        <w:t>（二）项目目标要求</w:t>
      </w:r>
    </w:p>
    <w:p w14:paraId="2A592695">
      <w:pPr>
        <w:ind w:firstLine="480" w:firstLineChars="200"/>
      </w:pPr>
      <w:r>
        <w:rPr>
          <w:rFonts w:hint="eastAsia"/>
        </w:rPr>
        <w:t>通过引入第三方咨询服务，围绕上海市政务智能应用建设项目的前期论证、需求分析、方案设计、投资估算等环节，支撑项目：</w:t>
      </w:r>
    </w:p>
    <w:p w14:paraId="1655FD14">
      <w:pPr>
        <w:ind w:firstLine="480" w:firstLineChars="200"/>
      </w:pPr>
      <w:r>
        <w:rPr>
          <w:rFonts w:hint="eastAsia"/>
        </w:rPr>
        <w:t>1、符合上海市委、市政府关于人工智能“模塑申城”及大模型发展的战略部署；</w:t>
      </w:r>
    </w:p>
    <w:p w14:paraId="0B4B0892">
      <w:pPr>
        <w:ind w:firstLine="480" w:firstLineChars="200"/>
      </w:pPr>
      <w:r>
        <w:rPr>
          <w:rFonts w:hint="eastAsia"/>
        </w:rPr>
        <w:t>2、依托市级政务大模型底座（MaaS平台）实现共性能力集约复用，避免重复建设；</w:t>
      </w:r>
    </w:p>
    <w:p w14:paraId="52CA66AF">
      <w:pPr>
        <w:ind w:firstLine="480" w:firstLineChars="200"/>
      </w:pPr>
      <w:r>
        <w:rPr>
          <w:rFonts w:hint="eastAsia"/>
        </w:rPr>
        <w:t>3、支撑高频政务场景智能应用和智能体驾驶舱落地，显著提升政府履职数字化、智能化水平。</w:t>
      </w:r>
    </w:p>
    <w:p w14:paraId="3F96ED96"/>
    <w:p w14:paraId="6A3E53B7">
      <w:pPr>
        <w:pStyle w:val="3"/>
        <w:rPr>
          <w:rFonts w:hint="eastAsia"/>
        </w:rPr>
      </w:pPr>
      <w:r>
        <w:rPr>
          <w:rFonts w:hint="eastAsia"/>
        </w:rPr>
        <w:t>三、项目服务与管理要求</w:t>
      </w:r>
    </w:p>
    <w:p w14:paraId="741E75DC">
      <w:pPr>
        <w:ind w:firstLine="480" w:firstLineChars="200"/>
      </w:pPr>
      <w:r>
        <w:rPr>
          <w:rFonts w:hint="eastAsia"/>
        </w:rPr>
        <w:t>1、本项目供应商成交后应按照本项目采购需求所要求的服务范围、内容及目标要求提供服务。</w:t>
      </w:r>
    </w:p>
    <w:p w14:paraId="4F9C65B8">
      <w:pPr>
        <w:ind w:firstLine="480" w:firstLineChars="200"/>
      </w:pPr>
      <w:r>
        <w:rPr>
          <w:rFonts w:hint="eastAsia"/>
        </w:rPr>
        <w:t>2、供应商应具备上海市或有关行业管理部门规定的在上海市场实施本项目咨询服务所需的资质（包括国家和本市各类专业工种持证上岗要求）、资格和一切手续（如有的话），由此引起的所有有关事宜及费用由供应商自行负责。</w:t>
      </w:r>
    </w:p>
    <w:p w14:paraId="3DF713CB">
      <w:pPr>
        <w:ind w:firstLine="480" w:firstLineChars="200"/>
      </w:pPr>
      <w:r>
        <w:rPr>
          <w:rFonts w:hint="eastAsia"/>
        </w:rPr>
        <w:t>3、服务管理</w:t>
      </w:r>
    </w:p>
    <w:p w14:paraId="4ABF2551">
      <w:pPr>
        <w:ind w:firstLine="480" w:firstLineChars="200"/>
      </w:pPr>
      <w:r>
        <w:rPr>
          <w:rFonts w:hint="eastAsia"/>
        </w:rPr>
        <w:t>（1）在项目服务实施期间，成交供应商应严格执行国家、地方、行业各项有关本项目业务管理和安全作业的法律、法规和制度，积极主动加强和服务业务及安全等有关的管理工作，并按规定承担相应的费用。成交供应商因违反规定等原因造成的一切损失和责任由成交供应商承担。</w:t>
      </w:r>
    </w:p>
    <w:p w14:paraId="220774B6">
      <w:pPr>
        <w:ind w:firstLine="480" w:firstLineChars="200"/>
      </w:pPr>
      <w:r>
        <w:rPr>
          <w:rFonts w:hint="eastAsia"/>
        </w:rPr>
        <w:t>（2）项目负责人应为成交供应商在职人员，具有类似本项目的咨询服务经验，项目组人员的数量应足够满足本项目服务需要，具有良好的职业道德和严谨的工作作风。</w:t>
      </w:r>
    </w:p>
    <w:p w14:paraId="13152D42">
      <w:pPr>
        <w:ind w:firstLine="480" w:firstLineChars="200"/>
      </w:pPr>
      <w:r>
        <w:rPr>
          <w:rFonts w:hint="eastAsia"/>
        </w:rPr>
        <w:t>（3）成交供应商在组织项目服务实施期间，应按采购人实际服务需求落实所对应提供的服务工作，成交供应商在项目服务实施期间应做好相关管理记录，保证满足采购人服务需求。</w:t>
      </w:r>
    </w:p>
    <w:p w14:paraId="2E75E6DD">
      <w:pPr>
        <w:ind w:firstLine="480" w:firstLineChars="200"/>
      </w:pPr>
      <w:r>
        <w:rPr>
          <w:rFonts w:hint="eastAsia"/>
        </w:rPr>
        <w:t>（4）经采购人确认的项目负责人和项目组人员及数量，未经采购人书面批准不得随意调换或撤离，若自行更换或撤离，按照合同违约处理。</w:t>
      </w:r>
    </w:p>
    <w:p w14:paraId="7C26745D">
      <w:pPr>
        <w:ind w:firstLine="480" w:firstLineChars="200"/>
      </w:pPr>
      <w:r>
        <w:rPr>
          <w:rFonts w:hint="eastAsia"/>
        </w:rPr>
        <w:t>（5）各供应商在响应文件中要结合本项目的特点和采购人上述的具体要求制定相应的服务管理措施，同时应适当考虑购买自己员工和第三方责任保险，并在报价措施费中列支必须的费用清单。</w:t>
      </w:r>
    </w:p>
    <w:p w14:paraId="4B833D23">
      <w:pPr>
        <w:ind w:firstLine="480" w:firstLineChars="200"/>
      </w:pPr>
      <w:r>
        <w:rPr>
          <w:rFonts w:hint="eastAsia"/>
        </w:rPr>
        <w:t>4、如本项目涉及商品包装和快递包装的，除采购需求另有要求外，成交供应商所提供的货物包装应当参照财政部办公厅、生态环境部办公厅以及国家邮政局办公室联合发布的《商品包装政府采购需求标准（试行）》《快递包装政府采购需求标准（试行）》执行。</w:t>
      </w:r>
    </w:p>
    <w:p w14:paraId="5BE2BF90"/>
    <w:p w14:paraId="69AD14F9">
      <w:pPr>
        <w:pStyle w:val="3"/>
        <w:rPr>
          <w:rFonts w:hint="eastAsia"/>
        </w:rPr>
      </w:pPr>
      <w:r>
        <w:rPr>
          <w:rFonts w:hint="eastAsia"/>
        </w:rPr>
        <w:t>四、服务期限要求</w:t>
      </w:r>
    </w:p>
    <w:p w14:paraId="5B94772E">
      <w:pPr>
        <w:ind w:firstLine="480" w:firstLineChars="200"/>
      </w:pPr>
      <w:r>
        <w:t>自合同签订之日起</w:t>
      </w:r>
      <w:r>
        <w:rPr>
          <w:rFonts w:hint="eastAsia"/>
        </w:rPr>
        <w:t>至上海市政务智能应用建设项目验收结束</w:t>
      </w:r>
      <w:r>
        <w:t>。</w:t>
      </w:r>
    </w:p>
    <w:p w14:paraId="558DCE2F"/>
    <w:p w14:paraId="0A21D6B1">
      <w:pPr>
        <w:pStyle w:val="3"/>
        <w:rPr>
          <w:rFonts w:hint="eastAsia"/>
        </w:rPr>
      </w:pPr>
      <w:r>
        <w:rPr>
          <w:rFonts w:hint="eastAsia"/>
        </w:rPr>
        <w:t>五、服务标准与验收要求</w:t>
      </w:r>
    </w:p>
    <w:p w14:paraId="536BCB7D">
      <w:pPr>
        <w:ind w:firstLine="480" w:firstLineChars="200"/>
      </w:pPr>
      <w:r>
        <w:rPr>
          <w:rFonts w:hint="eastAsia"/>
        </w:rPr>
        <w:t>1、供应商提供的服务应符合国家、地方及相关政府管理部门和行业与本项目有关的各项服务标准、规范、规章要求，并满足采购人实际需求，标准、规范等不一致的，以要求高的为准。</w:t>
      </w:r>
    </w:p>
    <w:p w14:paraId="74FC3247">
      <w:pPr>
        <w:ind w:firstLine="480" w:firstLineChars="200"/>
      </w:pPr>
      <w:r>
        <w:rPr>
          <w:rFonts w:hint="eastAsia"/>
        </w:rPr>
        <w:t>2、</w:t>
      </w:r>
      <w:r>
        <w:t>本项目将按照合同约定的履约验收方案进行验收。</w:t>
      </w:r>
    </w:p>
    <w:p w14:paraId="78CF6CEF"/>
    <w:p w14:paraId="0BF26D0E">
      <w:pPr>
        <w:pStyle w:val="3"/>
        <w:rPr>
          <w:rFonts w:hint="eastAsia"/>
        </w:rPr>
      </w:pPr>
      <w:r>
        <w:rPr>
          <w:rFonts w:hint="eastAsia"/>
        </w:rPr>
        <w:t>六、报价要求</w:t>
      </w:r>
    </w:p>
    <w:p w14:paraId="6A4B09F2">
      <w:pPr>
        <w:ind w:firstLine="480" w:firstLineChars="200"/>
      </w:pPr>
      <w:r>
        <w:rPr>
          <w:rFonts w:hint="eastAsia"/>
        </w:rPr>
        <w:t>供应商</w:t>
      </w:r>
      <w:r>
        <w:t>应按照《</w:t>
      </w:r>
      <w:r>
        <w:rPr>
          <w:rFonts w:hint="eastAsia"/>
        </w:rPr>
        <w:t>供应商</w:t>
      </w:r>
      <w:r>
        <w:t>须知》第19条要求进行报价。</w:t>
      </w:r>
    </w:p>
    <w:p w14:paraId="5FA550AD"/>
    <w:p w14:paraId="5EBC5E9D">
      <w:pPr>
        <w:pStyle w:val="3"/>
        <w:rPr>
          <w:rFonts w:hint="eastAsia"/>
        </w:rPr>
      </w:pPr>
      <w:r>
        <w:rPr>
          <w:rFonts w:hint="eastAsia"/>
        </w:rPr>
        <w:t>七</w:t>
      </w:r>
      <w:r>
        <w:t>、</w:t>
      </w:r>
      <w:r>
        <w:rPr>
          <w:rFonts w:hint="eastAsia"/>
        </w:rPr>
        <w:t>付款方法</w:t>
      </w:r>
    </w:p>
    <w:p w14:paraId="5E46E27F">
      <w:pPr>
        <w:ind w:firstLine="480" w:firstLineChars="200"/>
      </w:pPr>
      <w:r>
        <w:rPr>
          <w:rFonts w:hint="eastAsia"/>
        </w:rPr>
        <w:t>本合同采用以下分期付款方式：</w:t>
      </w:r>
    </w:p>
    <w:p w14:paraId="2F258DBB">
      <w:pPr>
        <w:ind w:firstLine="480" w:firstLineChars="200"/>
      </w:pPr>
      <w:r>
        <w:rPr>
          <w:rFonts w:hint="eastAsia"/>
        </w:rPr>
        <w:t>如果成交金额大于100万元，采用以下分期付款方式：a.合同签订生效且采购人收到发票后10个工作日内，支付100万元；b.项目建设完成并通过最终验收且采购人收到发票后10个工作日内，支付合同余款。</w:t>
      </w:r>
    </w:p>
    <w:p w14:paraId="1291601E">
      <w:pPr>
        <w:ind w:firstLine="480" w:firstLineChars="200"/>
      </w:pPr>
      <w:r>
        <w:rPr>
          <w:rFonts w:hint="eastAsia"/>
        </w:rPr>
        <w:t>如果成交金额小于等于100万元，采用以下分期付款方式:a.合同签订生效且采购人收到发票后 10 个工作日内,支付合同金额的 70%；b.乙方交付验收成果并通过项目验收且采购人收到发票后 10 个工作日内,支付合同金额的30%。</w:t>
      </w:r>
    </w:p>
    <w:p w14:paraId="6E362EF7">
      <w:pPr>
        <w:ind w:firstLine="480" w:firstLineChars="200"/>
      </w:pPr>
      <w:r>
        <w:rPr>
          <w:rFonts w:hint="eastAsia"/>
        </w:rPr>
        <w:t>付款条件备注:成交供应商应当在采购方每次付款前提前至少 10 个工作日向采购方提供有效发票。</w:t>
      </w:r>
    </w:p>
    <w:p w14:paraId="427427C6"/>
    <w:p w14:paraId="59716B87">
      <w:pPr>
        <w:pStyle w:val="3"/>
        <w:rPr>
          <w:rFonts w:hint="eastAsia"/>
        </w:rPr>
      </w:pPr>
      <w:r>
        <w:rPr>
          <w:rFonts w:hint="eastAsia"/>
        </w:rPr>
        <w:t>八</w:t>
      </w:r>
      <w:r>
        <w:t>、</w:t>
      </w:r>
      <w:r>
        <w:rPr>
          <w:rFonts w:hint="eastAsia"/>
        </w:rPr>
        <w:t>团队人员资质</w:t>
      </w:r>
    </w:p>
    <w:p w14:paraId="6E06D0FB">
      <w:pPr>
        <w:ind w:firstLine="480" w:firstLineChars="200"/>
      </w:pPr>
      <w:r>
        <w:rPr>
          <w:rFonts w:hint="eastAsia"/>
        </w:rPr>
        <w:t>本项目需提供项目负责人1人，项目负责人具有信息化相关专业高级职称、10年以上信息化工作经验优先考虑。</w:t>
      </w:r>
    </w:p>
    <w:p w14:paraId="3A3069AC">
      <w:pPr>
        <w:ind w:firstLine="480" w:firstLineChars="200"/>
      </w:pPr>
      <w:r>
        <w:rPr>
          <w:rFonts w:hint="eastAsia"/>
        </w:rPr>
        <w:t>服务人员团队人数配备充足，团队由 10 人及以上构成，人员配置合理，人员证书齐全，人员经验丰富优先考虑。</w:t>
      </w:r>
    </w:p>
    <w:p w14:paraId="02AE84EE">
      <w:pPr>
        <w:ind w:firstLine="480" w:firstLineChars="200"/>
      </w:pPr>
      <w:r>
        <w:rPr>
          <w:rFonts w:hint="eastAsia"/>
        </w:rPr>
        <w:t>承诺项目成员不少于1人按项目单位要求常驻用户现场，以便及时响应项目单位的服务要求；承诺本项目实施过程中，设有专门联络员7*24小时服务响应项目单位需求，紧急情况下相应人员需2小时到达项目现场优先考虑。</w:t>
      </w:r>
    </w:p>
    <w:p w14:paraId="40F7C24C">
      <w:pPr>
        <w:ind w:firstLine="480" w:firstLineChars="200"/>
      </w:pPr>
    </w:p>
    <w:p w14:paraId="3AC1BC47">
      <w:pPr>
        <w:pStyle w:val="3"/>
        <w:rPr>
          <w:rFonts w:hint="eastAsia"/>
        </w:rPr>
      </w:pPr>
      <w:r>
        <w:rPr>
          <w:rFonts w:hint="eastAsia"/>
        </w:rPr>
        <w:t>九</w:t>
      </w:r>
      <w:r>
        <w:rPr>
          <w:rFonts w:hint="eastAsia" w:ascii="宋体"/>
        </w:rPr>
        <w:t>、</w:t>
      </w:r>
      <w:r>
        <w:rPr>
          <w:rFonts w:hint="eastAsia"/>
        </w:rPr>
        <w:t>企业综合实力</w:t>
      </w:r>
    </w:p>
    <w:p w14:paraId="125F9854">
      <w:pPr>
        <w:ind w:firstLine="480" w:firstLineChars="200"/>
      </w:pPr>
      <w:r>
        <w:t>供应商具有ISO 9001 质量管理体系认证证书、ISO 20000 信息技术服务管理体系认证证书、ISO 27001 信息安全管理体系认证证书</w:t>
      </w:r>
      <w:bookmarkStart w:id="0" w:name="_GoBack"/>
      <w:bookmarkEnd w:id="0"/>
      <w:r>
        <w:t>的</w:t>
      </w:r>
      <w:r>
        <w:rPr>
          <w:rFonts w:hint="eastAsia"/>
        </w:rPr>
        <w:t>优先考虑。</w:t>
      </w:r>
    </w:p>
    <w:p w14:paraId="35D0A35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7245"/>
    <w:rsid w:val="00054130"/>
    <w:rsid w:val="000755B6"/>
    <w:rsid w:val="000C219F"/>
    <w:rsid w:val="000D5BA2"/>
    <w:rsid w:val="000D7C7F"/>
    <w:rsid w:val="00101085"/>
    <w:rsid w:val="00172A27"/>
    <w:rsid w:val="0018796F"/>
    <w:rsid w:val="001B08AF"/>
    <w:rsid w:val="002768D6"/>
    <w:rsid w:val="002A00F5"/>
    <w:rsid w:val="002A7599"/>
    <w:rsid w:val="002B4A95"/>
    <w:rsid w:val="002C799D"/>
    <w:rsid w:val="002E2A45"/>
    <w:rsid w:val="00317172"/>
    <w:rsid w:val="00331A92"/>
    <w:rsid w:val="00350834"/>
    <w:rsid w:val="00366E1C"/>
    <w:rsid w:val="003D4B95"/>
    <w:rsid w:val="003F34E6"/>
    <w:rsid w:val="003F4F45"/>
    <w:rsid w:val="00410CA5"/>
    <w:rsid w:val="00440B48"/>
    <w:rsid w:val="00465AEF"/>
    <w:rsid w:val="00477AFC"/>
    <w:rsid w:val="00484C20"/>
    <w:rsid w:val="004C38B2"/>
    <w:rsid w:val="004F3481"/>
    <w:rsid w:val="004F45B4"/>
    <w:rsid w:val="00501F45"/>
    <w:rsid w:val="005227D5"/>
    <w:rsid w:val="005269F6"/>
    <w:rsid w:val="00586D5C"/>
    <w:rsid w:val="00593997"/>
    <w:rsid w:val="005B4D7B"/>
    <w:rsid w:val="005C04FF"/>
    <w:rsid w:val="00604C8A"/>
    <w:rsid w:val="00635C75"/>
    <w:rsid w:val="006E1340"/>
    <w:rsid w:val="006E140B"/>
    <w:rsid w:val="007200ED"/>
    <w:rsid w:val="00780567"/>
    <w:rsid w:val="007A770C"/>
    <w:rsid w:val="007A783B"/>
    <w:rsid w:val="007D1EA7"/>
    <w:rsid w:val="00826082"/>
    <w:rsid w:val="0088247F"/>
    <w:rsid w:val="008C21F9"/>
    <w:rsid w:val="008D57F0"/>
    <w:rsid w:val="00917EDD"/>
    <w:rsid w:val="0093602A"/>
    <w:rsid w:val="00966760"/>
    <w:rsid w:val="00981563"/>
    <w:rsid w:val="009E4295"/>
    <w:rsid w:val="00A50CFF"/>
    <w:rsid w:val="00A51082"/>
    <w:rsid w:val="00A76DD7"/>
    <w:rsid w:val="00A814E4"/>
    <w:rsid w:val="00AC4A09"/>
    <w:rsid w:val="00B31AF4"/>
    <w:rsid w:val="00B471F7"/>
    <w:rsid w:val="00C056E5"/>
    <w:rsid w:val="00C144E0"/>
    <w:rsid w:val="00C45F72"/>
    <w:rsid w:val="00C85C4B"/>
    <w:rsid w:val="00CC21FD"/>
    <w:rsid w:val="00CC73FF"/>
    <w:rsid w:val="00D03000"/>
    <w:rsid w:val="00D36F54"/>
    <w:rsid w:val="00D7016C"/>
    <w:rsid w:val="00DD46EF"/>
    <w:rsid w:val="00DD6775"/>
    <w:rsid w:val="00E50C1B"/>
    <w:rsid w:val="00E50FEC"/>
    <w:rsid w:val="00E848DC"/>
    <w:rsid w:val="00EA0935"/>
    <w:rsid w:val="00EA0AAC"/>
    <w:rsid w:val="00EA621A"/>
    <w:rsid w:val="00EB2048"/>
    <w:rsid w:val="00EB3F37"/>
    <w:rsid w:val="00EB5A16"/>
    <w:rsid w:val="00EC53E0"/>
    <w:rsid w:val="00EE6ABD"/>
    <w:rsid w:val="00F43F72"/>
    <w:rsid w:val="00FC28A1"/>
    <w:rsid w:val="00FF08B7"/>
    <w:rsid w:val="00FF352D"/>
    <w:rsid w:val="02D556FE"/>
    <w:rsid w:val="04A86794"/>
    <w:rsid w:val="09475E50"/>
    <w:rsid w:val="0A99710E"/>
    <w:rsid w:val="0A9F38F9"/>
    <w:rsid w:val="0C4113D4"/>
    <w:rsid w:val="0DB422CB"/>
    <w:rsid w:val="108252A3"/>
    <w:rsid w:val="117D320E"/>
    <w:rsid w:val="126006E7"/>
    <w:rsid w:val="18277578"/>
    <w:rsid w:val="1BF46978"/>
    <w:rsid w:val="1C3D5F9C"/>
    <w:rsid w:val="1D340F6F"/>
    <w:rsid w:val="220F049D"/>
    <w:rsid w:val="22346383"/>
    <w:rsid w:val="250A26FB"/>
    <w:rsid w:val="26B62531"/>
    <w:rsid w:val="2B0F6D35"/>
    <w:rsid w:val="3A786C23"/>
    <w:rsid w:val="3C277297"/>
    <w:rsid w:val="3E520DC7"/>
    <w:rsid w:val="3F5B6F23"/>
    <w:rsid w:val="466864B6"/>
    <w:rsid w:val="4C617379"/>
    <w:rsid w:val="53DA1B20"/>
    <w:rsid w:val="5610333E"/>
    <w:rsid w:val="5B8775C0"/>
    <w:rsid w:val="5BBE21C8"/>
    <w:rsid w:val="5C783B0B"/>
    <w:rsid w:val="60CF7A9C"/>
    <w:rsid w:val="614D523F"/>
    <w:rsid w:val="65D025CA"/>
    <w:rsid w:val="69AE2C22"/>
    <w:rsid w:val="6A025852"/>
    <w:rsid w:val="6AC971E4"/>
    <w:rsid w:val="6DF65786"/>
    <w:rsid w:val="7102448B"/>
    <w:rsid w:val="721233C1"/>
    <w:rsid w:val="72DC1DD7"/>
    <w:rsid w:val="734E128E"/>
    <w:rsid w:val="771FF6A7"/>
    <w:rsid w:val="7866291A"/>
    <w:rsid w:val="7E105802"/>
    <w:rsid w:val="EBFEBD70"/>
    <w:rsid w:val="F7FB9813"/>
    <w:rsid w:val="FC7DC71E"/>
    <w:rsid w:val="FF5533F9"/>
    <w:rsid w:val="FFECA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22"/>
    <w:qFormat/>
    <w:uiPriority w:val="9"/>
    <w:pPr>
      <w:keepNext/>
      <w:keepLines/>
      <w:jc w:val="center"/>
      <w:outlineLvl w:val="0"/>
    </w:pPr>
    <w:rPr>
      <w:rFonts w:asciiTheme="majorHAnsi" w:hAnsiTheme="majorHAnsi" w:cstheme="majorBidi"/>
      <w:b/>
      <w:sz w:val="30"/>
      <w:szCs w:val="48"/>
    </w:rPr>
  </w:style>
  <w:style w:type="paragraph" w:styleId="3">
    <w:name w:val="heading 2"/>
    <w:basedOn w:val="1"/>
    <w:next w:val="1"/>
    <w:link w:val="21"/>
    <w:unhideWhenUsed/>
    <w:qFormat/>
    <w:uiPriority w:val="9"/>
    <w:pPr>
      <w:keepNext/>
      <w:keepLines/>
      <w:outlineLvl w:val="1"/>
    </w:pPr>
    <w:rPr>
      <w:rFonts w:asciiTheme="majorHAnsi" w:hAnsiTheme="majorHAnsi" w:cstheme="majorBidi"/>
      <w:b/>
      <w:sz w:val="28"/>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2F5597" w:themeColor="accent1" w:themeShade="BF"/>
      <w:szCs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9"/>
    <w:semiHidden/>
    <w:unhideWhenUsed/>
    <w:qFormat/>
    <w:uiPriority w:val="99"/>
    <w:pPr>
      <w:jc w:val="left"/>
    </w:pPr>
  </w:style>
  <w:style w:type="paragraph" w:styleId="12">
    <w:name w:val="footer"/>
    <w:basedOn w:val="1"/>
    <w:link w:val="42"/>
    <w:unhideWhenUsed/>
    <w:qFormat/>
    <w:uiPriority w:val="99"/>
    <w:pPr>
      <w:tabs>
        <w:tab w:val="center" w:pos="4153"/>
        <w:tab w:val="right" w:pos="8306"/>
      </w:tabs>
      <w:snapToGrid w:val="0"/>
      <w:spacing w:line="240" w:lineRule="auto"/>
      <w:jc w:val="left"/>
    </w:pPr>
    <w:rPr>
      <w:sz w:val="18"/>
      <w:szCs w:val="18"/>
    </w:rPr>
  </w:style>
  <w:style w:type="paragraph" w:styleId="13">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0"/>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semiHidden/>
    <w:unhideWhenUsed/>
    <w:qFormat/>
    <w:uiPriority w:val="99"/>
    <w:rPr>
      <w:sz w:val="21"/>
      <w:szCs w:val="21"/>
    </w:rPr>
  </w:style>
  <w:style w:type="character" w:customStyle="1" w:styleId="21">
    <w:name w:val="标题 2 字符"/>
    <w:basedOn w:val="19"/>
    <w:link w:val="3"/>
    <w:qFormat/>
    <w:uiPriority w:val="9"/>
    <w:rPr>
      <w:rFonts w:eastAsia="宋体" w:asciiTheme="majorHAnsi" w:hAnsiTheme="majorHAnsi" w:cstheme="majorBidi"/>
      <w:b/>
      <w:sz w:val="28"/>
      <w:szCs w:val="40"/>
    </w:rPr>
  </w:style>
  <w:style w:type="character" w:customStyle="1" w:styleId="22">
    <w:name w:val="标题 1 字符"/>
    <w:basedOn w:val="19"/>
    <w:link w:val="2"/>
    <w:qFormat/>
    <w:uiPriority w:val="9"/>
    <w:rPr>
      <w:rFonts w:eastAsia="宋体" w:asciiTheme="majorHAnsi" w:hAnsiTheme="majorHAnsi" w:cstheme="majorBidi"/>
      <w:b/>
      <w:sz w:val="30"/>
      <w:szCs w:val="48"/>
    </w:rPr>
  </w:style>
  <w:style w:type="character" w:customStyle="1" w:styleId="23">
    <w:name w:val="标题 3 字符"/>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4">
    <w:name w:val="标题 4 字符"/>
    <w:basedOn w:val="19"/>
    <w:link w:val="5"/>
    <w:semiHidden/>
    <w:qFormat/>
    <w:uiPriority w:val="9"/>
    <w:rPr>
      <w:rFonts w:cstheme="majorBidi"/>
      <w:color w:val="2F5597" w:themeColor="accent1" w:themeShade="BF"/>
      <w:sz w:val="28"/>
      <w:szCs w:val="28"/>
    </w:rPr>
  </w:style>
  <w:style w:type="character" w:customStyle="1" w:styleId="25">
    <w:name w:val="标题 5 字符"/>
    <w:basedOn w:val="19"/>
    <w:link w:val="6"/>
    <w:semiHidden/>
    <w:qFormat/>
    <w:uiPriority w:val="9"/>
    <w:rPr>
      <w:rFonts w:cstheme="majorBidi"/>
      <w:color w:val="2F5597" w:themeColor="accent1" w:themeShade="BF"/>
      <w:sz w:val="24"/>
      <w:szCs w:val="24"/>
    </w:rPr>
  </w:style>
  <w:style w:type="character" w:customStyle="1" w:styleId="26">
    <w:name w:val="标题 6 字符"/>
    <w:basedOn w:val="19"/>
    <w:link w:val="7"/>
    <w:semiHidden/>
    <w:qFormat/>
    <w:uiPriority w:val="9"/>
    <w:rPr>
      <w:rFonts w:cstheme="majorBidi"/>
      <w:b/>
      <w:bCs/>
      <w:color w:val="2F5597" w:themeColor="accent1" w:themeShade="BF"/>
    </w:rPr>
  </w:style>
  <w:style w:type="character" w:customStyle="1" w:styleId="27">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明显强调1"/>
    <w:basedOn w:val="19"/>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明显引用 字符"/>
    <w:basedOn w:val="19"/>
    <w:link w:val="36"/>
    <w:qFormat/>
    <w:uiPriority w:val="30"/>
    <w:rPr>
      <w:i/>
      <w:iCs/>
      <w:color w:val="2F5597" w:themeColor="accent1" w:themeShade="BF"/>
    </w:rPr>
  </w:style>
  <w:style w:type="character" w:customStyle="1" w:styleId="38">
    <w:name w:val="明显参考1"/>
    <w:basedOn w:val="19"/>
    <w:qFormat/>
    <w:uiPriority w:val="32"/>
    <w:rPr>
      <w:b/>
      <w:bCs/>
      <w:smallCaps/>
      <w:color w:val="2F5597" w:themeColor="accent1" w:themeShade="BF"/>
      <w:spacing w:val="5"/>
    </w:rPr>
  </w:style>
  <w:style w:type="character" w:customStyle="1" w:styleId="39">
    <w:name w:val="批注文字 字符"/>
    <w:basedOn w:val="19"/>
    <w:link w:val="11"/>
    <w:semiHidden/>
    <w:qFormat/>
    <w:uiPriority w:val="99"/>
    <w:rPr>
      <w:rFonts w:ascii="Times New Roman" w:hAnsi="Times New Roman" w:eastAsia="宋体"/>
      <w:sz w:val="24"/>
    </w:rPr>
  </w:style>
  <w:style w:type="character" w:customStyle="1" w:styleId="40">
    <w:name w:val="批注主题 字符"/>
    <w:basedOn w:val="39"/>
    <w:link w:val="16"/>
    <w:semiHidden/>
    <w:qFormat/>
    <w:uiPriority w:val="99"/>
    <w:rPr>
      <w:rFonts w:ascii="Times New Roman" w:hAnsi="Times New Roman" w:eastAsia="宋体"/>
      <w:b/>
      <w:bCs/>
      <w:sz w:val="24"/>
    </w:rPr>
  </w:style>
  <w:style w:type="character" w:customStyle="1" w:styleId="41">
    <w:name w:val="页眉 字符"/>
    <w:basedOn w:val="19"/>
    <w:link w:val="13"/>
    <w:qFormat/>
    <w:uiPriority w:val="99"/>
    <w:rPr>
      <w:rFonts w:ascii="Times New Roman" w:hAnsi="Times New Roman" w:eastAsia="宋体"/>
      <w:sz w:val="18"/>
      <w:szCs w:val="18"/>
    </w:rPr>
  </w:style>
  <w:style w:type="character" w:customStyle="1" w:styleId="42">
    <w:name w:val="页脚 字符"/>
    <w:basedOn w:val="19"/>
    <w:link w:val="12"/>
    <w:qFormat/>
    <w:uiPriority w:val="99"/>
    <w:rPr>
      <w:rFonts w:ascii="Times New Roman" w:hAnsi="Times New Roman" w:eastAsia="宋体"/>
      <w:sz w:val="18"/>
      <w:szCs w:val="18"/>
    </w:rPr>
  </w:style>
  <w:style w:type="paragraph" w:customStyle="1" w:styleId="43">
    <w:name w:val="Revision"/>
    <w:hidden/>
    <w:unhideWhenUsed/>
    <w:qFormat/>
    <w:uiPriority w:val="99"/>
    <w:rPr>
      <w:rFonts w:ascii="Times New Roman" w:hAnsi="Times New Roman" w:eastAsia="宋体"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9BA9CA45-60BC-47DD-ABBE-D808D1BFF447}">
  <ds:schemaRefs/>
</ds:datastoreItem>
</file>

<file path=docProps/app.xml><?xml version="1.0" encoding="utf-8"?>
<Properties xmlns="http://schemas.openxmlformats.org/officeDocument/2006/extended-properties" xmlns:vt="http://schemas.openxmlformats.org/officeDocument/2006/docPropsVTypes">
  <Template>Normal</Template>
  <Pages>9</Pages>
  <Words>2959</Words>
  <Characters>3079</Characters>
  <Lines>192</Lines>
  <Paragraphs>154</Paragraphs>
  <TotalTime>241</TotalTime>
  <ScaleCrop>false</ScaleCrop>
  <LinksUpToDate>false</LinksUpToDate>
  <CharactersWithSpaces>5884</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2026-06-24T01:22:00Z</dcterms:created>
  <dc:creator>yz li</dc:creator>
  <cp:lastModifiedBy>user</cp:lastModifiedBy>
  <dcterms:modified xsi:type="dcterms:W3CDTF">2026-08-11T09:55:53Z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eyJoZGlkIjoiYjVjYTg0MjAzYmNlMzFlNmZmNGZhNTI0NGY5N2EyMWUiLCJ1c2VySWQiOiIyOTcxNDMxMjUifQ==</vt:lpwstr>
  </property>
  <property fmtid="{D5CDD505-2E9C-101B-9397-08002B2CF9AE}" pid="3" name="KSOProductBuildVer">
    <vt:lpwstr>2052-12.8.2.1118</vt:lpwstr>
  </property>
  <property fmtid="{D5CDD505-2E9C-101B-9397-08002B2CF9AE}" pid="4" name="ICV">
    <vt:lpwstr>68D413B4C45503CA220F4F6A2EE3DF59_43</vt:lpwstr>
  </property>
</Properties>
</file>