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_GBK" w:hAnsi="仿宋" w:eastAsia="方正小标宋_GBK" w:cs="仿宋"/>
          <w:sz w:val="44"/>
          <w:szCs w:val="44"/>
        </w:rPr>
      </w:pPr>
      <w:bookmarkStart w:id="0" w:name="_Toc63785461"/>
    </w:p>
    <w:p>
      <w:pPr>
        <w:ind w:firstLine="0" w:firstLineChars="0"/>
        <w:rPr>
          <w:rFonts w:ascii="方正小标宋_GBK" w:hAnsi="仿宋" w:eastAsia="方正小标宋_GBK" w:cs="仿宋"/>
          <w:sz w:val="44"/>
          <w:szCs w:val="44"/>
        </w:rPr>
      </w:pPr>
    </w:p>
    <w:p>
      <w:pPr>
        <w:ind w:firstLine="0" w:firstLineChars="0"/>
        <w:rPr>
          <w:rFonts w:ascii="方正小标宋_GBK" w:hAnsi="仿宋" w:eastAsia="方正小标宋_GBK" w:cs="仿宋"/>
          <w:sz w:val="44"/>
          <w:szCs w:val="44"/>
        </w:rPr>
      </w:pPr>
    </w:p>
    <w:p>
      <w:pPr>
        <w:ind w:firstLine="0" w:firstLineChars="0"/>
        <w:jc w:val="center"/>
        <w:rPr>
          <w:rFonts w:ascii="方正小标宋_GBK" w:hAnsi="仿宋" w:eastAsia="方正小标宋_GBK" w:cs="仿宋"/>
          <w:sz w:val="44"/>
          <w:szCs w:val="44"/>
        </w:rPr>
      </w:pPr>
    </w:p>
    <w:p>
      <w:pPr>
        <w:ind w:firstLine="0" w:firstLineChars="0"/>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军人退役“一件事”综合管理平台建设项目（2026年升级改造）采购需求</w:t>
      </w:r>
    </w:p>
    <w:p>
      <w:pPr>
        <w:spacing w:line="600" w:lineRule="auto"/>
        <w:ind w:firstLine="723"/>
        <w:jc w:val="center"/>
        <w:rPr>
          <w:rFonts w:ascii="仿宋" w:hAnsi="仿宋" w:cs="仿宋"/>
          <w:b/>
          <w:sz w:val="36"/>
          <w:szCs w:val="36"/>
        </w:rPr>
      </w:pPr>
    </w:p>
    <w:p>
      <w:pPr>
        <w:spacing w:line="600" w:lineRule="auto"/>
        <w:ind w:firstLine="723"/>
        <w:jc w:val="center"/>
        <w:rPr>
          <w:rFonts w:ascii="仿宋" w:hAnsi="仿宋" w:cs="仿宋"/>
          <w:b/>
          <w:sz w:val="36"/>
          <w:szCs w:val="36"/>
        </w:rPr>
      </w:pPr>
    </w:p>
    <w:p>
      <w:pPr>
        <w:spacing w:line="600" w:lineRule="auto"/>
        <w:ind w:firstLine="723"/>
        <w:jc w:val="center"/>
        <w:rPr>
          <w:rFonts w:ascii="仿宋" w:hAnsi="仿宋" w:cs="仿宋"/>
          <w:b/>
          <w:sz w:val="36"/>
          <w:szCs w:val="36"/>
        </w:rPr>
      </w:pPr>
    </w:p>
    <w:p>
      <w:pPr>
        <w:spacing w:line="600" w:lineRule="auto"/>
        <w:ind w:firstLine="723"/>
        <w:jc w:val="center"/>
        <w:rPr>
          <w:rFonts w:ascii="仿宋" w:hAnsi="仿宋" w:cs="仿宋"/>
          <w:b/>
          <w:sz w:val="36"/>
          <w:szCs w:val="36"/>
        </w:rPr>
      </w:pPr>
    </w:p>
    <w:p>
      <w:pPr>
        <w:spacing w:line="600" w:lineRule="auto"/>
        <w:ind w:firstLine="723"/>
        <w:jc w:val="center"/>
        <w:rPr>
          <w:rFonts w:ascii="仿宋" w:hAnsi="仿宋" w:cs="仿宋"/>
          <w:b/>
          <w:sz w:val="36"/>
          <w:szCs w:val="36"/>
        </w:rPr>
      </w:pPr>
    </w:p>
    <w:p>
      <w:pPr>
        <w:spacing w:line="600" w:lineRule="auto"/>
        <w:ind w:firstLine="723"/>
        <w:jc w:val="center"/>
        <w:rPr>
          <w:rFonts w:ascii="仿宋" w:hAnsi="仿宋" w:cs="仿宋"/>
          <w:b/>
          <w:sz w:val="36"/>
          <w:szCs w:val="36"/>
        </w:rPr>
      </w:pPr>
    </w:p>
    <w:p>
      <w:pPr>
        <w:tabs>
          <w:tab w:val="left" w:pos="0"/>
        </w:tabs>
        <w:spacing w:line="240" w:lineRule="auto"/>
        <w:ind w:firstLine="643"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上海市大数据中心</w:t>
      </w:r>
    </w:p>
    <w:p>
      <w:pPr>
        <w:spacing w:line="600" w:lineRule="auto"/>
        <w:ind w:firstLine="643"/>
        <w:jc w:val="center"/>
        <w:rPr>
          <w:rFonts w:ascii="仿宋" w:hAnsi="仿宋" w:cs="仿宋"/>
          <w:b/>
          <w:sz w:val="36"/>
          <w:szCs w:val="36"/>
        </w:rPr>
      </w:pPr>
      <w:r>
        <w:rPr>
          <w:rFonts w:hint="eastAsia" w:asciiTheme="minorEastAsia" w:hAnsiTheme="minorEastAsia" w:eastAsiaTheme="minorEastAsia"/>
          <w:b/>
          <w:sz w:val="32"/>
          <w:szCs w:val="32"/>
        </w:rPr>
        <w:t>2025年12月</w:t>
      </w:r>
    </w:p>
    <w:p>
      <w:pPr>
        <w:spacing w:line="600" w:lineRule="auto"/>
        <w:ind w:firstLine="723"/>
        <w:jc w:val="center"/>
        <w:rPr>
          <w:rFonts w:ascii="仿宋" w:hAnsi="仿宋" w:cs="仿宋"/>
          <w:b/>
          <w:sz w:val="36"/>
          <w:szCs w:val="36"/>
        </w:rPr>
      </w:pPr>
    </w:p>
    <w:p>
      <w:pPr>
        <w:ind w:firstLine="560"/>
      </w:pPr>
    </w:p>
    <w:p>
      <w:pPr>
        <w:pStyle w:val="2"/>
      </w:pPr>
      <w:r>
        <w:rPr>
          <w:rFonts w:hint="eastAsia"/>
        </w:rPr>
        <w:t>项目概况</w:t>
      </w:r>
      <w:bookmarkEnd w:id="0"/>
    </w:p>
    <w:p>
      <w:pPr>
        <w:ind w:firstLine="560"/>
      </w:pPr>
      <w:r>
        <w:rPr>
          <w:rFonts w:hint="eastAsia"/>
        </w:rPr>
        <w:t>根据《国务院关于进一步优化政务服务提升行政效能推动“高效办成一件事”的指导意见》，同时为落实退役军人事务部加快推进退役军人信息化建设的要求，按照《“十四五”退役军人事务信息化规划》、《关于加强退役军人事务信息化建设的指导意见》规划要求，进一步加强上海退役军人信息化建设，全面提升退役军人管理服务保障水平。现对军人退役“一件事”综合管理平台建设项目进行升级改造，聚焦退役军人服务“一件事”改革工作，对军人退役一件事业务管理平台进行升级改造，推动跨部门协同、数字化赋能和服务流程再造，为退役军人提供“一站式、高效能”服务，增强退役军人的获得感和满意度。</w:t>
      </w:r>
    </w:p>
    <w:p>
      <w:pPr>
        <w:ind w:firstLine="560"/>
      </w:pPr>
      <w:r>
        <w:rPr>
          <w:rFonts w:hint="eastAsia"/>
        </w:rPr>
        <w:t>建设期限：自合同签订之日起9个月内完成</w:t>
      </w:r>
      <w:r>
        <w:rPr>
          <w:rFonts w:ascii="仿宋" w:hAnsi="仿宋"/>
        </w:rPr>
        <w:t>（包含至少一个月的试运行）</w:t>
      </w:r>
    </w:p>
    <w:p>
      <w:pPr>
        <w:ind w:firstLine="560"/>
      </w:pPr>
      <w:r>
        <w:rPr>
          <w:rFonts w:hint="eastAsia"/>
        </w:rPr>
        <w:t>建设地点：上海市虹口区广粤路131号</w:t>
      </w:r>
    </w:p>
    <w:p>
      <w:pPr>
        <w:ind w:firstLine="560"/>
      </w:pPr>
      <w:r>
        <w:rPr>
          <w:rFonts w:hint="eastAsia"/>
        </w:rPr>
        <w:t>预算金额：1,100,000元</w:t>
      </w:r>
    </w:p>
    <w:p>
      <w:pPr>
        <w:ind w:firstLine="560"/>
      </w:pPr>
      <w:r>
        <w:rPr>
          <w:rFonts w:hint="eastAsia"/>
        </w:rPr>
        <w:t>采购金额（最高限价）：1,100,000元</w:t>
      </w:r>
    </w:p>
    <w:p>
      <w:pPr>
        <w:ind w:firstLine="560"/>
      </w:pPr>
      <w:r>
        <w:rPr>
          <w:rFonts w:hint="eastAsia"/>
        </w:rPr>
        <w:t>组织形式：集中采购</w:t>
      </w:r>
    </w:p>
    <w:p>
      <w:pPr>
        <w:ind w:firstLine="560"/>
      </w:pPr>
      <w:r>
        <w:rPr>
          <w:rFonts w:hint="eastAsia"/>
        </w:rPr>
        <w:t>采购方式：竞争性磋商</w:t>
      </w:r>
    </w:p>
    <w:p>
      <w:pPr>
        <w:ind w:firstLine="560"/>
      </w:pPr>
      <w:r>
        <w:rPr>
          <w:rFonts w:hint="eastAsia"/>
        </w:rPr>
        <w:t>是否接受联合体投标：否</w:t>
      </w:r>
    </w:p>
    <w:p>
      <w:pPr>
        <w:ind w:firstLine="560"/>
      </w:pPr>
      <w:r>
        <w:t>是否按</w:t>
      </w:r>
      <w:r>
        <w:rPr>
          <w:rFonts w:hint="eastAsia"/>
        </w:rPr>
        <w:t>XC</w:t>
      </w:r>
      <w:r>
        <w:t>要求建设：是</w:t>
      </w:r>
    </w:p>
    <w:p>
      <w:pPr>
        <w:pStyle w:val="2"/>
      </w:pPr>
      <w:bookmarkStart w:id="1" w:name="_Toc47536272"/>
      <w:bookmarkEnd w:id="1"/>
      <w:bookmarkStart w:id="2" w:name="_Toc47531634"/>
      <w:bookmarkEnd w:id="2"/>
      <w:bookmarkStart w:id="3" w:name="_Toc47533256"/>
      <w:bookmarkEnd w:id="3"/>
      <w:bookmarkStart w:id="4" w:name="_Toc47536644"/>
      <w:bookmarkEnd w:id="4"/>
      <w:bookmarkStart w:id="5" w:name="_Toc47539070"/>
      <w:bookmarkEnd w:id="5"/>
      <w:bookmarkStart w:id="6" w:name="_Toc47532255"/>
      <w:bookmarkEnd w:id="6"/>
      <w:bookmarkStart w:id="7" w:name="_Toc47537134"/>
      <w:bookmarkEnd w:id="7"/>
      <w:bookmarkStart w:id="8" w:name="_Toc47532891"/>
      <w:bookmarkEnd w:id="8"/>
      <w:bookmarkStart w:id="9" w:name="_Toc63785463"/>
      <w:bookmarkStart w:id="10" w:name="_Toc48223882"/>
      <w:r>
        <w:rPr>
          <w:rFonts w:hint="eastAsia"/>
        </w:rPr>
        <w:t>建设目标</w:t>
      </w:r>
      <w:bookmarkEnd w:id="9"/>
      <w:bookmarkEnd w:id="10"/>
    </w:p>
    <w:p>
      <w:pPr>
        <w:pStyle w:val="3"/>
      </w:pPr>
      <w:r>
        <w:rPr>
          <w:rFonts w:hint="eastAsia"/>
        </w:rPr>
        <w:t>建设目标</w:t>
      </w:r>
    </w:p>
    <w:p>
      <w:pPr>
        <w:ind w:firstLine="560"/>
      </w:pPr>
      <w:r>
        <w:rPr>
          <w:rFonts w:hint="eastAsia"/>
        </w:rPr>
        <w:t>军人退役“一件事”综合管理平台建设项目（2026年升级改造）项目主要目标建立适应新形势、新要求的管理规定和工作流程。以现有业务系统作为数据基础，聚焦涉及退役军人的高频政务服务事项，围绕申请条件、申报方式、受理模式、审核程序、发证方式、管理架构等进行整体性再造，实施一体化办理。同时，对于部分政策满足全程无需主动提出申请，无需填写申请表、提交申请材料，一键确认即可享受政策和服务。做好退役军人服务“一件事”，大幅提升退役军人办事满意度、获得感。</w:t>
      </w:r>
    </w:p>
    <w:p>
      <w:pPr>
        <w:pStyle w:val="3"/>
      </w:pPr>
      <w:bookmarkStart w:id="11" w:name="_Toc139461238"/>
      <w:bookmarkStart w:id="12" w:name="_Toc138199118"/>
      <w:r>
        <w:rPr>
          <w:rFonts w:hint="eastAsia"/>
        </w:rPr>
        <w:t>业务绩效目标</w:t>
      </w:r>
      <w:bookmarkEnd w:id="11"/>
      <w:bookmarkEnd w:id="12"/>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826"/>
        <w:gridCol w:w="1755"/>
        <w:gridCol w:w="1802"/>
        <w:gridCol w:w="218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序号</w:t>
            </w:r>
          </w:p>
        </w:tc>
        <w:tc>
          <w:tcPr>
            <w:tcW w:w="484" w:type="pct"/>
            <w:shd w:val="clear" w:color="auto" w:fill="auto"/>
            <w:vAlign w:val="center"/>
          </w:tcPr>
          <w:p>
            <w:pPr>
              <w:pStyle w:val="17"/>
            </w:pPr>
            <w:r>
              <w:rPr>
                <w:rFonts w:hint="eastAsia"/>
              </w:rPr>
              <w:t>一级指标</w:t>
            </w:r>
          </w:p>
        </w:tc>
        <w:tc>
          <w:tcPr>
            <w:tcW w:w="1029" w:type="pct"/>
            <w:shd w:val="clear" w:color="auto" w:fill="auto"/>
            <w:vAlign w:val="center"/>
          </w:tcPr>
          <w:p>
            <w:pPr>
              <w:pStyle w:val="17"/>
            </w:pPr>
            <w:r>
              <w:rPr>
                <w:rFonts w:hint="eastAsia"/>
              </w:rPr>
              <w:t>二级指标</w:t>
            </w:r>
          </w:p>
        </w:tc>
        <w:tc>
          <w:tcPr>
            <w:tcW w:w="1056" w:type="pct"/>
            <w:shd w:val="clear" w:color="auto" w:fill="auto"/>
            <w:vAlign w:val="center"/>
          </w:tcPr>
          <w:p>
            <w:pPr>
              <w:pStyle w:val="17"/>
            </w:pPr>
            <w:r>
              <w:rPr>
                <w:rFonts w:hint="eastAsia"/>
              </w:rPr>
              <w:t>三级指标</w:t>
            </w:r>
          </w:p>
        </w:tc>
        <w:tc>
          <w:tcPr>
            <w:tcW w:w="1278" w:type="pct"/>
            <w:shd w:val="clear" w:color="auto" w:fill="auto"/>
            <w:vAlign w:val="center"/>
          </w:tcPr>
          <w:p>
            <w:pPr>
              <w:pStyle w:val="17"/>
            </w:pPr>
            <w:r>
              <w:rPr>
                <w:rFonts w:hint="eastAsia"/>
              </w:rPr>
              <w:t>四级指标</w:t>
            </w:r>
          </w:p>
        </w:tc>
        <w:tc>
          <w:tcPr>
            <w:tcW w:w="819" w:type="pct"/>
            <w:shd w:val="clear" w:color="auto" w:fill="auto"/>
            <w:vAlign w:val="center"/>
          </w:tcPr>
          <w:p>
            <w:pPr>
              <w:pStyle w:val="17"/>
            </w:pPr>
            <w:r>
              <w:rPr>
                <w:rFonts w:hint="eastAsi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1</w:t>
            </w:r>
          </w:p>
        </w:tc>
        <w:tc>
          <w:tcPr>
            <w:tcW w:w="484" w:type="pct"/>
            <w:vMerge w:val="restart"/>
            <w:shd w:val="clear" w:color="auto" w:fill="auto"/>
            <w:vAlign w:val="center"/>
          </w:tcPr>
          <w:p>
            <w:pPr>
              <w:pStyle w:val="17"/>
            </w:pPr>
            <w:r>
              <w:rPr>
                <w:rFonts w:hint="eastAsia"/>
              </w:rPr>
              <w:t>通用指标</w:t>
            </w:r>
          </w:p>
        </w:tc>
        <w:tc>
          <w:tcPr>
            <w:tcW w:w="1029" w:type="pct"/>
            <w:vMerge w:val="restart"/>
            <w:shd w:val="clear" w:color="auto" w:fill="auto"/>
            <w:vAlign w:val="center"/>
          </w:tcPr>
          <w:p>
            <w:pPr>
              <w:pStyle w:val="17"/>
            </w:pPr>
            <w:r>
              <w:rPr>
                <w:rFonts w:hint="eastAsia"/>
              </w:rPr>
              <w:t>产出数量</w:t>
            </w:r>
          </w:p>
        </w:tc>
        <w:tc>
          <w:tcPr>
            <w:tcW w:w="1056" w:type="pct"/>
            <w:shd w:val="clear" w:color="auto" w:fill="auto"/>
            <w:vAlign w:val="center"/>
          </w:tcPr>
          <w:p>
            <w:pPr>
              <w:pStyle w:val="17"/>
            </w:pPr>
            <w:r>
              <w:rPr>
                <w:rFonts w:hint="eastAsia"/>
              </w:rPr>
              <w:t>产出数量</w:t>
            </w:r>
          </w:p>
        </w:tc>
        <w:tc>
          <w:tcPr>
            <w:tcW w:w="1278" w:type="pct"/>
            <w:shd w:val="clear" w:color="auto" w:fill="auto"/>
            <w:vAlign w:val="center"/>
          </w:tcPr>
          <w:p>
            <w:pPr>
              <w:pStyle w:val="17"/>
            </w:pPr>
            <w:r>
              <w:rPr>
                <w:rFonts w:hint="eastAsia"/>
              </w:rPr>
              <w:t>系统开发完成率</w:t>
            </w:r>
          </w:p>
        </w:tc>
        <w:tc>
          <w:tcPr>
            <w:tcW w:w="819" w:type="pct"/>
            <w:shd w:val="clear" w:color="auto" w:fill="auto"/>
            <w:vAlign w:val="center"/>
          </w:tcPr>
          <w:p>
            <w:pPr>
              <w:pStyle w:val="17"/>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2</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vMerge w:val="restart"/>
            <w:shd w:val="clear" w:color="auto" w:fill="auto"/>
            <w:vAlign w:val="center"/>
          </w:tcPr>
          <w:p>
            <w:pPr>
              <w:pStyle w:val="17"/>
            </w:pPr>
            <w:r>
              <w:rPr>
                <w:rFonts w:hint="eastAsia"/>
              </w:rPr>
              <w:t>产出质量</w:t>
            </w:r>
          </w:p>
        </w:tc>
        <w:tc>
          <w:tcPr>
            <w:tcW w:w="1278" w:type="pct"/>
            <w:shd w:val="clear" w:color="auto" w:fill="auto"/>
            <w:vAlign w:val="center"/>
          </w:tcPr>
          <w:p>
            <w:pPr>
              <w:pStyle w:val="17"/>
            </w:pPr>
            <w:r>
              <w:rPr>
                <w:rFonts w:hint="eastAsia"/>
              </w:rPr>
              <w:t>一次性验收合格率</w:t>
            </w:r>
          </w:p>
        </w:tc>
        <w:tc>
          <w:tcPr>
            <w:tcW w:w="819" w:type="pct"/>
            <w:shd w:val="clear" w:color="auto" w:fill="auto"/>
            <w:vAlign w:val="center"/>
          </w:tcPr>
          <w:p>
            <w:pPr>
              <w:pStyle w:val="17"/>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3" w:type="pct"/>
            <w:shd w:val="clear" w:color="auto" w:fill="auto"/>
            <w:vAlign w:val="center"/>
          </w:tcPr>
          <w:p>
            <w:pPr>
              <w:pStyle w:val="17"/>
            </w:pPr>
            <w:r>
              <w:rPr>
                <w:rFonts w:hint="eastAsia"/>
              </w:rPr>
              <w:t>3</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vMerge w:val="continue"/>
            <w:shd w:val="clear" w:color="auto" w:fill="auto"/>
            <w:vAlign w:val="center"/>
          </w:tcPr>
          <w:p>
            <w:pPr>
              <w:pStyle w:val="17"/>
            </w:pPr>
          </w:p>
        </w:tc>
        <w:tc>
          <w:tcPr>
            <w:tcW w:w="1278" w:type="pct"/>
            <w:shd w:val="clear" w:color="auto" w:fill="auto"/>
            <w:vAlign w:val="center"/>
          </w:tcPr>
          <w:p>
            <w:pPr>
              <w:pStyle w:val="17"/>
            </w:pPr>
            <w:r>
              <w:rPr>
                <w:rFonts w:hint="eastAsia"/>
              </w:rPr>
              <w:t>系统稳定性</w:t>
            </w:r>
          </w:p>
        </w:tc>
        <w:tc>
          <w:tcPr>
            <w:tcW w:w="819" w:type="pct"/>
            <w:shd w:val="clear" w:color="auto" w:fill="auto"/>
            <w:vAlign w:val="center"/>
          </w:tcPr>
          <w:p>
            <w:pPr>
              <w:pStyle w:val="17"/>
            </w:pPr>
            <w:r>
              <w:t>≥</w:t>
            </w:r>
            <w:r>
              <w:rPr>
                <w:rFonts w:hint="eastAsi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4</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vMerge w:val="continue"/>
            <w:shd w:val="clear" w:color="auto" w:fill="auto"/>
            <w:vAlign w:val="center"/>
          </w:tcPr>
          <w:p>
            <w:pPr>
              <w:pStyle w:val="17"/>
            </w:pPr>
          </w:p>
        </w:tc>
        <w:tc>
          <w:tcPr>
            <w:tcW w:w="1278" w:type="pct"/>
            <w:shd w:val="clear" w:color="auto" w:fill="auto"/>
            <w:vAlign w:val="center"/>
          </w:tcPr>
          <w:p>
            <w:pPr>
              <w:pStyle w:val="17"/>
            </w:pPr>
            <w:r>
              <w:rPr>
                <w:rFonts w:hint="eastAsia"/>
              </w:rPr>
              <w:t>平均故障修复时间</w:t>
            </w:r>
          </w:p>
        </w:tc>
        <w:tc>
          <w:tcPr>
            <w:tcW w:w="819" w:type="pct"/>
            <w:shd w:val="clear" w:color="auto" w:fill="auto"/>
            <w:vAlign w:val="center"/>
          </w:tcPr>
          <w:p>
            <w:pPr>
              <w:pStyle w:val="17"/>
            </w:pPr>
            <w:r>
              <w:rPr>
                <w:rFonts w:hint="eastAsia"/>
              </w:rPr>
              <w:t>&lt;30分钟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5</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shd w:val="clear" w:color="auto" w:fill="auto"/>
            <w:vAlign w:val="center"/>
          </w:tcPr>
          <w:p>
            <w:pPr>
              <w:pStyle w:val="17"/>
            </w:pPr>
            <w:r>
              <w:rPr>
                <w:rFonts w:hint="eastAsia"/>
              </w:rPr>
              <w:t>产出时效</w:t>
            </w:r>
          </w:p>
        </w:tc>
        <w:tc>
          <w:tcPr>
            <w:tcW w:w="1278" w:type="pct"/>
            <w:shd w:val="clear" w:color="auto" w:fill="auto"/>
            <w:vAlign w:val="center"/>
          </w:tcPr>
          <w:p>
            <w:pPr>
              <w:pStyle w:val="17"/>
            </w:pPr>
            <w:r>
              <w:rPr>
                <w:rFonts w:hint="eastAsia"/>
              </w:rPr>
              <w:t>项目实施进度</w:t>
            </w:r>
          </w:p>
        </w:tc>
        <w:tc>
          <w:tcPr>
            <w:tcW w:w="819" w:type="pct"/>
            <w:shd w:val="clear" w:color="auto" w:fill="auto"/>
            <w:vAlign w:val="center"/>
          </w:tcPr>
          <w:p>
            <w:pPr>
              <w:pStyle w:val="17"/>
            </w:pPr>
            <w:r>
              <w:rPr>
                <w:rFonts w:hint="eastAsia"/>
              </w:rPr>
              <w:t>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6</w:t>
            </w:r>
          </w:p>
        </w:tc>
        <w:tc>
          <w:tcPr>
            <w:tcW w:w="484" w:type="pct"/>
            <w:vMerge w:val="continue"/>
            <w:shd w:val="clear" w:color="auto" w:fill="auto"/>
            <w:vAlign w:val="center"/>
          </w:tcPr>
          <w:p>
            <w:pPr>
              <w:pStyle w:val="17"/>
            </w:pPr>
          </w:p>
        </w:tc>
        <w:tc>
          <w:tcPr>
            <w:tcW w:w="1029" w:type="pct"/>
            <w:shd w:val="clear" w:color="auto" w:fill="auto"/>
            <w:vAlign w:val="center"/>
          </w:tcPr>
          <w:p>
            <w:pPr>
              <w:pStyle w:val="17"/>
            </w:pPr>
            <w:r>
              <w:rPr>
                <w:rFonts w:hint="eastAsia"/>
              </w:rPr>
              <w:t>经济成本指标</w:t>
            </w:r>
          </w:p>
        </w:tc>
        <w:tc>
          <w:tcPr>
            <w:tcW w:w="1056" w:type="pct"/>
            <w:shd w:val="clear" w:color="auto" w:fill="auto"/>
            <w:vAlign w:val="center"/>
          </w:tcPr>
          <w:p>
            <w:pPr>
              <w:pStyle w:val="17"/>
            </w:pPr>
            <w:r>
              <w:rPr>
                <w:rFonts w:hint="eastAsia"/>
              </w:rPr>
              <w:t>投资使用率</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3" w:type="pct"/>
            <w:shd w:val="clear" w:color="auto" w:fill="auto"/>
            <w:vAlign w:val="center"/>
          </w:tcPr>
          <w:p>
            <w:pPr>
              <w:pStyle w:val="17"/>
            </w:pPr>
            <w:r>
              <w:rPr>
                <w:rFonts w:hint="eastAsia"/>
              </w:rPr>
              <w:t>7</w:t>
            </w:r>
          </w:p>
        </w:tc>
        <w:tc>
          <w:tcPr>
            <w:tcW w:w="484" w:type="pct"/>
            <w:vMerge w:val="continue"/>
            <w:shd w:val="clear" w:color="auto" w:fill="auto"/>
            <w:vAlign w:val="center"/>
          </w:tcPr>
          <w:p>
            <w:pPr>
              <w:pStyle w:val="17"/>
            </w:pPr>
          </w:p>
        </w:tc>
        <w:tc>
          <w:tcPr>
            <w:tcW w:w="1029" w:type="pct"/>
            <w:shd w:val="clear" w:color="auto" w:fill="auto"/>
            <w:vAlign w:val="center"/>
          </w:tcPr>
          <w:p>
            <w:pPr>
              <w:pStyle w:val="17"/>
            </w:pPr>
            <w:r>
              <w:rPr>
                <w:rFonts w:hint="eastAsia"/>
              </w:rPr>
              <w:t>社会成本指标</w:t>
            </w:r>
          </w:p>
        </w:tc>
        <w:tc>
          <w:tcPr>
            <w:tcW w:w="1056" w:type="pct"/>
            <w:shd w:val="clear" w:color="auto" w:fill="auto"/>
            <w:vAlign w:val="center"/>
          </w:tcPr>
          <w:p>
            <w:pPr>
              <w:pStyle w:val="17"/>
            </w:pPr>
            <w:r>
              <w:rPr>
                <w:rFonts w:hint="eastAsia"/>
              </w:rPr>
              <w:t>社会公共服务占用</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8</w:t>
            </w:r>
          </w:p>
        </w:tc>
        <w:tc>
          <w:tcPr>
            <w:tcW w:w="484" w:type="pct"/>
            <w:vMerge w:val="continue"/>
            <w:shd w:val="clear" w:color="auto" w:fill="auto"/>
            <w:vAlign w:val="center"/>
          </w:tcPr>
          <w:p>
            <w:pPr>
              <w:pStyle w:val="17"/>
            </w:pPr>
          </w:p>
        </w:tc>
        <w:tc>
          <w:tcPr>
            <w:tcW w:w="1029" w:type="pct"/>
            <w:shd w:val="clear" w:color="auto" w:fill="auto"/>
            <w:vAlign w:val="center"/>
          </w:tcPr>
          <w:p>
            <w:pPr>
              <w:pStyle w:val="17"/>
            </w:pPr>
            <w:r>
              <w:rPr>
                <w:rFonts w:hint="eastAsia"/>
              </w:rPr>
              <w:t>生态环境成本指标</w:t>
            </w:r>
          </w:p>
        </w:tc>
        <w:tc>
          <w:tcPr>
            <w:tcW w:w="1056" w:type="pct"/>
            <w:shd w:val="clear" w:color="auto" w:fill="auto"/>
            <w:vAlign w:val="center"/>
          </w:tcPr>
          <w:p>
            <w:pPr>
              <w:pStyle w:val="17"/>
            </w:pPr>
            <w:r>
              <w:rPr>
                <w:rFonts w:hint="eastAsia"/>
              </w:rPr>
              <w:t>资源消耗</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符合绿色经济发展要求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9</w:t>
            </w:r>
          </w:p>
        </w:tc>
        <w:tc>
          <w:tcPr>
            <w:tcW w:w="484" w:type="pct"/>
            <w:vMerge w:val="restart"/>
            <w:shd w:val="clear" w:color="auto" w:fill="auto"/>
            <w:vAlign w:val="center"/>
          </w:tcPr>
          <w:p>
            <w:pPr>
              <w:pStyle w:val="17"/>
            </w:pPr>
            <w:r>
              <w:rPr>
                <w:rFonts w:hint="eastAsia"/>
              </w:rPr>
              <w:t>业务指标</w:t>
            </w:r>
          </w:p>
        </w:tc>
        <w:tc>
          <w:tcPr>
            <w:tcW w:w="1029" w:type="pct"/>
            <w:shd w:val="clear" w:color="auto" w:fill="auto"/>
            <w:vAlign w:val="center"/>
          </w:tcPr>
          <w:p>
            <w:pPr>
              <w:pStyle w:val="17"/>
            </w:pPr>
            <w:r>
              <w:rPr>
                <w:rFonts w:hint="eastAsia"/>
              </w:rPr>
              <w:t>服务效能</w:t>
            </w:r>
          </w:p>
        </w:tc>
        <w:tc>
          <w:tcPr>
            <w:tcW w:w="1056" w:type="pct"/>
            <w:shd w:val="clear" w:color="auto" w:fill="auto"/>
            <w:vAlign w:val="center"/>
          </w:tcPr>
          <w:p>
            <w:pPr>
              <w:pStyle w:val="17"/>
            </w:pPr>
            <w:r>
              <w:rPr>
                <w:rFonts w:hint="eastAsia"/>
              </w:rPr>
              <w:t>跨部门协同覆盖率</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10</w:t>
            </w:r>
          </w:p>
        </w:tc>
        <w:tc>
          <w:tcPr>
            <w:tcW w:w="484" w:type="pct"/>
            <w:vMerge w:val="continue"/>
            <w:shd w:val="clear" w:color="auto" w:fill="auto"/>
            <w:vAlign w:val="center"/>
          </w:tcPr>
          <w:p>
            <w:pPr>
              <w:pStyle w:val="17"/>
            </w:pPr>
          </w:p>
        </w:tc>
        <w:tc>
          <w:tcPr>
            <w:tcW w:w="1029" w:type="pct"/>
            <w:vMerge w:val="restart"/>
            <w:shd w:val="clear" w:color="auto" w:fill="auto"/>
            <w:vAlign w:val="center"/>
          </w:tcPr>
          <w:p>
            <w:pPr>
              <w:pStyle w:val="17"/>
            </w:pPr>
            <w:r>
              <w:rPr>
                <w:rFonts w:hint="eastAsia"/>
              </w:rPr>
              <w:t>数字化水平</w:t>
            </w:r>
          </w:p>
        </w:tc>
        <w:tc>
          <w:tcPr>
            <w:tcW w:w="1056" w:type="pct"/>
            <w:shd w:val="clear" w:color="auto" w:fill="auto"/>
            <w:vAlign w:val="center"/>
          </w:tcPr>
          <w:p>
            <w:pPr>
              <w:pStyle w:val="17"/>
            </w:pPr>
            <w:r>
              <w:rPr>
                <w:rFonts w:hint="eastAsia"/>
              </w:rPr>
              <w:t>系统一网通办率</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3" w:type="pct"/>
            <w:shd w:val="clear" w:color="auto" w:fill="auto"/>
            <w:vAlign w:val="center"/>
          </w:tcPr>
          <w:p>
            <w:pPr>
              <w:pStyle w:val="17"/>
            </w:pPr>
            <w:r>
              <w:rPr>
                <w:rFonts w:hint="eastAsia"/>
              </w:rPr>
              <w:t>11</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shd w:val="clear" w:color="auto" w:fill="auto"/>
            <w:vAlign w:val="center"/>
          </w:tcPr>
          <w:p>
            <w:pPr>
              <w:pStyle w:val="17"/>
            </w:pPr>
            <w:r>
              <w:rPr>
                <w:rFonts w:hint="eastAsia"/>
              </w:rPr>
              <w:t>数据共享接口数量</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≥4个（对接人社、公安等系统）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12</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shd w:val="clear" w:color="auto" w:fill="auto"/>
            <w:vAlign w:val="center"/>
          </w:tcPr>
          <w:p>
            <w:pPr>
              <w:pStyle w:val="17"/>
            </w:pPr>
            <w:r>
              <w:rPr>
                <w:rFonts w:hint="eastAsia"/>
              </w:rPr>
              <w:t>系统稳定性</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99.9%可用性，高峰期无宕机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13</w:t>
            </w:r>
          </w:p>
        </w:tc>
        <w:tc>
          <w:tcPr>
            <w:tcW w:w="484" w:type="pct"/>
            <w:vMerge w:val="continue"/>
            <w:shd w:val="clear" w:color="auto" w:fill="auto"/>
            <w:vAlign w:val="center"/>
          </w:tcPr>
          <w:p>
            <w:pPr>
              <w:pStyle w:val="17"/>
            </w:pPr>
          </w:p>
        </w:tc>
        <w:tc>
          <w:tcPr>
            <w:tcW w:w="1029" w:type="pct"/>
            <w:vMerge w:val="restart"/>
            <w:shd w:val="clear" w:color="auto" w:fill="auto"/>
            <w:vAlign w:val="center"/>
          </w:tcPr>
          <w:p>
            <w:pPr>
              <w:pStyle w:val="17"/>
            </w:pPr>
            <w:r>
              <w:rPr>
                <w:rFonts w:hint="eastAsia"/>
              </w:rPr>
              <w:t>用户体验</w:t>
            </w:r>
          </w:p>
        </w:tc>
        <w:tc>
          <w:tcPr>
            <w:tcW w:w="1056" w:type="pct"/>
            <w:shd w:val="clear" w:color="auto" w:fill="auto"/>
            <w:vAlign w:val="center"/>
          </w:tcPr>
          <w:p>
            <w:pPr>
              <w:pStyle w:val="17"/>
            </w:pPr>
            <w:r>
              <w:rPr>
                <w:rFonts w:hint="eastAsia"/>
              </w:rPr>
              <w:t>服务满意度</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shd w:val="clear" w:color="auto" w:fill="auto"/>
            <w:vAlign w:val="center"/>
          </w:tcPr>
          <w:p>
            <w:pPr>
              <w:pStyle w:val="17"/>
            </w:pPr>
            <w:r>
              <w:rPr>
                <w:rFonts w:hint="eastAsia"/>
              </w:rPr>
              <w:t>14</w:t>
            </w:r>
          </w:p>
        </w:tc>
        <w:tc>
          <w:tcPr>
            <w:tcW w:w="484" w:type="pct"/>
            <w:vMerge w:val="continue"/>
            <w:shd w:val="clear" w:color="auto" w:fill="auto"/>
            <w:vAlign w:val="center"/>
          </w:tcPr>
          <w:p>
            <w:pPr>
              <w:pStyle w:val="17"/>
            </w:pPr>
          </w:p>
        </w:tc>
        <w:tc>
          <w:tcPr>
            <w:tcW w:w="1029" w:type="pct"/>
            <w:vMerge w:val="continue"/>
            <w:shd w:val="clear" w:color="auto" w:fill="auto"/>
            <w:vAlign w:val="center"/>
          </w:tcPr>
          <w:p>
            <w:pPr>
              <w:pStyle w:val="17"/>
            </w:pPr>
          </w:p>
        </w:tc>
        <w:tc>
          <w:tcPr>
            <w:tcW w:w="1056" w:type="pct"/>
            <w:shd w:val="clear" w:color="auto" w:fill="auto"/>
            <w:vAlign w:val="center"/>
          </w:tcPr>
          <w:p>
            <w:pPr>
              <w:pStyle w:val="17"/>
            </w:pPr>
            <w:r>
              <w:rPr>
                <w:rFonts w:hint="eastAsia"/>
              </w:rPr>
              <w:t>投诉率</w:t>
            </w:r>
          </w:p>
        </w:tc>
        <w:tc>
          <w:tcPr>
            <w:tcW w:w="1278" w:type="pct"/>
            <w:shd w:val="clear" w:color="auto" w:fill="auto"/>
            <w:vAlign w:val="center"/>
          </w:tcPr>
          <w:p>
            <w:pPr>
              <w:pStyle w:val="17"/>
            </w:pPr>
            <w:r>
              <w:rPr>
                <w:rFonts w:hint="eastAsia"/>
              </w:rPr>
              <w:t>-</w:t>
            </w:r>
          </w:p>
        </w:tc>
        <w:tc>
          <w:tcPr>
            <w:tcW w:w="819" w:type="pct"/>
            <w:shd w:val="clear" w:color="auto" w:fill="auto"/>
            <w:vAlign w:val="center"/>
          </w:tcPr>
          <w:p>
            <w:pPr>
              <w:pStyle w:val="17"/>
            </w:pPr>
            <w:r>
              <w:rPr>
                <w:rFonts w:hint="eastAsia"/>
              </w:rPr>
              <w:t>≤1%</w:t>
            </w:r>
          </w:p>
        </w:tc>
      </w:tr>
    </w:tbl>
    <w:p>
      <w:pPr>
        <w:ind w:firstLine="560"/>
      </w:pPr>
    </w:p>
    <w:p>
      <w:pPr>
        <w:pStyle w:val="3"/>
      </w:pPr>
      <w:bookmarkStart w:id="13" w:name="_Toc139461239"/>
      <w:bookmarkStart w:id="14" w:name="_Toc138199119"/>
      <w:r>
        <w:rPr>
          <w:rFonts w:hint="eastAsia"/>
        </w:rPr>
        <w:t>技术绩效目标</w:t>
      </w:r>
      <w:bookmarkEnd w:id="13"/>
      <w:bookmarkEnd w:id="14"/>
    </w:p>
    <w:p>
      <w:pPr>
        <w:pStyle w:val="16"/>
        <w:numPr>
          <w:ilvl w:val="0"/>
          <w:numId w:val="3"/>
        </w:numPr>
      </w:pPr>
      <w:r>
        <w:rPr>
          <w:rFonts w:hint="eastAsia"/>
        </w:rPr>
        <w:t>支持200名用户同时在线，并发用户不少于100人；其中并发操作指多名用户同时在平台上进行的访问、信息修改等操作；同时需为50个用户提供数据库查询的工作。</w:t>
      </w:r>
    </w:p>
    <w:p>
      <w:pPr>
        <w:pStyle w:val="16"/>
        <w:numPr>
          <w:ilvl w:val="0"/>
          <w:numId w:val="3"/>
        </w:numPr>
      </w:pPr>
      <w:r>
        <w:rPr>
          <w:rFonts w:hint="eastAsia"/>
        </w:rPr>
        <w:t>用户登录系统加载用时不超过2秒，数据提交不超过3秒，统计汇总工作处理时间不超过5秒。</w:t>
      </w:r>
    </w:p>
    <w:p>
      <w:pPr>
        <w:pStyle w:val="16"/>
        <w:numPr>
          <w:ilvl w:val="0"/>
          <w:numId w:val="3"/>
        </w:numPr>
      </w:pPr>
      <w:r>
        <w:rPr>
          <w:rFonts w:hint="eastAsia"/>
        </w:rPr>
        <w:t>要保证更新信息的及时获取、处理、入库与发布。从信息获取到入库的最大延迟时间为1天。</w:t>
      </w:r>
    </w:p>
    <w:p>
      <w:pPr>
        <w:pStyle w:val="2"/>
      </w:pPr>
      <w:bookmarkStart w:id="15" w:name="_Toc47539102"/>
      <w:bookmarkEnd w:id="15"/>
      <w:bookmarkStart w:id="16" w:name="_Toc47536304"/>
      <w:bookmarkEnd w:id="16"/>
      <w:bookmarkStart w:id="17" w:name="_Toc47532923"/>
      <w:bookmarkEnd w:id="17"/>
      <w:bookmarkStart w:id="18" w:name="_Toc47537166"/>
      <w:bookmarkEnd w:id="18"/>
      <w:bookmarkStart w:id="19" w:name="_Toc47533288"/>
      <w:bookmarkEnd w:id="19"/>
      <w:bookmarkStart w:id="20" w:name="_Toc47536676"/>
      <w:bookmarkEnd w:id="20"/>
      <w:r>
        <w:rPr>
          <w:rFonts w:hint="eastAsia"/>
        </w:rPr>
        <w:t>项目建设内容</w:t>
      </w:r>
    </w:p>
    <w:p>
      <w:pPr>
        <w:pStyle w:val="3"/>
      </w:pPr>
      <w:r>
        <w:rPr>
          <w:rFonts w:hint="eastAsia"/>
        </w:rPr>
        <w:t>技术路线要求</w:t>
      </w:r>
    </w:p>
    <w:p>
      <w:pPr>
        <w:numPr>
          <w:ilvl w:val="0"/>
          <w:numId w:val="4"/>
        </w:numPr>
        <w:ind w:firstLineChars="0"/>
      </w:pPr>
      <w:r>
        <w:rPr>
          <w:rFonts w:hint="eastAsia"/>
        </w:rPr>
        <w:t>本项目要求基于XC环境进行建设。</w:t>
      </w:r>
    </w:p>
    <w:p>
      <w:pPr>
        <w:numPr>
          <w:ilvl w:val="0"/>
          <w:numId w:val="4"/>
        </w:numPr>
        <w:ind w:firstLineChars="0"/>
      </w:pPr>
      <w:r>
        <w:rPr>
          <w:rFonts w:hint="eastAsia"/>
        </w:rPr>
        <w:t>系统在业务逻辑和数据模型上，需要按照结构分层、模块化的原则进行设计和构建。</w:t>
      </w:r>
    </w:p>
    <w:p>
      <w:pPr>
        <w:numPr>
          <w:ilvl w:val="0"/>
          <w:numId w:val="4"/>
        </w:numPr>
        <w:ind w:firstLineChars="0"/>
      </w:pPr>
      <w:r>
        <w:rPr>
          <w:rFonts w:hint="eastAsia"/>
        </w:rPr>
        <w:t>采用Java开发平台，采用模型－视图－控制器（MVC）设计模式。</w:t>
      </w:r>
    </w:p>
    <w:p>
      <w:pPr>
        <w:numPr>
          <w:ilvl w:val="0"/>
          <w:numId w:val="4"/>
        </w:numPr>
        <w:ind w:firstLineChars="0"/>
      </w:pPr>
      <w:r>
        <w:rPr>
          <w:rFonts w:hint="eastAsia"/>
        </w:rPr>
        <w:t>技术堆栈在技术规划方面遵循AMQP、HTTP、SSL等业界主流标准。</w:t>
      </w:r>
    </w:p>
    <w:p>
      <w:pPr>
        <w:numPr>
          <w:ilvl w:val="0"/>
          <w:numId w:val="4"/>
        </w:numPr>
        <w:ind w:firstLineChars="0"/>
      </w:pPr>
      <w:r>
        <w:rPr>
          <w:rFonts w:hint="eastAsia"/>
        </w:rPr>
        <w:t>技术架构采用稳定的软硬件支撑平台及相关标准作为系统的基础。</w:t>
      </w:r>
    </w:p>
    <w:p>
      <w:pPr>
        <w:numPr>
          <w:ilvl w:val="0"/>
          <w:numId w:val="4"/>
        </w:numPr>
        <w:ind w:firstLineChars="0"/>
      </w:pPr>
      <w:r>
        <w:rPr>
          <w:rFonts w:hint="eastAsia"/>
        </w:rPr>
        <w:t>选用的技术为业界通用、标准技术，便于与其他系统的对接集成。</w:t>
      </w:r>
    </w:p>
    <w:p>
      <w:pPr>
        <w:numPr>
          <w:ilvl w:val="0"/>
          <w:numId w:val="4"/>
        </w:numPr>
        <w:ind w:firstLineChars="0"/>
      </w:pPr>
      <w:r>
        <w:rPr>
          <w:rFonts w:hint="eastAsia"/>
        </w:rPr>
        <w:t>系统应具有适用性和高可移植性，不局限于特定的硬件与操作系统，兼容于已有云服务器及其他主流操作系统，在有效利用现有资源同时兼顾未来可能的业务扩展要求，适应性良好。</w:t>
      </w:r>
    </w:p>
    <w:p>
      <w:pPr>
        <w:numPr>
          <w:ilvl w:val="0"/>
          <w:numId w:val="4"/>
        </w:numPr>
        <w:ind w:left="0" w:firstLine="0" w:firstLineChars="0"/>
      </w:pPr>
      <w:r>
        <w:rPr>
          <w:rFonts w:hint="eastAsia"/>
        </w:rPr>
        <w:t>系统应具有良好的高可扩展性，可满足将来一段时间内业务功能需要及数据量增加所带来的变化调整。</w:t>
      </w:r>
    </w:p>
    <w:p>
      <w:pPr>
        <w:numPr>
          <w:ilvl w:val="0"/>
          <w:numId w:val="4"/>
        </w:numPr>
        <w:ind w:left="0" w:firstLine="0" w:firstLineChars="0"/>
      </w:pPr>
      <w:r>
        <w:rPr>
          <w:rFonts w:hint="eastAsia"/>
        </w:rPr>
        <w:t>系统具备低代码能力：a）创建功能模块或业务流程，支持通过“拖、拉、拽”或配置化等方式，快速构建和修改表单、流程、报表、图表及核心业务功能；b）支持部署在上海电子政务云（移动）xc环境中，支持使用主流国产数据库，支持容器化部署，支持高可用和弹性伸缩方案。</w:t>
      </w:r>
    </w:p>
    <w:p>
      <w:pPr>
        <w:pStyle w:val="3"/>
        <w:rPr>
          <w:rFonts w:ascii="宋体" w:hAnsi="宋体" w:eastAsia="宋体"/>
        </w:rPr>
      </w:pPr>
      <w:r>
        <w:rPr>
          <w:rFonts w:hint="eastAsia" w:ascii="宋体" w:hAnsi="宋体" w:eastAsia="宋体"/>
        </w:rPr>
        <w:t>部署环境</w:t>
      </w:r>
    </w:p>
    <w:p>
      <w:pPr>
        <w:ind w:firstLine="560"/>
      </w:pPr>
      <w:r>
        <w:rPr>
          <w:rFonts w:hint="eastAsia"/>
        </w:rPr>
        <w:t>本项目系统部署在</w:t>
      </w:r>
      <w:r>
        <w:rPr>
          <w:rFonts w:hint="eastAsia"/>
          <w:lang w:val="en-US" w:eastAsia="zh-CN"/>
        </w:rPr>
        <w:t>上海市电子政务云</w:t>
      </w:r>
      <w:r>
        <w:rPr>
          <w:rFonts w:hint="eastAsia"/>
        </w:rPr>
        <w:t>XC环境上，同时，需要满足国产化XC软硬件适配。</w:t>
      </w:r>
    </w:p>
    <w:p>
      <w:pPr>
        <w:pStyle w:val="3"/>
        <w:rPr>
          <w:rFonts w:ascii="宋体" w:hAnsi="宋体" w:eastAsia="宋体"/>
        </w:rPr>
      </w:pPr>
      <w:r>
        <w:rPr>
          <w:rFonts w:hint="eastAsia" w:ascii="宋体" w:hAnsi="宋体" w:eastAsia="宋体"/>
        </w:rPr>
        <w:t>系统性能要求</w:t>
      </w:r>
    </w:p>
    <w:p>
      <w:pPr>
        <w:ind w:firstLine="560"/>
      </w:pPr>
      <w:r>
        <w:rPr>
          <w:rFonts w:hint="eastAsia"/>
        </w:rPr>
        <w:t>本项目系统性能需求如下：</w:t>
      </w:r>
    </w:p>
    <w:p>
      <w:pPr>
        <w:ind w:firstLine="560"/>
      </w:pPr>
      <w:r>
        <w:rPr>
          <w:rFonts w:hint="eastAsia"/>
        </w:rPr>
        <w:t>系统能够保证7*24小时安全运行，系统有效运行时间99%。</w:t>
      </w:r>
    </w:p>
    <w:p>
      <w:pPr>
        <w:ind w:firstLine="560"/>
      </w:pPr>
      <w:r>
        <w:rPr>
          <w:rFonts w:hint="eastAsia"/>
        </w:rPr>
        <w:t>系统故障平台间隔时间：100天。</w:t>
      </w:r>
    </w:p>
    <w:p>
      <w:pPr>
        <w:ind w:firstLine="560"/>
      </w:pPr>
      <w:r>
        <w:rPr>
          <w:rFonts w:hint="eastAsia"/>
        </w:rPr>
        <w:t>在网络稳定的环境下操作界面单一操作的系统响应时间小于5秒。</w:t>
      </w:r>
    </w:p>
    <w:p>
      <w:pPr>
        <w:ind w:firstLine="560"/>
      </w:pPr>
      <w:r>
        <w:rPr>
          <w:rFonts w:hint="eastAsia"/>
        </w:rPr>
        <w:t>支持最高在线用户并发数为100。</w:t>
      </w:r>
    </w:p>
    <w:p>
      <w:pPr>
        <w:ind w:firstLine="560"/>
      </w:pPr>
      <w:r>
        <w:rPr>
          <w:rFonts w:hint="eastAsia"/>
        </w:rPr>
        <w:t>结构化与半结构化数据渲染应小于5秒。</w:t>
      </w:r>
    </w:p>
    <w:p>
      <w:pPr>
        <w:ind w:firstLine="560"/>
      </w:pPr>
      <w:r>
        <w:rPr>
          <w:rFonts w:hint="eastAsia"/>
        </w:rPr>
        <w:t>应用请求的响应延迟应不大于1秒。</w:t>
      </w:r>
    </w:p>
    <w:p>
      <w:pPr>
        <w:ind w:firstLine="560"/>
      </w:pPr>
      <w:r>
        <w:rPr>
          <w:rFonts w:hint="eastAsia"/>
        </w:rPr>
        <w:t>凭证数据请求的响应延迟应不大于8秒。</w:t>
      </w:r>
    </w:p>
    <w:p>
      <w:pPr>
        <w:pStyle w:val="3"/>
      </w:pPr>
      <w:r>
        <w:rPr>
          <w:rFonts w:hint="eastAsia"/>
        </w:rPr>
        <w:t>功能建设要求</w:t>
      </w:r>
    </w:p>
    <w:tbl>
      <w:tblPr>
        <w:tblStyle w:val="10"/>
        <w:tblW w:w="4998" w:type="pct"/>
        <w:tblInd w:w="0" w:type="dxa"/>
        <w:tblLayout w:type="fixed"/>
        <w:tblCellMar>
          <w:top w:w="0" w:type="dxa"/>
          <w:left w:w="108" w:type="dxa"/>
          <w:bottom w:w="0" w:type="dxa"/>
          <w:right w:w="108" w:type="dxa"/>
        </w:tblCellMar>
      </w:tblPr>
      <w:tblGrid>
        <w:gridCol w:w="523"/>
        <w:gridCol w:w="994"/>
        <w:gridCol w:w="1581"/>
        <w:gridCol w:w="5427"/>
      </w:tblGrid>
      <w:tr>
        <w:tblPrEx>
          <w:tblCellMar>
            <w:top w:w="0" w:type="dxa"/>
            <w:left w:w="108" w:type="dxa"/>
            <w:bottom w:w="0" w:type="dxa"/>
            <w:right w:w="108" w:type="dxa"/>
          </w:tblCellMar>
        </w:tblPrEx>
        <w:trPr>
          <w:trHeight w:val="55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b/>
                <w:bCs/>
              </w:rPr>
            </w:pPr>
            <w:r>
              <w:rPr>
                <w:rFonts w:hint="eastAsia"/>
                <w:b/>
                <w:bCs/>
              </w:rPr>
              <w:t>软件开发功能清单</w:t>
            </w:r>
          </w:p>
        </w:tc>
      </w:tr>
      <w:tr>
        <w:tblPrEx>
          <w:tblCellMar>
            <w:top w:w="0" w:type="dxa"/>
            <w:left w:w="108" w:type="dxa"/>
            <w:bottom w:w="0" w:type="dxa"/>
            <w:right w:w="108" w:type="dxa"/>
          </w:tblCellMar>
        </w:tblPrEx>
        <w:trPr>
          <w:trHeight w:val="552"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b/>
                <w:bCs/>
              </w:rPr>
            </w:pPr>
            <w:r>
              <w:rPr>
                <w:rFonts w:hint="eastAsia"/>
                <w:b/>
                <w:bCs/>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b/>
                <w:bCs/>
              </w:rPr>
            </w:pPr>
            <w:r>
              <w:rPr>
                <w:rFonts w:hint="eastAsia"/>
                <w:b/>
                <w:bCs/>
              </w:rPr>
              <w:t>应用系统名称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b/>
                <w:bCs/>
              </w:rPr>
            </w:pPr>
            <w:r>
              <w:rPr>
                <w:rFonts w:hint="eastAsia"/>
                <w:b/>
                <w:bCs/>
              </w:rPr>
              <w:t>模块名称</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rPr>
                <w:b/>
                <w:bCs/>
              </w:rPr>
            </w:pPr>
            <w:r>
              <w:rPr>
                <w:rFonts w:hint="eastAsia"/>
                <w:b/>
                <w:bCs/>
              </w:rPr>
              <w:t>模块描述</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消息提醒模块-多渠道信息反馈</w:t>
            </w:r>
          </w:p>
        </w:tc>
        <w:tc>
          <w:tcPr>
            <w:tcW w:w="3182" w:type="pct"/>
            <w:tcBorders>
              <w:top w:val="single" w:color="000000" w:sz="4" w:space="0"/>
              <w:left w:val="single" w:color="000000" w:sz="4" w:space="0"/>
              <w:bottom w:val="single" w:color="000000" w:sz="4" w:space="0"/>
              <w:right w:val="single" w:color="000000" w:sz="4" w:space="0"/>
            </w:tcBorders>
            <w:shd w:val="clear" w:color="auto" w:fill="auto"/>
          </w:tcPr>
          <w:p>
            <w:pPr>
              <w:pStyle w:val="15"/>
              <w:jc w:val="left"/>
            </w:pPr>
            <w:r>
              <w:rPr>
                <w:rFonts w:hint="eastAsia"/>
              </w:rPr>
              <w:t>1.多渠道反馈对接：实现与其他业务系统的对接（如对接人社局、公安、民政部门、教育部门）针对不同部门的反馈信息，计划制定标准化的数据接口和传输协议；2.反馈信息详细展示：对于反馈信息，提供详细的详情展示功能，方便窗口工作人员全面了解情况。</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消息提醒模块-重复办件提醒</w:t>
            </w:r>
          </w:p>
        </w:tc>
        <w:tc>
          <w:tcPr>
            <w:tcW w:w="3182" w:type="pct"/>
            <w:tcBorders>
              <w:top w:val="single" w:color="000000" w:sz="4" w:space="0"/>
              <w:left w:val="single" w:color="000000" w:sz="4" w:space="0"/>
              <w:bottom w:val="single" w:color="000000" w:sz="4" w:space="0"/>
              <w:right w:val="single" w:color="000000" w:sz="4" w:space="0"/>
            </w:tcBorders>
            <w:shd w:val="clear" w:color="auto" w:fill="auto"/>
          </w:tcPr>
          <w:p>
            <w:pPr>
              <w:pStyle w:val="15"/>
              <w:jc w:val="left"/>
            </w:pPr>
            <w:r>
              <w:rPr>
                <w:rFonts w:hint="eastAsia"/>
              </w:rPr>
              <w:t>系统自动根据身份证号判断是否存在重复申报情况，若存在则通过消息提醒模块通知退役军人服务中心工作人员主动告知申请人已办理过该事项，并提供查询和撤回申请的途径。</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一件事精细化管理模块升级-线下办理事项管理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tcPr>
          <w:p>
            <w:pPr>
              <w:pStyle w:val="15"/>
              <w:jc w:val="left"/>
            </w:pPr>
            <w:r>
              <w:rPr>
                <w:rFonts w:hint="eastAsia"/>
              </w:rPr>
              <w:t>1.线下办理事项标识：（1）对于需要在线下办理的事项，如党员组织关系转移、基本养老关系转移接续等，系统应自动在事项列表中添加明显的线下办理标识。（2）建立专门的线下办理事项分类，将此类事项归集到统一的分类下，方便管理和查询。2.自动办结：根据业务流程和相关规定，在系统中预设线下办理事项的自动办结规则。如果工作人员认为系统判定有误或存在特殊情况，可在自动办结前进行人工干预，调整事项状态并说明原因。3.事项显示更新：（1）实时刷新，系统应能够实时获取线上或线下办理事项的最新状态信息，确保工作人员看到的始终是最新的信息。（2）历史状态查询：提供事项的历史状态查询功能，可以按照时间顺序展示事项的各个阶段状态，以及相应的操作记录。</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办件推送-办件状态预警</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2800"/>
              </w:tabs>
              <w:jc w:val="left"/>
            </w:pPr>
            <w:r>
              <w:rPr>
                <w:rFonts w:hint="eastAsia"/>
              </w:rPr>
              <w:t>退役军人服务中心工作人员可根据各项业务流程状态和时效限制监控业务办理状态，在提醒消息中明确标注优先级，并在预警触发时，及时通知相关工作人员，确保重要信息能够及时传达给责任人，确保问题及时解决。1.时效参数配置：根据业务和实际办件需求为每个流程和事项设定具体的时效限制。支持按照办理环节（如资料初审、复核、审批等）以及具体业务流程（如受理、审核、办结等）等多个维度进行时效设置。2.预警条件判断：根据流程状态和时效限制自动判断是否需要发出预警（1）系统支持多条件组合预警功能。（2）当多个事项或环节的时效同时临近到期时，系统应能够按照预设的优先级规则进行排序，并在提醒消息中明确标注优先级。（3）对于一些复杂情况或存在争议的预警信息，应建立人工干预与确认机制。工作人员在收到系统预警后，可以根据实际业务情况对预警信息进行进一步核实和判断，确定是否确实存在办理延误风险或其他问题。如果工作人员认为系统预警有误，可以向系统反馈，并提供相应的解释和说明，系统将根据这些反馈信息对预警判断逻辑进行修正和完善。3.通知发送：在预警触发时，通过短信或系统内通知等方式，迅速将预警信息传达给相关的窗口人员和技术人员。（1）预警通知，在预警触发时，系统向相关工作人员发出提醒消息。提醒方式可以包括系统弹窗提醒、短信提醒等多种方式，确保重要信息能够及时传达给责任人。（2）通知模板配置，系统支持自定义通知方式和内容的模板。对于窗口工作人员，通知内容应重点突出事项名称、预警类型、当前办理进度以及需要采取的具体措施等关键信息，以便其能够迅速了解情况并做出响应；对于技术人员，通知内容应侧重于技术故障描述、可能影响的范围以及技术解决方案建议等方面，确保其能够快速定位并解决问题。（3）通知跟踪，在通知发送过程中，系统应实时跟踪通知的送达状态，并对未成功送达的通知进行重试或记录，确保重要信息不丢失、不遗漏。（4）通知管理，为了便于接收人员查看和管理通知信息，系统提供统一的通知中心，对所有发送和接收的通知进行集中展示和管理，支持按时间、类型、事项等维度进行分类筛选和排序，方便用户快速定位和处理所需的通知内容。4.强制办结：当流程达到预设的最长时效或满足特定条件时，系统可以自动或由工作人员手动触发办结，确保事项得到妥善处理。（1）自动办结规则设置，制定系统自动办结规则和流程，明确规定在何种情况下系统可以自动触发办结操作，以及办结的具体方式和后续处理措施。在自动办结过程中，系统应确保所有与该事项相关的数据和信息得到妥善保存和归档，生成完整的电子档案记录，包括事项的基本信息、办理过程、办理结果以及各个关键环节的时间戳、操作人等信息，以便后续查询、审计和统计分析使用。（2）人工手动办结机制，手动办结操作应在系统中进行严格的记录和审核，包括办结的理由、依据、时间以及操作人的详细信息等。</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办件推送-办件退回</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新增“办件退回”功能，主要面向业务工作人员在“待预审”界面，对问题办件进行批量预审退回操作，并将办理状态推送至办件库。1.正常业务数据一件事状态管理模块：（1）预审退回状态管理，当业务人员在“待预审”界面，对“一件事”信息执行“预审退回”操作时，系统自动识别该“一件事”下的所有子办件（包括“退役报到”和“组织关系转移”），并将这些子办件的状态更新为“预审退回”。同时，系统将更新后的状态信息推送至办件库，确保数据的一致性和实时性。（2）办结状态管理功能，在“接件待办结”页面，业务人员对 “一件事”信息执行“正常办结”“终止办结”或“撤销”等操作时，系统首先查询并展示该“一件事”下所有子办件的当前办结情况。业务人员确认后，系统自动办结拆分的一件事子办件，并将“退役报到”和“组织关系转移”子办件的状态更新为对应的办结状态（如“正常办结”“终止办结”或“撤销”）。最后，系统将更新后的状态信息推送至办件库。2.历史数据处理工具模块：（1）历史预审退回状态处理，系统提供批量处理功能，用于处理所有系统中存在“待预审”状态的“一件事”信息。用户可以选择批量执行预审退回操作，系统将自动更新这些“一件事”下的“退役报到”和“组织关系转移”子办件的状态为“预审退回”，并将更新后的状态信息推送至办件库。（2）历史办结状态处理，系统提供批量处理功能，用于处理所有系统中存在“已接件”状态的“一件事”信息。用户可以选择批量执行办结操作，系统将自动办结这些“一件事”下的拆分子办件，并将“退役报到”和“组织关系转移”子办件的状态更新为“办结”。最后，系统将更新后的状态信息推送至办件库。</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办件推送-免申即享办件推送</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针对“安排工作退役士兵在待安排工作期参加本市职工基本养老保险和职工基本医疗保险”事项，退役军人可免于提交业务办理信息，由区退役军人事务局与市社会保险事业管理中心通过市大数据中心进行数据交换，实现免申即享。1.事项识别与信息匹配：针对“安排工作退役士兵在待安排工作期参加本市职工基本养老保险和职工基本医疗保险发放”事项，通过对接安置系统和社保系统，识别出符合条件的退役士兵名单。根据识别出的名单，从安置系统中提取这些退役士兵的相关信息，如个人身份信息、服役年限、安置去向等，并与社保系统中的数据进行匹配，确保信息的准确性和一致性。2.推送流程：将符合条件的退役兵信息自动推送至社保系统，触发“免申即享”的办理流程。社保系统在接收到推送信息后，按照规定的待遇标准为退役士兵办理职工基本养老保险和职工基本医疗保险参保手续。3.结果反馈：社保系统在办理完成后，将办理结果反馈给退役军人服务系统。反馈信息包括办理成功与否、参保信息（如保险账号、参保时间等）等内容。退役军人服务系统将这些信息更新到申报对象的个人档案中。</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服务层-接入一网通办PC端</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1.办理须知页面开发；2.在线填表页面开发；3.材料上传页面开发；4.申请完成页面开发。</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服务层-接入支付宝小程序</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1.接入支付宝小程序用户认证体系；2.申报界面设计开发；3.多功能集成。</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服务层-新版好差评适配</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根据新版好差评改造工作需求，线下pad进行新版好差评改造，联调各区退役军人服务中心线下pad跳转好差评页面。1.线下pad界面改造：页面布局调整，根据新版好差评的设计需求，重新设计线下pad的好差评页面布局，确保页面简洁、直观，方便操作。包括评价按钮的样式、颜色、大小等，使其符合用户体验设计原则；功能优化，完善好差评的功能逻辑，如增加对不同业务类型、不同服务场景的评价选项细分，确保评价的准确性和针对性。优化评价提交后的反馈机制，让用户清楚知道评价已成功提交。2.跳转功能：联调测试，与各区退役军人服务中心的技术人员协作，对线下pad进行联调测试，确保从各个业务办理界面能够准确、流畅地跳转到好差评页面。在联调过程中，重点检查网络连接稳定性、数据传输准确性以及页面加载速度等问题，及时解决出现的兼容性问题。异常处理机制，建立完善的异常处理机制，当出现无法正常跳转的情况时，系统能够自动记录错误信息，并向相关技术人员发送警报通知。同时，为用户提供友好的错误提示信息，引导用户尝试其他操作或联系工作人员协助解决。3.数据交互与存储：数据采集，在用户进行好差评操作时，实时采集用户的评价数据，包括评价内容、评价时间、评价对象（如具体业务、服务人员等）等信息。数据存储与管理，对数据进行分类存储，便于后续的查询、统计和分析。4.权限管理：根据不同角色（如普通用户、服务中心工作人员、管理员等）的需求，设置不同的权限。例如，普通用户只能进行评价操作，服务中心工作人员可以查看和回复评价信息，管理员则拥有数据管理、统计分析等高级权限。通过严格的权限管理，确保系统的安全性和数据的保密性。5.接口调整：改造安置系统调用接口，新增智慧好办事项办件上报材料数据采集项。6.数据采集项新增：设计新增的数据采集项，包括数据采集的内容、格式、验证规则等。例如，对于不同类型的办件事项，确定需要采集的具体材料名称、材料格式要求（如文档类型、图片分辨率等）以及材料之间的关联关系等。7.接口文档更新：根据新增的数据采集项，及时更新安置系统调用接口的文档说明。详细描述接口的功能、输入参数、输出结果、调用方式等信息，为开发人员提供清晰的技术指导，确保接口的正确使用和开发。</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退役军人退役后信息管理-退役士兵预备役信息管理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工作人员可在系统中填写退役士兵与预备役相关的信息，按武装部预备役登记信息采集要求生成《预备役信息登记表》并导出</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退役军人退役后信息管理-自主就业退役士兵一次性经济补助发放</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自主就业退役士兵经济补助的信息确认，发放流程审批，审核完成后提醒工作人员及时登记发放结果。</w:t>
            </w:r>
            <w:r>
              <w:rPr>
                <w:rFonts w:hint="eastAsia"/>
              </w:rPr>
              <w:br w:type="textWrapping"/>
            </w:r>
            <w:r>
              <w:rPr>
                <w:rFonts w:hint="eastAsia"/>
              </w:rPr>
              <w:t>与资金监管平台对接，实现资金发放信息推送、资金发放结果回收、资金发放结果核验、资金发放凭证接收。</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退役军人退役后信息管理-退役士兵就业创业及培训情况管理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工作人员在完成退役士兵接收安置流程后，继续跟进退役士兵就业创业与教育培训情况，并及时更新信息。</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职业技能培训-学员端</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1、查看公开报名的项目并完成报名和取消报名；</w:t>
            </w:r>
            <w:r>
              <w:rPr>
                <w:rFonts w:hint="eastAsia"/>
              </w:rPr>
              <w:br w:type="textWrapping"/>
            </w:r>
            <w:r>
              <w:rPr>
                <w:rFonts w:hint="eastAsia"/>
              </w:rPr>
              <w:t>2、参与需求调查，填写调查问卷，提交自身感兴趣的培训项目类型或意见及建议;</w:t>
            </w:r>
            <w:r>
              <w:rPr>
                <w:rFonts w:hint="eastAsia"/>
              </w:rPr>
              <w:br w:type="textWrapping"/>
            </w:r>
            <w:r>
              <w:rPr>
                <w:rFonts w:hint="eastAsia"/>
              </w:rPr>
              <w:t>3、填写满意度调查，对本次培训的项目和机构做出评价。</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职业技能培训-项目遴选管理-培训机构库</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建立培训机构库统一管理培训机构，每年项目年检时审核其机构资质有效期，对于不符合要求的机构予以标记或剔除。</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职业技能培训-项目遴选管理-培训项目库</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建立培训项目库统一管理遴选通过的培训项目，每年项目年检时对于不符合要求的培训项目予以标记或剔除。</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职业技能培训-项目遴选管理-机构、项目申报管理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1、机构可上报机构介绍、项目介绍、教学计划等信息申报新项目，提交后提醒区工作人员进行审核。</w:t>
            </w:r>
            <w:r>
              <w:rPr>
                <w:rFonts w:hint="eastAsia"/>
              </w:rPr>
              <w:br w:type="textWrapping"/>
            </w:r>
            <w:r>
              <w:rPr>
                <w:rFonts w:hint="eastAsia"/>
              </w:rPr>
              <w:t>2、由区进行审核，审核通过后提醒市服务中心进行复核，复核通过后提醒市工作人员；对于新进机构，工作人员还需审核其培训资质；</w:t>
            </w:r>
            <w:r>
              <w:rPr>
                <w:rFonts w:hint="eastAsia"/>
              </w:rPr>
              <w:br w:type="textWrapping"/>
            </w:r>
            <w:r>
              <w:rPr>
                <w:rFonts w:hint="eastAsia"/>
              </w:rPr>
              <w:t>3、专家评审结果备案。</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职业技能培训-项目遴选管理-专家评审管理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培训项目通过区、市服务中心初审后，市工作人员组织专家评审会，并同步评审结果。市级工作人员可配置参与评审的项目、专家、材料的公开时间、评审打分时间、打分规则等。</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职业技能培训-项目遴选管理-专家评审页面</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1、专家可登录查看项目遴选资料；</w:t>
            </w:r>
            <w:r>
              <w:rPr>
                <w:rFonts w:hint="eastAsia"/>
              </w:rPr>
              <w:br w:type="textWrapping"/>
            </w:r>
            <w:r>
              <w:rPr>
                <w:rFonts w:hint="eastAsia"/>
              </w:rPr>
              <w:t>2、于规定的打分时间内专家可进行评审打分</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职业技能培训-项目年检管理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1、统计开班情况数据；上传相关材料；</w:t>
            </w:r>
            <w:r>
              <w:rPr>
                <w:rFonts w:hint="eastAsia"/>
              </w:rPr>
              <w:br w:type="textWrapping"/>
            </w:r>
            <w:r>
              <w:rPr>
                <w:rFonts w:hint="eastAsia"/>
              </w:rPr>
              <w:t>2、区审核机构上报的年检材料，上传年检报告，年检结果（包括合格、不合格、需改进），需改进的项目待机构重新上传材料后可重新审核，提交后提醒复核人员，需改进的项目提交后提醒上报人员；</w:t>
            </w:r>
            <w:r>
              <w:rPr>
                <w:rFonts w:hint="eastAsia"/>
              </w:rPr>
              <w:br w:type="textWrapping"/>
            </w:r>
            <w:r>
              <w:rPr>
                <w:rFonts w:hint="eastAsia"/>
              </w:rPr>
              <w:t>3、市服务中心复核区审核结果。</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职业技能培训-学员报名管理-报名审核</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与退役退休系统对接，同步学员身份信息，对于不符合身份的学员自动拦截报名不成功；区工作人员对已报名的学员进行身份及参与资格的符合，只有通过审核的学员才可参与培训。</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职业技能培训-学员报名管理-开班管理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培训机构可申请培训开班，经过区工作人员审核、市服务中心工作人员复核后，培训机构即可与与各区签订合同，并启动培训。</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职业技能培训-培训过程及结课管理-分班管理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对于人数较多的培训项目，培训机构可以进行分班管理：</w:t>
            </w:r>
            <w:r>
              <w:rPr>
                <w:rFonts w:hint="eastAsia"/>
              </w:rPr>
              <w:br w:type="textWrapping"/>
            </w:r>
            <w:r>
              <w:rPr>
                <w:rFonts w:hint="eastAsia"/>
              </w:rPr>
              <w:t>1、创建并管理班级信息；</w:t>
            </w:r>
            <w:r>
              <w:rPr>
                <w:rFonts w:hint="eastAsia"/>
              </w:rPr>
              <w:br w:type="textWrapping"/>
            </w:r>
            <w:r>
              <w:rPr>
                <w:rFonts w:hint="eastAsia"/>
              </w:rPr>
              <w:t>2、对各班级分配学员；</w:t>
            </w:r>
            <w:r>
              <w:rPr>
                <w:rFonts w:hint="eastAsia"/>
              </w:rPr>
              <w:br w:type="textWrapping"/>
            </w:r>
            <w:r>
              <w:rPr>
                <w:rFonts w:hint="eastAsia"/>
              </w:rPr>
              <w:t>3、编排课程表；</w:t>
            </w:r>
            <w:r>
              <w:rPr>
                <w:rFonts w:hint="eastAsia"/>
              </w:rPr>
              <w:br w:type="textWrapping"/>
            </w:r>
            <w:r>
              <w:rPr>
                <w:rFonts w:hint="eastAsia"/>
              </w:rPr>
              <w:t>4、管理学员考勤。</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职业技能培训-培训过程及结课管理-培训抽查</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承训机构所在地的区退役军人事务局负责培训日常监督，适时检查培训情况，每个培训班次根据培训时长确定抽查频次，抽查完成后提交抽查结果及文档、视频资料。</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职业技能培训-培训过程及结课管理-结课管理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在所有课程完成后，培训机构可以申请本次培训班的结课，区工作人员对已经结束的培训进行审核。</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职业技能培训-培训过程及结课管理-满意度评价</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1、市工作人员可编辑满意度评价模板；</w:t>
            </w:r>
            <w:r>
              <w:rPr>
                <w:rFonts w:hint="eastAsia"/>
              </w:rPr>
              <w:br w:type="textWrapping"/>
            </w:r>
            <w:r>
              <w:rPr>
                <w:rFonts w:hint="eastAsia"/>
              </w:rPr>
              <w:t>2、在培训结束后，各区工作人员收集参训学员对本次培训的满意度评价，统计并复送培训机构。</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职业技能培训-财政结算管理-补助标准管理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1、生活补助标准管理，定期提醒工作人员临期前调整标准；</w:t>
            </w:r>
            <w:r>
              <w:rPr>
                <w:rFonts w:hint="eastAsia"/>
              </w:rPr>
              <w:br w:type="textWrapping"/>
            </w:r>
            <w:r>
              <w:rPr>
                <w:rFonts w:hint="eastAsia"/>
              </w:rPr>
              <w:t>2、中央资金标准管理。</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职业技能培训-财政结算管理-补助发放管理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1、机构在通过结课流程后提交补助申请；</w:t>
            </w:r>
            <w:r>
              <w:rPr>
                <w:rFonts w:hint="eastAsia"/>
              </w:rPr>
              <w:br w:type="textWrapping"/>
            </w:r>
            <w:r>
              <w:rPr>
                <w:rFonts w:hint="eastAsia"/>
              </w:rPr>
              <w:t>2、区审核补助申请材料</w:t>
            </w:r>
            <w:r>
              <w:rPr>
                <w:rFonts w:hint="eastAsia"/>
              </w:rPr>
              <w:br w:type="textWrapping"/>
            </w:r>
            <w:r>
              <w:rPr>
                <w:rFonts w:hint="eastAsia"/>
              </w:rPr>
              <w:t>3、系统自动生成报销台账；</w:t>
            </w:r>
            <w:r>
              <w:rPr>
                <w:rFonts w:hint="eastAsia"/>
              </w:rPr>
              <w:br w:type="textWrapping"/>
            </w:r>
            <w:r>
              <w:rPr>
                <w:rFonts w:hint="eastAsia"/>
              </w:rPr>
              <w:t>4、机构发放生活补助后，反馈生活补助发放情况；</w:t>
            </w:r>
            <w:r>
              <w:rPr>
                <w:rFonts w:hint="eastAsia"/>
              </w:rPr>
              <w:br w:type="textWrapping"/>
            </w:r>
            <w:r>
              <w:rPr>
                <w:rFonts w:hint="eastAsia"/>
              </w:rPr>
              <w:t>5、区工作人员审核并确认机构生活补助发放情况。</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职业技能培训-长三角/全国技能培训管理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1、工作人员可录入参加过长三角/全国技能培训的培训学员相关信息</w:t>
            </w:r>
            <w:r>
              <w:rPr>
                <w:rFonts w:hint="eastAsia"/>
              </w:rPr>
              <w:br w:type="textWrapping"/>
            </w:r>
            <w:r>
              <w:rPr>
                <w:rFonts w:hint="eastAsia"/>
              </w:rPr>
              <w:t>2、工作人员对加过长三角/全国技能培训的培训学员登记补助报销结果。</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29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lang w:val="en-US" w:eastAsia="zh-CN"/>
              </w:rPr>
              <w:t>JUNXIU</w:t>
            </w:r>
            <w:r>
              <w:rPr>
                <w:rFonts w:hint="eastAsia"/>
              </w:rPr>
              <w:t>干部荣誉疗养-荣誉疗养管理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1、市退军局发布、分配及确定名单；</w:t>
            </w:r>
            <w:r>
              <w:rPr>
                <w:rFonts w:hint="eastAsia"/>
              </w:rPr>
              <w:br w:type="textWrapping"/>
            </w:r>
            <w:r>
              <w:rPr>
                <w:rFonts w:hint="eastAsia"/>
              </w:rPr>
              <w:t>2、市退军局发起，根据符合要求军休干部比例给各军休机构分配名额，系统根据军休干部的功勋荣誉、年龄、历史参加荣誉疗养情况自动筛选符合要求的军休干部；</w:t>
            </w:r>
            <w:r>
              <w:rPr>
                <w:rFonts w:hint="eastAsia"/>
              </w:rPr>
              <w:br w:type="textWrapping"/>
            </w:r>
            <w:r>
              <w:rPr>
                <w:rFonts w:hint="eastAsia"/>
              </w:rPr>
              <w:t>3、机构及军休干部确认信息后由机构提交参加疗养人员信息，机构填写完人员身体信息后导出人员信息表；</w:t>
            </w:r>
            <w:r>
              <w:rPr>
                <w:rFonts w:hint="eastAsia"/>
              </w:rPr>
              <w:br w:type="textWrapping"/>
            </w:r>
            <w:r>
              <w:rPr>
                <w:rFonts w:hint="eastAsia"/>
              </w:rPr>
              <w:t>4、区退役局审核，并可导出区的人员汇总表，汇总提交至市退军局。</w:t>
            </w:r>
            <w:r>
              <w:rPr>
                <w:rFonts w:hint="eastAsia"/>
              </w:rPr>
              <w:br w:type="textWrapping"/>
            </w:r>
            <w:r>
              <w:rPr>
                <w:rFonts w:hint="eastAsia"/>
              </w:rPr>
              <w:t>5、荣誉疗养审批流程全部完成后是退军局可实时导出当年度荣誉疗养名单。</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lang w:val="en-US" w:eastAsia="zh-CN"/>
              </w:rPr>
              <w:t>JUNXIU</w:t>
            </w:r>
            <w:r>
              <w:rPr>
                <w:rFonts w:hint="eastAsia"/>
              </w:rPr>
              <w:t>干部荣誉疗养-荣誉疗养替换/取消</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由军休机构发起，对于有突发情况无法参加疗养的军休干部进行替换或者名额取消，替换/取消信息需通过区退役局及市退军局审批。</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企业退休</w:t>
            </w:r>
            <w:r>
              <w:rPr>
                <w:rFonts w:hint="eastAsia"/>
                <w:lang w:eastAsia="zh-CN"/>
              </w:rPr>
              <w:t>JUNZHUAN</w:t>
            </w:r>
            <w:r>
              <w:rPr>
                <w:rFonts w:hint="eastAsia"/>
              </w:rPr>
              <w:t>干部信息管理-企业退休</w:t>
            </w:r>
            <w:r>
              <w:rPr>
                <w:rFonts w:hint="eastAsia"/>
                <w:lang w:eastAsia="zh-CN"/>
              </w:rPr>
              <w:t>JUNZHUAN</w:t>
            </w:r>
            <w:r>
              <w:rPr>
                <w:rFonts w:hint="eastAsia"/>
              </w:rPr>
              <w:t>干部人员管理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人员新增及审批、人员信息批量导入功能、多重身份比对更新、查询养老金数据。</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企业退休</w:t>
            </w:r>
            <w:r>
              <w:rPr>
                <w:rFonts w:hint="eastAsia"/>
                <w:lang w:eastAsia="zh-CN"/>
              </w:rPr>
              <w:t>JUNZHUAN</w:t>
            </w:r>
            <w:r>
              <w:rPr>
                <w:rFonts w:hint="eastAsia"/>
              </w:rPr>
              <w:t>干部信息管理-企业退休</w:t>
            </w:r>
            <w:r>
              <w:rPr>
                <w:rFonts w:hint="eastAsia"/>
                <w:lang w:eastAsia="zh-CN"/>
              </w:rPr>
              <w:t>JUNZHUAN</w:t>
            </w:r>
            <w:r>
              <w:rPr>
                <w:rFonts w:hint="eastAsia"/>
              </w:rPr>
              <w:t>干部关系转移管理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当企业退休</w:t>
            </w:r>
            <w:r>
              <w:rPr>
                <w:rFonts w:hint="eastAsia"/>
                <w:lang w:eastAsia="zh-CN"/>
              </w:rPr>
              <w:t>JUNZHUAN</w:t>
            </w:r>
            <w:r>
              <w:rPr>
                <w:rFonts w:hint="eastAsia"/>
              </w:rPr>
              <w:t>干部户籍区发生变更后，区级业务相关负责人可发起本区户籍的人员转至其他区的迁出流程，目标区业务相关负责人在审核通过后可成功将该人员户籍转移至目标区。</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企业退休</w:t>
            </w:r>
            <w:r>
              <w:rPr>
                <w:rFonts w:hint="eastAsia"/>
                <w:lang w:eastAsia="zh-CN"/>
              </w:rPr>
              <w:t>JUNZHUAN</w:t>
            </w:r>
            <w:r>
              <w:rPr>
                <w:rFonts w:hint="eastAsia"/>
              </w:rPr>
              <w:t>干部信息管理-补助发放管理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市业务负责人导入企业</w:t>
            </w:r>
            <w:r>
              <w:rPr>
                <w:rFonts w:hint="eastAsia"/>
                <w:lang w:eastAsia="zh-CN"/>
              </w:rPr>
              <w:t>JUNZHUAN</w:t>
            </w:r>
            <w:r>
              <w:rPr>
                <w:rFonts w:hint="eastAsia"/>
              </w:rPr>
              <w:t>干部的周期性的医疗报销数据，导入后系统自动生成发放名册，区业务负责人下发各街镇；街镇工作人员确认发放名册后线上反馈，由区各相关人员审核通过，市各相关人员审核通过后，推送至资金监管平台发放补助。</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优抚对象死亡人员管理-优抚对象减员管理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1、与死亡库对接后有新增死亡人员，首页待办事项提示死亡人员待办；</w:t>
            </w:r>
            <w:r>
              <w:rPr>
                <w:rFonts w:hint="eastAsia"/>
              </w:rPr>
              <w:br w:type="textWrapping"/>
            </w:r>
            <w:r>
              <w:rPr>
                <w:rFonts w:hint="eastAsia"/>
              </w:rPr>
              <w:t>2、区经办人提交后，依次由区业务科长、区局分管局长审批；街镇经办人提交后，依次由街镇审批人、区级经办人、区业务科长、区局分管局长审批。审批通过后定期对经费可发放人员进行减员及停发处理。</w:t>
            </w:r>
            <w:r>
              <w:rPr>
                <w:rFonts w:hint="eastAsia"/>
              </w:rPr>
              <w:br w:type="textWrapping"/>
            </w:r>
            <w:r>
              <w:rPr>
                <w:rFonts w:hint="eastAsia"/>
              </w:rPr>
              <w:t>3、上报部级系统。</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数据交换管理模块-外部数据管理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实现数据源配置（增删改等）、数据通道配置及按需求将数据源字段分发至应用系统。</w:t>
            </w:r>
            <w:r>
              <w:rPr>
                <w:rFonts w:hint="eastAsia"/>
              </w:rPr>
              <w:br w:type="textWrapping"/>
            </w:r>
            <w:r>
              <w:rPr>
                <w:rFonts w:hint="eastAsia"/>
              </w:rPr>
              <w:t>1.数据源管理</w:t>
            </w:r>
            <w:r>
              <w:rPr>
                <w:rFonts w:hint="eastAsia"/>
              </w:rPr>
              <w:br w:type="textWrapping"/>
            </w:r>
            <w:r>
              <w:rPr>
                <w:rFonts w:hint="eastAsia"/>
              </w:rPr>
              <w:t>配置来源于外部数据的数据源信息，包括：数据源名称、数据来源、字段名称、字段类型等，并且可新建、编辑、删除数据源的配置信息。</w:t>
            </w:r>
            <w:r>
              <w:rPr>
                <w:rFonts w:hint="eastAsia"/>
              </w:rPr>
              <w:br w:type="textWrapping"/>
            </w:r>
            <w:r>
              <w:rPr>
                <w:rFonts w:hint="eastAsia"/>
              </w:rPr>
              <w:t>2.数据通道管理</w:t>
            </w:r>
            <w:r>
              <w:rPr>
                <w:rFonts w:hint="eastAsia"/>
              </w:rPr>
              <w:br w:type="textWrapping"/>
            </w:r>
            <w:r>
              <w:rPr>
                <w:rFonts w:hint="eastAsia"/>
              </w:rPr>
              <w:t>可配置数据通道，配置信息包括：通道名称，关联数据源，通道描述、调用方式、调用地址、启用状态等。</w:t>
            </w:r>
            <w:r>
              <w:rPr>
                <w:rFonts w:hint="eastAsia"/>
              </w:rPr>
              <w:br w:type="textWrapping"/>
            </w:r>
            <w:r>
              <w:rPr>
                <w:rFonts w:hint="eastAsia"/>
              </w:rPr>
              <w:t>3.数据分发管理</w:t>
            </w:r>
            <w:r>
              <w:rPr>
                <w:rFonts w:hint="eastAsia"/>
              </w:rPr>
              <w:br w:type="textWrapping"/>
            </w:r>
            <w:r>
              <w:rPr>
                <w:rFonts w:hint="eastAsia"/>
              </w:rPr>
              <w:t>选择数据通道，填写应用ip，将数据源分发至ip对应的应用系统，可按业务需求选择数据源中的字段，配置项包括：数据用途、分发字段、应用ip等信息。</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数据交换管理模块-内部数据管理</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实现数据上行条目创建与管理，以及与外部或上级单位的数据传输对接。</w:t>
            </w:r>
            <w:r>
              <w:rPr>
                <w:rFonts w:hint="eastAsia"/>
              </w:rPr>
              <w:br w:type="textWrapping"/>
            </w:r>
            <w:r>
              <w:rPr>
                <w:rFonts w:hint="eastAsia"/>
              </w:rPr>
              <w:t>1） 数据上行</w:t>
            </w:r>
            <w:r>
              <w:rPr>
                <w:rFonts w:hint="eastAsia"/>
              </w:rPr>
              <w:br w:type="textWrapping"/>
            </w:r>
            <w:r>
              <w:rPr>
                <w:rFonts w:hint="eastAsia"/>
              </w:rPr>
              <w:t>创建数据上行条目，统一管理内部数据。配置项包括：条目名称、条目描述、调用地址、数据来源、数据项等。</w:t>
            </w:r>
            <w:r>
              <w:rPr>
                <w:rFonts w:hint="eastAsia"/>
              </w:rPr>
              <w:br w:type="textWrapping"/>
            </w:r>
            <w:r>
              <w:rPr>
                <w:rFonts w:hint="eastAsia"/>
              </w:rPr>
              <w:t>2） 数据传输</w:t>
            </w:r>
            <w:r>
              <w:rPr>
                <w:rFonts w:hint="eastAsia"/>
              </w:rPr>
              <w:br w:type="textWrapping"/>
            </w:r>
            <w:r>
              <w:rPr>
                <w:rFonts w:hint="eastAsia"/>
              </w:rPr>
              <w:t>与外部或上级单位进行数据对接，传输数据至其他单位的系统或应用。</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数据交换管理模块-数据交换综合统计</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主要展示并管理外部数据、内部数据的使用等情况。</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数据交换管理模块-数据交换日志</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记录数据调用详细情况，可供审计或后续查询追溯。</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数据交换管理模块-数据交换监控</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实现外部和内部数据监控（记录异常并告警），及异常时 IP 封禁的黑名单管理</w:t>
            </w:r>
            <w:r>
              <w:rPr>
                <w:rFonts w:hint="eastAsia"/>
              </w:rPr>
              <w:br w:type="textWrapping"/>
            </w:r>
            <w:r>
              <w:rPr>
                <w:rFonts w:hint="eastAsia"/>
              </w:rPr>
              <w:t>1） 外部数据监控：监控外部数据对接和使用情况，如有异常调用，记录异常情况，并及时告警。</w:t>
            </w:r>
            <w:r>
              <w:rPr>
                <w:rFonts w:hint="eastAsia"/>
              </w:rPr>
              <w:br w:type="textWrapping"/>
            </w:r>
            <w:r>
              <w:rPr>
                <w:rFonts w:hint="eastAsia"/>
              </w:rPr>
              <w:t>2） 内部数据监控：监控内部数据传输情况，如有异常传输，记录异常情况，并及时告警。</w:t>
            </w:r>
            <w:r>
              <w:rPr>
                <w:rFonts w:hint="eastAsia"/>
              </w:rPr>
              <w:br w:type="textWrapping"/>
            </w:r>
            <w:r>
              <w:rPr>
                <w:rFonts w:hint="eastAsia"/>
              </w:rPr>
              <w:t>3） 黑名单管理：当发现异常调用或传输情况时，系统临时对ip进行封禁，封禁后的ip无法通过数据交换管理模块进行调用或传输数据。</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数据交换管理模块-数据权限配置</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主要包括用户管理、角色管理。1）用户管理：账户的开设、删除、修改、启用、关闭、配置角色权限。2）角色管理：角色的新建、删除、编辑，配置菜单权限和操作权限。</w:t>
            </w:r>
          </w:p>
        </w:tc>
      </w:tr>
      <w:tr>
        <w:tblPrEx>
          <w:tblCellMar>
            <w:top w:w="0" w:type="dxa"/>
            <w:left w:w="108" w:type="dxa"/>
            <w:bottom w:w="0" w:type="dxa"/>
            <w:right w:w="108" w:type="dxa"/>
          </w:tblCellMar>
        </w:tblPrEx>
        <w:trPr>
          <w:trHeight w:val="276"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军人退役一件事综合管理平台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pPr>
            <w:r>
              <w:rPr>
                <w:rFonts w:hint="eastAsia"/>
              </w:rPr>
              <w:t>密码应用改造</w:t>
            </w:r>
          </w:p>
        </w:tc>
        <w:tc>
          <w:tcPr>
            <w:tcW w:w="31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left"/>
            </w:pPr>
            <w:r>
              <w:rPr>
                <w:rFonts w:hint="eastAsia"/>
              </w:rPr>
              <w:t>根据密码工作要求对上海市退役军人综合管理平台（含一期和二期）密码应用改造，主要包括退役退休系统、信访系统、优抚系统、义务兵系统、赋能平台、培训系统、军休服务管理系统、军休经费管理系统、无军籍职工接收安置系统、烈士纪念设施管理系统、服务保障管理系统功能模块进行密码应用改造。</w:t>
            </w:r>
          </w:p>
        </w:tc>
      </w:tr>
    </w:tbl>
    <w:p>
      <w:pPr>
        <w:ind w:firstLine="0" w:firstLineChars="0"/>
      </w:pPr>
    </w:p>
    <w:p>
      <w:pPr>
        <w:pStyle w:val="2"/>
      </w:pPr>
      <w:bookmarkStart w:id="21" w:name="_Toc63785502"/>
      <w:r>
        <w:rPr>
          <w:rFonts w:hint="eastAsia"/>
        </w:rPr>
        <w:t>电子政务云资源需求</w:t>
      </w:r>
      <w:bookmarkEnd w:id="21"/>
    </w:p>
    <w:p>
      <w:pPr>
        <w:ind w:firstLine="560"/>
      </w:pPr>
      <w:r>
        <w:rPr>
          <w:rFonts w:hint="eastAsia"/>
        </w:rPr>
        <w:t>本项目所需IaaS主机资源(CPU、内存、存储)、基础软件(操作系统、数据库、中间件)及 PaaS服务均使用电子政务云。项目实施过程中可按照上海市电子政务云平台实际分配的资源情况作动态调整，同时可整合利用原有系统主机资源。</w:t>
      </w:r>
    </w:p>
    <w:p>
      <w:pPr>
        <w:pStyle w:val="2"/>
      </w:pPr>
      <w:bookmarkStart w:id="22" w:name="_Toc63785503"/>
      <w:r>
        <w:rPr>
          <w:rFonts w:hint="eastAsia"/>
        </w:rPr>
        <w:t>其他工作要求</w:t>
      </w:r>
      <w:bookmarkEnd w:id="22"/>
    </w:p>
    <w:p>
      <w:pPr>
        <w:pStyle w:val="3"/>
      </w:pPr>
      <w:bookmarkStart w:id="23" w:name="_Toc63151871"/>
      <w:bookmarkEnd w:id="23"/>
      <w:bookmarkStart w:id="24" w:name="_Toc63762370"/>
      <w:bookmarkEnd w:id="24"/>
      <w:bookmarkStart w:id="25" w:name="_Toc62209488"/>
      <w:bookmarkEnd w:id="25"/>
      <w:bookmarkStart w:id="26" w:name="_Toc62219358"/>
      <w:bookmarkEnd w:id="26"/>
      <w:bookmarkStart w:id="27" w:name="_Toc63785504"/>
      <w:bookmarkEnd w:id="27"/>
      <w:bookmarkStart w:id="28" w:name="_Toc63785439"/>
      <w:bookmarkEnd w:id="28"/>
      <w:bookmarkStart w:id="29" w:name="_Toc61968111"/>
      <w:bookmarkEnd w:id="29"/>
      <w:bookmarkStart w:id="30" w:name="_Toc63585480"/>
      <w:bookmarkEnd w:id="30"/>
      <w:bookmarkStart w:id="31" w:name="_Toc63785505"/>
      <w:r>
        <w:rPr>
          <w:rFonts w:hint="eastAsia"/>
        </w:rPr>
        <w:t>售后服务要求</w:t>
      </w:r>
      <w:bookmarkEnd w:id="31"/>
    </w:p>
    <w:p>
      <w:pPr>
        <w:ind w:firstLine="560"/>
      </w:pPr>
      <w:r>
        <w:rPr>
          <w:rFonts w:hint="eastAsia"/>
        </w:rPr>
        <w:t>本项目质保期和免维期为自项目终验合格之日起一年，在质保期内，投标人需提供7×24小时的运行维护服务，包括系统故障的及时响应与修复、系统性能的优化调整、安全漏洞的修补以及必要的系统升级等，确保系统稳定、安全、高效运行。</w:t>
      </w:r>
    </w:p>
    <w:p>
      <w:pPr>
        <w:ind w:firstLine="560"/>
      </w:pPr>
      <w:r>
        <w:rPr>
          <w:rFonts w:hint="eastAsia"/>
        </w:rPr>
        <w:t>在质量保证期内，投标人将按照售后服务的承诺提供保修和运行维护服务，如果厂商对信息系统中软、硬件设备等产品中的部分保修期超过上述期限的，则按照厂商的规定进行免费保修。</w:t>
      </w:r>
    </w:p>
    <w:p>
      <w:pPr>
        <w:ind w:firstLine="560"/>
      </w:pPr>
      <w:r>
        <w:rPr>
          <w:rFonts w:hint="eastAsia"/>
        </w:rPr>
        <w:t>在质量保证期内，投标人负责信息系统的运行维护工作，确保信息系统安全、稳定、可靠地运行。本项目涉及的运行维护工作范围为：</w:t>
      </w:r>
    </w:p>
    <w:p>
      <w:pPr>
        <w:ind w:firstLine="560"/>
      </w:pPr>
      <w:r>
        <w:rPr>
          <w:rFonts w:hint="eastAsia"/>
        </w:rPr>
        <w:t>1、故障响应与修复：当信息系统出现故障时，投标人应按照应急响应要求迅速响应，及时组织技术人员进行故障诊断和修复。对于一般故障，应在2小时内响应并4小时内解决；对于严重故障，应在1小时内响应并2小时内恢复系统基本功能，4小时内彻底解决问题；对于重大故障，应在30分钟内响应并1小时内采取有效措施防止故障扩大，2小时内恢复关键业务功能，4小时内完成故障修复。修复完成后，需向采购人提供详细的故障报告，包括故障原因、处理过程、解决方案及后续预防措施等。</w:t>
      </w:r>
    </w:p>
    <w:p>
      <w:pPr>
        <w:ind w:firstLine="560"/>
      </w:pPr>
      <w:r>
        <w:rPr>
          <w:rFonts w:hint="eastAsia"/>
        </w:rPr>
        <w:t>2、系统优化与升级：投标人应根据信息系统的运行情况和采购人的业务需求，定期对系统进行优化调整，包括但不限于系统性能优化、资源配置调整、代码优化等，以提高系统的运行效率和稳定性。同时，需及时关注信息系统相关技术的发展动态，适时对系统进行升级，引入新的功能和技术，以满足业务发展的需要，确保信息系统的技术先进性和适应性。</w:t>
      </w:r>
    </w:p>
    <w:p>
      <w:pPr>
        <w:ind w:firstLine="560"/>
      </w:pPr>
      <w:r>
        <w:rPr>
          <w:rFonts w:hint="eastAsia"/>
        </w:rPr>
        <w:t>3、数据备份与恢复：投标人负责制定并执行数据备份策略，定期对信息系统的数据进行备份，确保数据的安全性和完整性。备份数据应存储在安全、可靠的存储介质上，并进行异地备份，以防止数据丢失和灾难恢复。在需要时，能够快速、准确地恢复数据，将数据丢失和业务中断时间降至最低。</w:t>
      </w:r>
    </w:p>
    <w:p>
      <w:pPr>
        <w:ind w:firstLine="560"/>
      </w:pPr>
      <w:r>
        <w:rPr>
          <w:rFonts w:hint="eastAsia"/>
        </w:rPr>
        <w:t>4、安全管理与维护：投标人需负责信息系统的安全管理，包括但不限于网络安全防护、系统漏洞扫描与修复、安全策略配置与更新、用户权限管理等。定期对信息系统进行或配合第三方安全评估和风险分析，及时发现并修补安全漏洞，防止黑客攻击、病毒感染等安全威胁。同时，需配合采购人建立健全的信息安全管理制度，加强对系统用户的安全教育和培训，提高用户的安全意识和操作规范性。</w:t>
      </w:r>
    </w:p>
    <w:p>
      <w:pPr>
        <w:ind w:firstLine="560"/>
      </w:pPr>
      <w:r>
        <w:rPr>
          <w:rFonts w:hint="eastAsia"/>
        </w:rPr>
        <w:t>5、文档更新与管理：在质量保证期内，投标人应及时更新和完善信息系统的相关技术文档，包括系统架构图、网络拓扑图、设计文档、用户手册等，确保文档的准确性和时效性。同时，需建立完善的文档管理体系，对文档进行分类、归档和存储，方便采购人和投标人相关人员查阅和使用。</w:t>
      </w:r>
    </w:p>
    <w:p>
      <w:pPr>
        <w:ind w:firstLine="560"/>
      </w:pPr>
      <w:r>
        <w:rPr>
          <w:rFonts w:hint="eastAsia"/>
        </w:rPr>
        <w:t>6、技术支持与咨询：投标人应提供7×24小时的技术支持服务，解答采购人在信息系统使用过程中遇到的各种技术问题，提供专业的技术咨询和解决方案。对于采购人提出的合理建议和需求，投标人应及时响应并给予积极地反馈，共同推动信息系统的持续改进和完善。</w:t>
      </w:r>
    </w:p>
    <w:p>
      <w:pPr>
        <w:ind w:firstLine="560"/>
      </w:pPr>
      <w:r>
        <w:rPr>
          <w:rFonts w:hint="eastAsia"/>
        </w:rPr>
        <w:t>7、配合采购人工作：投标人需积极配合采购人开展与信息系统相关的各项工作，包括但不限于业务培训、数据迁移、系统切换、审计检查等。在项目实施过程中，及时向采购人汇报项目进展情况，接受采购人的监督和管理，确保项目按照合同要求顺利推进。</w:t>
      </w:r>
    </w:p>
    <w:p>
      <w:pPr>
        <w:pStyle w:val="3"/>
      </w:pPr>
      <w:bookmarkStart w:id="32" w:name="_Toc63785506"/>
      <w:r>
        <w:rPr>
          <w:rFonts w:hint="eastAsia"/>
        </w:rPr>
        <w:t>应急响应要求</w:t>
      </w:r>
      <w:bookmarkEnd w:id="32"/>
    </w:p>
    <w:p>
      <w:pPr>
        <w:ind w:firstLine="560"/>
      </w:pPr>
      <w:r>
        <w:rPr>
          <w:rFonts w:hint="eastAsia"/>
        </w:rPr>
        <w:t>投标人对系统故障应能够根据故障严重程度分级响应。</w:t>
      </w:r>
    </w:p>
    <w:p>
      <w:pPr>
        <w:ind w:firstLine="560"/>
      </w:pPr>
      <w:r>
        <w:rPr>
          <w:rFonts w:hint="eastAsia"/>
        </w:rPr>
        <w:t>对于一般故障，应在接到通知后2小时内响应，4小时内解决问题；</w:t>
      </w:r>
    </w:p>
    <w:p>
      <w:pPr>
        <w:ind w:firstLine="560"/>
      </w:pPr>
      <w:r>
        <w:rPr>
          <w:rFonts w:hint="eastAsia"/>
        </w:rPr>
        <w:t>对于严重故障，应在接到通知后1小时内响应，2小时内恢复系统基本功能，4小时内彻底解决问题；</w:t>
      </w:r>
    </w:p>
    <w:p>
      <w:pPr>
        <w:ind w:firstLine="560"/>
      </w:pPr>
      <w:r>
        <w:rPr>
          <w:rFonts w:hint="eastAsia"/>
        </w:rPr>
        <w:t>对于重大故障，应在接到通知后30分钟内响应，1小时内采取有效措施防止故障扩大，2小时内恢复关键业务功能，4小时内完成故障修复。</w:t>
      </w:r>
    </w:p>
    <w:p>
      <w:pPr>
        <w:pStyle w:val="3"/>
      </w:pPr>
      <w:bookmarkStart w:id="33" w:name="_Toc63785507"/>
      <w:r>
        <w:rPr>
          <w:rFonts w:hint="eastAsia"/>
        </w:rPr>
        <w:t>培训要求</w:t>
      </w:r>
      <w:bookmarkEnd w:id="33"/>
    </w:p>
    <w:p>
      <w:pPr>
        <w:ind w:firstLine="560"/>
      </w:pPr>
      <w:r>
        <w:rPr>
          <w:rFonts w:hint="eastAsia"/>
        </w:rPr>
        <w:t>投标人需要对系统使用单位提供全面的培训内容，包括系统架构与功能介绍、操作流程演示与实操练习、常见问题处理方法讲解等。培训方式应采用线上或线下的方式，线上提供详细的培训资料，线下组织集中培训和现场指导，确保用户能够熟练掌握系统的使用和管理，并提供详细培训方案。</w:t>
      </w:r>
    </w:p>
    <w:p>
      <w:pPr>
        <w:ind w:firstLine="560"/>
      </w:pPr>
      <w:r>
        <w:rPr>
          <w:rFonts w:hint="eastAsia"/>
        </w:rPr>
        <w:t>(1)在12个月的质量保证期内，提供1次与项目相关的必要培训。</w:t>
      </w:r>
    </w:p>
    <w:p>
      <w:pPr>
        <w:ind w:firstLine="560"/>
      </w:pPr>
      <w:r>
        <w:rPr>
          <w:rFonts w:hint="eastAsia"/>
        </w:rPr>
        <w:t>(2)投标人需要开展分层次的人员培训工作，每次培训后应对参加培训人员进行测试，评估培训成果。培训应具有培训教材、培训环境和高水平的培训讲师。</w:t>
      </w:r>
    </w:p>
    <w:p>
      <w:pPr>
        <w:ind w:firstLine="560"/>
      </w:pPr>
      <w:r>
        <w:rPr>
          <w:rFonts w:hint="eastAsia"/>
        </w:rPr>
        <w:t>(3)投标人应提供一般用户的基础操作培训和部门信息管理员的日常应用维护的培训，确保用户对象能够掌握对应的操作技能。</w:t>
      </w:r>
    </w:p>
    <w:p>
      <w:pPr>
        <w:pStyle w:val="3"/>
      </w:pPr>
      <w:bookmarkStart w:id="34" w:name="_Toc63785509"/>
      <w:r>
        <w:rPr>
          <w:rFonts w:hint="eastAsia"/>
        </w:rPr>
        <w:t>进度要求</w:t>
      </w:r>
      <w:bookmarkEnd w:id="34"/>
    </w:p>
    <w:p>
      <w:pPr>
        <w:ind w:firstLine="560"/>
      </w:pPr>
      <w:r>
        <w:rPr>
          <w:rFonts w:hint="eastAsia"/>
        </w:rPr>
        <w:t>投标人应根据建设内容，分阶段制定合理的时间进度，并且应根据招标方要求进行调整和细化。</w:t>
      </w:r>
    </w:p>
    <w:p>
      <w:pPr>
        <w:ind w:firstLine="560"/>
      </w:pPr>
      <w:r>
        <w:rPr>
          <w:rFonts w:hint="eastAsia"/>
        </w:rPr>
        <w:t>本项目总建设周期为9个月，分为五个阶段。</w:t>
      </w:r>
    </w:p>
    <w:p>
      <w:pPr>
        <w:ind w:firstLine="560"/>
      </w:pPr>
      <w:r>
        <w:rPr>
          <w:rFonts w:hint="eastAsia"/>
        </w:rPr>
        <w:t>第一阶段为一个月，完成项目启动。</w:t>
      </w:r>
    </w:p>
    <w:p>
      <w:pPr>
        <w:ind w:firstLine="560"/>
      </w:pPr>
      <w:r>
        <w:rPr>
          <w:rFonts w:hint="eastAsia"/>
        </w:rPr>
        <w:t>第二阶段为一个月，完成规划设计。</w:t>
      </w:r>
    </w:p>
    <w:p>
      <w:pPr>
        <w:ind w:firstLine="560"/>
      </w:pPr>
      <w:r>
        <w:rPr>
          <w:rFonts w:hint="eastAsia"/>
        </w:rPr>
        <w:t>第三阶段为五个月，完成开发测试。</w:t>
      </w:r>
    </w:p>
    <w:p>
      <w:pPr>
        <w:ind w:firstLine="560"/>
      </w:pPr>
      <w:r>
        <w:rPr>
          <w:rFonts w:hint="eastAsia"/>
        </w:rPr>
        <w:t>第四阶段为一个月，完成试运行。</w:t>
      </w:r>
    </w:p>
    <w:p>
      <w:pPr>
        <w:ind w:firstLine="560"/>
      </w:pPr>
      <w:r>
        <w:rPr>
          <w:rFonts w:hint="eastAsia"/>
        </w:rPr>
        <w:t>第五阶段为一个月，完成项目验收。</w:t>
      </w:r>
    </w:p>
    <w:p>
      <w:pPr>
        <w:ind w:firstLine="560"/>
      </w:pPr>
      <w:r>
        <w:rPr>
          <w:rFonts w:hint="eastAsia"/>
        </w:rPr>
        <w:t>在试运行阶段，投标人需协助采购人对系统进行全面测试和优化，确保系统满足业务需求。</w:t>
      </w:r>
    </w:p>
    <w:p>
      <w:pPr>
        <w:pStyle w:val="3"/>
      </w:pPr>
      <w:bookmarkStart w:id="35" w:name="_Toc63785510"/>
      <w:r>
        <w:rPr>
          <w:rFonts w:hint="eastAsia"/>
        </w:rPr>
        <w:t>项目团队及驻场人员要求</w:t>
      </w:r>
      <w:bookmarkEnd w:id="35"/>
    </w:p>
    <w:p>
      <w:pPr>
        <w:ind w:firstLine="560"/>
      </w:pPr>
      <w:r>
        <w:rPr>
          <w:rFonts w:hint="eastAsia"/>
        </w:rPr>
        <w:t>（1）</w:t>
      </w:r>
      <w:r>
        <w:t>投标人须具有稳定的在职技术保障力量，能够提供及时的技术支援或服务，应针对本项目提供不少于</w:t>
      </w:r>
      <w:r>
        <w:rPr>
          <w:rFonts w:hint="eastAsia"/>
        </w:rPr>
        <w:t>8</w:t>
      </w:r>
      <w:r>
        <w:t>人的项目服务团队（包括项目经理、产品经理、技术负责人、</w:t>
      </w:r>
      <w:r>
        <w:rPr>
          <w:rFonts w:hint="eastAsia"/>
        </w:rPr>
        <w:t>软件设计师、</w:t>
      </w:r>
      <w:r>
        <w:t>研发</w:t>
      </w:r>
      <w:r>
        <w:rPr>
          <w:rFonts w:hint="eastAsia"/>
        </w:rPr>
        <w:t>工程师、测试工程师</w:t>
      </w:r>
      <w:r>
        <w:t>等），投标单位的相关服务人员需具备相应的服务能力，需提供相关证明。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714"/>
        <w:gridCol w:w="1229"/>
        <w:gridCol w:w="291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rPr>
                <w:b/>
                <w:bCs/>
              </w:rPr>
            </w:pPr>
            <w:r>
              <w:rPr>
                <w:rFonts w:hint="eastAsia"/>
                <w:b/>
                <w:bCs/>
              </w:rPr>
              <w:t>角色</w:t>
            </w:r>
          </w:p>
        </w:tc>
        <w:tc>
          <w:tcPr>
            <w:tcW w:w="1714" w:type="dxa"/>
            <w:shd w:val="clear" w:color="auto" w:fill="auto"/>
            <w:noWrap/>
            <w:vAlign w:val="center"/>
          </w:tcPr>
          <w:p>
            <w:pPr>
              <w:pStyle w:val="15"/>
              <w:rPr>
                <w:b/>
                <w:bCs/>
              </w:rPr>
            </w:pPr>
            <w:r>
              <w:rPr>
                <w:rFonts w:hint="eastAsia"/>
                <w:b/>
                <w:bCs/>
              </w:rPr>
              <w:t>主要职责</w:t>
            </w:r>
          </w:p>
        </w:tc>
        <w:tc>
          <w:tcPr>
            <w:tcW w:w="1229" w:type="dxa"/>
            <w:shd w:val="clear" w:color="auto" w:fill="auto"/>
            <w:noWrap/>
            <w:vAlign w:val="center"/>
          </w:tcPr>
          <w:p>
            <w:pPr>
              <w:pStyle w:val="15"/>
              <w:rPr>
                <w:b/>
                <w:bCs/>
              </w:rPr>
            </w:pPr>
            <w:r>
              <w:rPr>
                <w:rFonts w:hint="eastAsia"/>
                <w:b/>
                <w:bCs/>
              </w:rPr>
              <w:t>人员数量</w:t>
            </w:r>
          </w:p>
        </w:tc>
        <w:tc>
          <w:tcPr>
            <w:tcW w:w="2913" w:type="dxa"/>
            <w:vAlign w:val="center"/>
          </w:tcPr>
          <w:p>
            <w:pPr>
              <w:pStyle w:val="15"/>
              <w:rPr>
                <w:b/>
                <w:bCs/>
              </w:rPr>
            </w:pPr>
            <w:r>
              <w:rPr>
                <w:rFonts w:hint="eastAsia"/>
                <w:b/>
                <w:bCs/>
              </w:rPr>
              <w:t>人员要求</w:t>
            </w:r>
          </w:p>
        </w:tc>
        <w:tc>
          <w:tcPr>
            <w:tcW w:w="1256" w:type="dxa"/>
            <w:shd w:val="clear" w:color="auto" w:fill="auto"/>
            <w:noWrap/>
            <w:vAlign w:val="center"/>
          </w:tcPr>
          <w:p>
            <w:pPr>
              <w:pStyle w:val="15"/>
              <w:rPr>
                <w:b/>
                <w:bCs/>
              </w:rPr>
            </w:pPr>
            <w:r>
              <w:rPr>
                <w:rFonts w:hint="eastAsia"/>
                <w:b/>
                <w:bCs/>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项目经理</w:t>
            </w:r>
          </w:p>
        </w:tc>
        <w:tc>
          <w:tcPr>
            <w:tcW w:w="1714" w:type="dxa"/>
            <w:shd w:val="clear" w:color="auto" w:fill="auto"/>
            <w:vAlign w:val="center"/>
          </w:tcPr>
          <w:p>
            <w:pPr>
              <w:pStyle w:val="15"/>
            </w:pPr>
            <w:r>
              <w:rPr>
                <w:rFonts w:hint="eastAsia"/>
              </w:rPr>
              <w:t>负责项目整体统筹</w:t>
            </w:r>
          </w:p>
        </w:tc>
        <w:tc>
          <w:tcPr>
            <w:tcW w:w="1229" w:type="dxa"/>
            <w:shd w:val="clear" w:color="auto" w:fill="auto"/>
            <w:noWrap/>
            <w:vAlign w:val="center"/>
          </w:tcPr>
          <w:p>
            <w:pPr>
              <w:pStyle w:val="15"/>
            </w:pPr>
            <w:r>
              <w:rPr>
                <w:rFonts w:hint="eastAsia"/>
              </w:rPr>
              <w:t>1人</w:t>
            </w:r>
          </w:p>
        </w:tc>
        <w:tc>
          <w:tcPr>
            <w:tcW w:w="2913" w:type="dxa"/>
            <w:vAlign w:val="center"/>
          </w:tcPr>
          <w:p>
            <w:pPr>
              <w:pStyle w:val="15"/>
            </w:pPr>
            <w:r>
              <w:rPr>
                <w:rFonts w:hint="eastAsia"/>
              </w:rPr>
              <w:t>本科及以上学历，具备信息系统项目管理师资质证书，拥有3年以上同类项目经验</w:t>
            </w:r>
          </w:p>
        </w:tc>
        <w:tc>
          <w:tcPr>
            <w:tcW w:w="1256" w:type="dxa"/>
            <w:shd w:val="clear" w:color="auto" w:fill="auto"/>
            <w:noWrap/>
            <w:vAlign w:val="center"/>
          </w:tcPr>
          <w:p>
            <w:pPr>
              <w:pStyle w:val="15"/>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产品经理</w:t>
            </w:r>
          </w:p>
        </w:tc>
        <w:tc>
          <w:tcPr>
            <w:tcW w:w="1714" w:type="dxa"/>
            <w:shd w:val="clear" w:color="auto" w:fill="auto"/>
            <w:vAlign w:val="center"/>
          </w:tcPr>
          <w:p>
            <w:pPr>
              <w:pStyle w:val="15"/>
            </w:pPr>
            <w:r>
              <w:rPr>
                <w:rFonts w:hint="eastAsia"/>
              </w:rPr>
              <w:t>负责项目需求评估与产品设计</w:t>
            </w:r>
          </w:p>
        </w:tc>
        <w:tc>
          <w:tcPr>
            <w:tcW w:w="1229" w:type="dxa"/>
            <w:shd w:val="clear" w:color="auto" w:fill="auto"/>
            <w:noWrap/>
            <w:vAlign w:val="center"/>
          </w:tcPr>
          <w:p>
            <w:pPr>
              <w:pStyle w:val="15"/>
            </w:pPr>
            <w:r>
              <w:rPr>
                <w:rFonts w:hint="eastAsia"/>
              </w:rPr>
              <w:t>1人</w:t>
            </w:r>
          </w:p>
        </w:tc>
        <w:tc>
          <w:tcPr>
            <w:tcW w:w="2913" w:type="dxa"/>
            <w:vAlign w:val="center"/>
          </w:tcPr>
          <w:p>
            <w:pPr>
              <w:pStyle w:val="15"/>
            </w:pPr>
            <w:r>
              <w:rPr>
                <w:rFonts w:hint="eastAsia"/>
              </w:rPr>
              <w:t>本科及以上学历，具有系统集成项目管理工程师证书。3年以上同类项目经验</w:t>
            </w:r>
          </w:p>
        </w:tc>
        <w:tc>
          <w:tcPr>
            <w:tcW w:w="1256" w:type="dxa"/>
            <w:shd w:val="clear" w:color="auto" w:fill="auto"/>
            <w:noWrap/>
            <w:vAlign w:val="center"/>
          </w:tcPr>
          <w:p>
            <w:pPr>
              <w:pStyle w:val="15"/>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软件设计师</w:t>
            </w:r>
          </w:p>
        </w:tc>
        <w:tc>
          <w:tcPr>
            <w:tcW w:w="1714" w:type="dxa"/>
            <w:shd w:val="clear" w:color="auto" w:fill="auto"/>
            <w:noWrap/>
            <w:vAlign w:val="center"/>
          </w:tcPr>
          <w:p>
            <w:pPr>
              <w:pStyle w:val="15"/>
            </w:pPr>
            <w:r>
              <w:rPr>
                <w:rFonts w:hint="eastAsia"/>
              </w:rPr>
              <w:t>负责项目软件总体设计</w:t>
            </w:r>
          </w:p>
        </w:tc>
        <w:tc>
          <w:tcPr>
            <w:tcW w:w="1229" w:type="dxa"/>
            <w:shd w:val="clear" w:color="auto" w:fill="auto"/>
            <w:noWrap/>
            <w:vAlign w:val="center"/>
          </w:tcPr>
          <w:p>
            <w:pPr>
              <w:pStyle w:val="15"/>
            </w:pPr>
            <w:r>
              <w:rPr>
                <w:rFonts w:hint="eastAsia"/>
              </w:rPr>
              <w:t>1人</w:t>
            </w:r>
          </w:p>
        </w:tc>
        <w:tc>
          <w:tcPr>
            <w:tcW w:w="2913" w:type="dxa"/>
            <w:shd w:val="clear" w:color="auto" w:fill="auto"/>
            <w:vAlign w:val="center"/>
          </w:tcPr>
          <w:p>
            <w:pPr>
              <w:pStyle w:val="15"/>
            </w:pPr>
            <w:r>
              <w:rPr>
                <w:rFonts w:hint="eastAsia"/>
              </w:rPr>
              <w:t>本科及以上学历，具有软件设计师证书</w:t>
            </w:r>
          </w:p>
        </w:tc>
        <w:tc>
          <w:tcPr>
            <w:tcW w:w="1256" w:type="dxa"/>
            <w:shd w:val="clear" w:color="auto" w:fill="auto"/>
            <w:noWrap/>
            <w:vAlign w:val="center"/>
          </w:tcPr>
          <w:p>
            <w:pPr>
              <w:pStyle w:val="15"/>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t>研发</w:t>
            </w:r>
            <w:r>
              <w:rPr>
                <w:rFonts w:hint="eastAsia"/>
              </w:rPr>
              <w:t>工程师</w:t>
            </w:r>
          </w:p>
        </w:tc>
        <w:tc>
          <w:tcPr>
            <w:tcW w:w="1714" w:type="dxa"/>
            <w:shd w:val="clear" w:color="auto" w:fill="auto"/>
            <w:noWrap/>
            <w:vAlign w:val="center"/>
          </w:tcPr>
          <w:p>
            <w:pPr>
              <w:pStyle w:val="15"/>
            </w:pPr>
            <w:r>
              <w:rPr>
                <w:rFonts w:hint="eastAsia"/>
              </w:rPr>
              <w:t>负责项目具体开发与实施</w:t>
            </w:r>
          </w:p>
        </w:tc>
        <w:tc>
          <w:tcPr>
            <w:tcW w:w="1229" w:type="dxa"/>
            <w:shd w:val="clear" w:color="auto" w:fill="auto"/>
            <w:noWrap/>
            <w:vAlign w:val="center"/>
          </w:tcPr>
          <w:p>
            <w:pPr>
              <w:pStyle w:val="15"/>
            </w:pPr>
            <w:r>
              <w:rPr>
                <w:rFonts w:hint="eastAsia"/>
              </w:rPr>
              <w:t>4人</w:t>
            </w:r>
          </w:p>
        </w:tc>
        <w:tc>
          <w:tcPr>
            <w:tcW w:w="2913" w:type="dxa"/>
            <w:shd w:val="clear" w:color="auto" w:fill="auto"/>
            <w:vAlign w:val="center"/>
          </w:tcPr>
          <w:p>
            <w:pPr>
              <w:pStyle w:val="15"/>
            </w:pPr>
            <w:r>
              <w:rPr>
                <w:rFonts w:hint="eastAsia"/>
              </w:rPr>
              <w:t>大专及以上学历，具有3年以上软件开发经验，熟悉国产化开发环境。</w:t>
            </w:r>
          </w:p>
        </w:tc>
        <w:tc>
          <w:tcPr>
            <w:tcW w:w="1256" w:type="dxa"/>
            <w:shd w:val="clear" w:color="auto" w:fill="auto"/>
            <w:noWrap/>
            <w:vAlign w:val="center"/>
          </w:tcPr>
          <w:p>
            <w:pPr>
              <w:pStyle w:val="15"/>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测试工程师</w:t>
            </w:r>
          </w:p>
        </w:tc>
        <w:tc>
          <w:tcPr>
            <w:tcW w:w="1714" w:type="dxa"/>
            <w:shd w:val="clear" w:color="auto" w:fill="auto"/>
            <w:noWrap/>
            <w:vAlign w:val="center"/>
          </w:tcPr>
          <w:p>
            <w:pPr>
              <w:pStyle w:val="15"/>
            </w:pPr>
            <w:r>
              <w:rPr>
                <w:rFonts w:hint="eastAsia"/>
              </w:rPr>
              <w:t>负责项目具体开发与实施</w:t>
            </w:r>
          </w:p>
        </w:tc>
        <w:tc>
          <w:tcPr>
            <w:tcW w:w="1229" w:type="dxa"/>
            <w:shd w:val="clear" w:color="auto" w:fill="auto"/>
            <w:noWrap/>
            <w:vAlign w:val="center"/>
          </w:tcPr>
          <w:p>
            <w:pPr>
              <w:pStyle w:val="15"/>
            </w:pPr>
            <w:r>
              <w:rPr>
                <w:rFonts w:hint="eastAsia"/>
              </w:rPr>
              <w:t>1人</w:t>
            </w:r>
          </w:p>
        </w:tc>
        <w:tc>
          <w:tcPr>
            <w:tcW w:w="2913" w:type="dxa"/>
            <w:shd w:val="clear" w:color="auto" w:fill="auto"/>
            <w:vAlign w:val="center"/>
          </w:tcPr>
          <w:p>
            <w:pPr>
              <w:pStyle w:val="15"/>
            </w:pPr>
            <w:r>
              <w:rPr>
                <w:rFonts w:hint="eastAsia"/>
              </w:rPr>
              <w:t>大专及以上学历，具有3年以上软件测试经验。</w:t>
            </w:r>
          </w:p>
        </w:tc>
        <w:tc>
          <w:tcPr>
            <w:tcW w:w="1256" w:type="dxa"/>
            <w:shd w:val="clear" w:color="auto" w:fill="auto"/>
            <w:noWrap/>
            <w:vAlign w:val="center"/>
          </w:tcPr>
          <w:p>
            <w:pPr>
              <w:pStyle w:val="15"/>
            </w:pPr>
            <w:r>
              <w:rPr>
                <w:rFonts w:hint="eastAsia"/>
              </w:rPr>
              <w:t>不驻场</w:t>
            </w:r>
          </w:p>
        </w:tc>
      </w:tr>
    </w:tbl>
    <w:p>
      <w:pPr>
        <w:ind w:firstLine="560"/>
      </w:pPr>
      <w:r>
        <w:rPr>
          <w:rFonts w:hint="eastAsia"/>
        </w:rPr>
        <w:t>（</w:t>
      </w:r>
      <w:r>
        <w:t>2）投标人应针对</w:t>
      </w:r>
      <w:bookmarkStart w:id="38" w:name="_GoBack"/>
      <w:bookmarkEnd w:id="38"/>
      <w:r>
        <w:t>本项目提供不少于</w:t>
      </w:r>
      <w:r>
        <w:rPr>
          <w:rFonts w:hint="eastAsia"/>
        </w:rPr>
        <w:t>2</w:t>
      </w:r>
      <w:r>
        <w:t>人的质保期间支撑团队；投标人的相关服务人员需具备相应的服务能力，需提供相关证明（最近一个季度</w:t>
      </w:r>
      <w:r>
        <w:rPr>
          <w:rFonts w:hint="eastAsia"/>
        </w:rPr>
        <w:t>任意一个月</w:t>
      </w:r>
      <w:r>
        <w:t>依法缴纳社保费的证明）。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256"/>
        <w:gridCol w:w="1228"/>
        <w:gridCol w:w="2448"/>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rPr>
                <w:b/>
                <w:bCs/>
              </w:rPr>
            </w:pPr>
            <w:r>
              <w:rPr>
                <w:rFonts w:hint="eastAsia"/>
                <w:b/>
                <w:bCs/>
              </w:rPr>
              <w:t>角色</w:t>
            </w:r>
          </w:p>
        </w:tc>
        <w:tc>
          <w:tcPr>
            <w:tcW w:w="2256" w:type="dxa"/>
            <w:shd w:val="clear" w:color="auto" w:fill="auto"/>
            <w:noWrap/>
            <w:vAlign w:val="center"/>
          </w:tcPr>
          <w:p>
            <w:pPr>
              <w:pStyle w:val="15"/>
              <w:rPr>
                <w:b/>
                <w:bCs/>
              </w:rPr>
            </w:pPr>
            <w:r>
              <w:rPr>
                <w:rFonts w:hint="eastAsia"/>
                <w:b/>
                <w:bCs/>
              </w:rPr>
              <w:t>主要职责</w:t>
            </w:r>
          </w:p>
        </w:tc>
        <w:tc>
          <w:tcPr>
            <w:tcW w:w="1228" w:type="dxa"/>
            <w:shd w:val="clear" w:color="auto" w:fill="auto"/>
            <w:noWrap/>
            <w:vAlign w:val="center"/>
          </w:tcPr>
          <w:p>
            <w:pPr>
              <w:pStyle w:val="15"/>
              <w:rPr>
                <w:b/>
                <w:bCs/>
              </w:rPr>
            </w:pPr>
            <w:r>
              <w:rPr>
                <w:rFonts w:hint="eastAsia"/>
                <w:b/>
                <w:bCs/>
              </w:rPr>
              <w:t>人员数量</w:t>
            </w:r>
          </w:p>
        </w:tc>
        <w:tc>
          <w:tcPr>
            <w:tcW w:w="2448" w:type="dxa"/>
            <w:vAlign w:val="center"/>
          </w:tcPr>
          <w:p>
            <w:pPr>
              <w:pStyle w:val="15"/>
              <w:rPr>
                <w:b/>
                <w:bCs/>
              </w:rPr>
            </w:pPr>
            <w:r>
              <w:rPr>
                <w:rFonts w:hint="eastAsia"/>
                <w:b/>
                <w:bCs/>
              </w:rPr>
              <w:t>人员要求</w:t>
            </w:r>
          </w:p>
        </w:tc>
        <w:tc>
          <w:tcPr>
            <w:tcW w:w="1180" w:type="dxa"/>
            <w:shd w:val="clear" w:color="auto" w:fill="auto"/>
            <w:noWrap/>
            <w:vAlign w:val="center"/>
          </w:tcPr>
          <w:p>
            <w:pPr>
              <w:pStyle w:val="15"/>
              <w:rPr>
                <w:b/>
                <w:bCs/>
              </w:rPr>
            </w:pPr>
            <w:r>
              <w:rPr>
                <w:rFonts w:hint="eastAsia"/>
                <w:b/>
                <w:bCs/>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项目经理</w:t>
            </w:r>
          </w:p>
        </w:tc>
        <w:tc>
          <w:tcPr>
            <w:tcW w:w="2256" w:type="dxa"/>
            <w:shd w:val="clear" w:color="auto" w:fill="auto"/>
            <w:vAlign w:val="center"/>
          </w:tcPr>
          <w:p>
            <w:pPr>
              <w:pStyle w:val="15"/>
            </w:pPr>
            <w:r>
              <w:rPr>
                <w:rFonts w:hint="eastAsia"/>
              </w:rPr>
              <w:t>负责项目质量和进度控制</w:t>
            </w:r>
          </w:p>
        </w:tc>
        <w:tc>
          <w:tcPr>
            <w:tcW w:w="1228" w:type="dxa"/>
            <w:shd w:val="clear" w:color="auto" w:fill="auto"/>
            <w:noWrap/>
            <w:vAlign w:val="center"/>
          </w:tcPr>
          <w:p>
            <w:pPr>
              <w:pStyle w:val="15"/>
            </w:pPr>
            <w:r>
              <w:rPr>
                <w:rFonts w:hint="eastAsia"/>
              </w:rPr>
              <w:t>1人</w:t>
            </w:r>
          </w:p>
        </w:tc>
        <w:tc>
          <w:tcPr>
            <w:tcW w:w="2448" w:type="dxa"/>
            <w:vAlign w:val="center"/>
          </w:tcPr>
          <w:p>
            <w:pPr>
              <w:pStyle w:val="15"/>
            </w:pPr>
            <w:r>
              <w:rPr>
                <w:rFonts w:hint="eastAsia"/>
              </w:rPr>
              <w:t>本科及以上学历具备系统集成项目管理工程师证书，3年以上同类项目经验</w:t>
            </w:r>
          </w:p>
        </w:tc>
        <w:tc>
          <w:tcPr>
            <w:tcW w:w="1180" w:type="dxa"/>
            <w:shd w:val="clear" w:color="auto" w:fill="auto"/>
            <w:noWrap/>
            <w:vAlign w:val="center"/>
          </w:tcPr>
          <w:p>
            <w:pPr>
              <w:pStyle w:val="15"/>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pPr>
            <w:r>
              <w:rPr>
                <w:rFonts w:hint="eastAsia"/>
              </w:rPr>
              <w:t>运维工程师</w:t>
            </w:r>
          </w:p>
        </w:tc>
        <w:tc>
          <w:tcPr>
            <w:tcW w:w="2256" w:type="dxa"/>
            <w:shd w:val="clear" w:color="auto" w:fill="auto"/>
            <w:noWrap/>
            <w:vAlign w:val="center"/>
          </w:tcPr>
          <w:p>
            <w:pPr>
              <w:pStyle w:val="15"/>
            </w:pPr>
            <w:r>
              <w:rPr>
                <w:rFonts w:hint="eastAsia"/>
              </w:rPr>
              <w:t>负责项目运行维护</w:t>
            </w:r>
          </w:p>
        </w:tc>
        <w:tc>
          <w:tcPr>
            <w:tcW w:w="1228" w:type="dxa"/>
            <w:shd w:val="clear" w:color="auto" w:fill="auto"/>
            <w:noWrap/>
            <w:vAlign w:val="center"/>
          </w:tcPr>
          <w:p>
            <w:pPr>
              <w:pStyle w:val="15"/>
            </w:pPr>
            <w:r>
              <w:rPr>
                <w:rFonts w:hint="eastAsia"/>
              </w:rPr>
              <w:t>1人</w:t>
            </w:r>
          </w:p>
        </w:tc>
        <w:tc>
          <w:tcPr>
            <w:tcW w:w="2448" w:type="dxa"/>
            <w:vAlign w:val="center"/>
          </w:tcPr>
          <w:p>
            <w:pPr>
              <w:pStyle w:val="15"/>
            </w:pPr>
            <w:r>
              <w:rPr>
                <w:rFonts w:hint="eastAsia"/>
              </w:rPr>
              <w:t>本科及以上学历，具备3年以上同类项目经验</w:t>
            </w:r>
          </w:p>
        </w:tc>
        <w:tc>
          <w:tcPr>
            <w:tcW w:w="1180" w:type="dxa"/>
            <w:shd w:val="clear" w:color="auto" w:fill="auto"/>
            <w:noWrap/>
            <w:vAlign w:val="center"/>
          </w:tcPr>
          <w:p>
            <w:pPr>
              <w:pStyle w:val="15"/>
            </w:pPr>
            <w:r>
              <w:rPr>
                <w:rFonts w:hint="eastAsia"/>
              </w:rPr>
              <w:t>不驻场</w:t>
            </w:r>
          </w:p>
        </w:tc>
      </w:tr>
    </w:tbl>
    <w:p>
      <w:pPr>
        <w:pStyle w:val="3"/>
      </w:pPr>
      <w:bookmarkStart w:id="36" w:name="_Toc63785511"/>
      <w:r>
        <w:t>等级保护要求</w:t>
      </w:r>
      <w:bookmarkEnd w:id="36"/>
    </w:p>
    <w:p>
      <w:pPr>
        <w:ind w:firstLine="560"/>
      </w:pPr>
      <w:r>
        <w:rPr>
          <w:rFonts w:hint="eastAsia"/>
        </w:rPr>
        <w:t>配合建设单位按照网络安全等级保护三级要求建设项目。</w:t>
      </w:r>
    </w:p>
    <w:p>
      <w:pPr>
        <w:pStyle w:val="3"/>
      </w:pPr>
      <w:r>
        <w:rPr>
          <w:rFonts w:hint="eastAsia"/>
        </w:rPr>
        <w:t>商业密码应用需求</w:t>
      </w:r>
    </w:p>
    <w:p>
      <w:pPr>
        <w:ind w:firstLine="560"/>
      </w:pPr>
      <w:r>
        <w:rPr>
          <w:rFonts w:hint="eastAsia"/>
        </w:rPr>
        <w:t>围绕《国家政务信息化项目建设管理办法》中关于政务信息系统在系统规划阶段的密码应用要求，综合考虑物理和环境、网络和通信、设备和计算、应用和数据、安全管理等层面的密码应用需求，完成密码应用改造工作，同时配合密码测评工作，并顺利通过密码测评。</w:t>
      </w:r>
    </w:p>
    <w:p>
      <w:pPr>
        <w:pStyle w:val="3"/>
      </w:pPr>
      <w:bookmarkStart w:id="37" w:name="_Toc63785512"/>
      <w:r>
        <w:rPr>
          <w:rFonts w:hint="eastAsia"/>
        </w:rPr>
        <w:t>技术文件要求</w:t>
      </w:r>
    </w:p>
    <w:p>
      <w:pPr>
        <w:ind w:firstLine="560"/>
      </w:pPr>
      <w:r>
        <w:rPr>
          <w:rFonts w:hint="eastAsia"/>
        </w:rPr>
        <w:t>投标人提供的书面技术资料应能确保系统正常运行所需的管理、运营及维护有关的全套文件。技术文件应该全面、完整、详细。投标人提供的技术文件至少应包括：</w:t>
      </w:r>
      <w:r>
        <w:t xml:space="preserve"> </w:t>
      </w:r>
    </w:p>
    <w:p>
      <w:pPr>
        <w:ind w:firstLine="560"/>
      </w:pPr>
      <w:r>
        <w:rPr>
          <w:rFonts w:hint="eastAsia"/>
        </w:rPr>
        <w:t>－</w:t>
      </w:r>
      <w:r>
        <w:t xml:space="preserve"> 技术手册(测试、操作等) </w:t>
      </w:r>
      <w:r>
        <w:rPr>
          <w:rFonts w:hint="eastAsia"/>
        </w:rPr>
        <w:t>；</w:t>
      </w:r>
    </w:p>
    <w:p>
      <w:pPr>
        <w:ind w:firstLine="560"/>
      </w:pPr>
      <w:r>
        <w:rPr>
          <w:rFonts w:hint="eastAsia"/>
        </w:rPr>
        <w:t>－</w:t>
      </w:r>
      <w:r>
        <w:t xml:space="preserve"> 项目文档，应该包括</w:t>
      </w:r>
    </w:p>
    <w:p>
      <w:pPr>
        <w:numPr>
          <w:ilvl w:val="0"/>
          <w:numId w:val="5"/>
        </w:numPr>
        <w:ind w:left="360" w:firstLine="560"/>
      </w:pPr>
      <w:r>
        <w:t>需求</w:t>
      </w:r>
      <w:r>
        <w:rPr>
          <w:rFonts w:hint="eastAsia"/>
        </w:rPr>
        <w:t>规格</w:t>
      </w:r>
      <w:r>
        <w:t>说明书</w:t>
      </w:r>
    </w:p>
    <w:p>
      <w:pPr>
        <w:numPr>
          <w:ilvl w:val="0"/>
          <w:numId w:val="5"/>
        </w:numPr>
        <w:ind w:left="360" w:firstLine="560"/>
      </w:pPr>
      <w:r>
        <w:t>系统</w:t>
      </w:r>
      <w:r>
        <w:rPr>
          <w:rFonts w:hint="eastAsia"/>
        </w:rPr>
        <w:t>设计说明书（概要、详细设计）</w:t>
      </w:r>
    </w:p>
    <w:p>
      <w:pPr>
        <w:numPr>
          <w:ilvl w:val="0"/>
          <w:numId w:val="5"/>
        </w:numPr>
        <w:ind w:left="360" w:firstLine="560"/>
      </w:pPr>
      <w:r>
        <w:t>应用软件功能清单</w:t>
      </w:r>
    </w:p>
    <w:p>
      <w:pPr>
        <w:ind w:firstLine="560"/>
      </w:pPr>
      <w:r>
        <w:rPr>
          <w:rFonts w:hint="eastAsia"/>
        </w:rPr>
        <w:t>提供全套技术文件纸介质</w:t>
      </w:r>
      <w:r>
        <w:t>3套以及电子文件1套。</w:t>
      </w:r>
      <w:bookmarkEnd w:id="37"/>
    </w:p>
    <w:p>
      <w:pPr>
        <w:pStyle w:val="3"/>
      </w:pPr>
      <w:r>
        <w:rPr>
          <w:rFonts w:hint="eastAsia"/>
        </w:rPr>
        <w:t>其他要求</w:t>
      </w:r>
    </w:p>
    <w:p>
      <w:pPr>
        <w:numPr>
          <w:ilvl w:val="0"/>
          <w:numId w:val="6"/>
        </w:numPr>
        <w:ind w:firstLine="560"/>
      </w:pPr>
      <w:r>
        <w:rPr>
          <w:rFonts w:hint="eastAsia"/>
        </w:rPr>
        <w:t>投标人具有近三年类似项目业绩的优先考虑；</w:t>
      </w:r>
    </w:p>
    <w:p>
      <w:pPr>
        <w:numPr>
          <w:ilvl w:val="0"/>
          <w:numId w:val="6"/>
        </w:numPr>
        <w:ind w:firstLine="560"/>
      </w:pPr>
      <w:r>
        <w:rPr>
          <w:rFonts w:hint="eastAsia"/>
        </w:rPr>
        <w:t>投标人具有信息技术服务管理体系认证证书、信息安全管理体系认证证书、质量管理体系认证证书</w:t>
      </w:r>
      <w:r>
        <w:rPr>
          <w:rFonts w:hint="eastAsia"/>
          <w:lang w:eastAsia="zh-CN"/>
        </w:rPr>
        <w:t>并</w:t>
      </w:r>
      <w:r>
        <w:rPr>
          <w:rFonts w:hint="eastAsia"/>
        </w:rPr>
        <w:t>在有效期内的</w:t>
      </w:r>
      <w:r>
        <w:rPr>
          <w:rFonts w:hint="eastAsia"/>
          <w:lang w:eastAsia="zh-CN"/>
        </w:rPr>
        <w:t>优先考虑。</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9902B"/>
    <w:multiLevelType w:val="singleLevel"/>
    <w:tmpl w:val="F159902B"/>
    <w:lvl w:ilvl="0" w:tentative="0">
      <w:start w:val="1"/>
      <w:numFmt w:val="decimal"/>
      <w:suff w:val="space"/>
      <w:lvlText w:val="(%1)"/>
      <w:lvlJc w:val="left"/>
    </w:lvl>
  </w:abstractNum>
  <w:abstractNum w:abstractNumId="1">
    <w:nsid w:val="FAFF1F7E"/>
    <w:multiLevelType w:val="singleLevel"/>
    <w:tmpl w:val="FAFF1F7E"/>
    <w:lvl w:ilvl="0" w:tentative="0">
      <w:start w:val="1"/>
      <w:numFmt w:val="decimal"/>
      <w:lvlText w:val="(%1)"/>
      <w:lvlJc w:val="left"/>
      <w:pPr>
        <w:ind w:left="425" w:hanging="425"/>
      </w:pPr>
      <w:rPr>
        <w:rFonts w:hint="default"/>
      </w:rPr>
    </w:lvl>
  </w:abstractNum>
  <w:abstractNum w:abstractNumId="2">
    <w:nsid w:val="FFC4B1F7"/>
    <w:multiLevelType w:val="singleLevel"/>
    <w:tmpl w:val="FFC4B1F7"/>
    <w:lvl w:ilvl="0" w:tentative="0">
      <w:start w:val="1"/>
      <w:numFmt w:val="decimal"/>
      <w:lvlText w:val="%1."/>
      <w:lvlJc w:val="left"/>
      <w:pPr>
        <w:tabs>
          <w:tab w:val="left" w:pos="312"/>
        </w:tabs>
      </w:pPr>
    </w:lvl>
  </w:abstractNum>
  <w:abstractNum w:abstractNumId="3">
    <w:nsid w:val="0BE04968"/>
    <w:multiLevelType w:val="multilevel"/>
    <w:tmpl w:val="0BE04968"/>
    <w:lvl w:ilvl="0" w:tentative="0">
      <w:start w:val="1"/>
      <w:numFmt w:val="chineseCountingThousand"/>
      <w:lvlText w:val="第%1章"/>
      <w:lvlJc w:val="left"/>
      <w:pPr>
        <w:ind w:left="440" w:hanging="440"/>
      </w:pPr>
      <w:rPr>
        <w:rFonts w:hint="eastAsia"/>
        <w:b/>
        <w:i w:val="0"/>
        <w:sz w:val="32"/>
      </w:rPr>
    </w:lvl>
    <w:lvl w:ilvl="1" w:tentative="0">
      <w:start w:val="1"/>
      <w:numFmt w:val="decimal"/>
      <w:isLgl/>
      <w:suff w:val="nothing"/>
      <w:lvlText w:val="%1.%2、"/>
      <w:lvlJc w:val="left"/>
      <w:pPr>
        <w:ind w:left="0" w:firstLine="0"/>
      </w:pPr>
      <w:rPr>
        <w:rFonts w:hint="default" w:ascii="Times New Roman" w:hAnsi="Times New Roman" w:eastAsia="宋体"/>
        <w:b/>
        <w:i w:val="0"/>
        <w:sz w:val="30"/>
      </w:rPr>
    </w:lvl>
    <w:lvl w:ilvl="2" w:tentative="0">
      <w:start w:val="1"/>
      <w:numFmt w:val="decimal"/>
      <w:isLgl/>
      <w:suff w:val="nothing"/>
      <w:lvlText w:val="%1.%2.%3、"/>
      <w:lvlJc w:val="left"/>
      <w:pPr>
        <w:ind w:left="0" w:firstLine="0"/>
      </w:pPr>
      <w:rPr>
        <w:rFonts w:hint="default" w:ascii="Times New Roman" w:hAnsi="Times New Roman" w:eastAsia="宋体"/>
        <w:b/>
        <w:i w:val="0"/>
        <w:sz w:val="28"/>
      </w:rPr>
    </w:lvl>
    <w:lvl w:ilvl="3" w:tentative="0">
      <w:start w:val="1"/>
      <w:numFmt w:val="decimal"/>
      <w:isLgl/>
      <w:suff w:val="nothing"/>
      <w:lvlText w:val="%1.%2.%3.%4、"/>
      <w:lvlJc w:val="left"/>
      <w:pPr>
        <w:ind w:left="0" w:firstLine="0"/>
      </w:pPr>
      <w:rPr>
        <w:rFonts w:hint="default" w:ascii="Times New Roman" w:hAnsi="Times New Roman" w:eastAsia="宋体"/>
        <w:b/>
        <w:i w:val="0"/>
        <w:sz w:val="24"/>
      </w:rPr>
    </w:lvl>
    <w:lvl w:ilvl="4" w:tentative="0">
      <w:start w:val="1"/>
      <w:numFmt w:val="decimal"/>
      <w:isLgl/>
      <w:suff w:val="nothing"/>
      <w:lvlText w:val="%1.%2.%3.%4.%5、"/>
      <w:lvlJc w:val="left"/>
      <w:pPr>
        <w:ind w:left="0" w:firstLine="0"/>
      </w:pPr>
      <w:rPr>
        <w:rFonts w:hint="default" w:ascii="Times New Roman" w:hAnsi="Times New Roman" w:eastAsia="宋体"/>
        <w:b/>
        <w:i w:val="0"/>
        <w:sz w:val="21"/>
      </w:rPr>
    </w:lvl>
    <w:lvl w:ilvl="5" w:tentative="0">
      <w:start w:val="1"/>
      <w:numFmt w:val="decimal"/>
      <w:pStyle w:val="4"/>
      <w:isLgl/>
      <w:suff w:val="nothing"/>
      <w:lvlText w:val="%1.%2.%3.%4.%5.%6、"/>
      <w:lvlJc w:val="left"/>
      <w:pPr>
        <w:ind w:left="0" w:firstLine="0"/>
      </w:pPr>
      <w:rPr>
        <w:rFonts w:hint="default" w:ascii="Times New Roman" w:hAnsi="Times New Roman" w:eastAsia="宋体"/>
        <w:b/>
        <w:i w:val="0"/>
        <w:sz w:val="21"/>
      </w:rPr>
    </w:lvl>
    <w:lvl w:ilvl="6" w:tentative="0">
      <w:start w:val="1"/>
      <w:numFmt w:val="decimal"/>
      <w:isLgl/>
      <w:suff w:val="nothing"/>
      <w:lvlText w:val="%1.%2.%3.%4.%5.%6.%7、"/>
      <w:lvlJc w:val="left"/>
      <w:pPr>
        <w:ind w:left="0" w:firstLine="0"/>
      </w:pPr>
      <w:rPr>
        <w:rFonts w:hint="default" w:ascii="Times New Roman" w:hAnsi="Times New Roman" w:eastAsia="宋体"/>
        <w:b/>
        <w:i w:val="0"/>
        <w:sz w:val="21"/>
      </w:rPr>
    </w:lvl>
    <w:lvl w:ilvl="7" w:tentative="0">
      <w:start w:val="1"/>
      <w:numFmt w:val="decimal"/>
      <w:isLgl/>
      <w:suff w:val="nothing"/>
      <w:lvlText w:val="%1.%2.%3.%4.%5.%6.%7.%8、"/>
      <w:lvlJc w:val="left"/>
      <w:pPr>
        <w:ind w:left="0" w:firstLine="0"/>
      </w:pPr>
      <w:rPr>
        <w:rFonts w:hint="default" w:ascii="Times New Roman" w:hAnsi="Times New Roman" w:eastAsia="宋体"/>
        <w:b/>
        <w:i w:val="0"/>
        <w:sz w:val="21"/>
      </w:rPr>
    </w:lvl>
    <w:lvl w:ilvl="8" w:tentative="0">
      <w:start w:val="1"/>
      <w:numFmt w:val="decimal"/>
      <w:isLgl/>
      <w:suff w:val="nothing"/>
      <w:lvlText w:val="%1.%2.%3.%4.%5.%6.%7.%8.%9、"/>
      <w:lvlJc w:val="left"/>
      <w:pPr>
        <w:ind w:left="0" w:firstLine="0"/>
      </w:pPr>
      <w:rPr>
        <w:rFonts w:hint="default" w:ascii="Times New Roman" w:hAnsi="Times New Roman" w:eastAsia="宋体"/>
        <w:b/>
        <w:i w:val="0"/>
        <w:sz w:val="21"/>
      </w:r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6FAF577F"/>
    <w:multiLevelType w:val="multilevel"/>
    <w:tmpl w:val="6FAF577F"/>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BF2217"/>
    <w:rsid w:val="00114FBC"/>
    <w:rsid w:val="00434930"/>
    <w:rsid w:val="007C7941"/>
    <w:rsid w:val="00A01163"/>
    <w:rsid w:val="00A63041"/>
    <w:rsid w:val="00BF2217"/>
    <w:rsid w:val="00C070CC"/>
    <w:rsid w:val="00E716DD"/>
    <w:rsid w:val="037D2C8D"/>
    <w:rsid w:val="058C1932"/>
    <w:rsid w:val="06CF6BD7"/>
    <w:rsid w:val="076A7687"/>
    <w:rsid w:val="077C5CB6"/>
    <w:rsid w:val="0957582C"/>
    <w:rsid w:val="0A014271"/>
    <w:rsid w:val="0A44207A"/>
    <w:rsid w:val="0AB80DB3"/>
    <w:rsid w:val="0B655717"/>
    <w:rsid w:val="0E6A1E4A"/>
    <w:rsid w:val="0E923FBB"/>
    <w:rsid w:val="0EFC050B"/>
    <w:rsid w:val="100A5B1A"/>
    <w:rsid w:val="105F01DB"/>
    <w:rsid w:val="11EB4C82"/>
    <w:rsid w:val="164B06BC"/>
    <w:rsid w:val="16D5248B"/>
    <w:rsid w:val="18757B9B"/>
    <w:rsid w:val="18B86937"/>
    <w:rsid w:val="1DD7388B"/>
    <w:rsid w:val="1E0A4E58"/>
    <w:rsid w:val="1F440689"/>
    <w:rsid w:val="1FBC7DAB"/>
    <w:rsid w:val="20A4687F"/>
    <w:rsid w:val="2107591A"/>
    <w:rsid w:val="21E25539"/>
    <w:rsid w:val="223B01A8"/>
    <w:rsid w:val="253924CA"/>
    <w:rsid w:val="26871731"/>
    <w:rsid w:val="2776FB31"/>
    <w:rsid w:val="2AD52E64"/>
    <w:rsid w:val="2AF51890"/>
    <w:rsid w:val="2B306905"/>
    <w:rsid w:val="32614783"/>
    <w:rsid w:val="33EA7AAE"/>
    <w:rsid w:val="365E7CBB"/>
    <w:rsid w:val="36A622B7"/>
    <w:rsid w:val="394D0E50"/>
    <w:rsid w:val="39F478F1"/>
    <w:rsid w:val="3B607F32"/>
    <w:rsid w:val="3B77971E"/>
    <w:rsid w:val="3F05777E"/>
    <w:rsid w:val="4141427E"/>
    <w:rsid w:val="43776333"/>
    <w:rsid w:val="444D5F8B"/>
    <w:rsid w:val="447918CD"/>
    <w:rsid w:val="457B0D80"/>
    <w:rsid w:val="4C9C46B6"/>
    <w:rsid w:val="4F9949A4"/>
    <w:rsid w:val="512225D4"/>
    <w:rsid w:val="52A44A82"/>
    <w:rsid w:val="546D7964"/>
    <w:rsid w:val="55EE556D"/>
    <w:rsid w:val="562B40FC"/>
    <w:rsid w:val="56933D3C"/>
    <w:rsid w:val="583D2C4E"/>
    <w:rsid w:val="59D6437F"/>
    <w:rsid w:val="5A623E64"/>
    <w:rsid w:val="5A7B159E"/>
    <w:rsid w:val="5B9D1601"/>
    <w:rsid w:val="5E427DC2"/>
    <w:rsid w:val="5F612626"/>
    <w:rsid w:val="61665459"/>
    <w:rsid w:val="61CF1290"/>
    <w:rsid w:val="62ED689A"/>
    <w:rsid w:val="63E458EA"/>
    <w:rsid w:val="645D785C"/>
    <w:rsid w:val="64654C7D"/>
    <w:rsid w:val="6473702C"/>
    <w:rsid w:val="688D633C"/>
    <w:rsid w:val="6C37609B"/>
    <w:rsid w:val="6CD97FB6"/>
    <w:rsid w:val="72FA227A"/>
    <w:rsid w:val="74CC5EFF"/>
    <w:rsid w:val="74DF16DB"/>
    <w:rsid w:val="74E7523A"/>
    <w:rsid w:val="74F73FFC"/>
    <w:rsid w:val="77B51620"/>
    <w:rsid w:val="78AB19E8"/>
    <w:rsid w:val="79C04C36"/>
    <w:rsid w:val="79F334D7"/>
    <w:rsid w:val="7A0B7E4C"/>
    <w:rsid w:val="7A8C6D1C"/>
    <w:rsid w:val="7AB707BE"/>
    <w:rsid w:val="7BBE51A6"/>
    <w:rsid w:val="7CDE33C7"/>
    <w:rsid w:val="7D1B3948"/>
    <w:rsid w:val="7EC5331B"/>
    <w:rsid w:val="7FBF7D03"/>
    <w:rsid w:val="7FFC9A5B"/>
    <w:rsid w:val="B3A651D5"/>
    <w:rsid w:val="CFD74470"/>
    <w:rsid w:val="CFDA7733"/>
    <w:rsid w:val="CFF7BB81"/>
    <w:rsid w:val="D124F7F4"/>
    <w:rsid w:val="F9EB02DE"/>
    <w:rsid w:val="FDFF30F0"/>
    <w:rsid w:val="FFAC5276"/>
    <w:rsid w:val="FFD7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120" w:after="120"/>
      <w:ind w:left="0" w:firstLine="0" w:firstLineChars="0"/>
      <w:outlineLvl w:val="0"/>
    </w:pPr>
    <w:rPr>
      <w:b/>
      <w:bCs/>
      <w:kern w:val="44"/>
      <w:sz w:val="32"/>
      <w:szCs w:val="28"/>
    </w:rPr>
  </w:style>
  <w:style w:type="paragraph" w:styleId="3">
    <w:name w:val="heading 2"/>
    <w:basedOn w:val="1"/>
    <w:next w:val="1"/>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6"/>
    <w:basedOn w:val="1"/>
    <w:next w:val="1"/>
    <w:unhideWhenUsed/>
    <w:qFormat/>
    <w:uiPriority w:val="0"/>
    <w:pPr>
      <w:keepNext/>
      <w:keepLines/>
      <w:numPr>
        <w:ilvl w:val="5"/>
        <w:numId w:val="2"/>
      </w:numPr>
      <w:spacing w:before="120" w:after="120"/>
      <w:ind w:firstLine="480"/>
      <w:outlineLvl w:val="5"/>
    </w:pPr>
    <w:rPr>
      <w:rFonts w:ascii="Cambria" w:hAnsi="Cambria" w:eastAsia="仿宋_GB2312"/>
      <w:b/>
      <w:bCs/>
      <w:lang w:val="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alloon Text"/>
    <w:basedOn w:val="1"/>
    <w:link w:val="18"/>
    <w:qFormat/>
    <w:uiPriority w:val="0"/>
    <w:pPr>
      <w:spacing w:line="240" w:lineRule="auto"/>
    </w:pPr>
    <w:rPr>
      <w:sz w:val="18"/>
      <w:szCs w:val="18"/>
    </w:rPr>
  </w:style>
  <w:style w:type="paragraph" w:styleId="7">
    <w:name w:val="footer"/>
    <w:basedOn w:val="1"/>
    <w:link w:val="19"/>
    <w:qFormat/>
    <w:uiPriority w:val="0"/>
    <w:pPr>
      <w:tabs>
        <w:tab w:val="center" w:pos="4153"/>
        <w:tab w:val="right" w:pos="8306"/>
      </w:tabs>
      <w:snapToGrid w:val="0"/>
      <w:spacing w:line="240" w:lineRule="auto"/>
      <w:jc w:val="left"/>
    </w:pPr>
    <w:rPr>
      <w:sz w:val="18"/>
      <w:szCs w:val="18"/>
    </w:rPr>
  </w:style>
  <w:style w:type="paragraph" w:styleId="8">
    <w:name w:val="header"/>
    <w:basedOn w:val="1"/>
    <w:qFormat/>
    <w:uiPriority w:val="99"/>
    <w:pPr>
      <w:pBdr>
        <w:bottom w:val="single" w:color="auto" w:sz="4" w:space="0"/>
      </w:pBdr>
      <w:tabs>
        <w:tab w:val="center" w:pos="4153"/>
        <w:tab w:val="right" w:pos="8306"/>
      </w:tabs>
      <w:snapToGrid w:val="0"/>
      <w:jc w:val="center"/>
    </w:pPr>
    <w:rPr>
      <w:sz w:val="18"/>
      <w:szCs w:val="18"/>
    </w:rPr>
  </w:style>
  <w:style w:type="paragraph" w:styleId="9">
    <w:name w:val="annotation subject"/>
    <w:basedOn w:val="5"/>
    <w:next w:val="5"/>
    <w:link w:val="21"/>
    <w:qFormat/>
    <w:uiPriority w:val="0"/>
    <w:rPr>
      <w:b/>
      <w:bCs/>
    </w:rPr>
  </w:style>
  <w:style w:type="character" w:styleId="12">
    <w:name w:val="annotation reference"/>
    <w:basedOn w:val="11"/>
    <w:qFormat/>
    <w:uiPriority w:val="0"/>
    <w:rPr>
      <w:sz w:val="21"/>
      <w:szCs w:val="21"/>
    </w:rPr>
  </w:style>
  <w:style w:type="paragraph" w:customStyle="1" w:styleId="13">
    <w:name w:val="正文缩进1"/>
    <w:basedOn w:val="1"/>
    <w:autoRedefine/>
    <w:qFormat/>
    <w:uiPriority w:val="0"/>
    <w:pPr>
      <w:spacing w:line="240" w:lineRule="auto"/>
      <w:ind w:firstLine="420"/>
    </w:pPr>
    <w:rPr>
      <w:sz w:val="21"/>
      <w:szCs w:val="20"/>
    </w:rPr>
  </w:style>
  <w:style w:type="paragraph" w:customStyle="1" w:styleId="14">
    <w:name w:val="正文正文2"/>
    <w:basedOn w:val="1"/>
    <w:autoRedefine/>
    <w:qFormat/>
    <w:uiPriority w:val="0"/>
    <w:pPr>
      <w:ind w:firstLine="460"/>
    </w:pPr>
    <w:rPr>
      <w:sz w:val="21"/>
      <w:szCs w:val="21"/>
    </w:rPr>
  </w:style>
  <w:style w:type="paragraph" w:customStyle="1" w:styleId="15">
    <w:name w:val="表格正文"/>
    <w:basedOn w:val="1"/>
    <w:qFormat/>
    <w:uiPriority w:val="0"/>
    <w:pPr>
      <w:ind w:firstLine="0" w:firstLineChars="0"/>
      <w:jc w:val="center"/>
    </w:pPr>
    <w:rPr>
      <w:sz w:val="24"/>
      <w:szCs w:val="28"/>
    </w:rPr>
  </w:style>
  <w:style w:type="paragraph" w:customStyle="1" w:styleId="16">
    <w:name w:val="正文1"/>
    <w:basedOn w:val="1"/>
    <w:qFormat/>
    <w:uiPriority w:val="0"/>
    <w:pPr>
      <w:ind w:firstLine="0" w:firstLineChars="0"/>
    </w:pPr>
    <w:rPr>
      <w:szCs w:val="28"/>
    </w:rPr>
  </w:style>
  <w:style w:type="paragraph" w:customStyle="1" w:styleId="17">
    <w:name w:val="B-表正文"/>
    <w:qFormat/>
    <w:uiPriority w:val="0"/>
    <w:rPr>
      <w:rFonts w:ascii="Times New Roman" w:hAnsi="Times New Roman" w:eastAsia="仿宋" w:cstheme="minorBidi"/>
      <w:kern w:val="2"/>
      <w:sz w:val="24"/>
      <w:szCs w:val="24"/>
      <w:lang w:val="en-US" w:eastAsia="zh-CN" w:bidi="ar-SA"/>
    </w:rPr>
  </w:style>
  <w:style w:type="character" w:customStyle="1" w:styleId="18">
    <w:name w:val="批注框文本 Char"/>
    <w:basedOn w:val="11"/>
    <w:link w:val="6"/>
    <w:qFormat/>
    <w:uiPriority w:val="0"/>
    <w:rPr>
      <w:rFonts w:eastAsia="仿宋"/>
      <w:kern w:val="2"/>
      <w:sz w:val="18"/>
      <w:szCs w:val="18"/>
    </w:rPr>
  </w:style>
  <w:style w:type="character" w:customStyle="1" w:styleId="19">
    <w:name w:val="页脚 Char"/>
    <w:basedOn w:val="11"/>
    <w:link w:val="7"/>
    <w:qFormat/>
    <w:uiPriority w:val="0"/>
    <w:rPr>
      <w:rFonts w:eastAsia="仿宋"/>
      <w:kern w:val="2"/>
      <w:sz w:val="18"/>
      <w:szCs w:val="18"/>
    </w:rPr>
  </w:style>
  <w:style w:type="character" w:customStyle="1" w:styleId="20">
    <w:name w:val="批注文字 Char"/>
    <w:basedOn w:val="11"/>
    <w:link w:val="5"/>
    <w:qFormat/>
    <w:uiPriority w:val="0"/>
    <w:rPr>
      <w:rFonts w:eastAsia="仿宋"/>
      <w:kern w:val="2"/>
      <w:sz w:val="28"/>
      <w:szCs w:val="24"/>
    </w:rPr>
  </w:style>
  <w:style w:type="character" w:customStyle="1" w:styleId="21">
    <w:name w:val="批注主题 Char"/>
    <w:basedOn w:val="20"/>
    <w:link w:val="9"/>
    <w:qFormat/>
    <w:uiPriority w:val="0"/>
    <w:rPr>
      <w:rFonts w:eastAsia="仿宋"/>
      <w:b/>
      <w:bCs/>
      <w:kern w:val="2"/>
      <w:sz w:val="28"/>
      <w:szCs w:val="24"/>
    </w:rPr>
  </w:style>
  <w:style w:type="character" w:customStyle="1" w:styleId="22">
    <w:name w:val="font21"/>
    <w:basedOn w:val="11"/>
    <w:qFormat/>
    <w:uiPriority w:val="0"/>
    <w:rPr>
      <w:rFonts w:hint="default" w:ascii="Times New Roman" w:hAnsi="Times New Roman" w:cs="Times New Roman"/>
      <w:color w:val="000000"/>
      <w:sz w:val="24"/>
      <w:szCs w:val="24"/>
      <w:u w:val="none"/>
    </w:rPr>
  </w:style>
  <w:style w:type="character" w:customStyle="1" w:styleId="23">
    <w:name w:val="font3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9509</Words>
  <Characters>9693</Characters>
  <Lines>114</Lines>
  <Paragraphs>32</Paragraphs>
  <TotalTime>1181</TotalTime>
  <ScaleCrop>false</ScaleCrop>
  <LinksUpToDate>false</LinksUpToDate>
  <CharactersWithSpaces>9701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2025-12-09T05:50:00Z</dcterms:created>
  <dc:creator>user</dc:creator>
  <cp:lastModifiedBy>高际航</cp:lastModifiedBy>
  <dcterms:modified xsi:type="dcterms:W3CDTF">2026-01-26T08:40:53Z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D75FEAE4793F177B66B77669ECF99CE0_43</vt:lpwstr>
  </property>
  <property fmtid="{D5CDD505-2E9C-101B-9397-08002B2CF9AE}" pid="4" name="KSOTemplateDocerSaveRecord">
    <vt:lpwstr>eyJoZGlkIjoiYmRjYjc2MzE1MzA0YmQxODk5ODUwMWQ1YzA1YjlmNjgiLCJ1c2VySWQiOiI1MjQzOTgxMDcifQ==</vt:lpwstr>
  </property>
</Properties>
</file>